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8CDAF1" w14:textId="77777777" w:rsidR="002D2C47" w:rsidRPr="00775E2B" w:rsidRDefault="002D2C47" w:rsidP="002D2C47">
      <w:pPr>
        <w:jc w:val="right"/>
        <w:rPr>
          <w:rFonts w:ascii="Arial" w:eastAsia="Times New Roman" w:hAnsi="Arial" w:cs="Arial"/>
          <w:lang w:eastAsia="en-GB"/>
        </w:rPr>
      </w:pPr>
      <w:r>
        <w:rPr>
          <w:rFonts w:ascii="Arial" w:eastAsia="Times New Roman" w:hAnsi="Arial" w:cs="Arial"/>
          <w:noProof/>
          <w:lang w:eastAsia="en-GB"/>
        </w:rPr>
        <w:drawing>
          <wp:inline distT="0" distB="0" distL="0" distR="0" wp14:anchorId="12700CFB" wp14:editId="6FAEA89C">
            <wp:extent cx="4131791" cy="2230967"/>
            <wp:effectExtent l="0" t="0" r="0" b="4445"/>
            <wp:docPr id="8" name="Picture 8"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video game&#10;&#10;Description automatically generated with medium confidence"/>
                    <pic:cNvPicPr/>
                  </pic:nvPicPr>
                  <pic:blipFill>
                    <a:blip r:embed="rId7">
                      <a:extLst>
                        <a:ext uri="{28A0092B-C50C-407E-A947-70E740481C1C}">
                          <a14:useLocalDpi xmlns:a14="http://schemas.microsoft.com/office/drawing/2010/main" val="0"/>
                        </a:ext>
                      </a:extLst>
                    </a:blip>
                    <a:stretch>
                      <a:fillRect/>
                    </a:stretch>
                  </pic:blipFill>
                  <pic:spPr>
                    <a:xfrm>
                      <a:off x="0" y="0"/>
                      <a:ext cx="4153648" cy="2242768"/>
                    </a:xfrm>
                    <a:prstGeom prst="rect">
                      <a:avLst/>
                    </a:prstGeom>
                  </pic:spPr>
                </pic:pic>
              </a:graphicData>
            </a:graphic>
          </wp:inline>
        </w:drawing>
      </w:r>
    </w:p>
    <w:p w14:paraId="76B821D2" w14:textId="77777777" w:rsidR="002D2C47" w:rsidRDefault="002D2C47" w:rsidP="002D2C47">
      <w:pPr>
        <w:spacing w:after="60"/>
        <w:jc w:val="both"/>
        <w:rPr>
          <w:rFonts w:ascii="Arial" w:hAnsi="Arial"/>
          <w:color w:val="4472C4" w:themeColor="accent1"/>
          <w:sz w:val="54"/>
        </w:rPr>
      </w:pPr>
    </w:p>
    <w:p w14:paraId="10F66011" w14:textId="77777777" w:rsidR="002D2C47" w:rsidRDefault="002D2C47" w:rsidP="002D2C47">
      <w:pPr>
        <w:spacing w:after="60"/>
        <w:jc w:val="both"/>
        <w:rPr>
          <w:rFonts w:ascii="Arial" w:hAnsi="Arial"/>
          <w:color w:val="4472C4" w:themeColor="accent1"/>
          <w:sz w:val="54"/>
        </w:rPr>
      </w:pPr>
    </w:p>
    <w:p w14:paraId="56D01982" w14:textId="77777777" w:rsidR="002D2C47" w:rsidRPr="00CF6A5D" w:rsidRDefault="002D2C47" w:rsidP="002D2C47">
      <w:pPr>
        <w:jc w:val="both"/>
        <w:rPr>
          <w:rFonts w:ascii="Arial" w:hAnsi="Arial"/>
          <w:b/>
          <w:color w:val="383360"/>
          <w:sz w:val="54"/>
          <w:szCs w:val="54"/>
        </w:rPr>
      </w:pPr>
      <w:r w:rsidRPr="00CF6A5D">
        <w:rPr>
          <w:rFonts w:ascii="Arial" w:hAnsi="Arial"/>
          <w:b/>
          <w:color w:val="383360"/>
          <w:sz w:val="54"/>
          <w:szCs w:val="54"/>
        </w:rPr>
        <w:t xml:space="preserve">Fondation Adelis </w:t>
      </w:r>
    </w:p>
    <w:p w14:paraId="086F65F3" w14:textId="77777777" w:rsidR="002D2C47" w:rsidRPr="00CF6A5D" w:rsidRDefault="002D2C47" w:rsidP="002D2C47">
      <w:pPr>
        <w:jc w:val="both"/>
        <w:rPr>
          <w:rFonts w:ascii="Arial" w:hAnsi="Arial"/>
          <w:b/>
          <w:color w:val="383360"/>
          <w:sz w:val="54"/>
          <w:szCs w:val="54"/>
        </w:rPr>
      </w:pPr>
      <w:r w:rsidRPr="00CF6A5D">
        <w:rPr>
          <w:rFonts w:ascii="Arial" w:hAnsi="Arial"/>
          <w:b/>
          <w:color w:val="383360"/>
          <w:sz w:val="54"/>
          <w:szCs w:val="54"/>
        </w:rPr>
        <w:t xml:space="preserve">RAPPORT ANNUEL </w:t>
      </w:r>
    </w:p>
    <w:p w14:paraId="34A6C6F6" w14:textId="77777777" w:rsidR="002D2C47" w:rsidRPr="00CF6A5D" w:rsidRDefault="002D2C47" w:rsidP="002D2C47">
      <w:pPr>
        <w:jc w:val="both"/>
        <w:rPr>
          <w:rFonts w:ascii="Arial" w:hAnsi="Arial"/>
          <w:b/>
          <w:color w:val="383360"/>
          <w:sz w:val="54"/>
          <w:szCs w:val="54"/>
        </w:rPr>
      </w:pPr>
      <w:r w:rsidRPr="00CF6A5D">
        <w:rPr>
          <w:rFonts w:ascii="Arial" w:hAnsi="Arial"/>
          <w:b/>
          <w:color w:val="383360"/>
          <w:sz w:val="54"/>
          <w:szCs w:val="54"/>
        </w:rPr>
        <w:t xml:space="preserve">Octobre 2021 </w:t>
      </w:r>
    </w:p>
    <w:p w14:paraId="7D2BA13B" w14:textId="77777777" w:rsidR="002D2C47" w:rsidRPr="00CF6A5D" w:rsidRDefault="002D2C47" w:rsidP="002D2C47">
      <w:pPr>
        <w:jc w:val="both"/>
        <w:rPr>
          <w:rFonts w:ascii="Arial" w:hAnsi="Arial"/>
          <w:b/>
          <w:color w:val="383360"/>
          <w:sz w:val="54"/>
          <w:szCs w:val="54"/>
        </w:rPr>
      </w:pPr>
    </w:p>
    <w:p w14:paraId="0DD55AC9" w14:textId="77777777" w:rsidR="002D2C47" w:rsidRDefault="002D2C47" w:rsidP="002D2C47">
      <w:pPr>
        <w:spacing w:after="60"/>
        <w:jc w:val="both"/>
        <w:rPr>
          <w:rFonts w:ascii="Arial" w:eastAsia="Times New Roman" w:hAnsi="Arial" w:cs="Arial"/>
          <w:color w:val="4472C4" w:themeColor="accent1"/>
          <w:sz w:val="54"/>
          <w:szCs w:val="54"/>
          <w:lang w:eastAsia="en-GB"/>
        </w:rPr>
      </w:pPr>
    </w:p>
    <w:p w14:paraId="4D08785B" w14:textId="77777777" w:rsidR="002D2C47" w:rsidRDefault="002D2C47" w:rsidP="002D2C47">
      <w:pPr>
        <w:spacing w:after="60"/>
        <w:jc w:val="both"/>
        <w:rPr>
          <w:rFonts w:ascii="Arial" w:eastAsia="Times New Roman" w:hAnsi="Arial" w:cs="Arial"/>
          <w:color w:val="4472C4" w:themeColor="accent1"/>
          <w:sz w:val="54"/>
          <w:szCs w:val="54"/>
          <w:lang w:eastAsia="en-GB"/>
        </w:rPr>
      </w:pPr>
    </w:p>
    <w:p w14:paraId="58FE22C2" w14:textId="77777777" w:rsidR="002D2C47" w:rsidRPr="001B47C8" w:rsidRDefault="002D2C47" w:rsidP="002D2C47">
      <w:pPr>
        <w:rPr>
          <w:rFonts w:ascii="Arial" w:eastAsia="Times New Roman" w:hAnsi="Arial" w:cs="Arial"/>
          <w:b/>
          <w:bCs/>
          <w:color w:val="383360"/>
          <w:sz w:val="32"/>
          <w:szCs w:val="32"/>
        </w:rPr>
      </w:pPr>
      <w:r>
        <w:rPr>
          <w:rFonts w:ascii="Arial" w:hAnsi="Arial"/>
          <w:b/>
          <w:color w:val="383360"/>
          <w:sz w:val="32"/>
          <w:u w:val="single"/>
        </w:rPr>
        <w:t>Prof. Ehud Gazit, Ph.D. FRSC FNASc OSSI</w:t>
      </w:r>
      <w:r>
        <w:rPr>
          <w:rFonts w:ascii="Arial" w:hAnsi="Arial"/>
          <w:b/>
          <w:color w:val="383360"/>
          <w:sz w:val="32"/>
          <w:u w:val="single"/>
        </w:rPr>
        <w:br/>
      </w:r>
      <w:r>
        <w:rPr>
          <w:rFonts w:ascii="Arial" w:hAnsi="Arial"/>
          <w:b/>
          <w:color w:val="383360"/>
          <w:sz w:val="32"/>
        </w:rPr>
        <w:t xml:space="preserve">Département de microbiologie et biotechnologie moléculaires </w:t>
      </w:r>
    </w:p>
    <w:p w14:paraId="2888554E" w14:textId="77777777" w:rsidR="002D2C47" w:rsidRPr="001B47C8" w:rsidRDefault="002D2C47" w:rsidP="002D2C47">
      <w:pPr>
        <w:jc w:val="both"/>
        <w:rPr>
          <w:rFonts w:ascii="Arial" w:eastAsia="Times New Roman" w:hAnsi="Arial" w:cs="Arial"/>
          <w:sz w:val="32"/>
          <w:szCs w:val="32"/>
        </w:rPr>
      </w:pPr>
      <w:r>
        <w:rPr>
          <w:rFonts w:ascii="Arial" w:hAnsi="Arial"/>
          <w:b/>
          <w:color w:val="383360"/>
          <w:sz w:val="32"/>
        </w:rPr>
        <w:t xml:space="preserve">Département de science et génie des matériaux </w:t>
      </w:r>
    </w:p>
    <w:p w14:paraId="113D493C" w14:textId="77777777" w:rsidR="002D2C47" w:rsidRPr="00775E2B" w:rsidRDefault="002D2C47" w:rsidP="002D2C47">
      <w:pPr>
        <w:jc w:val="both"/>
        <w:rPr>
          <w:rFonts w:ascii="Arial" w:hAnsi="Arial" w:cs="Arial"/>
        </w:rPr>
      </w:pPr>
    </w:p>
    <w:p w14:paraId="772F499A" w14:textId="77777777" w:rsidR="002D2C47" w:rsidRPr="00775E2B" w:rsidRDefault="002D2C47" w:rsidP="002D2C47">
      <w:pPr>
        <w:jc w:val="both"/>
        <w:rPr>
          <w:rFonts w:ascii="Arial" w:hAnsi="Arial" w:cs="Arial"/>
        </w:rPr>
      </w:pPr>
      <w:r>
        <w:br w:type="page"/>
      </w:r>
    </w:p>
    <w:p w14:paraId="6C278BBC" w14:textId="77777777" w:rsidR="002D2C47" w:rsidRPr="006D38E3" w:rsidRDefault="002D2C47" w:rsidP="002D2C47">
      <w:pPr>
        <w:pStyle w:val="NormalWeb"/>
        <w:jc w:val="center"/>
        <w:rPr>
          <w:rFonts w:ascii="Arial" w:hAnsi="Arial" w:cs="Arial"/>
          <w:b/>
          <w:bCs/>
          <w:sz w:val="22"/>
          <w:szCs w:val="22"/>
        </w:rPr>
      </w:pPr>
      <w:r>
        <w:rPr>
          <w:rFonts w:ascii="Arial" w:hAnsi="Arial"/>
          <w:b/>
          <w:sz w:val="22"/>
        </w:rPr>
        <w:lastRenderedPageBreak/>
        <w:t>La rencontre de la nanochimie et de la médecine : étude et manipulation de l’assemblage des métabolites</w:t>
      </w:r>
    </w:p>
    <w:p w14:paraId="44288FA0" w14:textId="77777777" w:rsidR="002D2C47" w:rsidRPr="006D38E3" w:rsidRDefault="002D2C47" w:rsidP="002D2C47">
      <w:pPr>
        <w:pStyle w:val="NormalWeb"/>
        <w:jc w:val="both"/>
        <w:rPr>
          <w:rFonts w:ascii="Arial" w:hAnsi="Arial" w:cs="Arial"/>
          <w:sz w:val="22"/>
          <w:szCs w:val="22"/>
        </w:rPr>
      </w:pPr>
      <w:r>
        <w:rPr>
          <w:rFonts w:ascii="Arial" w:hAnsi="Arial"/>
          <w:sz w:val="22"/>
        </w:rPr>
        <w:t xml:space="preserve">Le terme « erreurs innées du métabolisme » (EIM) a été utilisé pour la première fois en 1908 et a été attribué à seulement quatre désordres. Aujourd’hui, 112 ans plus tard, ce terme recouvre plusieurs milliers de désordres métaboliques génétiques qui sont dus à une enzyme mutée et à l’accumulation consécutive d’un substrat spécifique. Le lien étiologique entre les altérations métaboliques et les troubles reste vague. Une nouvelle extension du dogme central de la formation des amyloïdes, qui était précédemment attribuée exclusivement à des protéines, a été récemment établie dans notre laboratoire et offre un nouveau paradigme pour la pathophysiologie des maladies métaboliques et la formation d’amyloïdes de métabolites comme mécanisme sous-jacent des désordres des EIM. En outre, elle présente de nouvelles possibilités de diagnostic, ainsi que de traitement de ces désordres. Ces assemblages de supramolécules non protéiques manifestent une intense fluorescence après coloration avec des colorants spécifiques des amyloïdes et une cytotoxicité en culture cellulaire. Il a été suggéré que la toxicité notable des assemblages est associée aux lésions neurologiques observées chez les patients non traités souffrant du trouble métabolique, phénylcétonurie (PCU), dans lequel la phénylalanine s’accumule à cause d’une altération d’une voie métabolique. Plus tard, l’hypothèse des amyloïdes a été étendue de manière significative par la démonstration que plusieurs autres métabolites, notamment l’adénine, la tyrosine, le tryptophane, la cystine, l’acide orotique, et l’uracile, qui s’accumulent individuellement dans des EIM spécifiques, sont capables de former des structures de type amyloïde dans des conditions physiologiques, notamment une structure fibrillaire caractéristique, à laquelle se lient les colorants spécifiques des amyloïdes, et qui a un effet apoptotique dépendant de la dose. De plus, des études menées dans notre laboratoire ont montré que des fibrilles des métabolites indiquées pouvaient être spécifiquement détectées à l’aide d’anticorps dirigés contre les structures assemblées, suggérant l’implication potentielle des structures supramoléculaires de métabolites dans les pathologies des EIM. </w:t>
      </w:r>
    </w:p>
    <w:p w14:paraId="631ACF5B" w14:textId="77777777" w:rsidR="002D2C47" w:rsidRPr="006D38E3" w:rsidRDefault="002D2C47" w:rsidP="002D2C47">
      <w:pPr>
        <w:pStyle w:val="NormalWeb"/>
        <w:jc w:val="both"/>
        <w:rPr>
          <w:rFonts w:ascii="Arial" w:hAnsi="Arial" w:cs="Arial"/>
          <w:b/>
          <w:bCs/>
          <w:sz w:val="22"/>
          <w:szCs w:val="22"/>
          <w:u w:val="single"/>
        </w:rPr>
      </w:pPr>
      <w:r>
        <w:rPr>
          <w:rFonts w:ascii="Arial" w:hAnsi="Arial"/>
          <w:b/>
          <w:sz w:val="22"/>
          <w:u w:val="single"/>
        </w:rPr>
        <w:t>Rapport d’activité (janvier 2019-mars 2021)</w:t>
      </w:r>
    </w:p>
    <w:p w14:paraId="1691B4EC" w14:textId="77777777" w:rsidR="002D2C47" w:rsidRPr="006D38E3" w:rsidRDefault="002D2C47" w:rsidP="002D2C47">
      <w:pPr>
        <w:spacing w:before="100" w:beforeAutospacing="1" w:after="100" w:afterAutospacing="1"/>
        <w:jc w:val="both"/>
        <w:rPr>
          <w:rFonts w:ascii="Arial" w:eastAsia="Times New Roman" w:hAnsi="Arial" w:cs="Arial"/>
          <w:b/>
          <w:bCs/>
          <w:sz w:val="22"/>
          <w:szCs w:val="22"/>
        </w:rPr>
      </w:pPr>
      <w:r>
        <w:rPr>
          <w:rFonts w:ascii="Arial" w:hAnsi="Arial"/>
          <w:b/>
          <w:sz w:val="22"/>
        </w:rPr>
        <w:t xml:space="preserve">1. Extension de l’hypothèse amyloïde à des métabolites supplémentaires </w:t>
      </w:r>
    </w:p>
    <w:p w14:paraId="6ED6738F" w14:textId="77777777" w:rsidR="002D2C47" w:rsidRPr="006D38E3" w:rsidRDefault="002D2C47" w:rsidP="002D2C47">
      <w:pPr>
        <w:spacing w:before="100" w:beforeAutospacing="1" w:after="100" w:afterAutospacing="1"/>
        <w:jc w:val="both"/>
        <w:rPr>
          <w:rFonts w:ascii="Arial" w:eastAsia="Times New Roman" w:hAnsi="Arial" w:cs="Arial"/>
          <w:sz w:val="22"/>
          <w:szCs w:val="22"/>
        </w:rPr>
      </w:pPr>
      <w:r>
        <w:rPr>
          <w:rFonts w:ascii="Arial" w:hAnsi="Arial"/>
          <w:sz w:val="22"/>
        </w:rPr>
        <w:t xml:space="preserve">Notre objectif était d’étendre notre compréhension du processus d’autoassemblage et de la formation de structures pour plusieurs métabolites supplémentaires, dont l’accumulation a été observée dans des EIM. </w:t>
      </w:r>
    </w:p>
    <w:p w14:paraId="341C2D23" w14:textId="77777777" w:rsidR="002D2C47" w:rsidRPr="006D38E3" w:rsidRDefault="002D2C47" w:rsidP="002D2C47">
      <w:pPr>
        <w:spacing w:before="100" w:beforeAutospacing="1" w:after="100" w:afterAutospacing="1"/>
        <w:jc w:val="both"/>
        <w:rPr>
          <w:rFonts w:ascii="Arial" w:eastAsia="Times New Roman" w:hAnsi="Arial" w:cs="Arial"/>
          <w:sz w:val="22"/>
          <w:szCs w:val="22"/>
          <w:u w:val="single"/>
        </w:rPr>
      </w:pPr>
      <w:r>
        <w:rPr>
          <w:rFonts w:ascii="Arial" w:hAnsi="Arial"/>
          <w:sz w:val="22"/>
          <w:u w:val="single"/>
        </w:rPr>
        <w:t xml:space="preserve">1.1 Autoassemblage d’oxalate en nanofibrilles. </w:t>
      </w:r>
    </w:p>
    <w:p w14:paraId="37FC58AE" w14:textId="77777777" w:rsidR="002D2C47" w:rsidRPr="006D38E3" w:rsidRDefault="002D2C47" w:rsidP="002D2C47">
      <w:pPr>
        <w:spacing w:before="100" w:beforeAutospacing="1" w:after="100" w:afterAutospacing="1"/>
        <w:jc w:val="both"/>
        <w:rPr>
          <w:rFonts w:ascii="Arial" w:eastAsia="Times New Roman" w:hAnsi="Arial" w:cs="Arial"/>
          <w:sz w:val="22"/>
          <w:szCs w:val="22"/>
        </w:rPr>
      </w:pPr>
      <w:r>
        <w:rPr>
          <w:rFonts w:ascii="Arial" w:hAnsi="Arial"/>
          <w:sz w:val="22"/>
        </w:rPr>
        <w:t xml:space="preserve">L’oxalose est une IEM rare (1/120 000 en Europe) qui se produit lorsque les reins arrêtent d’éliminer l’oxalate de l’organisme par l’urine, et elle est associée à une hyperoxalurie de type I et de type II, une maladie génétique présente à la naissance. En raison d’un dysfonctionnement rénal, des cristaux d’oxalate s’accumulent dans le sang, les yeux, les os, les muscles, les vaisseaux sanguins, le cœur et d’autres organes du corps. Le traitement va de restrictions alimentaires dans les stades précoces, peu sévères, à la dialyse et la greffe de rein dans les états aigus. L’incohérence entre le manque de dépôt de cristaux et la fonction rétinienne détériorée chez les patients atteints d’hyperoxalurie de type I, nous a amenés à explorer la capacité de l’oxalate à s’autoassembler en d’autres structures supramoléculaires ordonnées. Nous avons observé que dans des conditions in vitro définies, l’oxalate pouvait former des nanofibrilles ordonnées, comme cela a été récemment montré pour d’autres métabolites. Nous avons caractérisé ces dépôts fibrillaires pour voir s’ils pouvaient présenter des conséquences biologiques pertinentes à la déficience visuelle observée chez les patients. Une solution sursaturée d’oxalate de calcium a été chauffée jusqu’à 90 °C pour en augmenter la solubilité et obtenir une solution monomérique homogène (Figure 1A). Une série </w:t>
      </w:r>
      <w:r>
        <w:rPr>
          <w:rFonts w:ascii="Arial" w:hAnsi="Arial"/>
          <w:sz w:val="22"/>
        </w:rPr>
        <w:lastRenderedPageBreak/>
        <w:t xml:space="preserve">différentielle d’étapes de centrifugation et de séparation de fractions a donné lieu à deux populations distinctes d’assemblages constituées majoritairement de fibrilles ou de cristaux (Figure 1B). Une analyse par spectroscopie de rayons X à dispersion d’énergie (EDS) a été réalisée pour examiner la présence de calcium dans les deux fractions. Étonnamment, alors que du calcium a clairement pu être identifié dans les cristaux, les fibrilles étaient dépourvues de calcium (Figure 1B). Ensuite, nous avons étudié la pertinence clinique et pathologique d’assemblages fibrillaires d’oxalate chez les patients atteints d’hyperoxalurie, en recherchant la présence d’anticorps systémiques pouvant spécifiquement reconnaître des fibrilles d’oxalate dans les échantillons de sérum, obtenus auprès de patients manifestant différents niveaux de sévérité de la maladie (Figure 1C-D). Les anticorps purifiés à partir du sérum ont été utilisés comme anticorps primaires dans un test de dot-blot utilisant des fibrilles d’oxalate assemblées in vitro comme antigènes. Les résultats ont démontré la détection des fibrilles d’oxalate préformées par les anticorps purifiés provenant de chacun des patients testés (Figure 1D). En revanche, les anticorps purifiés provenant de sujets sains, servant de témoins négatifs, n’ont montré aucune reconnaissance des fibrilles d’oxalate (Figure 1E). Afin de vérifier un niveau correct du titre d’anticorps dans les échantillons témoins, la détection de la toxine tétanique ubiquitaire a été démontrée (Figure 1E). </w:t>
      </w:r>
    </w:p>
    <w:p w14:paraId="66E2D131" w14:textId="77777777" w:rsidR="002D2C47" w:rsidRPr="006D38E3" w:rsidRDefault="002D2C47" w:rsidP="002D2C47">
      <w:pPr>
        <w:spacing w:before="100" w:beforeAutospacing="1" w:after="100" w:afterAutospacing="1"/>
        <w:jc w:val="both"/>
        <w:rPr>
          <w:rFonts w:ascii="Arial" w:eastAsia="Times New Roman" w:hAnsi="Arial" w:cs="Arial"/>
          <w:sz w:val="22"/>
          <w:szCs w:val="22"/>
        </w:rPr>
      </w:pPr>
      <w:r>
        <w:rPr>
          <w:rFonts w:ascii="Arial" w:hAnsi="Arial"/>
          <w:sz w:val="22"/>
        </w:rPr>
        <w:t>Pour conclure, notre étude permet pour la première fois la détection de l’autoassemblage de l’oxalate en nanofibrille par des anticorps purifiés, à partir du sérum de patients atteints d’hyperoxalurie de type 1.</w:t>
      </w:r>
    </w:p>
    <w:p w14:paraId="268037AB" w14:textId="77777777" w:rsidR="002D2C47" w:rsidRPr="006D38E3" w:rsidRDefault="002D2C47" w:rsidP="002D2C47">
      <w:pPr>
        <w:pStyle w:val="NormalWeb"/>
        <w:spacing w:before="0" w:beforeAutospacing="0" w:after="0" w:afterAutospacing="0"/>
        <w:jc w:val="both"/>
        <w:rPr>
          <w:rFonts w:ascii="Arial" w:hAnsi="Arial" w:cs="Arial"/>
          <w:i/>
          <w:iCs/>
          <w:sz w:val="22"/>
          <w:szCs w:val="22"/>
        </w:rPr>
      </w:pPr>
      <w:r>
        <w:rPr>
          <w:rFonts w:ascii="Arial" w:hAnsi="Arial"/>
          <w:i/>
          <w:sz w:val="22"/>
        </w:rPr>
        <w:t>Cette étude a récemment été publiée par notre groupe :</w:t>
      </w:r>
    </w:p>
    <w:p w14:paraId="1FE4600F" w14:textId="77777777" w:rsidR="002D2C47" w:rsidRPr="006D38E3" w:rsidRDefault="002D2C47" w:rsidP="002D2C47">
      <w:pPr>
        <w:pStyle w:val="NormalWeb"/>
        <w:spacing w:before="0" w:beforeAutospacing="0" w:after="0" w:afterAutospacing="0"/>
        <w:jc w:val="both"/>
        <w:rPr>
          <w:rFonts w:ascii="Arial" w:hAnsi="Arial" w:cs="Arial"/>
          <w:i/>
          <w:iCs/>
          <w:sz w:val="22"/>
          <w:szCs w:val="22"/>
        </w:rPr>
      </w:pPr>
      <w:r>
        <w:rPr>
          <w:rFonts w:ascii="Arial" w:hAnsi="Arial"/>
          <w:i/>
          <w:sz w:val="22"/>
        </w:rPr>
        <w:t>Zaguri, D., Shaham-Niv, S., Naaman, E., Mimouni, M., Magen, D., Pollack, S., Kreiser, T., Leibu, R., Rencus-Lazar, S., Adler-Abramovich, L., Perlman, I., Gazit, E. &amp; Zayit-Soudry, S. (2020). Induction of Retinopathy by Fibrillar Oxalate</w:t>
      </w:r>
      <w:r>
        <w:rPr>
          <w:sz w:val="22"/>
        </w:rPr>
        <w:t xml:space="preserve"> </w:t>
      </w:r>
      <w:r>
        <w:rPr>
          <w:rFonts w:ascii="Arial" w:hAnsi="Arial"/>
          <w:i/>
          <w:sz w:val="22"/>
        </w:rPr>
        <w:t>Assemblies. Commun. Chem. 3, 1-9.</w:t>
      </w:r>
    </w:p>
    <w:p w14:paraId="1745D720" w14:textId="77777777" w:rsidR="002D2C47" w:rsidRPr="006D38E3" w:rsidRDefault="002D2C47" w:rsidP="002D2C47">
      <w:pPr>
        <w:jc w:val="both"/>
        <w:rPr>
          <w:rFonts w:ascii="Arial" w:hAnsi="Arial" w:cs="Arial"/>
          <w:sz w:val="22"/>
          <w:szCs w:val="22"/>
        </w:rPr>
      </w:pPr>
    </w:p>
    <w:p w14:paraId="6D5A9886" w14:textId="77777777" w:rsidR="002D2C47" w:rsidRDefault="002D2C47" w:rsidP="002D2C47">
      <w:pPr>
        <w:jc w:val="both"/>
        <w:rPr>
          <w:rFonts w:ascii="Arial" w:hAnsi="Arial" w:cs="Arial"/>
        </w:rPr>
      </w:pPr>
      <w:r>
        <w:rPr>
          <w:rFonts w:ascii="Arial" w:hAnsi="Arial"/>
          <w:noProof/>
        </w:rPr>
        <w:drawing>
          <wp:inline distT="0" distB="0" distL="0" distR="0" wp14:anchorId="1A87680D" wp14:editId="57AF8C78">
            <wp:extent cx="4029075" cy="3020244"/>
            <wp:effectExtent l="0" t="0" r="0" b="254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51828" cy="3037300"/>
                    </a:xfrm>
                    <a:prstGeom prst="rect">
                      <a:avLst/>
                    </a:prstGeom>
                  </pic:spPr>
                </pic:pic>
              </a:graphicData>
            </a:graphic>
          </wp:inline>
        </w:drawing>
      </w:r>
    </w:p>
    <w:p w14:paraId="479A4BD5" w14:textId="77777777" w:rsidR="002D2C47" w:rsidRPr="006D38E3" w:rsidRDefault="002D2C47" w:rsidP="002D2C47">
      <w:pPr>
        <w:pStyle w:val="NormalWeb"/>
        <w:spacing w:before="0" w:beforeAutospacing="0" w:after="0" w:afterAutospacing="0"/>
        <w:jc w:val="both"/>
        <w:rPr>
          <w:rFonts w:ascii="Arial" w:hAnsi="Arial" w:cs="Arial"/>
        </w:rPr>
      </w:pPr>
      <w:r>
        <w:rPr>
          <w:rFonts w:ascii="Arial" w:hAnsi="Arial"/>
          <w:b/>
          <w:sz w:val="18"/>
        </w:rPr>
        <w:t>Figure 1</w:t>
      </w:r>
      <w:r>
        <w:rPr>
          <w:rFonts w:ascii="Arial" w:hAnsi="Arial"/>
          <w:b/>
        </w:rPr>
        <w:t xml:space="preserve">. </w:t>
      </w:r>
      <w:r>
        <w:rPr>
          <w:rFonts w:ascii="Arial" w:hAnsi="Arial"/>
          <w:b/>
          <w:sz w:val="18"/>
        </w:rPr>
        <w:t>Autoassemblage d’oxalate en nanofibrilles reconnues par des anticorps purifiés à partir du sérum de patients atteints d’hyperoxalurie de type 1.</w:t>
      </w:r>
      <w:r>
        <w:rPr>
          <w:rFonts w:ascii="Arial" w:hAnsi="Arial"/>
          <w:sz w:val="18"/>
        </w:rPr>
        <w:t xml:space="preserve"> (a) Formule chimique de l’oxalate, carbone en vert, oxygène en rouge (b) Une solution sursaturée d’oxalate de calcium dans du PBS a été chauffée jusqu’à 90 °C préalablement à une série différentielle d’étapes de centrifugation et de séparation de fractions. Cette procédure a donné lieu à deux populations distinctes d’assemblages (voir la section « Méthodes ») visualisées par microscopie électronique en transmission, incluant des fibrilles (en haut) et des cristaux (en bas) (barre d’échelle : 0,2 μm et 1 μm respectivement). À droite se trouve l’analyse EDS correspondante des fibrilles d’oxalate et des cristaux d’oxalate de calcium (les lignes grises indiquent la zone sélectionnée examinée). L’encadré rouge dans le spectre des cristaux d’oxalate de calcium marque le pic du calcium dans l’analyse. (c) Des anticorps ont été purifiés à partir de sérum de patients atteints d’hyperoxalurie et de sérum témoin sain. (d) Test de dot-blot utilisant des nanofibrilles </w:t>
      </w:r>
      <w:r>
        <w:rPr>
          <w:rFonts w:ascii="Arial" w:hAnsi="Arial"/>
          <w:sz w:val="18"/>
        </w:rPr>
        <w:lastRenderedPageBreak/>
        <w:t xml:space="preserve">d’oxalate préformées comme antigènes et des anticorps purifiés à partir du sérum de cinq patients comme anticorps primaires. (e) Gauche : test de dot-blot utilisant des nanofibrilles d’oxalate préformées comme antigènes et des anticorps purifiés à partir du sérum de cinq témoins sains comme anticorps primaires. Droite : un témoin positif pour la purification et le titre d’anticorps, démontrant la réponse des anticorps purifiés à partir du sérum témoin contre l’antigène tétanique ubiquitaire. </w:t>
      </w:r>
    </w:p>
    <w:p w14:paraId="055C0DAA" w14:textId="77777777" w:rsidR="002D2C47" w:rsidRDefault="002D2C47" w:rsidP="002D2C47">
      <w:pPr>
        <w:pStyle w:val="NormalWeb"/>
        <w:spacing w:before="0" w:beforeAutospacing="0" w:after="0" w:afterAutospacing="0"/>
        <w:jc w:val="both"/>
        <w:rPr>
          <w:rFonts w:ascii="Arial" w:hAnsi="Arial" w:cs="Arial"/>
          <w:sz w:val="22"/>
          <w:szCs w:val="22"/>
        </w:rPr>
      </w:pPr>
    </w:p>
    <w:p w14:paraId="3784D9B9" w14:textId="77777777" w:rsidR="002D2C47" w:rsidRPr="00B56607" w:rsidRDefault="002D2C47" w:rsidP="002D2C47">
      <w:pPr>
        <w:pStyle w:val="NormalWeb"/>
        <w:spacing w:before="0" w:beforeAutospacing="0" w:after="0" w:afterAutospacing="0"/>
        <w:jc w:val="both"/>
        <w:rPr>
          <w:rFonts w:ascii="Arial" w:hAnsi="Arial" w:cs="Arial"/>
          <w:sz w:val="22"/>
          <w:szCs w:val="22"/>
          <w:u w:val="single"/>
        </w:rPr>
      </w:pPr>
      <w:r>
        <w:rPr>
          <w:rFonts w:ascii="Arial" w:hAnsi="Arial"/>
          <w:sz w:val="22"/>
          <w:u w:val="single"/>
        </w:rPr>
        <w:t xml:space="preserve">1.2 Formation de structures par l’argininosuccinate et les acides aminés à chaîne ramifiée </w:t>
      </w:r>
    </w:p>
    <w:p w14:paraId="7EA15310" w14:textId="77777777" w:rsidR="002D2C47" w:rsidRDefault="002D2C47" w:rsidP="002D2C47">
      <w:pPr>
        <w:pStyle w:val="NormalWeb"/>
        <w:spacing w:before="0" w:beforeAutospacing="0" w:after="0" w:afterAutospacing="0"/>
        <w:jc w:val="both"/>
        <w:rPr>
          <w:rFonts w:ascii="Arial" w:hAnsi="Arial" w:cs="Arial"/>
          <w:sz w:val="22"/>
          <w:szCs w:val="22"/>
        </w:rPr>
      </w:pPr>
    </w:p>
    <w:p w14:paraId="0DFC8A3F" w14:textId="77777777" w:rsidR="002D2C47" w:rsidRDefault="002D2C47" w:rsidP="002D2C47">
      <w:pPr>
        <w:pStyle w:val="NormalWeb"/>
        <w:spacing w:before="0" w:beforeAutospacing="0" w:after="0" w:afterAutospacing="0"/>
        <w:jc w:val="both"/>
        <w:rPr>
          <w:rFonts w:ascii="Arial" w:hAnsi="Arial" w:cs="Arial"/>
          <w:sz w:val="22"/>
          <w:szCs w:val="22"/>
        </w:rPr>
      </w:pPr>
      <w:r>
        <w:rPr>
          <w:rFonts w:ascii="Arial" w:hAnsi="Arial"/>
          <w:sz w:val="22"/>
        </w:rPr>
        <w:t>Dans cette étude, nous cherchons à étendre la compréhension du processus d’autoassemblage et de la formation de structures des acides aminés à chaîne ramifiée, dont l’accumulation a été observée dans la maladie des urines à odeur de sirop d’érable (leucinose), et de l’arginosuccinate dont l’accumulation a été observée dans le déficit en argininosuccinate lyase (ASL), ainsi qu’à caractériser leurs propriétés chimiques, biophysiques et biologiques. Le désordre métabolique leucinose est caractérisé par la perturbation de l’activité normale du complexe de déshydrogénase des α-cétoacides à chaîne ramifiée. Les patients atteints de leucinose souffrent d’un retard neurologique et de développement, d’encéphalopathie, de troubles alimentaires et d’une odeur de sirop d’érable de l’urine, et ils courent donc un risque perpétuel de développer des dommages neurologiques graves et irréversibles. Le déficit en ASL, causé par une mutation ou un défaut de l’enzyme argininosuccinate lyase, est spécifiquement associé à des taux plus élevés de déficits neurocognitifs, de maladie hépatique, de trichorrhexie noueuse (cheveux rêches et cassants), de diminution de la clairance de la créatinine, de diarrhée chronique et d’hypertension systémique.</w:t>
      </w:r>
    </w:p>
    <w:p w14:paraId="2C504910" w14:textId="77777777" w:rsidR="002D2C47" w:rsidRDefault="002D2C47" w:rsidP="002D2C47">
      <w:pPr>
        <w:pStyle w:val="NormalWeb"/>
        <w:spacing w:before="0" w:beforeAutospacing="0" w:after="0" w:afterAutospacing="0"/>
        <w:jc w:val="both"/>
        <w:rPr>
          <w:rFonts w:ascii="Arial" w:hAnsi="Arial" w:cs="Arial"/>
          <w:sz w:val="22"/>
          <w:szCs w:val="22"/>
        </w:rPr>
      </w:pPr>
      <w:r>
        <w:rPr>
          <w:rFonts w:ascii="Arial" w:hAnsi="Arial"/>
          <w:sz w:val="22"/>
        </w:rPr>
        <w:t>D’abord, nous avons déterminé les conditions dans lesquelles la leucine, l’isoleucine, la valine et l’argininosuccinate (ASA) peuvent s’autoassembler et former des nanofibrilles ordonnées, nous avons constaté que lorsque nous dissolvons les métabolites dans du PBS à une température élevée de 90 °C, puis les laissons refroidir graduellement, nous pouvons observer l’autoassemblage des métabolites et la formation de structures. Par microscopie électronique à transmission (MET), nous avons observé des assemblages de fibrilles ordonnées et allongées, qui ressemblent à des structures amyloïdes (Figure 2). Pour un examen plus approfondi des propriétés amyloïdogènes des assemblages de métabolites, nous avons utilisé le colorant thioflavine-T (ThT) spécifique des amyloïdes et examiné la variation de la fluorescence de la ThT lors de la liaison aux structures de métabolites.</w:t>
      </w:r>
      <w:r>
        <w:t xml:space="preserve"> </w:t>
      </w:r>
      <w:r>
        <w:rPr>
          <w:rFonts w:ascii="Arial" w:hAnsi="Arial"/>
          <w:sz w:val="22"/>
        </w:rPr>
        <w:t>Les fibrilles de métabolites présentaient des courbes de fluorescence dépendantes du temps caractéristiques en corrélation à celles d’assemblages amyloïdes (données non présentées).</w:t>
      </w:r>
    </w:p>
    <w:p w14:paraId="1F0FAACE" w14:textId="77777777" w:rsidR="002D2C47" w:rsidRPr="006D38E3" w:rsidRDefault="002D2C47" w:rsidP="002D2C47">
      <w:pPr>
        <w:pStyle w:val="NormalWeb"/>
        <w:jc w:val="both"/>
        <w:rPr>
          <w:rFonts w:ascii="Arial" w:hAnsi="Arial" w:cs="Arial"/>
          <w:sz w:val="22"/>
          <w:szCs w:val="22"/>
        </w:rPr>
      </w:pPr>
      <w:r>
        <w:rPr>
          <w:rFonts w:ascii="Arial" w:hAnsi="Arial"/>
          <w:noProof/>
          <w:sz w:val="22"/>
        </w:rPr>
        <w:drawing>
          <wp:inline distT="0" distB="0" distL="0" distR="0" wp14:anchorId="04ACB7F5" wp14:editId="7119D5BE">
            <wp:extent cx="5731510" cy="1041400"/>
            <wp:effectExtent l="0" t="0" r="0"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1041400"/>
                    </a:xfrm>
                    <a:prstGeom prst="rect">
                      <a:avLst/>
                    </a:prstGeom>
                  </pic:spPr>
                </pic:pic>
              </a:graphicData>
            </a:graphic>
          </wp:inline>
        </w:drawing>
      </w:r>
    </w:p>
    <w:p w14:paraId="371858F5" w14:textId="77777777" w:rsidR="002D2C47" w:rsidRPr="006D38E3" w:rsidRDefault="002D2C47" w:rsidP="002D2C47">
      <w:pPr>
        <w:pStyle w:val="NormalWeb"/>
        <w:rPr>
          <w:rFonts w:ascii="Arial" w:hAnsi="Arial" w:cs="Arial"/>
          <w:sz w:val="18"/>
          <w:szCs w:val="18"/>
        </w:rPr>
      </w:pPr>
      <w:r>
        <w:rPr>
          <w:rFonts w:ascii="Arial" w:hAnsi="Arial"/>
          <w:b/>
          <w:sz w:val="18"/>
        </w:rPr>
        <w:t>Figure 2.</w:t>
      </w:r>
      <w:r>
        <w:rPr>
          <w:rFonts w:ascii="Arial" w:hAnsi="Arial"/>
          <w:sz w:val="18"/>
        </w:rPr>
        <w:t xml:space="preserve"> Micrographies de MET montrant les fibrilles de métabolites allongées. Tous les métabolites ont été dissous à 90 °C dans du tampon PBS pour établir l’état monomérique, puis refroidis graduellement. </w:t>
      </w:r>
      <w:r>
        <w:rPr>
          <w:rFonts w:ascii="Arial" w:hAnsi="Arial"/>
          <w:b/>
          <w:sz w:val="18"/>
        </w:rPr>
        <w:t>(A)</w:t>
      </w:r>
      <w:r>
        <w:rPr>
          <w:rFonts w:ascii="Arial" w:hAnsi="Arial"/>
          <w:sz w:val="18"/>
        </w:rPr>
        <w:t xml:space="preserve"> Leucine (4 mg/mL), barre d’échelle : 2 μm ; </w:t>
      </w:r>
      <w:r>
        <w:rPr>
          <w:rFonts w:ascii="Arial" w:hAnsi="Arial"/>
          <w:b/>
          <w:sz w:val="18"/>
        </w:rPr>
        <w:t>(B)</w:t>
      </w:r>
      <w:r>
        <w:rPr>
          <w:rFonts w:ascii="Arial" w:hAnsi="Arial"/>
          <w:sz w:val="18"/>
        </w:rPr>
        <w:t xml:space="preserve"> Isoleucine (4 mg/mL), barre d’échelle : 2 μm ; </w:t>
      </w:r>
      <w:r>
        <w:rPr>
          <w:rFonts w:ascii="Arial" w:hAnsi="Arial"/>
          <w:b/>
          <w:sz w:val="18"/>
        </w:rPr>
        <w:t>(C)</w:t>
      </w:r>
      <w:r>
        <w:rPr>
          <w:rFonts w:ascii="Arial" w:hAnsi="Arial"/>
          <w:sz w:val="18"/>
        </w:rPr>
        <w:t xml:space="preserve"> Valine (4 mg/mL), barre d’échelle : 2 μm ; </w:t>
      </w:r>
      <w:r>
        <w:rPr>
          <w:rFonts w:ascii="Arial" w:hAnsi="Arial"/>
          <w:b/>
          <w:sz w:val="18"/>
        </w:rPr>
        <w:t>(D)</w:t>
      </w:r>
      <w:r>
        <w:rPr>
          <w:rFonts w:ascii="Arial" w:hAnsi="Arial"/>
          <w:sz w:val="18"/>
        </w:rPr>
        <w:t xml:space="preserve"> Argininosuccinate (4 mg/mL), barre d’échelle : 5 μm. </w:t>
      </w:r>
    </w:p>
    <w:p w14:paraId="3C198AB7" w14:textId="77777777" w:rsidR="002D2C47" w:rsidRDefault="002D2C47" w:rsidP="002D2C47">
      <w:pPr>
        <w:jc w:val="both"/>
        <w:rPr>
          <w:rFonts w:ascii="Arial" w:hAnsi="Arial" w:cs="Arial"/>
          <w:sz w:val="22"/>
          <w:szCs w:val="22"/>
        </w:rPr>
      </w:pPr>
      <w:r>
        <w:rPr>
          <w:rFonts w:ascii="Arial" w:hAnsi="Arial"/>
          <w:sz w:val="22"/>
        </w:rPr>
        <w:t xml:space="preserve">Par la suite, nous avons examiné la cytotoxicité éventuelle des assemblages de métabolites. À cet effet, nous avons utilisé un test de prolifération cellulaire au MTT. Nous avons choisi d’utiliser la lignée cellulaire en culture SH-SY5Y de neuroblastome humain, qui est souvent utilisée comme modèle </w:t>
      </w:r>
      <w:r w:rsidRPr="007D602C">
        <w:rPr>
          <w:rFonts w:ascii="Arial" w:hAnsi="Arial"/>
          <w:i/>
          <w:iCs/>
          <w:sz w:val="22"/>
        </w:rPr>
        <w:t>in vitro</w:t>
      </w:r>
      <w:r>
        <w:rPr>
          <w:rFonts w:ascii="Arial" w:hAnsi="Arial"/>
          <w:sz w:val="22"/>
        </w:rPr>
        <w:t xml:space="preserve"> de la fonction neuronale. Comme le montre la Figure 3, lors du test de viabilité cellulaire au MTT, la viabilité des cellules incubées avec un milieu contenant les assemblages de métabolites diminuait graduellement en corrélation avec l’augmentation des concentrations des structures de métabolites, ce qui suggère une réponse dépendante de la dose.</w:t>
      </w:r>
    </w:p>
    <w:p w14:paraId="3AEB74E8" w14:textId="77777777" w:rsidR="002D2C47" w:rsidRDefault="002D2C47" w:rsidP="002D2C47">
      <w:pPr>
        <w:jc w:val="both"/>
        <w:rPr>
          <w:rFonts w:ascii="Arial" w:hAnsi="Arial" w:cs="Arial"/>
          <w:sz w:val="22"/>
          <w:szCs w:val="22"/>
        </w:rPr>
      </w:pPr>
    </w:p>
    <w:p w14:paraId="75F0CDBB" w14:textId="77777777" w:rsidR="002D2C47" w:rsidRDefault="002D2C47" w:rsidP="002D2C47">
      <w:pPr>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3890"/>
      </w:tblGrid>
      <w:tr w:rsidR="002D2C47" w14:paraId="75061317" w14:textId="77777777" w:rsidTr="004C0772">
        <w:tc>
          <w:tcPr>
            <w:tcW w:w="4508" w:type="dxa"/>
          </w:tcPr>
          <w:p w14:paraId="32117CE4" w14:textId="77777777" w:rsidR="002D2C47" w:rsidRDefault="002D2C47" w:rsidP="004C0772">
            <w:pPr>
              <w:jc w:val="both"/>
              <w:rPr>
                <w:rFonts w:ascii="Arial" w:hAnsi="Arial" w:cs="Arial"/>
                <w:sz w:val="22"/>
                <w:szCs w:val="22"/>
              </w:rPr>
            </w:pPr>
            <w:r>
              <w:rPr>
                <w:rFonts w:ascii="Arial" w:hAnsi="Arial"/>
                <w:noProof/>
                <w:sz w:val="22"/>
              </w:rPr>
              <w:drawing>
                <wp:inline distT="0" distB="0" distL="0" distR="0" wp14:anchorId="0729CC85" wp14:editId="6997AC68">
                  <wp:extent cx="3121424" cy="2276475"/>
                  <wp:effectExtent l="0" t="0" r="3175" b="0"/>
                  <wp:docPr id="15" name="Picture 1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57229" cy="2302588"/>
                          </a:xfrm>
                          <a:prstGeom prst="rect">
                            <a:avLst/>
                          </a:prstGeom>
                        </pic:spPr>
                      </pic:pic>
                    </a:graphicData>
                  </a:graphic>
                </wp:inline>
              </w:drawing>
            </w:r>
          </w:p>
        </w:tc>
        <w:tc>
          <w:tcPr>
            <w:tcW w:w="4508" w:type="dxa"/>
          </w:tcPr>
          <w:p w14:paraId="63F0F757" w14:textId="77777777" w:rsidR="002D2C47" w:rsidRPr="00F226C2" w:rsidRDefault="002D2C47" w:rsidP="004C0772">
            <w:pPr>
              <w:pStyle w:val="NormalWeb"/>
              <w:jc w:val="both"/>
              <w:rPr>
                <w:rFonts w:ascii="Arial" w:hAnsi="Arial" w:cs="Arial"/>
              </w:rPr>
            </w:pPr>
            <w:r>
              <w:rPr>
                <w:rFonts w:ascii="Arial" w:hAnsi="Arial"/>
                <w:b/>
                <w:sz w:val="18"/>
              </w:rPr>
              <w:t>Figure 3. Cytotoxicité des assemblages de métabolites déterminée par un test de viabilité cellulaire au MTT.</w:t>
            </w:r>
            <w:r>
              <w:rPr>
                <w:rFonts w:ascii="Arial" w:hAnsi="Arial"/>
                <w:sz w:val="18"/>
              </w:rPr>
              <w:t xml:space="preserve"> Les métabolites ont été dissous à 90 °C dans du milieu de culture de cellules, puis la solution a été refroidie graduellement. Les cellules SH-SY5Y ont été incubées avec le milieu contenant les métabolites aux concentrations indiquées. Le témoin représente des cellules incubées avec un milieu de culture qui a été traité de la même façon, mais sans ajout de métabolites. Les résultats représentent trois répétitions biologiques, les valeurs sont des moyennes ± écart-type, test-t de Student, * p &lt; 0,05, ** p &lt; 0,01, *** p &lt; 0,001 (toutes les statistiques sont établies par rapport au témoin). </w:t>
            </w:r>
            <w:r>
              <w:rPr>
                <w:rFonts w:ascii="Arial" w:hAnsi="Arial"/>
                <w:b/>
                <w:sz w:val="18"/>
              </w:rPr>
              <w:t>(A)</w:t>
            </w:r>
            <w:r>
              <w:rPr>
                <w:rFonts w:ascii="Arial" w:hAnsi="Arial"/>
                <w:sz w:val="18"/>
              </w:rPr>
              <w:t xml:space="preserve"> Leucine, </w:t>
            </w:r>
            <w:r>
              <w:rPr>
                <w:rFonts w:ascii="Arial" w:hAnsi="Arial"/>
                <w:b/>
                <w:sz w:val="18"/>
              </w:rPr>
              <w:t>(B)</w:t>
            </w:r>
            <w:r>
              <w:rPr>
                <w:rFonts w:ascii="Arial" w:hAnsi="Arial"/>
                <w:sz w:val="18"/>
              </w:rPr>
              <w:t xml:space="preserve"> Isoleucine, </w:t>
            </w:r>
            <w:r>
              <w:rPr>
                <w:rFonts w:ascii="Arial" w:hAnsi="Arial"/>
                <w:b/>
                <w:sz w:val="18"/>
              </w:rPr>
              <w:t>(C)</w:t>
            </w:r>
            <w:r>
              <w:rPr>
                <w:rFonts w:ascii="Arial" w:hAnsi="Arial"/>
                <w:sz w:val="18"/>
              </w:rPr>
              <w:t xml:space="preserve"> Valine, </w:t>
            </w:r>
            <w:r>
              <w:rPr>
                <w:rFonts w:ascii="Arial" w:hAnsi="Arial"/>
                <w:b/>
                <w:sz w:val="18"/>
              </w:rPr>
              <w:t>(D)</w:t>
            </w:r>
            <w:r>
              <w:rPr>
                <w:rFonts w:ascii="Arial" w:hAnsi="Arial"/>
                <w:sz w:val="18"/>
              </w:rPr>
              <w:t xml:space="preserve"> ASA. </w:t>
            </w:r>
          </w:p>
          <w:p w14:paraId="2E4DAD82" w14:textId="77777777" w:rsidR="002D2C47" w:rsidRDefault="002D2C47" w:rsidP="004C0772">
            <w:pPr>
              <w:jc w:val="both"/>
              <w:rPr>
                <w:rFonts w:ascii="Arial" w:hAnsi="Arial" w:cs="Arial"/>
                <w:sz w:val="22"/>
                <w:szCs w:val="22"/>
              </w:rPr>
            </w:pPr>
          </w:p>
        </w:tc>
      </w:tr>
    </w:tbl>
    <w:p w14:paraId="05174269" w14:textId="77777777" w:rsidR="002D2C47" w:rsidRDefault="002D2C47" w:rsidP="002D2C47">
      <w:pPr>
        <w:jc w:val="both"/>
        <w:rPr>
          <w:rFonts w:ascii="Arial" w:hAnsi="Arial" w:cs="Arial"/>
          <w:sz w:val="22"/>
          <w:szCs w:val="22"/>
        </w:rPr>
      </w:pPr>
    </w:p>
    <w:p w14:paraId="685B5CBB" w14:textId="77777777" w:rsidR="002D2C47" w:rsidRDefault="002D2C47" w:rsidP="002D2C47">
      <w:pPr>
        <w:jc w:val="both"/>
        <w:rPr>
          <w:rFonts w:ascii="Arial" w:hAnsi="Arial" w:cs="Arial"/>
          <w:sz w:val="22"/>
          <w:szCs w:val="22"/>
        </w:rPr>
      </w:pPr>
      <w:r>
        <w:rPr>
          <w:rFonts w:ascii="Arial" w:hAnsi="Arial"/>
          <w:sz w:val="22"/>
        </w:rPr>
        <w:t>Dans cette étude, nous avons démontré pour la première fois la formation de structures toxiques par l’argininosuccinate et les acides aminés à chaîne ramifiée. Par la suite, nous souhaitons identifier si les assemblages ordonnés agissent comme des entités immunologiques, entraînant la création d’anticorps. Cette étude peut mener au développement de petits inhibiteurs moléculaires spécifiques et faciliter un traitement ciblé spécifiquement de ces désordres.</w:t>
      </w:r>
    </w:p>
    <w:p w14:paraId="140160AE" w14:textId="77777777" w:rsidR="002D2C47" w:rsidRDefault="002D2C47" w:rsidP="002D2C47">
      <w:pPr>
        <w:jc w:val="both"/>
        <w:rPr>
          <w:rFonts w:ascii="Arial" w:hAnsi="Arial" w:cs="Arial"/>
          <w:sz w:val="22"/>
          <w:szCs w:val="22"/>
        </w:rPr>
      </w:pPr>
    </w:p>
    <w:p w14:paraId="13E6B886" w14:textId="77777777" w:rsidR="002D2C47" w:rsidRPr="00B56607" w:rsidRDefault="002D2C47" w:rsidP="002D2C47">
      <w:pPr>
        <w:jc w:val="both"/>
        <w:rPr>
          <w:rFonts w:ascii="Arial" w:hAnsi="Arial" w:cs="Arial"/>
          <w:sz w:val="22"/>
          <w:szCs w:val="22"/>
          <w:u w:val="single"/>
        </w:rPr>
      </w:pPr>
      <w:r>
        <w:rPr>
          <w:rFonts w:ascii="Arial" w:hAnsi="Arial"/>
          <w:sz w:val="22"/>
          <w:u w:val="single"/>
        </w:rPr>
        <w:t>1.3 Autoassemblage des neurométabolites et ensemencement croisé de protéines amyloïdes</w:t>
      </w:r>
    </w:p>
    <w:p w14:paraId="1541A0D5" w14:textId="77777777" w:rsidR="002D2C47" w:rsidRDefault="002D2C47" w:rsidP="002D2C47">
      <w:pPr>
        <w:jc w:val="both"/>
        <w:rPr>
          <w:rFonts w:ascii="Arial" w:hAnsi="Arial" w:cs="Arial"/>
          <w:sz w:val="22"/>
          <w:szCs w:val="22"/>
        </w:rPr>
      </w:pPr>
    </w:p>
    <w:p w14:paraId="11C3CF0B" w14:textId="77777777" w:rsidR="002D2C47" w:rsidRDefault="002D2C47" w:rsidP="002D2C47">
      <w:pPr>
        <w:jc w:val="both"/>
        <w:rPr>
          <w:rFonts w:ascii="Arial" w:hAnsi="Arial"/>
          <w:sz w:val="22"/>
        </w:rPr>
      </w:pPr>
      <w:r>
        <w:rPr>
          <w:rFonts w:ascii="Arial" w:hAnsi="Arial"/>
          <w:sz w:val="22"/>
        </w:rPr>
        <w:t>Notre objectif était d’explorer un nouveau concept proposant que l’ensemencement croisé protéique est un mécanisme sous-jacent au rôle de l’accumulation de métabolites dans les stades précoces des maladies neurodégénératives. Nous postulons que des niveaux élevés de neuro-métabolites provoquent leur autoassemblage en petites « graines » de métabolites, qui à leur tour servent de patron pour l’assemblage de protéines amyloïdes. Ainsi, l’ensemencement croisé de protéines amyloïdes par des neuro-métabolites pourrait accélérer, et peut-être initier, le processus amyloïdogénique.</w:t>
      </w:r>
    </w:p>
    <w:p w14:paraId="1FEA8D4C" w14:textId="77777777" w:rsidR="002D2C47" w:rsidRPr="00F226C2" w:rsidRDefault="002D2C47" w:rsidP="002D2C47">
      <w:pPr>
        <w:jc w:val="both"/>
        <w:rPr>
          <w:rFonts w:ascii="Arial" w:hAnsi="Arial" w:cs="Arial"/>
          <w:sz w:val="22"/>
          <w:szCs w:val="22"/>
        </w:rPr>
      </w:pPr>
    </w:p>
    <w:p w14:paraId="043B6E36" w14:textId="77777777" w:rsidR="002D2C47" w:rsidRDefault="002D2C47" w:rsidP="002D2C47">
      <w:pPr>
        <w:jc w:val="both"/>
        <w:rPr>
          <w:rFonts w:ascii="Arial" w:hAnsi="Arial"/>
          <w:sz w:val="22"/>
        </w:rPr>
      </w:pPr>
      <w:r>
        <w:rPr>
          <w:rFonts w:ascii="Arial" w:hAnsi="Arial"/>
          <w:sz w:val="22"/>
        </w:rPr>
        <w:t>L’accumulation de plusieurs métabolites s’est avérée être associée à des pathologies neurodégénératives. Toutefois, aucun mécanisme commun sous-jacent au rôle de ces métabolites liés à des maladies n’a encore été décrit. Dans cette étude, nous nous sommes concentrés sur le métabolite homocystéine (Hcy), un acide aminé non codé. Il a été indiqué que l’Hcy serait impliquée dans la pathologie des maladies neurodégénératives et a été identifiée comme un facteur de risque dans la maladie d’Alzheimer (MA) et la maladie de Parkinson (MP), causant une toxicité et des plaques amyloïdogéniques localisées.</w:t>
      </w:r>
    </w:p>
    <w:p w14:paraId="76FFB9AC" w14:textId="77777777" w:rsidR="002D2C47" w:rsidRPr="00F226C2" w:rsidRDefault="002D2C47" w:rsidP="002D2C47">
      <w:pPr>
        <w:jc w:val="both"/>
        <w:rPr>
          <w:rFonts w:ascii="Arial" w:hAnsi="Arial" w:cs="Arial"/>
          <w:sz w:val="22"/>
          <w:szCs w:val="22"/>
        </w:rPr>
      </w:pPr>
    </w:p>
    <w:p w14:paraId="4B82F432" w14:textId="77777777" w:rsidR="002D2C47" w:rsidRDefault="002D2C47" w:rsidP="002D2C47">
      <w:pPr>
        <w:jc w:val="both"/>
        <w:rPr>
          <w:rFonts w:ascii="Arial" w:hAnsi="Arial" w:cs="Arial"/>
          <w:sz w:val="22"/>
          <w:szCs w:val="22"/>
        </w:rPr>
      </w:pPr>
      <w:r>
        <w:rPr>
          <w:rFonts w:ascii="Arial" w:hAnsi="Arial"/>
          <w:sz w:val="22"/>
        </w:rPr>
        <w:t xml:space="preserve">Nous avons étudié si l’Hcy, un acide aminé non codé contenant du soufre (Figure 4a), peut s’autoassembler en structures supramoléculaires ordonnées. Afin d’examiner l’éventuelle autoassociation in vitro de l’Hcy et de mieux caractériser les assemblages, nous avons dissous de l’Hcy afin d’obtenir une solution homogène, qui a abouti à l’autoassemblage en structures fibrillaires ordonnées. D’après l’évaluation par microscopie électronique à transmission (MET), l’Hcy a formé des fibrilles de type amyloïde qui pouvaient être détectées par adsorption de structures sur une grille en cuivre (Figure 4b), ainsi qu’en solution, comme démontré par cryo-MET (Figure 4c). Malgré sa grande importance biologique, la structure cristalline de l’Hcy n’a pas été publiée dans la littérature. Afin de déterminer l’agencement moléculaire de l’Hcy au niveau atomique et l’empaquetage global, nous avons entrepris de </w:t>
      </w:r>
      <w:r>
        <w:rPr>
          <w:rFonts w:ascii="Arial" w:hAnsi="Arial"/>
          <w:sz w:val="22"/>
        </w:rPr>
        <w:lastRenderedPageBreak/>
        <w:t xml:space="preserve">résoudre la structure monocristalline de l’Hcy. En raison du défi que constitue la formation de monocristaux de taille et de qualité suffisantes pour la diffraction de monocristaux, des méthodes de diffraction de poudre aux rayons X (PXRD) ont été utilisées pour déterminer la structure cristalline de l’Hcy, comme cela avait précédemment été fait pour la détermination de la structure cristalline de la L-lysine. Les échantillons lyophilisés d’Hcy autoassemblée donnent généralement lieu à une poudre microcristalline de phase anhydre, nécessitant donc une PXRD pour la détermination de la structure. La structure résolue à partir du motif de PXRD contenait trois molécules d’Hcy dans la maille avec un groupe spatial P-1 triclinique comprenant a = 10,27 Å, b = 7,01 Å, c = 14,15 Å, α = 99,08°, β = 75,75°, γ = 68,31° (Figure 4d). La structure cristalline de l’Hcy peut être décrite comme un agencement en couches (un feuillet-β supramoléculaire), fréquent avec les structures cristallines de divers acides aminés uniques. Dans la direction cristallographique b, les molécules d’Hcy étaient connectées par des liaisons hydrogène entre les groupes de tête NH3+ et COO-, ainsi que par le groupe -SH de la chaîne latérale, formant de ce fait un feuillet unique (Figure 4e-i). La Figure 4f présente la vue de dessus du feuillet à liaisons hydrogène. Deux feuillets voisins étaient connectés l’un à l’autre par d’autres liaisons hydrogène et formaient ainsi une seule couche qui peut correspondre à un brin β (Figure 4e-ii). Les monocouches s’empaquetaient pour former un assemblage à double couche, dans lequel les forces de Van der Waals d’une chaîne latérale à une autre </w:t>
      </w:r>
      <w:proofErr w:type="gramStart"/>
      <w:r>
        <w:rPr>
          <w:rFonts w:ascii="Arial" w:hAnsi="Arial"/>
          <w:sz w:val="22"/>
        </w:rPr>
        <w:t>connectent</w:t>
      </w:r>
      <w:proofErr w:type="gramEnd"/>
      <w:r>
        <w:rPr>
          <w:rFonts w:ascii="Arial" w:hAnsi="Arial"/>
          <w:sz w:val="22"/>
        </w:rPr>
        <w:t xml:space="preserve"> les bords hydrophobes des plans (Figure 4e-iii). Une région hydrophobe était en fait constituée d’une bicouche, alors qu’une région hydrophile ou une couche unique était constituée de deux feuillets hydrophiles. L’empilement hydrophobe continu de couches uniques ou de brins β supramoléculaires formait l’empaquetage global de l’Hcy, qui ressemblait à un agencement en feuillet-β supramoléculaire. Les directions des liaisons </w:t>
      </w:r>
      <w:proofErr w:type="gramStart"/>
      <w:r>
        <w:rPr>
          <w:rFonts w:ascii="Arial" w:hAnsi="Arial"/>
          <w:sz w:val="22"/>
        </w:rPr>
        <w:t>hydrogène</w:t>
      </w:r>
      <w:proofErr w:type="gramEnd"/>
      <w:r>
        <w:rPr>
          <w:rFonts w:ascii="Arial" w:hAnsi="Arial"/>
          <w:sz w:val="22"/>
        </w:rPr>
        <w:t xml:space="preserve"> à l’intérieur de deux feuillets formant une couche étaient les mêmes que celles de la couche suivante. D’après la direction des liaisons hydrogène, l’empaquetage d’ordre supérieur de l’Hcy peut être classifié comme une structure à feuillets-β parallèles. L’organisation en structure à feuillets-β supramoléculaires au niveau atomique vient renforcer les caractéristiques amyloïdes de l’Hcy.</w:t>
      </w:r>
    </w:p>
    <w:p w14:paraId="79DEED9D" w14:textId="77777777" w:rsidR="002D2C47" w:rsidRDefault="002D2C47" w:rsidP="002D2C47">
      <w:pPr>
        <w:jc w:val="both"/>
        <w:rPr>
          <w:rFonts w:ascii="Arial" w:hAnsi="Arial" w:cs="Arial"/>
          <w:sz w:val="22"/>
          <w:szCs w:val="22"/>
        </w:rPr>
      </w:pPr>
    </w:p>
    <w:p w14:paraId="784E9CDD" w14:textId="77777777" w:rsidR="002D2C47" w:rsidRDefault="002D2C47" w:rsidP="002D2C47">
      <w:pPr>
        <w:jc w:val="both"/>
        <w:rPr>
          <w:rFonts w:ascii="Arial" w:hAnsi="Arial" w:cs="Arial"/>
          <w:sz w:val="22"/>
          <w:szCs w:val="22"/>
        </w:rPr>
      </w:pPr>
      <w:r>
        <w:rPr>
          <w:rFonts w:ascii="Arial" w:hAnsi="Arial"/>
          <w:noProof/>
          <w:sz w:val="22"/>
        </w:rPr>
        <w:drawing>
          <wp:inline distT="0" distB="0" distL="0" distR="0" wp14:anchorId="7ABE046B" wp14:editId="66BC79A0">
            <wp:extent cx="3838575" cy="3030969"/>
            <wp:effectExtent l="0" t="0" r="0" b="4445"/>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75711" cy="3060292"/>
                    </a:xfrm>
                    <a:prstGeom prst="rect">
                      <a:avLst/>
                    </a:prstGeom>
                  </pic:spPr>
                </pic:pic>
              </a:graphicData>
            </a:graphic>
          </wp:inline>
        </w:drawing>
      </w:r>
    </w:p>
    <w:p w14:paraId="7AE4BBCC" w14:textId="77777777" w:rsidR="002D2C47" w:rsidRDefault="002D2C47" w:rsidP="002D2C47">
      <w:pPr>
        <w:pStyle w:val="NormalWeb"/>
        <w:spacing w:before="0" w:beforeAutospacing="0" w:after="0" w:afterAutospacing="0"/>
        <w:rPr>
          <w:rFonts w:ascii="Arial" w:hAnsi="Arial"/>
          <w:sz w:val="18"/>
        </w:rPr>
      </w:pPr>
      <w:r>
        <w:rPr>
          <w:rFonts w:ascii="Arial" w:hAnsi="Arial"/>
          <w:b/>
          <w:sz w:val="18"/>
        </w:rPr>
        <w:t>Figure 4. Caractérisation d’assemblages d’Hcy. (a)</w:t>
      </w:r>
      <w:r>
        <w:rPr>
          <w:rFonts w:ascii="Arial" w:hAnsi="Arial"/>
          <w:sz w:val="18"/>
        </w:rPr>
        <w:t xml:space="preserve"> Formule squelettique de l’Hcy en modèle boules-bâtonnets. Les atomes de carbone sont représentés en gris et les hétéroatomes d’azote, d’oxygène et de soufre sont respectivement présentés en bleu, rouge et jaune. Les atomes d’hydrogène sont omis pour plus de clarté. </w:t>
      </w:r>
      <w:r>
        <w:rPr>
          <w:rFonts w:ascii="Arial" w:hAnsi="Arial"/>
          <w:b/>
          <w:sz w:val="18"/>
        </w:rPr>
        <w:t>(b)</w:t>
      </w:r>
      <w:r>
        <w:rPr>
          <w:rFonts w:ascii="Arial" w:hAnsi="Arial"/>
          <w:sz w:val="18"/>
        </w:rPr>
        <w:t xml:space="preserve"> Micrographies de MET et </w:t>
      </w:r>
      <w:r>
        <w:rPr>
          <w:rFonts w:ascii="Arial" w:hAnsi="Arial"/>
          <w:b/>
          <w:sz w:val="18"/>
        </w:rPr>
        <w:t xml:space="preserve">(c) </w:t>
      </w:r>
      <w:r>
        <w:rPr>
          <w:rFonts w:ascii="Arial" w:hAnsi="Arial"/>
          <w:sz w:val="18"/>
        </w:rPr>
        <w:t>cryo-MET d’échantillons préformés d’assemblages d’Hcy (2 mg/mL). (</w:t>
      </w:r>
      <w:proofErr w:type="gramStart"/>
      <w:r>
        <w:rPr>
          <w:rFonts w:ascii="Arial" w:hAnsi="Arial"/>
          <w:sz w:val="18"/>
        </w:rPr>
        <w:t>d</w:t>
      </w:r>
      <w:proofErr w:type="gramEnd"/>
      <w:r>
        <w:rPr>
          <w:rFonts w:ascii="Arial" w:hAnsi="Arial"/>
          <w:sz w:val="18"/>
        </w:rPr>
        <w:t xml:space="preserve">-f) Structure monocristalline de l’Hcy. </w:t>
      </w:r>
      <w:r>
        <w:rPr>
          <w:rFonts w:ascii="Arial" w:hAnsi="Arial"/>
          <w:b/>
          <w:sz w:val="18"/>
        </w:rPr>
        <w:t>(d)</w:t>
      </w:r>
      <w:r>
        <w:rPr>
          <w:rFonts w:ascii="Arial" w:hAnsi="Arial"/>
          <w:sz w:val="18"/>
        </w:rPr>
        <w:t xml:space="preserve"> La conformation à l’état solide dans l’unité asymétrique </w:t>
      </w:r>
      <w:r>
        <w:rPr>
          <w:rFonts w:ascii="Arial" w:hAnsi="Arial"/>
          <w:b/>
          <w:sz w:val="18"/>
        </w:rPr>
        <w:t>(e)</w:t>
      </w:r>
      <w:r>
        <w:rPr>
          <w:rFonts w:ascii="Arial" w:hAnsi="Arial"/>
          <w:sz w:val="18"/>
        </w:rPr>
        <w:t xml:space="preserve"> i. Vue latérale du feuillet unique à liaisons hydrogène dans la direction b. ii. Formation d’une couche unique par deux feuillets adjacents par des liaisons hydrogène intermoléculaires. iii. La structure couche par couche formée par des interactions hydrophobes ressemble une structure à feuillets β supramoléculaire. Les régions hydrophobes et </w:t>
      </w:r>
      <w:r>
        <w:rPr>
          <w:rFonts w:ascii="Arial" w:hAnsi="Arial"/>
          <w:sz w:val="18"/>
        </w:rPr>
        <w:lastRenderedPageBreak/>
        <w:t xml:space="preserve">hydrophiles sont indiquées par des flèches. </w:t>
      </w:r>
      <w:r>
        <w:rPr>
          <w:rFonts w:ascii="Arial" w:hAnsi="Arial"/>
          <w:b/>
          <w:sz w:val="18"/>
        </w:rPr>
        <w:t>(f)</w:t>
      </w:r>
      <w:r>
        <w:rPr>
          <w:rFonts w:ascii="Arial" w:hAnsi="Arial"/>
          <w:sz w:val="18"/>
        </w:rPr>
        <w:t xml:space="preserve"> Vue du dessus de feuillet unique. Les liaisons hydrogène sont représentées sous la forme de lignes pointillées noires.</w:t>
      </w:r>
    </w:p>
    <w:p w14:paraId="34058881" w14:textId="77777777" w:rsidR="002D2C47" w:rsidRPr="00E32C0D" w:rsidRDefault="002D2C47" w:rsidP="002D2C47">
      <w:pPr>
        <w:pStyle w:val="NormalWeb"/>
        <w:spacing w:before="0" w:beforeAutospacing="0" w:after="0" w:afterAutospacing="0"/>
        <w:rPr>
          <w:rFonts w:ascii="Arial" w:hAnsi="Arial" w:cs="Arial"/>
        </w:rPr>
      </w:pPr>
    </w:p>
    <w:p w14:paraId="53529F65" w14:textId="77777777" w:rsidR="002D2C47" w:rsidRDefault="002D2C47" w:rsidP="002D2C47">
      <w:pPr>
        <w:jc w:val="both"/>
        <w:rPr>
          <w:rFonts w:ascii="Arial" w:hAnsi="Arial"/>
          <w:sz w:val="22"/>
        </w:rPr>
      </w:pPr>
      <w:r>
        <w:rPr>
          <w:rFonts w:ascii="Arial" w:hAnsi="Arial"/>
          <w:sz w:val="22"/>
        </w:rPr>
        <w:t>À l’aide de tests de liaison à la ThT, nous avons été en mesure de détecter la cinétique de l’autoassemblage de l’Hcy, une concentration plus élevée en métabolite montrait une fluorescence de la ThT plus forte (Figure 5A). La cinétique d’assemblage a également pu être détectée par les propriétés d’autofluorescence de l’Hcy (Figure 5B), comme cela l’a été démontré de façon similaire pour d’autres assemblages de métabolite. Nous avons ensuite étudié la cytotoxicité et l’activité apoptotique d’assemblages d’Hcy sur les cellules SH-SY5Y. Les assemblages d’Hcy présentaient une cytotoxicité dépendante de la dose et entraînaient jusqu’à 80 % de mort cellulaire (Figure 5C). Ensuite, nous avons utilisé les inhibiteurs épigallocatéchine gallate (EGCG) et acide tannique (AT). Un test au MTT indiquait une augmentation significative de la viabilité cellulaire par rapport à une solution d’Hcy en l’absence d’EGCG et d’AT (Figure 5D). L’inhibition des assemblages d’Hcy par l’EGCG et l’AT a également été observée avec un test cinétique à la ThT (Figure 5E). Ces résultats renforcent les propriétés de type amyloïde des fibrilles d’Hcy. Enfin, nous avons démontré l’effet d’ensemencement croisé des assemblages d’Hcy sur la β-amyloïde, une protéine pathologique liée à la maladie d’Alzheimer. La β-amyloïde a été incubée avec des graines d’Hcy et la cinétique d’agrégation a été détectée avec un test à la ThT (Figure 5F). En effet, les assemblages d’Hcy augmentaient de manière significative l’agrégation de la β-amyloïde.</w:t>
      </w:r>
    </w:p>
    <w:p w14:paraId="23B9BA10" w14:textId="77777777" w:rsidR="002D2C47" w:rsidRDefault="002D2C47" w:rsidP="002D2C47">
      <w:pPr>
        <w:jc w:val="both"/>
        <w:rPr>
          <w:rFonts w:ascii="Arial" w:hAnsi="Arial" w:cs="Arial"/>
          <w:sz w:val="22"/>
          <w:szCs w:val="22"/>
        </w:rPr>
      </w:pPr>
    </w:p>
    <w:p w14:paraId="2723BF85" w14:textId="77777777" w:rsidR="002D2C47" w:rsidRDefault="002D2C47" w:rsidP="002D2C47">
      <w:pPr>
        <w:jc w:val="both"/>
        <w:rPr>
          <w:rFonts w:ascii="Arial" w:hAnsi="Arial" w:cs="Arial"/>
          <w:sz w:val="22"/>
          <w:szCs w:val="22"/>
        </w:rPr>
      </w:pPr>
      <w:r>
        <w:rPr>
          <w:rFonts w:ascii="Arial" w:hAnsi="Arial"/>
          <w:noProof/>
          <w:sz w:val="22"/>
        </w:rPr>
        <w:drawing>
          <wp:inline distT="0" distB="0" distL="0" distR="0" wp14:anchorId="6792D999" wp14:editId="07B2A0B2">
            <wp:extent cx="3895725" cy="2381630"/>
            <wp:effectExtent l="0" t="0" r="3175" b="6350"/>
            <wp:docPr id="17" name="Picture 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63689" cy="2423180"/>
                    </a:xfrm>
                    <a:prstGeom prst="rect">
                      <a:avLst/>
                    </a:prstGeom>
                  </pic:spPr>
                </pic:pic>
              </a:graphicData>
            </a:graphic>
          </wp:inline>
        </w:drawing>
      </w:r>
    </w:p>
    <w:p w14:paraId="217724A4" w14:textId="77777777" w:rsidR="002D2C47" w:rsidRPr="00142EFA" w:rsidRDefault="002D2C47" w:rsidP="002D2C47">
      <w:pPr>
        <w:pStyle w:val="NormalWeb"/>
        <w:rPr>
          <w:rFonts w:ascii="Arial" w:hAnsi="Arial" w:cs="Arial"/>
        </w:rPr>
      </w:pPr>
      <w:r>
        <w:rPr>
          <w:rFonts w:ascii="Arial" w:hAnsi="Arial"/>
          <w:b/>
          <w:sz w:val="18"/>
        </w:rPr>
        <w:t>Figure 5. Cytotoxicité des assemblages d’Hcy et inhibition des assemblages. (A)</w:t>
      </w:r>
      <w:r>
        <w:rPr>
          <w:rFonts w:ascii="Arial" w:hAnsi="Arial"/>
          <w:sz w:val="18"/>
        </w:rPr>
        <w:t xml:space="preserve"> Analyse cinétique de l’agrégation d’Hcy, aux concentrations indiquées, à l’aide d’un test de liaison à la ThT, sur ~ 200 minutes. </w:t>
      </w:r>
      <w:r>
        <w:rPr>
          <w:rFonts w:ascii="Arial" w:hAnsi="Arial"/>
          <w:b/>
          <w:sz w:val="18"/>
        </w:rPr>
        <w:t>(B)</w:t>
      </w:r>
      <w:r>
        <w:rPr>
          <w:rFonts w:ascii="Arial" w:hAnsi="Arial"/>
          <w:sz w:val="18"/>
        </w:rPr>
        <w:t xml:space="preserve"> Analyse cinétique de l’agrégation d’Hcy, mesurée par autofluorescence (excitation 375 nm, émission 450 nm). </w:t>
      </w:r>
      <w:r>
        <w:rPr>
          <w:rFonts w:ascii="Arial" w:hAnsi="Arial"/>
          <w:b/>
          <w:sz w:val="18"/>
        </w:rPr>
        <w:t>(C)</w:t>
      </w:r>
      <w:r>
        <w:rPr>
          <w:rFonts w:ascii="Arial" w:hAnsi="Arial"/>
          <w:sz w:val="18"/>
        </w:rPr>
        <w:t xml:space="preserve"> Cytotoxicité des assemblages d’Hcy déterminée</w:t>
      </w:r>
      <w:r>
        <w:rPr>
          <w:rFonts w:ascii="Arial" w:hAnsi="Arial"/>
        </w:rPr>
        <w:t xml:space="preserve"> </w:t>
      </w:r>
      <w:r>
        <w:rPr>
          <w:rFonts w:ascii="Arial" w:hAnsi="Arial"/>
          <w:sz w:val="18"/>
        </w:rPr>
        <w:t xml:space="preserve">par un test de viabilité cellulaire au MTT sur des cellules SH-SY5Y traitées. L’Hcy a été dissoute à 90 °C dans du milieu de culture. Le témoin est réalisé avec du milieu sans Hcy qui a été traité de la même manière. </w:t>
      </w:r>
      <w:r>
        <w:rPr>
          <w:rFonts w:ascii="Arial" w:hAnsi="Arial"/>
          <w:b/>
          <w:sz w:val="18"/>
        </w:rPr>
        <w:t>(D)</w:t>
      </w:r>
      <w:r>
        <w:rPr>
          <w:rFonts w:ascii="Arial" w:hAnsi="Arial"/>
          <w:sz w:val="18"/>
        </w:rPr>
        <w:t xml:space="preserve"> Cytotoxicité des assemblages d’Hcy testée avec de l’EGCG et de l’AT. L’Hcy était dissoute de manière similaire dans du milieu de culture et mélangée à de l’EGCG (0,1 mM) ou de l’AT (0,01 mM) avant refroidissement graduel. </w:t>
      </w:r>
      <w:r>
        <w:rPr>
          <w:rFonts w:ascii="Arial" w:hAnsi="Arial"/>
          <w:b/>
          <w:sz w:val="18"/>
        </w:rPr>
        <w:t xml:space="preserve">(E) </w:t>
      </w:r>
      <w:r>
        <w:rPr>
          <w:rFonts w:ascii="Arial" w:hAnsi="Arial"/>
          <w:sz w:val="18"/>
        </w:rPr>
        <w:t xml:space="preserve">Inhibition de l’agrégation de l’Hcy par l’EGCGC et l’AT. L’Hcy était dissoute à 90 °C dans du PBS et mélangée avec les inhibiteurs aux concentrations indiquées, ou avec du PBS pour le témoin, puis de la ThT était ajoutée. Les données de la ThT (excitation 450 nm, émission 480 nm) ont été mesurées au fil du temps. </w:t>
      </w:r>
      <w:r>
        <w:rPr>
          <w:rFonts w:ascii="Arial" w:hAnsi="Arial"/>
          <w:b/>
          <w:sz w:val="18"/>
        </w:rPr>
        <w:t>(F)</w:t>
      </w:r>
      <w:r>
        <w:rPr>
          <w:rFonts w:ascii="Arial" w:hAnsi="Arial"/>
          <w:sz w:val="18"/>
        </w:rPr>
        <w:t xml:space="preserve"> Ensemencement croisé de β-amyloïde par des assemblages d’Hcy. La β-amyloïde a été dissoute dans du PBS et mélangée avec des assemblages d’Hcy préformés ou avec un volume équivalent de PBS pour l’échantillon « no seed » (aucune graine), jusqu’à une concentration de 3 μM de β-amyloïde. L’analyse cinétique de l’agrégation a été suivie à l’aide d’un test de liaison à la ThT (40 μM) à 37 °C. Des mesures à blanc des échantillons sans β-amyloïde ont été respectivement soustraites. </w:t>
      </w:r>
    </w:p>
    <w:p w14:paraId="72C55A74" w14:textId="77777777" w:rsidR="002D2C47" w:rsidRPr="00B56607" w:rsidRDefault="002D2C47" w:rsidP="002D2C47">
      <w:pPr>
        <w:jc w:val="both"/>
        <w:rPr>
          <w:rFonts w:ascii="Arial" w:hAnsi="Arial" w:cs="Arial"/>
          <w:i/>
          <w:iCs/>
          <w:sz w:val="22"/>
          <w:szCs w:val="22"/>
        </w:rPr>
      </w:pPr>
      <w:r>
        <w:rPr>
          <w:rFonts w:ascii="Arial" w:hAnsi="Arial"/>
          <w:i/>
          <w:sz w:val="22"/>
        </w:rPr>
        <w:t>Cette étude (Figure 4, 5) a été soumise pour publication par notre groupe (données confidentielles non publiées).</w:t>
      </w:r>
    </w:p>
    <w:p w14:paraId="182BFACC" w14:textId="77777777" w:rsidR="002D2C47" w:rsidRPr="00142EFA" w:rsidRDefault="002D2C47" w:rsidP="002D2C47">
      <w:pPr>
        <w:pStyle w:val="NormalWeb"/>
        <w:rPr>
          <w:rFonts w:ascii="Arial" w:hAnsi="Arial" w:cs="Arial"/>
          <w:sz w:val="22"/>
          <w:szCs w:val="22"/>
        </w:rPr>
      </w:pPr>
      <w:proofErr w:type="gramStart"/>
      <w:r>
        <w:rPr>
          <w:rFonts w:ascii="Wingdings" w:hAnsi="Wingdings"/>
        </w:rPr>
        <w:lastRenderedPageBreak/>
        <w:t>à</w:t>
      </w:r>
      <w:proofErr w:type="gramEnd"/>
      <w:r>
        <w:rPr>
          <w:rFonts w:ascii="Arial" w:hAnsi="Arial"/>
          <w:sz w:val="22"/>
        </w:rPr>
        <w:t xml:space="preserve"> Ces études permettent d’étendre nos connaissances sur la caractérisation biophysique et biologique d’autres métabolites ayant une tendance à l’agrégation. La formation des assemblages fibrillaires bien ordonnés décrits ci-dessus présente un nouveau paradigme pour expliquer la pathologie des désordres des EIM et peut représenter la découverte de nouvelles voies de traitement pour l’avenir. </w:t>
      </w:r>
    </w:p>
    <w:p w14:paraId="6A4111E3" w14:textId="77777777" w:rsidR="002D2C47" w:rsidRPr="00B56607" w:rsidRDefault="002D2C47" w:rsidP="002D2C47">
      <w:pPr>
        <w:pStyle w:val="NormalWeb"/>
        <w:spacing w:before="0" w:beforeAutospacing="0" w:after="120" w:afterAutospacing="0"/>
        <w:rPr>
          <w:rFonts w:ascii="Arial" w:eastAsiaTheme="minorHAnsi" w:hAnsi="Arial" w:cs="Arial"/>
          <w:b/>
          <w:bCs/>
          <w:sz w:val="22"/>
          <w:szCs w:val="22"/>
        </w:rPr>
      </w:pPr>
      <w:r>
        <w:rPr>
          <w:rFonts w:ascii="Arial" w:hAnsi="Arial"/>
          <w:b/>
          <w:sz w:val="22"/>
        </w:rPr>
        <w:t xml:space="preserve">2. Caractérisation </w:t>
      </w:r>
      <w:r>
        <w:rPr>
          <w:rFonts w:ascii="Arial" w:hAnsi="Arial"/>
          <w:b/>
          <w:i/>
          <w:iCs/>
          <w:sz w:val="22"/>
        </w:rPr>
        <w:t>in vivo</w:t>
      </w:r>
      <w:r>
        <w:rPr>
          <w:rFonts w:ascii="Arial" w:hAnsi="Arial"/>
          <w:b/>
          <w:sz w:val="22"/>
        </w:rPr>
        <w:t xml:space="preserve"> des assemblages de métabolites et développement de pistes thérapeutiques </w:t>
      </w:r>
    </w:p>
    <w:p w14:paraId="5D5830FE" w14:textId="77777777" w:rsidR="002D2C47" w:rsidRDefault="002D2C47" w:rsidP="002D2C47">
      <w:pPr>
        <w:jc w:val="both"/>
        <w:rPr>
          <w:rFonts w:ascii="Arial" w:hAnsi="Arial" w:cs="Arial"/>
          <w:sz w:val="22"/>
          <w:szCs w:val="22"/>
        </w:rPr>
      </w:pPr>
      <w:r>
        <w:rPr>
          <w:rFonts w:ascii="Arial" w:hAnsi="Arial"/>
          <w:sz w:val="22"/>
        </w:rPr>
        <w:t xml:space="preserve">Après l’utilisation efficace de la levure pour étudier plusieurs désordres associés à des amyloïdes et le développement de pistes thérapeutiques, nous avons entrepris d’établir des modèles de levure </w:t>
      </w:r>
      <w:r>
        <w:rPr>
          <w:rFonts w:ascii="Arial" w:hAnsi="Arial"/>
          <w:i/>
          <w:iCs/>
          <w:sz w:val="22"/>
        </w:rPr>
        <w:t>in vivo</w:t>
      </w:r>
      <w:r>
        <w:rPr>
          <w:rFonts w:ascii="Arial" w:hAnsi="Arial"/>
          <w:sz w:val="22"/>
        </w:rPr>
        <w:t xml:space="preserve"> de désordres des EIM afin de comprendre l’importance et les conséquences biologiques de l’autoassemblage des métabolites. Nous avons réussi à établir notre premier modèle </w:t>
      </w:r>
      <w:r>
        <w:rPr>
          <w:rFonts w:ascii="Arial" w:hAnsi="Arial"/>
          <w:i/>
          <w:iCs/>
          <w:sz w:val="22"/>
        </w:rPr>
        <w:t>in vivo</w:t>
      </w:r>
      <w:r>
        <w:rPr>
          <w:rFonts w:ascii="Arial" w:hAnsi="Arial"/>
          <w:sz w:val="22"/>
        </w:rPr>
        <w:t xml:space="preserve"> pour l’accumulation et l’agrégation d’adénine (voir la section 5 ci-dessous) et travaillons actuellement sur d’autres modèles.</w:t>
      </w:r>
    </w:p>
    <w:p w14:paraId="1B5C5FF6" w14:textId="77777777" w:rsidR="002D2C47" w:rsidRDefault="002D2C47" w:rsidP="002D2C47">
      <w:pPr>
        <w:jc w:val="both"/>
        <w:rPr>
          <w:rFonts w:ascii="Arial" w:hAnsi="Arial" w:cs="Arial"/>
          <w:sz w:val="22"/>
          <w:szCs w:val="22"/>
        </w:rPr>
      </w:pPr>
    </w:p>
    <w:p w14:paraId="41DA121F" w14:textId="77777777" w:rsidR="002D2C47" w:rsidRPr="00142EFA" w:rsidRDefault="002D2C47" w:rsidP="002D2C47">
      <w:pPr>
        <w:jc w:val="both"/>
        <w:rPr>
          <w:rFonts w:ascii="Arial" w:hAnsi="Arial" w:cs="Arial"/>
          <w:i/>
          <w:iCs/>
          <w:sz w:val="22"/>
          <w:szCs w:val="22"/>
        </w:rPr>
      </w:pPr>
      <w:r>
        <w:rPr>
          <w:rFonts w:ascii="Arial" w:hAnsi="Arial"/>
          <w:i/>
          <w:sz w:val="22"/>
        </w:rPr>
        <w:t>Cette étude a récemment été publiée par notre groupe :</w:t>
      </w:r>
    </w:p>
    <w:p w14:paraId="65F5FA1D" w14:textId="77777777" w:rsidR="002D2C47" w:rsidRDefault="002D2C47" w:rsidP="002D2C47">
      <w:pPr>
        <w:jc w:val="both"/>
        <w:rPr>
          <w:rFonts w:ascii="Arial" w:hAnsi="Arial" w:cs="Arial"/>
          <w:i/>
          <w:iCs/>
          <w:sz w:val="22"/>
          <w:szCs w:val="22"/>
        </w:rPr>
      </w:pPr>
      <w:r w:rsidRPr="00212D44">
        <w:rPr>
          <w:rFonts w:ascii="Arial" w:hAnsi="Arial"/>
          <w:i/>
          <w:sz w:val="22"/>
          <w:lang w:val="en-US"/>
        </w:rPr>
        <w:t xml:space="preserve">Rencus-Lazar, S., DeRowe, Y., Adsi, H., Gazit, E. &amp; Laor, D. Yeast Models for the Study of Amyloid-Associated Disorders and Development of Future Therapy. </w:t>
      </w:r>
      <w:r>
        <w:rPr>
          <w:rFonts w:ascii="Arial" w:hAnsi="Arial"/>
          <w:i/>
          <w:sz w:val="22"/>
        </w:rPr>
        <w:t>Front. Mol. Biosci. 6, 15 (2019).</w:t>
      </w:r>
    </w:p>
    <w:p w14:paraId="288915FC" w14:textId="77777777" w:rsidR="002D2C47" w:rsidRDefault="002D2C47" w:rsidP="002D2C47">
      <w:pPr>
        <w:jc w:val="both"/>
        <w:rPr>
          <w:rFonts w:ascii="Arial" w:hAnsi="Arial" w:cs="Arial"/>
          <w:i/>
          <w:iCs/>
          <w:sz w:val="22"/>
          <w:szCs w:val="22"/>
        </w:rPr>
      </w:pPr>
    </w:p>
    <w:p w14:paraId="2E1D2A28" w14:textId="77777777" w:rsidR="002D2C47" w:rsidRDefault="002D2C47" w:rsidP="002D2C47">
      <w:pPr>
        <w:jc w:val="both"/>
        <w:rPr>
          <w:rFonts w:ascii="Arial" w:hAnsi="Arial" w:cs="Arial"/>
          <w:sz w:val="22"/>
          <w:szCs w:val="22"/>
        </w:rPr>
      </w:pPr>
      <w:r>
        <w:rPr>
          <w:rFonts w:ascii="Arial" w:hAnsi="Arial"/>
          <w:noProof/>
          <w:sz w:val="22"/>
        </w:rPr>
        <w:drawing>
          <wp:inline distT="0" distB="0" distL="0" distR="0" wp14:anchorId="6ACB8588" wp14:editId="1CCEAD71">
            <wp:extent cx="4400550" cy="2087653"/>
            <wp:effectExtent l="0" t="0" r="0" b="0"/>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91321" cy="2130715"/>
                    </a:xfrm>
                    <a:prstGeom prst="rect">
                      <a:avLst/>
                    </a:prstGeom>
                  </pic:spPr>
                </pic:pic>
              </a:graphicData>
            </a:graphic>
          </wp:inline>
        </w:drawing>
      </w:r>
    </w:p>
    <w:p w14:paraId="2FE7108E" w14:textId="77777777" w:rsidR="002D2C47" w:rsidRPr="00C02594" w:rsidRDefault="002D2C47" w:rsidP="002D2C47">
      <w:pPr>
        <w:pStyle w:val="NormalWeb"/>
        <w:rPr>
          <w:rFonts w:ascii="Arial" w:hAnsi="Arial" w:cs="Arial"/>
        </w:rPr>
      </w:pPr>
      <w:r>
        <w:rPr>
          <w:rFonts w:ascii="Arial" w:hAnsi="Arial"/>
          <w:b/>
          <w:sz w:val="18"/>
        </w:rPr>
        <w:t>Figure 6.</w:t>
      </w:r>
      <w:r>
        <w:rPr>
          <w:rFonts w:ascii="Arial" w:hAnsi="Arial"/>
          <w:sz w:val="18"/>
        </w:rPr>
        <w:t xml:space="preserve"> Modèle </w:t>
      </w:r>
      <w:r>
        <w:rPr>
          <w:rFonts w:ascii="Arial" w:hAnsi="Arial"/>
          <w:i/>
          <w:iCs/>
          <w:sz w:val="18"/>
        </w:rPr>
        <w:t>in vivo</w:t>
      </w:r>
      <w:r>
        <w:rPr>
          <w:rFonts w:ascii="Arial" w:hAnsi="Arial"/>
          <w:sz w:val="18"/>
        </w:rPr>
        <w:t xml:space="preserve"> endogène pour l’étude de l’agrégation d’un métabolite. Extrait de Rencus-Lazar 2019. (Wild-type : sauvage, Salvage model : modèle de récupération)</w:t>
      </w:r>
    </w:p>
    <w:p w14:paraId="4E72F120" w14:textId="77777777" w:rsidR="002D2C47" w:rsidRPr="00C02594" w:rsidRDefault="002D2C47" w:rsidP="002D2C47">
      <w:pPr>
        <w:jc w:val="both"/>
        <w:rPr>
          <w:rFonts w:ascii="Arial" w:hAnsi="Arial" w:cs="Arial"/>
          <w:sz w:val="22"/>
          <w:szCs w:val="22"/>
          <w:u w:val="single"/>
        </w:rPr>
      </w:pPr>
      <w:r>
        <w:rPr>
          <w:rFonts w:ascii="Arial" w:hAnsi="Arial"/>
          <w:sz w:val="22"/>
          <w:u w:val="single"/>
        </w:rPr>
        <w:t>2.1 Un modèle de levure pour l’accumulation et l’autoassemblage de la tyrosine chez la levure</w:t>
      </w:r>
    </w:p>
    <w:p w14:paraId="2A9934CA" w14:textId="77777777" w:rsidR="002D2C47" w:rsidRDefault="002D2C47" w:rsidP="002D2C47">
      <w:pPr>
        <w:jc w:val="both"/>
        <w:rPr>
          <w:rFonts w:ascii="Arial" w:hAnsi="Arial" w:cs="Arial"/>
          <w:sz w:val="22"/>
          <w:szCs w:val="22"/>
        </w:rPr>
      </w:pPr>
    </w:p>
    <w:p w14:paraId="528AECE4" w14:textId="77777777" w:rsidR="002D2C47" w:rsidRDefault="002D2C47" w:rsidP="002D2C47">
      <w:pPr>
        <w:jc w:val="both"/>
        <w:rPr>
          <w:rFonts w:ascii="Arial" w:hAnsi="Arial" w:cs="Arial"/>
          <w:sz w:val="22"/>
          <w:szCs w:val="22"/>
        </w:rPr>
      </w:pPr>
      <w:r>
        <w:rPr>
          <w:rFonts w:ascii="Arial" w:hAnsi="Arial"/>
          <w:sz w:val="22"/>
        </w:rPr>
        <w:t xml:space="preserve">La présente étude vise à étendre notre étude de l’autoassemblage de métabolites en établissant un modèle </w:t>
      </w:r>
      <w:r>
        <w:rPr>
          <w:rFonts w:ascii="Arial" w:hAnsi="Arial"/>
          <w:i/>
          <w:iCs/>
          <w:sz w:val="22"/>
        </w:rPr>
        <w:t>in vivo</w:t>
      </w:r>
      <w:r>
        <w:rPr>
          <w:rFonts w:ascii="Arial" w:hAnsi="Arial"/>
          <w:sz w:val="22"/>
        </w:rPr>
        <w:t xml:space="preserve"> supplémentaire chez la levure pour les désordres génétiques qui sont associés à l’accumulation de la tyrosine. Pour cette raison, nous avons généré un mutant de récupération de la voie de biosynthèse de la tyrosine par perturbation de l’enzyme Aro3 qui participe à la récupération de la tyrosine chez la levure. L’ajout de tyrosine au milieu a entraîné une inhibition importante de la croissance de la souche aro3Δ, par rapport à la croissance de la souche sauvage (Figure 7A). En outre, il a été démontré par chromatographie en phase liquide avec spectrométrie de masse (LC-MS), que la présence de tyrosine dans le milieu de culture augmente de manière significative les taux de tyrosine intracellulaire, par rapport à la souche sauvage (Figure 7B). Ces résultats indiquent que l’inhibition de croissance observée lors de l’ajout de tyrosine dans le milieu est directement affectée par l’accumulation de niveaux intracellulaires toxiques de tyrosine. Ensuite, nous avons entrepris de déterminer si la tyrosine accumulée forme des structures de type amyloïde dans la cellule. À cet effet, les cellules ont été colorées avec le colorant spécifique des amyloïdes éprouvé, ProteoStat®. D’après l’analyse FACS, davantage d’agrégats </w:t>
      </w:r>
      <w:r>
        <w:rPr>
          <w:rFonts w:ascii="Arial" w:hAnsi="Arial"/>
          <w:sz w:val="22"/>
        </w:rPr>
        <w:lastRenderedPageBreak/>
        <w:t>intracellulaires de tyrosine de type amyloïde ont été observés dans le mutant aro3Δ en présence de tyrosine par rapport aux cellules sauvages ou aux cellules mutantes en l’absence de tyrosine (Figure 7C). Ces résultats suggèrent que le phénotype de croissance lente observé dans les cellules mutantes aro3Δ pourrait s’accroître en raison des taux plus élevés d’agrégats toxiques. Ensuite, nous avons cherché à manipuler la formation des structures intracellulaires de tyrosine de type amyloïde en ajoutant un inhibiteur d’amyloïde ordinaire. En effet, la présence d’EGCG a entraîné une réduction significative de la formation d’assemblages toxiques de tyrosine de type amyloïde, ce qui conforte la notion que la toxicité est déclenchée par ces structures nocives (Figure 7D).</w:t>
      </w:r>
    </w:p>
    <w:p w14:paraId="36AED9EB" w14:textId="77777777" w:rsidR="002D2C47" w:rsidRPr="00212D44" w:rsidRDefault="002D2C47" w:rsidP="002D2C47">
      <w:pPr>
        <w:jc w:val="both"/>
        <w:rPr>
          <w:rFonts w:ascii="Arial" w:hAnsi="Arial" w:cs="Arial"/>
          <w:sz w:val="22"/>
          <w:szCs w:val="22"/>
        </w:rPr>
      </w:pPr>
    </w:p>
    <w:p w14:paraId="6CEAE635" w14:textId="77777777" w:rsidR="002D2C47" w:rsidRDefault="002D2C47" w:rsidP="002D2C47">
      <w:pPr>
        <w:jc w:val="both"/>
        <w:rPr>
          <w:rFonts w:ascii="Arial" w:hAnsi="Arial" w:cs="Arial"/>
          <w:sz w:val="22"/>
          <w:szCs w:val="22"/>
        </w:rPr>
      </w:pPr>
      <w:r>
        <w:rPr>
          <w:rFonts w:ascii="Arial" w:hAnsi="Arial"/>
          <w:noProof/>
          <w:sz w:val="22"/>
        </w:rPr>
        <w:drawing>
          <wp:inline distT="0" distB="0" distL="0" distR="0" wp14:anchorId="3FE0856B" wp14:editId="236B2AA5">
            <wp:extent cx="4603242" cy="3857625"/>
            <wp:effectExtent l="0" t="0" r="0" b="3175"/>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13448" cy="3866178"/>
                    </a:xfrm>
                    <a:prstGeom prst="rect">
                      <a:avLst/>
                    </a:prstGeom>
                  </pic:spPr>
                </pic:pic>
              </a:graphicData>
            </a:graphic>
          </wp:inline>
        </w:drawing>
      </w:r>
    </w:p>
    <w:p w14:paraId="0A8E774B" w14:textId="77777777" w:rsidR="002D2C47" w:rsidRDefault="002D2C47" w:rsidP="002D2C47">
      <w:pPr>
        <w:pStyle w:val="NormalWeb"/>
        <w:jc w:val="both"/>
        <w:rPr>
          <w:rFonts w:ascii="Arial" w:hAnsi="Arial" w:cs="Arial"/>
          <w:sz w:val="18"/>
          <w:szCs w:val="18"/>
        </w:rPr>
      </w:pPr>
      <w:r>
        <w:rPr>
          <w:rFonts w:ascii="Arial" w:hAnsi="Arial"/>
          <w:b/>
          <w:sz w:val="18"/>
        </w:rPr>
        <w:t xml:space="preserve">Figure 7. Modèle </w:t>
      </w:r>
      <w:r>
        <w:rPr>
          <w:rFonts w:ascii="Arial" w:hAnsi="Arial"/>
          <w:b/>
          <w:i/>
          <w:iCs/>
          <w:sz w:val="18"/>
        </w:rPr>
        <w:t>in vivo</w:t>
      </w:r>
      <w:r>
        <w:rPr>
          <w:rFonts w:ascii="Arial" w:hAnsi="Arial"/>
          <w:b/>
          <w:sz w:val="18"/>
        </w:rPr>
        <w:t xml:space="preserve"> pour l’accumulation et l’autoassemblage de la tyrosine dans un modèle de levure. A)</w:t>
      </w:r>
      <w:r>
        <w:rPr>
          <w:rFonts w:ascii="Arial" w:hAnsi="Arial"/>
          <w:sz w:val="18"/>
        </w:rPr>
        <w:t xml:space="preserve"> Les souches sauvage (WT) et aro3Δ ont été diluées en série et déposées sur des boîtes de milieu minimum (SD 4 a.a.) avec ou sans tyrosine (0,05 mM). Les cellules ont été mises en culture à 30 °C pendant 2 jours. Des courbes de croissance des cellules WT et aro3Δ en milieu SD 4 a.a. sans tyrosine (-Tyr) ou avec la concentration de tyrosine indiquée. L’absorbance à 600 nm a été mesurée au fil du temps. </w:t>
      </w:r>
      <w:r>
        <w:rPr>
          <w:rFonts w:ascii="Arial" w:hAnsi="Arial"/>
          <w:b/>
          <w:sz w:val="18"/>
        </w:rPr>
        <w:t>B)</w:t>
      </w:r>
      <w:r>
        <w:rPr>
          <w:rFonts w:ascii="Arial" w:hAnsi="Arial"/>
          <w:sz w:val="18"/>
        </w:rPr>
        <w:t xml:space="preserve"> Les concentrations intracellulaires de tyrosine ont été déterminées par LC-MS. Les souches sauvage (WT) et aro3Δ ont été cultivées en milieu SD 4 a.a. en absence ou en présence de 0,02 mM de tyrosine, et les métabolites ont été extraits. **P &lt; 0,001 (t-test de Student). </w:t>
      </w:r>
      <w:r>
        <w:rPr>
          <w:rFonts w:ascii="Arial" w:hAnsi="Arial"/>
          <w:b/>
          <w:sz w:val="18"/>
        </w:rPr>
        <w:t>C)</w:t>
      </w:r>
      <w:r>
        <w:rPr>
          <w:rFonts w:ascii="Arial" w:hAnsi="Arial"/>
          <w:sz w:val="18"/>
        </w:rPr>
        <w:t xml:space="preserve"> Analyse de cytométrie en flux du sauvage (WT) et du mutant aro3Δ dans les conditions indiquées (la concentration en tyrosine est de 0,02 mM) à la suite d’une coloration ProteoStat®. **P &lt; 0,001 (t-test de Student). </w:t>
      </w:r>
      <w:r>
        <w:rPr>
          <w:rFonts w:ascii="Arial" w:hAnsi="Arial"/>
          <w:b/>
          <w:sz w:val="18"/>
        </w:rPr>
        <w:t>D)</w:t>
      </w:r>
      <w:r>
        <w:rPr>
          <w:rFonts w:ascii="Arial" w:hAnsi="Arial"/>
          <w:sz w:val="18"/>
        </w:rPr>
        <w:t xml:space="preserve"> Courbes de croissance des cellules WT et aro3Δ dans du milieu SD 4 a.a. sans tyrosine (-Tyr) ou avec 0,03 mM de tyrosine (+Tyr) et avec l’ajout de la concentration indiquée d’EGCG. L’absorbance à 600 nm a été mesurée au fil du temps. </w:t>
      </w:r>
    </w:p>
    <w:p w14:paraId="16832B6D" w14:textId="77777777" w:rsidR="002D2C47" w:rsidRPr="00C02594" w:rsidRDefault="002D2C47" w:rsidP="002D2C47">
      <w:pPr>
        <w:pStyle w:val="NormalWeb"/>
        <w:rPr>
          <w:rFonts w:ascii="Arial" w:hAnsi="Arial" w:cs="Arial"/>
          <w:sz w:val="22"/>
          <w:szCs w:val="22"/>
        </w:rPr>
      </w:pPr>
      <w:r>
        <w:rPr>
          <w:rFonts w:ascii="Arial" w:hAnsi="Arial"/>
          <w:sz w:val="22"/>
        </w:rPr>
        <w:t>En conclusion, nous sommes arrivés à établir un modèle de levure pour l’accumulation et l’autoassemblage de la tyrosine. Ce modèle peut offrir une plateforme utile pour mieux comprendre les caractéristiques structurelles et la cinétique d’assemblage de tyrosine de type amyloïde dans un système vivant.</w:t>
      </w:r>
    </w:p>
    <w:p w14:paraId="4125AA65" w14:textId="77777777" w:rsidR="002D2C47" w:rsidRPr="00B56607" w:rsidRDefault="002D2C47" w:rsidP="002D2C47">
      <w:pPr>
        <w:spacing w:after="120"/>
        <w:jc w:val="both"/>
        <w:rPr>
          <w:rFonts w:ascii="Arial" w:hAnsi="Arial" w:cs="Arial"/>
          <w:b/>
          <w:bCs/>
          <w:sz w:val="22"/>
          <w:szCs w:val="22"/>
        </w:rPr>
      </w:pPr>
      <w:r>
        <w:rPr>
          <w:rFonts w:ascii="Arial" w:hAnsi="Arial"/>
          <w:b/>
          <w:sz w:val="22"/>
        </w:rPr>
        <w:t xml:space="preserve">2.2 Modèle de levure </w:t>
      </w:r>
      <w:r>
        <w:rPr>
          <w:rFonts w:ascii="Arial" w:hAnsi="Arial"/>
          <w:b/>
          <w:i/>
          <w:sz w:val="22"/>
        </w:rPr>
        <w:t>in vivo</w:t>
      </w:r>
      <w:r>
        <w:rPr>
          <w:rFonts w:ascii="Arial" w:hAnsi="Arial"/>
          <w:b/>
          <w:sz w:val="22"/>
        </w:rPr>
        <w:t xml:space="preserve"> pour la toxicité de l’Hcy</w:t>
      </w:r>
    </w:p>
    <w:p w14:paraId="5D06CE90" w14:textId="77777777" w:rsidR="002D2C47" w:rsidRPr="001509CF" w:rsidRDefault="002D2C47" w:rsidP="002D2C47">
      <w:pPr>
        <w:jc w:val="both"/>
        <w:rPr>
          <w:rFonts w:ascii="Arial" w:hAnsi="Arial" w:cs="Arial"/>
          <w:sz w:val="22"/>
          <w:szCs w:val="22"/>
        </w:rPr>
      </w:pPr>
      <w:r>
        <w:rPr>
          <w:rFonts w:ascii="Arial" w:hAnsi="Arial"/>
          <w:sz w:val="22"/>
        </w:rPr>
        <w:t xml:space="preserve">À la suite de notre découverte de la capacité de l’Hcy à former des structures de type amyloïde </w:t>
      </w:r>
      <w:r>
        <w:rPr>
          <w:rFonts w:ascii="Arial" w:hAnsi="Arial"/>
          <w:i/>
          <w:iCs/>
          <w:sz w:val="22"/>
        </w:rPr>
        <w:t>in vitro</w:t>
      </w:r>
      <w:r>
        <w:rPr>
          <w:rFonts w:ascii="Arial" w:hAnsi="Arial"/>
          <w:sz w:val="22"/>
        </w:rPr>
        <w:t xml:space="preserve"> (Figure 4), ainsi que de la cytotoxicité des assemblages d’Hcy et de l’inhibition des </w:t>
      </w:r>
      <w:r>
        <w:rPr>
          <w:rFonts w:ascii="Arial" w:hAnsi="Arial"/>
          <w:sz w:val="22"/>
        </w:rPr>
        <w:lastRenderedPageBreak/>
        <w:t xml:space="preserve">assemblages (Figure 5), nous avons cherché à établir un modèle </w:t>
      </w:r>
      <w:r>
        <w:rPr>
          <w:rFonts w:ascii="Arial" w:hAnsi="Arial"/>
          <w:i/>
          <w:iCs/>
          <w:sz w:val="22"/>
        </w:rPr>
        <w:t>in vivo</w:t>
      </w:r>
      <w:r>
        <w:rPr>
          <w:rFonts w:ascii="Arial" w:hAnsi="Arial"/>
          <w:sz w:val="22"/>
        </w:rPr>
        <w:t xml:space="preserve"> pour l’étude de l’accumulation et de la toxicité de l’Hcy. La levure à bourgeon </w:t>
      </w:r>
      <w:r>
        <w:rPr>
          <w:rFonts w:ascii="Arial" w:hAnsi="Arial"/>
          <w:i/>
          <w:iCs/>
          <w:sz w:val="22"/>
        </w:rPr>
        <w:t>Saccharomyces cerevisiae</w:t>
      </w:r>
      <w:r>
        <w:rPr>
          <w:rFonts w:ascii="Arial" w:hAnsi="Arial"/>
          <w:sz w:val="22"/>
        </w:rPr>
        <w:t xml:space="preserve"> a été utilisée avec succès comme organisme modèle pour l’étude de l’agrégation de métabolites, ainsi que des maladies associées à des amyloïdes. Nous cherchons donc à établir un modèle de </w:t>
      </w:r>
      <w:r>
        <w:rPr>
          <w:rFonts w:ascii="Arial" w:hAnsi="Arial"/>
          <w:i/>
          <w:iCs/>
          <w:sz w:val="22"/>
        </w:rPr>
        <w:t>S. cerevisiae</w:t>
      </w:r>
      <w:r>
        <w:rPr>
          <w:rFonts w:ascii="Arial" w:hAnsi="Arial"/>
          <w:sz w:val="22"/>
        </w:rPr>
        <w:t xml:space="preserve"> de l’accumulation de l’Hcy. Sur la base de l’étiologie de l’hyperhomocystéinémie, une mutation inactivatrice dans CYS4, l’orthologue fonctionnel hautement conservé de la levure, a été construite. En raison de la contribution de CYS4 à la biosynthèse de la cystéine, son absence a entraîné une dépendance à la cystéine (Figure 8A). En effet, la sensibilité à l’Hcy fournie dans le milieu de culture a été observée dans le modèle de récupération de l’Hcy, par rapport à la souche sauvage (WT), d’une manière dépendante de la dose (Figure 8B, C). Afin d’étudier si la toxicité observée était associée à la formation d’assemblages de type amyloïde </w:t>
      </w:r>
      <w:r>
        <w:rPr>
          <w:rFonts w:ascii="Arial" w:hAnsi="Arial"/>
          <w:i/>
          <w:iCs/>
          <w:sz w:val="22"/>
        </w:rPr>
        <w:t>in vivo</w:t>
      </w:r>
      <w:r>
        <w:rPr>
          <w:rFonts w:ascii="Arial" w:hAnsi="Arial"/>
          <w:sz w:val="22"/>
        </w:rPr>
        <w:t>, les cellules ont été colorées avec le colorant fluorescent spécifique des amyloïdes ProteoStat qui a récemment été montré comme étant révélateur de fibrilles amyloïdes intracellulaires chez la levure. Un degré significativement plus élevé d’agrégation a été détecté par cytométrie en flux dans les cellules mutantes par rapport aux cellules sauvages lors de l’apport d’Hcy, ainsi que par rapport à la souche mutante en l’absence d’Hcy, indiquant la présence de structures de type amyloïde dans le mutant de récupération d’Hcy (Figure 8D, E). Par la suite, le modèle de levure a été utilisé pour confirmer le sauvetage de la cytotoxicité par le polyphénol AT. Alors qu’aucun effet n’a été observé dans la souche WT, l’ajout d’AT a amélioré de manière significative la croissance cellulaire de la souche mutante (Figure 8F).</w:t>
      </w:r>
    </w:p>
    <w:p w14:paraId="692F5D66" w14:textId="77777777" w:rsidR="002D2C47" w:rsidRPr="00212D44" w:rsidRDefault="002D2C47" w:rsidP="002D2C47">
      <w:pPr>
        <w:jc w:val="both"/>
        <w:rPr>
          <w:rFonts w:ascii="Arial" w:hAnsi="Arial" w:cs="Arial"/>
          <w:sz w:val="22"/>
          <w:szCs w:val="22"/>
        </w:rPr>
      </w:pPr>
    </w:p>
    <w:p w14:paraId="591F1241" w14:textId="77777777" w:rsidR="002D2C47" w:rsidRDefault="002D2C47" w:rsidP="002D2C47">
      <w:pPr>
        <w:jc w:val="both"/>
        <w:rPr>
          <w:rFonts w:ascii="Arial" w:hAnsi="Arial" w:cs="Arial"/>
          <w:sz w:val="22"/>
          <w:szCs w:val="22"/>
        </w:rPr>
      </w:pPr>
      <w:r>
        <w:rPr>
          <w:rFonts w:ascii="Arial" w:hAnsi="Arial"/>
          <w:noProof/>
          <w:sz w:val="22"/>
        </w:rPr>
        <w:drawing>
          <wp:inline distT="0" distB="0" distL="0" distR="0" wp14:anchorId="614FCE70" wp14:editId="4DAF7800">
            <wp:extent cx="5731510" cy="3474085"/>
            <wp:effectExtent l="0" t="0" r="0" b="5715"/>
            <wp:docPr id="20" name="Picture 20"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474085"/>
                    </a:xfrm>
                    <a:prstGeom prst="rect">
                      <a:avLst/>
                    </a:prstGeom>
                  </pic:spPr>
                </pic:pic>
              </a:graphicData>
            </a:graphic>
          </wp:inline>
        </w:drawing>
      </w:r>
    </w:p>
    <w:p w14:paraId="180C3FA7" w14:textId="77777777" w:rsidR="002D2C47" w:rsidRPr="001509CF" w:rsidRDefault="002D2C47" w:rsidP="002D2C47">
      <w:pPr>
        <w:pStyle w:val="NormalWeb"/>
        <w:spacing w:before="0" w:beforeAutospacing="0" w:after="0" w:afterAutospacing="0"/>
        <w:jc w:val="both"/>
        <w:rPr>
          <w:rFonts w:ascii="Arial" w:hAnsi="Arial" w:cs="Arial"/>
        </w:rPr>
      </w:pPr>
      <w:r>
        <w:rPr>
          <w:rFonts w:ascii="Arial" w:hAnsi="Arial"/>
          <w:sz w:val="18"/>
        </w:rPr>
        <w:t xml:space="preserve">Figure 8. Modèle de levure pour l’accumulation et la toxicité de l’Hcy. (A) Les souches sauvage (WT) et cys4Δ ont été diluées en série et déposées sur du milieu complet YPD, du milieu minimum SD contenant 13 mg/L de cystéine et 100 mg/L d’Hcy (SD+cys+Hcy), du milieu SD sans cystéine et Hcy (SD-cys) ou du milieu SD contenant 13 mg/L de cystéine sans Hcy (SD+cys). (B-C) Courbes de croissance des souches (B) WT et (C) cys4Δ en milieu SD avec ou sans Hcy à différentes concentrations (40 mg/L, 80 mg/L et 100 mg/L). (D-E) Analyse en cytométrie de flux des souches (D) WT et (E) cys4Δ cultivées en milieu SD contenant 13 mg/L de cystéine et 100 mg/L d’Hcy dans les conditions indiquées et en utilisant une coloration ProteoStat. Les graphiques représentent la quantification des résultats de la cytométrie en flux présentés sous forme d’histogrammes. (F) Les souches WT et cys4Δ diluées à une OD600 de 0,01 ont été cultivées dans du milieu SD contenant 13 mg/L de cystéine et 100 mg/L d’Hcy dans les conditions indiquées avec ou sans 0,3 mM d’AT. Le pourcentage de croissance a été calculé comme étant la croissance dans les conditions indiquées par rapport à la croissance de la souche sauvage sans AT. (*P &lt; 0,05, ***P &lt; 0,001 t-test de Student). </w:t>
      </w:r>
    </w:p>
    <w:p w14:paraId="28F29CB2" w14:textId="77777777" w:rsidR="002D2C47" w:rsidRPr="00212D44" w:rsidRDefault="002D2C47" w:rsidP="002D2C47">
      <w:pPr>
        <w:jc w:val="both"/>
        <w:rPr>
          <w:rFonts w:ascii="Arial" w:hAnsi="Arial" w:cs="Arial"/>
          <w:sz w:val="22"/>
          <w:szCs w:val="22"/>
        </w:rPr>
      </w:pPr>
    </w:p>
    <w:p w14:paraId="7E7226E3" w14:textId="77777777" w:rsidR="002D2C47" w:rsidRDefault="002D2C47" w:rsidP="002D2C47">
      <w:pPr>
        <w:jc w:val="both"/>
        <w:rPr>
          <w:rFonts w:ascii="Arial" w:hAnsi="Arial"/>
          <w:i/>
          <w:sz w:val="22"/>
        </w:rPr>
      </w:pPr>
      <w:r>
        <w:rPr>
          <w:rFonts w:ascii="Arial" w:hAnsi="Arial"/>
          <w:i/>
          <w:sz w:val="22"/>
        </w:rPr>
        <w:lastRenderedPageBreak/>
        <w:t>Cette étude (Figure 8) a été soumise pour publication par notre groupe (données confidentielles non publiées).</w:t>
      </w:r>
    </w:p>
    <w:p w14:paraId="7C4AC494" w14:textId="77777777" w:rsidR="002D2C47" w:rsidRPr="000C6FA6" w:rsidRDefault="002D2C47" w:rsidP="002D2C47">
      <w:pPr>
        <w:jc w:val="both"/>
        <w:rPr>
          <w:rFonts w:ascii="Arial" w:hAnsi="Arial" w:cs="Arial"/>
          <w:sz w:val="22"/>
          <w:szCs w:val="22"/>
        </w:rPr>
      </w:pPr>
    </w:p>
    <w:p w14:paraId="5B64542E" w14:textId="77777777" w:rsidR="002D2C47" w:rsidRDefault="002D2C47" w:rsidP="002D2C47">
      <w:pPr>
        <w:jc w:val="both"/>
        <w:rPr>
          <w:rFonts w:ascii="Arial" w:hAnsi="Arial" w:cs="Arial"/>
          <w:sz w:val="22"/>
          <w:szCs w:val="22"/>
        </w:rPr>
      </w:pPr>
      <w:proofErr w:type="gramStart"/>
      <w:r>
        <w:rPr>
          <w:rFonts w:ascii="Wingdings" w:hAnsi="Wingdings"/>
        </w:rPr>
        <w:t>à</w:t>
      </w:r>
      <w:proofErr w:type="gramEnd"/>
      <w:r>
        <w:rPr>
          <w:rFonts w:ascii="Arial" w:hAnsi="Arial"/>
          <w:sz w:val="22"/>
        </w:rPr>
        <w:t xml:space="preserve"> Nos études fournissent pour la première fois un outil puissant et simple pour mieux comprendre la physiopathologie des désordres des EIM dans un système vivant. En utilisant ces modèles, de potentiels composés thérapeutiques pourraient être trouvés, composés qui pourraient ultérieurement être utilisés pour fournir un remède à ces désordres métaboliques, ainsi que pour mieux comprendre les mécanismes moléculaires intracellulaires qui maintiennent les métabolites dans un état soluble </w:t>
      </w:r>
      <w:proofErr w:type="gramStart"/>
      <w:r>
        <w:rPr>
          <w:rFonts w:ascii="Arial" w:hAnsi="Arial"/>
          <w:sz w:val="22"/>
        </w:rPr>
        <w:t>non agrégant</w:t>
      </w:r>
      <w:proofErr w:type="gramEnd"/>
      <w:r>
        <w:rPr>
          <w:rFonts w:ascii="Arial" w:hAnsi="Arial"/>
          <w:sz w:val="22"/>
        </w:rPr>
        <w:t>.</w:t>
      </w:r>
    </w:p>
    <w:p w14:paraId="32FE50A3" w14:textId="77777777" w:rsidR="002D2C47" w:rsidRDefault="002D2C47" w:rsidP="002D2C47">
      <w:pPr>
        <w:jc w:val="both"/>
        <w:rPr>
          <w:rFonts w:ascii="Arial" w:hAnsi="Arial" w:cs="Arial"/>
          <w:sz w:val="22"/>
          <w:szCs w:val="22"/>
        </w:rPr>
      </w:pPr>
    </w:p>
    <w:p w14:paraId="61685494" w14:textId="77777777" w:rsidR="002D2C47" w:rsidRDefault="002D2C47" w:rsidP="002D2C47">
      <w:pPr>
        <w:jc w:val="center"/>
        <w:rPr>
          <w:rFonts w:ascii="Arial" w:hAnsi="Arial" w:cs="Arial"/>
          <w:b/>
          <w:bCs/>
          <w:sz w:val="22"/>
          <w:szCs w:val="22"/>
        </w:rPr>
      </w:pPr>
      <w:r>
        <w:rPr>
          <w:rFonts w:ascii="Arial" w:hAnsi="Arial"/>
          <w:b/>
          <w:sz w:val="22"/>
        </w:rPr>
        <w:t>PUBLICATIONS</w:t>
      </w:r>
    </w:p>
    <w:p w14:paraId="7A81AA06" w14:textId="77777777" w:rsidR="002D2C47" w:rsidRPr="00B76CD7" w:rsidRDefault="002D2C47" w:rsidP="002D2C47">
      <w:pPr>
        <w:jc w:val="center"/>
        <w:rPr>
          <w:rFonts w:ascii="Arial" w:hAnsi="Arial" w:cs="Arial"/>
          <w:b/>
          <w:bCs/>
          <w:sz w:val="22"/>
          <w:szCs w:val="22"/>
        </w:rPr>
      </w:pPr>
    </w:p>
    <w:p w14:paraId="5B649679" w14:textId="77777777" w:rsidR="002D2C47" w:rsidRPr="00B76CD7" w:rsidRDefault="002D2C47" w:rsidP="002D2C47">
      <w:pPr>
        <w:pStyle w:val="ListParagraph"/>
        <w:numPr>
          <w:ilvl w:val="0"/>
          <w:numId w:val="1"/>
        </w:numPr>
        <w:ind w:left="0" w:firstLine="0"/>
        <w:jc w:val="both"/>
        <w:rPr>
          <w:rFonts w:ascii="Arial" w:hAnsi="Arial" w:cs="Arial"/>
          <w:sz w:val="22"/>
          <w:szCs w:val="22"/>
        </w:rPr>
      </w:pPr>
      <w:r>
        <w:rPr>
          <w:rFonts w:ascii="Arial" w:hAnsi="Arial"/>
          <w:sz w:val="22"/>
        </w:rPr>
        <w:t xml:space="preserve">Zaguri, D., Shaham-Niv, S., Naaman, E., Mimouni, M., Magen, D., Pollack, S., Kreiser, T., Leibu, R., Rencus-Lazar, S., Adler-Abramovich, L., Perlman, I., Gazit, E. Zayit-Soudry, S. (2020). Induction of Retinopathy by Fibrillar Oxalate Assemblies. </w:t>
      </w:r>
      <w:r>
        <w:rPr>
          <w:rFonts w:ascii="Arial" w:hAnsi="Arial"/>
          <w:i/>
          <w:sz w:val="22"/>
        </w:rPr>
        <w:t>Commun. Chem.</w:t>
      </w:r>
      <w:r>
        <w:rPr>
          <w:rFonts w:ascii="Arial" w:hAnsi="Arial"/>
          <w:sz w:val="22"/>
        </w:rPr>
        <w:t xml:space="preserve"> 3, 1-9.</w:t>
      </w:r>
    </w:p>
    <w:p w14:paraId="3CED882F" w14:textId="77777777" w:rsidR="002D2C47" w:rsidRPr="00A3178A" w:rsidRDefault="002D2C47" w:rsidP="002D2C47">
      <w:pPr>
        <w:jc w:val="both"/>
        <w:rPr>
          <w:rFonts w:ascii="Arial" w:hAnsi="Arial" w:cs="Arial"/>
          <w:b/>
          <w:bCs/>
          <w:i/>
          <w:iCs/>
          <w:sz w:val="22"/>
          <w:szCs w:val="22"/>
        </w:rPr>
      </w:pPr>
      <w:r>
        <w:rPr>
          <w:rFonts w:ascii="Arial" w:hAnsi="Arial"/>
          <w:b/>
          <w:i/>
          <w:sz w:val="22"/>
        </w:rPr>
        <w:t>« </w:t>
      </w:r>
      <w:r w:rsidRPr="000F5EE2">
        <w:rPr>
          <w:rFonts w:ascii="Arial" w:hAnsi="Arial"/>
          <w:b/>
          <w:i/>
          <w:sz w:val="22"/>
        </w:rPr>
        <w:t>This work was supported by the Adelis Forever Foundation</w:t>
      </w:r>
      <w:r>
        <w:rPr>
          <w:rFonts w:ascii="Arial" w:hAnsi="Arial"/>
          <w:b/>
          <w:i/>
          <w:sz w:val="22"/>
        </w:rPr>
        <w:t> » (« Ce travail a reçu le soutien de la fondation Adelis Forever »)</w:t>
      </w:r>
    </w:p>
    <w:p w14:paraId="7F8E3FF2" w14:textId="77777777" w:rsidR="002D2C47" w:rsidRPr="001509CF" w:rsidRDefault="002D2C47" w:rsidP="002D2C47">
      <w:pPr>
        <w:jc w:val="both"/>
        <w:rPr>
          <w:rFonts w:ascii="Arial" w:hAnsi="Arial" w:cs="Arial"/>
          <w:sz w:val="22"/>
          <w:szCs w:val="22"/>
        </w:rPr>
      </w:pPr>
    </w:p>
    <w:p w14:paraId="0F38350E" w14:textId="77777777" w:rsidR="002D2C47" w:rsidRPr="00B76CD7" w:rsidRDefault="002D2C47" w:rsidP="002D2C47">
      <w:pPr>
        <w:pStyle w:val="ListParagraph"/>
        <w:numPr>
          <w:ilvl w:val="0"/>
          <w:numId w:val="1"/>
        </w:numPr>
        <w:ind w:left="0" w:firstLine="0"/>
        <w:jc w:val="both"/>
        <w:rPr>
          <w:rFonts w:ascii="Arial" w:hAnsi="Arial" w:cs="Arial"/>
          <w:sz w:val="22"/>
          <w:szCs w:val="22"/>
        </w:rPr>
      </w:pPr>
      <w:r w:rsidRPr="00212D44">
        <w:rPr>
          <w:rFonts w:ascii="Arial" w:hAnsi="Arial"/>
          <w:sz w:val="22"/>
          <w:lang w:val="en-US"/>
        </w:rPr>
        <w:t xml:space="preserve">Rencus-Lazar, S., DeRowe, Y., Adsi, H., Gazit, E. &amp; Laor, D. (2019). Yeast Models for the Study of Amyloid-Associated Disorders and Development of Future Therapy. </w:t>
      </w:r>
      <w:r>
        <w:rPr>
          <w:rFonts w:ascii="Arial" w:hAnsi="Arial"/>
          <w:sz w:val="22"/>
        </w:rPr>
        <w:t>Front. Mol. Biosci. 6, 1-10.</w:t>
      </w:r>
    </w:p>
    <w:p w14:paraId="7A582396" w14:textId="77777777" w:rsidR="002D2C47" w:rsidRPr="00A3178A"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225A38F7" w14:textId="77777777" w:rsidR="002D2C47" w:rsidRPr="001509CF" w:rsidRDefault="002D2C47" w:rsidP="002D2C47">
      <w:pPr>
        <w:jc w:val="both"/>
        <w:rPr>
          <w:rFonts w:ascii="Arial" w:hAnsi="Arial" w:cs="Arial"/>
          <w:sz w:val="22"/>
          <w:szCs w:val="22"/>
        </w:rPr>
      </w:pPr>
    </w:p>
    <w:p w14:paraId="7A481ECA" w14:textId="77777777" w:rsidR="002D2C47" w:rsidRPr="000F5EE2" w:rsidRDefault="002D2C47" w:rsidP="002D2C47">
      <w:pPr>
        <w:pStyle w:val="ListParagraph"/>
        <w:numPr>
          <w:ilvl w:val="0"/>
          <w:numId w:val="1"/>
        </w:numPr>
        <w:ind w:left="0" w:hanging="11"/>
        <w:jc w:val="both"/>
        <w:rPr>
          <w:rFonts w:ascii="Arial" w:hAnsi="Arial" w:cs="Arial"/>
          <w:sz w:val="22"/>
          <w:szCs w:val="22"/>
          <w:lang w:val="en-US"/>
        </w:rPr>
      </w:pPr>
      <w:r w:rsidRPr="00212D44">
        <w:rPr>
          <w:rFonts w:ascii="Arial" w:hAnsi="Arial"/>
          <w:sz w:val="22"/>
          <w:lang w:val="en-US"/>
        </w:rPr>
        <w:t xml:space="preserve">Zaguri, D., Shaham-Niv, S., Chakraborty, P., Arnon, Z., Makam, P., Bera, S., Rencus-Lazar, S., Stoddart, P.R., Gazit, E. and Reynolds, N.P. (2020). Nanomechanical Properties and Phase Behavior of Phenylalanine Amyloid Ribbon Assemblies and Amorphous Self-Healing Hydrogels. </w:t>
      </w:r>
      <w:r w:rsidRPr="000F5EE2">
        <w:rPr>
          <w:rFonts w:ascii="Arial" w:hAnsi="Arial"/>
          <w:sz w:val="22"/>
          <w:lang w:val="en-US"/>
        </w:rPr>
        <w:t>ACS applied materials &amp; interfaces 12, 21992-22001.</w:t>
      </w:r>
    </w:p>
    <w:p w14:paraId="3BD21B07" w14:textId="77777777" w:rsidR="002D2C47" w:rsidRPr="00A3178A"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0663A7E6" w14:textId="77777777" w:rsidR="002D2C47" w:rsidRDefault="002D2C47" w:rsidP="002D2C47">
      <w:pPr>
        <w:jc w:val="both"/>
        <w:rPr>
          <w:rFonts w:ascii="Arial" w:hAnsi="Arial" w:cs="Arial"/>
          <w:i/>
          <w:iCs/>
          <w:sz w:val="22"/>
          <w:szCs w:val="22"/>
        </w:rPr>
      </w:pPr>
    </w:p>
    <w:p w14:paraId="382CD98E" w14:textId="77777777" w:rsidR="002D2C47" w:rsidRPr="00B76CD7" w:rsidRDefault="002D2C47" w:rsidP="002D2C47">
      <w:pPr>
        <w:rPr>
          <w:rFonts w:ascii="Arial" w:eastAsia="Times New Roman" w:hAnsi="Arial" w:cs="Arial"/>
          <w:sz w:val="22"/>
          <w:szCs w:val="22"/>
        </w:rPr>
      </w:pPr>
      <w:r>
        <w:rPr>
          <w:rFonts w:ascii="Arial" w:hAnsi="Arial"/>
          <w:sz w:val="22"/>
        </w:rPr>
        <w:t xml:space="preserve">Récapitulatif des résultats obtenus sur la période de financement par Adelis : </w:t>
      </w:r>
    </w:p>
    <w:p w14:paraId="2BA2DC80" w14:textId="77777777" w:rsidR="002D2C47" w:rsidRPr="00B76CD7" w:rsidRDefault="002D2C47" w:rsidP="002D2C47">
      <w:pPr>
        <w:numPr>
          <w:ilvl w:val="0"/>
          <w:numId w:val="2"/>
        </w:numPr>
        <w:ind w:left="714" w:hanging="357"/>
        <w:rPr>
          <w:rFonts w:ascii="Arial" w:eastAsia="Times New Roman" w:hAnsi="Arial" w:cs="Arial"/>
          <w:i/>
          <w:iCs/>
          <w:sz w:val="22"/>
          <w:szCs w:val="22"/>
        </w:rPr>
      </w:pPr>
      <w:r>
        <w:rPr>
          <w:rFonts w:ascii="Arial" w:hAnsi="Arial"/>
          <w:i/>
          <w:sz w:val="22"/>
        </w:rPr>
        <w:t xml:space="preserve">Nombre d’articles publiés ou acceptés pour publication : 10 </w:t>
      </w:r>
    </w:p>
    <w:p w14:paraId="21F1F205" w14:textId="77777777" w:rsidR="002D2C47" w:rsidRPr="00B76CD7" w:rsidRDefault="002D2C47" w:rsidP="002D2C47">
      <w:pPr>
        <w:numPr>
          <w:ilvl w:val="0"/>
          <w:numId w:val="2"/>
        </w:numPr>
        <w:ind w:left="714" w:hanging="357"/>
        <w:rPr>
          <w:rFonts w:ascii="Arial" w:eastAsia="Times New Roman" w:hAnsi="Arial" w:cs="Arial"/>
          <w:i/>
          <w:iCs/>
          <w:sz w:val="22"/>
          <w:szCs w:val="22"/>
        </w:rPr>
      </w:pPr>
      <w:r>
        <w:rPr>
          <w:rFonts w:ascii="Arial" w:hAnsi="Arial"/>
          <w:i/>
          <w:sz w:val="22"/>
        </w:rPr>
        <w:t xml:space="preserve">Nombre d’articles soumis : 1 </w:t>
      </w:r>
    </w:p>
    <w:p w14:paraId="59DE6349" w14:textId="77777777" w:rsidR="002D2C47" w:rsidRPr="00B76CD7" w:rsidRDefault="002D2C47" w:rsidP="002D2C47">
      <w:pPr>
        <w:numPr>
          <w:ilvl w:val="0"/>
          <w:numId w:val="2"/>
        </w:numPr>
        <w:ind w:left="714" w:hanging="357"/>
        <w:rPr>
          <w:rFonts w:ascii="Arial" w:eastAsia="Times New Roman" w:hAnsi="Arial" w:cs="Arial"/>
          <w:i/>
          <w:iCs/>
          <w:sz w:val="22"/>
          <w:szCs w:val="22"/>
        </w:rPr>
      </w:pPr>
      <w:r>
        <w:rPr>
          <w:rFonts w:ascii="Arial" w:hAnsi="Arial"/>
          <w:i/>
          <w:sz w:val="22"/>
        </w:rPr>
        <w:t xml:space="preserve">Nombre d’articles en préparation : 2 </w:t>
      </w:r>
    </w:p>
    <w:p w14:paraId="4393CD92" w14:textId="77777777" w:rsidR="002D2C47" w:rsidRDefault="002D2C47" w:rsidP="002D2C47">
      <w:pPr>
        <w:jc w:val="both"/>
        <w:rPr>
          <w:rFonts w:ascii="Arial" w:hAnsi="Arial" w:cs="Arial"/>
          <w:sz w:val="22"/>
          <w:szCs w:val="22"/>
        </w:rPr>
      </w:pPr>
    </w:p>
    <w:p w14:paraId="18424304" w14:textId="77777777" w:rsidR="002D2C47" w:rsidRDefault="002D2C47" w:rsidP="002D2C47">
      <w:pPr>
        <w:jc w:val="both"/>
        <w:rPr>
          <w:rFonts w:ascii="Arial" w:hAnsi="Arial" w:cs="Arial"/>
          <w:sz w:val="22"/>
          <w:szCs w:val="22"/>
        </w:rPr>
      </w:pPr>
    </w:p>
    <w:p w14:paraId="4111B649" w14:textId="77777777" w:rsidR="002D2C47" w:rsidRPr="00A3178A" w:rsidRDefault="002D2C47" w:rsidP="002D2C47">
      <w:pPr>
        <w:jc w:val="both"/>
        <w:rPr>
          <w:rFonts w:ascii="Arial" w:hAnsi="Arial" w:cs="Arial"/>
          <w:b/>
          <w:bCs/>
          <w:sz w:val="22"/>
          <w:szCs w:val="22"/>
        </w:rPr>
      </w:pPr>
      <w:r>
        <w:rPr>
          <w:rFonts w:ascii="Arial" w:hAnsi="Arial"/>
          <w:b/>
          <w:sz w:val="22"/>
        </w:rPr>
        <w:t>3. Propriétés communes des fibrilles amyloïdes à base de protéine et à base de métabolites</w:t>
      </w:r>
    </w:p>
    <w:p w14:paraId="5F8AF372" w14:textId="77777777" w:rsidR="002D2C47" w:rsidRDefault="002D2C47" w:rsidP="002D2C47">
      <w:pPr>
        <w:jc w:val="both"/>
        <w:rPr>
          <w:rFonts w:ascii="Arial" w:hAnsi="Arial" w:cs="Arial"/>
          <w:sz w:val="22"/>
          <w:szCs w:val="22"/>
        </w:rPr>
      </w:pPr>
    </w:p>
    <w:p w14:paraId="70AA4FF3" w14:textId="77777777" w:rsidR="002D2C47" w:rsidRPr="00A3178A" w:rsidRDefault="002D2C47" w:rsidP="002D2C47">
      <w:pPr>
        <w:jc w:val="both"/>
        <w:rPr>
          <w:rFonts w:ascii="Arial" w:hAnsi="Arial" w:cs="Arial"/>
          <w:sz w:val="22"/>
          <w:szCs w:val="22"/>
          <w:u w:val="single"/>
        </w:rPr>
      </w:pPr>
      <w:r>
        <w:rPr>
          <w:rFonts w:ascii="Arial" w:hAnsi="Arial"/>
          <w:sz w:val="22"/>
          <w:u w:val="single"/>
        </w:rPr>
        <w:t>3. 1. Inhibition par les polyphénols</w:t>
      </w:r>
    </w:p>
    <w:p w14:paraId="50CA20ED" w14:textId="77777777" w:rsidR="002D2C47" w:rsidRDefault="002D2C47" w:rsidP="002D2C47">
      <w:pPr>
        <w:jc w:val="both"/>
        <w:rPr>
          <w:rFonts w:ascii="Arial" w:hAnsi="Arial" w:cs="Arial"/>
          <w:sz w:val="22"/>
          <w:szCs w:val="22"/>
        </w:rPr>
      </w:pPr>
    </w:p>
    <w:p w14:paraId="755E037A" w14:textId="77777777" w:rsidR="002D2C47" w:rsidRDefault="002D2C47" w:rsidP="002D2C47">
      <w:pPr>
        <w:jc w:val="both"/>
        <w:rPr>
          <w:rFonts w:ascii="Arial" w:hAnsi="Arial" w:cs="Arial"/>
          <w:sz w:val="22"/>
          <w:szCs w:val="22"/>
        </w:rPr>
      </w:pPr>
      <w:r>
        <w:rPr>
          <w:rFonts w:ascii="Arial" w:hAnsi="Arial"/>
          <w:sz w:val="22"/>
        </w:rPr>
        <w:t>Des inhibiteurs polyphénoliques génériques de la formation d’amyloïdes protéique et polypeptidique ont été examinés pour leur capacité à également limiter l’autoassemblage de fibrilles de métabolites. Nous avons trouvé que l’EGCG et l’AT inhibent la fibrillation de type amyloïde de l’adénine, de la phénylalanine et de la tyrosine, qui s’accumulent respectivement dans les désordres métaboliques du déficit en adénine phosphoribosyltransférase, de la phénylcétonurie, et de la tyrosinémie. L’inhibition de la formation de structures de métabolites a été démontrée en utilisant une combinaison de techniques microscopiques, de fluorescence et physiques. Par ailleurs, ces composés réduisent également la cytotoxicité provoquée par les assemblages.</w:t>
      </w:r>
    </w:p>
    <w:p w14:paraId="32B8684A" w14:textId="77777777" w:rsidR="002D2C47" w:rsidRDefault="002D2C47" w:rsidP="002D2C47">
      <w:pPr>
        <w:jc w:val="both"/>
        <w:rPr>
          <w:rFonts w:ascii="Arial" w:hAnsi="Arial" w:cs="Arial"/>
          <w:sz w:val="22"/>
          <w:szCs w:val="22"/>
        </w:rPr>
      </w:pPr>
    </w:p>
    <w:p w14:paraId="6785BA38" w14:textId="77777777" w:rsidR="002D2C47" w:rsidRPr="00A3178A" w:rsidRDefault="002D2C47" w:rsidP="002D2C47">
      <w:pPr>
        <w:jc w:val="both"/>
        <w:rPr>
          <w:rFonts w:ascii="Arial" w:hAnsi="Arial" w:cs="Arial"/>
          <w:i/>
          <w:iCs/>
          <w:sz w:val="22"/>
          <w:szCs w:val="22"/>
        </w:rPr>
      </w:pPr>
      <w:r>
        <w:rPr>
          <w:rFonts w:ascii="Arial" w:hAnsi="Arial"/>
          <w:i/>
          <w:sz w:val="22"/>
        </w:rPr>
        <w:t>Cette étude a été publiée par notre groupe :</w:t>
      </w:r>
    </w:p>
    <w:p w14:paraId="1045E04C" w14:textId="77777777" w:rsidR="002D2C47" w:rsidRDefault="002D2C47" w:rsidP="002D2C47">
      <w:pPr>
        <w:jc w:val="both"/>
        <w:rPr>
          <w:rFonts w:ascii="Arial" w:hAnsi="Arial" w:cs="Arial"/>
          <w:i/>
          <w:iCs/>
          <w:sz w:val="22"/>
          <w:szCs w:val="22"/>
        </w:rPr>
      </w:pPr>
      <w:r w:rsidRPr="00212D44">
        <w:rPr>
          <w:rFonts w:ascii="Arial" w:hAnsi="Arial"/>
          <w:i/>
          <w:sz w:val="22"/>
          <w:lang w:val="en-US"/>
        </w:rPr>
        <w:t xml:space="preserve">Shaham-Niv, S., Rehák, P., Zaguri, D., Levin, A., Adler-Abramovich, L., Vukovic, L., Král, P., &amp; Gazit, E. (2018) Differential inhibition of metabolite amyloid formation by generic fibrillation-modifying polyphenols. </w:t>
      </w:r>
      <w:r>
        <w:rPr>
          <w:rFonts w:ascii="Arial" w:hAnsi="Arial"/>
          <w:i/>
          <w:sz w:val="22"/>
        </w:rPr>
        <w:t>Communications Chemistry, 1(1), 25.</w:t>
      </w:r>
    </w:p>
    <w:p w14:paraId="63BA70F0" w14:textId="77777777" w:rsidR="002D2C47" w:rsidRPr="00BB45F6"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028BA346" w14:textId="77777777" w:rsidR="002D2C47" w:rsidRPr="00A3178A" w:rsidRDefault="002D2C47" w:rsidP="002D2C47">
      <w:pPr>
        <w:jc w:val="both"/>
        <w:rPr>
          <w:rFonts w:ascii="Arial" w:hAnsi="Arial" w:cs="Arial"/>
          <w:sz w:val="22"/>
          <w:szCs w:val="22"/>
          <w:u w:val="single"/>
        </w:rPr>
      </w:pPr>
      <w:r>
        <w:rPr>
          <w:rFonts w:ascii="Arial" w:hAnsi="Arial"/>
          <w:sz w:val="22"/>
          <w:u w:val="single"/>
        </w:rPr>
        <w:lastRenderedPageBreak/>
        <w:t>3.2 Des fibrilles de type amyloïde interagissent avec des membranes modèles</w:t>
      </w:r>
    </w:p>
    <w:p w14:paraId="4203601D" w14:textId="77777777" w:rsidR="002D2C47" w:rsidRDefault="002D2C47" w:rsidP="002D2C47">
      <w:pPr>
        <w:jc w:val="both"/>
        <w:rPr>
          <w:rFonts w:ascii="Arial" w:hAnsi="Arial" w:cs="Arial"/>
          <w:sz w:val="22"/>
          <w:szCs w:val="22"/>
        </w:rPr>
      </w:pPr>
    </w:p>
    <w:p w14:paraId="168B0E68" w14:textId="77777777" w:rsidR="002D2C47" w:rsidRDefault="002D2C47" w:rsidP="002D2C47">
      <w:pPr>
        <w:jc w:val="both"/>
        <w:rPr>
          <w:rFonts w:ascii="Arial" w:hAnsi="Arial" w:cs="Arial"/>
          <w:sz w:val="22"/>
          <w:szCs w:val="22"/>
        </w:rPr>
      </w:pPr>
      <w:r>
        <w:rPr>
          <w:rFonts w:ascii="Arial" w:hAnsi="Arial"/>
          <w:sz w:val="22"/>
        </w:rPr>
        <w:t>Nous avons été en mesure de détecter un mécanisme différentiel et fort de l’interaction des assemblages de tyrosine, d’adénine et de tryptophane avec des membranes modèles, comme cela avait été précédemment établi pour les amyloïdes protéiques et polypeptidiques. En outre, des simulations de dynamique moléculaire ont fourni une compréhension mécanistique pour approfondir nos connaissances sur le mécanisme d’action des assemblages.</w:t>
      </w:r>
    </w:p>
    <w:p w14:paraId="6FB47C67" w14:textId="77777777" w:rsidR="002D2C47" w:rsidRDefault="002D2C47" w:rsidP="002D2C47">
      <w:pPr>
        <w:jc w:val="both"/>
        <w:rPr>
          <w:rFonts w:ascii="Arial" w:hAnsi="Arial" w:cs="Arial"/>
          <w:sz w:val="22"/>
          <w:szCs w:val="22"/>
        </w:rPr>
      </w:pPr>
    </w:p>
    <w:p w14:paraId="7A156656" w14:textId="77777777" w:rsidR="002D2C47" w:rsidRPr="00A3178A" w:rsidRDefault="002D2C47" w:rsidP="002D2C47">
      <w:pPr>
        <w:jc w:val="both"/>
        <w:rPr>
          <w:rFonts w:ascii="Arial" w:hAnsi="Arial" w:cs="Arial"/>
          <w:i/>
          <w:iCs/>
          <w:sz w:val="22"/>
          <w:szCs w:val="22"/>
        </w:rPr>
      </w:pPr>
      <w:r>
        <w:rPr>
          <w:rFonts w:ascii="Arial" w:hAnsi="Arial"/>
          <w:i/>
          <w:sz w:val="22"/>
        </w:rPr>
        <w:t>Cette étude a été publiée par notre groupe :</w:t>
      </w:r>
    </w:p>
    <w:p w14:paraId="2203F93D" w14:textId="77777777" w:rsidR="002D2C47" w:rsidRPr="00212D44" w:rsidRDefault="002D2C47" w:rsidP="002D2C47">
      <w:pPr>
        <w:jc w:val="both"/>
        <w:rPr>
          <w:rFonts w:ascii="Arial" w:hAnsi="Arial" w:cs="Arial"/>
          <w:i/>
          <w:iCs/>
          <w:sz w:val="22"/>
          <w:szCs w:val="22"/>
          <w:lang w:val="en-US"/>
        </w:rPr>
      </w:pPr>
      <w:r>
        <w:rPr>
          <w:rFonts w:ascii="Arial" w:hAnsi="Arial"/>
          <w:i/>
          <w:sz w:val="22"/>
        </w:rPr>
        <w:t xml:space="preserve">Shaham-Niv, S., Rehak, P., Zaguri, D., Kolusheva, S., Král, P., &amp; Gazit, E. (2018). </w:t>
      </w:r>
      <w:r w:rsidRPr="00212D44">
        <w:rPr>
          <w:rFonts w:ascii="Arial" w:hAnsi="Arial"/>
          <w:i/>
          <w:sz w:val="22"/>
          <w:lang w:val="en-US"/>
        </w:rPr>
        <w:t>Metabolite amyloid-like fibrils interact with model membranes. Chemical Communications, 54(36), 4561-4564.</w:t>
      </w:r>
    </w:p>
    <w:p w14:paraId="0D7D66B7" w14:textId="77777777" w:rsidR="002D2C47" w:rsidRPr="00A3178A"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1EDA2DE2" w14:textId="77777777" w:rsidR="002D2C47" w:rsidRDefault="002D2C47" w:rsidP="002D2C47">
      <w:pPr>
        <w:jc w:val="both"/>
        <w:rPr>
          <w:rFonts w:ascii="Arial" w:hAnsi="Arial" w:cs="Arial"/>
          <w:sz w:val="22"/>
          <w:szCs w:val="22"/>
        </w:rPr>
      </w:pPr>
    </w:p>
    <w:p w14:paraId="331F01CE" w14:textId="77777777" w:rsidR="002D2C47" w:rsidRPr="00A3178A" w:rsidRDefault="002D2C47" w:rsidP="002D2C47">
      <w:pPr>
        <w:jc w:val="both"/>
        <w:rPr>
          <w:rFonts w:ascii="Arial" w:hAnsi="Arial" w:cs="Arial"/>
          <w:sz w:val="22"/>
          <w:szCs w:val="22"/>
          <w:u w:val="single"/>
        </w:rPr>
      </w:pPr>
      <w:r>
        <w:rPr>
          <w:rFonts w:ascii="Arial" w:hAnsi="Arial"/>
          <w:sz w:val="22"/>
          <w:u w:val="single"/>
        </w:rPr>
        <w:t>3.3 Fluorescence intrinsèque des amyloïdes de métabolites</w:t>
      </w:r>
    </w:p>
    <w:p w14:paraId="47951959" w14:textId="77777777" w:rsidR="002D2C47" w:rsidRDefault="002D2C47" w:rsidP="002D2C47">
      <w:pPr>
        <w:jc w:val="both"/>
        <w:rPr>
          <w:rFonts w:ascii="Arial" w:hAnsi="Arial" w:cs="Arial"/>
          <w:sz w:val="22"/>
          <w:szCs w:val="22"/>
        </w:rPr>
      </w:pPr>
    </w:p>
    <w:p w14:paraId="3DFA392F" w14:textId="77777777" w:rsidR="002D2C47" w:rsidRDefault="002D2C47" w:rsidP="002D2C47">
      <w:pPr>
        <w:jc w:val="both"/>
        <w:rPr>
          <w:rFonts w:ascii="Arial" w:hAnsi="Arial" w:cs="Arial"/>
          <w:sz w:val="22"/>
          <w:szCs w:val="22"/>
        </w:rPr>
      </w:pPr>
      <w:r w:rsidRPr="00CC7C49">
        <w:rPr>
          <w:rFonts w:ascii="Arial" w:hAnsi="Arial"/>
          <w:sz w:val="22"/>
        </w:rPr>
        <w:t>Nous présentons la détection de la formation, la dynamique et la distribution cellulaire de structures de type amyloïde et fournissons une compréhension mécanistique de la génération de chromophores supramoléculaires.</w:t>
      </w:r>
      <w:r>
        <w:rPr>
          <w:rFonts w:ascii="Arial" w:hAnsi="Arial"/>
          <w:sz w:val="22"/>
        </w:rPr>
        <w:t xml:space="preserve"> En outre, les propriétés de fluorescence intrinsèques permettent la détection des assemblages de métabolites dans des cellules vivantes sans l’utilisation de colorants externes.</w:t>
      </w:r>
    </w:p>
    <w:p w14:paraId="43708F59" w14:textId="77777777" w:rsidR="002D2C47" w:rsidRDefault="002D2C47" w:rsidP="002D2C47">
      <w:pPr>
        <w:jc w:val="both"/>
        <w:rPr>
          <w:rFonts w:ascii="Arial" w:hAnsi="Arial" w:cs="Arial"/>
          <w:sz w:val="22"/>
          <w:szCs w:val="22"/>
        </w:rPr>
      </w:pPr>
    </w:p>
    <w:p w14:paraId="503829EA" w14:textId="77777777" w:rsidR="002D2C47" w:rsidRPr="00A3178A" w:rsidRDefault="002D2C47" w:rsidP="002D2C47">
      <w:pPr>
        <w:jc w:val="both"/>
        <w:rPr>
          <w:rFonts w:ascii="Arial" w:hAnsi="Arial" w:cs="Arial"/>
          <w:i/>
          <w:iCs/>
          <w:sz w:val="22"/>
          <w:szCs w:val="22"/>
        </w:rPr>
      </w:pPr>
      <w:r>
        <w:rPr>
          <w:rFonts w:ascii="Arial" w:hAnsi="Arial"/>
          <w:i/>
          <w:sz w:val="22"/>
        </w:rPr>
        <w:t>Cette étude a été publiée par notre groupe :</w:t>
      </w:r>
    </w:p>
    <w:p w14:paraId="15ACD505" w14:textId="77777777" w:rsidR="002D2C47" w:rsidRDefault="002D2C47" w:rsidP="002D2C47">
      <w:pPr>
        <w:jc w:val="both"/>
        <w:rPr>
          <w:rFonts w:ascii="Arial" w:hAnsi="Arial" w:cs="Arial"/>
          <w:i/>
          <w:iCs/>
          <w:sz w:val="22"/>
          <w:szCs w:val="22"/>
        </w:rPr>
      </w:pPr>
      <w:r w:rsidRPr="00212D44">
        <w:rPr>
          <w:rFonts w:ascii="Arial" w:hAnsi="Arial"/>
          <w:i/>
          <w:sz w:val="22"/>
          <w:lang w:val="en-US"/>
        </w:rPr>
        <w:t>Shaham</w:t>
      </w:r>
      <w:r w:rsidRPr="00212D44">
        <w:rPr>
          <w:rFonts w:ascii="Cambria Math" w:hAnsi="Cambria Math"/>
          <w:i/>
          <w:sz w:val="22"/>
          <w:lang w:val="en-US"/>
        </w:rPr>
        <w:t>‐</w:t>
      </w:r>
      <w:r w:rsidRPr="00212D44">
        <w:rPr>
          <w:rFonts w:ascii="Arial" w:hAnsi="Arial"/>
          <w:i/>
          <w:sz w:val="22"/>
          <w:lang w:val="en-US"/>
        </w:rPr>
        <w:t>Niv, S., Arnon, Z. A., Sade, D., Lichtenstein, A., Shirshin, E. A., Kolusheva, S., &amp; Gazit, E. (2018). Intrinsic Fluorescence of Metabolite Amyloids Allows Label</w:t>
      </w:r>
      <w:r w:rsidRPr="00212D44">
        <w:rPr>
          <w:rFonts w:ascii="Cambria Math" w:hAnsi="Cambria Math"/>
          <w:i/>
          <w:sz w:val="22"/>
          <w:lang w:val="en-US"/>
        </w:rPr>
        <w:t>‐</w:t>
      </w:r>
      <w:r w:rsidRPr="00212D44">
        <w:rPr>
          <w:rFonts w:ascii="Arial" w:hAnsi="Arial"/>
          <w:i/>
          <w:sz w:val="22"/>
          <w:lang w:val="en-US"/>
        </w:rPr>
        <w:t xml:space="preserve">Free Monitoring of Their Formation and Dynamics in Live Cells. </w:t>
      </w:r>
      <w:r>
        <w:rPr>
          <w:rFonts w:ascii="Arial" w:hAnsi="Arial"/>
          <w:i/>
          <w:sz w:val="22"/>
        </w:rPr>
        <w:t>Angewandte Chemie International Edition, 57(38), 12444-12447.</w:t>
      </w:r>
    </w:p>
    <w:p w14:paraId="2274E095" w14:textId="77777777" w:rsidR="002D2C47" w:rsidRPr="00A3178A"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78D87DB5" w14:textId="77777777" w:rsidR="002D2C47" w:rsidRDefault="002D2C47" w:rsidP="002D2C47">
      <w:pPr>
        <w:jc w:val="both"/>
        <w:rPr>
          <w:rFonts w:ascii="Arial" w:hAnsi="Arial" w:cs="Arial"/>
          <w:i/>
          <w:iCs/>
          <w:sz w:val="22"/>
          <w:szCs w:val="22"/>
        </w:rPr>
      </w:pPr>
    </w:p>
    <w:p w14:paraId="245B70D5" w14:textId="77777777" w:rsidR="002D2C47" w:rsidRDefault="002D2C47" w:rsidP="002D2C47">
      <w:pPr>
        <w:jc w:val="both"/>
        <w:rPr>
          <w:rFonts w:ascii="Arial" w:hAnsi="Arial" w:cs="Arial"/>
          <w:sz w:val="22"/>
          <w:szCs w:val="22"/>
          <w:u w:val="single"/>
        </w:rPr>
      </w:pPr>
      <w:r>
        <w:rPr>
          <w:rFonts w:ascii="Arial" w:hAnsi="Arial"/>
          <w:sz w:val="22"/>
          <w:u w:val="single"/>
        </w:rPr>
        <w:t>3.4 Production d’anticorps contre les assemblages d’amyloïdes</w:t>
      </w:r>
    </w:p>
    <w:p w14:paraId="63045A64" w14:textId="77777777" w:rsidR="002D2C47" w:rsidRDefault="002D2C47" w:rsidP="002D2C47">
      <w:pPr>
        <w:jc w:val="both"/>
        <w:rPr>
          <w:rFonts w:ascii="Arial" w:hAnsi="Arial" w:cs="Arial"/>
          <w:sz w:val="22"/>
          <w:szCs w:val="22"/>
          <w:u w:val="single"/>
        </w:rPr>
      </w:pPr>
    </w:p>
    <w:p w14:paraId="390CA551" w14:textId="77777777" w:rsidR="002D2C47" w:rsidRDefault="002D2C47" w:rsidP="002D2C47">
      <w:pPr>
        <w:jc w:val="both"/>
        <w:rPr>
          <w:rFonts w:ascii="Arial" w:hAnsi="Arial" w:cs="Arial"/>
          <w:sz w:val="22"/>
          <w:szCs w:val="22"/>
        </w:rPr>
      </w:pPr>
      <w:r>
        <w:rPr>
          <w:rFonts w:ascii="Arial" w:hAnsi="Arial"/>
          <w:sz w:val="22"/>
        </w:rPr>
        <w:t xml:space="preserve">La production d’anticorps contre les assemblages d’amyloïdes a permis une étude approfondie de la pathologie des amyloïdes à l’aide de méthodes telles que l’immunocoloration, le western blot et l’immunohistochimie. Récemment, des anticorps primaires polyclonaux anti-fibrilles amyloïdes de tyrosine ont été produits chez le lapin. La reconnaissance de fibrilles amyloïdes de tyrosine assemblées </w:t>
      </w:r>
      <w:r>
        <w:rPr>
          <w:rFonts w:ascii="Arial" w:hAnsi="Arial"/>
          <w:i/>
          <w:iCs/>
          <w:sz w:val="22"/>
        </w:rPr>
        <w:t>in vitro</w:t>
      </w:r>
      <w:r>
        <w:rPr>
          <w:rFonts w:ascii="Arial" w:hAnsi="Arial"/>
          <w:sz w:val="22"/>
        </w:rPr>
        <w:t xml:space="preserve"> par les anticorps polyclonaux tyrosine a été démontrée, alors que des anticorps purifiés à partir de lapins avant immunisation, et servant de témoin négatif, ne reconnaissaient pas les fibrilles de tyrosine. De plus, ces anticorps ont permis l’immunocoloration de la présence intracellulaire de fibrilles de tyrosine dans des cellules de neuroblastome. Enfin, la préincubation de fibrilles de tyrosine avec les anticorps a entraîné une réduction significative de leur cytotoxicité, indiquant leur reconnaissance spécifique des espèces de tyrosine toxiques.</w:t>
      </w:r>
    </w:p>
    <w:p w14:paraId="352ED8FC" w14:textId="77777777" w:rsidR="002D2C47" w:rsidRDefault="002D2C47" w:rsidP="002D2C47">
      <w:pPr>
        <w:jc w:val="both"/>
        <w:rPr>
          <w:rFonts w:ascii="Arial" w:hAnsi="Arial" w:cs="Arial"/>
          <w:sz w:val="22"/>
          <w:szCs w:val="22"/>
        </w:rPr>
      </w:pPr>
    </w:p>
    <w:p w14:paraId="61471D1A" w14:textId="77777777" w:rsidR="002D2C47" w:rsidRPr="00A3178A" w:rsidRDefault="002D2C47" w:rsidP="002D2C47">
      <w:pPr>
        <w:jc w:val="both"/>
        <w:rPr>
          <w:rFonts w:ascii="Arial" w:hAnsi="Arial" w:cs="Arial"/>
          <w:i/>
          <w:iCs/>
          <w:sz w:val="22"/>
          <w:szCs w:val="22"/>
        </w:rPr>
      </w:pPr>
      <w:r>
        <w:rPr>
          <w:rFonts w:ascii="Arial" w:hAnsi="Arial"/>
          <w:i/>
          <w:sz w:val="22"/>
        </w:rPr>
        <w:t>Cette étude a été publiée par notre groupe :</w:t>
      </w:r>
    </w:p>
    <w:p w14:paraId="00345B52" w14:textId="77777777" w:rsidR="002D2C47" w:rsidRDefault="002D2C47" w:rsidP="002D2C47">
      <w:pPr>
        <w:jc w:val="both"/>
        <w:rPr>
          <w:rFonts w:ascii="Arial" w:hAnsi="Arial" w:cs="Arial"/>
          <w:i/>
          <w:iCs/>
          <w:sz w:val="22"/>
          <w:szCs w:val="22"/>
        </w:rPr>
      </w:pPr>
      <w:r w:rsidRPr="00212D44">
        <w:rPr>
          <w:rFonts w:ascii="Arial" w:hAnsi="Arial"/>
          <w:i/>
          <w:sz w:val="22"/>
          <w:lang w:val="en-US"/>
        </w:rPr>
        <w:t xml:space="preserve">Zaguri, D. Kreizer, T., Shaham-Niv, S. &amp; Gazit, E. (2018). Antibodies towards Tyrosine Amyloid-Like Fibrils Allow Toxicity Modulation and Cellular Imaging of the Assemblies. </w:t>
      </w:r>
      <w:r>
        <w:rPr>
          <w:rFonts w:ascii="Arial" w:hAnsi="Arial"/>
          <w:i/>
          <w:sz w:val="22"/>
        </w:rPr>
        <w:t>Molecules, 23, 1273.</w:t>
      </w:r>
    </w:p>
    <w:p w14:paraId="73A00957" w14:textId="77777777" w:rsidR="002D2C47" w:rsidRPr="00A3178A"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5D93436B" w14:textId="77777777" w:rsidR="002D2C47" w:rsidRDefault="002D2C47" w:rsidP="002D2C47">
      <w:pPr>
        <w:jc w:val="both"/>
        <w:rPr>
          <w:rFonts w:ascii="Arial" w:hAnsi="Arial" w:cs="Arial"/>
          <w:i/>
          <w:iCs/>
          <w:sz w:val="22"/>
          <w:szCs w:val="22"/>
        </w:rPr>
      </w:pPr>
    </w:p>
    <w:p w14:paraId="758E4EFD" w14:textId="77777777" w:rsidR="002D2C47" w:rsidRDefault="002D2C47" w:rsidP="002D2C47">
      <w:pPr>
        <w:jc w:val="both"/>
        <w:rPr>
          <w:rFonts w:ascii="Arial" w:hAnsi="Arial" w:cs="Arial"/>
          <w:sz w:val="22"/>
          <w:szCs w:val="22"/>
        </w:rPr>
      </w:pPr>
      <w:proofErr w:type="gramStart"/>
      <w:r>
        <w:rPr>
          <w:rFonts w:ascii="Wingdings" w:hAnsi="Wingdings"/>
        </w:rPr>
        <w:t>à</w:t>
      </w:r>
      <w:proofErr w:type="gramEnd"/>
      <w:r>
        <w:rPr>
          <w:rFonts w:ascii="Arial" w:hAnsi="Arial"/>
          <w:sz w:val="22"/>
        </w:rPr>
        <w:t xml:space="preserve"> Ensemble, ces résultats vérifient leur nature amyloïde, tout en fournissant un outil important pour poursuivre l’étude de leur rôle pathologique dans les désordres des EIM.</w:t>
      </w:r>
    </w:p>
    <w:p w14:paraId="6F79280F" w14:textId="77777777" w:rsidR="002D2C47" w:rsidRDefault="002D2C47" w:rsidP="002D2C47">
      <w:pPr>
        <w:jc w:val="both"/>
        <w:rPr>
          <w:rFonts w:ascii="Arial" w:hAnsi="Arial" w:cs="Arial"/>
          <w:sz w:val="22"/>
          <w:szCs w:val="22"/>
        </w:rPr>
      </w:pPr>
    </w:p>
    <w:p w14:paraId="1602B3E0" w14:textId="77777777" w:rsidR="002D2C47" w:rsidRPr="00A3178A" w:rsidRDefault="002D2C47" w:rsidP="002D2C47">
      <w:pPr>
        <w:keepNext/>
        <w:keepLines/>
        <w:jc w:val="both"/>
        <w:rPr>
          <w:rFonts w:ascii="Arial" w:hAnsi="Arial" w:cs="Arial"/>
          <w:b/>
          <w:bCs/>
          <w:sz w:val="22"/>
          <w:szCs w:val="22"/>
        </w:rPr>
      </w:pPr>
      <w:r>
        <w:rPr>
          <w:rFonts w:ascii="Arial" w:hAnsi="Arial"/>
          <w:b/>
          <w:sz w:val="22"/>
        </w:rPr>
        <w:lastRenderedPageBreak/>
        <w:t>4. Extension de l’hypothèse amyloïde à des métabolites supplémentaires qui s’accumulent dans des EIM</w:t>
      </w:r>
    </w:p>
    <w:p w14:paraId="00BB4590" w14:textId="77777777" w:rsidR="002D2C47" w:rsidRPr="00A3178A" w:rsidRDefault="002D2C47" w:rsidP="002D2C47">
      <w:pPr>
        <w:keepNext/>
        <w:keepLines/>
        <w:jc w:val="both"/>
        <w:rPr>
          <w:rFonts w:ascii="Arial" w:hAnsi="Arial" w:cs="Arial"/>
          <w:b/>
          <w:bCs/>
          <w:sz w:val="22"/>
          <w:szCs w:val="22"/>
        </w:rPr>
      </w:pPr>
    </w:p>
    <w:p w14:paraId="2B6846BB" w14:textId="77777777" w:rsidR="002D2C47" w:rsidRDefault="002D2C47" w:rsidP="002D2C47">
      <w:pPr>
        <w:keepNext/>
        <w:keepLines/>
        <w:jc w:val="both"/>
        <w:rPr>
          <w:rFonts w:ascii="Arial" w:hAnsi="Arial" w:cs="Arial"/>
          <w:sz w:val="22"/>
          <w:szCs w:val="22"/>
        </w:rPr>
      </w:pPr>
      <w:r>
        <w:rPr>
          <w:rFonts w:ascii="Arial" w:hAnsi="Arial"/>
          <w:sz w:val="22"/>
        </w:rPr>
        <w:t>Comme mentionné précédemment, nous avons récemment commencé à explorer un nouveau concept proposant que l’ensemencement croisé est un mécanisme sous-jacent au rôle de l’accumulation des métabolites dans les stades précoces des maladies neurodégénératives. Nous postulons que des niveaux élevés de métabolites peuvent provoquer leur autoassemblage en petites « graines » de métabolites, qui à leur tour peuvent accélérer l’assemblage de protéines amyloïdes.</w:t>
      </w:r>
    </w:p>
    <w:p w14:paraId="5A6E4E39" w14:textId="77777777" w:rsidR="002D2C47" w:rsidRDefault="002D2C47" w:rsidP="002D2C47">
      <w:pPr>
        <w:jc w:val="both"/>
        <w:rPr>
          <w:rFonts w:ascii="Arial" w:hAnsi="Arial" w:cs="Arial"/>
          <w:sz w:val="22"/>
          <w:szCs w:val="22"/>
        </w:rPr>
      </w:pPr>
    </w:p>
    <w:p w14:paraId="54BBC153" w14:textId="77777777" w:rsidR="002D2C47" w:rsidRPr="00A3178A" w:rsidRDefault="002D2C47" w:rsidP="002D2C47">
      <w:pPr>
        <w:jc w:val="both"/>
        <w:rPr>
          <w:rFonts w:ascii="Arial" w:hAnsi="Arial" w:cs="Arial"/>
          <w:i/>
          <w:iCs/>
          <w:sz w:val="22"/>
          <w:szCs w:val="22"/>
        </w:rPr>
      </w:pPr>
      <w:r>
        <w:rPr>
          <w:rFonts w:ascii="Arial" w:hAnsi="Arial"/>
          <w:i/>
          <w:sz w:val="22"/>
        </w:rPr>
        <w:t>Cette hypothèse a été publiée par notre groupe :</w:t>
      </w:r>
    </w:p>
    <w:p w14:paraId="41F482CA" w14:textId="77777777" w:rsidR="002D2C47" w:rsidRPr="00A3178A" w:rsidRDefault="002D2C47" w:rsidP="002D2C47">
      <w:pPr>
        <w:jc w:val="both"/>
        <w:rPr>
          <w:rFonts w:ascii="Arial" w:hAnsi="Arial" w:cs="Arial"/>
          <w:i/>
          <w:iCs/>
          <w:sz w:val="22"/>
          <w:szCs w:val="22"/>
        </w:rPr>
      </w:pPr>
      <w:r w:rsidRPr="00212D44">
        <w:rPr>
          <w:rFonts w:ascii="Arial" w:hAnsi="Arial"/>
          <w:i/>
          <w:sz w:val="22"/>
          <w:lang w:val="en-US"/>
        </w:rPr>
        <w:t xml:space="preserve">Sade, D., Shaham-Niv, S., Arnon, Z. A., Tavassoly, O. &amp; Gazit, E. Seeding of proteins into amyloid structures by metabolite assemblies may clarify certain unexplained epidemiological associations. </w:t>
      </w:r>
      <w:r>
        <w:rPr>
          <w:rFonts w:ascii="Arial" w:hAnsi="Arial"/>
          <w:i/>
          <w:sz w:val="22"/>
        </w:rPr>
        <w:t>Open Biol. 8, 170229 (2018).</w:t>
      </w:r>
    </w:p>
    <w:p w14:paraId="5C4A5FF7" w14:textId="77777777" w:rsidR="002D2C47" w:rsidRPr="00A3178A"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2C5065BE" w14:textId="77777777" w:rsidR="002D2C47" w:rsidRPr="00212D44" w:rsidRDefault="002D2C47" w:rsidP="002D2C47">
      <w:pPr>
        <w:jc w:val="both"/>
        <w:rPr>
          <w:rFonts w:ascii="Arial" w:hAnsi="Arial" w:cs="Arial"/>
          <w:sz w:val="22"/>
          <w:szCs w:val="22"/>
        </w:rPr>
      </w:pPr>
    </w:p>
    <w:p w14:paraId="235BE9CA" w14:textId="77777777" w:rsidR="002D2C47" w:rsidRDefault="002D2C47" w:rsidP="002D2C47">
      <w:pPr>
        <w:jc w:val="both"/>
        <w:rPr>
          <w:rFonts w:ascii="Arial" w:hAnsi="Arial" w:cs="Arial"/>
          <w:sz w:val="22"/>
          <w:szCs w:val="22"/>
        </w:rPr>
      </w:pPr>
      <w:r>
        <w:rPr>
          <w:rFonts w:ascii="Arial" w:hAnsi="Arial"/>
          <w:sz w:val="22"/>
        </w:rPr>
        <w:t xml:space="preserve">L’un des métabolites que nous avons récemment étudiés est l’acide quinolinique (AQ), une neurotoxine endogène. L’AQ est un neurométabolite endogène, un intermédiaire de la voie de la kynurénine. Des mutations dans ACMSD, le gène qui contrôle les niveaux d’AQ, ont été associées à un risque accru de développer la maladie de parkinson (MP) dans plusieurs études d’association pangénomique (GWAS). En outre, ACMSD a récemment été proposé comme nouvelle cible thérapeutique pour la MP d’après des études génétiques. En l’absence d’activité d’ACMSD en raison de mutations dans le gène codant, l’excès du métabolite précurseur de l’AQ est spontanément converti en AQ. L’excès d’AQ est relâché et assimilé par les neurones, s’accumulant ainsi en dehors et à l’intérieur des neurones. Fait intéressant, dans des coupes de cerveaux post-mortem de patients atteints de la maladie d’Alzheimer, l’AQ a été détecté sous forme de structures ponctiformes, en co-localisation avec des structures fibrillaires de la protéine Tau. Pendant notre étude, nous avons pu démontrer la formation d’assemblages de type amyloïde par l’AQ, leur effet cytotoxique et la capacité de ces assemblages à l’ensemencement croisé de l’agrégation de l’α-synucléine, une protéine pathologique liée à la MP, </w:t>
      </w:r>
      <w:r>
        <w:rPr>
          <w:rFonts w:ascii="Arial" w:hAnsi="Arial"/>
          <w:i/>
          <w:iCs/>
          <w:sz w:val="22"/>
        </w:rPr>
        <w:t>in vitro</w:t>
      </w:r>
      <w:r>
        <w:rPr>
          <w:rFonts w:ascii="Arial" w:hAnsi="Arial"/>
          <w:sz w:val="22"/>
        </w:rPr>
        <w:t xml:space="preserve"> et en culture de cellules.</w:t>
      </w:r>
    </w:p>
    <w:p w14:paraId="1824B3F7" w14:textId="77777777" w:rsidR="002D2C47" w:rsidRDefault="002D2C47" w:rsidP="002D2C47">
      <w:pPr>
        <w:jc w:val="both"/>
        <w:rPr>
          <w:rFonts w:ascii="Arial" w:hAnsi="Arial" w:cs="Arial"/>
          <w:sz w:val="22"/>
          <w:szCs w:val="22"/>
        </w:rPr>
      </w:pPr>
    </w:p>
    <w:p w14:paraId="5318CC71" w14:textId="77777777" w:rsidR="002D2C47" w:rsidRPr="00A3178A" w:rsidRDefault="002D2C47" w:rsidP="002D2C47">
      <w:pPr>
        <w:jc w:val="both"/>
        <w:rPr>
          <w:rFonts w:ascii="Arial" w:hAnsi="Arial" w:cs="Arial"/>
          <w:i/>
          <w:iCs/>
          <w:sz w:val="22"/>
          <w:szCs w:val="22"/>
        </w:rPr>
      </w:pPr>
      <w:r>
        <w:rPr>
          <w:rFonts w:ascii="Arial" w:hAnsi="Arial"/>
          <w:i/>
          <w:sz w:val="22"/>
        </w:rPr>
        <w:t>Cette étude a été publiée par notre groupe :</w:t>
      </w:r>
    </w:p>
    <w:p w14:paraId="7967F05A" w14:textId="77777777" w:rsidR="002D2C47" w:rsidRPr="00A3178A" w:rsidRDefault="002D2C47" w:rsidP="002D2C47">
      <w:pPr>
        <w:jc w:val="both"/>
        <w:rPr>
          <w:rFonts w:ascii="Arial" w:hAnsi="Arial" w:cs="Arial"/>
          <w:i/>
          <w:iCs/>
          <w:sz w:val="22"/>
          <w:szCs w:val="22"/>
        </w:rPr>
      </w:pPr>
      <w:r w:rsidRPr="00212D44">
        <w:rPr>
          <w:rFonts w:ascii="Arial" w:hAnsi="Arial"/>
          <w:i/>
          <w:sz w:val="22"/>
          <w:lang w:val="en-US"/>
        </w:rPr>
        <w:t xml:space="preserve">Tavassoly, O., Sade, D., Bera, S., Shaham-Niv, S., Vocadlo, D. J. &amp; Gazit, E. (2018). Quinolinic Acid Amyloid-like Fibrillar Assemblies Seed </w:t>
      </w:r>
      <w:r>
        <w:rPr>
          <w:rFonts w:ascii="Arial" w:hAnsi="Arial"/>
          <w:i/>
          <w:sz w:val="22"/>
        </w:rPr>
        <w:t>α</w:t>
      </w:r>
      <w:r w:rsidRPr="00212D44">
        <w:rPr>
          <w:rFonts w:ascii="Arial" w:hAnsi="Arial"/>
          <w:i/>
          <w:sz w:val="22"/>
          <w:lang w:val="en-US"/>
        </w:rPr>
        <w:t xml:space="preserve">-Synuclein Aggregation. </w:t>
      </w:r>
      <w:r>
        <w:rPr>
          <w:rFonts w:ascii="Arial" w:hAnsi="Arial"/>
          <w:i/>
          <w:sz w:val="22"/>
        </w:rPr>
        <w:t>Journal of Molecular Biology, 430, 3847–3862.</w:t>
      </w:r>
    </w:p>
    <w:p w14:paraId="237C9CB7" w14:textId="77777777" w:rsidR="002D2C47" w:rsidRPr="00A3178A"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7E94E13B" w14:textId="77777777" w:rsidR="002D2C47" w:rsidRDefault="002D2C47" w:rsidP="002D2C47">
      <w:pPr>
        <w:jc w:val="both"/>
        <w:rPr>
          <w:rFonts w:ascii="Arial" w:hAnsi="Arial" w:cs="Arial"/>
          <w:sz w:val="22"/>
          <w:szCs w:val="22"/>
        </w:rPr>
      </w:pPr>
    </w:p>
    <w:p w14:paraId="3091A2F3" w14:textId="77777777" w:rsidR="002D2C47" w:rsidRPr="00A3178A" w:rsidRDefault="002D2C47" w:rsidP="002D2C47">
      <w:pPr>
        <w:jc w:val="both"/>
        <w:rPr>
          <w:rFonts w:ascii="Arial" w:hAnsi="Arial" w:cs="Arial"/>
          <w:b/>
          <w:bCs/>
          <w:sz w:val="22"/>
          <w:szCs w:val="22"/>
        </w:rPr>
      </w:pPr>
      <w:r>
        <w:rPr>
          <w:rFonts w:ascii="Arial" w:hAnsi="Arial"/>
          <w:b/>
          <w:sz w:val="22"/>
        </w:rPr>
        <w:t xml:space="preserve">5. Caractérisation </w:t>
      </w:r>
      <w:r>
        <w:rPr>
          <w:rFonts w:ascii="Arial" w:hAnsi="Arial"/>
          <w:b/>
          <w:i/>
          <w:iCs/>
          <w:sz w:val="22"/>
        </w:rPr>
        <w:t>in vivo</w:t>
      </w:r>
      <w:r>
        <w:rPr>
          <w:rFonts w:ascii="Arial" w:hAnsi="Arial"/>
          <w:b/>
          <w:sz w:val="22"/>
        </w:rPr>
        <w:t xml:space="preserve"> des assemblages de métabolites et développement de pistes thérapeutiques</w:t>
      </w:r>
    </w:p>
    <w:p w14:paraId="5E250A55" w14:textId="77777777" w:rsidR="002D2C47" w:rsidRDefault="002D2C47" w:rsidP="002D2C47">
      <w:pPr>
        <w:jc w:val="both"/>
        <w:rPr>
          <w:rFonts w:ascii="Arial" w:hAnsi="Arial" w:cs="Arial"/>
          <w:sz w:val="22"/>
          <w:szCs w:val="22"/>
        </w:rPr>
      </w:pPr>
    </w:p>
    <w:p w14:paraId="4E0A58B6" w14:textId="77777777" w:rsidR="002D2C47" w:rsidRDefault="002D2C47" w:rsidP="002D2C47">
      <w:pPr>
        <w:jc w:val="both"/>
        <w:rPr>
          <w:rFonts w:ascii="Arial" w:hAnsi="Arial" w:cs="Arial"/>
          <w:sz w:val="22"/>
          <w:szCs w:val="22"/>
          <w:u w:val="single"/>
        </w:rPr>
      </w:pPr>
      <w:r>
        <w:rPr>
          <w:rFonts w:ascii="Arial" w:hAnsi="Arial"/>
          <w:sz w:val="22"/>
          <w:u w:val="single"/>
        </w:rPr>
        <w:t xml:space="preserve">5.1 Modèle </w:t>
      </w:r>
      <w:r>
        <w:rPr>
          <w:rFonts w:ascii="Arial" w:hAnsi="Arial"/>
          <w:i/>
          <w:iCs/>
          <w:sz w:val="22"/>
          <w:u w:val="single"/>
        </w:rPr>
        <w:t>in vivo</w:t>
      </w:r>
      <w:r>
        <w:rPr>
          <w:rFonts w:ascii="Arial" w:hAnsi="Arial"/>
          <w:sz w:val="22"/>
          <w:u w:val="single"/>
        </w:rPr>
        <w:t xml:space="preserve"> endogène pour l’étude de l’agrégation de l’adénine</w:t>
      </w:r>
    </w:p>
    <w:p w14:paraId="7DFA254A" w14:textId="77777777" w:rsidR="002D2C47" w:rsidRDefault="002D2C47" w:rsidP="002D2C47">
      <w:pPr>
        <w:jc w:val="both"/>
        <w:rPr>
          <w:rFonts w:ascii="Arial" w:hAnsi="Arial" w:cs="Arial"/>
          <w:sz w:val="22"/>
          <w:szCs w:val="22"/>
          <w:u w:val="single"/>
        </w:rPr>
      </w:pPr>
    </w:p>
    <w:p w14:paraId="00758CA9" w14:textId="77777777" w:rsidR="002D2C47" w:rsidRDefault="002D2C47" w:rsidP="002D2C47">
      <w:pPr>
        <w:jc w:val="both"/>
        <w:rPr>
          <w:rFonts w:ascii="Arial" w:hAnsi="Arial" w:cs="Arial"/>
          <w:sz w:val="22"/>
          <w:szCs w:val="22"/>
        </w:rPr>
      </w:pPr>
      <w:r>
        <w:rPr>
          <w:rFonts w:ascii="Arial" w:hAnsi="Arial"/>
          <w:sz w:val="22"/>
        </w:rPr>
        <w:t xml:space="preserve">Les deux enzymes adénine phosphoribosyltransférase (APRT) et adénosine désaminase (ADA) participent à la récupération de l’adénine chez l’humain, et des mutations dans les gènes les codant peuvent entraîner l’accumulation d’adénine et de ses dérivés. Chez la levure bourgeonnante, les orthologues d’APRT et ADA sont impliqués de la même manière dans la récupération de l’adénine. Nous avons généré un mutant de récupération de l’adénine par une perturbation dans ces gènes. À l’aide du modèle de récupération de l’adénine présenté, nous avons observé une sensibilité à l’adénine fournie dans le milieu de culture. Nos résultats indiquent que la toxicité cellulaire observée est directement liée à l’autoassemblage de structures d’adénine de type amyloïde. Par ailleurs, la réduction des niveaux d’adénine ou un traitement par un inhibiteur polyphénolique réduisait l’apparition des structures de type amyloïde alors qu’il n’affectait pas l’augmentation spectaculaire de la concentration en </w:t>
      </w:r>
      <w:r>
        <w:rPr>
          <w:rFonts w:ascii="Arial" w:hAnsi="Arial"/>
          <w:sz w:val="22"/>
        </w:rPr>
        <w:lastRenderedPageBreak/>
        <w:t>adénine intracellulaire, ce qui signifie que les assemblages sont responsables de la toxicité cellulaire et non les métabolites libres.</w:t>
      </w:r>
    </w:p>
    <w:p w14:paraId="38A1DDC7" w14:textId="77777777" w:rsidR="002D2C47" w:rsidRDefault="002D2C47" w:rsidP="002D2C47">
      <w:pPr>
        <w:jc w:val="both"/>
        <w:rPr>
          <w:rFonts w:ascii="Arial" w:hAnsi="Arial" w:cs="Arial"/>
          <w:sz w:val="22"/>
          <w:szCs w:val="22"/>
        </w:rPr>
      </w:pPr>
    </w:p>
    <w:p w14:paraId="34C5DF7B" w14:textId="77777777" w:rsidR="002D2C47" w:rsidRPr="00B56607" w:rsidRDefault="002D2C47" w:rsidP="002D2C47">
      <w:pPr>
        <w:jc w:val="both"/>
        <w:rPr>
          <w:rFonts w:ascii="Arial" w:hAnsi="Arial" w:cs="Arial"/>
          <w:i/>
          <w:iCs/>
          <w:sz w:val="22"/>
          <w:szCs w:val="22"/>
        </w:rPr>
      </w:pPr>
      <w:r>
        <w:rPr>
          <w:rFonts w:ascii="Arial" w:hAnsi="Arial"/>
          <w:i/>
          <w:sz w:val="22"/>
        </w:rPr>
        <w:t>Cette étude a été publiée par notre groupe :</w:t>
      </w:r>
    </w:p>
    <w:p w14:paraId="261B3BDD" w14:textId="77777777" w:rsidR="002D2C47" w:rsidRPr="00B56607" w:rsidRDefault="002D2C47" w:rsidP="002D2C47">
      <w:pPr>
        <w:jc w:val="both"/>
        <w:rPr>
          <w:rFonts w:ascii="Arial" w:hAnsi="Arial" w:cs="Arial"/>
          <w:i/>
          <w:iCs/>
          <w:sz w:val="22"/>
          <w:szCs w:val="22"/>
        </w:rPr>
      </w:pPr>
      <w:r w:rsidRPr="00212D44">
        <w:rPr>
          <w:rFonts w:ascii="Arial" w:hAnsi="Arial"/>
          <w:i/>
          <w:sz w:val="22"/>
          <w:lang w:val="en-US"/>
        </w:rPr>
        <w:t xml:space="preserve">Laor, D. et al. Fibril formation and therapeutic targeting of amyloid-like structures in a yeast model of adenine accumulation. </w:t>
      </w:r>
      <w:r>
        <w:rPr>
          <w:rFonts w:ascii="Arial" w:hAnsi="Arial"/>
          <w:i/>
          <w:sz w:val="22"/>
        </w:rPr>
        <w:t>Nat. Commun. 10, 62 (2019).</w:t>
      </w:r>
    </w:p>
    <w:p w14:paraId="7DD46061" w14:textId="77777777" w:rsidR="002D2C47" w:rsidRPr="00B56607" w:rsidRDefault="002D2C47" w:rsidP="002D2C47">
      <w:pPr>
        <w:jc w:val="both"/>
        <w:rPr>
          <w:rFonts w:ascii="Arial" w:hAnsi="Arial" w:cs="Arial"/>
          <w:b/>
          <w:bCs/>
          <w:i/>
          <w:iCs/>
          <w:sz w:val="22"/>
          <w:szCs w:val="22"/>
        </w:rPr>
      </w:pPr>
      <w:r>
        <w:rPr>
          <w:rFonts w:ascii="Arial" w:hAnsi="Arial"/>
          <w:b/>
          <w:i/>
          <w:sz w:val="22"/>
        </w:rPr>
        <w:t>« Ce travail a reçu le soutien de la fondation Adelis Forever »</w:t>
      </w:r>
    </w:p>
    <w:p w14:paraId="578253EF" w14:textId="77777777" w:rsidR="002D2C47" w:rsidRDefault="002D2C47" w:rsidP="002D2C47">
      <w:pPr>
        <w:rPr>
          <w:rFonts w:ascii="Arial" w:hAnsi="Arial" w:cs="Arial"/>
          <w:sz w:val="22"/>
          <w:szCs w:val="22"/>
        </w:rPr>
      </w:pPr>
    </w:p>
    <w:p w14:paraId="3DDAEAD7" w14:textId="77777777" w:rsidR="002D2C47" w:rsidRDefault="002D2C47" w:rsidP="002D2C47">
      <w:pPr>
        <w:rPr>
          <w:rFonts w:ascii="Arial" w:hAnsi="Arial" w:cs="Arial"/>
          <w:sz w:val="22"/>
          <w:szCs w:val="22"/>
        </w:rPr>
      </w:pPr>
      <w:r>
        <w:rPr>
          <w:rFonts w:ascii="Arial" w:hAnsi="Arial" w:cs="Arial"/>
          <w:sz w:val="22"/>
          <w:szCs w:val="22"/>
        </w:rPr>
        <w:br w:type="page"/>
      </w:r>
    </w:p>
    <w:p w14:paraId="77B2EF9E" w14:textId="77777777" w:rsidR="00EE0EBF" w:rsidRPr="00052609" w:rsidRDefault="00EE0EBF" w:rsidP="000C2658">
      <w:pPr>
        <w:jc w:val="both"/>
        <w:rPr>
          <w:rFonts w:ascii="Arial" w:hAnsi="Arial"/>
          <w:b/>
          <w:color w:val="383360"/>
          <w:sz w:val="54"/>
          <w:szCs w:val="54"/>
          <w:lang w:val="en-US"/>
        </w:rPr>
      </w:pPr>
      <w:r w:rsidRPr="00052609">
        <w:rPr>
          <w:rFonts w:ascii="Arial" w:hAnsi="Arial"/>
          <w:b/>
          <w:color w:val="383360"/>
          <w:sz w:val="54"/>
          <w:szCs w:val="54"/>
          <w:lang w:val="en-US"/>
        </w:rPr>
        <w:lastRenderedPageBreak/>
        <w:t xml:space="preserve">Fondation Adelis </w:t>
      </w:r>
    </w:p>
    <w:p w14:paraId="269F7391" w14:textId="77777777" w:rsidR="00EE0EBF" w:rsidRPr="00052609" w:rsidRDefault="00EE0EBF" w:rsidP="000C2658">
      <w:pPr>
        <w:jc w:val="both"/>
        <w:rPr>
          <w:rFonts w:ascii="Arial" w:hAnsi="Arial"/>
          <w:b/>
          <w:color w:val="383360"/>
          <w:sz w:val="54"/>
          <w:szCs w:val="54"/>
          <w:lang w:val="en-US"/>
        </w:rPr>
      </w:pPr>
      <w:r w:rsidRPr="00052609">
        <w:rPr>
          <w:rFonts w:ascii="Arial" w:hAnsi="Arial"/>
          <w:b/>
          <w:color w:val="383360"/>
          <w:sz w:val="54"/>
          <w:szCs w:val="54"/>
          <w:lang w:val="en-US"/>
        </w:rPr>
        <w:t xml:space="preserve">RAPPORT ANNUEL </w:t>
      </w:r>
    </w:p>
    <w:p w14:paraId="4E213C32" w14:textId="77777777" w:rsidR="00EE0EBF" w:rsidRPr="00052609" w:rsidRDefault="00EE0EBF" w:rsidP="000C2658">
      <w:pPr>
        <w:jc w:val="both"/>
        <w:rPr>
          <w:rFonts w:ascii="Arial" w:hAnsi="Arial"/>
          <w:b/>
          <w:color w:val="383360"/>
          <w:sz w:val="54"/>
          <w:szCs w:val="54"/>
          <w:lang w:val="en-US"/>
        </w:rPr>
      </w:pPr>
      <w:r w:rsidRPr="00052609">
        <w:rPr>
          <w:rFonts w:ascii="Arial" w:hAnsi="Arial"/>
          <w:b/>
          <w:color w:val="383360"/>
          <w:sz w:val="54"/>
          <w:szCs w:val="54"/>
          <w:lang w:val="en-US"/>
        </w:rPr>
        <w:t xml:space="preserve">Octobre 2021 </w:t>
      </w:r>
    </w:p>
    <w:p w14:paraId="518421E7" w14:textId="6ED5247B" w:rsidR="00A3178A" w:rsidRDefault="00A3178A" w:rsidP="00A3178A">
      <w:pPr>
        <w:jc w:val="both"/>
        <w:rPr>
          <w:rFonts w:ascii="Arial" w:hAnsi="Arial" w:cs="Arial"/>
          <w:sz w:val="22"/>
          <w:szCs w:val="22"/>
        </w:rPr>
      </w:pPr>
    </w:p>
    <w:p w14:paraId="01E5627C" w14:textId="57FFD82E" w:rsidR="00052609" w:rsidRDefault="00052609" w:rsidP="00A3178A">
      <w:pPr>
        <w:jc w:val="both"/>
        <w:rPr>
          <w:rFonts w:ascii="Arial" w:hAnsi="Arial" w:cs="Arial"/>
          <w:sz w:val="22"/>
          <w:szCs w:val="22"/>
        </w:rPr>
      </w:pPr>
    </w:p>
    <w:p w14:paraId="0D155234" w14:textId="77777777" w:rsidR="00052609" w:rsidRDefault="00052609" w:rsidP="00A3178A">
      <w:pPr>
        <w:jc w:val="both"/>
        <w:rPr>
          <w:rFonts w:ascii="Arial" w:hAnsi="Arial" w:cs="Arial"/>
          <w:sz w:val="22"/>
          <w:szCs w:val="22"/>
        </w:rPr>
      </w:pPr>
    </w:p>
    <w:p w14:paraId="62F48A65" w14:textId="77777777" w:rsidR="00EE0EBF" w:rsidRPr="0067598C" w:rsidRDefault="00EE0EBF" w:rsidP="00A3178A">
      <w:pPr>
        <w:jc w:val="both"/>
        <w:rPr>
          <w:rFonts w:ascii="Arial" w:eastAsia="Times New Roman" w:hAnsi="Arial" w:cs="Arial"/>
          <w:b/>
          <w:bCs/>
          <w:color w:val="383360"/>
          <w:sz w:val="32"/>
          <w:szCs w:val="32"/>
          <w:lang w:val="en-US"/>
        </w:rPr>
      </w:pPr>
      <w:r w:rsidRPr="0067598C">
        <w:rPr>
          <w:rFonts w:ascii="Arial" w:hAnsi="Arial"/>
          <w:b/>
          <w:color w:val="383360"/>
          <w:sz w:val="32"/>
          <w:lang w:val="en-US"/>
        </w:rPr>
        <w:t>Prof. Noam Shomron</w:t>
      </w:r>
    </w:p>
    <w:p w14:paraId="27843080" w14:textId="37FA5A98" w:rsidR="00EE0EBF" w:rsidRPr="0067598C" w:rsidRDefault="00EE0EBF" w:rsidP="00A3178A">
      <w:pPr>
        <w:jc w:val="both"/>
        <w:rPr>
          <w:rFonts w:ascii="Arial" w:hAnsi="Arial" w:cs="Arial"/>
          <w:sz w:val="22"/>
          <w:szCs w:val="22"/>
          <w:lang w:val="en-US"/>
        </w:rPr>
      </w:pPr>
      <w:r w:rsidRPr="0067598C">
        <w:rPr>
          <w:rFonts w:ascii="Arial" w:hAnsi="Arial"/>
          <w:sz w:val="22"/>
          <w:lang w:val="en-US"/>
        </w:rPr>
        <w:t xml:space="preserve">[Site </w:t>
      </w:r>
      <w:proofErr w:type="gramStart"/>
      <w:r w:rsidRPr="0067598C">
        <w:rPr>
          <w:rFonts w:ascii="Arial" w:hAnsi="Arial"/>
          <w:sz w:val="22"/>
          <w:lang w:val="en-US"/>
        </w:rPr>
        <w:t>internet :</w:t>
      </w:r>
      <w:proofErr w:type="gramEnd"/>
      <w:r w:rsidRPr="0067598C">
        <w:rPr>
          <w:rFonts w:ascii="Arial" w:hAnsi="Arial"/>
          <w:sz w:val="22"/>
          <w:lang w:val="en-US"/>
        </w:rPr>
        <w:t xml:space="preserve"> [www.tau.ac.il/~nshomron</w:t>
      </w:r>
    </w:p>
    <w:p w14:paraId="1A72390F" w14:textId="2B03C500" w:rsidR="00EE0EBF" w:rsidRPr="0067598C" w:rsidRDefault="00EE0EBF" w:rsidP="00A3178A">
      <w:pPr>
        <w:jc w:val="both"/>
        <w:rPr>
          <w:rFonts w:ascii="Arial" w:hAnsi="Arial" w:cs="Arial"/>
          <w:sz w:val="22"/>
          <w:szCs w:val="22"/>
          <w:lang w:val="en-US"/>
        </w:rPr>
      </w:pPr>
    </w:p>
    <w:p w14:paraId="4AA94E97" w14:textId="5C38DC88" w:rsidR="00EE0EBF" w:rsidRPr="0067598C" w:rsidRDefault="00EE0EBF" w:rsidP="00A3178A">
      <w:pPr>
        <w:jc w:val="both"/>
        <w:rPr>
          <w:rFonts w:ascii="Arial" w:hAnsi="Arial" w:cs="Arial"/>
          <w:sz w:val="22"/>
          <w:szCs w:val="22"/>
          <w:lang w:val="en-US"/>
        </w:rPr>
      </w:pPr>
    </w:p>
    <w:p w14:paraId="0C7139E8" w14:textId="6EC72D5B" w:rsidR="00EE0EBF" w:rsidRPr="0067598C" w:rsidRDefault="00EE0EBF">
      <w:pPr>
        <w:rPr>
          <w:rFonts w:ascii="Arial" w:hAnsi="Arial" w:cs="Arial"/>
          <w:sz w:val="22"/>
          <w:szCs w:val="22"/>
          <w:lang w:val="en-US"/>
        </w:rPr>
      </w:pPr>
      <w:r w:rsidRPr="0067598C">
        <w:rPr>
          <w:lang w:val="en-US"/>
        </w:rPr>
        <w:br w:type="page"/>
      </w:r>
    </w:p>
    <w:p w14:paraId="1E79539D" w14:textId="77777777" w:rsidR="000C2658" w:rsidRDefault="00EE0EBF" w:rsidP="00EE0EBF">
      <w:pPr>
        <w:jc w:val="both"/>
        <w:rPr>
          <w:rFonts w:ascii="Arial" w:hAnsi="Arial"/>
          <w:sz w:val="42"/>
        </w:rPr>
      </w:pPr>
      <w:r>
        <w:rPr>
          <w:rFonts w:ascii="Arial" w:hAnsi="Arial"/>
          <w:sz w:val="42"/>
        </w:rPr>
        <w:lastRenderedPageBreak/>
        <w:t>VUE D’ENSEMBLE DE NOTRE TRAVAIL –</w:t>
      </w:r>
    </w:p>
    <w:p w14:paraId="4314681D" w14:textId="2F897A8A" w:rsidR="00EE0EBF" w:rsidRPr="00EE0EBF" w:rsidRDefault="00EE0EBF" w:rsidP="00EE0EBF">
      <w:pPr>
        <w:jc w:val="both"/>
        <w:rPr>
          <w:rFonts w:ascii="Arial" w:hAnsi="Arial" w:cs="Arial"/>
          <w:sz w:val="42"/>
          <w:szCs w:val="42"/>
        </w:rPr>
      </w:pPr>
      <w:r>
        <w:rPr>
          <w:rFonts w:ascii="Arial" w:hAnsi="Arial"/>
          <w:sz w:val="42"/>
        </w:rPr>
        <w:t>GÉNOMIQUE</w:t>
      </w:r>
    </w:p>
    <w:p w14:paraId="59D3B887" w14:textId="77777777" w:rsidR="00EE0EBF" w:rsidRPr="00EE0EBF" w:rsidRDefault="00EE0EBF" w:rsidP="00EE0EBF">
      <w:pPr>
        <w:jc w:val="both"/>
        <w:rPr>
          <w:rFonts w:ascii="Arial" w:hAnsi="Arial" w:cs="Arial"/>
          <w:sz w:val="22"/>
          <w:szCs w:val="22"/>
        </w:rPr>
      </w:pPr>
    </w:p>
    <w:p w14:paraId="6A23DF1D" w14:textId="2A5B059C" w:rsidR="00EE0EBF" w:rsidRDefault="00EE0EBF" w:rsidP="00B56607">
      <w:pPr>
        <w:spacing w:line="288" w:lineRule="auto"/>
        <w:jc w:val="both"/>
        <w:rPr>
          <w:rFonts w:ascii="Arial" w:hAnsi="Arial" w:cs="Arial"/>
          <w:sz w:val="22"/>
          <w:szCs w:val="22"/>
        </w:rPr>
      </w:pPr>
      <w:r>
        <w:rPr>
          <w:rFonts w:ascii="Arial" w:hAnsi="Arial"/>
          <w:sz w:val="22"/>
        </w:rPr>
        <w:t>Explorer la base génomique des maladies nous aiderait à déchiffrer le mécanisme, le diagnostic éventuel et le traitement.</w:t>
      </w:r>
    </w:p>
    <w:p w14:paraId="00F3011A" w14:textId="057DE43E" w:rsidR="00EE0EBF" w:rsidRDefault="00EE0EBF" w:rsidP="00B56607">
      <w:pPr>
        <w:spacing w:line="288" w:lineRule="auto"/>
        <w:jc w:val="both"/>
        <w:rPr>
          <w:rFonts w:ascii="Arial" w:hAnsi="Arial" w:cs="Arial"/>
          <w:sz w:val="22"/>
          <w:szCs w:val="22"/>
        </w:rPr>
      </w:pPr>
    </w:p>
    <w:p w14:paraId="49A9CEEE" w14:textId="74259FE5" w:rsidR="00EE0EBF" w:rsidRDefault="00EE0EBF" w:rsidP="00B56607">
      <w:pPr>
        <w:spacing w:line="288" w:lineRule="auto"/>
        <w:jc w:val="both"/>
        <w:rPr>
          <w:rFonts w:ascii="Arial" w:hAnsi="Arial" w:cs="Arial"/>
          <w:sz w:val="22"/>
          <w:szCs w:val="22"/>
        </w:rPr>
      </w:pPr>
      <w:r>
        <w:rPr>
          <w:rFonts w:ascii="Arial" w:hAnsi="Arial"/>
          <w:sz w:val="22"/>
        </w:rPr>
        <w:t>Notre équipe de recherche se concentre sur l’analyse de la génomique afin de mieux comprendre les maladies humaines. En combinant des procédés à haut débit et de la bioinformatique (comme l’intelligence artificielle et le deep learning), la recherche de notre équipe explore les changements de l’ADN et les régulateurs géniques. Notre objectif est d’atteindre une per</w:t>
      </w:r>
      <w:r w:rsidR="00385E18">
        <w:rPr>
          <w:rFonts w:ascii="Arial" w:hAnsi="Arial"/>
          <w:sz w:val="22"/>
        </w:rPr>
        <w:t>s</w:t>
      </w:r>
      <w:r>
        <w:rPr>
          <w:rFonts w:ascii="Arial" w:hAnsi="Arial"/>
          <w:sz w:val="22"/>
        </w:rPr>
        <w:t xml:space="preserve">pective globale sur les rôles que jouent l’ADN et </w:t>
      </w:r>
      <w:r w:rsidR="007C7E80">
        <w:rPr>
          <w:rFonts w:ascii="Arial" w:hAnsi="Arial"/>
          <w:sz w:val="22"/>
        </w:rPr>
        <w:t>l</w:t>
      </w:r>
      <w:r>
        <w:rPr>
          <w:rFonts w:ascii="Arial" w:hAnsi="Arial"/>
          <w:sz w:val="22"/>
        </w:rPr>
        <w:t xml:space="preserve">’ARN </w:t>
      </w:r>
      <w:r w:rsidR="007C7E80">
        <w:rPr>
          <w:rFonts w:ascii="Arial" w:hAnsi="Arial"/>
          <w:sz w:val="22"/>
        </w:rPr>
        <w:t>au cours du</w:t>
      </w:r>
      <w:r>
        <w:rPr>
          <w:rFonts w:ascii="Arial" w:hAnsi="Arial"/>
          <w:sz w:val="22"/>
        </w:rPr>
        <w:t xml:space="preserve"> développement des maladies.</w:t>
      </w:r>
    </w:p>
    <w:p w14:paraId="510F803B" w14:textId="5AB74A72" w:rsidR="00EE0EBF" w:rsidRDefault="00EE0EBF" w:rsidP="00B56607">
      <w:pPr>
        <w:spacing w:line="288" w:lineRule="auto"/>
        <w:jc w:val="both"/>
        <w:rPr>
          <w:rFonts w:ascii="Arial" w:hAnsi="Arial" w:cs="Arial"/>
          <w:sz w:val="22"/>
          <w:szCs w:val="22"/>
        </w:rPr>
      </w:pPr>
    </w:p>
    <w:p w14:paraId="44AFF0A6" w14:textId="0318DEE6" w:rsidR="00EE0EBF" w:rsidRDefault="00EE0EBF" w:rsidP="00B56607">
      <w:pPr>
        <w:spacing w:line="288" w:lineRule="auto"/>
        <w:jc w:val="both"/>
        <w:rPr>
          <w:rFonts w:ascii="Arial" w:hAnsi="Arial" w:cs="Arial"/>
          <w:sz w:val="22"/>
          <w:szCs w:val="22"/>
        </w:rPr>
      </w:pPr>
      <w:r>
        <w:rPr>
          <w:rFonts w:ascii="Arial" w:hAnsi="Arial"/>
          <w:sz w:val="22"/>
        </w:rPr>
        <w:t>Parmi nos projets : L’identification de microARN qui sont à l’intersection de plusieurs oncogènes ; Révéler l’effet des ARN codants et non codants sur la pharmacogénomique et la médecine personnalisée ; Le profilage des pathogènes dans les tissus humains basé sur le séquençage profond des molécules d’ADN et d’ARN ; La réalisation du séquençage avancé rapide d’ADN et d’ARN pour un retour en temps réel dans un contexte médical.</w:t>
      </w:r>
    </w:p>
    <w:p w14:paraId="6C2BD7EC" w14:textId="690765AE" w:rsidR="00EE0EBF" w:rsidRDefault="00EE0EBF" w:rsidP="00B56607">
      <w:pPr>
        <w:spacing w:line="288" w:lineRule="auto"/>
        <w:jc w:val="both"/>
        <w:rPr>
          <w:rFonts w:ascii="Arial" w:hAnsi="Arial" w:cs="Arial"/>
          <w:sz w:val="22"/>
          <w:szCs w:val="22"/>
        </w:rPr>
      </w:pPr>
    </w:p>
    <w:p w14:paraId="5BD4B92C" w14:textId="27E37324" w:rsidR="00EE0EBF" w:rsidRDefault="00EE0EBF" w:rsidP="00B56607">
      <w:pPr>
        <w:spacing w:line="288" w:lineRule="auto"/>
        <w:jc w:val="both"/>
        <w:rPr>
          <w:rFonts w:ascii="Arial" w:hAnsi="Arial" w:cs="Arial"/>
          <w:sz w:val="22"/>
          <w:szCs w:val="22"/>
        </w:rPr>
      </w:pPr>
      <w:r>
        <w:rPr>
          <w:rFonts w:ascii="Arial" w:hAnsi="Arial"/>
          <w:sz w:val="22"/>
        </w:rPr>
        <w:t>Dans l’ensemble, nous cherchons à approfondir notre compréhension du développement des maladies afin de générer un impact significatif par la traduction d’idées en réalité clinique.</w:t>
      </w:r>
    </w:p>
    <w:p w14:paraId="5BC4F701" w14:textId="2E44D3C8" w:rsidR="00EE0EBF" w:rsidRDefault="00EE0EBF" w:rsidP="00EE0EBF">
      <w:pPr>
        <w:jc w:val="both"/>
        <w:rPr>
          <w:rFonts w:ascii="Arial" w:hAnsi="Arial" w:cs="Arial"/>
          <w:sz w:val="22"/>
          <w:szCs w:val="22"/>
        </w:rPr>
      </w:pPr>
    </w:p>
    <w:p w14:paraId="3E2C7CFF" w14:textId="68B85E98" w:rsidR="00EE0EBF" w:rsidRPr="00EE0EBF" w:rsidRDefault="00EE0EBF" w:rsidP="00EE0EBF">
      <w:pPr>
        <w:pStyle w:val="NormalWeb"/>
        <w:shd w:val="clear" w:color="auto" w:fill="269EEA"/>
        <w:rPr>
          <w:rFonts w:ascii="Arial" w:hAnsi="Arial" w:cs="Arial"/>
          <w:i/>
          <w:iCs/>
        </w:rPr>
      </w:pPr>
      <w:proofErr w:type="gramStart"/>
      <w:r>
        <w:rPr>
          <w:rFonts w:ascii="Arial" w:hAnsi="Arial"/>
          <w:i/>
          <w:color w:val="001E5E"/>
          <w:sz w:val="36"/>
        </w:rPr>
        <w:t>l’identification</w:t>
      </w:r>
      <w:proofErr w:type="gramEnd"/>
      <w:r>
        <w:rPr>
          <w:rFonts w:ascii="Arial" w:hAnsi="Arial"/>
          <w:i/>
          <w:color w:val="001E5E"/>
          <w:sz w:val="36"/>
        </w:rPr>
        <w:t xml:space="preserve"> de la base génomique de la maladie est la première étape fondamentale pour d’éventuelles thérapeutiques </w:t>
      </w:r>
    </w:p>
    <w:p w14:paraId="217D6125" w14:textId="39763B3D" w:rsidR="00B56607" w:rsidRDefault="00B56607">
      <w:pPr>
        <w:rPr>
          <w:rFonts w:ascii="Arial" w:hAnsi="Arial" w:cs="Arial"/>
          <w:sz w:val="22"/>
          <w:szCs w:val="22"/>
        </w:rPr>
      </w:pPr>
      <w:r>
        <w:br w:type="page"/>
      </w:r>
    </w:p>
    <w:p w14:paraId="07CB6F8D" w14:textId="77777777" w:rsidR="00EE0EBF" w:rsidRDefault="00EE0EBF" w:rsidP="00EE0EBF">
      <w:pPr>
        <w:jc w:val="both"/>
        <w:rPr>
          <w:rFonts w:ascii="Arial" w:hAnsi="Arial" w:cs="Arial"/>
          <w:sz w:val="22"/>
          <w:szCs w:val="22"/>
        </w:rPr>
      </w:pPr>
    </w:p>
    <w:p w14:paraId="4C8933B0" w14:textId="77777777" w:rsidR="00EE0EBF" w:rsidRPr="00EE0EBF" w:rsidRDefault="00EE0EBF" w:rsidP="00EE0EBF">
      <w:pPr>
        <w:spacing w:before="100" w:beforeAutospacing="1" w:after="100" w:afterAutospacing="1"/>
        <w:rPr>
          <w:rFonts w:ascii="Arial" w:eastAsia="Times New Roman" w:hAnsi="Arial" w:cs="Arial"/>
        </w:rPr>
      </w:pPr>
      <w:r>
        <w:rPr>
          <w:rFonts w:ascii="Arial" w:hAnsi="Arial"/>
          <w:color w:val="001E5E"/>
          <w:sz w:val="42"/>
        </w:rPr>
        <w:t xml:space="preserve">OBJECTIFS DE RECHERCHE </w:t>
      </w:r>
    </w:p>
    <w:p w14:paraId="4690C280" w14:textId="5E993173" w:rsidR="00EE0EBF" w:rsidRPr="00EE0EBF" w:rsidRDefault="00EE0EBF" w:rsidP="00B56607">
      <w:pPr>
        <w:numPr>
          <w:ilvl w:val="0"/>
          <w:numId w:val="3"/>
        </w:numPr>
        <w:spacing w:before="100" w:beforeAutospacing="1" w:after="100" w:afterAutospacing="1" w:line="288" w:lineRule="auto"/>
        <w:rPr>
          <w:rFonts w:ascii="Arial" w:eastAsia="Times New Roman" w:hAnsi="Arial" w:cs="Arial"/>
        </w:rPr>
      </w:pPr>
      <w:r>
        <w:rPr>
          <w:rFonts w:ascii="Arial" w:hAnsi="Arial"/>
          <w:color w:val="001E5E"/>
          <w:sz w:val="22"/>
        </w:rPr>
        <w:t xml:space="preserve">Développer de nouvelles méthodes et technologies de calcul pour la génomique. </w:t>
      </w:r>
    </w:p>
    <w:p w14:paraId="3A8280FE" w14:textId="618D4E43" w:rsidR="00EE0EBF" w:rsidRPr="00EE0EBF" w:rsidRDefault="00EE0EBF" w:rsidP="00B56607">
      <w:pPr>
        <w:numPr>
          <w:ilvl w:val="0"/>
          <w:numId w:val="3"/>
        </w:numPr>
        <w:spacing w:before="100" w:beforeAutospacing="1" w:after="100" w:afterAutospacing="1" w:line="288" w:lineRule="auto"/>
        <w:rPr>
          <w:rFonts w:ascii="Arial" w:eastAsia="Times New Roman" w:hAnsi="Arial" w:cs="Arial"/>
        </w:rPr>
      </w:pPr>
      <w:r>
        <w:rPr>
          <w:rFonts w:ascii="Arial" w:hAnsi="Arial"/>
          <w:color w:val="001E5E"/>
          <w:sz w:val="22"/>
        </w:rPr>
        <w:t xml:space="preserve">Appliquer ces méthodes à des données cliniques d’individus sains et malades. </w:t>
      </w:r>
    </w:p>
    <w:p w14:paraId="3B9B579B" w14:textId="0EEA143E" w:rsidR="00EE0EBF" w:rsidRPr="00EE0EBF" w:rsidRDefault="00EE0EBF" w:rsidP="00B56607">
      <w:pPr>
        <w:numPr>
          <w:ilvl w:val="0"/>
          <w:numId w:val="3"/>
        </w:numPr>
        <w:spacing w:before="100" w:beforeAutospacing="1" w:after="100" w:afterAutospacing="1" w:line="288" w:lineRule="auto"/>
        <w:rPr>
          <w:rFonts w:ascii="Arial" w:eastAsia="Times New Roman" w:hAnsi="Arial" w:cs="Arial"/>
        </w:rPr>
      </w:pPr>
      <w:r>
        <w:rPr>
          <w:rFonts w:ascii="Arial" w:hAnsi="Arial"/>
          <w:color w:val="001E5E"/>
          <w:sz w:val="22"/>
        </w:rPr>
        <w:t xml:space="preserve">Présenter une valeur clinique pour ces découvertes en matière de diagnostic, </w:t>
      </w:r>
      <w:r w:rsidR="007C7E80">
        <w:rPr>
          <w:rFonts w:ascii="Arial" w:hAnsi="Arial"/>
          <w:color w:val="001E5E"/>
          <w:sz w:val="22"/>
        </w:rPr>
        <w:t xml:space="preserve">de </w:t>
      </w:r>
      <w:r>
        <w:rPr>
          <w:rFonts w:ascii="Arial" w:hAnsi="Arial"/>
          <w:color w:val="001E5E"/>
          <w:sz w:val="22"/>
        </w:rPr>
        <w:t xml:space="preserve">pronostic et </w:t>
      </w:r>
      <w:r w:rsidR="007C7E80">
        <w:rPr>
          <w:rFonts w:ascii="Arial" w:hAnsi="Arial"/>
          <w:color w:val="001E5E"/>
          <w:sz w:val="22"/>
        </w:rPr>
        <w:t xml:space="preserve">de </w:t>
      </w:r>
      <w:r>
        <w:rPr>
          <w:rFonts w:ascii="Arial" w:hAnsi="Arial"/>
          <w:color w:val="001E5E"/>
          <w:sz w:val="22"/>
        </w:rPr>
        <w:t xml:space="preserve">thérapeutique. </w:t>
      </w:r>
    </w:p>
    <w:p w14:paraId="3D136DD3" w14:textId="5649E244" w:rsidR="00EE0EBF" w:rsidRDefault="00EE0EBF" w:rsidP="00B56607">
      <w:pPr>
        <w:spacing w:line="288" w:lineRule="auto"/>
        <w:jc w:val="both"/>
        <w:rPr>
          <w:rFonts w:ascii="Arial" w:hAnsi="Arial" w:cs="Arial"/>
          <w:sz w:val="22"/>
          <w:szCs w:val="22"/>
        </w:rPr>
      </w:pPr>
    </w:p>
    <w:p w14:paraId="1AB6E480" w14:textId="7634FDF9" w:rsidR="00EE0EBF" w:rsidRPr="00EE0EBF" w:rsidRDefault="00EE0EBF" w:rsidP="00B56607">
      <w:pPr>
        <w:spacing w:line="288" w:lineRule="auto"/>
        <w:rPr>
          <w:rFonts w:ascii="Times New Roman" w:eastAsia="Times New Roman" w:hAnsi="Times New Roman" w:cs="Times New Roman"/>
        </w:rPr>
      </w:pPr>
      <w:r w:rsidRPr="00EE0EBF">
        <w:rPr>
          <w:rFonts w:ascii="Times New Roman" w:eastAsia="Times New Roman" w:hAnsi="Times New Roman" w:cs="Times New Roman"/>
        </w:rPr>
        <w:fldChar w:fldCharType="begin"/>
      </w:r>
      <w:r w:rsidRPr="00EE0EBF">
        <w:rPr>
          <w:rFonts w:ascii="Times New Roman" w:eastAsia="Times New Roman" w:hAnsi="Times New Roman" w:cs="Times New Roman"/>
        </w:rPr>
        <w:instrText xml:space="preserve"> INCLUDEPICTURE "/var/folders/m5/ml8xf52x10d9lk856lqw48lm0000gn/T/com.microsoft.Word/WebArchiveCopyPasteTempFiles/page15image3899600" \* MERGEFORMATINET </w:instrText>
      </w:r>
      <w:r w:rsidRPr="00EE0EBF">
        <w:rPr>
          <w:rFonts w:ascii="Times New Roman" w:eastAsia="Times New Roman" w:hAnsi="Times New Roman" w:cs="Times New Roman"/>
        </w:rPr>
        <w:fldChar w:fldCharType="separate"/>
      </w:r>
      <w:r>
        <w:rPr>
          <w:rFonts w:ascii="Times New Roman" w:hAnsi="Times New Roman"/>
          <w:noProof/>
        </w:rPr>
        <w:drawing>
          <wp:inline distT="0" distB="0" distL="0" distR="0" wp14:anchorId="5135DEF3" wp14:editId="16CA9EA6">
            <wp:extent cx="5731510" cy="3818255"/>
            <wp:effectExtent l="0" t="0" r="0" b="4445"/>
            <wp:docPr id="28" name="Picture 28" descr="page15image389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ge15image389960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818255"/>
                    </a:xfrm>
                    <a:prstGeom prst="rect">
                      <a:avLst/>
                    </a:prstGeom>
                    <a:noFill/>
                    <a:ln>
                      <a:noFill/>
                    </a:ln>
                  </pic:spPr>
                </pic:pic>
              </a:graphicData>
            </a:graphic>
          </wp:inline>
        </w:drawing>
      </w:r>
      <w:r w:rsidRPr="00EE0EBF">
        <w:rPr>
          <w:rFonts w:ascii="Times New Roman" w:eastAsia="Times New Roman" w:hAnsi="Times New Roman" w:cs="Times New Roman"/>
        </w:rPr>
        <w:fldChar w:fldCharType="end"/>
      </w:r>
    </w:p>
    <w:p w14:paraId="6B7A3E2A" w14:textId="4BAFCDF0" w:rsidR="00EE0EBF" w:rsidRDefault="00EE0EBF" w:rsidP="00B56607">
      <w:pPr>
        <w:spacing w:line="288" w:lineRule="auto"/>
        <w:jc w:val="both"/>
        <w:rPr>
          <w:rFonts w:ascii="Arial" w:hAnsi="Arial" w:cs="Arial"/>
          <w:sz w:val="22"/>
          <w:szCs w:val="22"/>
        </w:rPr>
      </w:pPr>
    </w:p>
    <w:p w14:paraId="327C539E" w14:textId="77777777" w:rsidR="00EE0EBF" w:rsidRDefault="00EE0EBF" w:rsidP="00B56607">
      <w:pPr>
        <w:spacing w:line="288" w:lineRule="auto"/>
        <w:jc w:val="both"/>
        <w:rPr>
          <w:rFonts w:ascii="Arial" w:hAnsi="Arial" w:cs="Arial"/>
          <w:sz w:val="22"/>
          <w:szCs w:val="22"/>
        </w:rPr>
      </w:pPr>
    </w:p>
    <w:p w14:paraId="2C5910C8" w14:textId="4ACDC8E0" w:rsidR="00EE0EBF" w:rsidRDefault="00EE0EBF" w:rsidP="00B56607">
      <w:pPr>
        <w:spacing w:line="288" w:lineRule="auto"/>
        <w:jc w:val="both"/>
        <w:rPr>
          <w:rFonts w:ascii="Arial" w:hAnsi="Arial" w:cs="Arial"/>
          <w:sz w:val="22"/>
          <w:szCs w:val="22"/>
        </w:rPr>
      </w:pPr>
      <w:r>
        <w:rPr>
          <w:rFonts w:ascii="Arial" w:hAnsi="Arial"/>
          <w:sz w:val="22"/>
        </w:rPr>
        <w:t>Un exposé que j’ai présenté lors de la conférence sur la médecine numérique à Tel</w:t>
      </w:r>
      <w:r w:rsidR="00385E18">
        <w:rPr>
          <w:rFonts w:ascii="Arial" w:hAnsi="Arial"/>
          <w:sz w:val="22"/>
        </w:rPr>
        <w:t>-</w:t>
      </w:r>
      <w:r>
        <w:rPr>
          <w:rFonts w:ascii="Arial" w:hAnsi="Arial"/>
          <w:sz w:val="22"/>
        </w:rPr>
        <w:t>Aviv, organisée en direct et en personne par Anthem (elle a eu lieu entre la 3e et la 4e</w:t>
      </w:r>
      <w:r w:rsidR="005D1C8B">
        <w:rPr>
          <w:rFonts w:ascii="Arial" w:hAnsi="Arial"/>
          <w:sz w:val="22"/>
        </w:rPr>
        <w:t> </w:t>
      </w:r>
      <w:r>
        <w:rPr>
          <w:rFonts w:ascii="Arial" w:hAnsi="Arial"/>
          <w:sz w:val="22"/>
        </w:rPr>
        <w:t>vague de la pandémie, lorsque les grandes conférences étaient autorisées).</w:t>
      </w:r>
    </w:p>
    <w:p w14:paraId="25747CEF" w14:textId="00E9A79B" w:rsidR="00EE0EBF" w:rsidRDefault="00EE0EBF" w:rsidP="00EE0EBF">
      <w:pPr>
        <w:jc w:val="both"/>
        <w:rPr>
          <w:rFonts w:ascii="Arial" w:hAnsi="Arial" w:cs="Arial"/>
          <w:sz w:val="22"/>
          <w:szCs w:val="22"/>
        </w:rPr>
      </w:pPr>
    </w:p>
    <w:p w14:paraId="7E710E13" w14:textId="4E20A533" w:rsidR="00EE0EBF" w:rsidRPr="007C7E80" w:rsidRDefault="00EE0EBF" w:rsidP="00EE0EBF">
      <w:pPr>
        <w:pStyle w:val="NormalWeb"/>
        <w:shd w:val="clear" w:color="auto" w:fill="269EEA"/>
        <w:rPr>
          <w:rFonts w:ascii="Arial" w:hAnsi="Arial"/>
          <w:i/>
          <w:color w:val="001E5E"/>
          <w:sz w:val="36"/>
        </w:rPr>
      </w:pPr>
      <w:proofErr w:type="gramStart"/>
      <w:r>
        <w:rPr>
          <w:rFonts w:ascii="Arial" w:hAnsi="Arial"/>
          <w:i/>
          <w:color w:val="001E5E"/>
          <w:sz w:val="36"/>
        </w:rPr>
        <w:t>notre</w:t>
      </w:r>
      <w:proofErr w:type="gramEnd"/>
      <w:r>
        <w:rPr>
          <w:rFonts w:ascii="Arial" w:hAnsi="Arial"/>
          <w:i/>
          <w:color w:val="001E5E"/>
          <w:sz w:val="36"/>
        </w:rPr>
        <w:t xml:space="preserve"> impact suppose </w:t>
      </w:r>
      <w:r w:rsidR="007C7E80">
        <w:rPr>
          <w:rFonts w:ascii="Arial" w:hAnsi="Arial"/>
          <w:i/>
          <w:color w:val="001E5E"/>
          <w:sz w:val="36"/>
        </w:rPr>
        <w:t>d’</w:t>
      </w:r>
      <w:r>
        <w:rPr>
          <w:rFonts w:ascii="Arial" w:hAnsi="Arial"/>
          <w:i/>
          <w:color w:val="001E5E"/>
          <w:sz w:val="36"/>
        </w:rPr>
        <w:t>expos</w:t>
      </w:r>
      <w:r w:rsidR="007C7E80">
        <w:rPr>
          <w:rFonts w:ascii="Arial" w:hAnsi="Arial"/>
          <w:i/>
          <w:color w:val="001E5E"/>
          <w:sz w:val="36"/>
        </w:rPr>
        <w:t>er nos recherches</w:t>
      </w:r>
      <w:r>
        <w:rPr>
          <w:rFonts w:ascii="Arial" w:hAnsi="Arial"/>
          <w:i/>
          <w:color w:val="001E5E"/>
          <w:sz w:val="36"/>
        </w:rPr>
        <w:t xml:space="preserve"> dans de nombreux forums et</w:t>
      </w:r>
      <w:r w:rsidR="007C7E80">
        <w:rPr>
          <w:rFonts w:ascii="Arial" w:hAnsi="Arial"/>
          <w:i/>
          <w:color w:val="001E5E"/>
          <w:sz w:val="36"/>
        </w:rPr>
        <w:t xml:space="preserve"> à</w:t>
      </w:r>
      <w:r>
        <w:rPr>
          <w:rFonts w:ascii="Arial" w:hAnsi="Arial"/>
          <w:i/>
          <w:color w:val="001E5E"/>
          <w:sz w:val="36"/>
        </w:rPr>
        <w:t xml:space="preserve"> une grand</w:t>
      </w:r>
      <w:r w:rsidR="00385E18">
        <w:rPr>
          <w:rFonts w:ascii="Arial" w:hAnsi="Arial"/>
          <w:i/>
          <w:color w:val="001E5E"/>
          <w:sz w:val="36"/>
        </w:rPr>
        <w:t>e</w:t>
      </w:r>
      <w:r>
        <w:rPr>
          <w:rFonts w:ascii="Arial" w:hAnsi="Arial"/>
          <w:i/>
          <w:color w:val="001E5E"/>
          <w:sz w:val="36"/>
        </w:rPr>
        <w:t xml:space="preserve"> variété de publics </w:t>
      </w:r>
    </w:p>
    <w:p w14:paraId="1ECFA36D" w14:textId="22832647" w:rsidR="00B56607" w:rsidRDefault="00B56607">
      <w:pPr>
        <w:rPr>
          <w:rFonts w:ascii="Arial" w:hAnsi="Arial" w:cs="Arial"/>
          <w:sz w:val="22"/>
          <w:szCs w:val="22"/>
        </w:rPr>
      </w:pPr>
      <w:r>
        <w:br w:type="page"/>
      </w:r>
    </w:p>
    <w:p w14:paraId="1C603229" w14:textId="77777777" w:rsidR="00EE0EBF" w:rsidRDefault="00EE0EBF" w:rsidP="00EE0EBF">
      <w:pPr>
        <w:jc w:val="both"/>
        <w:rPr>
          <w:rFonts w:ascii="Arial" w:hAnsi="Arial" w:cs="Arial"/>
          <w:sz w:val="22"/>
          <w:szCs w:val="22"/>
        </w:rPr>
      </w:pPr>
    </w:p>
    <w:p w14:paraId="07D70221" w14:textId="77777777" w:rsidR="00EE0EBF" w:rsidRPr="00EE0EBF" w:rsidRDefault="00EE0EBF" w:rsidP="00EE0EBF">
      <w:pPr>
        <w:pStyle w:val="NormalWeb"/>
        <w:rPr>
          <w:rFonts w:ascii="Arial" w:hAnsi="Arial" w:cs="Arial"/>
        </w:rPr>
      </w:pPr>
      <w:r>
        <w:rPr>
          <w:rFonts w:ascii="Arial" w:hAnsi="Arial"/>
          <w:color w:val="001E5E"/>
          <w:sz w:val="42"/>
        </w:rPr>
        <w:t xml:space="preserve">PORTÉE ATTENDUE </w:t>
      </w:r>
    </w:p>
    <w:p w14:paraId="12E5D1C0" w14:textId="13F6F86F" w:rsidR="00EE0EBF" w:rsidRDefault="00EE0EBF" w:rsidP="00B56607">
      <w:pPr>
        <w:spacing w:line="288" w:lineRule="auto"/>
        <w:jc w:val="both"/>
        <w:rPr>
          <w:rFonts w:ascii="Arial" w:hAnsi="Arial" w:cs="Arial"/>
          <w:sz w:val="22"/>
          <w:szCs w:val="22"/>
        </w:rPr>
      </w:pPr>
      <w:r>
        <w:rPr>
          <w:rFonts w:ascii="Arial" w:hAnsi="Arial"/>
          <w:sz w:val="22"/>
        </w:rPr>
        <w:t>Dans son ensemble, notre étude devrait permettre une nouvelle compréhension de la génomique dans diverses maladies. Notre travail : (i) déchiffrera le mécanisme par lequel les gènes contrôlent le processus cellulaire ; (ii) présentera le potentiel thérapeutique de traitements pour la prévention des maladies ; (iii) identifiera des marqueurs diagnostiques potentiels pour la détection précoce des maladies ; (iv) servira d’approche modèle qui intègre plusieurs séries de données afin de révéler de nouveaux mécanismes régulatoires de maladies humaines complexes.</w:t>
      </w:r>
    </w:p>
    <w:p w14:paraId="04A565DD" w14:textId="77777777" w:rsidR="00EE0EBF" w:rsidRPr="00EE0EBF" w:rsidRDefault="00EE0EBF" w:rsidP="00B56607">
      <w:pPr>
        <w:spacing w:line="288" w:lineRule="auto"/>
        <w:jc w:val="both"/>
        <w:rPr>
          <w:rFonts w:ascii="Arial" w:hAnsi="Arial" w:cs="Arial"/>
          <w:sz w:val="22"/>
          <w:szCs w:val="22"/>
        </w:rPr>
      </w:pPr>
    </w:p>
    <w:p w14:paraId="6A48A119" w14:textId="385AA9B5" w:rsidR="00EE0EBF" w:rsidRDefault="00EE0EBF" w:rsidP="00B56607">
      <w:pPr>
        <w:spacing w:line="288" w:lineRule="auto"/>
        <w:jc w:val="both"/>
        <w:rPr>
          <w:rFonts w:ascii="Arial" w:hAnsi="Arial" w:cs="Arial"/>
          <w:sz w:val="22"/>
          <w:szCs w:val="22"/>
        </w:rPr>
      </w:pPr>
      <w:r>
        <w:rPr>
          <w:rFonts w:ascii="Arial" w:hAnsi="Arial"/>
          <w:sz w:val="22"/>
        </w:rPr>
        <w:t xml:space="preserve">Cette année mettra également l’accent sur l’analyse de données et d’échantillons </w:t>
      </w:r>
      <w:r w:rsidR="00385E18">
        <w:rPr>
          <w:rFonts w:ascii="Arial" w:hAnsi="Arial"/>
          <w:sz w:val="22"/>
        </w:rPr>
        <w:t xml:space="preserve">liés à la </w:t>
      </w:r>
      <w:r>
        <w:rPr>
          <w:rFonts w:ascii="Arial" w:hAnsi="Arial"/>
          <w:sz w:val="22"/>
        </w:rPr>
        <w:t>C</w:t>
      </w:r>
      <w:r w:rsidR="005D1C8B">
        <w:rPr>
          <w:rFonts w:ascii="Arial" w:hAnsi="Arial"/>
          <w:sz w:val="22"/>
        </w:rPr>
        <w:t>OVID</w:t>
      </w:r>
      <w:r>
        <w:rPr>
          <w:rFonts w:ascii="Arial" w:hAnsi="Arial"/>
          <w:sz w:val="22"/>
        </w:rPr>
        <w:t>-19 (voir les données présentées dans les pages suivantes).</w:t>
      </w:r>
    </w:p>
    <w:p w14:paraId="6193436B" w14:textId="698E531C" w:rsidR="00EE0EBF" w:rsidRDefault="00EE0EBF" w:rsidP="00EE0EBF">
      <w:pPr>
        <w:jc w:val="both"/>
        <w:rPr>
          <w:rFonts w:ascii="Arial" w:hAnsi="Arial" w:cs="Arial"/>
          <w:sz w:val="22"/>
          <w:szCs w:val="22"/>
        </w:rPr>
      </w:pPr>
    </w:p>
    <w:p w14:paraId="48397E6D" w14:textId="3EFEABF9" w:rsidR="00EE0EBF" w:rsidRPr="00EE0EBF" w:rsidRDefault="00EE0EBF" w:rsidP="00EE0EBF">
      <w:pPr>
        <w:rPr>
          <w:rFonts w:ascii="Times New Roman" w:eastAsia="Times New Roman" w:hAnsi="Times New Roman" w:cs="Times New Roman"/>
        </w:rPr>
      </w:pPr>
      <w:r w:rsidRPr="00EE0EBF">
        <w:rPr>
          <w:rFonts w:ascii="Times New Roman" w:eastAsia="Times New Roman" w:hAnsi="Times New Roman" w:cs="Times New Roman"/>
        </w:rPr>
        <w:fldChar w:fldCharType="begin"/>
      </w:r>
      <w:r w:rsidRPr="00EE0EBF">
        <w:rPr>
          <w:rFonts w:ascii="Times New Roman" w:eastAsia="Times New Roman" w:hAnsi="Times New Roman" w:cs="Times New Roman"/>
        </w:rPr>
        <w:instrText xml:space="preserve"> INCLUDEPICTURE "/var/folders/m5/ml8xf52x10d9lk856lqw48lm0000gn/T/com.microsoft.Word/WebArchiveCopyPasteTempFiles/page16image3901056" \* MERGEFORMATINET </w:instrText>
      </w:r>
      <w:r w:rsidRPr="00EE0EBF">
        <w:rPr>
          <w:rFonts w:ascii="Times New Roman" w:eastAsia="Times New Roman" w:hAnsi="Times New Roman" w:cs="Times New Roman"/>
        </w:rPr>
        <w:fldChar w:fldCharType="separate"/>
      </w:r>
      <w:r>
        <w:rPr>
          <w:rFonts w:ascii="Times New Roman" w:hAnsi="Times New Roman"/>
          <w:noProof/>
        </w:rPr>
        <w:drawing>
          <wp:inline distT="0" distB="0" distL="0" distR="0" wp14:anchorId="073CF2C1" wp14:editId="49BEFD0D">
            <wp:extent cx="5731510" cy="2701290"/>
            <wp:effectExtent l="0" t="0" r="0" b="3810"/>
            <wp:docPr id="29" name="Picture 29" descr="page16image390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age16image39010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2701290"/>
                    </a:xfrm>
                    <a:prstGeom prst="rect">
                      <a:avLst/>
                    </a:prstGeom>
                    <a:noFill/>
                    <a:ln>
                      <a:noFill/>
                    </a:ln>
                  </pic:spPr>
                </pic:pic>
              </a:graphicData>
            </a:graphic>
          </wp:inline>
        </w:drawing>
      </w:r>
      <w:r w:rsidRPr="00EE0EBF">
        <w:rPr>
          <w:rFonts w:ascii="Times New Roman" w:eastAsia="Times New Roman" w:hAnsi="Times New Roman" w:cs="Times New Roman"/>
        </w:rPr>
        <w:fldChar w:fldCharType="end"/>
      </w:r>
    </w:p>
    <w:p w14:paraId="141740F3" w14:textId="4B18378A" w:rsidR="00EE0EBF" w:rsidRDefault="00EE0EBF" w:rsidP="00EE0EBF">
      <w:pPr>
        <w:jc w:val="both"/>
        <w:rPr>
          <w:rFonts w:ascii="Arial" w:hAnsi="Arial" w:cs="Arial"/>
          <w:sz w:val="22"/>
          <w:szCs w:val="22"/>
        </w:rPr>
      </w:pPr>
    </w:p>
    <w:p w14:paraId="7B1778EE" w14:textId="4E872D75" w:rsidR="00EE0EBF" w:rsidRDefault="00EE0EBF" w:rsidP="00EE0EBF">
      <w:pPr>
        <w:jc w:val="both"/>
        <w:rPr>
          <w:rFonts w:ascii="Arial" w:hAnsi="Arial" w:cs="Arial"/>
          <w:sz w:val="22"/>
          <w:szCs w:val="22"/>
        </w:rPr>
      </w:pPr>
    </w:p>
    <w:p w14:paraId="311510DD" w14:textId="77777777" w:rsidR="00EE0EBF" w:rsidRPr="00EE0EBF" w:rsidRDefault="00EE0EBF" w:rsidP="00EE0EBF">
      <w:pPr>
        <w:pStyle w:val="NormalWeb"/>
        <w:shd w:val="clear" w:color="auto" w:fill="269EEA"/>
        <w:rPr>
          <w:rFonts w:ascii="Arial" w:hAnsi="Arial" w:cs="Arial"/>
          <w:i/>
          <w:iCs/>
        </w:rPr>
      </w:pPr>
      <w:proofErr w:type="gramStart"/>
      <w:r>
        <w:rPr>
          <w:rFonts w:ascii="Arial" w:hAnsi="Arial"/>
          <w:i/>
          <w:color w:val="001E5E"/>
          <w:sz w:val="36"/>
        </w:rPr>
        <w:t>notre</w:t>
      </w:r>
      <w:proofErr w:type="gramEnd"/>
      <w:r>
        <w:rPr>
          <w:rFonts w:ascii="Arial" w:hAnsi="Arial"/>
          <w:i/>
          <w:color w:val="001E5E"/>
          <w:sz w:val="36"/>
        </w:rPr>
        <w:t xml:space="preserve"> étude devrait permettre une nouvelle compréhension des maladies liées au génome et au développement de diagnostics et de thérapeutiques efficaces </w:t>
      </w:r>
    </w:p>
    <w:p w14:paraId="32E7CA08" w14:textId="3171037F" w:rsidR="00B56607" w:rsidRDefault="00B56607">
      <w:pPr>
        <w:rPr>
          <w:rFonts w:ascii="Arial" w:hAnsi="Arial" w:cs="Arial"/>
          <w:sz w:val="22"/>
          <w:szCs w:val="22"/>
        </w:rPr>
      </w:pPr>
      <w:r>
        <w:br w:type="page"/>
      </w:r>
    </w:p>
    <w:p w14:paraId="579FE63E" w14:textId="77777777" w:rsidR="00EE0EBF" w:rsidRDefault="00EE0EBF" w:rsidP="00EE0EBF">
      <w:pPr>
        <w:jc w:val="both"/>
        <w:rPr>
          <w:rFonts w:ascii="Arial" w:hAnsi="Arial" w:cs="Arial"/>
          <w:sz w:val="22"/>
          <w:szCs w:val="22"/>
        </w:rPr>
      </w:pPr>
    </w:p>
    <w:p w14:paraId="6BAFD5D3" w14:textId="77777777" w:rsidR="00EE0EBF" w:rsidRPr="00EE0EBF" w:rsidRDefault="00EE0EBF" w:rsidP="00EE0EBF">
      <w:pPr>
        <w:pStyle w:val="NormalWeb"/>
        <w:rPr>
          <w:rFonts w:ascii="Arial" w:hAnsi="Arial" w:cs="Arial"/>
          <w:color w:val="001E5E"/>
          <w:sz w:val="42"/>
          <w:szCs w:val="42"/>
        </w:rPr>
      </w:pPr>
      <w:r>
        <w:rPr>
          <w:rFonts w:ascii="Arial" w:hAnsi="Arial"/>
          <w:color w:val="001E5E"/>
          <w:sz w:val="42"/>
        </w:rPr>
        <w:t>RÉSULTATS DE L’ANNÉE 5 – TROUBLE DÉPRESSIF MAJEUR – I</w:t>
      </w:r>
    </w:p>
    <w:p w14:paraId="4FA7AF89" w14:textId="53AAF570" w:rsidR="00EE0EBF" w:rsidRDefault="00EE0EBF" w:rsidP="00B56607">
      <w:pPr>
        <w:spacing w:line="288" w:lineRule="auto"/>
        <w:jc w:val="both"/>
        <w:rPr>
          <w:rFonts w:ascii="Arial" w:hAnsi="Arial" w:cs="Arial"/>
          <w:sz w:val="22"/>
          <w:szCs w:val="22"/>
        </w:rPr>
      </w:pPr>
      <w:r>
        <w:rPr>
          <w:rFonts w:ascii="Arial" w:hAnsi="Arial"/>
          <w:sz w:val="22"/>
        </w:rPr>
        <w:t>Le trouble dépressif majeur (TDM) est une maladie psychiatrique complexe et courante. L’Organisation mondiale de la Santé prédit que d’ici à 2030, le TDM sera la principale cause de morbidité dans le monde. Dans notre étude, nous avons intégré des résultats génétiques avec des données d’expression génique globale, afin d’améliorer l’interprétation des résultats génétiques relatifs au TDM, en lien avec les voies biologiques impliquées. L’intégration de données provenant de sources variées peut potentiellement réduire le taux de faux positifs résultant de chaque source de données séparément, et augmenter la fiabilité des résultats. Dans la première étude, des données d’expression génique ont été intégrées avec des résultats génétiques de la schizophrénie afin (i) d’identifier un groupe de gènes issus de l’analyse génétique présentant une expression hautement corrélée, et (ii) d’agrandir le groupe pour inclure des gènes dont l’expression est fortement corrélée au profil du groupe. Cette analyse a permis d’identifier de façon statistiquement significative des gènes associés à la schizophrénie, ce qui ne pouvait pas être fait en analysant uniquement les gènes issus de l’analyse génétique. De la même manière, nous nous attendions à ce que l’intégration des résultats génétiques avec des données d’expression génique améliore l’interprétation des résultats génétiques relatifs au TDM, en lien avec les voies biologiques impliquées.</w:t>
      </w:r>
    </w:p>
    <w:p w14:paraId="56099954" w14:textId="1215CD4E" w:rsidR="00EE0EBF" w:rsidRDefault="00EE0EBF" w:rsidP="00B56607">
      <w:pPr>
        <w:spacing w:line="288" w:lineRule="auto"/>
        <w:jc w:val="both"/>
        <w:rPr>
          <w:rFonts w:ascii="Arial" w:hAnsi="Arial" w:cs="Arial"/>
          <w:sz w:val="22"/>
          <w:szCs w:val="22"/>
        </w:rPr>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6"/>
        <w:gridCol w:w="4636"/>
      </w:tblGrid>
      <w:tr w:rsidR="007C7E80" w14:paraId="316D377C" w14:textId="77777777" w:rsidTr="007C7E80">
        <w:tc>
          <w:tcPr>
            <w:tcW w:w="4436" w:type="dxa"/>
          </w:tcPr>
          <w:p w14:paraId="2756509F" w14:textId="18E73F89" w:rsidR="003F39AE" w:rsidRDefault="003F39AE" w:rsidP="00B56607">
            <w:pPr>
              <w:spacing w:line="288" w:lineRule="auto"/>
              <w:jc w:val="both"/>
              <w:rPr>
                <w:rFonts w:ascii="Arial" w:hAnsi="Arial" w:cs="Arial"/>
                <w:sz w:val="22"/>
                <w:szCs w:val="22"/>
              </w:rPr>
            </w:pPr>
            <w:r>
              <w:rPr>
                <w:rFonts w:ascii="Arial" w:hAnsi="Arial"/>
                <w:noProof/>
                <w:sz w:val="22"/>
              </w:rPr>
              <w:drawing>
                <wp:inline distT="0" distB="0" distL="0" distR="0" wp14:anchorId="7A7D36D2" wp14:editId="3A868F09">
                  <wp:extent cx="2678978" cy="2781300"/>
                  <wp:effectExtent l="0" t="0" r="1270" b="0"/>
                  <wp:docPr id="30" name="Picture 30"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logo&#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714294" cy="2817965"/>
                          </a:xfrm>
                          <a:prstGeom prst="rect">
                            <a:avLst/>
                          </a:prstGeom>
                        </pic:spPr>
                      </pic:pic>
                    </a:graphicData>
                  </a:graphic>
                </wp:inline>
              </w:drawing>
            </w:r>
          </w:p>
        </w:tc>
        <w:tc>
          <w:tcPr>
            <w:tcW w:w="4636" w:type="dxa"/>
          </w:tcPr>
          <w:p w14:paraId="355FA5ED" w14:textId="0CE33C84" w:rsidR="003F39AE" w:rsidRDefault="003F39AE" w:rsidP="007C7E80">
            <w:pPr>
              <w:spacing w:line="288" w:lineRule="auto"/>
              <w:jc w:val="both"/>
              <w:rPr>
                <w:rFonts w:ascii="Arial" w:hAnsi="Arial" w:cs="Arial"/>
                <w:sz w:val="22"/>
                <w:szCs w:val="22"/>
              </w:rPr>
            </w:pPr>
            <w:r>
              <w:rPr>
                <w:rFonts w:ascii="Arial" w:hAnsi="Arial"/>
                <w:sz w:val="22"/>
              </w:rPr>
              <w:t>Matrice de corrélation d’expression de gènes dérivés d’études d’association pangénomique (GWAS – Genome Wide Association Studies). La couleur de chaque entrée (x,</w:t>
            </w:r>
            <w:r w:rsidR="005D1C8B">
              <w:rPr>
                <w:rFonts w:ascii="Arial" w:hAnsi="Arial"/>
                <w:sz w:val="22"/>
              </w:rPr>
              <w:t xml:space="preserve"> </w:t>
            </w:r>
            <w:r>
              <w:rPr>
                <w:rFonts w:ascii="Arial" w:hAnsi="Arial"/>
                <w:sz w:val="22"/>
              </w:rPr>
              <w:t>y) représente la corrélation entre l’expression des gènes x et y, parallèlement avec tous les échantillons de TDM dans la région du cerveau indiquée. La couleur rouge indique une expression hautement corrélée et la couleur bleu</w:t>
            </w:r>
            <w:r w:rsidR="00385E18">
              <w:rPr>
                <w:rFonts w:ascii="Arial" w:hAnsi="Arial"/>
                <w:sz w:val="22"/>
              </w:rPr>
              <w:t>e</w:t>
            </w:r>
            <w:r>
              <w:rPr>
                <w:rFonts w:ascii="Arial" w:hAnsi="Arial"/>
                <w:sz w:val="22"/>
              </w:rPr>
              <w:t xml:space="preserve"> une expression faiblement corrélée. Nous avons utilisé l’outil SPIN [40] pour trier la liste de gènes de façon que les gènes présentant des profils d’expression similaires soient regroupés. A. La matrice de corrélation d’expression de Pearson des 23 gènes dérivés d’études GWAS a été calculée parallèlement à des échantillons d’hippocampe (HPC) de patients atteints de TDM (données GSE53987).</w:t>
            </w:r>
          </w:p>
        </w:tc>
      </w:tr>
    </w:tbl>
    <w:p w14:paraId="6971D2EB" w14:textId="4EB57A4E" w:rsidR="003F39AE" w:rsidRDefault="003F39AE" w:rsidP="00B56607">
      <w:pPr>
        <w:spacing w:line="288" w:lineRule="auto"/>
        <w:jc w:val="both"/>
        <w:rPr>
          <w:rFonts w:ascii="Arial" w:hAnsi="Arial" w:cs="Arial"/>
          <w:sz w:val="22"/>
          <w:szCs w:val="22"/>
        </w:rPr>
      </w:pPr>
    </w:p>
    <w:p w14:paraId="2321E29F" w14:textId="40640743" w:rsidR="003F39AE" w:rsidRDefault="003F39AE" w:rsidP="00B56607">
      <w:pPr>
        <w:spacing w:line="288" w:lineRule="auto"/>
        <w:jc w:val="both"/>
        <w:rPr>
          <w:rFonts w:ascii="Arial" w:hAnsi="Arial" w:cs="Arial"/>
          <w:sz w:val="22"/>
          <w:szCs w:val="22"/>
        </w:rPr>
      </w:pPr>
      <w:r>
        <w:rPr>
          <w:rFonts w:ascii="Arial" w:hAnsi="Arial"/>
          <w:sz w:val="22"/>
        </w:rPr>
        <w:t>Il faut noter que 23 des 37 gènes dérivés de GWAS étaient présents dans les données GSE53987. Le rectangle orange représente le groupe de gènes ayant une expression hautement corrélée. B</w:t>
      </w:r>
      <w:r w:rsidR="00F0134D">
        <w:rPr>
          <w:rFonts w:ascii="Arial" w:hAnsi="Arial"/>
          <w:sz w:val="22"/>
        </w:rPr>
        <w:t>.</w:t>
      </w:r>
      <w:r>
        <w:rPr>
          <w:rFonts w:ascii="Arial" w:hAnsi="Arial"/>
          <w:sz w:val="22"/>
        </w:rPr>
        <w:t xml:space="preserve"> La matrice de corrélation d’expression de Pearson des 23 gènes </w:t>
      </w:r>
      <w:r>
        <w:rPr>
          <w:rFonts w:ascii="Arial" w:hAnsi="Arial"/>
          <w:sz w:val="22"/>
        </w:rPr>
        <w:lastRenderedPageBreak/>
        <w:t xml:space="preserve">choisis au hasard a été calculée parallèlement aux échantillons </w:t>
      </w:r>
      <w:r w:rsidR="00F0134D">
        <w:rPr>
          <w:rFonts w:ascii="Arial" w:hAnsi="Arial"/>
          <w:sz w:val="22"/>
        </w:rPr>
        <w:t>d’</w:t>
      </w:r>
      <w:r>
        <w:rPr>
          <w:rFonts w:ascii="Arial" w:hAnsi="Arial"/>
          <w:sz w:val="22"/>
        </w:rPr>
        <w:t>HPC de personnes atteintes de TDM (données GSE53987). C. La matrice de corrélation d’expression de Pearson des 28</w:t>
      </w:r>
      <w:r w:rsidR="005D1C8B">
        <w:rPr>
          <w:rFonts w:ascii="Arial" w:hAnsi="Arial"/>
          <w:sz w:val="22"/>
        </w:rPr>
        <w:t> </w:t>
      </w:r>
      <w:r>
        <w:rPr>
          <w:rFonts w:ascii="Arial" w:hAnsi="Arial"/>
          <w:sz w:val="22"/>
        </w:rPr>
        <w:t>gènes dérivés de GWAS a été calculée parallèlement à des échantillons de cortex pariétal (CP) de patients atteints de TDM (données GSE53978). Il faut noter que 28 des 37 gènes dérivés de GWAS étaient présents dans les données GSE53978. Le rectangle orange représente le groupe de gènes ayant une expression hautement corrélée. D La matrice de corrélation d’expression de Pearson des 28 gènes choisis au hasard a été calculée parallèlement aux échantillons de CP de personnes atteintes de TDM (données GSE53978).</w:t>
      </w:r>
    </w:p>
    <w:p w14:paraId="1D3237CE" w14:textId="572A317F" w:rsidR="003F39AE" w:rsidRDefault="003F39AE" w:rsidP="00EE0EBF">
      <w:pPr>
        <w:jc w:val="both"/>
        <w:rPr>
          <w:rFonts w:ascii="Arial" w:hAnsi="Arial" w:cs="Arial"/>
          <w:sz w:val="22"/>
          <w:szCs w:val="22"/>
        </w:rPr>
      </w:pPr>
    </w:p>
    <w:p w14:paraId="08B9C9A7" w14:textId="482EC511" w:rsidR="000C2658" w:rsidRDefault="000C2658">
      <w:pPr>
        <w:rPr>
          <w:rFonts w:ascii="Arial" w:hAnsi="Arial" w:cs="Arial"/>
          <w:sz w:val="22"/>
          <w:szCs w:val="22"/>
        </w:rPr>
      </w:pPr>
      <w:r>
        <w:rPr>
          <w:rFonts w:ascii="Arial" w:hAnsi="Arial" w:cs="Arial"/>
          <w:sz w:val="22"/>
          <w:szCs w:val="22"/>
        </w:rPr>
        <w:br w:type="page"/>
      </w:r>
    </w:p>
    <w:p w14:paraId="0E3EC23E" w14:textId="15127EB5" w:rsidR="003F39AE" w:rsidRPr="003F39AE" w:rsidRDefault="003F39AE" w:rsidP="003F39AE">
      <w:pPr>
        <w:pStyle w:val="NormalWeb"/>
        <w:rPr>
          <w:rFonts w:ascii="Arial" w:hAnsi="Arial" w:cs="Arial"/>
          <w:color w:val="001E5E"/>
          <w:sz w:val="42"/>
          <w:szCs w:val="42"/>
        </w:rPr>
      </w:pPr>
      <w:r>
        <w:rPr>
          <w:rFonts w:ascii="Arial" w:hAnsi="Arial"/>
          <w:color w:val="001E5E"/>
          <w:sz w:val="42"/>
        </w:rPr>
        <w:lastRenderedPageBreak/>
        <w:t>RÉSULTATS DE L’ANNÉE 5 – TROUBLE DÉPRESSIF MAJEUR – II</w:t>
      </w:r>
    </w:p>
    <w:p w14:paraId="0193AE37" w14:textId="198F19E6" w:rsidR="003F39AE" w:rsidRDefault="003F39AE" w:rsidP="00EE0EBF">
      <w:pPr>
        <w:jc w:val="both"/>
        <w:rPr>
          <w:rFonts w:ascii="Arial" w:hAnsi="Arial" w:cs="Arial"/>
          <w:sz w:val="22"/>
          <w:szCs w:val="22"/>
        </w:rPr>
      </w:pPr>
    </w:p>
    <w:p w14:paraId="21E13C96" w14:textId="04953CF1" w:rsidR="003F39AE" w:rsidRDefault="003F39AE" w:rsidP="00B56607">
      <w:pPr>
        <w:spacing w:line="288" w:lineRule="auto"/>
        <w:jc w:val="both"/>
        <w:rPr>
          <w:rFonts w:ascii="Arial" w:hAnsi="Arial" w:cs="Arial"/>
          <w:sz w:val="22"/>
          <w:szCs w:val="22"/>
        </w:rPr>
      </w:pPr>
      <w:r>
        <w:rPr>
          <w:rFonts w:ascii="Arial" w:hAnsi="Arial"/>
          <w:sz w:val="22"/>
        </w:rPr>
        <w:t>Les inhibiteurs sélectifs de la recapture de la sérotonine (ISRS) sont actuellement le traitement médicamenteux antidépresseur de première ligne pour le trouble dépressif majeur (TDM). La dépression résistante au traitement (DRT), définie comme l’échec de l’obtention d’une rémission malgré un traitement adéquat, affecte environ 30 % des personnes atteintes de TDM. Le traitement actuel recommandé pour la DRT est la thérapie par électrochocs (TEC), alors que la kétamine est un traitement suggéré à titre expérimental. Cette étude vise à élucider les différences transcriptionnelles dans les cellules mononucléées du sang périphérique (PBMC) entre des individus atteint</w:t>
      </w:r>
      <w:r w:rsidR="00385E18">
        <w:rPr>
          <w:rFonts w:ascii="Arial" w:hAnsi="Arial"/>
          <w:sz w:val="22"/>
        </w:rPr>
        <w:t>s</w:t>
      </w:r>
      <w:r>
        <w:rPr>
          <w:rFonts w:ascii="Arial" w:hAnsi="Arial"/>
          <w:sz w:val="22"/>
        </w:rPr>
        <w:t xml:space="preserve"> de DRT et un groupe témoin sans trouble psychiatrique ; et entre des patients atteints de DRT traités avec soit les médicaments antidépresseurs standard seuls, soit en combinaison avec une TEC ou de la kétamine. De plus, les transcriptomes de PBMC ont été comparés entre les répondeurs au traitement, après la fin de leurs protocoles de traitement. L’ARN total a été extrait des PBMC du groupe DRT à deux moments dans le temps, et les profils des expressions ARN et miARN ont été établis. De multiples ARNm et miARN se sont avérés modifiés, deux gènes codant des protéines, FKBP5 et ITGA2B, qui sont respectivement régulés positivement et négativement ; et plusieurs miARN présentaient des changements après un traitement</w:t>
      </w:r>
      <w:r w:rsidR="00F0134D">
        <w:rPr>
          <w:rFonts w:ascii="Arial" w:hAnsi="Arial"/>
          <w:sz w:val="22"/>
        </w:rPr>
        <w:t xml:space="preserve"> réussi</w:t>
      </w:r>
      <w:r>
        <w:rPr>
          <w:rFonts w:ascii="Arial" w:hAnsi="Arial"/>
          <w:sz w:val="22"/>
        </w:rPr>
        <w:t xml:space="preserve"> </w:t>
      </w:r>
      <w:r w:rsidR="00F0134D">
        <w:rPr>
          <w:rFonts w:ascii="Arial" w:hAnsi="Arial"/>
          <w:sz w:val="22"/>
        </w:rPr>
        <w:t xml:space="preserve">par </w:t>
      </w:r>
      <w:r>
        <w:rPr>
          <w:rFonts w:ascii="Arial" w:hAnsi="Arial"/>
          <w:sz w:val="22"/>
        </w:rPr>
        <w:t xml:space="preserve">TEC. Une analyse ultérieure a démontré la régulation fonctionnelle directe d’ITGA2B par miR-24-3p. Nos résultats suggèrent que les niveaux d’expression de FKBP5, ITGA2B, et miR-24-3p </w:t>
      </w:r>
      <w:r w:rsidR="005D1C8B">
        <w:rPr>
          <w:rFonts w:ascii="Arial" w:hAnsi="Arial"/>
          <w:sz w:val="22"/>
        </w:rPr>
        <w:t xml:space="preserve">dans les PBMC </w:t>
      </w:r>
      <w:r>
        <w:rPr>
          <w:rFonts w:ascii="Arial" w:hAnsi="Arial"/>
          <w:sz w:val="22"/>
        </w:rPr>
        <w:t>devraient être étudiés plus avant comme biomarqueurs de la réponse à la TEC.</w:t>
      </w:r>
    </w:p>
    <w:p w14:paraId="67A0A191" w14:textId="18632766" w:rsidR="003F39AE" w:rsidRDefault="003F39AE" w:rsidP="00EE0EBF">
      <w:pPr>
        <w:jc w:val="both"/>
        <w:rPr>
          <w:rFonts w:ascii="Arial" w:hAnsi="Arial" w:cs="Arial"/>
          <w:sz w:val="22"/>
          <w:szCs w:val="22"/>
        </w:rPr>
      </w:pPr>
    </w:p>
    <w:p w14:paraId="4FC911F6" w14:textId="48E90667" w:rsidR="003F39AE" w:rsidRPr="003F39AE" w:rsidRDefault="003F39AE" w:rsidP="003F39AE">
      <w:pPr>
        <w:rPr>
          <w:rFonts w:ascii="Times New Roman" w:eastAsia="Times New Roman" w:hAnsi="Times New Roman" w:cs="Times New Roman"/>
        </w:rPr>
      </w:pPr>
      <w:r w:rsidRPr="003F39AE">
        <w:rPr>
          <w:rFonts w:ascii="Times New Roman" w:eastAsia="Times New Roman" w:hAnsi="Times New Roman" w:cs="Times New Roman"/>
        </w:rPr>
        <w:fldChar w:fldCharType="begin"/>
      </w:r>
      <w:r w:rsidRPr="003F39AE">
        <w:rPr>
          <w:rFonts w:ascii="Times New Roman" w:eastAsia="Times New Roman" w:hAnsi="Times New Roman" w:cs="Times New Roman"/>
        </w:rPr>
        <w:instrText xml:space="preserve"> INCLUDEPICTURE "/var/folders/m5/ml8xf52x10d9lk856lqw48lm0000gn/T/com.microsoft.Word/WebArchiveCopyPasteTempFiles/page18image3905424" \* MERGEFORMATINET </w:instrText>
      </w:r>
      <w:r w:rsidRPr="003F39AE">
        <w:rPr>
          <w:rFonts w:ascii="Times New Roman" w:eastAsia="Times New Roman" w:hAnsi="Times New Roman" w:cs="Times New Roman"/>
        </w:rPr>
        <w:fldChar w:fldCharType="separate"/>
      </w:r>
      <w:r>
        <w:rPr>
          <w:rFonts w:ascii="Times New Roman" w:hAnsi="Times New Roman"/>
          <w:noProof/>
        </w:rPr>
        <w:drawing>
          <wp:inline distT="0" distB="0" distL="0" distR="0" wp14:anchorId="5FDA2BA4" wp14:editId="2D3798AE">
            <wp:extent cx="5731510" cy="2856865"/>
            <wp:effectExtent l="0" t="0" r="0" b="635"/>
            <wp:docPr id="31" name="Picture 31" descr="page18image390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ge18image39054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856865"/>
                    </a:xfrm>
                    <a:prstGeom prst="rect">
                      <a:avLst/>
                    </a:prstGeom>
                    <a:noFill/>
                    <a:ln>
                      <a:noFill/>
                    </a:ln>
                  </pic:spPr>
                </pic:pic>
              </a:graphicData>
            </a:graphic>
          </wp:inline>
        </w:drawing>
      </w:r>
      <w:r w:rsidRPr="003F39AE">
        <w:rPr>
          <w:rFonts w:ascii="Times New Roman" w:eastAsia="Times New Roman" w:hAnsi="Times New Roman" w:cs="Times New Roman"/>
        </w:rPr>
        <w:fldChar w:fldCharType="end"/>
      </w:r>
    </w:p>
    <w:p w14:paraId="2EEB20DD" w14:textId="2EA78A4A" w:rsidR="003F39AE" w:rsidRDefault="003F39AE" w:rsidP="00EE0EBF">
      <w:pPr>
        <w:jc w:val="both"/>
        <w:rPr>
          <w:rFonts w:ascii="Arial" w:hAnsi="Arial" w:cs="Arial"/>
          <w:sz w:val="22"/>
          <w:szCs w:val="22"/>
        </w:rPr>
      </w:pPr>
    </w:p>
    <w:p w14:paraId="6C710FCC" w14:textId="5F251B10" w:rsidR="00B56607" w:rsidRDefault="00B56607">
      <w:pPr>
        <w:rPr>
          <w:rFonts w:ascii="Arial" w:hAnsi="Arial" w:cs="Arial"/>
          <w:sz w:val="22"/>
          <w:szCs w:val="22"/>
        </w:rPr>
      </w:pPr>
      <w:r>
        <w:br w:type="page"/>
      </w:r>
    </w:p>
    <w:p w14:paraId="3DBBB378" w14:textId="68941EE1" w:rsidR="003F39AE" w:rsidRPr="000C2658" w:rsidRDefault="003F39AE" w:rsidP="000C2658">
      <w:pPr>
        <w:pStyle w:val="NormalWeb"/>
        <w:rPr>
          <w:rFonts w:ascii="Arial" w:hAnsi="Arial" w:cs="Arial"/>
          <w:color w:val="001E5E"/>
          <w:sz w:val="42"/>
          <w:szCs w:val="42"/>
        </w:rPr>
      </w:pPr>
      <w:r>
        <w:rPr>
          <w:rFonts w:ascii="Arial" w:hAnsi="Arial"/>
          <w:color w:val="001E5E"/>
          <w:sz w:val="42"/>
        </w:rPr>
        <w:lastRenderedPageBreak/>
        <w:t>RÉSULTATS DE L’ANNÉE 5 – PRÉÉCLAMPSIE ET BACTÉRIES HUMAINES</w:t>
      </w:r>
    </w:p>
    <w:p w14:paraId="75AFB5C5" w14:textId="2FAA7E8D" w:rsidR="003F39AE" w:rsidRDefault="003F39AE" w:rsidP="00B56607">
      <w:pPr>
        <w:spacing w:line="288" w:lineRule="auto"/>
        <w:jc w:val="both"/>
        <w:rPr>
          <w:rFonts w:ascii="Arial" w:hAnsi="Arial" w:cs="Arial"/>
          <w:sz w:val="22"/>
          <w:szCs w:val="22"/>
        </w:rPr>
      </w:pPr>
      <w:r>
        <w:rPr>
          <w:rFonts w:ascii="Arial" w:hAnsi="Arial"/>
          <w:sz w:val="22"/>
        </w:rPr>
        <w:t xml:space="preserve">La prééclampsie est une complication dangereuse de la grossesse. La source de la prééclampsie est inconnue, même si le rôle du placenta est considéré comme étant central dans sa pathogenèse. Une association entre infection maternelle et prééclampsie a été démontrée, et pourtant l’implication du microbiome du placenta dans l’étiologie de la prééclampsie n’a pas été déterminée. Dans cette étude, nous avons examiné si la prééclampsie était associée à un déséquilibre de la composition en microorganismes dans le placenta. Pour ce faire, nous avons mis au point une nouvelle méthode pour l’identification de bactéries/virus basée sur le séquençage de petits ARN non codant, </w:t>
      </w:r>
      <w:r w:rsidR="00711AC0">
        <w:rPr>
          <w:rFonts w:ascii="Arial" w:hAnsi="Arial"/>
          <w:sz w:val="22"/>
        </w:rPr>
        <w:t xml:space="preserve">ce </w:t>
      </w:r>
      <w:r>
        <w:rPr>
          <w:rFonts w:ascii="Arial" w:hAnsi="Arial"/>
          <w:sz w:val="22"/>
        </w:rPr>
        <w:t xml:space="preserve">qui augmente le rapport microorganisme/hôte, </w:t>
      </w:r>
      <w:r w:rsidR="00711AC0">
        <w:rPr>
          <w:rFonts w:ascii="Arial" w:hAnsi="Arial"/>
          <w:sz w:val="22"/>
        </w:rPr>
        <w:t>et constitue</w:t>
      </w:r>
      <w:r>
        <w:rPr>
          <w:rFonts w:ascii="Arial" w:hAnsi="Arial"/>
          <w:sz w:val="22"/>
        </w:rPr>
        <w:t xml:space="preserve"> une difficulté majeure dans les méthodes relatives au microbiome. Nous avons validé la méthode sur différents tissus infectés et démontré son efficacité à détecter des microorganismes dans des échantillons ayant une biomasse bactérienne/viral</w:t>
      </w:r>
      <w:r w:rsidR="00385E18">
        <w:rPr>
          <w:rFonts w:ascii="Arial" w:hAnsi="Arial"/>
          <w:sz w:val="22"/>
        </w:rPr>
        <w:t>e</w:t>
      </w:r>
      <w:r>
        <w:rPr>
          <w:rFonts w:ascii="Arial" w:hAnsi="Arial"/>
          <w:sz w:val="22"/>
        </w:rPr>
        <w:t xml:space="preserve"> extrêmement faible. Nous avons ensuite appliqué la méthode à des échantillons de placenta provenant de grossesses prééclamptiques et saines. Puisque le placenta est un organe remarquablement gros et hétérogène, nous avons étudié l’ARN bactérien et viral à chacun de 15 emplacements distincts. De l’ARN bactérien a été détecté à tous les emplacements, ce qui était cohérent avec des études antérieur</w:t>
      </w:r>
      <w:r w:rsidR="00385E18">
        <w:rPr>
          <w:rFonts w:ascii="Arial" w:hAnsi="Arial"/>
          <w:sz w:val="22"/>
        </w:rPr>
        <w:t>e</w:t>
      </w:r>
      <w:r>
        <w:rPr>
          <w:rFonts w:ascii="Arial" w:hAnsi="Arial"/>
          <w:sz w:val="22"/>
        </w:rPr>
        <w:t>s du microbiome placentaire, même s</w:t>
      </w:r>
      <w:r w:rsidR="00385E18">
        <w:rPr>
          <w:rFonts w:ascii="Arial" w:hAnsi="Arial"/>
          <w:sz w:val="22"/>
        </w:rPr>
        <w:t>’</w:t>
      </w:r>
      <w:r>
        <w:rPr>
          <w:rFonts w:ascii="Arial" w:hAnsi="Arial"/>
          <w:sz w:val="22"/>
        </w:rPr>
        <w:t>il n’y avait pas de différences significatives entre les groupes prééclampsie et témoin. Néanmoins, la composition ARN bactérienne différait de manière significative entre divers</w:t>
      </w:r>
      <w:r w:rsidR="00385E18">
        <w:rPr>
          <w:rFonts w:ascii="Arial" w:hAnsi="Arial"/>
          <w:sz w:val="22"/>
        </w:rPr>
        <w:t>es</w:t>
      </w:r>
      <w:r>
        <w:rPr>
          <w:rFonts w:ascii="Arial" w:hAnsi="Arial"/>
          <w:sz w:val="22"/>
        </w:rPr>
        <w:t xml:space="preserve"> zone</w:t>
      </w:r>
      <w:r w:rsidR="00385E18">
        <w:rPr>
          <w:rFonts w:ascii="Arial" w:hAnsi="Arial"/>
          <w:sz w:val="22"/>
        </w:rPr>
        <w:t>s</w:t>
      </w:r>
      <w:r>
        <w:rPr>
          <w:rFonts w:ascii="Arial" w:hAnsi="Arial"/>
          <w:sz w:val="22"/>
        </w:rPr>
        <w:t xml:space="preserve"> du placenta. De l’ARN viral a été détecté en quantités extrêmement faibles, en</w:t>
      </w:r>
      <w:r w:rsidR="00385E18">
        <w:rPr>
          <w:rFonts w:ascii="Arial" w:hAnsi="Arial"/>
          <w:sz w:val="22"/>
        </w:rPr>
        <w:t xml:space="preserve"> </w:t>
      </w:r>
      <w:r>
        <w:rPr>
          <w:rFonts w:ascii="Arial" w:hAnsi="Arial"/>
          <w:sz w:val="22"/>
        </w:rPr>
        <w:t>dessous du seuil de signification, l’abondance virale n’a donc pas pu être déterminée. Nos résultats suggèrent que l’abondance bactérienne et virale dans l</w:t>
      </w:r>
      <w:r w:rsidR="00385E18">
        <w:rPr>
          <w:rFonts w:ascii="Arial" w:hAnsi="Arial"/>
          <w:sz w:val="22"/>
        </w:rPr>
        <w:t>e</w:t>
      </w:r>
      <w:r>
        <w:rPr>
          <w:rFonts w:ascii="Arial" w:hAnsi="Arial"/>
          <w:sz w:val="22"/>
        </w:rPr>
        <w:t xml:space="preserve"> placenta </w:t>
      </w:r>
      <w:r w:rsidR="00385E18">
        <w:rPr>
          <w:rFonts w:ascii="Arial" w:hAnsi="Arial"/>
          <w:sz w:val="22"/>
        </w:rPr>
        <w:t>a</w:t>
      </w:r>
      <w:r>
        <w:rPr>
          <w:rFonts w:ascii="Arial" w:hAnsi="Arial"/>
          <w:sz w:val="22"/>
        </w:rPr>
        <w:t xml:space="preserve"> une implication limitée dans la pathogenès</w:t>
      </w:r>
      <w:r w:rsidR="00385E18">
        <w:rPr>
          <w:rFonts w:ascii="Arial" w:hAnsi="Arial"/>
          <w:sz w:val="22"/>
        </w:rPr>
        <w:t>e</w:t>
      </w:r>
      <w:r>
        <w:rPr>
          <w:rFonts w:ascii="Arial" w:hAnsi="Arial"/>
          <w:sz w:val="22"/>
        </w:rPr>
        <w:t xml:space="preserve"> de la prééclampsie. La preuve d’une composition</w:t>
      </w:r>
      <w:r w:rsidR="00711AC0" w:rsidRPr="00711AC0">
        <w:rPr>
          <w:rFonts w:ascii="Arial" w:hAnsi="Arial"/>
          <w:sz w:val="22"/>
        </w:rPr>
        <w:t xml:space="preserve"> </w:t>
      </w:r>
      <w:r w:rsidR="00711AC0">
        <w:rPr>
          <w:rFonts w:ascii="Arial" w:hAnsi="Arial"/>
          <w:sz w:val="22"/>
        </w:rPr>
        <w:t>hétérogène</w:t>
      </w:r>
      <w:r>
        <w:rPr>
          <w:rFonts w:ascii="Arial" w:hAnsi="Arial"/>
          <w:sz w:val="22"/>
        </w:rPr>
        <w:t xml:space="preserve"> en ARN bactériens dans les différents emplacements placentaires mérite une étude plus approfondie afin de capturer la vraie nature du microbiome placentaire.</w:t>
      </w:r>
    </w:p>
    <w:p w14:paraId="2006022F" w14:textId="15719CE5" w:rsidR="003F39AE" w:rsidRDefault="003F39AE" w:rsidP="00B56607">
      <w:pPr>
        <w:spacing w:line="288" w:lineRule="auto"/>
        <w:jc w:val="both"/>
        <w:rPr>
          <w:rFonts w:ascii="Arial" w:hAnsi="Arial" w:cs="Arial"/>
          <w:sz w:val="22"/>
          <w:szCs w:val="22"/>
        </w:rPr>
      </w:pPr>
      <w:r>
        <w:rPr>
          <w:rFonts w:ascii="Arial" w:hAnsi="Arial"/>
          <w:noProof/>
          <w:sz w:val="22"/>
        </w:rPr>
        <w:drawing>
          <wp:inline distT="0" distB="0" distL="0" distR="0" wp14:anchorId="05861115" wp14:editId="18A12453">
            <wp:extent cx="5576835" cy="1890044"/>
            <wp:effectExtent l="0" t="0" r="0" b="2540"/>
            <wp:docPr id="32" name="Picture 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598552" cy="1897404"/>
                    </a:xfrm>
                    <a:prstGeom prst="rect">
                      <a:avLst/>
                    </a:prstGeom>
                  </pic:spPr>
                </pic:pic>
              </a:graphicData>
            </a:graphic>
          </wp:inline>
        </w:drawing>
      </w:r>
    </w:p>
    <w:p w14:paraId="42719D03" w14:textId="4355347F" w:rsidR="003F39AE" w:rsidRDefault="00711AC0" w:rsidP="00B56607">
      <w:pPr>
        <w:spacing w:line="288" w:lineRule="auto"/>
        <w:jc w:val="both"/>
        <w:rPr>
          <w:rFonts w:ascii="Arial" w:hAnsi="Arial" w:cs="Arial"/>
          <w:sz w:val="22"/>
          <w:szCs w:val="22"/>
        </w:rPr>
      </w:pPr>
      <w:r>
        <w:rPr>
          <w:rFonts w:ascii="Arial" w:hAnsi="Arial"/>
          <w:sz w:val="22"/>
        </w:rPr>
        <w:t>C</w:t>
      </w:r>
      <w:r w:rsidR="003F39AE">
        <w:rPr>
          <w:rFonts w:ascii="Arial" w:hAnsi="Arial"/>
          <w:sz w:val="22"/>
        </w:rPr>
        <w:t>omparaison de la composition</w:t>
      </w:r>
      <w:r w:rsidRPr="00711AC0">
        <w:rPr>
          <w:rFonts w:ascii="Arial" w:hAnsi="Arial"/>
          <w:sz w:val="22"/>
        </w:rPr>
        <w:t xml:space="preserve"> </w:t>
      </w:r>
      <w:r>
        <w:rPr>
          <w:rFonts w:ascii="Arial" w:hAnsi="Arial"/>
          <w:sz w:val="22"/>
        </w:rPr>
        <w:t>placentaire</w:t>
      </w:r>
      <w:r w:rsidR="003F39AE">
        <w:rPr>
          <w:rFonts w:ascii="Arial" w:hAnsi="Arial"/>
          <w:sz w:val="22"/>
        </w:rPr>
        <w:t xml:space="preserve"> en ARN bactériens, de grossesses compliquées par une prééclampsie avec des témoins sains. Les histogrammes présentent l’abondance relative de phyla et genres bactériens dans 72 échantillons de placenta provenant de 6 femmes enceintes : 3 femmes atteintes de prééclampsie et 3 femmes en bonne santé avec des grossesses sans complications. Les échantillons ont été prélevés à 15 emplacements placentaires. Chaque colonne représente un seul échantillon. Les échantillons sont classés par l’état (c.-à-d. </w:t>
      </w:r>
      <w:r>
        <w:rPr>
          <w:rFonts w:ascii="Arial" w:hAnsi="Arial"/>
          <w:sz w:val="22"/>
        </w:rPr>
        <w:t>p</w:t>
      </w:r>
      <w:r w:rsidR="003F39AE">
        <w:rPr>
          <w:rFonts w:ascii="Arial" w:hAnsi="Arial"/>
          <w:sz w:val="22"/>
        </w:rPr>
        <w:t>rééclampsie/témoin), puis par le taxon le plus abondant.</w:t>
      </w:r>
    </w:p>
    <w:p w14:paraId="1667A8C6" w14:textId="3040A7F0" w:rsidR="003F39AE" w:rsidRPr="003F39AE" w:rsidRDefault="003F39AE" w:rsidP="003F39AE">
      <w:pPr>
        <w:pStyle w:val="NormalWeb"/>
        <w:rPr>
          <w:rFonts w:ascii="Arial" w:hAnsi="Arial" w:cs="Arial"/>
          <w:color w:val="001E5E"/>
          <w:sz w:val="42"/>
          <w:szCs w:val="42"/>
        </w:rPr>
      </w:pPr>
      <w:r>
        <w:rPr>
          <w:rFonts w:ascii="Arial" w:hAnsi="Arial"/>
          <w:color w:val="001E5E"/>
          <w:sz w:val="42"/>
        </w:rPr>
        <w:lastRenderedPageBreak/>
        <w:t>RÉSULTATS DE L’ANNÉE 5 – DIAGNOSTIC PRÉNATAL NON INVASIF</w:t>
      </w:r>
    </w:p>
    <w:p w14:paraId="3B778205" w14:textId="72C3DFDE" w:rsidR="003F39AE" w:rsidRDefault="003F39AE" w:rsidP="00EE0EBF">
      <w:pPr>
        <w:jc w:val="both"/>
        <w:rPr>
          <w:rFonts w:ascii="Arial" w:hAnsi="Arial" w:cs="Arial"/>
          <w:sz w:val="22"/>
          <w:szCs w:val="22"/>
        </w:rPr>
      </w:pPr>
    </w:p>
    <w:p w14:paraId="5AEE3F10" w14:textId="51E1FD58" w:rsidR="003F39AE" w:rsidRDefault="003F39AE" w:rsidP="007B1477">
      <w:pPr>
        <w:spacing w:line="288" w:lineRule="auto"/>
        <w:jc w:val="both"/>
        <w:rPr>
          <w:rFonts w:ascii="Arial" w:hAnsi="Arial" w:cs="Arial"/>
          <w:sz w:val="22"/>
          <w:szCs w:val="22"/>
        </w:rPr>
      </w:pPr>
      <w:r>
        <w:rPr>
          <w:rFonts w:ascii="Arial" w:hAnsi="Arial"/>
          <w:sz w:val="22"/>
        </w:rPr>
        <w:t>La technologie des tests prénataux non invasif</w:t>
      </w:r>
      <w:r w:rsidR="00385E18">
        <w:rPr>
          <w:rFonts w:ascii="Arial" w:hAnsi="Arial"/>
          <w:sz w:val="22"/>
        </w:rPr>
        <w:t>s</w:t>
      </w:r>
      <w:r>
        <w:rPr>
          <w:rFonts w:ascii="Arial" w:hAnsi="Arial"/>
          <w:sz w:val="22"/>
        </w:rPr>
        <w:t xml:space="preserve"> (TPNI) permet la détection sans risque de conditions génétiques chez le fœtus, par l’analyse de l’ADN acellulaire (cfDNA) dans le sang maternel. Pour les anomalies des chromosomes, les TPNI remplacent souvent efficacement les tests invasifs (par ex</w:t>
      </w:r>
      <w:r w:rsidR="00D7146F">
        <w:rPr>
          <w:rFonts w:ascii="Arial" w:hAnsi="Arial"/>
          <w:sz w:val="22"/>
        </w:rPr>
        <w:t>emple</w:t>
      </w:r>
      <w:r>
        <w:rPr>
          <w:rFonts w:ascii="Arial" w:hAnsi="Arial"/>
          <w:sz w:val="22"/>
        </w:rPr>
        <w:t xml:space="preserve">, </w:t>
      </w:r>
      <w:r w:rsidR="00711AC0">
        <w:rPr>
          <w:rFonts w:ascii="Arial" w:hAnsi="Arial"/>
          <w:sz w:val="22"/>
        </w:rPr>
        <w:t>l’</w:t>
      </w:r>
      <w:r>
        <w:rPr>
          <w:rFonts w:ascii="Arial" w:hAnsi="Arial"/>
          <w:sz w:val="22"/>
        </w:rPr>
        <w:t>amniocentèse), même si cela est considéré comme un dépistage plutôt qu’un diagnostic. Plus récemment, les TPNI ont été appliqué</w:t>
      </w:r>
      <w:r w:rsidR="00385E18">
        <w:rPr>
          <w:rFonts w:ascii="Arial" w:hAnsi="Arial"/>
          <w:sz w:val="22"/>
        </w:rPr>
        <w:t>s</w:t>
      </w:r>
      <w:r>
        <w:rPr>
          <w:rFonts w:ascii="Arial" w:hAnsi="Arial"/>
          <w:sz w:val="22"/>
        </w:rPr>
        <w:t xml:space="preserve"> au génotypage complet pangénomique du fœtus à l’aide du cfDNA, identifiant de ce fait tous ses variants et mutations génétiques. Précédemment, nous avons suggéré que le TPNI devrait être considéré comme un cas particulier de détection</w:t>
      </w:r>
      <w:r w:rsidR="00385E18">
        <w:rPr>
          <w:rFonts w:ascii="Arial" w:hAnsi="Arial"/>
          <w:sz w:val="22"/>
        </w:rPr>
        <w:t xml:space="preserve"> </w:t>
      </w:r>
      <w:r>
        <w:rPr>
          <w:rFonts w:ascii="Arial" w:hAnsi="Arial"/>
          <w:sz w:val="22"/>
        </w:rPr>
        <w:t xml:space="preserve">automatisée de variants (variant calling), et </w:t>
      </w:r>
      <w:r w:rsidR="007B1477">
        <w:rPr>
          <w:rFonts w:ascii="Arial" w:hAnsi="Arial"/>
          <w:sz w:val="22"/>
        </w:rPr>
        <w:t xml:space="preserve">nous avons </w:t>
      </w:r>
      <w:r>
        <w:rPr>
          <w:rFonts w:ascii="Arial" w:hAnsi="Arial"/>
          <w:sz w:val="22"/>
        </w:rPr>
        <w:t>présenté Hoobari, le premier outil logiciel pour le variant calling fœtal non invasif. À l’aide d’un pipeline unique, nous avons été en mesure de déchiffrer complètement l</w:t>
      </w:r>
      <w:r w:rsidR="00385E18">
        <w:rPr>
          <w:rFonts w:ascii="Arial" w:hAnsi="Arial"/>
          <w:sz w:val="22"/>
        </w:rPr>
        <w:t>’</w:t>
      </w:r>
      <w:r>
        <w:rPr>
          <w:rFonts w:ascii="Arial" w:hAnsi="Arial"/>
          <w:sz w:val="22"/>
        </w:rPr>
        <w:t xml:space="preserve">hérédité de SNP et d’indels. Quelques mises en garde restent avec ce pipeline. La performance était inférieure pour les indels et les loci biparentaux (c.-à-d. là où les deux parents portent la même mutation), et la performance n’était pas uniforme sur tout le génome. Ici, nous avons utilisé des méthodes standardisées pour étalonner les pipelines de variant calling et les appliquer au variant calling fœtal non invasif. En utilisant le pipeline le plus performant et en </w:t>
      </w:r>
      <w:r w:rsidR="00385E18">
        <w:rPr>
          <w:rFonts w:ascii="Arial" w:hAnsi="Arial"/>
          <w:sz w:val="22"/>
        </w:rPr>
        <w:t>nous</w:t>
      </w:r>
      <w:r>
        <w:rPr>
          <w:rFonts w:ascii="Arial" w:hAnsi="Arial"/>
          <w:sz w:val="22"/>
        </w:rPr>
        <w:t xml:space="preserve"> concentrant sur les régions codantes, nous avons montré que le génotypage fœtal non invasif améliorait grandement la performance, en particulier dans les indels et les loci biparentaux. Ces résultats soulignent l’importance de l’utilisation de concepts largement acceptés pour décrire la difficulté de TPNI pangénomiques de mutations ponctuelles</w:t>
      </w:r>
      <w:r w:rsidR="00385E18">
        <w:rPr>
          <w:rFonts w:ascii="Arial" w:hAnsi="Arial"/>
          <w:sz w:val="22"/>
        </w:rPr>
        <w:t>,</w:t>
      </w:r>
      <w:r>
        <w:rPr>
          <w:rFonts w:ascii="Arial" w:hAnsi="Arial"/>
          <w:sz w:val="22"/>
        </w:rPr>
        <w:t xml:space="preserve"> et présentent un processus d’étalonnage pour la première fois dans le domaine. Cette étude rapproche les TPNI pangénomiques et complets de la pratique clinique ; tout en soulageant potentiellement l’incertitude et l’anxiété pendant la grossesse, </w:t>
      </w:r>
      <w:r w:rsidR="007B1477">
        <w:rPr>
          <w:rFonts w:ascii="Arial" w:hAnsi="Arial"/>
          <w:sz w:val="22"/>
        </w:rPr>
        <w:t xml:space="preserve">et </w:t>
      </w:r>
      <w:r>
        <w:rPr>
          <w:rFonts w:ascii="Arial" w:hAnsi="Arial"/>
          <w:sz w:val="22"/>
        </w:rPr>
        <w:t>en promouvant des choix éclairés pour les familles et les médecins.</w:t>
      </w:r>
    </w:p>
    <w:p w14:paraId="7FFD96EB" w14:textId="31FD49DC" w:rsidR="003F39AE" w:rsidRDefault="00CA51F7" w:rsidP="00CA51F7">
      <w:pPr>
        <w:jc w:val="center"/>
        <w:rPr>
          <w:rFonts w:ascii="Arial" w:hAnsi="Arial" w:cs="Arial"/>
          <w:sz w:val="22"/>
          <w:szCs w:val="22"/>
        </w:rPr>
      </w:pPr>
      <w:r>
        <w:rPr>
          <w:rFonts w:ascii="Arial" w:hAnsi="Arial"/>
          <w:noProof/>
          <w:sz w:val="22"/>
        </w:rPr>
        <w:drawing>
          <wp:inline distT="0" distB="0" distL="0" distR="0" wp14:anchorId="5D0747A0" wp14:editId="38EFF352">
            <wp:extent cx="2830877" cy="3268301"/>
            <wp:effectExtent l="0" t="0" r="127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868805" cy="3312090"/>
                    </a:xfrm>
                    <a:prstGeom prst="rect">
                      <a:avLst/>
                    </a:prstGeom>
                  </pic:spPr>
                </pic:pic>
              </a:graphicData>
            </a:graphic>
          </wp:inline>
        </w:drawing>
      </w:r>
    </w:p>
    <w:p w14:paraId="44E5D776" w14:textId="13CB3ADD" w:rsidR="003F39AE" w:rsidRDefault="003F39AE" w:rsidP="00EE0EBF">
      <w:pPr>
        <w:jc w:val="both"/>
        <w:rPr>
          <w:rFonts w:ascii="Arial" w:hAnsi="Arial" w:cs="Arial"/>
          <w:sz w:val="22"/>
          <w:szCs w:val="22"/>
        </w:rPr>
      </w:pPr>
    </w:p>
    <w:p w14:paraId="424B4FA5" w14:textId="77777777" w:rsidR="00CA51F7" w:rsidRPr="00CA51F7" w:rsidRDefault="00CA51F7" w:rsidP="00CA51F7">
      <w:pPr>
        <w:pStyle w:val="NormalWeb"/>
        <w:rPr>
          <w:rFonts w:ascii="Arial" w:hAnsi="Arial" w:cs="Arial"/>
          <w:color w:val="001E5E"/>
          <w:sz w:val="42"/>
          <w:szCs w:val="42"/>
        </w:rPr>
      </w:pPr>
      <w:r>
        <w:rPr>
          <w:rFonts w:ascii="Arial" w:hAnsi="Arial"/>
          <w:color w:val="001E5E"/>
          <w:sz w:val="42"/>
        </w:rPr>
        <w:lastRenderedPageBreak/>
        <w:t>RÉSULTATS DE L’ANNÉE 5 – COVID19 – I</w:t>
      </w:r>
    </w:p>
    <w:p w14:paraId="769DFDD5" w14:textId="2318207F" w:rsidR="00CA51F7" w:rsidRDefault="00CA51F7" w:rsidP="00B56607">
      <w:pPr>
        <w:spacing w:line="288" w:lineRule="auto"/>
        <w:jc w:val="both"/>
        <w:rPr>
          <w:rFonts w:ascii="Arial" w:hAnsi="Arial" w:cs="Arial"/>
          <w:sz w:val="22"/>
          <w:szCs w:val="22"/>
        </w:rPr>
      </w:pPr>
      <w:r>
        <w:rPr>
          <w:rFonts w:ascii="Arial" w:hAnsi="Arial"/>
          <w:sz w:val="22"/>
        </w:rPr>
        <w:t>Un dépistage effectif du SARS-CoV-2 permet un diagnostic rapide et efficace de la COVID-19 et peut alléger le fardeau qui pèse sur les systèmes de santé. Des modèles de prédiction qui combine</w:t>
      </w:r>
      <w:r w:rsidR="007B1477">
        <w:rPr>
          <w:rFonts w:ascii="Arial" w:hAnsi="Arial"/>
          <w:sz w:val="22"/>
        </w:rPr>
        <w:t>nt</w:t>
      </w:r>
      <w:r>
        <w:rPr>
          <w:rFonts w:ascii="Arial" w:hAnsi="Arial"/>
          <w:sz w:val="22"/>
        </w:rPr>
        <w:t xml:space="preserve"> plusieurs caractéristiques pour estimer le risque d’infection ont été développ</w:t>
      </w:r>
      <w:r w:rsidR="00385E18">
        <w:rPr>
          <w:rFonts w:ascii="Arial" w:hAnsi="Arial"/>
          <w:sz w:val="22"/>
        </w:rPr>
        <w:t>és</w:t>
      </w:r>
      <w:r>
        <w:rPr>
          <w:rFonts w:ascii="Arial" w:hAnsi="Arial"/>
          <w:sz w:val="22"/>
        </w:rPr>
        <w:t xml:space="preserve">. Ceux-ci visent à aider le personnel médical du monde entier dans le triage des patients, en particulier dans le contexte de ressources sanitaires limitées. Nous avons établi une approche d’apprentissage automatique qui a été entraînée sur les dossiers de 51 831 individus testés (dont 4 769 ont été confirmés comme ayant la COVID-19). L’ensemble de test contenait des données de la semaine suivante (47 401 individus testés dont 3 624 ont été confirmés comme ayant la COVID-19). Notre modèle a prédit les résultats du test de la COVID-19 avec une haute précision en utilisant seulement huit caractéristiques binaires : le sexe, un âge ≥ 60 ans, </w:t>
      </w:r>
      <w:r w:rsidR="00385E18">
        <w:rPr>
          <w:rFonts w:ascii="Arial" w:hAnsi="Arial"/>
          <w:sz w:val="22"/>
        </w:rPr>
        <w:t xml:space="preserve">un </w:t>
      </w:r>
      <w:r>
        <w:rPr>
          <w:rFonts w:ascii="Arial" w:hAnsi="Arial"/>
          <w:sz w:val="22"/>
        </w:rPr>
        <w:t>contact connu avec un individu infecté, et l’appar</w:t>
      </w:r>
      <w:r w:rsidR="007B1477">
        <w:rPr>
          <w:rFonts w:ascii="Arial" w:hAnsi="Arial"/>
          <w:sz w:val="22"/>
        </w:rPr>
        <w:t>ition</w:t>
      </w:r>
      <w:r>
        <w:rPr>
          <w:rFonts w:ascii="Arial" w:hAnsi="Arial"/>
          <w:sz w:val="22"/>
        </w:rPr>
        <w:t xml:space="preserve"> de cinq symptômes cliniques initiaux. Dans l’ensemble, sur la base des données nationales communiquées publiquement par le </w:t>
      </w:r>
      <w:r w:rsidR="00385E18">
        <w:rPr>
          <w:rFonts w:ascii="Arial" w:hAnsi="Arial"/>
          <w:sz w:val="22"/>
        </w:rPr>
        <w:t>m</w:t>
      </w:r>
      <w:r>
        <w:rPr>
          <w:rFonts w:ascii="Arial" w:hAnsi="Arial"/>
          <w:sz w:val="22"/>
        </w:rPr>
        <w:t>inistère israélien de la Santé, nous avons développé un modèle qui détecte les cas de COVID-19 par des caractéristiques simples qui peuvent être obtenue</w:t>
      </w:r>
      <w:r w:rsidR="00385E18">
        <w:rPr>
          <w:rFonts w:ascii="Arial" w:hAnsi="Arial"/>
          <w:sz w:val="22"/>
        </w:rPr>
        <w:t>s</w:t>
      </w:r>
      <w:r>
        <w:rPr>
          <w:rFonts w:ascii="Arial" w:hAnsi="Arial"/>
          <w:sz w:val="22"/>
        </w:rPr>
        <w:t xml:space="preserve"> en posant des questions de base. Notre système peut être utilisé, entre autres considérations, afin de prioriser le dépistage de la COVID-19 lorsque les ressources en matière de tests sont limitées.</w:t>
      </w:r>
    </w:p>
    <w:p w14:paraId="1EEF68B4" w14:textId="61908340" w:rsidR="00CA51F7" w:rsidRDefault="00CA51F7" w:rsidP="00B56607">
      <w:pPr>
        <w:spacing w:line="288" w:lineRule="auto"/>
        <w:jc w:val="both"/>
        <w:rPr>
          <w:rFonts w:ascii="Arial" w:hAnsi="Arial" w:cs="Arial"/>
          <w:sz w:val="22"/>
          <w:szCs w:val="22"/>
        </w:rPr>
      </w:pPr>
    </w:p>
    <w:p w14:paraId="0008217E" w14:textId="618C8507" w:rsidR="00CA51F7" w:rsidRDefault="00CA51F7" w:rsidP="00B56607">
      <w:pPr>
        <w:spacing w:line="288" w:lineRule="auto"/>
        <w:jc w:val="both"/>
        <w:rPr>
          <w:rFonts w:ascii="Arial" w:hAnsi="Arial" w:cs="Arial"/>
          <w:sz w:val="22"/>
          <w:szCs w:val="22"/>
        </w:rPr>
      </w:pPr>
      <w:r>
        <w:rPr>
          <w:rFonts w:ascii="Arial" w:hAnsi="Arial"/>
          <w:noProof/>
          <w:sz w:val="22"/>
        </w:rPr>
        <w:drawing>
          <wp:inline distT="0" distB="0" distL="0" distR="0" wp14:anchorId="66D837AE" wp14:editId="6E604770">
            <wp:extent cx="5004079" cy="2992690"/>
            <wp:effectExtent l="0" t="0" r="0" b="5080"/>
            <wp:docPr id="34" name="Picture 3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catter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58041" cy="3024962"/>
                    </a:xfrm>
                    <a:prstGeom prst="rect">
                      <a:avLst/>
                    </a:prstGeom>
                  </pic:spPr>
                </pic:pic>
              </a:graphicData>
            </a:graphic>
          </wp:inline>
        </w:drawing>
      </w:r>
    </w:p>
    <w:p w14:paraId="4D831ADE" w14:textId="120869E2" w:rsidR="00CA51F7" w:rsidRDefault="00CA51F7" w:rsidP="00B56607">
      <w:pPr>
        <w:spacing w:line="288" w:lineRule="auto"/>
        <w:jc w:val="both"/>
        <w:rPr>
          <w:rFonts w:ascii="Arial" w:hAnsi="Arial" w:cs="Arial"/>
          <w:sz w:val="22"/>
          <w:szCs w:val="22"/>
        </w:rPr>
      </w:pPr>
    </w:p>
    <w:p w14:paraId="67D2B407" w14:textId="59C58A79" w:rsidR="00CA51F7" w:rsidRDefault="00CA51F7" w:rsidP="00B56607">
      <w:pPr>
        <w:spacing w:line="288" w:lineRule="auto"/>
        <w:jc w:val="both"/>
        <w:rPr>
          <w:rFonts w:ascii="Arial" w:hAnsi="Arial" w:cs="Arial"/>
          <w:sz w:val="22"/>
          <w:szCs w:val="22"/>
        </w:rPr>
      </w:pPr>
      <w:r>
        <w:rPr>
          <w:rFonts w:ascii="Arial" w:hAnsi="Arial"/>
          <w:sz w:val="22"/>
        </w:rPr>
        <w:t>Graphique en essaim d’abeilles des valeurs SHAP (SHapley Additive exPlanations) pour la prédiction du diagnostic de la COVID-19, présentant les valeurs de SHAP pour les caractéristiques les plus importantes du modèle. Les caractéristiques dans les tracés récapitulatifs (axe des ordonnées) sont organisées par leurs valeurs de SHAP absolues moyennes. Chaque point correspond à une personne dans l’étude. La position de chaque point sur l’axe des abscisses montre l’impact que la caractéristique a sur la prédiction du classificateur pour un individu donné. Les valeurs de ces caractéristiques (p</w:t>
      </w:r>
      <w:r w:rsidR="00D7146F">
        <w:rPr>
          <w:rFonts w:ascii="Arial" w:hAnsi="Arial"/>
          <w:sz w:val="22"/>
        </w:rPr>
        <w:t>ar</w:t>
      </w:r>
      <w:r>
        <w:rPr>
          <w:rFonts w:ascii="Arial" w:hAnsi="Arial"/>
          <w:sz w:val="22"/>
        </w:rPr>
        <w:t xml:space="preserve"> ex</w:t>
      </w:r>
      <w:r w:rsidR="00D7146F">
        <w:rPr>
          <w:rFonts w:ascii="Arial" w:hAnsi="Arial"/>
          <w:sz w:val="22"/>
        </w:rPr>
        <w:t>emple la</w:t>
      </w:r>
      <w:r>
        <w:rPr>
          <w:rFonts w:ascii="Arial" w:hAnsi="Arial"/>
          <w:sz w:val="22"/>
        </w:rPr>
        <w:t xml:space="preserve"> fièvre) sont représenté</w:t>
      </w:r>
      <w:r w:rsidR="00385E18">
        <w:rPr>
          <w:rFonts w:ascii="Arial" w:hAnsi="Arial"/>
          <w:sz w:val="22"/>
        </w:rPr>
        <w:t>e</w:t>
      </w:r>
      <w:r>
        <w:rPr>
          <w:rFonts w:ascii="Arial" w:hAnsi="Arial"/>
          <w:sz w:val="22"/>
        </w:rPr>
        <w:t>s pa</w:t>
      </w:r>
      <w:r w:rsidR="00385E18">
        <w:rPr>
          <w:rFonts w:ascii="Arial" w:hAnsi="Arial"/>
          <w:sz w:val="22"/>
        </w:rPr>
        <w:t>r</w:t>
      </w:r>
      <w:r>
        <w:rPr>
          <w:rFonts w:ascii="Arial" w:hAnsi="Arial"/>
          <w:sz w:val="22"/>
        </w:rPr>
        <w:t xml:space="preserve"> leur couleur.</w:t>
      </w:r>
    </w:p>
    <w:p w14:paraId="119985F3" w14:textId="77777777" w:rsidR="00CA51F7" w:rsidRPr="00CA51F7" w:rsidRDefault="00CA51F7" w:rsidP="00CA51F7">
      <w:pPr>
        <w:pStyle w:val="NormalWeb"/>
        <w:rPr>
          <w:rFonts w:ascii="Arial" w:hAnsi="Arial" w:cs="Arial"/>
          <w:color w:val="001E5E"/>
          <w:sz w:val="42"/>
          <w:szCs w:val="42"/>
        </w:rPr>
      </w:pPr>
      <w:r>
        <w:rPr>
          <w:rFonts w:ascii="Arial" w:hAnsi="Arial"/>
          <w:color w:val="001E5E"/>
          <w:sz w:val="42"/>
        </w:rPr>
        <w:lastRenderedPageBreak/>
        <w:t>RÉSULTATS DE L’ANNÉE 5 – COVID19 – II</w:t>
      </w:r>
    </w:p>
    <w:p w14:paraId="70735EB9" w14:textId="4723CE51" w:rsidR="00CA51F7" w:rsidRDefault="00CA51F7" w:rsidP="00015C42">
      <w:pPr>
        <w:spacing w:line="288" w:lineRule="auto"/>
        <w:jc w:val="both"/>
        <w:rPr>
          <w:rFonts w:ascii="Arial" w:hAnsi="Arial"/>
          <w:sz w:val="22"/>
        </w:rPr>
      </w:pPr>
      <w:r>
        <w:rPr>
          <w:rFonts w:ascii="Arial" w:hAnsi="Arial"/>
          <w:sz w:val="22"/>
        </w:rPr>
        <w:t xml:space="preserve">Les taux d’infection, la gravité et les décès dus à la COVID-19, la pandémie liée au SARS-CoV-2, varient grandement entre les pays. À quelques exceptions près, ils sont inférieurs dans les pays d’Asie de l’Est et du Sud-Est et d’Afrique sub-saharienne par rapport aux autres régions. Les différences épidémiologiques peuvent refléter des différences en matière de fermeture des frontières, de confinements, et de mesures de distanciation sociale prises par chaque pays, </w:t>
      </w:r>
      <w:r w:rsidR="0040628E">
        <w:rPr>
          <w:rFonts w:ascii="Arial" w:hAnsi="Arial"/>
          <w:sz w:val="22"/>
        </w:rPr>
        <w:t>ainsi que</w:t>
      </w:r>
      <w:r>
        <w:rPr>
          <w:rFonts w:ascii="Arial" w:hAnsi="Arial"/>
          <w:sz w:val="22"/>
        </w:rPr>
        <w:t xml:space="preserve"> par des différences culturelles, telles que l’utilisation courant</w:t>
      </w:r>
      <w:r w:rsidR="0040628E">
        <w:rPr>
          <w:rFonts w:ascii="Arial" w:hAnsi="Arial"/>
          <w:sz w:val="22"/>
        </w:rPr>
        <w:t>e</w:t>
      </w:r>
      <w:r>
        <w:rPr>
          <w:rFonts w:ascii="Arial" w:hAnsi="Arial"/>
          <w:sz w:val="22"/>
        </w:rPr>
        <w:t xml:space="preserve"> du masque dans les pays d’Asie de l’Est et du Sud-Est. Il a été proposé que l’inhibiteur des protéases à sérine plasmatiques alpha-1 antitrypsine pourrait protéger de la COVID-19 en inhibant TMPRSS2, une protéase à sérine qui se trouve à la surface des cellules et qui est essentielle pour l’entrée du SARS-CoV-2 dans la cellule. Ici, nous présentons des preuves que les différences </w:t>
      </w:r>
      <w:r w:rsidR="0040628E">
        <w:rPr>
          <w:rFonts w:ascii="Arial" w:hAnsi="Arial"/>
          <w:sz w:val="22"/>
        </w:rPr>
        <w:t>entre l</w:t>
      </w:r>
      <w:r>
        <w:rPr>
          <w:rFonts w:ascii="Arial" w:hAnsi="Arial"/>
          <w:sz w:val="22"/>
        </w:rPr>
        <w:t xml:space="preserve">es populations </w:t>
      </w:r>
      <w:r w:rsidR="0040628E">
        <w:rPr>
          <w:rFonts w:ascii="Arial" w:hAnsi="Arial"/>
          <w:sz w:val="22"/>
        </w:rPr>
        <w:t>de</w:t>
      </w:r>
      <w:r>
        <w:rPr>
          <w:rFonts w:ascii="Arial" w:hAnsi="Arial"/>
          <w:sz w:val="22"/>
        </w:rPr>
        <w:t xml:space="preserve"> fréquences des allèles de déficit en alpha-1 antitrypsine pourraient partiellement expliquer les différences nationale</w:t>
      </w:r>
      <w:r w:rsidR="00385E18">
        <w:rPr>
          <w:rFonts w:ascii="Arial" w:hAnsi="Arial"/>
          <w:sz w:val="22"/>
        </w:rPr>
        <w:t>s</w:t>
      </w:r>
      <w:r>
        <w:rPr>
          <w:rFonts w:ascii="Arial" w:hAnsi="Arial"/>
          <w:sz w:val="22"/>
        </w:rPr>
        <w:t xml:space="preserve"> en matière d’épidémiologie de la COVID-19. Notre étude a comparé des estimations nationales publiées pour les allèles principaux de déficit en alpha-1 antitrypsine PiZ et PiS (respectivement, SERPINA1 rs28929474 et rs17580) avec le jeu de données du Coronavirus Resource Center de l’université Johns Hopkins. Nous avons trouvé une corrélation positive significative (R = 0,54, P = 1,98e-6) entre les fréquences combinées des allèles de déficit PiZ et PiS en alpha-1 antitrypsine dans 67 pays et leur taux de mortalité rapportés pour la COVID-19. Nos observations suggèrent que les allèles de déficit en alpha-1 antitrypsine pourraient contribuer aux différences nationales en matière d’infection, de gravité et de taux de mortalité pour la COVID-19. Un dépistage à l’échelle de la population pour les porteurs d’allèles de déficit en alpha-1 antitrypsine devrait être envisagé pour la priorisation des individus pour des mesures plus strictes de distanciation sociale et pour l’accès au vaccin contre le SARS-CoV-2 lorsqu’il sera disponible.</w:t>
      </w:r>
    </w:p>
    <w:p w14:paraId="178B2563" w14:textId="77777777" w:rsidR="000C2658" w:rsidRPr="000C2658" w:rsidRDefault="000C2658" w:rsidP="00015C42">
      <w:pPr>
        <w:spacing w:line="288" w:lineRule="auto"/>
        <w:jc w:val="both"/>
        <w:rPr>
          <w:rFonts w:ascii="Arial" w:hAnsi="Arial" w:cs="Arial"/>
          <w:sz w:val="10"/>
          <w:szCs w:val="10"/>
        </w:rPr>
      </w:pPr>
    </w:p>
    <w:p w14:paraId="0F0338E2" w14:textId="19E85210" w:rsidR="00CA51F7" w:rsidRDefault="00CA51F7" w:rsidP="00015C42">
      <w:pPr>
        <w:spacing w:line="288" w:lineRule="auto"/>
        <w:jc w:val="both"/>
        <w:rPr>
          <w:rFonts w:ascii="Arial" w:hAnsi="Arial" w:cs="Arial"/>
          <w:sz w:val="22"/>
          <w:szCs w:val="22"/>
        </w:rPr>
      </w:pPr>
      <w:r>
        <w:rPr>
          <w:rFonts w:ascii="Arial" w:hAnsi="Arial"/>
          <w:noProof/>
          <w:sz w:val="22"/>
        </w:rPr>
        <w:drawing>
          <wp:inline distT="0" distB="0" distL="0" distR="0" wp14:anchorId="39E82561" wp14:editId="77ACF5AD">
            <wp:extent cx="4552686" cy="2453005"/>
            <wp:effectExtent l="0" t="0" r="0" b="0"/>
            <wp:docPr id="35" name="Picture 35"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imeline&#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51326" cy="2506153"/>
                    </a:xfrm>
                    <a:prstGeom prst="rect">
                      <a:avLst/>
                    </a:prstGeom>
                  </pic:spPr>
                </pic:pic>
              </a:graphicData>
            </a:graphic>
          </wp:inline>
        </w:drawing>
      </w:r>
    </w:p>
    <w:p w14:paraId="566CE4B2" w14:textId="7A1EDBCD" w:rsidR="00CA51F7" w:rsidRDefault="00CA51F7" w:rsidP="00015C42">
      <w:pPr>
        <w:spacing w:line="288" w:lineRule="auto"/>
        <w:jc w:val="both"/>
        <w:rPr>
          <w:rFonts w:ascii="Arial" w:hAnsi="Arial" w:cs="Arial"/>
          <w:sz w:val="22"/>
          <w:szCs w:val="22"/>
        </w:rPr>
      </w:pPr>
      <w:r>
        <w:rPr>
          <w:rFonts w:ascii="Arial" w:hAnsi="Arial"/>
          <w:sz w:val="22"/>
        </w:rPr>
        <w:t>Corrélations positives entre les fréquences nationales estimées des allèles de déficit en alpha-1 antitrypsine et les taux de mortalité de la COVID-19 pour 1 000</w:t>
      </w:r>
      <w:r w:rsidR="005D1C8B">
        <w:rPr>
          <w:rFonts w:ascii="Arial" w:hAnsi="Arial"/>
          <w:sz w:val="22"/>
        </w:rPr>
        <w:t> </w:t>
      </w:r>
      <w:r>
        <w:rPr>
          <w:rFonts w:ascii="Arial" w:hAnsi="Arial"/>
          <w:sz w:val="22"/>
        </w:rPr>
        <w:t>habitants. La corrélation de Pearson de R = 0,54 (P = 1,98e-6) suggère une association des taux nationaux de déficit en alpha-1 antitrypsine avec les taux nationaux de mortalité de la COVID-19. Seuls les pays ayant une population supérieure à un million sont inclus. La région surlignée représente l’intervalle de confiance à 95 %.</w:t>
      </w:r>
    </w:p>
    <w:p w14:paraId="1AE62319" w14:textId="19AE2006" w:rsidR="00CA51F7" w:rsidRPr="00CA51F7" w:rsidRDefault="00CA51F7" w:rsidP="00CA51F7">
      <w:pPr>
        <w:pStyle w:val="NormalWeb"/>
        <w:rPr>
          <w:rFonts w:ascii="Arial" w:hAnsi="Arial" w:cs="Arial"/>
          <w:color w:val="001E5E"/>
          <w:sz w:val="42"/>
          <w:szCs w:val="42"/>
        </w:rPr>
      </w:pPr>
      <w:r>
        <w:rPr>
          <w:rFonts w:ascii="Arial" w:hAnsi="Arial"/>
          <w:color w:val="001E5E"/>
          <w:sz w:val="42"/>
        </w:rPr>
        <w:lastRenderedPageBreak/>
        <w:t>LISTE DE PUBLICATIONS MISE À JOUR POUR L’ANNÉE 5</w:t>
      </w:r>
    </w:p>
    <w:p w14:paraId="09DD2EA8"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w:t>
      </w:r>
      <w:r w:rsidRPr="000C2658">
        <w:rPr>
          <w:rFonts w:ascii="Arial" w:hAnsi="Arial"/>
          <w:sz w:val="22"/>
          <w:lang w:val="en-US"/>
        </w:rPr>
        <w:t xml:space="preserve"> Association of Variants in TMEM45A with Keratoglobus. Weiner C, Hecht I, Kotlyar A, Shoshany N, Zadok D, Elbaz U, Segev F, Maytal A, Hachmo Y, Michiels C, De Backer O, Shomron N, Einan-Lifshitz A, Pras E. JAMA Ophthalmol. 2021 Aug </w:t>
      </w:r>
      <w:proofErr w:type="gramStart"/>
      <w:r w:rsidRPr="000C2658">
        <w:rPr>
          <w:rFonts w:ascii="Arial" w:hAnsi="Arial"/>
          <w:sz w:val="22"/>
          <w:lang w:val="en-US"/>
        </w:rPr>
        <w:t>19:e</w:t>
      </w:r>
      <w:proofErr w:type="gramEnd"/>
      <w:r w:rsidRPr="000C2658">
        <w:rPr>
          <w:rFonts w:ascii="Arial" w:hAnsi="Arial"/>
          <w:sz w:val="22"/>
          <w:lang w:val="en-US"/>
        </w:rPr>
        <w:t>213172.</w:t>
      </w:r>
    </w:p>
    <w:p w14:paraId="05539BD5"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w:t>
      </w:r>
      <w:r w:rsidRPr="000C2658">
        <w:rPr>
          <w:rFonts w:ascii="Arial" w:hAnsi="Arial"/>
          <w:sz w:val="22"/>
          <w:lang w:val="en-US"/>
        </w:rPr>
        <w:t xml:space="preserve"> PNPT1, MYO15A, PTPRQ, and SLC12A2-associated genetic and phenotypic heterogeneity among hearing impaired assortative mating families in Southern India. Vanniya S P, Chandru J, Jeffrey JM, Rabinowitz T, Brownstein Z, Krishnamoorthy M, Avraham KB, Cheng L, Shomron N, Srisailapathy CRS. Ann Hum Genet. 2021 Aug 9.</w:t>
      </w:r>
    </w:p>
    <w:p w14:paraId="3E11C6A1" w14:textId="77777777" w:rsidR="00015C42"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3.</w:t>
      </w:r>
      <w:r w:rsidRPr="000C2658">
        <w:rPr>
          <w:rFonts w:ascii="Arial" w:hAnsi="Arial"/>
          <w:sz w:val="22"/>
          <w:lang w:val="en-US"/>
        </w:rPr>
        <w:t xml:space="preserve"> Exploring the longitudinal glioma microenvironment landscape uncovers reprogrammed pro- tumorigenic neutrophils in the bone marrow. Magod P, Mastandrea I, Rousso-Noori L, Agemy L, Shapira G, Shomron N, Friedmann-Morvinski D. Cell Rep. 2021 Aug 3;36(5):109480. </w:t>
      </w:r>
    </w:p>
    <w:p w14:paraId="738DE1B7" w14:textId="4D2275E6"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4.</w:t>
      </w:r>
      <w:r w:rsidRPr="000C2658">
        <w:rPr>
          <w:rFonts w:ascii="Arial" w:hAnsi="Arial"/>
          <w:sz w:val="22"/>
          <w:lang w:val="en-US"/>
        </w:rPr>
        <w:t xml:space="preserve"> Genome wide analysis implicates upregulation of proteasome pathway in major depressive disorder. Belaish S, Israel-Elgali I, Shapira G, Krieger I, Segev A, Nitzan U, Majer M, Bloch Y, Weizman A, Gurwitz D, Shomron N, Hertzberg L. Transl Psychiatry. 2021 Jul 28;11(1):409. doi: 10.1038/s41398-021-01529-x. PMID: 34321460</w:t>
      </w:r>
    </w:p>
    <w:p w14:paraId="2519112F"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5.</w:t>
      </w:r>
      <w:r w:rsidRPr="000C2658">
        <w:rPr>
          <w:rFonts w:ascii="Arial" w:hAnsi="Arial"/>
          <w:sz w:val="22"/>
          <w:lang w:val="en-US"/>
        </w:rPr>
        <w:t xml:space="preserve"> Slow transcription of the 99a/let-7c/125b-2 cluster results in differential miRNA expression and promotes melanoma phenotypic plasticity. Sheinboim D, Parikh S, Parikh R, Menuchin A, Shapira G, Kapitansky O, Elkoshi N, Ruppo S, Shaham L, Golan T, Elgavish S, Nevo Y, Bell RE, Malcov H, Shomron N, Taub JW, Izraeli S, Levy C. J Invest Dermatol. 2021 Jun </w:t>
      </w:r>
      <w:proofErr w:type="gramStart"/>
      <w:r w:rsidRPr="000C2658">
        <w:rPr>
          <w:rFonts w:ascii="Arial" w:hAnsi="Arial"/>
          <w:sz w:val="22"/>
          <w:lang w:val="en-US"/>
        </w:rPr>
        <w:t>26:S</w:t>
      </w:r>
      <w:proofErr w:type="gramEnd"/>
      <w:r w:rsidRPr="000C2658">
        <w:rPr>
          <w:rFonts w:ascii="Arial" w:hAnsi="Arial"/>
          <w:sz w:val="22"/>
          <w:lang w:val="en-US"/>
        </w:rPr>
        <w:t>0022- 202X(21)01406-8.</w:t>
      </w:r>
    </w:p>
    <w:p w14:paraId="4DB4FA89"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6.</w:t>
      </w:r>
      <w:r w:rsidRPr="000C2658">
        <w:rPr>
          <w:rFonts w:ascii="Arial" w:hAnsi="Arial"/>
          <w:sz w:val="22"/>
          <w:lang w:val="en-US"/>
        </w:rPr>
        <w:t xml:space="preserve"> Blood transcriptional response to treatment-resistant depression during electroconvulsive therapy. Israel-Elgali I, Hertzberg L, Shapira G, Segev A, Krieger I, Nitzan U, Bloch Y, Pillar N, Mayer O, Weizman A, Gurwitz D, Shomron N. J Psychiatr Res. 2021 Sep;141:92-103.</w:t>
      </w:r>
    </w:p>
    <w:p w14:paraId="32FC3808"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7.</w:t>
      </w:r>
      <w:r w:rsidRPr="000C2658">
        <w:rPr>
          <w:rFonts w:ascii="Arial" w:hAnsi="Arial"/>
          <w:sz w:val="22"/>
          <w:lang w:val="en-US"/>
        </w:rPr>
        <w:t xml:space="preserve"> Assessing the involvement of the placental microbiome and virome in preeclampsia using </w:t>
      </w:r>
      <w:proofErr w:type="gramStart"/>
      <w:r w:rsidRPr="000C2658">
        <w:rPr>
          <w:rFonts w:ascii="Arial" w:hAnsi="Arial"/>
          <w:sz w:val="22"/>
          <w:lang w:val="en-US"/>
        </w:rPr>
        <w:t>non coding</w:t>
      </w:r>
      <w:proofErr w:type="gramEnd"/>
      <w:r w:rsidRPr="000C2658">
        <w:rPr>
          <w:rFonts w:ascii="Arial" w:hAnsi="Arial"/>
          <w:sz w:val="22"/>
          <w:lang w:val="en-US"/>
        </w:rPr>
        <w:t xml:space="preserve"> RNA sequencing. Yoffe L, Kuperman AA, Isakov O, Haguel D, Polsky AL, Farberov L, Pillar N, Gurevich V, Haviv I, Shomron N. J Perinat Med. 2021 Jun 10.</w:t>
      </w:r>
    </w:p>
    <w:p w14:paraId="10FE51B7"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8.</w:t>
      </w:r>
      <w:r w:rsidRPr="000C2658">
        <w:rPr>
          <w:rFonts w:ascii="Arial" w:hAnsi="Arial"/>
          <w:sz w:val="22"/>
          <w:lang w:val="en-US"/>
        </w:rPr>
        <w:t xml:space="preserve"> Synergy of oxytocin and citalopram in modulating Itgb3/Chl1 interplay: Relevance to sensitivity to SSRI therapy. Stanić D, Oved K, Israel-Elgali I, Jukić M, Batinić B, Puškaš N, Shomron N, Gurwitz D, Pešić V. Psychoneuroendocrinology. 2021 </w:t>
      </w:r>
      <w:proofErr w:type="gramStart"/>
      <w:r w:rsidRPr="000C2658">
        <w:rPr>
          <w:rFonts w:ascii="Arial" w:hAnsi="Arial"/>
          <w:sz w:val="22"/>
          <w:lang w:val="en-US"/>
        </w:rPr>
        <w:t>Jul;129:105234</w:t>
      </w:r>
      <w:proofErr w:type="gramEnd"/>
      <w:r w:rsidRPr="000C2658">
        <w:rPr>
          <w:rFonts w:ascii="Arial" w:hAnsi="Arial"/>
          <w:sz w:val="22"/>
          <w:lang w:val="en-US"/>
        </w:rPr>
        <w:t>.</w:t>
      </w:r>
    </w:p>
    <w:p w14:paraId="218FD7D5" w14:textId="6B38B5C1"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9.</w:t>
      </w:r>
      <w:r w:rsidRPr="000C2658">
        <w:rPr>
          <w:rFonts w:ascii="Arial" w:hAnsi="Arial"/>
          <w:sz w:val="22"/>
          <w:lang w:val="en-US"/>
        </w:rPr>
        <w:t xml:space="preserve"> Molecular epidemiology of non-syndromic autosomal recessive congenital ichthyosis in a </w:t>
      </w:r>
      <w:proofErr w:type="gramStart"/>
      <w:r w:rsidRPr="000C2658">
        <w:rPr>
          <w:rFonts w:ascii="Arial" w:hAnsi="Arial"/>
          <w:sz w:val="22"/>
          <w:lang w:val="en-US"/>
        </w:rPr>
        <w:t>Middle-Eastern</w:t>
      </w:r>
      <w:proofErr w:type="gramEnd"/>
      <w:r w:rsidRPr="000C2658">
        <w:rPr>
          <w:rFonts w:ascii="Arial" w:hAnsi="Arial"/>
          <w:sz w:val="22"/>
          <w:lang w:val="en-US"/>
        </w:rPr>
        <w:t xml:space="preserve"> population. Mohamad J, Samuelov L, Malchin N, Rabinowitz T, Assaf S, Malki L, Malovitski K, Israeli S, Grafi-Cohen M, Bitterman-Deutsch O, Molho-Pessach V, Cohen- Barak E, Bach G, Garty BZ, Bergman R, Harel A, Nanda A, Lestringant GG, McGrath J, Shalev S, Shomron N, Mashiah J, Eskin-Schwartz M, Sprecher E, Sarig O. Exp Dermatol. 2021 Sep;30(9):1290-1297.</w:t>
      </w:r>
    </w:p>
    <w:p w14:paraId="04B9208D" w14:textId="77777777" w:rsidR="00015C42"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10.</w:t>
      </w:r>
      <w:r w:rsidRPr="000C2658">
        <w:rPr>
          <w:rFonts w:ascii="Arial" w:hAnsi="Arial"/>
          <w:sz w:val="22"/>
          <w:lang w:val="en-US"/>
        </w:rPr>
        <w:t xml:space="preserve"> Heterozygous APC germline mutations impart predisposition to colorectal cancer. Preisler L, Habib A, Shapira G, Kuznitsov-Yanovsky L, Mayshar Y, Carmel-Gross I, Malcov M, Azem F, Shomron N, Kariv R, Hershkovitz D, Ben-Yosef D. Sci Rep. 2021 Mar 4;11(1):5113. </w:t>
      </w:r>
    </w:p>
    <w:p w14:paraId="2657B80F" w14:textId="5A7990E9"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11.</w:t>
      </w:r>
      <w:r w:rsidRPr="000C2658">
        <w:rPr>
          <w:rFonts w:ascii="Arial" w:hAnsi="Arial"/>
          <w:sz w:val="22"/>
          <w:lang w:val="en-US"/>
        </w:rPr>
        <w:t xml:space="preserve"> Proteogenomics of glioblastoma </w:t>
      </w:r>
      <w:proofErr w:type="gramStart"/>
      <w:r w:rsidRPr="000C2658">
        <w:rPr>
          <w:rFonts w:ascii="Arial" w:hAnsi="Arial"/>
          <w:sz w:val="22"/>
          <w:lang w:val="en-US"/>
        </w:rPr>
        <w:t>associates</w:t>
      </w:r>
      <w:proofErr w:type="gramEnd"/>
      <w:r w:rsidRPr="000C2658">
        <w:rPr>
          <w:rFonts w:ascii="Arial" w:hAnsi="Arial"/>
          <w:sz w:val="22"/>
          <w:lang w:val="en-US"/>
        </w:rPr>
        <w:t xml:space="preserve"> molecular patterns with survival. Yanovich-Arad G, Ofek P, Yeini E, Mardamshina M, Danilevsky A, Shomron N, Grossman R, Satchi-Fainaro R, Geiger T. Cell Rep. 2021 Mar 2;34(9):108787.</w:t>
      </w:r>
    </w:p>
    <w:p w14:paraId="0E3CDB56"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lastRenderedPageBreak/>
        <w:t>12.</w:t>
      </w:r>
      <w:r w:rsidRPr="000C2658">
        <w:rPr>
          <w:rFonts w:ascii="Arial" w:hAnsi="Arial"/>
          <w:sz w:val="22"/>
          <w:lang w:val="en-US"/>
        </w:rPr>
        <w:t xml:space="preserve"> DNA Data Collection and Analysis in the Forensic Arena. Grabell S, Shomron N. Methods Mol Biol. 2021;2243:355-368.</w:t>
      </w:r>
    </w:p>
    <w:p w14:paraId="4FB73B72"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13.</w:t>
      </w:r>
      <w:r w:rsidRPr="000C2658">
        <w:rPr>
          <w:rFonts w:ascii="Arial" w:hAnsi="Arial"/>
          <w:sz w:val="22"/>
          <w:lang w:val="en-US"/>
        </w:rPr>
        <w:t xml:space="preserve"> Analysis of microRNA Regulation in Single Cells. Liu W, Shomron N. Methods Mol Biol. 2021;2243:339-354.</w:t>
      </w:r>
    </w:p>
    <w:p w14:paraId="43707003"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14.</w:t>
      </w:r>
      <w:r w:rsidRPr="000C2658">
        <w:rPr>
          <w:rFonts w:ascii="Arial" w:hAnsi="Arial"/>
          <w:sz w:val="22"/>
          <w:lang w:val="en-US"/>
        </w:rPr>
        <w:t xml:space="preserve"> Single-Cell Transcriptome Profiling. Shapira G, Shomron N. Methods Mol Biol. 2021;2243:311-325.</w:t>
      </w:r>
    </w:p>
    <w:p w14:paraId="4B85F6A2"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15.</w:t>
      </w:r>
      <w:r w:rsidRPr="000C2658">
        <w:rPr>
          <w:rFonts w:ascii="Arial" w:hAnsi="Arial"/>
          <w:sz w:val="22"/>
          <w:lang w:val="en-US"/>
        </w:rPr>
        <w:t xml:space="preserve"> Overcoming Interpretability in Deep Learning Cancer Classification. Teo YYA, Danilevsky A, Shomron N. Methods Mol Biol. 2021;2243:297-309.</w:t>
      </w:r>
    </w:p>
    <w:p w14:paraId="6D5392FE"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16.</w:t>
      </w:r>
      <w:r w:rsidRPr="000C2658">
        <w:rPr>
          <w:rFonts w:ascii="Arial" w:hAnsi="Arial"/>
          <w:sz w:val="22"/>
          <w:lang w:val="en-US"/>
        </w:rPr>
        <w:t xml:space="preserve"> Genome-Wide Noninvasive Prenatal Diagnosis of De Novo Mutations. Peretz-Machluf R, Rabinowitz T, Shomron N. Methods Mol Biol. 2021;2243:249-269.</w:t>
      </w:r>
    </w:p>
    <w:p w14:paraId="3A3B1AED"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17.</w:t>
      </w:r>
      <w:r w:rsidRPr="000C2658">
        <w:rPr>
          <w:rFonts w:ascii="Arial" w:hAnsi="Arial"/>
          <w:sz w:val="22"/>
          <w:lang w:val="en-US"/>
        </w:rPr>
        <w:t xml:space="preserve"> Genome-Wide Noninvasive Prenatal Diagnosis of SNPs and Indels. Rabinowitz T, Shomron N. Methods Mol Biol. 2021;2243:227-248.</w:t>
      </w:r>
    </w:p>
    <w:p w14:paraId="0884CB4B"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18.</w:t>
      </w:r>
      <w:r w:rsidRPr="000C2658">
        <w:rPr>
          <w:rFonts w:ascii="Arial" w:hAnsi="Arial"/>
          <w:sz w:val="22"/>
          <w:lang w:val="en-US"/>
        </w:rPr>
        <w:t xml:space="preserve"> Deep Learning Applied on Next Generation Sequencing Data Analysis. Danilevsky A, Shomron N. Methods Mol Biol. 2021;2243:169-182.</w:t>
      </w:r>
    </w:p>
    <w:p w14:paraId="6977C3E0"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19.</w:t>
      </w:r>
      <w:r w:rsidRPr="000C2658">
        <w:rPr>
          <w:rFonts w:ascii="Arial" w:hAnsi="Arial"/>
          <w:sz w:val="22"/>
          <w:lang w:val="en-US"/>
        </w:rPr>
        <w:t xml:space="preserve"> Processing and Analysis of RNA-seq Data from Public Resources. Zoabi Y, Shomron N. Methods Mol Biol. 2021;2243:81-94.</w:t>
      </w:r>
    </w:p>
    <w:p w14:paraId="32A25B17"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20.</w:t>
      </w:r>
      <w:r w:rsidRPr="000C2658">
        <w:rPr>
          <w:rFonts w:ascii="Arial" w:hAnsi="Arial"/>
          <w:sz w:val="22"/>
          <w:lang w:val="en-US"/>
        </w:rPr>
        <w:t xml:space="preserve"> Re-evaluating the pathogenicity of the c.783+2T&gt;C BAP1 germline variant. Goldberg Y, Laitman Y, Ben David M, Bazak L, Lidzbarsky G, Salmon LB, Shkedi-Rafid S, Barshack I, Avivi C, Darawshe M, Shomron N, Bruchim R, Vinkler C, Yannoukakos D, Fostira F, Bernstein-Molho R, Friedman E. Hum Mutat. 2021 May;42(5):592-599.</w:t>
      </w:r>
    </w:p>
    <w:p w14:paraId="198D5EB8"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21.</w:t>
      </w:r>
      <w:r w:rsidRPr="000C2658">
        <w:rPr>
          <w:rFonts w:ascii="Arial" w:hAnsi="Arial"/>
          <w:sz w:val="22"/>
          <w:lang w:val="en-US"/>
        </w:rPr>
        <w:t xml:space="preserve"> Improved noninvasive fetal variant calling using standardized benchmarking approaches. Rabinowitz T, Deri-Rozov S, Shomron N. Comput Struct Biotechnol J. 2020 Dec 31;19:509- 517.</w:t>
      </w:r>
    </w:p>
    <w:p w14:paraId="43346ADC" w14:textId="41590CFE"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22.</w:t>
      </w:r>
      <w:r w:rsidRPr="000C2658">
        <w:rPr>
          <w:rFonts w:ascii="Arial" w:hAnsi="Arial"/>
          <w:sz w:val="22"/>
          <w:lang w:val="en-US"/>
        </w:rPr>
        <w:t xml:space="preserve"> Two intronic cis-acting variants in both alleles of the POLR3A gene cause progressive spastic ataxia with hypodontia. Fellner A, Lossos A, Kogan E, Argov Z, Gonzaga-Jauregui C, Shuldiner AR, Darawshe M, Bazak L, Lidzbarsky G, Shomron N, Basel-Salmon L, Goldberg Y. Clin Genet. 2021 May;99(5):713-718.</w:t>
      </w:r>
    </w:p>
    <w:p w14:paraId="4CF462E5"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23.</w:t>
      </w:r>
      <w:r w:rsidRPr="000C2658">
        <w:rPr>
          <w:rFonts w:ascii="Arial" w:hAnsi="Arial"/>
          <w:sz w:val="22"/>
          <w:lang w:val="en-US"/>
        </w:rPr>
        <w:t xml:space="preserve"> Machine learning-based prediction of COVID-19 diagnosis based on symptoms. Zoabi Y, Deri-Rozov S, Shomron N. NPJ Digit Med. 2021 Jan 4;4(1):3.</w:t>
      </w:r>
    </w:p>
    <w:p w14:paraId="5682D763"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sz w:val="22"/>
          <w:lang w:val="en-US"/>
        </w:rPr>
        <w:t>24. How I embrace diversity in my lab. Shomron N. Nature. 2020 Dec 17.</w:t>
      </w:r>
    </w:p>
    <w:p w14:paraId="748DD5E4"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25.</w:t>
      </w:r>
      <w:r w:rsidRPr="000C2658">
        <w:rPr>
          <w:rFonts w:ascii="Arial" w:hAnsi="Arial"/>
          <w:sz w:val="22"/>
          <w:lang w:val="en-US"/>
        </w:rPr>
        <w:t xml:space="preserve"> The Contribution of MicroRNAs to the Inflammatory and Neoplastic Characteristics of Erdheim-Chester Disease. Weissman R, Diamond EL, Haroche J, Pillar N, Shapira G, Durham BH, Buthorn J, Cohen F, Ki M, Stemer G, Ulaner GA, Amoura Z, Emile JF, Mazor RD, Shomron N, Abdel-Wahab OI, Shpilberg O, Hershkovitz-Rokah O. Cancers (Basel). 2020 Nov 3;12(11):3240.</w:t>
      </w:r>
    </w:p>
    <w:p w14:paraId="00537F5F"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26.</w:t>
      </w:r>
      <w:r w:rsidRPr="000C2658">
        <w:rPr>
          <w:rFonts w:ascii="Arial" w:hAnsi="Arial"/>
          <w:sz w:val="22"/>
          <w:lang w:val="en-US"/>
        </w:rPr>
        <w:t xml:space="preserve"> Spectrum of genes for inherited hearing loss in the Israeli Jewish population, including the novel human deafness gene ATOH1. Brownstein Z, Gulsuner S, Walsh T, Martins FTA, Taiber S, Isakov O, Lee MK, Bordeynik-Cohen M, Birkan M, Chang W, Casadei S, Danial-Farran N, Abu-Rayyan A, Carlson R, Kamal L, Arnthórsson AÖ, Sokolov M, Gilony D, Lipschitz N, Frydman M, Davidov B, Macarov M, Sagi M, Vinkler C, Poran H, Sharony R, Samra N, Zvi N, Baris-Feldman H, Singer A, Handzel O, Hertzano R, Ali-Naffaa D, Ruhrman-Shahar N, Madgar O, Sofrin-Drucker E, Peleg A, Khayat M, Shohat M, Basel-Salmon L, Pras E, Lev D, Wolf M, Steingrimsson E, Shomron N, Kelley MW, Kanaan MN, Allon-Shalev S, King MC, Avraham KB. Clin Genet. 2020 Oct;98(4):353-364.</w:t>
      </w:r>
    </w:p>
    <w:p w14:paraId="1E4A1696"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27.</w:t>
      </w:r>
      <w:r w:rsidRPr="000C2658">
        <w:rPr>
          <w:rFonts w:ascii="Arial" w:hAnsi="Arial"/>
          <w:sz w:val="22"/>
          <w:lang w:val="en-US"/>
        </w:rPr>
        <w:t xml:space="preserve"> Genome-wide noninvasive prenatal diagnosis of monogenic disorders: Current and future trends. Rabinowitz T, Shomron N. Comput Struct Biotechnol J. 2020 Sep 14;18:2463-2470. </w:t>
      </w:r>
      <w:r w:rsidRPr="000C2658">
        <w:rPr>
          <w:rFonts w:ascii="Arial" w:hAnsi="Arial"/>
          <w:b/>
          <w:sz w:val="22"/>
          <w:lang w:val="en-US"/>
        </w:rPr>
        <w:lastRenderedPageBreak/>
        <w:t>28.</w:t>
      </w:r>
      <w:r w:rsidRPr="000C2658">
        <w:rPr>
          <w:rFonts w:ascii="Arial" w:hAnsi="Arial"/>
          <w:sz w:val="22"/>
          <w:lang w:val="en-US"/>
        </w:rPr>
        <w:t xml:space="preserve"> Ethnic differences in alpha-1 antitrypsin deficiency allele frequencies may partially explain national differences in COVID-19 fatality rates. Shapira G, Shomron N, Gurwitz D. FASEB J. 2020 Nov;34(11):14160-14165.</w:t>
      </w:r>
    </w:p>
    <w:p w14:paraId="1B513F61"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29.</w:t>
      </w:r>
      <w:r w:rsidRPr="000C2658">
        <w:rPr>
          <w:rFonts w:ascii="Arial" w:hAnsi="Arial"/>
          <w:sz w:val="22"/>
          <w:lang w:val="en-US"/>
        </w:rPr>
        <w:t xml:space="preserve"> Palmoplantar keratoderma caused by a missense variant in CTSB encoding cathepsin B. Mohamad J, Samuelov L, Malki L, Peled A, Pavlovsky M, Malovitski K, Taiber S, Adir N, Rabinowitz T, Shomron N, Milner JD, Lestringant G, Sarig O, Sprecher E. Clin Exp Dermatol. 2021 Jan;46(1):103-108.</w:t>
      </w:r>
    </w:p>
    <w:p w14:paraId="16F927A9" w14:textId="77777777"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30.</w:t>
      </w:r>
      <w:r w:rsidRPr="000C2658">
        <w:rPr>
          <w:rFonts w:ascii="Arial" w:hAnsi="Arial"/>
          <w:sz w:val="22"/>
          <w:lang w:val="en-US"/>
        </w:rPr>
        <w:t xml:space="preserve"> MicroRNAs in ascending thoracic aortic aneurysms. Moushi A, Pillar N, Keravnou A, Soteriou M, Shomron N, Cariolou MA, Bashiardes E. Biosci Rep. 2020 Jul 31;40(7): BSR20200218.</w:t>
      </w:r>
    </w:p>
    <w:p w14:paraId="5675E115" w14:textId="52A5A564" w:rsidR="00CA51F7" w:rsidRPr="000C2658" w:rsidRDefault="00CA51F7" w:rsidP="00015C42">
      <w:pPr>
        <w:spacing w:line="288" w:lineRule="auto"/>
        <w:jc w:val="both"/>
        <w:rPr>
          <w:rFonts w:ascii="Arial" w:hAnsi="Arial" w:cs="Arial"/>
          <w:sz w:val="22"/>
          <w:szCs w:val="22"/>
          <w:lang w:val="en-US"/>
        </w:rPr>
      </w:pPr>
      <w:r w:rsidRPr="000C2658">
        <w:rPr>
          <w:rFonts w:ascii="Arial" w:hAnsi="Arial"/>
          <w:b/>
          <w:sz w:val="22"/>
          <w:lang w:val="en-US"/>
        </w:rPr>
        <w:t>31.</w:t>
      </w:r>
      <w:r w:rsidRPr="000C2658">
        <w:rPr>
          <w:rFonts w:ascii="Arial" w:hAnsi="Arial"/>
          <w:sz w:val="22"/>
          <w:lang w:val="en-US"/>
        </w:rPr>
        <w:t xml:space="preserve"> Phenotypic suppression of acral peeling skin syndrome in a patient with autosomal recessive congenital ichthyosis. Mohamad J, Nanda A, Pavlovsky M, Peled A, Malchin N, Malovitski K, Pramanik R, Weissglas-Volkov D, Shomron N, McGrath J, Sprecher E, Sarig O. Exp Dermatol. 2020 Aug;29(8):742-748.</w:t>
      </w:r>
    </w:p>
    <w:p w14:paraId="7524B0DA" w14:textId="37C6D9C0" w:rsidR="00CA51F7" w:rsidRDefault="00CA51F7" w:rsidP="00015C42">
      <w:pPr>
        <w:spacing w:line="288" w:lineRule="auto"/>
        <w:jc w:val="both"/>
        <w:rPr>
          <w:rFonts w:ascii="Arial" w:hAnsi="Arial" w:cs="Arial"/>
          <w:sz w:val="22"/>
          <w:szCs w:val="22"/>
        </w:rPr>
      </w:pPr>
      <w:r w:rsidRPr="000C2658">
        <w:rPr>
          <w:rFonts w:ascii="Arial" w:hAnsi="Arial"/>
          <w:b/>
          <w:sz w:val="22"/>
          <w:lang w:val="en-US"/>
        </w:rPr>
        <w:t>32.</w:t>
      </w:r>
      <w:r w:rsidRPr="000C2658">
        <w:rPr>
          <w:rFonts w:ascii="Arial" w:hAnsi="Arial"/>
          <w:sz w:val="22"/>
          <w:lang w:val="en-US"/>
        </w:rPr>
        <w:t xml:space="preserve"> The black sheep of the family- whole-exome sequencing in family of lithium response discordant bipolar monozygotic twins. Jacobs A, Hagin M, Shugol M, Shomron N, Pillar N, Fañanás L, Serretti A, Vieta E, Popovic D. Eur Neuropsychopharmacol. 2020 </w:t>
      </w:r>
      <w:proofErr w:type="gramStart"/>
      <w:r w:rsidRPr="000C2658">
        <w:rPr>
          <w:rFonts w:ascii="Arial" w:hAnsi="Arial"/>
          <w:sz w:val="22"/>
          <w:lang w:val="en-US"/>
        </w:rPr>
        <w:t>May;34:19</w:t>
      </w:r>
      <w:proofErr w:type="gramEnd"/>
      <w:r w:rsidRPr="000C2658">
        <w:rPr>
          <w:rFonts w:ascii="Arial" w:hAnsi="Arial"/>
          <w:sz w:val="22"/>
          <w:lang w:val="en-US"/>
        </w:rPr>
        <w:t xml:space="preserve">-27. </w:t>
      </w:r>
      <w:r w:rsidRPr="000C2658">
        <w:rPr>
          <w:rFonts w:ascii="Arial" w:hAnsi="Arial"/>
          <w:b/>
          <w:sz w:val="22"/>
          <w:lang w:val="en-US"/>
        </w:rPr>
        <w:t>33.</w:t>
      </w:r>
      <w:r w:rsidRPr="000C2658">
        <w:rPr>
          <w:rFonts w:ascii="Arial" w:hAnsi="Arial"/>
          <w:sz w:val="22"/>
          <w:lang w:val="en-US"/>
        </w:rPr>
        <w:t xml:space="preserve"> Loss-of-Function Variants in SERPINA12 Underlie Autosomal Recessive Palmoplantar Keratoderma. Mohamad J, Sarig O, Malki L, Rabinowitz T, Assaf S, Malovitski K, Shkury E, Mayer T, Vodo D, Peled A, Daniely D, Pavlovsky M, Shomron N, Samuelov L, Sprecher E. J Invest Dermatol. </w:t>
      </w:r>
      <w:r>
        <w:rPr>
          <w:rFonts w:ascii="Arial" w:hAnsi="Arial"/>
          <w:sz w:val="22"/>
        </w:rPr>
        <w:t xml:space="preserve">2020 </w:t>
      </w:r>
      <w:proofErr w:type="gramStart"/>
      <w:r>
        <w:rPr>
          <w:rFonts w:ascii="Arial" w:hAnsi="Arial"/>
          <w:sz w:val="22"/>
        </w:rPr>
        <w:t>Nov;</w:t>
      </w:r>
      <w:proofErr w:type="gramEnd"/>
      <w:r>
        <w:rPr>
          <w:rFonts w:ascii="Arial" w:hAnsi="Arial"/>
          <w:sz w:val="22"/>
        </w:rPr>
        <w:t>140(11):2178-2187</w:t>
      </w:r>
    </w:p>
    <w:p w14:paraId="629C6E38" w14:textId="263D4186" w:rsidR="00D3787D" w:rsidRDefault="00D3787D" w:rsidP="00CA51F7">
      <w:pPr>
        <w:jc w:val="both"/>
        <w:rPr>
          <w:rFonts w:ascii="Arial" w:hAnsi="Arial" w:cs="Arial"/>
          <w:sz w:val="22"/>
          <w:szCs w:val="22"/>
        </w:rPr>
      </w:pPr>
    </w:p>
    <w:p w14:paraId="170769BB" w14:textId="126FD951" w:rsidR="00D3787D" w:rsidRDefault="00D3787D" w:rsidP="00CA51F7">
      <w:pPr>
        <w:jc w:val="both"/>
        <w:rPr>
          <w:rFonts w:ascii="Arial" w:hAnsi="Arial" w:cs="Arial"/>
          <w:sz w:val="22"/>
          <w:szCs w:val="22"/>
        </w:rPr>
      </w:pPr>
    </w:p>
    <w:p w14:paraId="087D54A9" w14:textId="4A4524C7" w:rsidR="00D3787D" w:rsidRPr="00D3787D" w:rsidRDefault="00D3787D" w:rsidP="00D3787D">
      <w:pPr>
        <w:pStyle w:val="NormalWeb"/>
        <w:shd w:val="clear" w:color="auto" w:fill="269EEA"/>
        <w:rPr>
          <w:rFonts w:ascii="Arial" w:hAnsi="Arial" w:cs="Arial"/>
          <w:i/>
          <w:iCs/>
        </w:rPr>
      </w:pPr>
      <w:r>
        <w:rPr>
          <w:rFonts w:ascii="Arial" w:hAnsi="Arial"/>
          <w:i/>
          <w:color w:val="001E5E"/>
          <w:sz w:val="36"/>
        </w:rPr>
        <w:t>Le soutien de la fondation Adelis a permis à notre laboratoire de publier 33 articles dans des revues à comité de lecture dans la cinquième année budg</w:t>
      </w:r>
      <w:r w:rsidR="00385E18">
        <w:rPr>
          <w:rFonts w:ascii="Arial" w:hAnsi="Arial"/>
          <w:i/>
          <w:color w:val="001E5E"/>
          <w:sz w:val="36"/>
        </w:rPr>
        <w:t>é</w:t>
      </w:r>
      <w:r>
        <w:rPr>
          <w:rFonts w:ascii="Arial" w:hAnsi="Arial"/>
          <w:i/>
          <w:color w:val="001E5E"/>
          <w:sz w:val="36"/>
        </w:rPr>
        <w:t xml:space="preserve">taire. </w:t>
      </w:r>
    </w:p>
    <w:p w14:paraId="67F0BC9C" w14:textId="4AFDF2AB" w:rsidR="00D3787D" w:rsidRDefault="00D3787D" w:rsidP="00CA51F7">
      <w:pPr>
        <w:jc w:val="both"/>
        <w:rPr>
          <w:rFonts w:ascii="Arial" w:hAnsi="Arial" w:cs="Arial"/>
          <w:sz w:val="22"/>
          <w:szCs w:val="22"/>
        </w:rPr>
      </w:pPr>
    </w:p>
    <w:p w14:paraId="0B535E58" w14:textId="18570FBE" w:rsidR="00015C42" w:rsidRDefault="00015C42">
      <w:pPr>
        <w:rPr>
          <w:rFonts w:ascii="Arial" w:hAnsi="Arial" w:cs="Arial"/>
          <w:sz w:val="22"/>
          <w:szCs w:val="22"/>
        </w:rPr>
      </w:pPr>
      <w:r>
        <w:br w:type="page"/>
      </w:r>
    </w:p>
    <w:p w14:paraId="1A68A4B1" w14:textId="742F9563" w:rsidR="00D3787D" w:rsidRPr="00D3787D" w:rsidRDefault="00D3787D" w:rsidP="00CA51F7">
      <w:pPr>
        <w:jc w:val="both"/>
        <w:rPr>
          <w:rFonts w:ascii="Arial" w:eastAsia="Times New Roman" w:hAnsi="Arial" w:cs="Arial"/>
          <w:color w:val="001E5E"/>
          <w:sz w:val="42"/>
          <w:szCs w:val="42"/>
        </w:rPr>
      </w:pPr>
      <w:r>
        <w:rPr>
          <w:rFonts w:ascii="Arial" w:hAnsi="Arial"/>
          <w:color w:val="001E5E"/>
          <w:sz w:val="42"/>
        </w:rPr>
        <w:lastRenderedPageBreak/>
        <w:t>UN LIVRE, ÉDITÉ PAR PROF SHOMRON</w:t>
      </w:r>
    </w:p>
    <w:p w14:paraId="14A625C4" w14:textId="77777777" w:rsidR="00B97D5D" w:rsidRDefault="00B97D5D" w:rsidP="00015C42">
      <w:pPr>
        <w:spacing w:line="288" w:lineRule="auto"/>
        <w:jc w:val="both"/>
        <w:rPr>
          <w:rFonts w:ascii="Arial" w:hAnsi="Arial"/>
          <w:sz w:val="22"/>
        </w:rPr>
      </w:pPr>
    </w:p>
    <w:p w14:paraId="53A87571" w14:textId="29A406D0" w:rsidR="00D3787D" w:rsidRDefault="00D3787D" w:rsidP="00015C42">
      <w:pPr>
        <w:spacing w:line="288" w:lineRule="auto"/>
        <w:jc w:val="both"/>
        <w:rPr>
          <w:rFonts w:ascii="Arial" w:hAnsi="Arial" w:cs="Arial"/>
          <w:sz w:val="22"/>
          <w:szCs w:val="22"/>
        </w:rPr>
      </w:pPr>
      <w:r>
        <w:rPr>
          <w:rFonts w:ascii="Arial" w:hAnsi="Arial"/>
          <w:sz w:val="22"/>
        </w:rPr>
        <w:t>Cette année, Prof Shomron a édité un livre intitulé « Deep Sequencing Data Analysis » (Analyse de données de séquençage haut débit). En fait, il s’agit de la deuxième édition de ce livre, entièrement renouvelée après la première édition publiée en 2013. Dans le livre, huit des chapitres ont été écrit</w:t>
      </w:r>
      <w:r w:rsidR="00385E18">
        <w:rPr>
          <w:rFonts w:ascii="Arial" w:hAnsi="Arial"/>
          <w:sz w:val="22"/>
        </w:rPr>
        <w:t>s</w:t>
      </w:r>
      <w:r>
        <w:rPr>
          <w:rFonts w:ascii="Arial" w:hAnsi="Arial"/>
          <w:sz w:val="22"/>
        </w:rPr>
        <w:t xml:space="preserve"> par Shomron et ses étudiants (voir ci-dessous).</w:t>
      </w:r>
    </w:p>
    <w:p w14:paraId="7F00DD8C" w14:textId="1C60C1A4" w:rsidR="00D3787D" w:rsidRDefault="00D3787D" w:rsidP="00015C42">
      <w:pPr>
        <w:spacing w:line="288" w:lineRule="auto"/>
        <w:jc w:val="both"/>
        <w:rPr>
          <w:rFonts w:ascii="Arial" w:hAnsi="Arial" w:cs="Arial"/>
          <w:sz w:val="22"/>
          <w:szCs w:val="22"/>
        </w:rPr>
      </w:pPr>
    </w:p>
    <w:p w14:paraId="46F167A6" w14:textId="59E04C9E" w:rsidR="00015C42" w:rsidRDefault="00015C42" w:rsidP="00015C42">
      <w:pPr>
        <w:spacing w:line="288" w:lineRule="auto"/>
        <w:jc w:val="both"/>
        <w:rPr>
          <w:rFonts w:ascii="Arial" w:hAnsi="Arial" w:cs="Arial"/>
          <w:sz w:val="22"/>
          <w:szCs w:val="22"/>
        </w:rPr>
      </w:pPr>
      <w:r>
        <w:rPr>
          <w:rFonts w:ascii="Arial" w:hAnsi="Arial"/>
          <w:noProof/>
          <w:sz w:val="22"/>
        </w:rPr>
        <w:drawing>
          <wp:inline distT="0" distB="0" distL="0" distR="0" wp14:anchorId="0CE8299C" wp14:editId="41FE2018">
            <wp:extent cx="5731510" cy="2383790"/>
            <wp:effectExtent l="0" t="0" r="0" b="3810"/>
            <wp:docPr id="2"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731510" cy="2383790"/>
                    </a:xfrm>
                    <a:prstGeom prst="rect">
                      <a:avLst/>
                    </a:prstGeom>
                  </pic:spPr>
                </pic:pic>
              </a:graphicData>
            </a:graphic>
          </wp:inline>
        </w:drawing>
      </w:r>
    </w:p>
    <w:p w14:paraId="236CB4CC" w14:textId="77777777" w:rsidR="00015C42" w:rsidRDefault="00015C42" w:rsidP="00015C42">
      <w:pPr>
        <w:spacing w:line="288" w:lineRule="auto"/>
        <w:jc w:val="both"/>
        <w:rPr>
          <w:rFonts w:ascii="Arial" w:hAnsi="Arial" w:cs="Arial"/>
          <w:sz w:val="22"/>
          <w:szCs w:val="22"/>
        </w:rPr>
      </w:pPr>
    </w:p>
    <w:p w14:paraId="68E2A0DC" w14:textId="7849F5EB" w:rsidR="00D3787D" w:rsidRPr="000C2658" w:rsidRDefault="00D3787D" w:rsidP="00015C42">
      <w:pPr>
        <w:pStyle w:val="ListParagraph"/>
        <w:numPr>
          <w:ilvl w:val="0"/>
          <w:numId w:val="5"/>
        </w:numPr>
        <w:spacing w:line="288" w:lineRule="auto"/>
        <w:ind w:left="284" w:hanging="284"/>
        <w:jc w:val="both"/>
        <w:rPr>
          <w:rFonts w:ascii="Arial" w:hAnsi="Arial" w:cs="Arial"/>
          <w:sz w:val="22"/>
          <w:szCs w:val="22"/>
          <w:lang w:val="en-US"/>
        </w:rPr>
      </w:pPr>
      <w:r w:rsidRPr="000C2658">
        <w:rPr>
          <w:rFonts w:ascii="Arial" w:hAnsi="Arial"/>
          <w:sz w:val="22"/>
          <w:lang w:val="en-US"/>
        </w:rPr>
        <w:t>DNA Data Collection and Analysis in the Forensic Arena. Grabell S, Shomron N. Methods Mol Biol. 2021;2243:355-368.</w:t>
      </w:r>
    </w:p>
    <w:p w14:paraId="59420458" w14:textId="7BB1C67D" w:rsidR="00D3787D" w:rsidRPr="000C2658" w:rsidRDefault="00D3787D" w:rsidP="00015C42">
      <w:pPr>
        <w:pStyle w:val="ListParagraph"/>
        <w:numPr>
          <w:ilvl w:val="0"/>
          <w:numId w:val="5"/>
        </w:numPr>
        <w:spacing w:line="288" w:lineRule="auto"/>
        <w:ind w:left="284" w:hanging="284"/>
        <w:jc w:val="both"/>
        <w:rPr>
          <w:rFonts w:ascii="Arial" w:hAnsi="Arial" w:cs="Arial"/>
          <w:sz w:val="22"/>
          <w:szCs w:val="22"/>
          <w:lang w:val="en-US"/>
        </w:rPr>
      </w:pPr>
      <w:r w:rsidRPr="000C2658">
        <w:rPr>
          <w:rFonts w:ascii="Arial" w:hAnsi="Arial"/>
          <w:sz w:val="22"/>
          <w:lang w:val="en-US"/>
        </w:rPr>
        <w:t>Analysis of microRNA Regulation in Single Cells. Liu W, Shomron N. Methods Mol Biol. 2021;2243:339-354.</w:t>
      </w:r>
    </w:p>
    <w:p w14:paraId="54AD7770" w14:textId="3FF1033B" w:rsidR="00D3787D" w:rsidRPr="000C2658" w:rsidRDefault="00D3787D" w:rsidP="00015C42">
      <w:pPr>
        <w:pStyle w:val="ListParagraph"/>
        <w:numPr>
          <w:ilvl w:val="0"/>
          <w:numId w:val="5"/>
        </w:numPr>
        <w:spacing w:line="288" w:lineRule="auto"/>
        <w:ind w:left="284" w:hanging="284"/>
        <w:jc w:val="both"/>
        <w:rPr>
          <w:rFonts w:ascii="Arial" w:hAnsi="Arial" w:cs="Arial"/>
          <w:sz w:val="22"/>
          <w:szCs w:val="22"/>
          <w:lang w:val="en-US"/>
        </w:rPr>
      </w:pPr>
      <w:r w:rsidRPr="000C2658">
        <w:rPr>
          <w:rFonts w:ascii="Arial" w:hAnsi="Arial"/>
          <w:sz w:val="22"/>
          <w:lang w:val="en-US"/>
        </w:rPr>
        <w:t>Single-Cell Transcriptome Profiling. Shapira G, Shomron N. Methods Mol Biol. 2021;2243:311-325.</w:t>
      </w:r>
    </w:p>
    <w:p w14:paraId="1DCBEADE" w14:textId="0CFB5CB9" w:rsidR="00D3787D" w:rsidRPr="00D3787D" w:rsidRDefault="00D3787D" w:rsidP="00015C42">
      <w:pPr>
        <w:pStyle w:val="ListParagraph"/>
        <w:numPr>
          <w:ilvl w:val="0"/>
          <w:numId w:val="5"/>
        </w:numPr>
        <w:spacing w:line="288" w:lineRule="auto"/>
        <w:ind w:left="284" w:hanging="284"/>
        <w:jc w:val="both"/>
        <w:rPr>
          <w:rFonts w:ascii="Arial" w:hAnsi="Arial" w:cs="Arial"/>
          <w:sz w:val="22"/>
          <w:szCs w:val="22"/>
        </w:rPr>
      </w:pPr>
      <w:r w:rsidRPr="000C2658">
        <w:rPr>
          <w:rFonts w:ascii="Arial" w:hAnsi="Arial"/>
          <w:sz w:val="22"/>
          <w:lang w:val="en-US"/>
        </w:rPr>
        <w:t xml:space="preserve">Overcoming Interpretability in Deep Learning Cancer Classification. </w:t>
      </w:r>
      <w:r>
        <w:rPr>
          <w:rFonts w:ascii="Arial" w:hAnsi="Arial"/>
          <w:sz w:val="22"/>
        </w:rPr>
        <w:t xml:space="preserve">Teo YYA, Danilevsky A, Shomron N. Methods Mol Biol. </w:t>
      </w:r>
      <w:proofErr w:type="gramStart"/>
      <w:r>
        <w:rPr>
          <w:rFonts w:ascii="Arial" w:hAnsi="Arial"/>
          <w:sz w:val="22"/>
        </w:rPr>
        <w:t>2021;</w:t>
      </w:r>
      <w:proofErr w:type="gramEnd"/>
      <w:r>
        <w:rPr>
          <w:rFonts w:ascii="Arial" w:hAnsi="Arial"/>
          <w:sz w:val="22"/>
        </w:rPr>
        <w:t>2243:297-309.</w:t>
      </w:r>
    </w:p>
    <w:p w14:paraId="32FDFEB2" w14:textId="6192BE54" w:rsidR="00D3787D" w:rsidRPr="000C2658" w:rsidRDefault="00D3787D" w:rsidP="00015C42">
      <w:pPr>
        <w:pStyle w:val="ListParagraph"/>
        <w:numPr>
          <w:ilvl w:val="0"/>
          <w:numId w:val="5"/>
        </w:numPr>
        <w:spacing w:line="288" w:lineRule="auto"/>
        <w:ind w:left="284" w:hanging="284"/>
        <w:jc w:val="both"/>
        <w:rPr>
          <w:rFonts w:ascii="Arial" w:hAnsi="Arial" w:cs="Arial"/>
          <w:sz w:val="22"/>
          <w:szCs w:val="22"/>
          <w:lang w:val="en-US"/>
        </w:rPr>
      </w:pPr>
      <w:r w:rsidRPr="000C2658">
        <w:rPr>
          <w:rFonts w:ascii="Arial" w:hAnsi="Arial"/>
          <w:sz w:val="22"/>
          <w:lang w:val="en-US"/>
        </w:rPr>
        <w:t>Genome-Wide Noninvasive Prenatal Diagnosis of De Novo Mutations. Peretz-Machluf R, Rabinowitz T, Shomron N. Methods Mol Biol. 2021;2243:249-269.</w:t>
      </w:r>
    </w:p>
    <w:p w14:paraId="5520C768" w14:textId="73AB16B8" w:rsidR="00D3787D" w:rsidRPr="000C2658" w:rsidRDefault="00D3787D" w:rsidP="00015C42">
      <w:pPr>
        <w:pStyle w:val="ListParagraph"/>
        <w:numPr>
          <w:ilvl w:val="0"/>
          <w:numId w:val="5"/>
        </w:numPr>
        <w:spacing w:line="288" w:lineRule="auto"/>
        <w:ind w:left="284" w:hanging="284"/>
        <w:jc w:val="both"/>
        <w:rPr>
          <w:rFonts w:ascii="Arial" w:hAnsi="Arial" w:cs="Arial"/>
          <w:sz w:val="22"/>
          <w:szCs w:val="22"/>
          <w:lang w:val="en-US"/>
        </w:rPr>
      </w:pPr>
      <w:r w:rsidRPr="000C2658">
        <w:rPr>
          <w:rFonts w:ascii="Arial" w:hAnsi="Arial"/>
          <w:sz w:val="22"/>
          <w:lang w:val="en-US"/>
        </w:rPr>
        <w:t>Genome-Wide Noninvasive Prenatal Diagnosis of SNPs and Indels. Rabinowitz T, Shomron N. Methods Mol Biol. 2021;2243:227-248.</w:t>
      </w:r>
    </w:p>
    <w:p w14:paraId="658ECB54" w14:textId="0A05018A" w:rsidR="00D3787D" w:rsidRPr="00D3787D" w:rsidRDefault="00D3787D" w:rsidP="00015C42">
      <w:pPr>
        <w:pStyle w:val="ListParagraph"/>
        <w:numPr>
          <w:ilvl w:val="0"/>
          <w:numId w:val="5"/>
        </w:numPr>
        <w:spacing w:line="288" w:lineRule="auto"/>
        <w:ind w:left="284" w:hanging="284"/>
        <w:jc w:val="both"/>
        <w:rPr>
          <w:rFonts w:ascii="Arial" w:hAnsi="Arial" w:cs="Arial"/>
          <w:sz w:val="22"/>
          <w:szCs w:val="22"/>
        </w:rPr>
      </w:pPr>
      <w:r w:rsidRPr="000C2658">
        <w:rPr>
          <w:rFonts w:ascii="Arial" w:hAnsi="Arial"/>
          <w:sz w:val="22"/>
          <w:lang w:val="en-US"/>
        </w:rPr>
        <w:t xml:space="preserve">Deep Learning Applied on Next Generation Sequencing Data Analysis. </w:t>
      </w:r>
      <w:r>
        <w:rPr>
          <w:rFonts w:ascii="Arial" w:hAnsi="Arial"/>
          <w:sz w:val="22"/>
        </w:rPr>
        <w:t xml:space="preserve">Danilevsky A, Shomron N. Methods Mol Biol. </w:t>
      </w:r>
      <w:proofErr w:type="gramStart"/>
      <w:r>
        <w:rPr>
          <w:rFonts w:ascii="Arial" w:hAnsi="Arial"/>
          <w:sz w:val="22"/>
        </w:rPr>
        <w:t>2021;</w:t>
      </w:r>
      <w:proofErr w:type="gramEnd"/>
      <w:r>
        <w:rPr>
          <w:rFonts w:ascii="Arial" w:hAnsi="Arial"/>
          <w:sz w:val="22"/>
        </w:rPr>
        <w:t>2243:169-182.</w:t>
      </w:r>
    </w:p>
    <w:p w14:paraId="3D832286" w14:textId="42741F14" w:rsidR="00D3787D" w:rsidRPr="000C2658" w:rsidRDefault="00D3787D" w:rsidP="00015C42">
      <w:pPr>
        <w:pStyle w:val="ListParagraph"/>
        <w:numPr>
          <w:ilvl w:val="0"/>
          <w:numId w:val="5"/>
        </w:numPr>
        <w:spacing w:line="288" w:lineRule="auto"/>
        <w:ind w:left="284" w:hanging="284"/>
        <w:jc w:val="both"/>
        <w:rPr>
          <w:rFonts w:ascii="Arial" w:hAnsi="Arial" w:cs="Arial"/>
          <w:sz w:val="22"/>
          <w:szCs w:val="22"/>
          <w:lang w:val="en-US"/>
        </w:rPr>
      </w:pPr>
      <w:r w:rsidRPr="000C2658">
        <w:rPr>
          <w:rFonts w:ascii="Arial" w:hAnsi="Arial"/>
          <w:sz w:val="22"/>
          <w:lang w:val="en-US"/>
        </w:rPr>
        <w:t>Processing and Analysis of RNA-seq Data from Public Resources. Zoabi Y, Shomron N. Methods Mol Biol. 2021;2243:81-94.</w:t>
      </w:r>
    </w:p>
    <w:p w14:paraId="7BD91B6D" w14:textId="52FE2AA5" w:rsidR="00D3787D" w:rsidRPr="000C2658" w:rsidRDefault="00D3787D" w:rsidP="00D3787D">
      <w:pPr>
        <w:jc w:val="both"/>
        <w:rPr>
          <w:rFonts w:ascii="Arial" w:hAnsi="Arial" w:cs="Arial"/>
          <w:sz w:val="22"/>
          <w:szCs w:val="22"/>
          <w:lang w:val="en-US"/>
        </w:rPr>
      </w:pPr>
    </w:p>
    <w:p w14:paraId="2F76A664" w14:textId="77777777" w:rsidR="00015C42" w:rsidRPr="000C2658" w:rsidRDefault="00015C42">
      <w:pPr>
        <w:rPr>
          <w:rFonts w:ascii="Arial" w:eastAsia="Times New Roman" w:hAnsi="Arial" w:cs="Arial"/>
          <w:color w:val="001E5E"/>
          <w:sz w:val="36"/>
          <w:szCs w:val="36"/>
          <w:lang w:val="en-US"/>
        </w:rPr>
      </w:pPr>
      <w:r w:rsidRPr="000C2658">
        <w:rPr>
          <w:lang w:val="en-US"/>
        </w:rPr>
        <w:br w:type="page"/>
      </w:r>
    </w:p>
    <w:p w14:paraId="7BB6D421" w14:textId="4D22146E" w:rsidR="00D3787D" w:rsidRPr="00D3787D" w:rsidRDefault="00D3787D" w:rsidP="000C2658">
      <w:pPr>
        <w:rPr>
          <w:rFonts w:ascii="Arial" w:hAnsi="Arial" w:cs="Arial"/>
          <w:sz w:val="36"/>
          <w:szCs w:val="36"/>
        </w:rPr>
      </w:pPr>
      <w:r>
        <w:rPr>
          <w:rFonts w:ascii="Arial" w:hAnsi="Arial"/>
          <w:color w:val="001E5E"/>
          <w:sz w:val="36"/>
        </w:rPr>
        <w:lastRenderedPageBreak/>
        <w:t>UN ARTICLE DANS LA REVUE NATURE DISCUTANT DE LA DIVERSITÉ DANS LE LABORATOIRE SHOMRON</w:t>
      </w:r>
    </w:p>
    <w:p w14:paraId="6261F54F" w14:textId="0AF2FE23" w:rsidR="00D3787D" w:rsidRDefault="00D3787D" w:rsidP="00D3787D">
      <w:pPr>
        <w:jc w:val="both"/>
        <w:rPr>
          <w:rFonts w:ascii="Arial" w:hAnsi="Arial" w:cs="Arial"/>
          <w:sz w:val="22"/>
          <w:szCs w:val="22"/>
        </w:rPr>
      </w:pPr>
    </w:p>
    <w:p w14:paraId="270C2D41" w14:textId="5ACF11D4" w:rsidR="00D3787D" w:rsidRDefault="00D3787D" w:rsidP="00D3787D">
      <w:pPr>
        <w:jc w:val="center"/>
        <w:rPr>
          <w:rFonts w:ascii="Arial" w:hAnsi="Arial" w:cs="Arial"/>
          <w:sz w:val="22"/>
          <w:szCs w:val="22"/>
        </w:rPr>
      </w:pPr>
      <w:r>
        <w:rPr>
          <w:rFonts w:ascii="Arial" w:hAnsi="Arial"/>
          <w:noProof/>
          <w:sz w:val="22"/>
        </w:rPr>
        <w:drawing>
          <wp:inline distT="0" distB="0" distL="0" distR="0" wp14:anchorId="54EBD97E" wp14:editId="7B16D684">
            <wp:extent cx="4737100" cy="6299200"/>
            <wp:effectExtent l="0" t="0" r="0" b="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737100" cy="6299200"/>
                    </a:xfrm>
                    <a:prstGeom prst="rect">
                      <a:avLst/>
                    </a:prstGeom>
                  </pic:spPr>
                </pic:pic>
              </a:graphicData>
            </a:graphic>
          </wp:inline>
        </w:drawing>
      </w:r>
    </w:p>
    <w:p w14:paraId="014F7450" w14:textId="77777777" w:rsidR="00D3787D" w:rsidRDefault="00D3787D" w:rsidP="00D3787D">
      <w:pPr>
        <w:jc w:val="both"/>
        <w:rPr>
          <w:rFonts w:ascii="Arial" w:hAnsi="Arial" w:cs="Arial"/>
          <w:sz w:val="22"/>
          <w:szCs w:val="22"/>
        </w:rPr>
      </w:pPr>
    </w:p>
    <w:p w14:paraId="5600595A" w14:textId="76B5C36B" w:rsidR="00D3787D" w:rsidRPr="00D3787D" w:rsidRDefault="00D3787D" w:rsidP="00300AB8">
      <w:pPr>
        <w:spacing w:line="288" w:lineRule="auto"/>
        <w:jc w:val="both"/>
        <w:rPr>
          <w:rFonts w:ascii="Arial" w:hAnsi="Arial" w:cs="Arial"/>
          <w:sz w:val="22"/>
          <w:szCs w:val="22"/>
        </w:rPr>
      </w:pPr>
      <w:r>
        <w:rPr>
          <w:rFonts w:ascii="Arial" w:hAnsi="Arial"/>
          <w:sz w:val="22"/>
        </w:rPr>
        <w:t xml:space="preserve">Une fois par an, à peu près au moment où les </w:t>
      </w:r>
      <w:r w:rsidR="00385E18">
        <w:rPr>
          <w:rFonts w:ascii="Arial" w:hAnsi="Arial"/>
          <w:sz w:val="22"/>
        </w:rPr>
        <w:t>c</w:t>
      </w:r>
      <w:r>
        <w:rPr>
          <w:rFonts w:ascii="Arial" w:hAnsi="Arial"/>
          <w:sz w:val="22"/>
        </w:rPr>
        <w:t xml:space="preserve">hrétiens célèbrent Pâques, les musulmans célèbrent le </w:t>
      </w:r>
      <w:r w:rsidR="00385E18">
        <w:rPr>
          <w:rFonts w:ascii="Arial" w:hAnsi="Arial"/>
          <w:sz w:val="22"/>
        </w:rPr>
        <w:t>R</w:t>
      </w:r>
      <w:r>
        <w:rPr>
          <w:rFonts w:ascii="Arial" w:hAnsi="Arial"/>
          <w:sz w:val="22"/>
        </w:rPr>
        <w:t xml:space="preserve">amadan et les </w:t>
      </w:r>
      <w:r w:rsidR="00385E18">
        <w:rPr>
          <w:rFonts w:ascii="Arial" w:hAnsi="Arial"/>
          <w:sz w:val="22"/>
        </w:rPr>
        <w:t>j</w:t>
      </w:r>
      <w:r>
        <w:rPr>
          <w:rFonts w:ascii="Arial" w:hAnsi="Arial"/>
          <w:sz w:val="22"/>
        </w:rPr>
        <w:t xml:space="preserve">uifs célèbrent Pessah, j’invite mon équipe de 24 personnes à un dîner festif chez moi. Pour tenir compte des besoins de tous mes étudiants, le repas que je prépare inclut des plats casher, végétariens, végans et sans gluten, et je m’assure que le repas est près au moment du coucher du soleil lorsque le jeûne du </w:t>
      </w:r>
      <w:r w:rsidR="00385E18">
        <w:rPr>
          <w:rFonts w:ascii="Arial" w:hAnsi="Arial"/>
          <w:sz w:val="22"/>
        </w:rPr>
        <w:t>R</w:t>
      </w:r>
      <w:r>
        <w:rPr>
          <w:rFonts w:ascii="Arial" w:hAnsi="Arial"/>
          <w:sz w:val="22"/>
        </w:rPr>
        <w:t xml:space="preserve">amadan se termine. Le dernier repas incluait Kataif, un dessert traditionnel servi les nuits du </w:t>
      </w:r>
      <w:r w:rsidR="00385E18">
        <w:rPr>
          <w:rFonts w:ascii="Arial" w:hAnsi="Arial"/>
          <w:sz w:val="22"/>
        </w:rPr>
        <w:t>R</w:t>
      </w:r>
      <w:r>
        <w:rPr>
          <w:rFonts w:ascii="Arial" w:hAnsi="Arial"/>
          <w:sz w:val="22"/>
        </w:rPr>
        <w:t>amadan qui était préparé par l’un de mes étudiants musulmans, servi à côté d’un strudel européen.</w:t>
      </w:r>
    </w:p>
    <w:p w14:paraId="5C701CF3" w14:textId="0D8546B6" w:rsidR="00D3787D" w:rsidRPr="00D3787D" w:rsidRDefault="00D3787D" w:rsidP="00300AB8">
      <w:pPr>
        <w:spacing w:line="288" w:lineRule="auto"/>
        <w:jc w:val="both"/>
        <w:rPr>
          <w:rFonts w:ascii="Arial" w:hAnsi="Arial" w:cs="Arial"/>
          <w:sz w:val="22"/>
          <w:szCs w:val="22"/>
        </w:rPr>
      </w:pPr>
      <w:r>
        <w:rPr>
          <w:rFonts w:ascii="Arial" w:hAnsi="Arial"/>
          <w:sz w:val="22"/>
        </w:rPr>
        <w:lastRenderedPageBreak/>
        <w:t>Je pense que cette tradition reflète la philosophie au sens large de mon laboratoire de génomique : nous cherchons à être un groupe divers et uni de personnes travaillant dans un réseau scientifique mondial. Mon laboratoire est principalement constitué de femmes et d’hommes israéliens faisant de la recherche en médecine translationnelle. Nous sommes issus de domaines variés : bioinformatique, informatique, biologie, médecine. Certains d’entre nous sont mariés, d’autres ne le sont pas. Certains ont des enfants, d’autres n’en ont pas. Mais l’une des différences les plus importantes est nos religions et le rôle de ces religions dans nos vies.</w:t>
      </w:r>
    </w:p>
    <w:p w14:paraId="541378CF" w14:textId="77777777" w:rsidR="00D3787D" w:rsidRPr="00D3787D" w:rsidRDefault="00D3787D" w:rsidP="00300AB8">
      <w:pPr>
        <w:spacing w:line="288" w:lineRule="auto"/>
        <w:jc w:val="both"/>
        <w:rPr>
          <w:rFonts w:ascii="Arial" w:hAnsi="Arial" w:cs="Arial"/>
          <w:sz w:val="22"/>
          <w:szCs w:val="22"/>
        </w:rPr>
      </w:pPr>
      <w:r>
        <w:rPr>
          <w:rFonts w:ascii="Arial" w:hAnsi="Arial"/>
          <w:sz w:val="22"/>
        </w:rPr>
        <w:t>Israël est un État relativement jeune, et un melting pot de peuples du monde entier. Il a fait face à de nombreux bouleversements pendant sa courte histoire en raison des différences de croyances religieuses et de convictions politiques de ses habitants.</w:t>
      </w:r>
    </w:p>
    <w:p w14:paraId="0A0E7192" w14:textId="122FF88A" w:rsidR="00D3787D" w:rsidRPr="00D3787D" w:rsidRDefault="00D3787D" w:rsidP="00300AB8">
      <w:pPr>
        <w:spacing w:line="288" w:lineRule="auto"/>
        <w:jc w:val="both"/>
        <w:rPr>
          <w:rFonts w:ascii="Arial" w:hAnsi="Arial" w:cs="Arial"/>
          <w:sz w:val="22"/>
          <w:szCs w:val="22"/>
        </w:rPr>
      </w:pPr>
      <w:r>
        <w:rPr>
          <w:rFonts w:ascii="Arial" w:hAnsi="Arial"/>
          <w:sz w:val="22"/>
        </w:rPr>
        <w:t xml:space="preserve">La plupart des </w:t>
      </w:r>
      <w:r w:rsidR="00385E18">
        <w:rPr>
          <w:rFonts w:ascii="Arial" w:hAnsi="Arial"/>
          <w:sz w:val="22"/>
        </w:rPr>
        <w:t>j</w:t>
      </w:r>
      <w:r>
        <w:rPr>
          <w:rFonts w:ascii="Arial" w:hAnsi="Arial"/>
          <w:sz w:val="22"/>
        </w:rPr>
        <w:t xml:space="preserve">uifs, </w:t>
      </w:r>
      <w:r w:rsidR="00385E18">
        <w:rPr>
          <w:rFonts w:ascii="Arial" w:hAnsi="Arial"/>
          <w:sz w:val="22"/>
        </w:rPr>
        <w:t>c</w:t>
      </w:r>
      <w:r>
        <w:rPr>
          <w:rFonts w:ascii="Arial" w:hAnsi="Arial"/>
          <w:sz w:val="22"/>
        </w:rPr>
        <w:t xml:space="preserve">hrétiens et </w:t>
      </w:r>
      <w:r w:rsidR="00385E18">
        <w:rPr>
          <w:rFonts w:ascii="Arial" w:hAnsi="Arial"/>
          <w:sz w:val="22"/>
        </w:rPr>
        <w:t>m</w:t>
      </w:r>
      <w:r>
        <w:rPr>
          <w:rFonts w:ascii="Arial" w:hAnsi="Arial"/>
          <w:sz w:val="22"/>
        </w:rPr>
        <w:t>usulmans du pays continuent de vivre dans des zones séparées. Pourtant lorsque des personnes rejoignent mon laboratoire, elles convergent, d’abord grâce à leur intérêt mutuel pour la science, puis à mesure qu’elles apprennent à se connaître et à découvrir des activités extraprofessionnelles, y compris les cours de yoga, l’escala</w:t>
      </w:r>
      <w:r w:rsidR="00385E18">
        <w:rPr>
          <w:rFonts w:ascii="Arial" w:hAnsi="Arial"/>
          <w:sz w:val="22"/>
        </w:rPr>
        <w:t>d</w:t>
      </w:r>
      <w:r>
        <w:rPr>
          <w:rFonts w:ascii="Arial" w:hAnsi="Arial"/>
          <w:sz w:val="22"/>
        </w:rPr>
        <w:t>e et la cuisine et le partage de recettes de famille. Nous devenons une équipe unifiée.</w:t>
      </w:r>
    </w:p>
    <w:p w14:paraId="6727B5BE" w14:textId="232A35D5" w:rsidR="00D3787D" w:rsidRPr="00D3787D" w:rsidRDefault="00D3787D" w:rsidP="00300AB8">
      <w:pPr>
        <w:spacing w:line="288" w:lineRule="auto"/>
        <w:jc w:val="both"/>
        <w:rPr>
          <w:rFonts w:ascii="Arial" w:hAnsi="Arial" w:cs="Arial"/>
          <w:sz w:val="22"/>
          <w:szCs w:val="22"/>
        </w:rPr>
      </w:pPr>
      <w:r>
        <w:rPr>
          <w:rFonts w:ascii="Arial" w:hAnsi="Arial"/>
          <w:sz w:val="22"/>
        </w:rPr>
        <w:t xml:space="preserve">Je suis fière de cette cohésion et des nouvelles amitiés qui se nouent dans mon laboratoire, et je fais de mon mieux pour les encourager : </w:t>
      </w:r>
      <w:r w:rsidR="00385E18">
        <w:rPr>
          <w:rFonts w:ascii="Arial" w:hAnsi="Arial"/>
          <w:sz w:val="22"/>
        </w:rPr>
        <w:t>j</w:t>
      </w:r>
      <w:r>
        <w:rPr>
          <w:rFonts w:ascii="Arial" w:hAnsi="Arial"/>
          <w:sz w:val="22"/>
        </w:rPr>
        <w:t>e confie à des étudiants la tâche d’organiser la célébration d’événements spéciaux comme les anniversaires et les mariages, les anniversaires de travail et les étapes professionnelles importantes.</w:t>
      </w:r>
    </w:p>
    <w:p w14:paraId="797433B4" w14:textId="75372325" w:rsidR="00D3787D" w:rsidRPr="00D3787D" w:rsidRDefault="00D3787D" w:rsidP="00300AB8">
      <w:pPr>
        <w:spacing w:line="288" w:lineRule="auto"/>
        <w:jc w:val="both"/>
        <w:rPr>
          <w:rFonts w:ascii="Arial" w:hAnsi="Arial" w:cs="Arial"/>
          <w:sz w:val="22"/>
          <w:szCs w:val="22"/>
        </w:rPr>
      </w:pPr>
      <w:r>
        <w:rPr>
          <w:rFonts w:ascii="Arial" w:hAnsi="Arial"/>
          <w:sz w:val="22"/>
        </w:rPr>
        <w:t xml:space="preserve">Je fais également très attention </w:t>
      </w:r>
      <w:r w:rsidR="00B97D5D">
        <w:rPr>
          <w:rFonts w:ascii="Arial" w:hAnsi="Arial"/>
          <w:sz w:val="22"/>
        </w:rPr>
        <w:t>lors</w:t>
      </w:r>
      <w:r>
        <w:rPr>
          <w:rFonts w:ascii="Arial" w:hAnsi="Arial"/>
          <w:sz w:val="22"/>
        </w:rPr>
        <w:t xml:space="preserve"> du recrutement. Je fais passer des entretiens à </w:t>
      </w:r>
      <w:r w:rsidR="00B97D5D">
        <w:rPr>
          <w:rFonts w:ascii="Arial" w:hAnsi="Arial"/>
          <w:sz w:val="22"/>
        </w:rPr>
        <w:t>un grand nombre</w:t>
      </w:r>
      <w:r>
        <w:rPr>
          <w:rFonts w:ascii="Arial" w:hAnsi="Arial"/>
          <w:sz w:val="22"/>
        </w:rPr>
        <w:t xml:space="preserve"> d’étudiants avant de choisir ceux qui conviendront à mon laboratoire. Ils doivent être compétents sur le plan scientifique, bien sûr, mais il est tout aussi important qu’ils soient amicaux, intéressants et qu’ils s’intéressent aux autres. Ils doivent être prêts à respecter des points de vue et des cultures variés.</w:t>
      </w:r>
    </w:p>
    <w:p w14:paraId="79F07FFE" w14:textId="099A1533" w:rsidR="00D3787D" w:rsidRPr="00D3787D" w:rsidRDefault="00D3787D" w:rsidP="00300AB8">
      <w:pPr>
        <w:spacing w:line="288" w:lineRule="auto"/>
        <w:jc w:val="both"/>
        <w:rPr>
          <w:rFonts w:ascii="Arial" w:hAnsi="Arial" w:cs="Arial"/>
          <w:sz w:val="22"/>
          <w:szCs w:val="22"/>
        </w:rPr>
      </w:pPr>
      <w:r>
        <w:rPr>
          <w:rFonts w:ascii="Arial" w:hAnsi="Arial"/>
          <w:sz w:val="22"/>
        </w:rPr>
        <w:t xml:space="preserve">Au cours du processus de recrutement, je ne compte pas seulement sur ce que je vois chez les candidats et sur les recommandations que j’obtiens auprès de leurs directeurs de recherche précédents. Je leur demande également de parler à des membres actuels de l’équipe, puis je demande des retours aux participants aux interviews et à mes étudiants. Je m’assure qu’il y a une appréciation mutuelle et </w:t>
      </w:r>
      <w:r w:rsidR="00E00560">
        <w:rPr>
          <w:rFonts w:ascii="Arial" w:hAnsi="Arial"/>
          <w:sz w:val="22"/>
        </w:rPr>
        <w:t xml:space="preserve">une </w:t>
      </w:r>
      <w:r>
        <w:rPr>
          <w:rFonts w:ascii="Arial" w:hAnsi="Arial"/>
          <w:sz w:val="22"/>
        </w:rPr>
        <w:t>bonne alchimie. Et je cartographie les compétences et les forces de chacun de mes étudiants et je les associe par paire, pour qu’ils travaillent sur des projets pour lesquels ils se complètent mutuellement.</w:t>
      </w:r>
    </w:p>
    <w:p w14:paraId="1A6B1A01" w14:textId="77777777" w:rsidR="00D3787D" w:rsidRPr="00D3787D" w:rsidRDefault="00D3787D" w:rsidP="00300AB8">
      <w:pPr>
        <w:spacing w:line="288" w:lineRule="auto"/>
        <w:jc w:val="both"/>
        <w:rPr>
          <w:rFonts w:ascii="Arial" w:hAnsi="Arial" w:cs="Arial"/>
          <w:sz w:val="22"/>
          <w:szCs w:val="22"/>
        </w:rPr>
      </w:pPr>
      <w:r>
        <w:rPr>
          <w:rFonts w:ascii="Arial" w:hAnsi="Arial"/>
          <w:sz w:val="22"/>
        </w:rPr>
        <w:t>En tant que chef d’équipe, je vois le fait de garder un mélange d’horizons culturels comme un élément important de mon travail. Un tel environnement accessible, varié et dans lequel on est soutenu nourrit l’innovation et les avancées scientifiques. Le milieu universitaire pourrait faire beaucoup plus pour encourager la diversité et devenir un moteur d’inclusion dont le reste de la société pourrait bénéficier.</w:t>
      </w:r>
    </w:p>
    <w:p w14:paraId="304490CA" w14:textId="6EB20FEE" w:rsidR="00D3787D" w:rsidRDefault="00D3787D" w:rsidP="00300AB8">
      <w:pPr>
        <w:spacing w:line="288" w:lineRule="auto"/>
        <w:jc w:val="both"/>
        <w:rPr>
          <w:rFonts w:ascii="Arial" w:hAnsi="Arial" w:cs="Arial"/>
          <w:sz w:val="22"/>
          <w:szCs w:val="22"/>
        </w:rPr>
      </w:pPr>
      <w:proofErr w:type="gramStart"/>
      <w:r>
        <w:rPr>
          <w:rFonts w:ascii="Arial" w:hAnsi="Arial"/>
          <w:sz w:val="22"/>
        </w:rPr>
        <w:t>doi:</w:t>
      </w:r>
      <w:proofErr w:type="gramEnd"/>
      <w:r>
        <w:rPr>
          <w:rFonts w:ascii="Arial" w:hAnsi="Arial"/>
          <w:sz w:val="22"/>
        </w:rPr>
        <w:t xml:space="preserve"> </w:t>
      </w:r>
      <w:hyperlink r:id="rId26" w:history="1">
        <w:r>
          <w:rPr>
            <w:rStyle w:val="Hyperlink"/>
            <w:rFonts w:ascii="Arial" w:hAnsi="Arial"/>
            <w:sz w:val="22"/>
          </w:rPr>
          <w:t>https://doi.org/10.1038/d41586-020-03606-5</w:t>
        </w:r>
      </w:hyperlink>
    </w:p>
    <w:p w14:paraId="257DB20C" w14:textId="401A034A" w:rsidR="00D3787D" w:rsidRDefault="00D3787D" w:rsidP="00D3787D">
      <w:pPr>
        <w:jc w:val="both"/>
        <w:rPr>
          <w:rFonts w:ascii="Arial" w:hAnsi="Arial" w:cs="Arial"/>
          <w:sz w:val="22"/>
          <w:szCs w:val="22"/>
        </w:rPr>
      </w:pPr>
    </w:p>
    <w:p w14:paraId="40FD0207" w14:textId="45439FB5" w:rsidR="00D3787D" w:rsidRDefault="00D3787D" w:rsidP="00D3787D">
      <w:pPr>
        <w:jc w:val="both"/>
        <w:rPr>
          <w:rFonts w:ascii="Arial" w:hAnsi="Arial" w:cs="Arial"/>
          <w:sz w:val="22"/>
          <w:szCs w:val="22"/>
        </w:rPr>
      </w:pPr>
    </w:p>
    <w:p w14:paraId="710FE53A" w14:textId="77777777" w:rsidR="00300AB8" w:rsidRDefault="00300AB8">
      <w:pPr>
        <w:rPr>
          <w:rFonts w:ascii="Arial" w:eastAsia="Times New Roman" w:hAnsi="Arial" w:cs="Arial"/>
          <w:color w:val="001E5E"/>
          <w:sz w:val="36"/>
          <w:szCs w:val="36"/>
        </w:rPr>
      </w:pPr>
      <w:r>
        <w:br w:type="page"/>
      </w:r>
    </w:p>
    <w:p w14:paraId="4E52C270" w14:textId="09D9E593" w:rsidR="00D3787D" w:rsidRDefault="00D3787D" w:rsidP="00D3787D">
      <w:pPr>
        <w:jc w:val="both"/>
        <w:rPr>
          <w:rFonts w:ascii="Arial" w:eastAsia="Times New Roman" w:hAnsi="Arial" w:cs="Arial"/>
          <w:color w:val="001E5E"/>
          <w:sz w:val="36"/>
          <w:szCs w:val="36"/>
        </w:rPr>
      </w:pPr>
      <w:r>
        <w:rPr>
          <w:rFonts w:ascii="Arial" w:hAnsi="Arial"/>
          <w:color w:val="001E5E"/>
          <w:sz w:val="36"/>
        </w:rPr>
        <w:lastRenderedPageBreak/>
        <w:t>DANS LA PRESSE : PROF NOAM SHOMRON</w:t>
      </w:r>
    </w:p>
    <w:p w14:paraId="0748E37D" w14:textId="124BF6E6" w:rsidR="00300AB8" w:rsidRDefault="00300AB8" w:rsidP="00D3787D">
      <w:pPr>
        <w:jc w:val="both"/>
        <w:rPr>
          <w:rFonts w:ascii="Arial" w:eastAsia="Times New Roman" w:hAnsi="Arial" w:cs="Arial"/>
          <w:color w:val="001E5E"/>
          <w:sz w:val="36"/>
          <w:szCs w:val="36"/>
          <w:lang w:eastAsia="en-GB"/>
        </w:rPr>
      </w:pPr>
    </w:p>
    <w:p w14:paraId="5A4022EE" w14:textId="1A573C98" w:rsidR="00D3787D" w:rsidRDefault="00300AB8" w:rsidP="00300AB8">
      <w:pPr>
        <w:rPr>
          <w:rFonts w:ascii="Arial" w:hAnsi="Arial" w:cs="Arial"/>
          <w:sz w:val="22"/>
          <w:szCs w:val="22"/>
        </w:rPr>
      </w:pPr>
      <w:r>
        <w:rPr>
          <w:rFonts w:ascii="Arial" w:hAnsi="Arial"/>
          <w:sz w:val="22"/>
        </w:rPr>
        <w:t>Quelques-uns des nombreux articles généraliste</w:t>
      </w:r>
      <w:r w:rsidR="000C2658">
        <w:rPr>
          <w:rFonts w:ascii="Arial" w:hAnsi="Arial"/>
          <w:sz w:val="22"/>
        </w:rPr>
        <w:t>s</w:t>
      </w:r>
      <w:r>
        <w:rPr>
          <w:rFonts w:ascii="Arial" w:hAnsi="Arial"/>
          <w:sz w:val="22"/>
        </w:rPr>
        <w:t xml:space="preserve"> sur le travail mené par notre équipe. </w:t>
      </w:r>
    </w:p>
    <w:p w14:paraId="21DA3CD8" w14:textId="77777777" w:rsidR="00300AB8" w:rsidRDefault="00300AB8" w:rsidP="00300AB8">
      <w:pPr>
        <w:rPr>
          <w:rFonts w:ascii="Arial" w:hAnsi="Arial" w:cs="Arial"/>
          <w:sz w:val="22"/>
          <w:szCs w:val="22"/>
        </w:rPr>
      </w:pPr>
    </w:p>
    <w:p w14:paraId="39C7A5C8" w14:textId="0488FFA3" w:rsidR="00D3787D" w:rsidRDefault="00871579" w:rsidP="00D3787D">
      <w:pPr>
        <w:jc w:val="both"/>
        <w:rPr>
          <w:rFonts w:ascii="Arial" w:hAnsi="Arial" w:cs="Arial"/>
          <w:sz w:val="22"/>
          <w:szCs w:val="22"/>
        </w:rPr>
      </w:pPr>
      <w:r>
        <w:rPr>
          <w:rFonts w:ascii="Arial" w:hAnsi="Arial"/>
          <w:noProof/>
          <w:sz w:val="22"/>
        </w:rPr>
        <w:drawing>
          <wp:inline distT="0" distB="0" distL="0" distR="0" wp14:anchorId="0F22BF3B" wp14:editId="0723D402">
            <wp:extent cx="5731510" cy="3380105"/>
            <wp:effectExtent l="0" t="0" r="0" b="0"/>
            <wp:docPr id="43" name="Picture 4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 Team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31510" cy="3380105"/>
                    </a:xfrm>
                    <a:prstGeom prst="rect">
                      <a:avLst/>
                    </a:prstGeom>
                  </pic:spPr>
                </pic:pic>
              </a:graphicData>
            </a:graphic>
          </wp:inline>
        </w:drawing>
      </w:r>
    </w:p>
    <w:p w14:paraId="16C3B874" w14:textId="6D88025E" w:rsidR="00871579" w:rsidRDefault="00871579" w:rsidP="00D3787D">
      <w:pPr>
        <w:jc w:val="both"/>
        <w:rPr>
          <w:rFonts w:ascii="Arial" w:hAnsi="Arial" w:cs="Arial"/>
          <w:sz w:val="22"/>
          <w:szCs w:val="22"/>
        </w:rPr>
      </w:pPr>
    </w:p>
    <w:p w14:paraId="15CFD440" w14:textId="1761EECF" w:rsidR="00871579" w:rsidRDefault="00871579" w:rsidP="00D3787D">
      <w:pPr>
        <w:jc w:val="both"/>
        <w:rPr>
          <w:rFonts w:ascii="Arial" w:hAnsi="Arial" w:cs="Arial"/>
          <w:sz w:val="22"/>
          <w:szCs w:val="22"/>
        </w:rPr>
      </w:pPr>
      <w:r>
        <w:rPr>
          <w:rFonts w:ascii="Arial" w:hAnsi="Arial"/>
          <w:noProof/>
          <w:sz w:val="22"/>
        </w:rPr>
        <w:drawing>
          <wp:inline distT="0" distB="0" distL="0" distR="0" wp14:anchorId="29F751CB" wp14:editId="0819DDF4">
            <wp:extent cx="3396343" cy="4333685"/>
            <wp:effectExtent l="0" t="0" r="0" b="0"/>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403087" cy="4342290"/>
                    </a:xfrm>
                    <a:prstGeom prst="rect">
                      <a:avLst/>
                    </a:prstGeom>
                  </pic:spPr>
                </pic:pic>
              </a:graphicData>
            </a:graphic>
          </wp:inline>
        </w:drawing>
      </w:r>
    </w:p>
    <w:p w14:paraId="2313320C" w14:textId="3273CEB3" w:rsidR="00871579" w:rsidRDefault="00871579" w:rsidP="00D3787D">
      <w:pPr>
        <w:jc w:val="both"/>
        <w:rPr>
          <w:rFonts w:ascii="Arial" w:hAnsi="Arial" w:cs="Arial"/>
          <w:sz w:val="22"/>
          <w:szCs w:val="22"/>
        </w:rPr>
      </w:pPr>
    </w:p>
    <w:p w14:paraId="1FCD88CA" w14:textId="28D4B5F6" w:rsidR="00871579" w:rsidRDefault="00871579" w:rsidP="00D3787D">
      <w:pPr>
        <w:jc w:val="both"/>
        <w:rPr>
          <w:rFonts w:ascii="Arial" w:hAnsi="Arial" w:cs="Arial"/>
          <w:sz w:val="22"/>
          <w:szCs w:val="22"/>
        </w:rPr>
      </w:pPr>
      <w:r>
        <w:rPr>
          <w:rFonts w:ascii="Arial" w:hAnsi="Arial"/>
          <w:noProof/>
          <w:sz w:val="22"/>
        </w:rPr>
        <w:drawing>
          <wp:inline distT="0" distB="0" distL="0" distR="0" wp14:anchorId="4CF4F9F4" wp14:editId="0807A86B">
            <wp:extent cx="5600700" cy="7912100"/>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600700" cy="7912100"/>
                    </a:xfrm>
                    <a:prstGeom prst="rect">
                      <a:avLst/>
                    </a:prstGeom>
                  </pic:spPr>
                </pic:pic>
              </a:graphicData>
            </a:graphic>
          </wp:inline>
        </w:drawing>
      </w:r>
    </w:p>
    <w:p w14:paraId="035574D7" w14:textId="007000C0" w:rsidR="00871579" w:rsidRDefault="00871579" w:rsidP="00D3787D">
      <w:pPr>
        <w:jc w:val="both"/>
        <w:rPr>
          <w:rFonts w:ascii="Arial" w:hAnsi="Arial" w:cs="Arial"/>
          <w:sz w:val="22"/>
          <w:szCs w:val="22"/>
        </w:rPr>
      </w:pPr>
    </w:p>
    <w:p w14:paraId="2B52F4D4" w14:textId="2AE3489C" w:rsidR="00871579" w:rsidRDefault="00871579" w:rsidP="00300AB8">
      <w:pPr>
        <w:rPr>
          <w:rFonts w:ascii="Arial" w:hAnsi="Arial" w:cs="Arial"/>
          <w:sz w:val="22"/>
          <w:szCs w:val="22"/>
        </w:rPr>
      </w:pPr>
    </w:p>
    <w:p w14:paraId="031FBEFF" w14:textId="77777777" w:rsidR="00024EA1" w:rsidRDefault="00024EA1">
      <w:pPr>
        <w:rPr>
          <w:rFonts w:ascii="Arial" w:hAnsi="Arial" w:cs="Arial"/>
          <w:sz w:val="22"/>
          <w:szCs w:val="22"/>
        </w:rPr>
        <w:sectPr w:rsidR="00024EA1">
          <w:footerReference w:type="default" r:id="rId30"/>
          <w:pgSz w:w="11906" w:h="16838"/>
          <w:pgMar w:top="1440" w:right="1440" w:bottom="1440" w:left="1440" w:header="708" w:footer="708" w:gutter="0"/>
          <w:cols w:space="708"/>
          <w:docGrid w:linePitch="360"/>
        </w:sectPr>
      </w:pPr>
    </w:p>
    <w:p w14:paraId="1BD56ADD" w14:textId="77777777" w:rsidR="00024EA1" w:rsidRDefault="00024EA1" w:rsidP="00024EA1">
      <w:pPr>
        <w:tabs>
          <w:tab w:val="left" w:pos="3544"/>
        </w:tabs>
        <w:ind w:left="567"/>
        <w:rPr>
          <w:rFonts w:ascii="Microsoft Sans Serif" w:hAnsi="Microsoft Sans Serif" w:cs="Microsoft Sans Serif"/>
          <w:sz w:val="20"/>
          <w:szCs w:val="20"/>
        </w:rPr>
      </w:pPr>
    </w:p>
    <w:p w14:paraId="65716585"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Projet :</w:t>
      </w:r>
      <w:r w:rsidRPr="00A903BE">
        <w:rPr>
          <w:rFonts w:ascii="Microsoft Sans Serif" w:hAnsi="Microsoft Sans Serif" w:cs="Microsoft Sans Serif"/>
          <w:sz w:val="20"/>
          <w:szCs w:val="20"/>
        </w:rPr>
        <w:tab/>
      </w:r>
      <w:r>
        <w:rPr>
          <w:rFonts w:ascii="Microsoft Sans Serif" w:hAnsi="Microsoft Sans Serif" w:cs="Microsoft Sans Serif"/>
          <w:sz w:val="20"/>
          <w:szCs w:val="20"/>
        </w:rPr>
        <w:t>Réhabilitation des désordres métaboliques</w:t>
      </w:r>
    </w:p>
    <w:p w14:paraId="4A50813F"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Numéro de Recherche TAU :</w:t>
      </w:r>
      <w:r w:rsidRPr="00A903BE">
        <w:rPr>
          <w:rFonts w:ascii="Microsoft Sans Serif" w:hAnsi="Microsoft Sans Serif" w:cs="Microsoft Sans Serif"/>
          <w:sz w:val="20"/>
          <w:szCs w:val="20"/>
        </w:rPr>
        <w:tab/>
        <w:t>0604516</w:t>
      </w:r>
      <w:r>
        <w:rPr>
          <w:rFonts w:ascii="Microsoft Sans Serif" w:hAnsi="Microsoft Sans Serif" w:cs="Microsoft Sans Serif"/>
          <w:sz w:val="20"/>
          <w:szCs w:val="20"/>
        </w:rPr>
        <w:t>803</w:t>
      </w:r>
    </w:p>
    <w:p w14:paraId="0D7B373D"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Chercheur :</w:t>
      </w:r>
      <w:r w:rsidRPr="00A903BE">
        <w:rPr>
          <w:rFonts w:ascii="Microsoft Sans Serif" w:hAnsi="Microsoft Sans Serif" w:cs="Microsoft Sans Serif"/>
          <w:sz w:val="20"/>
          <w:szCs w:val="20"/>
        </w:rPr>
        <w:tab/>
        <w:t xml:space="preserve">Pr </w:t>
      </w:r>
      <w:r>
        <w:rPr>
          <w:rFonts w:ascii="Microsoft Sans Serif" w:hAnsi="Microsoft Sans Serif" w:cs="Microsoft Sans Serif"/>
          <w:sz w:val="20"/>
          <w:szCs w:val="20"/>
        </w:rPr>
        <w:t>Ehud Gazit</w:t>
      </w:r>
    </w:p>
    <w:p w14:paraId="4B02E179"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Date :</w:t>
      </w:r>
      <w:r w:rsidRPr="00A903BE">
        <w:rPr>
          <w:rFonts w:ascii="Microsoft Sans Serif" w:hAnsi="Microsoft Sans Serif" w:cs="Microsoft Sans Serif"/>
          <w:sz w:val="20"/>
          <w:szCs w:val="20"/>
        </w:rPr>
        <w:tab/>
      </w:r>
      <w:r>
        <w:rPr>
          <w:rFonts w:ascii="Microsoft Sans Serif" w:hAnsi="Microsoft Sans Serif" w:cs="Microsoft Sans Serif"/>
          <w:sz w:val="20"/>
          <w:szCs w:val="20"/>
        </w:rPr>
        <w:t>18</w:t>
      </w:r>
      <w:r w:rsidRPr="00A903BE">
        <w:rPr>
          <w:rFonts w:ascii="Microsoft Sans Serif" w:hAnsi="Microsoft Sans Serif" w:cs="Microsoft Sans Serif"/>
          <w:sz w:val="20"/>
          <w:szCs w:val="20"/>
        </w:rPr>
        <w:t>/</w:t>
      </w:r>
      <w:r>
        <w:rPr>
          <w:rFonts w:ascii="Microsoft Sans Serif" w:hAnsi="Microsoft Sans Serif" w:cs="Microsoft Sans Serif"/>
          <w:sz w:val="20"/>
          <w:szCs w:val="20"/>
        </w:rPr>
        <w:t>10</w:t>
      </w:r>
      <w:r w:rsidRPr="00A903BE">
        <w:rPr>
          <w:rFonts w:ascii="Microsoft Sans Serif" w:hAnsi="Microsoft Sans Serif" w:cs="Microsoft Sans Serif"/>
          <w:sz w:val="20"/>
          <w:szCs w:val="20"/>
        </w:rPr>
        <w:t>/20</w:t>
      </w:r>
      <w:r>
        <w:rPr>
          <w:rFonts w:ascii="Microsoft Sans Serif" w:hAnsi="Microsoft Sans Serif" w:cs="Microsoft Sans Serif"/>
          <w:sz w:val="20"/>
          <w:szCs w:val="20"/>
        </w:rPr>
        <w:t>21</w:t>
      </w:r>
    </w:p>
    <w:p w14:paraId="4890AF48" w14:textId="77777777" w:rsidR="00024EA1" w:rsidRPr="00A903BE" w:rsidRDefault="00024EA1" w:rsidP="00024EA1">
      <w:pPr>
        <w:spacing w:after="120"/>
        <w:rPr>
          <w:rFonts w:ascii="Microsoft Sans Serif" w:hAnsi="Microsoft Sans Serif" w:cs="Microsoft Sans Serif"/>
        </w:rPr>
      </w:pPr>
      <w:r w:rsidRPr="00A903BE">
        <w:rPr>
          <w:rFonts w:ascii="Microsoft Sans Serif" w:hAnsi="Microsoft Sans Serif" w:cs="Microsoft Sans Serif"/>
          <w:noProof/>
        </w:rPr>
        <mc:AlternateContent>
          <mc:Choice Requires="wps">
            <w:drawing>
              <wp:anchor distT="0" distB="0" distL="114300" distR="114300" simplePos="0" relativeHeight="251659264" behindDoc="0" locked="0" layoutInCell="1" allowOverlap="1" wp14:anchorId="3BBE620A" wp14:editId="11C3EA2F">
                <wp:simplePos x="0" y="0"/>
                <wp:positionH relativeFrom="column">
                  <wp:posOffset>363855</wp:posOffset>
                </wp:positionH>
                <wp:positionV relativeFrom="paragraph">
                  <wp:posOffset>147320</wp:posOffset>
                </wp:positionV>
                <wp:extent cx="5530789" cy="0"/>
                <wp:effectExtent l="0" t="0" r="0" b="0"/>
                <wp:wrapNone/>
                <wp:docPr id="59" name="Connecteur droit 59"/>
                <wp:cNvGraphicFramePr/>
                <a:graphic xmlns:a="http://schemas.openxmlformats.org/drawingml/2006/main">
                  <a:graphicData uri="http://schemas.microsoft.com/office/word/2010/wordprocessingShape">
                    <wps:wsp>
                      <wps:cNvCnPr/>
                      <wps:spPr>
                        <a:xfrm>
                          <a:off x="0" y="0"/>
                          <a:ext cx="5530789"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29A758" id="Connecteur droit 59"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8.65pt,11.6pt" to="464.15pt,1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" strokecolor="black [3200]" strokeweight="2pt">
                <v:stroke joinstyle="miter"/>
              </v:line>
            </w:pict>
          </mc:Fallback>
        </mc:AlternateContent>
      </w:r>
    </w:p>
    <w:p w14:paraId="71A12C34"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À :</w:t>
      </w:r>
      <w:r w:rsidRPr="00A903BE">
        <w:rPr>
          <w:rFonts w:ascii="Microsoft Sans Serif" w:hAnsi="Microsoft Sans Serif" w:cs="Microsoft Sans Serif"/>
          <w:sz w:val="20"/>
          <w:szCs w:val="20"/>
        </w:rPr>
        <w:tab/>
        <w:t>Fondation Adelis</w:t>
      </w:r>
    </w:p>
    <w:p w14:paraId="4F29B8EE"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ab/>
        <w:t>52 Avenue Menahem Begin 6713701</w:t>
      </w:r>
    </w:p>
    <w:p w14:paraId="0EA86DFD"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ab/>
        <w:t>Tel</w:t>
      </w:r>
      <w:r>
        <w:rPr>
          <w:rFonts w:ascii="Microsoft Sans Serif" w:hAnsi="Microsoft Sans Serif" w:cs="Microsoft Sans Serif"/>
          <w:sz w:val="20"/>
          <w:szCs w:val="20"/>
        </w:rPr>
        <w:t>-</w:t>
      </w:r>
      <w:r w:rsidRPr="00A903BE">
        <w:rPr>
          <w:rFonts w:ascii="Microsoft Sans Serif" w:hAnsi="Microsoft Sans Serif" w:cs="Microsoft Sans Serif"/>
          <w:sz w:val="20"/>
          <w:szCs w:val="20"/>
        </w:rPr>
        <w:t>Aviv, Israël</w:t>
      </w:r>
    </w:p>
    <w:p w14:paraId="6E90291F" w14:textId="77777777" w:rsidR="00024EA1" w:rsidRPr="00A903BE" w:rsidRDefault="00024EA1" w:rsidP="00024EA1">
      <w:pPr>
        <w:tabs>
          <w:tab w:val="left" w:pos="3969"/>
        </w:tabs>
        <w:ind w:left="567"/>
        <w:rPr>
          <w:rFonts w:ascii="Microsoft Sans Serif" w:hAnsi="Microsoft Sans Serif" w:cs="Microsoft Sans Serif"/>
          <w:sz w:val="20"/>
          <w:szCs w:val="20"/>
        </w:rPr>
      </w:pPr>
    </w:p>
    <w:p w14:paraId="2B867C87" w14:textId="77777777" w:rsidR="00024EA1" w:rsidRPr="00E831B7" w:rsidRDefault="00024EA1" w:rsidP="00024EA1">
      <w:pPr>
        <w:tabs>
          <w:tab w:val="center" w:pos="6804"/>
        </w:tabs>
        <w:ind w:left="567"/>
        <w:jc w:val="center"/>
        <w:rPr>
          <w:rFonts w:ascii="Microsoft Sans Serif" w:hAnsi="Microsoft Sans Serif" w:cs="Microsoft Sans Serif"/>
          <w:b/>
          <w:sz w:val="20"/>
          <w:szCs w:val="21"/>
        </w:rPr>
      </w:pPr>
      <w:r w:rsidRPr="00E831B7">
        <w:rPr>
          <w:rFonts w:ascii="Microsoft Sans Serif" w:hAnsi="Microsoft Sans Serif" w:cs="Microsoft Sans Serif"/>
          <w:b/>
          <w:sz w:val="20"/>
          <w:szCs w:val="21"/>
        </w:rPr>
        <w:t>Université de Tel</w:t>
      </w:r>
      <w:r>
        <w:rPr>
          <w:rFonts w:ascii="Microsoft Sans Serif" w:hAnsi="Microsoft Sans Serif" w:cs="Microsoft Sans Serif"/>
          <w:b/>
          <w:sz w:val="20"/>
          <w:szCs w:val="21"/>
        </w:rPr>
        <w:t>-</w:t>
      </w:r>
      <w:r w:rsidRPr="00E831B7">
        <w:rPr>
          <w:rFonts w:ascii="Microsoft Sans Serif" w:hAnsi="Microsoft Sans Serif" w:cs="Microsoft Sans Serif"/>
          <w:b/>
          <w:sz w:val="20"/>
          <w:szCs w:val="21"/>
        </w:rPr>
        <w:t xml:space="preserve">Aviv – Rapport </w:t>
      </w:r>
      <w:r>
        <w:rPr>
          <w:rFonts w:ascii="Microsoft Sans Serif" w:hAnsi="Microsoft Sans Serif" w:cs="Microsoft Sans Serif"/>
          <w:b/>
          <w:sz w:val="20"/>
          <w:szCs w:val="21"/>
        </w:rPr>
        <w:t>f</w:t>
      </w:r>
      <w:r w:rsidRPr="00E831B7">
        <w:rPr>
          <w:rFonts w:ascii="Microsoft Sans Serif" w:hAnsi="Microsoft Sans Serif" w:cs="Microsoft Sans Serif"/>
          <w:b/>
          <w:sz w:val="20"/>
          <w:szCs w:val="21"/>
        </w:rPr>
        <w:t>inancier</w:t>
      </w:r>
    </w:p>
    <w:p w14:paraId="61642108" w14:textId="77777777" w:rsidR="00024EA1" w:rsidRPr="00E831B7" w:rsidRDefault="00024EA1" w:rsidP="00024EA1">
      <w:pPr>
        <w:tabs>
          <w:tab w:val="center" w:pos="6804"/>
        </w:tabs>
        <w:ind w:left="567"/>
        <w:jc w:val="center"/>
        <w:rPr>
          <w:rFonts w:ascii="Microsoft Sans Serif" w:hAnsi="Microsoft Sans Serif" w:cs="Microsoft Sans Serif"/>
          <w:b/>
          <w:sz w:val="20"/>
          <w:szCs w:val="21"/>
        </w:rPr>
      </w:pPr>
      <w:r w:rsidRPr="00E831B7">
        <w:rPr>
          <w:rFonts w:ascii="Microsoft Sans Serif" w:hAnsi="Microsoft Sans Serif" w:cs="Microsoft Sans Serif"/>
          <w:b/>
          <w:sz w:val="20"/>
          <w:szCs w:val="21"/>
        </w:rPr>
        <w:t>Période : du 1</w:t>
      </w:r>
      <w:r w:rsidRPr="00E831B7">
        <w:rPr>
          <w:rFonts w:ascii="Microsoft Sans Serif" w:hAnsi="Microsoft Sans Serif" w:cs="Microsoft Sans Serif"/>
          <w:b/>
          <w:sz w:val="20"/>
          <w:szCs w:val="21"/>
          <w:vertAlign w:val="superscript"/>
        </w:rPr>
        <w:t>er</w:t>
      </w:r>
      <w:r w:rsidRPr="00E831B7">
        <w:rPr>
          <w:rFonts w:ascii="Microsoft Sans Serif" w:hAnsi="Microsoft Sans Serif" w:cs="Microsoft Sans Serif"/>
          <w:b/>
          <w:sz w:val="20"/>
          <w:szCs w:val="21"/>
        </w:rPr>
        <w:t xml:space="preserve"> </w:t>
      </w:r>
      <w:r>
        <w:rPr>
          <w:rFonts w:ascii="Microsoft Sans Serif" w:hAnsi="Microsoft Sans Serif" w:cs="Microsoft Sans Serif"/>
          <w:b/>
          <w:sz w:val="20"/>
          <w:szCs w:val="21"/>
        </w:rPr>
        <w:t>octobre</w:t>
      </w:r>
      <w:r w:rsidRPr="00E831B7">
        <w:rPr>
          <w:rFonts w:ascii="Microsoft Sans Serif" w:hAnsi="Microsoft Sans Serif" w:cs="Microsoft Sans Serif"/>
          <w:b/>
          <w:sz w:val="20"/>
          <w:szCs w:val="21"/>
        </w:rPr>
        <w:t xml:space="preserve"> 20</w:t>
      </w:r>
      <w:r>
        <w:rPr>
          <w:rFonts w:ascii="Microsoft Sans Serif" w:hAnsi="Microsoft Sans Serif" w:cs="Microsoft Sans Serif"/>
          <w:b/>
          <w:sz w:val="20"/>
          <w:szCs w:val="21"/>
        </w:rPr>
        <w:t>20</w:t>
      </w:r>
      <w:r w:rsidRPr="00E831B7">
        <w:rPr>
          <w:rFonts w:ascii="Microsoft Sans Serif" w:hAnsi="Microsoft Sans Serif" w:cs="Microsoft Sans Serif"/>
          <w:b/>
          <w:sz w:val="20"/>
          <w:szCs w:val="21"/>
        </w:rPr>
        <w:t xml:space="preserve"> au </w:t>
      </w:r>
      <w:r>
        <w:rPr>
          <w:rFonts w:ascii="Microsoft Sans Serif" w:hAnsi="Microsoft Sans Serif" w:cs="Microsoft Sans Serif"/>
          <w:b/>
          <w:sz w:val="20"/>
          <w:szCs w:val="21"/>
        </w:rPr>
        <w:t>30</w:t>
      </w:r>
      <w:r w:rsidRPr="00E831B7">
        <w:rPr>
          <w:rFonts w:ascii="Microsoft Sans Serif" w:hAnsi="Microsoft Sans Serif" w:cs="Microsoft Sans Serif"/>
          <w:b/>
          <w:sz w:val="20"/>
          <w:szCs w:val="21"/>
        </w:rPr>
        <w:t xml:space="preserve"> </w:t>
      </w:r>
      <w:r>
        <w:rPr>
          <w:rFonts w:ascii="Microsoft Sans Serif" w:hAnsi="Microsoft Sans Serif" w:cs="Microsoft Sans Serif"/>
          <w:b/>
          <w:sz w:val="20"/>
          <w:szCs w:val="21"/>
        </w:rPr>
        <w:t>septembre</w:t>
      </w:r>
      <w:r w:rsidRPr="00E831B7">
        <w:rPr>
          <w:rFonts w:ascii="Microsoft Sans Serif" w:hAnsi="Microsoft Sans Serif" w:cs="Microsoft Sans Serif"/>
          <w:b/>
          <w:sz w:val="20"/>
          <w:szCs w:val="21"/>
        </w:rPr>
        <w:t xml:space="preserve"> 20</w:t>
      </w:r>
      <w:r>
        <w:rPr>
          <w:rFonts w:ascii="Microsoft Sans Serif" w:hAnsi="Microsoft Sans Serif" w:cs="Microsoft Sans Serif"/>
          <w:b/>
          <w:sz w:val="20"/>
          <w:szCs w:val="21"/>
        </w:rPr>
        <w:t>21</w:t>
      </w:r>
    </w:p>
    <w:p w14:paraId="59540F83" w14:textId="77777777" w:rsidR="00024EA1" w:rsidRPr="00E831B7" w:rsidRDefault="00024EA1" w:rsidP="00024EA1">
      <w:pPr>
        <w:tabs>
          <w:tab w:val="left" w:pos="3969"/>
          <w:tab w:val="center" w:pos="6804"/>
        </w:tabs>
        <w:ind w:left="567"/>
        <w:rPr>
          <w:rFonts w:ascii="Microsoft Sans Serif" w:hAnsi="Microsoft Sans Serif" w:cs="Microsoft Sans Serif"/>
          <w:sz w:val="12"/>
          <w:szCs w:val="20"/>
        </w:rPr>
      </w:pPr>
    </w:p>
    <w:p w14:paraId="08E40C1B" w14:textId="77777777" w:rsidR="00024EA1" w:rsidRPr="006C5941" w:rsidRDefault="00024EA1" w:rsidP="00024EA1">
      <w:pPr>
        <w:tabs>
          <w:tab w:val="left" w:pos="3969"/>
          <w:tab w:val="center" w:pos="6804"/>
        </w:tabs>
        <w:spacing w:before="240" w:after="240"/>
        <w:ind w:left="567"/>
        <w:jc w:val="center"/>
        <w:rPr>
          <w:rFonts w:ascii="Times New Roman" w:hAnsi="Times New Roman" w:cs="Times New Roman"/>
          <w:b/>
          <w:sz w:val="20"/>
          <w:szCs w:val="20"/>
        </w:rPr>
      </w:pPr>
      <w:r w:rsidRPr="00A903BE">
        <w:rPr>
          <w:rFonts w:ascii="Microsoft Sans Serif" w:hAnsi="Microsoft Sans Serif" w:cs="Microsoft Sans Serif"/>
          <w:noProof/>
        </w:rPr>
        <mc:AlternateContent>
          <mc:Choice Requires="wps">
            <w:drawing>
              <wp:anchor distT="0" distB="0" distL="114300" distR="114300" simplePos="0" relativeHeight="251660288" behindDoc="0" locked="0" layoutInCell="1" allowOverlap="1" wp14:anchorId="23FBCAAB" wp14:editId="0D9AC170">
                <wp:simplePos x="0" y="0"/>
                <wp:positionH relativeFrom="column">
                  <wp:posOffset>363855</wp:posOffset>
                </wp:positionH>
                <wp:positionV relativeFrom="paragraph">
                  <wp:posOffset>-635</wp:posOffset>
                </wp:positionV>
                <wp:extent cx="5530789" cy="0"/>
                <wp:effectExtent l="0" t="0" r="0" b="0"/>
                <wp:wrapNone/>
                <wp:docPr id="60" name="Connecteur droit 60"/>
                <wp:cNvGraphicFramePr/>
                <a:graphic xmlns:a="http://schemas.openxmlformats.org/drawingml/2006/main">
                  <a:graphicData uri="http://schemas.microsoft.com/office/word/2010/wordprocessingShape">
                    <wps:wsp>
                      <wps:cNvCnPr/>
                      <wps:spPr>
                        <a:xfrm>
                          <a:off x="0" y="0"/>
                          <a:ext cx="5530789"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0BDEC9" id="Connecteur droit 60"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8.65pt,-.05pt" to="464.1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" strokecolor="black [3200]" strokeweight="2pt">
                <v:stroke joinstyle="miter"/>
              </v:line>
            </w:pict>
          </mc:Fallback>
        </mc:AlternateContent>
      </w:r>
      <w:r w:rsidRPr="006C5941">
        <w:rPr>
          <w:rFonts w:ascii="Times New Roman" w:hAnsi="Times New Roman" w:cs="Times New Roman"/>
          <w:b/>
          <w:sz w:val="20"/>
          <w:szCs w:val="20"/>
        </w:rPr>
        <w:t>Toutes les dépenses sont exprimées en dollars américains (USD)</w:t>
      </w:r>
    </w:p>
    <w:tbl>
      <w:tblPr>
        <w:tblStyle w:val="TableGrid"/>
        <w:tblW w:w="9349" w:type="dxa"/>
        <w:tblInd w:w="567" w:type="dxa"/>
        <w:tblLayout w:type="fixed"/>
        <w:tblLook w:val="04A0" w:firstRow="1" w:lastRow="0" w:firstColumn="1" w:lastColumn="0" w:noHBand="0" w:noVBand="1"/>
      </w:tblPr>
      <w:tblGrid>
        <w:gridCol w:w="2972"/>
        <w:gridCol w:w="1276"/>
        <w:gridCol w:w="1276"/>
        <w:gridCol w:w="1275"/>
        <w:gridCol w:w="1275"/>
        <w:gridCol w:w="1275"/>
      </w:tblGrid>
      <w:tr w:rsidR="00024EA1" w:rsidRPr="00D1639B" w14:paraId="5C762C0D" w14:textId="77777777" w:rsidTr="004C0772">
        <w:trPr>
          <w:trHeight w:hRule="exact" w:val="567"/>
        </w:trPr>
        <w:tc>
          <w:tcPr>
            <w:tcW w:w="2972" w:type="dxa"/>
            <w:tcBorders>
              <w:top w:val="single" w:sz="12" w:space="0" w:color="auto"/>
              <w:left w:val="single" w:sz="4" w:space="0" w:color="auto"/>
              <w:bottom w:val="single" w:sz="12" w:space="0" w:color="auto"/>
              <w:right w:val="single" w:sz="4" w:space="0" w:color="auto"/>
            </w:tcBorders>
            <w:vAlign w:val="center"/>
          </w:tcPr>
          <w:p w14:paraId="2FB1106C"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D</w:t>
            </w:r>
            <w:r>
              <w:rPr>
                <w:rFonts w:ascii="Microsoft Sans Serif" w:hAnsi="Microsoft Sans Serif" w:cs="Microsoft Sans Serif"/>
                <w:sz w:val="19"/>
                <w:szCs w:val="19"/>
              </w:rPr>
              <w:t>É</w:t>
            </w:r>
            <w:r w:rsidRPr="00D1639B">
              <w:rPr>
                <w:rFonts w:ascii="Microsoft Sans Serif" w:hAnsi="Microsoft Sans Serif" w:cs="Microsoft Sans Serif"/>
                <w:sz w:val="19"/>
                <w:szCs w:val="19"/>
              </w:rPr>
              <w:t>PENSES</w:t>
            </w:r>
          </w:p>
        </w:tc>
        <w:tc>
          <w:tcPr>
            <w:tcW w:w="1276" w:type="dxa"/>
            <w:tcBorders>
              <w:top w:val="single" w:sz="12" w:space="0" w:color="auto"/>
              <w:left w:val="single" w:sz="4" w:space="0" w:color="auto"/>
              <w:bottom w:val="single" w:sz="12" w:space="0" w:color="auto"/>
              <w:right w:val="single" w:sz="4" w:space="0" w:color="auto"/>
            </w:tcBorders>
            <w:vAlign w:val="center"/>
          </w:tcPr>
          <w:p w14:paraId="36CFC3F2" w14:textId="77777777" w:rsidR="00024EA1" w:rsidRPr="00D1639B" w:rsidRDefault="00024EA1" w:rsidP="004C0772">
            <w:pPr>
              <w:jc w:val="right"/>
              <w:rPr>
                <w:rFonts w:ascii="Microsoft Sans Serif" w:hAnsi="Microsoft Sans Serif" w:cs="Microsoft Sans Serif"/>
                <w:sz w:val="19"/>
                <w:szCs w:val="19"/>
              </w:rPr>
            </w:pPr>
            <w:r w:rsidRPr="00D1639B">
              <w:rPr>
                <w:rFonts w:ascii="Microsoft Sans Serif" w:hAnsi="Microsoft Sans Serif" w:cs="Microsoft Sans Serif"/>
                <w:sz w:val="19"/>
                <w:szCs w:val="19"/>
              </w:rPr>
              <w:t>Budget</w:t>
            </w:r>
          </w:p>
        </w:tc>
        <w:tc>
          <w:tcPr>
            <w:tcW w:w="1276" w:type="dxa"/>
            <w:tcBorders>
              <w:top w:val="single" w:sz="12" w:space="0" w:color="auto"/>
              <w:left w:val="single" w:sz="4" w:space="0" w:color="auto"/>
              <w:bottom w:val="single" w:sz="12" w:space="0" w:color="auto"/>
              <w:right w:val="single" w:sz="4" w:space="0" w:color="auto"/>
            </w:tcBorders>
            <w:vAlign w:val="center"/>
          </w:tcPr>
          <w:p w14:paraId="5B9CE40B"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w:t>
            </w:r>
            <w:r>
              <w:rPr>
                <w:rFonts w:ascii="Microsoft Sans Serif" w:hAnsi="Microsoft Sans Serif" w:cs="Microsoft Sans Serif"/>
                <w:sz w:val="19"/>
                <w:szCs w:val="19"/>
              </w:rPr>
              <w:t xml:space="preserve"> antérieures</w:t>
            </w:r>
          </w:p>
        </w:tc>
        <w:tc>
          <w:tcPr>
            <w:tcW w:w="1275" w:type="dxa"/>
            <w:tcBorders>
              <w:top w:val="single" w:sz="12" w:space="0" w:color="auto"/>
              <w:left w:val="single" w:sz="4" w:space="0" w:color="auto"/>
              <w:bottom w:val="single" w:sz="12" w:space="0" w:color="auto"/>
              <w:right w:val="single" w:sz="4" w:space="0" w:color="auto"/>
            </w:tcBorders>
            <w:vAlign w:val="center"/>
          </w:tcPr>
          <w:p w14:paraId="2CE55EA0"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 réelles</w:t>
            </w:r>
          </w:p>
        </w:tc>
        <w:tc>
          <w:tcPr>
            <w:tcW w:w="1275" w:type="dxa"/>
            <w:tcBorders>
              <w:top w:val="single" w:sz="12" w:space="0" w:color="auto"/>
              <w:left w:val="single" w:sz="4" w:space="0" w:color="auto"/>
              <w:bottom w:val="single" w:sz="12" w:space="0" w:color="auto"/>
              <w:right w:val="single" w:sz="4" w:space="0" w:color="auto"/>
            </w:tcBorders>
            <w:vAlign w:val="center"/>
          </w:tcPr>
          <w:p w14:paraId="766BF7CA"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w:t>
            </w:r>
            <w:r>
              <w:rPr>
                <w:rFonts w:ascii="Microsoft Sans Serif" w:hAnsi="Microsoft Sans Serif" w:cs="Microsoft Sans Serif"/>
                <w:sz w:val="19"/>
                <w:szCs w:val="19"/>
              </w:rPr>
              <w:t xml:space="preserve"> cumulées</w:t>
            </w:r>
          </w:p>
        </w:tc>
        <w:tc>
          <w:tcPr>
            <w:tcW w:w="1275" w:type="dxa"/>
            <w:tcBorders>
              <w:top w:val="single" w:sz="12" w:space="0" w:color="auto"/>
              <w:left w:val="single" w:sz="4" w:space="0" w:color="auto"/>
              <w:bottom w:val="single" w:sz="12" w:space="0" w:color="auto"/>
              <w:right w:val="single" w:sz="4" w:space="0" w:color="auto"/>
            </w:tcBorders>
            <w:vAlign w:val="center"/>
          </w:tcPr>
          <w:p w14:paraId="270DEE28" w14:textId="77777777" w:rsidR="00024EA1" w:rsidRPr="00D1639B"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Solde</w:t>
            </w:r>
          </w:p>
        </w:tc>
      </w:tr>
      <w:tr w:rsidR="00024EA1" w:rsidRPr="00D1639B" w14:paraId="0E488D6C" w14:textId="77777777" w:rsidTr="004C0772">
        <w:trPr>
          <w:trHeight w:val="284"/>
        </w:trPr>
        <w:tc>
          <w:tcPr>
            <w:tcW w:w="2972" w:type="dxa"/>
            <w:tcBorders>
              <w:top w:val="single" w:sz="12" w:space="0" w:color="auto"/>
            </w:tcBorders>
            <w:vAlign w:val="center"/>
          </w:tcPr>
          <w:p w14:paraId="3C84DF6A"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Personnel</w:t>
            </w:r>
          </w:p>
        </w:tc>
        <w:tc>
          <w:tcPr>
            <w:tcW w:w="1276" w:type="dxa"/>
            <w:tcBorders>
              <w:top w:val="single" w:sz="12" w:space="0" w:color="auto"/>
            </w:tcBorders>
            <w:vAlign w:val="center"/>
          </w:tcPr>
          <w:p w14:paraId="507BC68A"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88</w:t>
            </w:r>
            <w:r w:rsidRPr="00D1639B">
              <w:rPr>
                <w:rFonts w:ascii="Microsoft Sans Serif" w:hAnsi="Microsoft Sans Serif" w:cs="Microsoft Sans Serif"/>
                <w:sz w:val="19"/>
                <w:szCs w:val="19"/>
              </w:rPr>
              <w:t> </w:t>
            </w:r>
            <w:r>
              <w:rPr>
                <w:rFonts w:ascii="Microsoft Sans Serif" w:hAnsi="Microsoft Sans Serif" w:cs="Microsoft Sans Serif"/>
                <w:sz w:val="19"/>
                <w:szCs w:val="19"/>
              </w:rPr>
              <w:t>575</w:t>
            </w:r>
          </w:p>
        </w:tc>
        <w:tc>
          <w:tcPr>
            <w:tcW w:w="1276" w:type="dxa"/>
            <w:tcBorders>
              <w:top w:val="single" w:sz="12" w:space="0" w:color="auto"/>
            </w:tcBorders>
            <w:vAlign w:val="center"/>
          </w:tcPr>
          <w:p w14:paraId="377C7E97"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88 518</w:t>
            </w:r>
          </w:p>
        </w:tc>
        <w:tc>
          <w:tcPr>
            <w:tcW w:w="1275" w:type="dxa"/>
            <w:tcBorders>
              <w:top w:val="single" w:sz="12" w:space="0" w:color="auto"/>
            </w:tcBorders>
            <w:vAlign w:val="center"/>
          </w:tcPr>
          <w:p w14:paraId="3E113442"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3 137</w:t>
            </w:r>
          </w:p>
        </w:tc>
        <w:tc>
          <w:tcPr>
            <w:tcW w:w="1275" w:type="dxa"/>
            <w:tcBorders>
              <w:top w:val="single" w:sz="12" w:space="0" w:color="auto"/>
            </w:tcBorders>
            <w:vAlign w:val="center"/>
          </w:tcPr>
          <w:p w14:paraId="350E93C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91 655</w:t>
            </w:r>
          </w:p>
        </w:tc>
        <w:tc>
          <w:tcPr>
            <w:tcW w:w="1275" w:type="dxa"/>
            <w:tcBorders>
              <w:top w:val="single" w:sz="12" w:space="0" w:color="auto"/>
            </w:tcBorders>
            <w:vAlign w:val="center"/>
          </w:tcPr>
          <w:p w14:paraId="0B4918C9"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-3 080</w:t>
            </w:r>
          </w:p>
        </w:tc>
      </w:tr>
      <w:tr w:rsidR="00024EA1" w:rsidRPr="00D1639B" w14:paraId="6E86F2B1" w14:textId="77777777" w:rsidTr="004C0772">
        <w:trPr>
          <w:trHeight w:val="284"/>
        </w:trPr>
        <w:tc>
          <w:tcPr>
            <w:tcW w:w="2972" w:type="dxa"/>
            <w:vAlign w:val="center"/>
          </w:tcPr>
          <w:p w14:paraId="106616C5" w14:textId="77777777" w:rsidR="00024EA1" w:rsidRPr="00D1639B"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Équipement</w:t>
            </w:r>
          </w:p>
        </w:tc>
        <w:tc>
          <w:tcPr>
            <w:tcW w:w="1276" w:type="dxa"/>
            <w:vAlign w:val="center"/>
          </w:tcPr>
          <w:p w14:paraId="37842F53"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6" w:type="dxa"/>
            <w:vAlign w:val="center"/>
          </w:tcPr>
          <w:p w14:paraId="65185FF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vAlign w:val="center"/>
          </w:tcPr>
          <w:p w14:paraId="732748C5"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vAlign w:val="center"/>
          </w:tcPr>
          <w:p w14:paraId="451FA1E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vAlign w:val="center"/>
          </w:tcPr>
          <w:p w14:paraId="699404BF"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r>
      <w:tr w:rsidR="00024EA1" w:rsidRPr="00D1639B" w14:paraId="25151B75" w14:textId="77777777" w:rsidTr="004C0772">
        <w:trPr>
          <w:trHeight w:val="284"/>
        </w:trPr>
        <w:tc>
          <w:tcPr>
            <w:tcW w:w="2972" w:type="dxa"/>
            <w:vAlign w:val="center"/>
          </w:tcPr>
          <w:p w14:paraId="4A19724D" w14:textId="77777777" w:rsidR="00024EA1" w:rsidRPr="00D1639B" w:rsidRDefault="00024EA1" w:rsidP="004C0772">
            <w:pPr>
              <w:rPr>
                <w:rFonts w:ascii="Microsoft Sans Serif" w:hAnsi="Microsoft Sans Serif" w:cs="Microsoft Sans Serif"/>
                <w:sz w:val="19"/>
                <w:szCs w:val="19"/>
              </w:rPr>
            </w:pPr>
            <w:r w:rsidRPr="005D73E1">
              <w:rPr>
                <w:rFonts w:ascii="Microsoft Sans Serif" w:hAnsi="Microsoft Sans Serif" w:cs="Microsoft Sans Serif"/>
                <w:sz w:val="19"/>
                <w:szCs w:val="19"/>
              </w:rPr>
              <w:t>Matériels</w:t>
            </w:r>
          </w:p>
        </w:tc>
        <w:tc>
          <w:tcPr>
            <w:tcW w:w="1276" w:type="dxa"/>
            <w:vAlign w:val="center"/>
          </w:tcPr>
          <w:p w14:paraId="4D42D381"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31</w:t>
            </w:r>
            <w:r w:rsidRPr="00D1639B">
              <w:rPr>
                <w:rFonts w:ascii="Microsoft Sans Serif" w:hAnsi="Microsoft Sans Serif" w:cs="Microsoft Sans Serif"/>
                <w:sz w:val="19"/>
                <w:szCs w:val="19"/>
              </w:rPr>
              <w:t> </w:t>
            </w:r>
            <w:r>
              <w:rPr>
                <w:rFonts w:ascii="Microsoft Sans Serif" w:hAnsi="Microsoft Sans Serif" w:cs="Microsoft Sans Serif"/>
                <w:sz w:val="19"/>
                <w:szCs w:val="19"/>
              </w:rPr>
              <w:t>801</w:t>
            </w:r>
          </w:p>
        </w:tc>
        <w:tc>
          <w:tcPr>
            <w:tcW w:w="1276" w:type="dxa"/>
            <w:vAlign w:val="center"/>
          </w:tcPr>
          <w:p w14:paraId="17B8EC69"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25 021</w:t>
            </w:r>
          </w:p>
        </w:tc>
        <w:tc>
          <w:tcPr>
            <w:tcW w:w="1275" w:type="dxa"/>
            <w:vAlign w:val="center"/>
          </w:tcPr>
          <w:p w14:paraId="2C5224E1"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4 801</w:t>
            </w:r>
          </w:p>
        </w:tc>
        <w:tc>
          <w:tcPr>
            <w:tcW w:w="1275" w:type="dxa"/>
            <w:vAlign w:val="center"/>
          </w:tcPr>
          <w:p w14:paraId="665D9012"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29 822</w:t>
            </w:r>
          </w:p>
        </w:tc>
        <w:tc>
          <w:tcPr>
            <w:tcW w:w="1275" w:type="dxa"/>
            <w:vAlign w:val="center"/>
          </w:tcPr>
          <w:p w14:paraId="2E6CF58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1 979</w:t>
            </w:r>
          </w:p>
        </w:tc>
      </w:tr>
      <w:tr w:rsidR="00024EA1" w:rsidRPr="00D1639B" w14:paraId="5119D17F" w14:textId="77777777" w:rsidTr="004C0772">
        <w:trPr>
          <w:trHeight w:val="284"/>
        </w:trPr>
        <w:tc>
          <w:tcPr>
            <w:tcW w:w="2972" w:type="dxa"/>
            <w:tcBorders>
              <w:bottom w:val="single" w:sz="4" w:space="0" w:color="auto"/>
            </w:tcBorders>
            <w:vAlign w:val="center"/>
          </w:tcPr>
          <w:p w14:paraId="35CB2D4C"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Services</w:t>
            </w:r>
          </w:p>
        </w:tc>
        <w:tc>
          <w:tcPr>
            <w:tcW w:w="1276" w:type="dxa"/>
            <w:tcBorders>
              <w:bottom w:val="single" w:sz="4" w:space="0" w:color="auto"/>
            </w:tcBorders>
            <w:vAlign w:val="center"/>
          </w:tcPr>
          <w:p w14:paraId="4E9595A0"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28 364</w:t>
            </w:r>
          </w:p>
        </w:tc>
        <w:tc>
          <w:tcPr>
            <w:tcW w:w="1276" w:type="dxa"/>
            <w:tcBorders>
              <w:bottom w:val="single" w:sz="4" w:space="0" w:color="auto"/>
            </w:tcBorders>
            <w:vAlign w:val="center"/>
          </w:tcPr>
          <w:p w14:paraId="5B99ECDF"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27 262</w:t>
            </w:r>
          </w:p>
        </w:tc>
        <w:tc>
          <w:tcPr>
            <w:tcW w:w="1275" w:type="dxa"/>
            <w:tcBorders>
              <w:bottom w:val="single" w:sz="4" w:space="0" w:color="auto"/>
            </w:tcBorders>
            <w:vAlign w:val="center"/>
          </w:tcPr>
          <w:p w14:paraId="3B21075F"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7D24919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27 262</w:t>
            </w:r>
          </w:p>
        </w:tc>
        <w:tc>
          <w:tcPr>
            <w:tcW w:w="1275" w:type="dxa"/>
            <w:tcBorders>
              <w:bottom w:val="single" w:sz="4" w:space="0" w:color="auto"/>
            </w:tcBorders>
            <w:vAlign w:val="center"/>
          </w:tcPr>
          <w:p w14:paraId="7EF32686"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1 102</w:t>
            </w:r>
          </w:p>
        </w:tc>
      </w:tr>
      <w:tr w:rsidR="00024EA1" w:rsidRPr="00D1639B" w14:paraId="15F39218" w14:textId="77777777" w:rsidTr="004C0772">
        <w:trPr>
          <w:trHeight w:val="284"/>
        </w:trPr>
        <w:tc>
          <w:tcPr>
            <w:tcW w:w="2972" w:type="dxa"/>
            <w:tcBorders>
              <w:bottom w:val="single" w:sz="4" w:space="0" w:color="auto"/>
            </w:tcBorders>
            <w:vAlign w:val="center"/>
          </w:tcPr>
          <w:p w14:paraId="6686E7DA" w14:textId="77777777" w:rsidR="00024EA1" w:rsidRPr="00D1639B"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Publication</w:t>
            </w:r>
          </w:p>
        </w:tc>
        <w:tc>
          <w:tcPr>
            <w:tcW w:w="1276" w:type="dxa"/>
            <w:tcBorders>
              <w:bottom w:val="single" w:sz="4" w:space="0" w:color="auto"/>
            </w:tcBorders>
            <w:vAlign w:val="center"/>
          </w:tcPr>
          <w:p w14:paraId="6079738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876</w:t>
            </w:r>
          </w:p>
        </w:tc>
        <w:tc>
          <w:tcPr>
            <w:tcW w:w="1276" w:type="dxa"/>
            <w:tcBorders>
              <w:bottom w:val="single" w:sz="4" w:space="0" w:color="auto"/>
            </w:tcBorders>
            <w:vAlign w:val="center"/>
          </w:tcPr>
          <w:p w14:paraId="2E52F4D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876</w:t>
            </w:r>
          </w:p>
        </w:tc>
        <w:tc>
          <w:tcPr>
            <w:tcW w:w="1275" w:type="dxa"/>
            <w:tcBorders>
              <w:bottom w:val="single" w:sz="4" w:space="0" w:color="auto"/>
            </w:tcBorders>
            <w:vAlign w:val="center"/>
          </w:tcPr>
          <w:p w14:paraId="3F8899C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76812D4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876</w:t>
            </w:r>
          </w:p>
        </w:tc>
        <w:tc>
          <w:tcPr>
            <w:tcW w:w="1275" w:type="dxa"/>
            <w:tcBorders>
              <w:bottom w:val="single" w:sz="4" w:space="0" w:color="auto"/>
            </w:tcBorders>
            <w:vAlign w:val="center"/>
          </w:tcPr>
          <w:p w14:paraId="54B3EF63"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r>
      <w:tr w:rsidR="00024EA1" w:rsidRPr="00D1639B" w14:paraId="01C546B2" w14:textId="77777777" w:rsidTr="004C0772">
        <w:trPr>
          <w:trHeight w:val="284"/>
        </w:trPr>
        <w:tc>
          <w:tcPr>
            <w:tcW w:w="2972" w:type="dxa"/>
            <w:tcBorders>
              <w:bottom w:val="single" w:sz="4" w:space="0" w:color="auto"/>
            </w:tcBorders>
            <w:vAlign w:val="center"/>
          </w:tcPr>
          <w:p w14:paraId="3C385020" w14:textId="77777777" w:rsidR="00024EA1" w:rsidRPr="00D1639B" w:rsidRDefault="00024EA1" w:rsidP="004C0772">
            <w:pPr>
              <w:rPr>
                <w:rFonts w:ascii="Microsoft Sans Serif" w:hAnsi="Microsoft Sans Serif" w:cs="Microsoft Sans Serif"/>
                <w:sz w:val="19"/>
                <w:szCs w:val="19"/>
              </w:rPr>
            </w:pPr>
          </w:p>
        </w:tc>
        <w:tc>
          <w:tcPr>
            <w:tcW w:w="1276" w:type="dxa"/>
            <w:tcBorders>
              <w:bottom w:val="single" w:sz="4" w:space="0" w:color="auto"/>
            </w:tcBorders>
            <w:vAlign w:val="center"/>
          </w:tcPr>
          <w:p w14:paraId="5766B84F" w14:textId="77777777" w:rsidR="00024EA1" w:rsidRDefault="00024EA1" w:rsidP="004C0772">
            <w:pPr>
              <w:jc w:val="right"/>
              <w:rPr>
                <w:rFonts w:ascii="Microsoft Sans Serif" w:hAnsi="Microsoft Sans Serif" w:cs="Microsoft Sans Serif"/>
                <w:sz w:val="19"/>
                <w:szCs w:val="19"/>
              </w:rPr>
            </w:pPr>
          </w:p>
        </w:tc>
        <w:tc>
          <w:tcPr>
            <w:tcW w:w="1276" w:type="dxa"/>
            <w:tcBorders>
              <w:bottom w:val="single" w:sz="4" w:space="0" w:color="auto"/>
            </w:tcBorders>
            <w:vAlign w:val="center"/>
          </w:tcPr>
          <w:p w14:paraId="1AB9A2FE" w14:textId="77777777" w:rsidR="00024EA1" w:rsidRDefault="00024EA1" w:rsidP="004C0772">
            <w:pPr>
              <w:jc w:val="right"/>
              <w:rPr>
                <w:rFonts w:ascii="Microsoft Sans Serif" w:hAnsi="Microsoft Sans Serif" w:cs="Microsoft Sans Serif"/>
                <w:sz w:val="19"/>
                <w:szCs w:val="19"/>
              </w:rPr>
            </w:pPr>
          </w:p>
        </w:tc>
        <w:tc>
          <w:tcPr>
            <w:tcW w:w="1275" w:type="dxa"/>
            <w:tcBorders>
              <w:bottom w:val="single" w:sz="4" w:space="0" w:color="auto"/>
            </w:tcBorders>
            <w:vAlign w:val="center"/>
          </w:tcPr>
          <w:p w14:paraId="5EAE9A27" w14:textId="77777777" w:rsidR="00024EA1" w:rsidRDefault="00024EA1" w:rsidP="004C0772">
            <w:pPr>
              <w:jc w:val="right"/>
              <w:rPr>
                <w:rFonts w:ascii="Microsoft Sans Serif" w:hAnsi="Microsoft Sans Serif" w:cs="Microsoft Sans Serif"/>
                <w:sz w:val="19"/>
                <w:szCs w:val="19"/>
              </w:rPr>
            </w:pPr>
          </w:p>
        </w:tc>
        <w:tc>
          <w:tcPr>
            <w:tcW w:w="1275" w:type="dxa"/>
            <w:tcBorders>
              <w:bottom w:val="single" w:sz="4" w:space="0" w:color="auto"/>
            </w:tcBorders>
            <w:vAlign w:val="center"/>
          </w:tcPr>
          <w:p w14:paraId="6B5CA6A1"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5C714DDF"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r>
      <w:tr w:rsidR="00024EA1" w:rsidRPr="00D1639B" w14:paraId="2FE5F0A4" w14:textId="77777777" w:rsidTr="004C0772">
        <w:trPr>
          <w:trHeight w:val="284"/>
        </w:trPr>
        <w:tc>
          <w:tcPr>
            <w:tcW w:w="2972" w:type="dxa"/>
            <w:tcBorders>
              <w:bottom w:val="single" w:sz="4" w:space="0" w:color="auto"/>
            </w:tcBorders>
            <w:vAlign w:val="center"/>
          </w:tcPr>
          <w:p w14:paraId="0835D69C"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Frais généraux de TAU</w:t>
            </w:r>
          </w:p>
        </w:tc>
        <w:tc>
          <w:tcPr>
            <w:tcW w:w="1276" w:type="dxa"/>
            <w:tcBorders>
              <w:bottom w:val="single" w:sz="4" w:space="0" w:color="auto"/>
            </w:tcBorders>
            <w:vAlign w:val="center"/>
          </w:tcPr>
          <w:p w14:paraId="1476DE24"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9 545</w:t>
            </w:r>
          </w:p>
        </w:tc>
        <w:tc>
          <w:tcPr>
            <w:tcW w:w="1276" w:type="dxa"/>
            <w:tcBorders>
              <w:bottom w:val="single" w:sz="4" w:space="0" w:color="auto"/>
            </w:tcBorders>
            <w:vAlign w:val="center"/>
          </w:tcPr>
          <w:p w14:paraId="2F34CFC8"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9 039</w:t>
            </w:r>
          </w:p>
        </w:tc>
        <w:tc>
          <w:tcPr>
            <w:tcW w:w="1275" w:type="dxa"/>
            <w:tcBorders>
              <w:bottom w:val="single" w:sz="4" w:space="0" w:color="auto"/>
            </w:tcBorders>
            <w:vAlign w:val="center"/>
          </w:tcPr>
          <w:p w14:paraId="1813E58B"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506</w:t>
            </w:r>
          </w:p>
        </w:tc>
        <w:tc>
          <w:tcPr>
            <w:tcW w:w="1275" w:type="dxa"/>
            <w:tcBorders>
              <w:bottom w:val="single" w:sz="4" w:space="0" w:color="auto"/>
            </w:tcBorders>
            <w:vAlign w:val="center"/>
          </w:tcPr>
          <w:p w14:paraId="4E59B1F7"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9 545</w:t>
            </w:r>
          </w:p>
        </w:tc>
        <w:tc>
          <w:tcPr>
            <w:tcW w:w="1275" w:type="dxa"/>
            <w:tcBorders>
              <w:bottom w:val="single" w:sz="4" w:space="0" w:color="auto"/>
            </w:tcBorders>
            <w:vAlign w:val="center"/>
          </w:tcPr>
          <w:p w14:paraId="620D3638"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r>
      <w:tr w:rsidR="00024EA1" w:rsidRPr="00D1639B" w14:paraId="64417678" w14:textId="77777777" w:rsidTr="004C0772">
        <w:trPr>
          <w:trHeight w:val="284"/>
        </w:trPr>
        <w:tc>
          <w:tcPr>
            <w:tcW w:w="2972" w:type="dxa"/>
            <w:tcBorders>
              <w:top w:val="single" w:sz="4" w:space="0" w:color="auto"/>
              <w:left w:val="nil"/>
              <w:bottom w:val="single" w:sz="4" w:space="0" w:color="auto"/>
              <w:right w:val="nil"/>
            </w:tcBorders>
            <w:vAlign w:val="center"/>
          </w:tcPr>
          <w:p w14:paraId="234D8571" w14:textId="77777777" w:rsidR="00024EA1" w:rsidRPr="00D1639B" w:rsidRDefault="00024EA1" w:rsidP="004C0772">
            <w:pPr>
              <w:rPr>
                <w:rFonts w:ascii="Microsoft Sans Serif" w:hAnsi="Microsoft Sans Serif" w:cs="Microsoft Sans Serif"/>
                <w:b/>
                <w:sz w:val="19"/>
                <w:szCs w:val="19"/>
              </w:rPr>
            </w:pPr>
          </w:p>
        </w:tc>
        <w:tc>
          <w:tcPr>
            <w:tcW w:w="1276" w:type="dxa"/>
            <w:tcBorders>
              <w:top w:val="single" w:sz="4" w:space="0" w:color="auto"/>
              <w:left w:val="nil"/>
              <w:bottom w:val="single" w:sz="4" w:space="0" w:color="auto"/>
              <w:right w:val="nil"/>
            </w:tcBorders>
            <w:vAlign w:val="center"/>
          </w:tcPr>
          <w:p w14:paraId="70050CED" w14:textId="77777777" w:rsidR="00024EA1" w:rsidRDefault="00024EA1" w:rsidP="004C0772">
            <w:pPr>
              <w:jc w:val="right"/>
              <w:rPr>
                <w:rFonts w:ascii="Microsoft Sans Serif" w:hAnsi="Microsoft Sans Serif" w:cs="Microsoft Sans Serif"/>
                <w:b/>
                <w:sz w:val="19"/>
                <w:szCs w:val="19"/>
              </w:rPr>
            </w:pPr>
          </w:p>
        </w:tc>
        <w:tc>
          <w:tcPr>
            <w:tcW w:w="1276" w:type="dxa"/>
            <w:tcBorders>
              <w:top w:val="single" w:sz="4" w:space="0" w:color="auto"/>
              <w:left w:val="nil"/>
              <w:bottom w:val="single" w:sz="4" w:space="0" w:color="auto"/>
              <w:right w:val="nil"/>
            </w:tcBorders>
          </w:tcPr>
          <w:p w14:paraId="0CCDC7E0" w14:textId="77777777" w:rsidR="00024EA1" w:rsidRDefault="00024EA1" w:rsidP="004C0772">
            <w:pPr>
              <w:jc w:val="right"/>
              <w:rPr>
                <w:rFonts w:ascii="Microsoft Sans Serif" w:hAnsi="Microsoft Sans Serif" w:cs="Microsoft Sans Serif"/>
                <w:b/>
                <w:sz w:val="19"/>
                <w:szCs w:val="19"/>
              </w:rPr>
            </w:pPr>
          </w:p>
        </w:tc>
        <w:tc>
          <w:tcPr>
            <w:tcW w:w="1275" w:type="dxa"/>
            <w:tcBorders>
              <w:top w:val="single" w:sz="4" w:space="0" w:color="auto"/>
              <w:left w:val="nil"/>
              <w:bottom w:val="single" w:sz="4" w:space="0" w:color="auto"/>
              <w:right w:val="nil"/>
            </w:tcBorders>
            <w:vAlign w:val="center"/>
          </w:tcPr>
          <w:p w14:paraId="4D79A5E1" w14:textId="77777777" w:rsidR="00024EA1" w:rsidRDefault="00024EA1" w:rsidP="004C0772">
            <w:pPr>
              <w:jc w:val="right"/>
              <w:rPr>
                <w:rFonts w:ascii="Microsoft Sans Serif" w:hAnsi="Microsoft Sans Serif" w:cs="Microsoft Sans Serif"/>
                <w:b/>
                <w:sz w:val="19"/>
                <w:szCs w:val="19"/>
              </w:rPr>
            </w:pPr>
          </w:p>
        </w:tc>
        <w:tc>
          <w:tcPr>
            <w:tcW w:w="1275" w:type="dxa"/>
            <w:tcBorders>
              <w:top w:val="single" w:sz="4" w:space="0" w:color="auto"/>
              <w:left w:val="nil"/>
              <w:bottom w:val="single" w:sz="4" w:space="0" w:color="auto"/>
              <w:right w:val="nil"/>
            </w:tcBorders>
          </w:tcPr>
          <w:p w14:paraId="4EDD89D8" w14:textId="77777777" w:rsidR="00024EA1" w:rsidRDefault="00024EA1" w:rsidP="004C0772">
            <w:pPr>
              <w:jc w:val="right"/>
              <w:rPr>
                <w:rFonts w:ascii="Microsoft Sans Serif" w:hAnsi="Microsoft Sans Serif" w:cs="Microsoft Sans Serif"/>
                <w:b/>
                <w:sz w:val="19"/>
                <w:szCs w:val="19"/>
              </w:rPr>
            </w:pPr>
          </w:p>
        </w:tc>
        <w:tc>
          <w:tcPr>
            <w:tcW w:w="1275" w:type="dxa"/>
            <w:tcBorders>
              <w:top w:val="single" w:sz="4" w:space="0" w:color="auto"/>
              <w:left w:val="nil"/>
              <w:bottom w:val="single" w:sz="4" w:space="0" w:color="auto"/>
              <w:right w:val="nil"/>
            </w:tcBorders>
          </w:tcPr>
          <w:p w14:paraId="23FE0CE5" w14:textId="77777777" w:rsidR="00024EA1" w:rsidRDefault="00024EA1" w:rsidP="004C0772">
            <w:pPr>
              <w:jc w:val="right"/>
              <w:rPr>
                <w:rFonts w:ascii="Microsoft Sans Serif" w:hAnsi="Microsoft Sans Serif" w:cs="Microsoft Sans Serif"/>
                <w:b/>
                <w:sz w:val="19"/>
                <w:szCs w:val="19"/>
              </w:rPr>
            </w:pPr>
          </w:p>
        </w:tc>
      </w:tr>
      <w:tr w:rsidR="00024EA1" w:rsidRPr="00D1639B" w14:paraId="4B73710E" w14:textId="77777777" w:rsidTr="004C0772">
        <w:trPr>
          <w:trHeight w:val="284"/>
        </w:trPr>
        <w:tc>
          <w:tcPr>
            <w:tcW w:w="2972" w:type="dxa"/>
            <w:tcBorders>
              <w:top w:val="single" w:sz="4" w:space="0" w:color="auto"/>
            </w:tcBorders>
            <w:vAlign w:val="center"/>
          </w:tcPr>
          <w:p w14:paraId="3E6ACC29" w14:textId="77777777" w:rsidR="00024EA1" w:rsidRPr="00D1639B" w:rsidRDefault="00024EA1" w:rsidP="004C0772">
            <w:pPr>
              <w:rPr>
                <w:rFonts w:ascii="Microsoft Sans Serif" w:hAnsi="Microsoft Sans Serif" w:cs="Microsoft Sans Serif"/>
                <w:b/>
                <w:sz w:val="19"/>
                <w:szCs w:val="19"/>
              </w:rPr>
            </w:pPr>
            <w:r w:rsidRPr="00D1639B">
              <w:rPr>
                <w:rFonts w:ascii="Microsoft Sans Serif" w:hAnsi="Microsoft Sans Serif" w:cs="Microsoft Sans Serif"/>
                <w:b/>
                <w:sz w:val="19"/>
                <w:szCs w:val="19"/>
              </w:rPr>
              <w:t>TOTAL</w:t>
            </w:r>
          </w:p>
        </w:tc>
        <w:tc>
          <w:tcPr>
            <w:tcW w:w="1276" w:type="dxa"/>
            <w:tcBorders>
              <w:top w:val="single" w:sz="4" w:space="0" w:color="auto"/>
            </w:tcBorders>
            <w:vAlign w:val="center"/>
          </w:tcPr>
          <w:p w14:paraId="22271052" w14:textId="77777777" w:rsidR="00024EA1" w:rsidRPr="00D1639B" w:rsidRDefault="00024EA1" w:rsidP="004C0772">
            <w:pPr>
              <w:jc w:val="right"/>
              <w:rPr>
                <w:rFonts w:ascii="Microsoft Sans Serif" w:hAnsi="Microsoft Sans Serif" w:cs="Microsoft Sans Serif"/>
                <w:b/>
                <w:sz w:val="19"/>
                <w:szCs w:val="19"/>
              </w:rPr>
            </w:pPr>
            <w:r>
              <w:rPr>
                <w:rFonts w:ascii="Microsoft Sans Serif" w:hAnsi="Microsoft Sans Serif" w:cs="Microsoft Sans Serif"/>
                <w:b/>
                <w:sz w:val="19"/>
                <w:szCs w:val="19"/>
              </w:rPr>
              <w:t>159 161</w:t>
            </w:r>
          </w:p>
        </w:tc>
        <w:tc>
          <w:tcPr>
            <w:tcW w:w="1276" w:type="dxa"/>
            <w:tcBorders>
              <w:top w:val="single" w:sz="4" w:space="0" w:color="auto"/>
            </w:tcBorders>
            <w:vAlign w:val="center"/>
          </w:tcPr>
          <w:p w14:paraId="4FA9E1F2" w14:textId="77777777" w:rsidR="00024EA1" w:rsidRDefault="00024EA1" w:rsidP="004C0772">
            <w:pPr>
              <w:jc w:val="right"/>
              <w:rPr>
                <w:rFonts w:ascii="Microsoft Sans Serif" w:hAnsi="Microsoft Sans Serif" w:cs="Microsoft Sans Serif"/>
                <w:b/>
                <w:sz w:val="19"/>
                <w:szCs w:val="19"/>
              </w:rPr>
            </w:pPr>
            <w:r>
              <w:rPr>
                <w:rFonts w:ascii="Microsoft Sans Serif" w:hAnsi="Microsoft Sans Serif" w:cs="Microsoft Sans Serif"/>
                <w:b/>
                <w:sz w:val="19"/>
                <w:szCs w:val="19"/>
              </w:rPr>
              <w:t>150 716</w:t>
            </w:r>
          </w:p>
        </w:tc>
        <w:tc>
          <w:tcPr>
            <w:tcW w:w="1275" w:type="dxa"/>
            <w:tcBorders>
              <w:top w:val="single" w:sz="4" w:space="0" w:color="auto"/>
            </w:tcBorders>
            <w:vAlign w:val="center"/>
          </w:tcPr>
          <w:p w14:paraId="434DD7AE" w14:textId="77777777" w:rsidR="00024EA1" w:rsidRPr="00D1639B" w:rsidRDefault="00024EA1" w:rsidP="004C0772">
            <w:pPr>
              <w:jc w:val="right"/>
              <w:rPr>
                <w:rFonts w:ascii="Microsoft Sans Serif" w:hAnsi="Microsoft Sans Serif" w:cs="Microsoft Sans Serif"/>
                <w:b/>
                <w:sz w:val="19"/>
                <w:szCs w:val="19"/>
              </w:rPr>
            </w:pPr>
            <w:r>
              <w:rPr>
                <w:rFonts w:ascii="Microsoft Sans Serif" w:hAnsi="Microsoft Sans Serif" w:cs="Microsoft Sans Serif"/>
                <w:b/>
                <w:sz w:val="19"/>
                <w:szCs w:val="19"/>
              </w:rPr>
              <w:t>8 445</w:t>
            </w:r>
          </w:p>
        </w:tc>
        <w:tc>
          <w:tcPr>
            <w:tcW w:w="1275" w:type="dxa"/>
            <w:tcBorders>
              <w:top w:val="single" w:sz="4" w:space="0" w:color="auto"/>
            </w:tcBorders>
            <w:vAlign w:val="center"/>
          </w:tcPr>
          <w:p w14:paraId="1C581517" w14:textId="77777777" w:rsidR="00024EA1" w:rsidRDefault="00024EA1" w:rsidP="004C0772">
            <w:pPr>
              <w:jc w:val="right"/>
              <w:rPr>
                <w:rFonts w:ascii="Microsoft Sans Serif" w:hAnsi="Microsoft Sans Serif" w:cs="Microsoft Sans Serif"/>
                <w:b/>
                <w:sz w:val="19"/>
                <w:szCs w:val="19"/>
              </w:rPr>
            </w:pPr>
            <w:r>
              <w:rPr>
                <w:rFonts w:ascii="Microsoft Sans Serif" w:hAnsi="Microsoft Sans Serif" w:cs="Microsoft Sans Serif"/>
                <w:b/>
                <w:sz w:val="19"/>
                <w:szCs w:val="19"/>
              </w:rPr>
              <w:t>159 161</w:t>
            </w:r>
          </w:p>
        </w:tc>
        <w:tc>
          <w:tcPr>
            <w:tcW w:w="1275" w:type="dxa"/>
            <w:tcBorders>
              <w:top w:val="single" w:sz="4" w:space="0" w:color="auto"/>
            </w:tcBorders>
            <w:vAlign w:val="center"/>
          </w:tcPr>
          <w:p w14:paraId="7A2DD5E3" w14:textId="77777777" w:rsidR="00024EA1" w:rsidRDefault="00024EA1" w:rsidP="004C0772">
            <w:pPr>
              <w:jc w:val="right"/>
              <w:rPr>
                <w:rFonts w:ascii="Microsoft Sans Serif" w:hAnsi="Microsoft Sans Serif" w:cs="Microsoft Sans Serif"/>
                <w:b/>
                <w:sz w:val="19"/>
                <w:szCs w:val="19"/>
              </w:rPr>
            </w:pPr>
            <w:r>
              <w:rPr>
                <w:rFonts w:ascii="Microsoft Sans Serif" w:hAnsi="Microsoft Sans Serif" w:cs="Microsoft Sans Serif"/>
                <w:b/>
                <w:sz w:val="19"/>
                <w:szCs w:val="19"/>
              </w:rPr>
              <w:t>0</w:t>
            </w:r>
          </w:p>
        </w:tc>
      </w:tr>
    </w:tbl>
    <w:p w14:paraId="26C50F36" w14:textId="77777777" w:rsidR="00024EA1" w:rsidRPr="00D1639B" w:rsidRDefault="00024EA1" w:rsidP="00024EA1">
      <w:pPr>
        <w:ind w:left="567"/>
        <w:rPr>
          <w:rFonts w:ascii="Arial Narrow" w:hAnsi="Arial Narrow" w:cs="Microsoft Sans Serif"/>
          <w:sz w:val="20"/>
          <w:szCs w:val="20"/>
        </w:rPr>
      </w:pPr>
    </w:p>
    <w:tbl>
      <w:tblPr>
        <w:tblStyle w:val="TableGrid"/>
        <w:tblW w:w="9351" w:type="dxa"/>
        <w:tblInd w:w="567" w:type="dxa"/>
        <w:tblLayout w:type="fixed"/>
        <w:tblLook w:val="04A0" w:firstRow="1" w:lastRow="0" w:firstColumn="1" w:lastColumn="0" w:noHBand="0" w:noVBand="1"/>
      </w:tblPr>
      <w:tblGrid>
        <w:gridCol w:w="2972"/>
        <w:gridCol w:w="1276"/>
        <w:gridCol w:w="1276"/>
        <w:gridCol w:w="2551"/>
        <w:gridCol w:w="1276"/>
      </w:tblGrid>
      <w:tr w:rsidR="00024EA1" w:rsidRPr="00D1639B" w14:paraId="6EF7062D" w14:textId="77777777" w:rsidTr="004C0772">
        <w:trPr>
          <w:trHeight w:val="284"/>
        </w:trPr>
        <w:tc>
          <w:tcPr>
            <w:tcW w:w="2972" w:type="dxa"/>
            <w:vAlign w:val="center"/>
          </w:tcPr>
          <w:p w14:paraId="70E55E62"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 xml:space="preserve">Versement </w:t>
            </w:r>
            <w:r>
              <w:rPr>
                <w:rFonts w:ascii="Microsoft Sans Serif" w:hAnsi="Microsoft Sans Serif" w:cs="Microsoft Sans Serif"/>
                <w:sz w:val="19"/>
                <w:szCs w:val="19"/>
              </w:rPr>
              <w:t>a</w:t>
            </w:r>
            <w:r w:rsidRPr="00D1639B">
              <w:rPr>
                <w:rFonts w:ascii="Microsoft Sans Serif" w:hAnsi="Microsoft Sans Serif" w:cs="Microsoft Sans Serif"/>
                <w:sz w:val="19"/>
                <w:szCs w:val="19"/>
              </w:rPr>
              <w:t xml:space="preserve">nticipé </w:t>
            </w:r>
            <w:r>
              <w:rPr>
                <w:rFonts w:ascii="Microsoft Sans Serif" w:hAnsi="Microsoft Sans Serif" w:cs="Microsoft Sans Serif"/>
                <w:sz w:val="19"/>
                <w:szCs w:val="19"/>
              </w:rPr>
              <w:t>r</w:t>
            </w:r>
            <w:r w:rsidRPr="00D1639B">
              <w:rPr>
                <w:rFonts w:ascii="Microsoft Sans Serif" w:hAnsi="Microsoft Sans Serif" w:cs="Microsoft Sans Serif"/>
                <w:sz w:val="19"/>
                <w:szCs w:val="19"/>
              </w:rPr>
              <w:t>eçu</w:t>
            </w:r>
          </w:p>
        </w:tc>
        <w:tc>
          <w:tcPr>
            <w:tcW w:w="1276" w:type="dxa"/>
            <w:vAlign w:val="center"/>
          </w:tcPr>
          <w:p w14:paraId="2A62D8A7" w14:textId="77777777" w:rsidR="00024EA1" w:rsidRPr="00D1639B" w:rsidRDefault="00024EA1" w:rsidP="004C0772">
            <w:pPr>
              <w:rPr>
                <w:rFonts w:ascii="Microsoft Sans Serif" w:hAnsi="Microsoft Sans Serif" w:cs="Microsoft Sans Serif"/>
                <w:sz w:val="19"/>
                <w:szCs w:val="19"/>
              </w:rPr>
            </w:pPr>
          </w:p>
        </w:tc>
        <w:tc>
          <w:tcPr>
            <w:tcW w:w="1276" w:type="dxa"/>
          </w:tcPr>
          <w:p w14:paraId="2D1E4CAB" w14:textId="77777777" w:rsidR="00024EA1" w:rsidRPr="00D1639B" w:rsidRDefault="00024EA1" w:rsidP="004C0772">
            <w:pPr>
              <w:rPr>
                <w:rFonts w:ascii="Microsoft Sans Serif" w:hAnsi="Microsoft Sans Serif" w:cs="Microsoft Sans Serif"/>
                <w:sz w:val="19"/>
                <w:szCs w:val="19"/>
              </w:rPr>
            </w:pPr>
          </w:p>
        </w:tc>
        <w:tc>
          <w:tcPr>
            <w:tcW w:w="2551" w:type="dxa"/>
            <w:vAlign w:val="center"/>
          </w:tcPr>
          <w:p w14:paraId="7E701954" w14:textId="77777777" w:rsidR="00024EA1" w:rsidRPr="00D1639B" w:rsidRDefault="00024EA1" w:rsidP="004C0772">
            <w:pPr>
              <w:rPr>
                <w:rFonts w:ascii="Microsoft Sans Serif" w:hAnsi="Microsoft Sans Serif" w:cs="Microsoft Sans Serif"/>
                <w:sz w:val="19"/>
                <w:szCs w:val="19"/>
              </w:rPr>
            </w:pPr>
          </w:p>
        </w:tc>
        <w:tc>
          <w:tcPr>
            <w:tcW w:w="1276" w:type="dxa"/>
            <w:vAlign w:val="center"/>
          </w:tcPr>
          <w:p w14:paraId="2D88AA39"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150</w:t>
            </w:r>
            <w:r w:rsidRPr="00D1639B">
              <w:rPr>
                <w:rFonts w:ascii="Microsoft Sans Serif" w:hAnsi="Microsoft Sans Serif" w:cs="Microsoft Sans Serif"/>
                <w:sz w:val="19"/>
                <w:szCs w:val="19"/>
              </w:rPr>
              <w:t> 000</w:t>
            </w:r>
          </w:p>
        </w:tc>
      </w:tr>
      <w:tr w:rsidR="00024EA1" w:rsidRPr="00D1639B" w14:paraId="4240F7EE" w14:textId="77777777" w:rsidTr="004C0772">
        <w:trPr>
          <w:trHeight w:val="284"/>
        </w:trPr>
        <w:tc>
          <w:tcPr>
            <w:tcW w:w="2972" w:type="dxa"/>
            <w:vAlign w:val="center"/>
          </w:tcPr>
          <w:p w14:paraId="15B4D267" w14:textId="77777777" w:rsidR="00024EA1" w:rsidRPr="00D1639B" w:rsidRDefault="00024EA1" w:rsidP="004C0772">
            <w:pPr>
              <w:rPr>
                <w:rFonts w:ascii="Microsoft Sans Serif" w:hAnsi="Microsoft Sans Serif" w:cs="Microsoft Sans Serif"/>
                <w:b/>
                <w:sz w:val="19"/>
                <w:szCs w:val="19"/>
              </w:rPr>
            </w:pPr>
            <w:r w:rsidRPr="00D1639B">
              <w:rPr>
                <w:rFonts w:ascii="Microsoft Sans Serif" w:hAnsi="Microsoft Sans Serif" w:cs="Microsoft Sans Serif"/>
                <w:b/>
                <w:sz w:val="19"/>
                <w:szCs w:val="19"/>
              </w:rPr>
              <w:t xml:space="preserve">Budget à transférer en année </w:t>
            </w:r>
            <w:r>
              <w:rPr>
                <w:rFonts w:ascii="Microsoft Sans Serif" w:hAnsi="Microsoft Sans Serif" w:cs="Microsoft Sans Serif"/>
                <w:b/>
                <w:sz w:val="19"/>
                <w:szCs w:val="19"/>
              </w:rPr>
              <w:t>3</w:t>
            </w:r>
            <w:r w:rsidRPr="00D1639B">
              <w:rPr>
                <w:rFonts w:ascii="Microsoft Sans Serif" w:hAnsi="Microsoft Sans Serif" w:cs="Microsoft Sans Serif"/>
                <w:b/>
                <w:sz w:val="19"/>
                <w:szCs w:val="19"/>
              </w:rPr>
              <w:t> :</w:t>
            </w:r>
          </w:p>
        </w:tc>
        <w:tc>
          <w:tcPr>
            <w:tcW w:w="1276" w:type="dxa"/>
            <w:vAlign w:val="center"/>
          </w:tcPr>
          <w:p w14:paraId="54F87C2E" w14:textId="77777777" w:rsidR="00024EA1" w:rsidRPr="00D1639B" w:rsidRDefault="00024EA1" w:rsidP="004C0772">
            <w:pPr>
              <w:rPr>
                <w:rFonts w:ascii="Microsoft Sans Serif" w:hAnsi="Microsoft Sans Serif" w:cs="Microsoft Sans Serif"/>
                <w:b/>
                <w:sz w:val="19"/>
                <w:szCs w:val="19"/>
              </w:rPr>
            </w:pPr>
          </w:p>
        </w:tc>
        <w:tc>
          <w:tcPr>
            <w:tcW w:w="1276" w:type="dxa"/>
          </w:tcPr>
          <w:p w14:paraId="5BC0C47B" w14:textId="77777777" w:rsidR="00024EA1" w:rsidRPr="00D1639B" w:rsidRDefault="00024EA1" w:rsidP="004C0772">
            <w:pPr>
              <w:rPr>
                <w:rFonts w:ascii="Microsoft Sans Serif" w:hAnsi="Microsoft Sans Serif" w:cs="Microsoft Sans Serif"/>
                <w:b/>
                <w:sz w:val="19"/>
                <w:szCs w:val="19"/>
              </w:rPr>
            </w:pPr>
          </w:p>
        </w:tc>
        <w:tc>
          <w:tcPr>
            <w:tcW w:w="2551" w:type="dxa"/>
            <w:vAlign w:val="center"/>
          </w:tcPr>
          <w:p w14:paraId="0D3E7F60" w14:textId="77777777" w:rsidR="00024EA1" w:rsidRPr="00D1639B" w:rsidRDefault="00024EA1" w:rsidP="004C0772">
            <w:pPr>
              <w:rPr>
                <w:rFonts w:ascii="Microsoft Sans Serif" w:hAnsi="Microsoft Sans Serif" w:cs="Microsoft Sans Serif"/>
                <w:b/>
                <w:sz w:val="19"/>
                <w:szCs w:val="19"/>
              </w:rPr>
            </w:pPr>
          </w:p>
        </w:tc>
        <w:tc>
          <w:tcPr>
            <w:tcW w:w="1276" w:type="dxa"/>
            <w:vAlign w:val="center"/>
          </w:tcPr>
          <w:p w14:paraId="31A92D70" w14:textId="77777777" w:rsidR="00024EA1" w:rsidRPr="00D1639B" w:rsidRDefault="00024EA1" w:rsidP="004C0772">
            <w:pPr>
              <w:jc w:val="right"/>
              <w:rPr>
                <w:rFonts w:ascii="Microsoft Sans Serif" w:hAnsi="Microsoft Sans Serif" w:cs="Microsoft Sans Serif"/>
                <w:b/>
                <w:sz w:val="19"/>
                <w:szCs w:val="19"/>
              </w:rPr>
            </w:pPr>
            <w:r>
              <w:rPr>
                <w:rFonts w:ascii="Microsoft Sans Serif" w:hAnsi="Microsoft Sans Serif" w:cs="Microsoft Sans Serif"/>
                <w:b/>
                <w:sz w:val="19"/>
                <w:szCs w:val="19"/>
              </w:rPr>
              <w:t>0</w:t>
            </w:r>
          </w:p>
        </w:tc>
      </w:tr>
    </w:tbl>
    <w:p w14:paraId="517441EC" w14:textId="77777777" w:rsidR="00024EA1" w:rsidRPr="00D1639B" w:rsidRDefault="00024EA1" w:rsidP="00024EA1">
      <w:pPr>
        <w:ind w:left="567"/>
        <w:rPr>
          <w:rFonts w:ascii="Arial Narrow" w:hAnsi="Arial Narrow" w:cs="Microsoft Sans Serif"/>
          <w:sz w:val="20"/>
          <w:szCs w:val="20"/>
        </w:rPr>
      </w:pPr>
    </w:p>
    <w:tbl>
      <w:tblPr>
        <w:tblStyle w:val="TableGrid"/>
        <w:tblW w:w="0" w:type="auto"/>
        <w:tblInd w:w="567" w:type="dxa"/>
        <w:tblLook w:val="04A0" w:firstRow="1" w:lastRow="0" w:firstColumn="1" w:lastColumn="0" w:noHBand="0" w:noVBand="1"/>
      </w:tblPr>
      <w:tblGrid>
        <w:gridCol w:w="1980"/>
        <w:gridCol w:w="992"/>
      </w:tblGrid>
      <w:tr w:rsidR="00024EA1" w:rsidRPr="00D1639B" w14:paraId="7ACC9733" w14:textId="77777777" w:rsidTr="004C0772">
        <w:trPr>
          <w:trHeight w:val="284"/>
        </w:trPr>
        <w:tc>
          <w:tcPr>
            <w:tcW w:w="1980" w:type="dxa"/>
            <w:vAlign w:val="center"/>
          </w:tcPr>
          <w:p w14:paraId="7411DA1E" w14:textId="77777777" w:rsidR="00024EA1" w:rsidRPr="00D1639B"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F</w:t>
            </w:r>
            <w:r w:rsidRPr="00D1639B">
              <w:rPr>
                <w:rFonts w:ascii="Microsoft Sans Serif" w:hAnsi="Microsoft Sans Serif" w:cs="Microsoft Sans Serif"/>
                <w:sz w:val="19"/>
                <w:szCs w:val="19"/>
              </w:rPr>
              <w:t>rais généraux en %</w:t>
            </w:r>
          </w:p>
        </w:tc>
        <w:tc>
          <w:tcPr>
            <w:tcW w:w="992" w:type="dxa"/>
            <w:vAlign w:val="center"/>
          </w:tcPr>
          <w:p w14:paraId="6BE99380"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6,38</w:t>
            </w:r>
            <w:r>
              <w:rPr>
                <w:rFonts w:ascii="Microsoft Sans Serif" w:hAnsi="Microsoft Sans Serif" w:cs="Microsoft Sans Serif"/>
                <w:sz w:val="19"/>
                <w:szCs w:val="19"/>
              </w:rPr>
              <w:t> </w:t>
            </w:r>
            <w:r w:rsidRPr="00D1639B">
              <w:rPr>
                <w:rFonts w:ascii="Microsoft Sans Serif" w:hAnsi="Microsoft Sans Serif" w:cs="Microsoft Sans Serif"/>
                <w:sz w:val="19"/>
                <w:szCs w:val="19"/>
              </w:rPr>
              <w:t>%</w:t>
            </w:r>
          </w:p>
        </w:tc>
      </w:tr>
    </w:tbl>
    <w:p w14:paraId="15D1698E" w14:textId="77777777" w:rsidR="00024EA1" w:rsidRDefault="00024EA1" w:rsidP="00024EA1">
      <w:pPr>
        <w:ind w:left="567"/>
        <w:rPr>
          <w:rFonts w:ascii="Microsoft Sans Serif" w:hAnsi="Microsoft Sans Serif" w:cs="Microsoft Sans Serif"/>
        </w:rPr>
      </w:pPr>
    </w:p>
    <w:tbl>
      <w:tblPr>
        <w:tblStyle w:val="TableGrid"/>
        <w:tblW w:w="0" w:type="auto"/>
        <w:tblInd w:w="567" w:type="dxa"/>
        <w:tblLook w:val="04A0" w:firstRow="1" w:lastRow="0" w:firstColumn="1" w:lastColumn="0" w:noHBand="0" w:noVBand="1"/>
      </w:tblPr>
      <w:tblGrid>
        <w:gridCol w:w="2101"/>
        <w:gridCol w:w="2114"/>
        <w:gridCol w:w="2113"/>
        <w:gridCol w:w="2121"/>
      </w:tblGrid>
      <w:tr w:rsidR="00024EA1" w:rsidRPr="00EF2802" w14:paraId="069A0431" w14:textId="77777777" w:rsidTr="004C0772">
        <w:trPr>
          <w:trHeight w:val="454"/>
        </w:trPr>
        <w:tc>
          <w:tcPr>
            <w:tcW w:w="2337" w:type="dxa"/>
            <w:vAlign w:val="center"/>
          </w:tcPr>
          <w:p w14:paraId="1DCB20F7"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Nom</w:t>
            </w:r>
          </w:p>
        </w:tc>
        <w:tc>
          <w:tcPr>
            <w:tcW w:w="2337" w:type="dxa"/>
            <w:vAlign w:val="center"/>
          </w:tcPr>
          <w:p w14:paraId="14BC55EF"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Pr Ehud Gazit</w:t>
            </w:r>
          </w:p>
        </w:tc>
        <w:tc>
          <w:tcPr>
            <w:tcW w:w="2338" w:type="dxa"/>
            <w:vAlign w:val="center"/>
          </w:tcPr>
          <w:p w14:paraId="18398021"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Maayan Ben Yosef</w:t>
            </w:r>
          </w:p>
        </w:tc>
        <w:tc>
          <w:tcPr>
            <w:tcW w:w="2338" w:type="dxa"/>
            <w:vAlign w:val="center"/>
          </w:tcPr>
          <w:p w14:paraId="70F51E58"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Hani Shahmoon</w:t>
            </w:r>
          </w:p>
        </w:tc>
      </w:tr>
      <w:tr w:rsidR="00024EA1" w:rsidRPr="00EF2802" w14:paraId="06F4E991" w14:textId="77777777" w:rsidTr="004C0772">
        <w:trPr>
          <w:trHeight w:val="454"/>
        </w:trPr>
        <w:tc>
          <w:tcPr>
            <w:tcW w:w="2337" w:type="dxa"/>
            <w:vAlign w:val="center"/>
          </w:tcPr>
          <w:p w14:paraId="5D9F86C5"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Titre</w:t>
            </w:r>
          </w:p>
        </w:tc>
        <w:tc>
          <w:tcPr>
            <w:tcW w:w="2337" w:type="dxa"/>
            <w:vAlign w:val="center"/>
          </w:tcPr>
          <w:p w14:paraId="4C020B88"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Chercheur principal</w:t>
            </w:r>
          </w:p>
        </w:tc>
        <w:tc>
          <w:tcPr>
            <w:tcW w:w="2338" w:type="dxa"/>
            <w:vAlign w:val="center"/>
          </w:tcPr>
          <w:p w14:paraId="058143B1"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Agent comptable</w:t>
            </w:r>
          </w:p>
        </w:tc>
        <w:tc>
          <w:tcPr>
            <w:tcW w:w="2338" w:type="dxa"/>
            <w:vAlign w:val="center"/>
          </w:tcPr>
          <w:p w14:paraId="4B0E8443"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Chef de l’Unité comptable</w:t>
            </w:r>
          </w:p>
        </w:tc>
      </w:tr>
      <w:tr w:rsidR="00024EA1" w:rsidRPr="00EF2802" w14:paraId="4500EBC7" w14:textId="77777777" w:rsidTr="004C0772">
        <w:trPr>
          <w:trHeight w:val="454"/>
        </w:trPr>
        <w:tc>
          <w:tcPr>
            <w:tcW w:w="2337" w:type="dxa"/>
            <w:vAlign w:val="center"/>
          </w:tcPr>
          <w:p w14:paraId="7CB11060"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Signature</w:t>
            </w:r>
          </w:p>
        </w:tc>
        <w:tc>
          <w:tcPr>
            <w:tcW w:w="2337" w:type="dxa"/>
            <w:vAlign w:val="center"/>
          </w:tcPr>
          <w:p w14:paraId="2FCE35A0"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c>
          <w:tcPr>
            <w:tcW w:w="2338" w:type="dxa"/>
            <w:vAlign w:val="center"/>
          </w:tcPr>
          <w:p w14:paraId="14EC139E"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c>
          <w:tcPr>
            <w:tcW w:w="2338" w:type="dxa"/>
            <w:vAlign w:val="center"/>
          </w:tcPr>
          <w:p w14:paraId="3FB95BBB"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r>
    </w:tbl>
    <w:p w14:paraId="4F61F8C6" w14:textId="77777777" w:rsidR="00024EA1" w:rsidRPr="00A903BE" w:rsidRDefault="00024EA1" w:rsidP="00024EA1">
      <w:pPr>
        <w:tabs>
          <w:tab w:val="left" w:pos="3544"/>
        </w:tabs>
        <w:ind w:left="567"/>
        <w:rPr>
          <w:rFonts w:ascii="Microsoft Sans Serif" w:hAnsi="Microsoft Sans Serif" w:cs="Microsoft Sans Serif"/>
          <w:sz w:val="20"/>
          <w:szCs w:val="20"/>
        </w:rPr>
      </w:pPr>
      <w:r>
        <w:rPr>
          <w:rFonts w:ascii="Arial Nova" w:hAnsi="Arial Nova"/>
        </w:rPr>
        <w:tab/>
      </w:r>
      <w:r>
        <w:rPr>
          <w:rFonts w:ascii="Microsoft Sans Serif" w:hAnsi="Microsoft Sans Serif" w:cs="Microsoft Sans Serif"/>
          <w:sz w:val="20"/>
          <w:szCs w:val="20"/>
        </w:rPr>
        <w:br w:type="page"/>
      </w:r>
      <w:r w:rsidRPr="00A903BE">
        <w:rPr>
          <w:rFonts w:ascii="Microsoft Sans Serif" w:hAnsi="Microsoft Sans Serif" w:cs="Microsoft Sans Serif"/>
          <w:sz w:val="20"/>
          <w:szCs w:val="20"/>
        </w:rPr>
        <w:lastRenderedPageBreak/>
        <w:t>Projet :</w:t>
      </w:r>
      <w:r w:rsidRPr="00A903BE">
        <w:rPr>
          <w:rFonts w:ascii="Microsoft Sans Serif" w:hAnsi="Microsoft Sans Serif" w:cs="Microsoft Sans Serif"/>
          <w:sz w:val="20"/>
          <w:szCs w:val="20"/>
        </w:rPr>
        <w:tab/>
      </w:r>
      <w:r>
        <w:rPr>
          <w:rFonts w:ascii="Microsoft Sans Serif" w:hAnsi="Microsoft Sans Serif" w:cs="Microsoft Sans Serif"/>
          <w:sz w:val="20"/>
          <w:szCs w:val="20"/>
        </w:rPr>
        <w:t>Découvrir de nouvelles lois de l’hérédité</w:t>
      </w:r>
    </w:p>
    <w:p w14:paraId="7C91A8B4"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Numéro de Recherche TAU :</w:t>
      </w:r>
      <w:r w:rsidRPr="00A903BE">
        <w:rPr>
          <w:rFonts w:ascii="Microsoft Sans Serif" w:hAnsi="Microsoft Sans Serif" w:cs="Microsoft Sans Serif"/>
          <w:sz w:val="20"/>
          <w:szCs w:val="20"/>
        </w:rPr>
        <w:tab/>
        <w:t>0604</w:t>
      </w:r>
      <w:r>
        <w:rPr>
          <w:rFonts w:ascii="Microsoft Sans Serif" w:hAnsi="Microsoft Sans Serif" w:cs="Microsoft Sans Serif"/>
          <w:sz w:val="20"/>
          <w:szCs w:val="20"/>
        </w:rPr>
        <w:t>916193</w:t>
      </w:r>
    </w:p>
    <w:p w14:paraId="7B020D5A"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Chercheur :</w:t>
      </w:r>
      <w:r w:rsidRPr="00A903BE">
        <w:rPr>
          <w:rFonts w:ascii="Microsoft Sans Serif" w:hAnsi="Microsoft Sans Serif" w:cs="Microsoft Sans Serif"/>
          <w:sz w:val="20"/>
          <w:szCs w:val="20"/>
        </w:rPr>
        <w:tab/>
      </w:r>
      <w:r>
        <w:rPr>
          <w:rFonts w:ascii="Microsoft Sans Serif" w:hAnsi="Microsoft Sans Serif" w:cs="Microsoft Sans Serif"/>
          <w:sz w:val="20"/>
          <w:szCs w:val="20"/>
        </w:rPr>
        <w:t>D</w:t>
      </w:r>
      <w:r w:rsidRPr="00A903BE">
        <w:rPr>
          <w:rFonts w:ascii="Microsoft Sans Serif" w:hAnsi="Microsoft Sans Serif" w:cs="Microsoft Sans Serif"/>
          <w:sz w:val="20"/>
          <w:szCs w:val="20"/>
        </w:rPr>
        <w:t xml:space="preserve">r </w:t>
      </w:r>
      <w:r>
        <w:rPr>
          <w:rFonts w:ascii="Microsoft Sans Serif" w:hAnsi="Microsoft Sans Serif" w:cs="Microsoft Sans Serif"/>
          <w:sz w:val="20"/>
          <w:szCs w:val="20"/>
        </w:rPr>
        <w:t>Oded</w:t>
      </w:r>
      <w:r w:rsidRPr="00A903BE">
        <w:rPr>
          <w:rFonts w:ascii="Microsoft Sans Serif" w:hAnsi="Microsoft Sans Serif" w:cs="Microsoft Sans Serif"/>
          <w:sz w:val="20"/>
          <w:szCs w:val="20"/>
        </w:rPr>
        <w:t xml:space="preserve"> </w:t>
      </w:r>
      <w:r>
        <w:rPr>
          <w:rFonts w:ascii="Microsoft Sans Serif" w:hAnsi="Microsoft Sans Serif" w:cs="Microsoft Sans Serif"/>
          <w:sz w:val="20"/>
          <w:szCs w:val="20"/>
        </w:rPr>
        <w:t>Rechavi</w:t>
      </w:r>
    </w:p>
    <w:p w14:paraId="18C74197"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Date :</w:t>
      </w:r>
      <w:r w:rsidRPr="00A903BE">
        <w:rPr>
          <w:rFonts w:ascii="Microsoft Sans Serif" w:hAnsi="Microsoft Sans Serif" w:cs="Microsoft Sans Serif"/>
          <w:sz w:val="20"/>
          <w:szCs w:val="20"/>
        </w:rPr>
        <w:tab/>
      </w:r>
      <w:r>
        <w:rPr>
          <w:rFonts w:ascii="Microsoft Sans Serif" w:hAnsi="Microsoft Sans Serif" w:cs="Microsoft Sans Serif"/>
          <w:sz w:val="20"/>
          <w:szCs w:val="20"/>
        </w:rPr>
        <w:t>14</w:t>
      </w:r>
      <w:r w:rsidRPr="00A903BE">
        <w:rPr>
          <w:rFonts w:ascii="Microsoft Sans Serif" w:hAnsi="Microsoft Sans Serif" w:cs="Microsoft Sans Serif"/>
          <w:sz w:val="20"/>
          <w:szCs w:val="20"/>
        </w:rPr>
        <w:t>/</w:t>
      </w:r>
      <w:r>
        <w:rPr>
          <w:rFonts w:ascii="Microsoft Sans Serif" w:hAnsi="Microsoft Sans Serif" w:cs="Microsoft Sans Serif"/>
          <w:sz w:val="20"/>
          <w:szCs w:val="20"/>
        </w:rPr>
        <w:t>10</w:t>
      </w:r>
      <w:r w:rsidRPr="00A903BE">
        <w:rPr>
          <w:rFonts w:ascii="Microsoft Sans Serif" w:hAnsi="Microsoft Sans Serif" w:cs="Microsoft Sans Serif"/>
          <w:sz w:val="20"/>
          <w:szCs w:val="20"/>
        </w:rPr>
        <w:t>/20</w:t>
      </w:r>
      <w:r>
        <w:rPr>
          <w:rFonts w:ascii="Microsoft Sans Serif" w:hAnsi="Microsoft Sans Serif" w:cs="Microsoft Sans Serif"/>
          <w:sz w:val="20"/>
          <w:szCs w:val="20"/>
        </w:rPr>
        <w:t>21</w:t>
      </w:r>
    </w:p>
    <w:p w14:paraId="2F2BF621" w14:textId="77777777" w:rsidR="00024EA1" w:rsidRPr="00A903BE" w:rsidRDefault="00024EA1" w:rsidP="00024EA1">
      <w:pPr>
        <w:spacing w:after="120"/>
        <w:rPr>
          <w:rFonts w:ascii="Microsoft Sans Serif" w:hAnsi="Microsoft Sans Serif" w:cs="Microsoft Sans Serif"/>
        </w:rPr>
      </w:pPr>
      <w:r w:rsidRPr="00A903BE">
        <w:rPr>
          <w:rFonts w:ascii="Microsoft Sans Serif" w:hAnsi="Microsoft Sans Serif" w:cs="Microsoft Sans Serif"/>
          <w:noProof/>
        </w:rPr>
        <mc:AlternateContent>
          <mc:Choice Requires="wps">
            <w:drawing>
              <wp:anchor distT="0" distB="0" distL="114300" distR="114300" simplePos="0" relativeHeight="251661312" behindDoc="0" locked="0" layoutInCell="1" allowOverlap="1" wp14:anchorId="04FBABD3" wp14:editId="45FB71BA">
                <wp:simplePos x="0" y="0"/>
                <wp:positionH relativeFrom="column">
                  <wp:posOffset>363855</wp:posOffset>
                </wp:positionH>
                <wp:positionV relativeFrom="paragraph">
                  <wp:posOffset>147320</wp:posOffset>
                </wp:positionV>
                <wp:extent cx="5530789" cy="0"/>
                <wp:effectExtent l="0" t="0" r="0" b="0"/>
                <wp:wrapNone/>
                <wp:docPr id="61" name="Connecteur droit 61"/>
                <wp:cNvGraphicFramePr/>
                <a:graphic xmlns:a="http://schemas.openxmlformats.org/drawingml/2006/main">
                  <a:graphicData uri="http://schemas.microsoft.com/office/word/2010/wordprocessingShape">
                    <wps:wsp>
                      <wps:cNvCnPr/>
                      <wps:spPr>
                        <a:xfrm>
                          <a:off x="0" y="0"/>
                          <a:ext cx="5530789"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5DF0D3" id="Connecteur droit 6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8.65pt,11.6pt" to="464.15pt,1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" strokecolor="black [3200]" strokeweight="2pt">
                <v:stroke joinstyle="miter"/>
              </v:line>
            </w:pict>
          </mc:Fallback>
        </mc:AlternateContent>
      </w:r>
    </w:p>
    <w:p w14:paraId="448E1346"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À :</w:t>
      </w:r>
      <w:r w:rsidRPr="00A903BE">
        <w:rPr>
          <w:rFonts w:ascii="Microsoft Sans Serif" w:hAnsi="Microsoft Sans Serif" w:cs="Microsoft Sans Serif"/>
          <w:sz w:val="20"/>
          <w:szCs w:val="20"/>
        </w:rPr>
        <w:tab/>
        <w:t>Fondation Adelis</w:t>
      </w:r>
    </w:p>
    <w:p w14:paraId="1986429E"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ab/>
        <w:t>52 Avenue Menahem Begin 6713701</w:t>
      </w:r>
    </w:p>
    <w:p w14:paraId="4EB6673D"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ab/>
        <w:t>Tel</w:t>
      </w:r>
      <w:r>
        <w:rPr>
          <w:rFonts w:ascii="Microsoft Sans Serif" w:hAnsi="Microsoft Sans Serif" w:cs="Microsoft Sans Serif"/>
          <w:sz w:val="20"/>
          <w:szCs w:val="20"/>
        </w:rPr>
        <w:t>-</w:t>
      </w:r>
      <w:r w:rsidRPr="00A903BE">
        <w:rPr>
          <w:rFonts w:ascii="Microsoft Sans Serif" w:hAnsi="Microsoft Sans Serif" w:cs="Microsoft Sans Serif"/>
          <w:sz w:val="20"/>
          <w:szCs w:val="20"/>
        </w:rPr>
        <w:t>Aviv, Israël</w:t>
      </w:r>
    </w:p>
    <w:p w14:paraId="46A35FB5" w14:textId="77777777" w:rsidR="00024EA1" w:rsidRPr="00A903BE" w:rsidRDefault="00024EA1" w:rsidP="00024EA1">
      <w:pPr>
        <w:tabs>
          <w:tab w:val="left" w:pos="3969"/>
        </w:tabs>
        <w:ind w:left="567"/>
        <w:rPr>
          <w:rFonts w:ascii="Microsoft Sans Serif" w:hAnsi="Microsoft Sans Serif" w:cs="Microsoft Sans Serif"/>
          <w:sz w:val="20"/>
          <w:szCs w:val="20"/>
        </w:rPr>
      </w:pPr>
    </w:p>
    <w:p w14:paraId="049B86B6" w14:textId="77777777" w:rsidR="00024EA1" w:rsidRPr="00E831B7" w:rsidRDefault="00024EA1" w:rsidP="00024EA1">
      <w:pPr>
        <w:tabs>
          <w:tab w:val="center" w:pos="6804"/>
        </w:tabs>
        <w:ind w:left="567"/>
        <w:jc w:val="center"/>
        <w:rPr>
          <w:rFonts w:ascii="Microsoft Sans Serif" w:hAnsi="Microsoft Sans Serif" w:cs="Microsoft Sans Serif"/>
          <w:b/>
          <w:sz w:val="20"/>
          <w:szCs w:val="21"/>
        </w:rPr>
      </w:pPr>
      <w:r w:rsidRPr="00E831B7">
        <w:rPr>
          <w:rFonts w:ascii="Microsoft Sans Serif" w:hAnsi="Microsoft Sans Serif" w:cs="Microsoft Sans Serif"/>
          <w:b/>
          <w:sz w:val="20"/>
          <w:szCs w:val="21"/>
        </w:rPr>
        <w:t>Université de Tel</w:t>
      </w:r>
      <w:r>
        <w:rPr>
          <w:rFonts w:ascii="Microsoft Sans Serif" w:hAnsi="Microsoft Sans Serif" w:cs="Microsoft Sans Serif"/>
          <w:b/>
          <w:sz w:val="20"/>
          <w:szCs w:val="21"/>
        </w:rPr>
        <w:t>-</w:t>
      </w:r>
      <w:r w:rsidRPr="00E831B7">
        <w:rPr>
          <w:rFonts w:ascii="Microsoft Sans Serif" w:hAnsi="Microsoft Sans Serif" w:cs="Microsoft Sans Serif"/>
          <w:b/>
          <w:sz w:val="20"/>
          <w:szCs w:val="21"/>
        </w:rPr>
        <w:t xml:space="preserve">Aviv – Rapport </w:t>
      </w:r>
      <w:r>
        <w:rPr>
          <w:rFonts w:ascii="Microsoft Sans Serif" w:hAnsi="Microsoft Sans Serif" w:cs="Microsoft Sans Serif"/>
          <w:b/>
          <w:sz w:val="20"/>
          <w:szCs w:val="21"/>
        </w:rPr>
        <w:t>f</w:t>
      </w:r>
      <w:r w:rsidRPr="00E831B7">
        <w:rPr>
          <w:rFonts w:ascii="Microsoft Sans Serif" w:hAnsi="Microsoft Sans Serif" w:cs="Microsoft Sans Serif"/>
          <w:b/>
          <w:sz w:val="20"/>
          <w:szCs w:val="21"/>
        </w:rPr>
        <w:t>inancier</w:t>
      </w:r>
    </w:p>
    <w:p w14:paraId="5D8BB36E" w14:textId="77777777" w:rsidR="00024EA1" w:rsidRPr="00E831B7" w:rsidRDefault="00024EA1" w:rsidP="00024EA1">
      <w:pPr>
        <w:tabs>
          <w:tab w:val="center" w:pos="6804"/>
        </w:tabs>
        <w:ind w:left="567"/>
        <w:jc w:val="center"/>
        <w:rPr>
          <w:rFonts w:ascii="Microsoft Sans Serif" w:hAnsi="Microsoft Sans Serif" w:cs="Microsoft Sans Serif"/>
          <w:b/>
          <w:sz w:val="20"/>
          <w:szCs w:val="21"/>
        </w:rPr>
      </w:pPr>
      <w:r w:rsidRPr="00E831B7">
        <w:rPr>
          <w:rFonts w:ascii="Microsoft Sans Serif" w:hAnsi="Microsoft Sans Serif" w:cs="Microsoft Sans Serif"/>
          <w:b/>
          <w:sz w:val="20"/>
          <w:szCs w:val="21"/>
        </w:rPr>
        <w:t xml:space="preserve">Période : du </w:t>
      </w:r>
      <w:r>
        <w:rPr>
          <w:rFonts w:ascii="Microsoft Sans Serif" w:hAnsi="Microsoft Sans Serif" w:cs="Microsoft Sans Serif"/>
          <w:b/>
          <w:sz w:val="20"/>
          <w:szCs w:val="21"/>
        </w:rPr>
        <w:t>17</w:t>
      </w:r>
      <w:r w:rsidRPr="00E831B7">
        <w:rPr>
          <w:rFonts w:ascii="Microsoft Sans Serif" w:hAnsi="Microsoft Sans Serif" w:cs="Microsoft Sans Serif"/>
          <w:b/>
          <w:sz w:val="20"/>
          <w:szCs w:val="21"/>
        </w:rPr>
        <w:t xml:space="preserve"> </w:t>
      </w:r>
      <w:r>
        <w:rPr>
          <w:rFonts w:ascii="Microsoft Sans Serif" w:hAnsi="Microsoft Sans Serif" w:cs="Microsoft Sans Serif"/>
          <w:b/>
          <w:sz w:val="20"/>
          <w:szCs w:val="21"/>
        </w:rPr>
        <w:t>novembre</w:t>
      </w:r>
      <w:r w:rsidRPr="00E831B7">
        <w:rPr>
          <w:rFonts w:ascii="Microsoft Sans Serif" w:hAnsi="Microsoft Sans Serif" w:cs="Microsoft Sans Serif"/>
          <w:b/>
          <w:sz w:val="20"/>
          <w:szCs w:val="21"/>
        </w:rPr>
        <w:t xml:space="preserve"> 20</w:t>
      </w:r>
      <w:r>
        <w:rPr>
          <w:rFonts w:ascii="Microsoft Sans Serif" w:hAnsi="Microsoft Sans Serif" w:cs="Microsoft Sans Serif"/>
          <w:b/>
          <w:sz w:val="20"/>
          <w:szCs w:val="21"/>
        </w:rPr>
        <w:t>20</w:t>
      </w:r>
      <w:r w:rsidRPr="00E831B7">
        <w:rPr>
          <w:rFonts w:ascii="Microsoft Sans Serif" w:hAnsi="Microsoft Sans Serif" w:cs="Microsoft Sans Serif"/>
          <w:b/>
          <w:sz w:val="20"/>
          <w:szCs w:val="21"/>
        </w:rPr>
        <w:t xml:space="preserve"> au </w:t>
      </w:r>
      <w:r>
        <w:rPr>
          <w:rFonts w:ascii="Microsoft Sans Serif" w:hAnsi="Microsoft Sans Serif" w:cs="Microsoft Sans Serif"/>
          <w:b/>
          <w:sz w:val="20"/>
          <w:szCs w:val="21"/>
        </w:rPr>
        <w:t>30</w:t>
      </w:r>
      <w:r w:rsidRPr="00E831B7">
        <w:rPr>
          <w:rFonts w:ascii="Microsoft Sans Serif" w:hAnsi="Microsoft Sans Serif" w:cs="Microsoft Sans Serif"/>
          <w:b/>
          <w:sz w:val="20"/>
          <w:szCs w:val="21"/>
        </w:rPr>
        <w:t xml:space="preserve"> </w:t>
      </w:r>
      <w:r>
        <w:rPr>
          <w:rFonts w:ascii="Microsoft Sans Serif" w:hAnsi="Microsoft Sans Serif" w:cs="Microsoft Sans Serif"/>
          <w:b/>
          <w:sz w:val="20"/>
          <w:szCs w:val="21"/>
        </w:rPr>
        <w:t>septembre</w:t>
      </w:r>
      <w:r w:rsidRPr="00E831B7">
        <w:rPr>
          <w:rFonts w:ascii="Microsoft Sans Serif" w:hAnsi="Microsoft Sans Serif" w:cs="Microsoft Sans Serif"/>
          <w:b/>
          <w:sz w:val="20"/>
          <w:szCs w:val="21"/>
        </w:rPr>
        <w:t xml:space="preserve"> 20</w:t>
      </w:r>
      <w:r>
        <w:rPr>
          <w:rFonts w:ascii="Microsoft Sans Serif" w:hAnsi="Microsoft Sans Serif" w:cs="Microsoft Sans Serif"/>
          <w:b/>
          <w:sz w:val="20"/>
          <w:szCs w:val="21"/>
        </w:rPr>
        <w:t>21</w:t>
      </w:r>
    </w:p>
    <w:p w14:paraId="536F6F75" w14:textId="77777777" w:rsidR="00024EA1" w:rsidRPr="00E831B7" w:rsidRDefault="00024EA1" w:rsidP="00024EA1">
      <w:pPr>
        <w:tabs>
          <w:tab w:val="left" w:pos="3969"/>
          <w:tab w:val="center" w:pos="6804"/>
        </w:tabs>
        <w:ind w:left="567"/>
        <w:rPr>
          <w:rFonts w:ascii="Microsoft Sans Serif" w:hAnsi="Microsoft Sans Serif" w:cs="Microsoft Sans Serif"/>
          <w:sz w:val="12"/>
          <w:szCs w:val="20"/>
        </w:rPr>
      </w:pPr>
    </w:p>
    <w:p w14:paraId="7513B5F0" w14:textId="77777777" w:rsidR="00024EA1" w:rsidRPr="006C5941" w:rsidRDefault="00024EA1" w:rsidP="00024EA1">
      <w:pPr>
        <w:tabs>
          <w:tab w:val="left" w:pos="3969"/>
          <w:tab w:val="center" w:pos="6804"/>
        </w:tabs>
        <w:spacing w:before="240" w:after="240"/>
        <w:ind w:left="567"/>
        <w:jc w:val="center"/>
        <w:rPr>
          <w:rFonts w:ascii="Times New Roman" w:hAnsi="Times New Roman" w:cs="Times New Roman"/>
          <w:b/>
          <w:sz w:val="20"/>
          <w:szCs w:val="20"/>
        </w:rPr>
      </w:pPr>
      <w:r w:rsidRPr="00A903BE">
        <w:rPr>
          <w:rFonts w:ascii="Microsoft Sans Serif" w:hAnsi="Microsoft Sans Serif" w:cs="Microsoft Sans Serif"/>
          <w:noProof/>
        </w:rPr>
        <mc:AlternateContent>
          <mc:Choice Requires="wps">
            <w:drawing>
              <wp:anchor distT="0" distB="0" distL="114300" distR="114300" simplePos="0" relativeHeight="251662336" behindDoc="0" locked="0" layoutInCell="1" allowOverlap="1" wp14:anchorId="5A46CFA0" wp14:editId="69980BE8">
                <wp:simplePos x="0" y="0"/>
                <wp:positionH relativeFrom="column">
                  <wp:posOffset>363855</wp:posOffset>
                </wp:positionH>
                <wp:positionV relativeFrom="paragraph">
                  <wp:posOffset>-635</wp:posOffset>
                </wp:positionV>
                <wp:extent cx="5530789" cy="0"/>
                <wp:effectExtent l="0" t="0" r="0" b="0"/>
                <wp:wrapNone/>
                <wp:docPr id="62" name="Connecteur droit 62"/>
                <wp:cNvGraphicFramePr/>
                <a:graphic xmlns:a="http://schemas.openxmlformats.org/drawingml/2006/main">
                  <a:graphicData uri="http://schemas.microsoft.com/office/word/2010/wordprocessingShape">
                    <wps:wsp>
                      <wps:cNvCnPr/>
                      <wps:spPr>
                        <a:xfrm>
                          <a:off x="0" y="0"/>
                          <a:ext cx="5530789"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6BFA17" id="Connecteur droit 62"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8.65pt,-.05pt" to="464.1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" strokecolor="black [3200]" strokeweight="2pt">
                <v:stroke joinstyle="miter"/>
              </v:line>
            </w:pict>
          </mc:Fallback>
        </mc:AlternateContent>
      </w:r>
      <w:r w:rsidRPr="006C5941">
        <w:rPr>
          <w:rFonts w:ascii="Times New Roman" w:hAnsi="Times New Roman" w:cs="Times New Roman"/>
          <w:b/>
          <w:sz w:val="20"/>
          <w:szCs w:val="20"/>
        </w:rPr>
        <w:t>Toutes les dépenses sont exprimées en dollars américains (USD)</w:t>
      </w:r>
    </w:p>
    <w:tbl>
      <w:tblPr>
        <w:tblStyle w:val="TableGrid"/>
        <w:tblW w:w="9349" w:type="dxa"/>
        <w:tblInd w:w="567" w:type="dxa"/>
        <w:tblLayout w:type="fixed"/>
        <w:tblLook w:val="04A0" w:firstRow="1" w:lastRow="0" w:firstColumn="1" w:lastColumn="0" w:noHBand="0" w:noVBand="1"/>
      </w:tblPr>
      <w:tblGrid>
        <w:gridCol w:w="2972"/>
        <w:gridCol w:w="1276"/>
        <w:gridCol w:w="1276"/>
        <w:gridCol w:w="1275"/>
        <w:gridCol w:w="1275"/>
        <w:gridCol w:w="1275"/>
      </w:tblGrid>
      <w:tr w:rsidR="00024EA1" w:rsidRPr="00D1639B" w14:paraId="36CE22D3" w14:textId="77777777" w:rsidTr="004C0772">
        <w:trPr>
          <w:trHeight w:hRule="exact" w:val="567"/>
        </w:trPr>
        <w:tc>
          <w:tcPr>
            <w:tcW w:w="2972" w:type="dxa"/>
            <w:tcBorders>
              <w:top w:val="single" w:sz="12" w:space="0" w:color="auto"/>
              <w:left w:val="single" w:sz="4" w:space="0" w:color="auto"/>
              <w:bottom w:val="single" w:sz="12" w:space="0" w:color="auto"/>
              <w:right w:val="single" w:sz="4" w:space="0" w:color="auto"/>
            </w:tcBorders>
            <w:vAlign w:val="center"/>
          </w:tcPr>
          <w:p w14:paraId="1037C19C"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D</w:t>
            </w:r>
            <w:r>
              <w:rPr>
                <w:rFonts w:ascii="Microsoft Sans Serif" w:hAnsi="Microsoft Sans Serif" w:cs="Microsoft Sans Serif"/>
                <w:sz w:val="19"/>
                <w:szCs w:val="19"/>
              </w:rPr>
              <w:t>É</w:t>
            </w:r>
            <w:r w:rsidRPr="00D1639B">
              <w:rPr>
                <w:rFonts w:ascii="Microsoft Sans Serif" w:hAnsi="Microsoft Sans Serif" w:cs="Microsoft Sans Serif"/>
                <w:sz w:val="19"/>
                <w:szCs w:val="19"/>
              </w:rPr>
              <w:t>PENSES</w:t>
            </w:r>
          </w:p>
        </w:tc>
        <w:tc>
          <w:tcPr>
            <w:tcW w:w="1276" w:type="dxa"/>
            <w:tcBorders>
              <w:top w:val="single" w:sz="12" w:space="0" w:color="auto"/>
              <w:left w:val="single" w:sz="4" w:space="0" w:color="auto"/>
              <w:bottom w:val="single" w:sz="12" w:space="0" w:color="auto"/>
              <w:right w:val="single" w:sz="4" w:space="0" w:color="auto"/>
            </w:tcBorders>
            <w:vAlign w:val="center"/>
          </w:tcPr>
          <w:p w14:paraId="460B363E" w14:textId="77777777" w:rsidR="00024EA1" w:rsidRPr="00D1639B" w:rsidRDefault="00024EA1" w:rsidP="004C0772">
            <w:pPr>
              <w:jc w:val="right"/>
              <w:rPr>
                <w:rFonts w:ascii="Microsoft Sans Serif" w:hAnsi="Microsoft Sans Serif" w:cs="Microsoft Sans Serif"/>
                <w:sz w:val="19"/>
                <w:szCs w:val="19"/>
              </w:rPr>
            </w:pPr>
            <w:r w:rsidRPr="00D1639B">
              <w:rPr>
                <w:rFonts w:ascii="Microsoft Sans Serif" w:hAnsi="Microsoft Sans Serif" w:cs="Microsoft Sans Serif"/>
                <w:sz w:val="19"/>
                <w:szCs w:val="19"/>
              </w:rPr>
              <w:t>Budget</w:t>
            </w:r>
          </w:p>
        </w:tc>
        <w:tc>
          <w:tcPr>
            <w:tcW w:w="1276" w:type="dxa"/>
            <w:tcBorders>
              <w:top w:val="single" w:sz="12" w:space="0" w:color="auto"/>
              <w:left w:val="single" w:sz="4" w:space="0" w:color="auto"/>
              <w:bottom w:val="single" w:sz="12" w:space="0" w:color="auto"/>
              <w:right w:val="single" w:sz="4" w:space="0" w:color="auto"/>
            </w:tcBorders>
            <w:vAlign w:val="center"/>
          </w:tcPr>
          <w:p w14:paraId="372CC7AF"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w:t>
            </w:r>
            <w:r>
              <w:rPr>
                <w:rFonts w:ascii="Microsoft Sans Serif" w:hAnsi="Microsoft Sans Serif" w:cs="Microsoft Sans Serif"/>
                <w:sz w:val="19"/>
                <w:szCs w:val="19"/>
              </w:rPr>
              <w:t xml:space="preserve"> antérieures</w:t>
            </w:r>
          </w:p>
        </w:tc>
        <w:tc>
          <w:tcPr>
            <w:tcW w:w="1275" w:type="dxa"/>
            <w:tcBorders>
              <w:top w:val="single" w:sz="12" w:space="0" w:color="auto"/>
              <w:left w:val="single" w:sz="4" w:space="0" w:color="auto"/>
              <w:bottom w:val="single" w:sz="12" w:space="0" w:color="auto"/>
              <w:right w:val="single" w:sz="4" w:space="0" w:color="auto"/>
            </w:tcBorders>
            <w:vAlign w:val="center"/>
          </w:tcPr>
          <w:p w14:paraId="4BF55246"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 réelles</w:t>
            </w:r>
          </w:p>
        </w:tc>
        <w:tc>
          <w:tcPr>
            <w:tcW w:w="1275" w:type="dxa"/>
            <w:tcBorders>
              <w:top w:val="single" w:sz="12" w:space="0" w:color="auto"/>
              <w:left w:val="single" w:sz="4" w:space="0" w:color="auto"/>
              <w:bottom w:val="single" w:sz="12" w:space="0" w:color="auto"/>
              <w:right w:val="single" w:sz="4" w:space="0" w:color="auto"/>
            </w:tcBorders>
            <w:vAlign w:val="center"/>
          </w:tcPr>
          <w:p w14:paraId="1D622F22"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w:t>
            </w:r>
            <w:r>
              <w:rPr>
                <w:rFonts w:ascii="Microsoft Sans Serif" w:hAnsi="Microsoft Sans Serif" w:cs="Microsoft Sans Serif"/>
                <w:sz w:val="19"/>
                <w:szCs w:val="19"/>
              </w:rPr>
              <w:t xml:space="preserve"> cumulées</w:t>
            </w:r>
          </w:p>
        </w:tc>
        <w:tc>
          <w:tcPr>
            <w:tcW w:w="1275" w:type="dxa"/>
            <w:tcBorders>
              <w:top w:val="single" w:sz="12" w:space="0" w:color="auto"/>
              <w:left w:val="single" w:sz="4" w:space="0" w:color="auto"/>
              <w:bottom w:val="single" w:sz="12" w:space="0" w:color="auto"/>
              <w:right w:val="single" w:sz="4" w:space="0" w:color="auto"/>
            </w:tcBorders>
            <w:vAlign w:val="center"/>
          </w:tcPr>
          <w:p w14:paraId="5AB6EDD0" w14:textId="77777777" w:rsidR="00024EA1" w:rsidRPr="00D1639B"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Solde</w:t>
            </w:r>
          </w:p>
        </w:tc>
      </w:tr>
      <w:tr w:rsidR="00024EA1" w:rsidRPr="00D1639B" w14:paraId="735A2F43" w14:textId="77777777" w:rsidTr="004C0772">
        <w:trPr>
          <w:trHeight w:val="284"/>
        </w:trPr>
        <w:tc>
          <w:tcPr>
            <w:tcW w:w="2972" w:type="dxa"/>
            <w:tcBorders>
              <w:top w:val="single" w:sz="12" w:space="0" w:color="auto"/>
            </w:tcBorders>
            <w:vAlign w:val="center"/>
          </w:tcPr>
          <w:p w14:paraId="1D1ABF76"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Personnel</w:t>
            </w:r>
          </w:p>
        </w:tc>
        <w:tc>
          <w:tcPr>
            <w:tcW w:w="1276" w:type="dxa"/>
            <w:tcBorders>
              <w:top w:val="single" w:sz="12" w:space="0" w:color="auto"/>
            </w:tcBorders>
            <w:vAlign w:val="center"/>
          </w:tcPr>
          <w:p w14:paraId="262FDE4C"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28 205</w:t>
            </w:r>
          </w:p>
        </w:tc>
        <w:tc>
          <w:tcPr>
            <w:tcW w:w="1276" w:type="dxa"/>
            <w:tcBorders>
              <w:top w:val="single" w:sz="12" w:space="0" w:color="auto"/>
            </w:tcBorders>
            <w:vAlign w:val="center"/>
          </w:tcPr>
          <w:p w14:paraId="156FC794"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28 762</w:t>
            </w:r>
          </w:p>
        </w:tc>
        <w:tc>
          <w:tcPr>
            <w:tcW w:w="1275" w:type="dxa"/>
            <w:tcBorders>
              <w:top w:val="single" w:sz="12" w:space="0" w:color="auto"/>
            </w:tcBorders>
            <w:vAlign w:val="center"/>
          </w:tcPr>
          <w:p w14:paraId="7C48348E"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19 219</w:t>
            </w:r>
          </w:p>
        </w:tc>
        <w:tc>
          <w:tcPr>
            <w:tcW w:w="1275" w:type="dxa"/>
            <w:tcBorders>
              <w:top w:val="single" w:sz="12" w:space="0" w:color="auto"/>
            </w:tcBorders>
            <w:vAlign w:val="center"/>
          </w:tcPr>
          <w:p w14:paraId="791529D6"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47 981</w:t>
            </w:r>
          </w:p>
        </w:tc>
        <w:tc>
          <w:tcPr>
            <w:tcW w:w="1275" w:type="dxa"/>
            <w:tcBorders>
              <w:top w:val="single" w:sz="12" w:space="0" w:color="auto"/>
            </w:tcBorders>
            <w:vAlign w:val="center"/>
          </w:tcPr>
          <w:p w14:paraId="3BF2F97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-19 776</w:t>
            </w:r>
          </w:p>
        </w:tc>
      </w:tr>
      <w:tr w:rsidR="00024EA1" w:rsidRPr="00D1639B" w14:paraId="51BC74AB" w14:textId="77777777" w:rsidTr="004C0772">
        <w:trPr>
          <w:trHeight w:val="284"/>
        </w:trPr>
        <w:tc>
          <w:tcPr>
            <w:tcW w:w="2972" w:type="dxa"/>
            <w:vAlign w:val="center"/>
          </w:tcPr>
          <w:p w14:paraId="65D40B08" w14:textId="77777777" w:rsidR="00024EA1" w:rsidRPr="00D1639B"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Équipement</w:t>
            </w:r>
          </w:p>
        </w:tc>
        <w:tc>
          <w:tcPr>
            <w:tcW w:w="1276" w:type="dxa"/>
            <w:vAlign w:val="center"/>
          </w:tcPr>
          <w:p w14:paraId="12B82F1D"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11 811</w:t>
            </w:r>
          </w:p>
        </w:tc>
        <w:tc>
          <w:tcPr>
            <w:tcW w:w="1276" w:type="dxa"/>
            <w:vAlign w:val="center"/>
          </w:tcPr>
          <w:p w14:paraId="3EF43304"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11 261</w:t>
            </w:r>
          </w:p>
        </w:tc>
        <w:tc>
          <w:tcPr>
            <w:tcW w:w="1275" w:type="dxa"/>
            <w:vAlign w:val="center"/>
          </w:tcPr>
          <w:p w14:paraId="3956053B"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vAlign w:val="center"/>
          </w:tcPr>
          <w:p w14:paraId="34138E0A"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11 261</w:t>
            </w:r>
          </w:p>
        </w:tc>
        <w:tc>
          <w:tcPr>
            <w:tcW w:w="1275" w:type="dxa"/>
            <w:vAlign w:val="center"/>
          </w:tcPr>
          <w:p w14:paraId="6D3CD4CC"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550</w:t>
            </w:r>
          </w:p>
        </w:tc>
      </w:tr>
      <w:tr w:rsidR="00024EA1" w:rsidRPr="00D1639B" w14:paraId="087667CF" w14:textId="77777777" w:rsidTr="004C0772">
        <w:trPr>
          <w:trHeight w:val="284"/>
        </w:trPr>
        <w:tc>
          <w:tcPr>
            <w:tcW w:w="2972" w:type="dxa"/>
            <w:vAlign w:val="center"/>
          </w:tcPr>
          <w:p w14:paraId="45D4A6F4" w14:textId="77777777" w:rsidR="00024EA1" w:rsidRPr="00D1639B" w:rsidRDefault="00024EA1" w:rsidP="004C0772">
            <w:pPr>
              <w:rPr>
                <w:rFonts w:ascii="Microsoft Sans Serif" w:hAnsi="Microsoft Sans Serif" w:cs="Microsoft Sans Serif"/>
                <w:sz w:val="19"/>
                <w:szCs w:val="19"/>
              </w:rPr>
            </w:pPr>
            <w:r w:rsidRPr="005D73E1">
              <w:rPr>
                <w:rFonts w:ascii="Microsoft Sans Serif" w:hAnsi="Microsoft Sans Serif" w:cs="Microsoft Sans Serif"/>
                <w:sz w:val="19"/>
                <w:szCs w:val="19"/>
              </w:rPr>
              <w:t>Matériels</w:t>
            </w:r>
          </w:p>
        </w:tc>
        <w:tc>
          <w:tcPr>
            <w:tcW w:w="1276" w:type="dxa"/>
            <w:vAlign w:val="center"/>
          </w:tcPr>
          <w:p w14:paraId="0A15A886"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87 880</w:t>
            </w:r>
          </w:p>
        </w:tc>
        <w:tc>
          <w:tcPr>
            <w:tcW w:w="1276" w:type="dxa"/>
            <w:vAlign w:val="center"/>
          </w:tcPr>
          <w:p w14:paraId="7BEED3E6"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81 376</w:t>
            </w:r>
          </w:p>
        </w:tc>
        <w:tc>
          <w:tcPr>
            <w:tcW w:w="1275" w:type="dxa"/>
            <w:vAlign w:val="center"/>
          </w:tcPr>
          <w:p w14:paraId="144419BD"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vAlign w:val="center"/>
          </w:tcPr>
          <w:p w14:paraId="139C32D1"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81 376</w:t>
            </w:r>
          </w:p>
        </w:tc>
        <w:tc>
          <w:tcPr>
            <w:tcW w:w="1275" w:type="dxa"/>
            <w:vAlign w:val="center"/>
          </w:tcPr>
          <w:p w14:paraId="6A563684"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6 504</w:t>
            </w:r>
          </w:p>
        </w:tc>
      </w:tr>
      <w:tr w:rsidR="00024EA1" w:rsidRPr="00D1639B" w14:paraId="0485C313" w14:textId="77777777" w:rsidTr="004C0772">
        <w:trPr>
          <w:trHeight w:val="284"/>
        </w:trPr>
        <w:tc>
          <w:tcPr>
            <w:tcW w:w="2972" w:type="dxa"/>
            <w:tcBorders>
              <w:bottom w:val="single" w:sz="4" w:space="0" w:color="auto"/>
            </w:tcBorders>
            <w:vAlign w:val="center"/>
          </w:tcPr>
          <w:p w14:paraId="41791B5C"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Ordinateurs</w:t>
            </w:r>
          </w:p>
        </w:tc>
        <w:tc>
          <w:tcPr>
            <w:tcW w:w="1276" w:type="dxa"/>
            <w:tcBorders>
              <w:bottom w:val="single" w:sz="4" w:space="0" w:color="auto"/>
            </w:tcBorders>
            <w:vAlign w:val="center"/>
          </w:tcPr>
          <w:p w14:paraId="5E1B63E0"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3 916</w:t>
            </w:r>
          </w:p>
        </w:tc>
        <w:tc>
          <w:tcPr>
            <w:tcW w:w="1276" w:type="dxa"/>
            <w:tcBorders>
              <w:bottom w:val="single" w:sz="4" w:space="0" w:color="auto"/>
            </w:tcBorders>
            <w:vAlign w:val="center"/>
          </w:tcPr>
          <w:p w14:paraId="5BD35ED7"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3 914</w:t>
            </w:r>
          </w:p>
        </w:tc>
        <w:tc>
          <w:tcPr>
            <w:tcW w:w="1275" w:type="dxa"/>
            <w:tcBorders>
              <w:bottom w:val="single" w:sz="4" w:space="0" w:color="auto"/>
            </w:tcBorders>
            <w:vAlign w:val="center"/>
          </w:tcPr>
          <w:p w14:paraId="56EA4F79"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75F7A7FA"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3 914</w:t>
            </w:r>
          </w:p>
        </w:tc>
        <w:tc>
          <w:tcPr>
            <w:tcW w:w="1275" w:type="dxa"/>
            <w:tcBorders>
              <w:bottom w:val="single" w:sz="4" w:space="0" w:color="auto"/>
            </w:tcBorders>
            <w:vAlign w:val="center"/>
          </w:tcPr>
          <w:p w14:paraId="38F4058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w:t>
            </w:r>
          </w:p>
        </w:tc>
      </w:tr>
      <w:tr w:rsidR="00024EA1" w:rsidRPr="00D1639B" w14:paraId="6B89CBF2" w14:textId="77777777" w:rsidTr="004C0772">
        <w:trPr>
          <w:trHeight w:val="284"/>
        </w:trPr>
        <w:tc>
          <w:tcPr>
            <w:tcW w:w="2972" w:type="dxa"/>
            <w:tcBorders>
              <w:bottom w:val="single" w:sz="4" w:space="0" w:color="auto"/>
            </w:tcBorders>
            <w:vAlign w:val="center"/>
          </w:tcPr>
          <w:p w14:paraId="1A996302"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Déplacements</w:t>
            </w:r>
          </w:p>
        </w:tc>
        <w:tc>
          <w:tcPr>
            <w:tcW w:w="1276" w:type="dxa"/>
            <w:tcBorders>
              <w:bottom w:val="single" w:sz="4" w:space="0" w:color="auto"/>
            </w:tcBorders>
            <w:vAlign w:val="center"/>
          </w:tcPr>
          <w:p w14:paraId="0977F28F"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14 496</w:t>
            </w:r>
          </w:p>
        </w:tc>
        <w:tc>
          <w:tcPr>
            <w:tcW w:w="1276" w:type="dxa"/>
            <w:tcBorders>
              <w:bottom w:val="single" w:sz="4" w:space="0" w:color="auto"/>
            </w:tcBorders>
            <w:vAlign w:val="center"/>
          </w:tcPr>
          <w:p w14:paraId="59A11F94"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5 809</w:t>
            </w:r>
          </w:p>
        </w:tc>
        <w:tc>
          <w:tcPr>
            <w:tcW w:w="1275" w:type="dxa"/>
            <w:tcBorders>
              <w:bottom w:val="single" w:sz="4" w:space="0" w:color="auto"/>
            </w:tcBorders>
            <w:vAlign w:val="center"/>
          </w:tcPr>
          <w:p w14:paraId="1545637C"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2206430C"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5 809</w:t>
            </w:r>
          </w:p>
        </w:tc>
        <w:tc>
          <w:tcPr>
            <w:tcW w:w="1275" w:type="dxa"/>
            <w:tcBorders>
              <w:bottom w:val="single" w:sz="4" w:space="0" w:color="auto"/>
            </w:tcBorders>
            <w:vAlign w:val="center"/>
          </w:tcPr>
          <w:p w14:paraId="6546E345"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8 687</w:t>
            </w:r>
          </w:p>
        </w:tc>
      </w:tr>
      <w:tr w:rsidR="00024EA1" w:rsidRPr="00D1639B" w14:paraId="022C2040" w14:textId="77777777" w:rsidTr="004C0772">
        <w:trPr>
          <w:trHeight w:val="284"/>
        </w:trPr>
        <w:tc>
          <w:tcPr>
            <w:tcW w:w="2972" w:type="dxa"/>
            <w:tcBorders>
              <w:bottom w:val="single" w:sz="4" w:space="0" w:color="auto"/>
            </w:tcBorders>
            <w:vAlign w:val="center"/>
          </w:tcPr>
          <w:p w14:paraId="2061E2C0"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Divers</w:t>
            </w:r>
          </w:p>
        </w:tc>
        <w:tc>
          <w:tcPr>
            <w:tcW w:w="1276" w:type="dxa"/>
            <w:tcBorders>
              <w:bottom w:val="single" w:sz="4" w:space="0" w:color="auto"/>
            </w:tcBorders>
            <w:vAlign w:val="center"/>
          </w:tcPr>
          <w:p w14:paraId="66449F83"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3 098</w:t>
            </w:r>
          </w:p>
        </w:tc>
        <w:tc>
          <w:tcPr>
            <w:tcW w:w="1276" w:type="dxa"/>
            <w:tcBorders>
              <w:bottom w:val="single" w:sz="4" w:space="0" w:color="auto"/>
            </w:tcBorders>
            <w:vAlign w:val="center"/>
          </w:tcPr>
          <w:p w14:paraId="71A85488" w14:textId="77777777" w:rsidR="00024EA1" w:rsidRDefault="00024EA1" w:rsidP="004C0772">
            <w:pPr>
              <w:jc w:val="right"/>
              <w:rPr>
                <w:rFonts w:ascii="Microsoft Sans Serif" w:hAnsi="Microsoft Sans Serif" w:cs="Microsoft Sans Serif"/>
                <w:sz w:val="19"/>
                <w:szCs w:val="19"/>
              </w:rPr>
            </w:pPr>
          </w:p>
        </w:tc>
        <w:tc>
          <w:tcPr>
            <w:tcW w:w="1275" w:type="dxa"/>
            <w:tcBorders>
              <w:bottom w:val="single" w:sz="4" w:space="0" w:color="auto"/>
            </w:tcBorders>
            <w:vAlign w:val="center"/>
          </w:tcPr>
          <w:p w14:paraId="61BFCD7B"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163ACD10"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68D9AF6F"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3 098</w:t>
            </w:r>
          </w:p>
        </w:tc>
      </w:tr>
      <w:tr w:rsidR="00024EA1" w:rsidRPr="00D1639B" w14:paraId="3C168A8C" w14:textId="77777777" w:rsidTr="004C0772">
        <w:trPr>
          <w:trHeight w:val="284"/>
        </w:trPr>
        <w:tc>
          <w:tcPr>
            <w:tcW w:w="2972" w:type="dxa"/>
            <w:tcBorders>
              <w:bottom w:val="single" w:sz="4" w:space="0" w:color="auto"/>
            </w:tcBorders>
            <w:vAlign w:val="center"/>
          </w:tcPr>
          <w:p w14:paraId="71DDF271"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Maintenance et assurance</w:t>
            </w:r>
          </w:p>
        </w:tc>
        <w:tc>
          <w:tcPr>
            <w:tcW w:w="1276" w:type="dxa"/>
            <w:tcBorders>
              <w:bottom w:val="single" w:sz="4" w:space="0" w:color="auto"/>
            </w:tcBorders>
            <w:vAlign w:val="center"/>
          </w:tcPr>
          <w:p w14:paraId="6AAAC5EC"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4 761</w:t>
            </w:r>
          </w:p>
        </w:tc>
        <w:tc>
          <w:tcPr>
            <w:tcW w:w="1276" w:type="dxa"/>
            <w:tcBorders>
              <w:bottom w:val="single" w:sz="4" w:space="0" w:color="auto"/>
            </w:tcBorders>
            <w:vAlign w:val="center"/>
          </w:tcPr>
          <w:p w14:paraId="3477DCA8"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16 602</w:t>
            </w:r>
          </w:p>
        </w:tc>
        <w:tc>
          <w:tcPr>
            <w:tcW w:w="1275" w:type="dxa"/>
            <w:tcBorders>
              <w:bottom w:val="single" w:sz="4" w:space="0" w:color="auto"/>
            </w:tcBorders>
            <w:vAlign w:val="center"/>
          </w:tcPr>
          <w:p w14:paraId="7558DE69"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6D5969F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4 183</w:t>
            </w:r>
          </w:p>
        </w:tc>
        <w:tc>
          <w:tcPr>
            <w:tcW w:w="1275" w:type="dxa"/>
            <w:tcBorders>
              <w:bottom w:val="single" w:sz="4" w:space="0" w:color="auto"/>
            </w:tcBorders>
            <w:vAlign w:val="center"/>
          </w:tcPr>
          <w:p w14:paraId="1A43F4E4"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357</w:t>
            </w:r>
          </w:p>
        </w:tc>
      </w:tr>
      <w:tr w:rsidR="00024EA1" w:rsidRPr="00D1639B" w14:paraId="1FBB3D59" w14:textId="77777777" w:rsidTr="004C0772">
        <w:trPr>
          <w:trHeight w:val="284"/>
        </w:trPr>
        <w:tc>
          <w:tcPr>
            <w:tcW w:w="2972" w:type="dxa"/>
            <w:tcBorders>
              <w:bottom w:val="single" w:sz="4" w:space="0" w:color="auto"/>
            </w:tcBorders>
            <w:vAlign w:val="center"/>
          </w:tcPr>
          <w:p w14:paraId="47CDEDC8" w14:textId="77777777" w:rsidR="00024EA1" w:rsidRPr="00D1639B"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Publication</w:t>
            </w:r>
          </w:p>
        </w:tc>
        <w:tc>
          <w:tcPr>
            <w:tcW w:w="1276" w:type="dxa"/>
            <w:tcBorders>
              <w:bottom w:val="single" w:sz="4" w:space="0" w:color="auto"/>
            </w:tcBorders>
            <w:vAlign w:val="center"/>
          </w:tcPr>
          <w:p w14:paraId="4227F217"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876</w:t>
            </w:r>
          </w:p>
        </w:tc>
        <w:tc>
          <w:tcPr>
            <w:tcW w:w="1276" w:type="dxa"/>
            <w:tcBorders>
              <w:bottom w:val="single" w:sz="4" w:space="0" w:color="auto"/>
            </w:tcBorders>
            <w:vAlign w:val="center"/>
          </w:tcPr>
          <w:p w14:paraId="117F2D6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876</w:t>
            </w:r>
          </w:p>
        </w:tc>
        <w:tc>
          <w:tcPr>
            <w:tcW w:w="1275" w:type="dxa"/>
            <w:tcBorders>
              <w:bottom w:val="single" w:sz="4" w:space="0" w:color="auto"/>
            </w:tcBorders>
            <w:vAlign w:val="center"/>
          </w:tcPr>
          <w:p w14:paraId="56FE9CF7"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00D89EE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876</w:t>
            </w:r>
          </w:p>
        </w:tc>
        <w:tc>
          <w:tcPr>
            <w:tcW w:w="1275" w:type="dxa"/>
            <w:tcBorders>
              <w:bottom w:val="single" w:sz="4" w:space="0" w:color="auto"/>
            </w:tcBorders>
            <w:vAlign w:val="center"/>
          </w:tcPr>
          <w:p w14:paraId="1155B2DB"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r>
      <w:tr w:rsidR="00024EA1" w:rsidRPr="00D1639B" w14:paraId="6FD531F1" w14:textId="77777777" w:rsidTr="004C0772">
        <w:trPr>
          <w:trHeight w:val="284"/>
        </w:trPr>
        <w:tc>
          <w:tcPr>
            <w:tcW w:w="2972" w:type="dxa"/>
            <w:tcBorders>
              <w:bottom w:val="single" w:sz="4" w:space="0" w:color="auto"/>
            </w:tcBorders>
            <w:vAlign w:val="center"/>
          </w:tcPr>
          <w:p w14:paraId="6D2D50BD"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Frais généraux de TAU</w:t>
            </w:r>
          </w:p>
        </w:tc>
        <w:tc>
          <w:tcPr>
            <w:tcW w:w="1276" w:type="dxa"/>
            <w:tcBorders>
              <w:bottom w:val="single" w:sz="4" w:space="0" w:color="auto"/>
            </w:tcBorders>
            <w:vAlign w:val="center"/>
          </w:tcPr>
          <w:p w14:paraId="7E7F5D34"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10 918</w:t>
            </w:r>
          </w:p>
        </w:tc>
        <w:tc>
          <w:tcPr>
            <w:tcW w:w="1276" w:type="dxa"/>
            <w:tcBorders>
              <w:bottom w:val="single" w:sz="4" w:space="0" w:color="auto"/>
            </w:tcBorders>
            <w:vAlign w:val="center"/>
          </w:tcPr>
          <w:p w14:paraId="772783C1"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9 692</w:t>
            </w:r>
          </w:p>
        </w:tc>
        <w:tc>
          <w:tcPr>
            <w:tcW w:w="1275" w:type="dxa"/>
            <w:tcBorders>
              <w:bottom w:val="single" w:sz="4" w:space="0" w:color="auto"/>
            </w:tcBorders>
            <w:vAlign w:val="center"/>
          </w:tcPr>
          <w:p w14:paraId="41F68AA9"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1 226</w:t>
            </w:r>
          </w:p>
        </w:tc>
        <w:tc>
          <w:tcPr>
            <w:tcW w:w="1275" w:type="dxa"/>
            <w:tcBorders>
              <w:bottom w:val="single" w:sz="4" w:space="0" w:color="auto"/>
            </w:tcBorders>
            <w:vAlign w:val="center"/>
          </w:tcPr>
          <w:p w14:paraId="2A323F80"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10 918</w:t>
            </w:r>
          </w:p>
        </w:tc>
        <w:tc>
          <w:tcPr>
            <w:tcW w:w="1275" w:type="dxa"/>
            <w:tcBorders>
              <w:bottom w:val="single" w:sz="4" w:space="0" w:color="auto"/>
            </w:tcBorders>
            <w:vAlign w:val="center"/>
          </w:tcPr>
          <w:p w14:paraId="64BADDA0"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r>
      <w:tr w:rsidR="00024EA1" w:rsidRPr="00BB2162" w14:paraId="7ECD6EF2" w14:textId="77777777" w:rsidTr="004C0772">
        <w:trPr>
          <w:trHeight w:val="284"/>
        </w:trPr>
        <w:tc>
          <w:tcPr>
            <w:tcW w:w="2972" w:type="dxa"/>
            <w:tcBorders>
              <w:top w:val="single" w:sz="4" w:space="0" w:color="auto"/>
              <w:left w:val="nil"/>
              <w:bottom w:val="single" w:sz="4" w:space="0" w:color="auto"/>
              <w:right w:val="nil"/>
            </w:tcBorders>
            <w:vAlign w:val="center"/>
          </w:tcPr>
          <w:p w14:paraId="60E9DD30" w14:textId="77777777" w:rsidR="00024EA1" w:rsidRPr="00BB2162" w:rsidRDefault="00024EA1" w:rsidP="004C0772">
            <w:pPr>
              <w:rPr>
                <w:rFonts w:ascii="Microsoft Sans Serif" w:hAnsi="Microsoft Sans Serif" w:cs="Microsoft Sans Serif"/>
                <w:b/>
                <w:sz w:val="10"/>
                <w:szCs w:val="10"/>
              </w:rPr>
            </w:pPr>
          </w:p>
        </w:tc>
        <w:tc>
          <w:tcPr>
            <w:tcW w:w="1276" w:type="dxa"/>
            <w:tcBorders>
              <w:top w:val="single" w:sz="4" w:space="0" w:color="auto"/>
              <w:left w:val="nil"/>
              <w:bottom w:val="single" w:sz="4" w:space="0" w:color="auto"/>
              <w:right w:val="nil"/>
            </w:tcBorders>
            <w:vAlign w:val="center"/>
          </w:tcPr>
          <w:p w14:paraId="06D77759" w14:textId="77777777" w:rsidR="00024EA1" w:rsidRPr="00BB2162" w:rsidRDefault="00024EA1" w:rsidP="004C0772">
            <w:pPr>
              <w:jc w:val="right"/>
              <w:rPr>
                <w:rFonts w:ascii="Microsoft Sans Serif" w:hAnsi="Microsoft Sans Serif" w:cs="Microsoft Sans Serif"/>
                <w:b/>
                <w:sz w:val="10"/>
                <w:szCs w:val="10"/>
              </w:rPr>
            </w:pPr>
          </w:p>
        </w:tc>
        <w:tc>
          <w:tcPr>
            <w:tcW w:w="1276" w:type="dxa"/>
            <w:tcBorders>
              <w:top w:val="single" w:sz="4" w:space="0" w:color="auto"/>
              <w:left w:val="nil"/>
              <w:bottom w:val="single" w:sz="4" w:space="0" w:color="auto"/>
              <w:right w:val="nil"/>
            </w:tcBorders>
          </w:tcPr>
          <w:p w14:paraId="130A3CF2" w14:textId="77777777" w:rsidR="00024EA1" w:rsidRPr="00BB2162" w:rsidRDefault="00024EA1" w:rsidP="004C0772">
            <w:pPr>
              <w:jc w:val="right"/>
              <w:rPr>
                <w:rFonts w:ascii="Microsoft Sans Serif" w:hAnsi="Microsoft Sans Serif" w:cs="Microsoft Sans Serif"/>
                <w:b/>
                <w:sz w:val="10"/>
                <w:szCs w:val="10"/>
              </w:rPr>
            </w:pPr>
          </w:p>
        </w:tc>
        <w:tc>
          <w:tcPr>
            <w:tcW w:w="1275" w:type="dxa"/>
            <w:tcBorders>
              <w:top w:val="single" w:sz="4" w:space="0" w:color="auto"/>
              <w:left w:val="nil"/>
              <w:bottom w:val="single" w:sz="4" w:space="0" w:color="auto"/>
              <w:right w:val="nil"/>
            </w:tcBorders>
            <w:vAlign w:val="center"/>
          </w:tcPr>
          <w:p w14:paraId="0AD0B874" w14:textId="77777777" w:rsidR="00024EA1" w:rsidRPr="00BB2162" w:rsidRDefault="00024EA1" w:rsidP="004C0772">
            <w:pPr>
              <w:jc w:val="right"/>
              <w:rPr>
                <w:rFonts w:ascii="Microsoft Sans Serif" w:hAnsi="Microsoft Sans Serif" w:cs="Microsoft Sans Serif"/>
                <w:b/>
                <w:sz w:val="10"/>
                <w:szCs w:val="10"/>
              </w:rPr>
            </w:pPr>
          </w:p>
        </w:tc>
        <w:tc>
          <w:tcPr>
            <w:tcW w:w="1275" w:type="dxa"/>
            <w:tcBorders>
              <w:top w:val="single" w:sz="4" w:space="0" w:color="auto"/>
              <w:left w:val="nil"/>
              <w:bottom w:val="single" w:sz="4" w:space="0" w:color="auto"/>
              <w:right w:val="nil"/>
            </w:tcBorders>
          </w:tcPr>
          <w:p w14:paraId="0440F7E3" w14:textId="77777777" w:rsidR="00024EA1" w:rsidRPr="00BB2162" w:rsidRDefault="00024EA1" w:rsidP="004C0772">
            <w:pPr>
              <w:jc w:val="right"/>
              <w:rPr>
                <w:rFonts w:ascii="Microsoft Sans Serif" w:hAnsi="Microsoft Sans Serif" w:cs="Microsoft Sans Serif"/>
                <w:b/>
                <w:sz w:val="10"/>
                <w:szCs w:val="10"/>
              </w:rPr>
            </w:pPr>
          </w:p>
        </w:tc>
        <w:tc>
          <w:tcPr>
            <w:tcW w:w="1275" w:type="dxa"/>
            <w:tcBorders>
              <w:top w:val="single" w:sz="4" w:space="0" w:color="auto"/>
              <w:left w:val="nil"/>
              <w:bottom w:val="single" w:sz="4" w:space="0" w:color="auto"/>
              <w:right w:val="nil"/>
            </w:tcBorders>
          </w:tcPr>
          <w:p w14:paraId="4B72665A" w14:textId="77777777" w:rsidR="00024EA1" w:rsidRPr="00BB2162" w:rsidRDefault="00024EA1" w:rsidP="004C0772">
            <w:pPr>
              <w:jc w:val="right"/>
              <w:rPr>
                <w:rFonts w:ascii="Microsoft Sans Serif" w:hAnsi="Microsoft Sans Serif" w:cs="Microsoft Sans Serif"/>
                <w:b/>
                <w:sz w:val="10"/>
                <w:szCs w:val="10"/>
              </w:rPr>
            </w:pPr>
          </w:p>
        </w:tc>
      </w:tr>
      <w:tr w:rsidR="00024EA1" w:rsidRPr="00A25EED" w14:paraId="623E9A9A" w14:textId="77777777" w:rsidTr="004C0772">
        <w:trPr>
          <w:trHeight w:val="284"/>
        </w:trPr>
        <w:tc>
          <w:tcPr>
            <w:tcW w:w="2972" w:type="dxa"/>
            <w:tcBorders>
              <w:top w:val="single" w:sz="4" w:space="0" w:color="auto"/>
            </w:tcBorders>
            <w:vAlign w:val="center"/>
          </w:tcPr>
          <w:p w14:paraId="2A263B77" w14:textId="77777777" w:rsidR="00024EA1" w:rsidRPr="00A25EED" w:rsidRDefault="00024EA1" w:rsidP="004C0772">
            <w:pPr>
              <w:rPr>
                <w:rFonts w:ascii="Microsoft Sans Serif" w:hAnsi="Microsoft Sans Serif" w:cs="Microsoft Sans Serif"/>
                <w:bCs/>
                <w:sz w:val="19"/>
                <w:szCs w:val="19"/>
              </w:rPr>
            </w:pPr>
            <w:r w:rsidRPr="00A25EED">
              <w:rPr>
                <w:rFonts w:ascii="Microsoft Sans Serif" w:hAnsi="Microsoft Sans Serif" w:cs="Microsoft Sans Serif"/>
                <w:bCs/>
                <w:sz w:val="19"/>
                <w:szCs w:val="19"/>
              </w:rPr>
              <w:t>TOTAL</w:t>
            </w:r>
          </w:p>
        </w:tc>
        <w:tc>
          <w:tcPr>
            <w:tcW w:w="1276" w:type="dxa"/>
            <w:tcBorders>
              <w:top w:val="single" w:sz="4" w:space="0" w:color="auto"/>
            </w:tcBorders>
            <w:vAlign w:val="center"/>
          </w:tcPr>
          <w:p w14:paraId="17C42052"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182 044</w:t>
            </w:r>
          </w:p>
        </w:tc>
        <w:tc>
          <w:tcPr>
            <w:tcW w:w="1276" w:type="dxa"/>
            <w:tcBorders>
              <w:top w:val="single" w:sz="4" w:space="0" w:color="auto"/>
            </w:tcBorders>
            <w:vAlign w:val="center"/>
          </w:tcPr>
          <w:p w14:paraId="5A18A654"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161 599</w:t>
            </w:r>
          </w:p>
        </w:tc>
        <w:tc>
          <w:tcPr>
            <w:tcW w:w="1275" w:type="dxa"/>
            <w:tcBorders>
              <w:top w:val="single" w:sz="4" w:space="0" w:color="auto"/>
            </w:tcBorders>
            <w:vAlign w:val="center"/>
          </w:tcPr>
          <w:p w14:paraId="7EB1DBB9"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20 445</w:t>
            </w:r>
          </w:p>
        </w:tc>
        <w:tc>
          <w:tcPr>
            <w:tcW w:w="1275" w:type="dxa"/>
            <w:tcBorders>
              <w:top w:val="single" w:sz="4" w:space="0" w:color="auto"/>
            </w:tcBorders>
            <w:vAlign w:val="center"/>
          </w:tcPr>
          <w:p w14:paraId="0847480A"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182 044</w:t>
            </w:r>
          </w:p>
        </w:tc>
        <w:tc>
          <w:tcPr>
            <w:tcW w:w="1275" w:type="dxa"/>
            <w:tcBorders>
              <w:top w:val="single" w:sz="4" w:space="0" w:color="auto"/>
            </w:tcBorders>
            <w:vAlign w:val="center"/>
          </w:tcPr>
          <w:p w14:paraId="31A3569D"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0</w:t>
            </w:r>
          </w:p>
        </w:tc>
      </w:tr>
    </w:tbl>
    <w:p w14:paraId="16BDF06C" w14:textId="77777777" w:rsidR="00024EA1" w:rsidRPr="00D1639B" w:rsidRDefault="00024EA1" w:rsidP="00024EA1">
      <w:pPr>
        <w:ind w:left="567"/>
        <w:rPr>
          <w:rFonts w:ascii="Arial Narrow" w:hAnsi="Arial Narrow" w:cs="Microsoft Sans Serif"/>
          <w:sz w:val="20"/>
          <w:szCs w:val="20"/>
        </w:rPr>
      </w:pPr>
    </w:p>
    <w:tbl>
      <w:tblPr>
        <w:tblStyle w:val="TableGrid"/>
        <w:tblW w:w="9351" w:type="dxa"/>
        <w:tblInd w:w="567" w:type="dxa"/>
        <w:tblLayout w:type="fixed"/>
        <w:tblLook w:val="04A0" w:firstRow="1" w:lastRow="0" w:firstColumn="1" w:lastColumn="0" w:noHBand="0" w:noVBand="1"/>
      </w:tblPr>
      <w:tblGrid>
        <w:gridCol w:w="2972"/>
        <w:gridCol w:w="1276"/>
        <w:gridCol w:w="1276"/>
        <w:gridCol w:w="2551"/>
        <w:gridCol w:w="1276"/>
      </w:tblGrid>
      <w:tr w:rsidR="00024EA1" w:rsidRPr="00D1639B" w14:paraId="559CD52A" w14:textId="77777777" w:rsidTr="004C0772">
        <w:trPr>
          <w:trHeight w:val="284"/>
        </w:trPr>
        <w:tc>
          <w:tcPr>
            <w:tcW w:w="2972" w:type="dxa"/>
            <w:vAlign w:val="center"/>
          </w:tcPr>
          <w:p w14:paraId="0FBD16FC"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 xml:space="preserve">Versement </w:t>
            </w:r>
            <w:r>
              <w:rPr>
                <w:rFonts w:ascii="Microsoft Sans Serif" w:hAnsi="Microsoft Sans Serif" w:cs="Microsoft Sans Serif"/>
                <w:sz w:val="19"/>
                <w:szCs w:val="19"/>
              </w:rPr>
              <w:t>a</w:t>
            </w:r>
            <w:r w:rsidRPr="00D1639B">
              <w:rPr>
                <w:rFonts w:ascii="Microsoft Sans Serif" w:hAnsi="Microsoft Sans Serif" w:cs="Microsoft Sans Serif"/>
                <w:sz w:val="19"/>
                <w:szCs w:val="19"/>
              </w:rPr>
              <w:t xml:space="preserve">nticipé </w:t>
            </w:r>
            <w:r>
              <w:rPr>
                <w:rFonts w:ascii="Microsoft Sans Serif" w:hAnsi="Microsoft Sans Serif" w:cs="Microsoft Sans Serif"/>
                <w:sz w:val="19"/>
                <w:szCs w:val="19"/>
              </w:rPr>
              <w:t>r</w:t>
            </w:r>
            <w:r w:rsidRPr="00D1639B">
              <w:rPr>
                <w:rFonts w:ascii="Microsoft Sans Serif" w:hAnsi="Microsoft Sans Serif" w:cs="Microsoft Sans Serif"/>
                <w:sz w:val="19"/>
                <w:szCs w:val="19"/>
              </w:rPr>
              <w:t>eçu</w:t>
            </w:r>
          </w:p>
        </w:tc>
        <w:tc>
          <w:tcPr>
            <w:tcW w:w="1276" w:type="dxa"/>
            <w:vAlign w:val="center"/>
          </w:tcPr>
          <w:p w14:paraId="64277A6A" w14:textId="77777777" w:rsidR="00024EA1" w:rsidRPr="00D1639B" w:rsidRDefault="00024EA1" w:rsidP="004C0772">
            <w:pPr>
              <w:rPr>
                <w:rFonts w:ascii="Microsoft Sans Serif" w:hAnsi="Microsoft Sans Serif" w:cs="Microsoft Sans Serif"/>
                <w:sz w:val="19"/>
                <w:szCs w:val="19"/>
              </w:rPr>
            </w:pPr>
          </w:p>
        </w:tc>
        <w:tc>
          <w:tcPr>
            <w:tcW w:w="1276" w:type="dxa"/>
          </w:tcPr>
          <w:p w14:paraId="59902F8A" w14:textId="77777777" w:rsidR="00024EA1" w:rsidRPr="00D1639B" w:rsidRDefault="00024EA1" w:rsidP="004C0772">
            <w:pPr>
              <w:rPr>
                <w:rFonts w:ascii="Microsoft Sans Serif" w:hAnsi="Microsoft Sans Serif" w:cs="Microsoft Sans Serif"/>
                <w:sz w:val="19"/>
                <w:szCs w:val="19"/>
              </w:rPr>
            </w:pPr>
          </w:p>
        </w:tc>
        <w:tc>
          <w:tcPr>
            <w:tcW w:w="2551" w:type="dxa"/>
            <w:vAlign w:val="center"/>
          </w:tcPr>
          <w:p w14:paraId="0B7CA4B7" w14:textId="77777777" w:rsidR="00024EA1" w:rsidRPr="00D1639B" w:rsidRDefault="00024EA1" w:rsidP="004C0772">
            <w:pPr>
              <w:rPr>
                <w:rFonts w:ascii="Microsoft Sans Serif" w:hAnsi="Microsoft Sans Serif" w:cs="Microsoft Sans Serif"/>
                <w:sz w:val="19"/>
                <w:szCs w:val="19"/>
              </w:rPr>
            </w:pPr>
          </w:p>
        </w:tc>
        <w:tc>
          <w:tcPr>
            <w:tcW w:w="1276" w:type="dxa"/>
            <w:vAlign w:val="center"/>
          </w:tcPr>
          <w:p w14:paraId="47C7C351"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75</w:t>
            </w:r>
            <w:r w:rsidRPr="00D1639B">
              <w:rPr>
                <w:rFonts w:ascii="Microsoft Sans Serif" w:hAnsi="Microsoft Sans Serif" w:cs="Microsoft Sans Serif"/>
                <w:sz w:val="19"/>
                <w:szCs w:val="19"/>
              </w:rPr>
              <w:t> 000</w:t>
            </w:r>
          </w:p>
        </w:tc>
      </w:tr>
      <w:tr w:rsidR="00024EA1" w:rsidRPr="00A25EED" w14:paraId="34345505" w14:textId="77777777" w:rsidTr="004C0772">
        <w:trPr>
          <w:trHeight w:val="284"/>
        </w:trPr>
        <w:tc>
          <w:tcPr>
            <w:tcW w:w="2972" w:type="dxa"/>
            <w:vAlign w:val="center"/>
          </w:tcPr>
          <w:p w14:paraId="7CAA84D2" w14:textId="77777777" w:rsidR="00024EA1" w:rsidRPr="00A25EED" w:rsidRDefault="00024EA1" w:rsidP="004C0772">
            <w:pPr>
              <w:rPr>
                <w:rFonts w:ascii="Microsoft Sans Serif" w:hAnsi="Microsoft Sans Serif" w:cs="Microsoft Sans Serif"/>
                <w:bCs/>
                <w:sz w:val="19"/>
                <w:szCs w:val="19"/>
              </w:rPr>
            </w:pPr>
            <w:r w:rsidRPr="00A25EED">
              <w:rPr>
                <w:rFonts w:ascii="Microsoft Sans Serif" w:hAnsi="Microsoft Sans Serif" w:cs="Microsoft Sans Serif"/>
                <w:bCs/>
                <w:sz w:val="19"/>
                <w:szCs w:val="19"/>
              </w:rPr>
              <w:t>Solde</w:t>
            </w:r>
          </w:p>
        </w:tc>
        <w:tc>
          <w:tcPr>
            <w:tcW w:w="1276" w:type="dxa"/>
            <w:vAlign w:val="center"/>
          </w:tcPr>
          <w:p w14:paraId="34B660F4" w14:textId="77777777" w:rsidR="00024EA1" w:rsidRPr="00A25EED" w:rsidRDefault="00024EA1" w:rsidP="004C0772">
            <w:pPr>
              <w:rPr>
                <w:rFonts w:ascii="Microsoft Sans Serif" w:hAnsi="Microsoft Sans Serif" w:cs="Microsoft Sans Serif"/>
                <w:bCs/>
                <w:sz w:val="19"/>
                <w:szCs w:val="19"/>
              </w:rPr>
            </w:pPr>
          </w:p>
        </w:tc>
        <w:tc>
          <w:tcPr>
            <w:tcW w:w="1276" w:type="dxa"/>
          </w:tcPr>
          <w:p w14:paraId="53B2436F" w14:textId="77777777" w:rsidR="00024EA1" w:rsidRPr="00A25EED" w:rsidRDefault="00024EA1" w:rsidP="004C0772">
            <w:pPr>
              <w:rPr>
                <w:rFonts w:ascii="Microsoft Sans Serif" w:hAnsi="Microsoft Sans Serif" w:cs="Microsoft Sans Serif"/>
                <w:bCs/>
                <w:sz w:val="19"/>
                <w:szCs w:val="19"/>
              </w:rPr>
            </w:pPr>
          </w:p>
        </w:tc>
        <w:tc>
          <w:tcPr>
            <w:tcW w:w="2551" w:type="dxa"/>
            <w:vAlign w:val="center"/>
          </w:tcPr>
          <w:p w14:paraId="78D1EE82" w14:textId="77777777" w:rsidR="00024EA1" w:rsidRPr="00A25EED" w:rsidRDefault="00024EA1" w:rsidP="004C0772">
            <w:pPr>
              <w:rPr>
                <w:rFonts w:ascii="Microsoft Sans Serif" w:hAnsi="Microsoft Sans Serif" w:cs="Microsoft Sans Serif"/>
                <w:bCs/>
                <w:sz w:val="19"/>
                <w:szCs w:val="19"/>
              </w:rPr>
            </w:pPr>
          </w:p>
        </w:tc>
        <w:tc>
          <w:tcPr>
            <w:tcW w:w="1276" w:type="dxa"/>
            <w:vAlign w:val="center"/>
          </w:tcPr>
          <w:p w14:paraId="28B7F4BA"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0</w:t>
            </w:r>
          </w:p>
        </w:tc>
      </w:tr>
    </w:tbl>
    <w:p w14:paraId="56AE654D" w14:textId="77777777" w:rsidR="00024EA1" w:rsidRPr="00D1639B" w:rsidRDefault="00024EA1" w:rsidP="00024EA1">
      <w:pPr>
        <w:ind w:left="567"/>
        <w:rPr>
          <w:rFonts w:ascii="Arial Narrow" w:hAnsi="Arial Narrow" w:cs="Microsoft Sans Serif"/>
          <w:sz w:val="20"/>
          <w:szCs w:val="20"/>
        </w:rPr>
      </w:pPr>
    </w:p>
    <w:tbl>
      <w:tblPr>
        <w:tblStyle w:val="TableGrid"/>
        <w:tblW w:w="0" w:type="auto"/>
        <w:tblInd w:w="567" w:type="dxa"/>
        <w:tblLook w:val="04A0" w:firstRow="1" w:lastRow="0" w:firstColumn="1" w:lastColumn="0" w:noHBand="0" w:noVBand="1"/>
      </w:tblPr>
      <w:tblGrid>
        <w:gridCol w:w="1980"/>
        <w:gridCol w:w="992"/>
      </w:tblGrid>
      <w:tr w:rsidR="00024EA1" w:rsidRPr="00D1639B" w14:paraId="23EB9718" w14:textId="77777777" w:rsidTr="004C0772">
        <w:trPr>
          <w:trHeight w:val="284"/>
        </w:trPr>
        <w:tc>
          <w:tcPr>
            <w:tcW w:w="1980" w:type="dxa"/>
            <w:vAlign w:val="center"/>
          </w:tcPr>
          <w:p w14:paraId="7B71158F" w14:textId="77777777" w:rsidR="00024EA1" w:rsidRPr="00D1639B"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F</w:t>
            </w:r>
            <w:r w:rsidRPr="00D1639B">
              <w:rPr>
                <w:rFonts w:ascii="Microsoft Sans Serif" w:hAnsi="Microsoft Sans Serif" w:cs="Microsoft Sans Serif"/>
                <w:sz w:val="19"/>
                <w:szCs w:val="19"/>
              </w:rPr>
              <w:t>rais généraux en %</w:t>
            </w:r>
          </w:p>
        </w:tc>
        <w:tc>
          <w:tcPr>
            <w:tcW w:w="992" w:type="dxa"/>
            <w:vAlign w:val="center"/>
          </w:tcPr>
          <w:p w14:paraId="3C54FFF1"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6,38</w:t>
            </w:r>
            <w:r>
              <w:rPr>
                <w:rFonts w:ascii="Microsoft Sans Serif" w:hAnsi="Microsoft Sans Serif" w:cs="Microsoft Sans Serif"/>
                <w:sz w:val="19"/>
                <w:szCs w:val="19"/>
              </w:rPr>
              <w:t> </w:t>
            </w:r>
            <w:r w:rsidRPr="00D1639B">
              <w:rPr>
                <w:rFonts w:ascii="Microsoft Sans Serif" w:hAnsi="Microsoft Sans Serif" w:cs="Microsoft Sans Serif"/>
                <w:sz w:val="19"/>
                <w:szCs w:val="19"/>
              </w:rPr>
              <w:t>%</w:t>
            </w:r>
          </w:p>
        </w:tc>
      </w:tr>
    </w:tbl>
    <w:p w14:paraId="201045B1" w14:textId="77777777" w:rsidR="00024EA1" w:rsidRDefault="00024EA1" w:rsidP="00024EA1">
      <w:pPr>
        <w:ind w:left="567"/>
        <w:rPr>
          <w:rFonts w:ascii="Microsoft Sans Serif" w:hAnsi="Microsoft Sans Serif" w:cs="Microsoft Sans Serif"/>
        </w:rPr>
      </w:pPr>
    </w:p>
    <w:tbl>
      <w:tblPr>
        <w:tblStyle w:val="TableGrid"/>
        <w:tblW w:w="0" w:type="auto"/>
        <w:tblInd w:w="567" w:type="dxa"/>
        <w:tblLook w:val="04A0" w:firstRow="1" w:lastRow="0" w:firstColumn="1" w:lastColumn="0" w:noHBand="0" w:noVBand="1"/>
      </w:tblPr>
      <w:tblGrid>
        <w:gridCol w:w="2101"/>
        <w:gridCol w:w="2114"/>
        <w:gridCol w:w="2113"/>
        <w:gridCol w:w="2121"/>
      </w:tblGrid>
      <w:tr w:rsidR="00024EA1" w:rsidRPr="00EF2802" w14:paraId="59AC3529" w14:textId="77777777" w:rsidTr="004C0772">
        <w:trPr>
          <w:trHeight w:val="454"/>
        </w:trPr>
        <w:tc>
          <w:tcPr>
            <w:tcW w:w="2337" w:type="dxa"/>
            <w:vAlign w:val="center"/>
          </w:tcPr>
          <w:p w14:paraId="2B4E6634"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Nom</w:t>
            </w:r>
          </w:p>
        </w:tc>
        <w:tc>
          <w:tcPr>
            <w:tcW w:w="2337" w:type="dxa"/>
            <w:vAlign w:val="center"/>
          </w:tcPr>
          <w:p w14:paraId="79B396A1"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Pr Oded Rechavi</w:t>
            </w:r>
          </w:p>
        </w:tc>
        <w:tc>
          <w:tcPr>
            <w:tcW w:w="2338" w:type="dxa"/>
            <w:vAlign w:val="center"/>
          </w:tcPr>
          <w:p w14:paraId="79A69219"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Maayan Ben Yosef</w:t>
            </w:r>
          </w:p>
        </w:tc>
        <w:tc>
          <w:tcPr>
            <w:tcW w:w="2338" w:type="dxa"/>
            <w:vAlign w:val="center"/>
          </w:tcPr>
          <w:p w14:paraId="063FD3C7"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Hani Shahmoon</w:t>
            </w:r>
          </w:p>
        </w:tc>
      </w:tr>
      <w:tr w:rsidR="00024EA1" w:rsidRPr="00EF2802" w14:paraId="724558E7" w14:textId="77777777" w:rsidTr="004C0772">
        <w:trPr>
          <w:trHeight w:val="454"/>
        </w:trPr>
        <w:tc>
          <w:tcPr>
            <w:tcW w:w="2337" w:type="dxa"/>
            <w:vAlign w:val="center"/>
          </w:tcPr>
          <w:p w14:paraId="3E8044C1"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Titre</w:t>
            </w:r>
          </w:p>
        </w:tc>
        <w:tc>
          <w:tcPr>
            <w:tcW w:w="2337" w:type="dxa"/>
            <w:vAlign w:val="center"/>
          </w:tcPr>
          <w:p w14:paraId="59DA784D"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Chercheur principal</w:t>
            </w:r>
          </w:p>
        </w:tc>
        <w:tc>
          <w:tcPr>
            <w:tcW w:w="2338" w:type="dxa"/>
            <w:vAlign w:val="center"/>
          </w:tcPr>
          <w:p w14:paraId="2D461A29"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Agent comptable</w:t>
            </w:r>
          </w:p>
        </w:tc>
        <w:tc>
          <w:tcPr>
            <w:tcW w:w="2338" w:type="dxa"/>
            <w:vAlign w:val="center"/>
          </w:tcPr>
          <w:p w14:paraId="756657DB"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Chef de l’unité comptable</w:t>
            </w:r>
          </w:p>
        </w:tc>
      </w:tr>
      <w:tr w:rsidR="00024EA1" w:rsidRPr="00EF2802" w14:paraId="31BD9644" w14:textId="77777777" w:rsidTr="004C0772">
        <w:trPr>
          <w:trHeight w:val="454"/>
        </w:trPr>
        <w:tc>
          <w:tcPr>
            <w:tcW w:w="2337" w:type="dxa"/>
            <w:vAlign w:val="center"/>
          </w:tcPr>
          <w:p w14:paraId="697088EE"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Signature</w:t>
            </w:r>
          </w:p>
        </w:tc>
        <w:tc>
          <w:tcPr>
            <w:tcW w:w="2337" w:type="dxa"/>
            <w:vAlign w:val="center"/>
          </w:tcPr>
          <w:p w14:paraId="1D420BC6"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c>
          <w:tcPr>
            <w:tcW w:w="2338" w:type="dxa"/>
            <w:vAlign w:val="center"/>
          </w:tcPr>
          <w:p w14:paraId="09CA6155"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c>
          <w:tcPr>
            <w:tcW w:w="2338" w:type="dxa"/>
            <w:vAlign w:val="center"/>
          </w:tcPr>
          <w:p w14:paraId="3404A869"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r>
    </w:tbl>
    <w:p w14:paraId="513A8B8A" w14:textId="77777777" w:rsidR="00024EA1" w:rsidRDefault="00024EA1" w:rsidP="00024EA1">
      <w:pPr>
        <w:rPr>
          <w:rFonts w:ascii="Microsoft Sans Serif" w:hAnsi="Microsoft Sans Serif" w:cs="Microsoft Sans Serif"/>
        </w:rPr>
      </w:pPr>
      <w:r>
        <w:rPr>
          <w:rFonts w:ascii="Microsoft Sans Serif" w:hAnsi="Microsoft Sans Serif" w:cs="Microsoft Sans Serif"/>
        </w:rPr>
        <w:br w:type="page"/>
      </w:r>
    </w:p>
    <w:p w14:paraId="4E0808FF" w14:textId="77777777" w:rsidR="00024EA1" w:rsidRPr="00015A32" w:rsidRDefault="00024EA1" w:rsidP="00024EA1">
      <w:pPr>
        <w:ind w:left="567"/>
        <w:rPr>
          <w:rFonts w:ascii="Microsoft Sans Serif" w:hAnsi="Microsoft Sans Serif" w:cs="Microsoft Sans Serif"/>
        </w:rPr>
      </w:pPr>
      <w:r w:rsidRPr="00A903BE">
        <w:rPr>
          <w:rFonts w:ascii="Microsoft Sans Serif" w:hAnsi="Microsoft Sans Serif" w:cs="Microsoft Sans Serif"/>
          <w:sz w:val="20"/>
          <w:szCs w:val="20"/>
        </w:rPr>
        <w:lastRenderedPageBreak/>
        <w:t>Projet :</w:t>
      </w:r>
      <w:r w:rsidRPr="00A903BE">
        <w:rPr>
          <w:rFonts w:ascii="Microsoft Sans Serif" w:hAnsi="Microsoft Sans Serif" w:cs="Microsoft Sans Serif"/>
          <w:sz w:val="20"/>
          <w:szCs w:val="20"/>
        </w:rPr>
        <w:tab/>
      </w:r>
      <w:r>
        <w:rPr>
          <w:rFonts w:ascii="Microsoft Sans Serif" w:hAnsi="Microsoft Sans Serif" w:cs="Microsoft Sans Serif"/>
          <w:sz w:val="20"/>
          <w:szCs w:val="20"/>
        </w:rPr>
        <w:tab/>
      </w:r>
      <w:r>
        <w:rPr>
          <w:rFonts w:ascii="Microsoft Sans Serif" w:hAnsi="Microsoft Sans Serif" w:cs="Microsoft Sans Serif"/>
          <w:sz w:val="20"/>
          <w:szCs w:val="20"/>
        </w:rPr>
        <w:tab/>
      </w:r>
      <w:r>
        <w:rPr>
          <w:rFonts w:ascii="Microsoft Sans Serif" w:hAnsi="Microsoft Sans Serif" w:cs="Microsoft Sans Serif"/>
          <w:sz w:val="20"/>
          <w:szCs w:val="20"/>
        </w:rPr>
        <w:tab/>
        <w:t>Arrêter la progression du cancer</w:t>
      </w:r>
    </w:p>
    <w:p w14:paraId="254DECA4"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Numéro de Recherche TAU :</w:t>
      </w:r>
      <w:r w:rsidRPr="00A903BE">
        <w:rPr>
          <w:rFonts w:ascii="Microsoft Sans Serif" w:hAnsi="Microsoft Sans Serif" w:cs="Microsoft Sans Serif"/>
          <w:sz w:val="20"/>
          <w:szCs w:val="20"/>
        </w:rPr>
        <w:tab/>
        <w:t>060</w:t>
      </w:r>
      <w:r>
        <w:rPr>
          <w:rFonts w:ascii="Microsoft Sans Serif" w:hAnsi="Microsoft Sans Serif" w:cs="Microsoft Sans Serif"/>
          <w:sz w:val="20"/>
          <w:szCs w:val="20"/>
        </w:rPr>
        <w:t>1415223</w:t>
      </w:r>
    </w:p>
    <w:p w14:paraId="397C066D"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Chercheur :</w:t>
      </w:r>
      <w:r w:rsidRPr="00A903BE">
        <w:rPr>
          <w:rFonts w:ascii="Microsoft Sans Serif" w:hAnsi="Microsoft Sans Serif" w:cs="Microsoft Sans Serif"/>
          <w:sz w:val="20"/>
          <w:szCs w:val="20"/>
        </w:rPr>
        <w:tab/>
        <w:t xml:space="preserve">Pr </w:t>
      </w:r>
      <w:r>
        <w:rPr>
          <w:rFonts w:ascii="Microsoft Sans Serif" w:hAnsi="Microsoft Sans Serif" w:cs="Microsoft Sans Serif"/>
          <w:sz w:val="20"/>
          <w:szCs w:val="20"/>
        </w:rPr>
        <w:t>Noam Shomron</w:t>
      </w:r>
    </w:p>
    <w:p w14:paraId="660F5BF0"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Date :</w:t>
      </w:r>
      <w:r w:rsidRPr="00A903BE">
        <w:rPr>
          <w:rFonts w:ascii="Microsoft Sans Serif" w:hAnsi="Microsoft Sans Serif" w:cs="Microsoft Sans Serif"/>
          <w:sz w:val="20"/>
          <w:szCs w:val="20"/>
        </w:rPr>
        <w:tab/>
      </w:r>
      <w:r>
        <w:rPr>
          <w:rFonts w:ascii="Microsoft Sans Serif" w:hAnsi="Microsoft Sans Serif" w:cs="Microsoft Sans Serif"/>
          <w:sz w:val="20"/>
          <w:szCs w:val="20"/>
        </w:rPr>
        <w:t>14</w:t>
      </w:r>
      <w:r w:rsidRPr="00A903BE">
        <w:rPr>
          <w:rFonts w:ascii="Microsoft Sans Serif" w:hAnsi="Microsoft Sans Serif" w:cs="Microsoft Sans Serif"/>
          <w:sz w:val="20"/>
          <w:szCs w:val="20"/>
        </w:rPr>
        <w:t>/</w:t>
      </w:r>
      <w:r>
        <w:rPr>
          <w:rFonts w:ascii="Microsoft Sans Serif" w:hAnsi="Microsoft Sans Serif" w:cs="Microsoft Sans Serif"/>
          <w:sz w:val="20"/>
          <w:szCs w:val="20"/>
        </w:rPr>
        <w:t>10</w:t>
      </w:r>
      <w:r w:rsidRPr="00A903BE">
        <w:rPr>
          <w:rFonts w:ascii="Microsoft Sans Serif" w:hAnsi="Microsoft Sans Serif" w:cs="Microsoft Sans Serif"/>
          <w:sz w:val="20"/>
          <w:szCs w:val="20"/>
        </w:rPr>
        <w:t>/20</w:t>
      </w:r>
      <w:r>
        <w:rPr>
          <w:rFonts w:ascii="Microsoft Sans Serif" w:hAnsi="Microsoft Sans Serif" w:cs="Microsoft Sans Serif"/>
          <w:sz w:val="20"/>
          <w:szCs w:val="20"/>
        </w:rPr>
        <w:t>21</w:t>
      </w:r>
    </w:p>
    <w:p w14:paraId="7646E5F1" w14:textId="77777777" w:rsidR="00024EA1" w:rsidRPr="00A903BE" w:rsidRDefault="00024EA1" w:rsidP="00024EA1">
      <w:pPr>
        <w:spacing w:after="120"/>
        <w:rPr>
          <w:rFonts w:ascii="Microsoft Sans Serif" w:hAnsi="Microsoft Sans Serif" w:cs="Microsoft Sans Serif"/>
        </w:rPr>
      </w:pPr>
      <w:r w:rsidRPr="00A903BE">
        <w:rPr>
          <w:rFonts w:ascii="Microsoft Sans Serif" w:hAnsi="Microsoft Sans Serif" w:cs="Microsoft Sans Serif"/>
          <w:noProof/>
        </w:rPr>
        <mc:AlternateContent>
          <mc:Choice Requires="wps">
            <w:drawing>
              <wp:anchor distT="0" distB="0" distL="114300" distR="114300" simplePos="0" relativeHeight="251663360" behindDoc="0" locked="0" layoutInCell="1" allowOverlap="1" wp14:anchorId="090DBADF" wp14:editId="6EC6AC97">
                <wp:simplePos x="0" y="0"/>
                <wp:positionH relativeFrom="column">
                  <wp:posOffset>363855</wp:posOffset>
                </wp:positionH>
                <wp:positionV relativeFrom="paragraph">
                  <wp:posOffset>147320</wp:posOffset>
                </wp:positionV>
                <wp:extent cx="5530789" cy="0"/>
                <wp:effectExtent l="0" t="0" r="0" b="0"/>
                <wp:wrapNone/>
                <wp:docPr id="3" name="Connecteur droit 57"/>
                <wp:cNvGraphicFramePr/>
                <a:graphic xmlns:a="http://schemas.openxmlformats.org/drawingml/2006/main">
                  <a:graphicData uri="http://schemas.microsoft.com/office/word/2010/wordprocessingShape">
                    <wps:wsp>
                      <wps:cNvCnPr/>
                      <wps:spPr>
                        <a:xfrm>
                          <a:off x="0" y="0"/>
                          <a:ext cx="5530789"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DBCD28" id="Connecteur droit 5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8.65pt,11.6pt" to="464.15pt,1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" strokecolor="black [3200]" strokeweight="2pt">
                <v:stroke joinstyle="miter"/>
              </v:line>
            </w:pict>
          </mc:Fallback>
        </mc:AlternateContent>
      </w:r>
    </w:p>
    <w:p w14:paraId="18F05400"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À :</w:t>
      </w:r>
      <w:r w:rsidRPr="00A903BE">
        <w:rPr>
          <w:rFonts w:ascii="Microsoft Sans Serif" w:hAnsi="Microsoft Sans Serif" w:cs="Microsoft Sans Serif"/>
          <w:sz w:val="20"/>
          <w:szCs w:val="20"/>
        </w:rPr>
        <w:tab/>
        <w:t>Fondation Adelis</w:t>
      </w:r>
    </w:p>
    <w:p w14:paraId="56D34ACE"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ab/>
        <w:t>52 Avenue Menahem Begin 6713701</w:t>
      </w:r>
    </w:p>
    <w:p w14:paraId="02E9B3A1" w14:textId="77777777" w:rsidR="00024EA1" w:rsidRPr="00A903BE" w:rsidRDefault="00024EA1" w:rsidP="00024EA1">
      <w:pPr>
        <w:tabs>
          <w:tab w:val="left" w:pos="3544"/>
        </w:tabs>
        <w:ind w:left="567"/>
        <w:rPr>
          <w:rFonts w:ascii="Microsoft Sans Serif" w:hAnsi="Microsoft Sans Serif" w:cs="Microsoft Sans Serif"/>
          <w:sz w:val="20"/>
          <w:szCs w:val="20"/>
        </w:rPr>
      </w:pPr>
      <w:r w:rsidRPr="00A903BE">
        <w:rPr>
          <w:rFonts w:ascii="Microsoft Sans Serif" w:hAnsi="Microsoft Sans Serif" w:cs="Microsoft Sans Serif"/>
          <w:sz w:val="20"/>
          <w:szCs w:val="20"/>
        </w:rPr>
        <w:tab/>
        <w:t>Tel</w:t>
      </w:r>
      <w:r>
        <w:rPr>
          <w:rFonts w:ascii="Microsoft Sans Serif" w:hAnsi="Microsoft Sans Serif" w:cs="Microsoft Sans Serif"/>
          <w:sz w:val="20"/>
          <w:szCs w:val="20"/>
        </w:rPr>
        <w:t>-</w:t>
      </w:r>
      <w:r w:rsidRPr="00A903BE">
        <w:rPr>
          <w:rFonts w:ascii="Microsoft Sans Serif" w:hAnsi="Microsoft Sans Serif" w:cs="Microsoft Sans Serif"/>
          <w:sz w:val="20"/>
          <w:szCs w:val="20"/>
        </w:rPr>
        <w:t>Aviv, Israël</w:t>
      </w:r>
    </w:p>
    <w:p w14:paraId="5A9CE574" w14:textId="77777777" w:rsidR="00024EA1" w:rsidRPr="00A903BE" w:rsidRDefault="00024EA1" w:rsidP="00024EA1">
      <w:pPr>
        <w:tabs>
          <w:tab w:val="left" w:pos="3969"/>
        </w:tabs>
        <w:ind w:left="567"/>
        <w:rPr>
          <w:rFonts w:ascii="Microsoft Sans Serif" w:hAnsi="Microsoft Sans Serif" w:cs="Microsoft Sans Serif"/>
          <w:sz w:val="20"/>
          <w:szCs w:val="20"/>
        </w:rPr>
      </w:pPr>
    </w:p>
    <w:p w14:paraId="501B754C" w14:textId="77777777" w:rsidR="00024EA1" w:rsidRPr="00E831B7" w:rsidRDefault="00024EA1" w:rsidP="00024EA1">
      <w:pPr>
        <w:tabs>
          <w:tab w:val="center" w:pos="6804"/>
        </w:tabs>
        <w:ind w:left="567"/>
        <w:jc w:val="right"/>
        <w:rPr>
          <w:rFonts w:ascii="Microsoft Sans Serif" w:hAnsi="Microsoft Sans Serif" w:cs="Microsoft Sans Serif"/>
          <w:b/>
          <w:sz w:val="20"/>
          <w:szCs w:val="21"/>
        </w:rPr>
      </w:pPr>
      <w:r w:rsidRPr="00E831B7">
        <w:rPr>
          <w:rFonts w:ascii="Microsoft Sans Serif" w:hAnsi="Microsoft Sans Serif" w:cs="Microsoft Sans Serif"/>
          <w:b/>
          <w:sz w:val="20"/>
          <w:szCs w:val="21"/>
        </w:rPr>
        <w:t>Université de Tel</w:t>
      </w:r>
      <w:r>
        <w:rPr>
          <w:rFonts w:ascii="Microsoft Sans Serif" w:hAnsi="Microsoft Sans Serif" w:cs="Microsoft Sans Serif"/>
          <w:b/>
          <w:sz w:val="20"/>
          <w:szCs w:val="21"/>
        </w:rPr>
        <w:t>-</w:t>
      </w:r>
      <w:r w:rsidRPr="00E831B7">
        <w:rPr>
          <w:rFonts w:ascii="Microsoft Sans Serif" w:hAnsi="Microsoft Sans Serif" w:cs="Microsoft Sans Serif"/>
          <w:b/>
          <w:sz w:val="20"/>
          <w:szCs w:val="21"/>
        </w:rPr>
        <w:t xml:space="preserve">Aviv – Rapport </w:t>
      </w:r>
      <w:r>
        <w:rPr>
          <w:rFonts w:ascii="Microsoft Sans Serif" w:hAnsi="Microsoft Sans Serif" w:cs="Microsoft Sans Serif"/>
          <w:b/>
          <w:sz w:val="20"/>
          <w:szCs w:val="21"/>
        </w:rPr>
        <w:t>f</w:t>
      </w:r>
      <w:r w:rsidRPr="00E831B7">
        <w:rPr>
          <w:rFonts w:ascii="Microsoft Sans Serif" w:hAnsi="Microsoft Sans Serif" w:cs="Microsoft Sans Serif"/>
          <w:b/>
          <w:sz w:val="20"/>
          <w:szCs w:val="21"/>
        </w:rPr>
        <w:t>inancier</w:t>
      </w:r>
    </w:p>
    <w:p w14:paraId="486FD381" w14:textId="77777777" w:rsidR="00024EA1" w:rsidRPr="00E831B7" w:rsidRDefault="00024EA1" w:rsidP="00024EA1">
      <w:pPr>
        <w:tabs>
          <w:tab w:val="center" w:pos="6804"/>
        </w:tabs>
        <w:ind w:left="567"/>
        <w:jc w:val="right"/>
        <w:rPr>
          <w:rFonts w:ascii="Microsoft Sans Serif" w:hAnsi="Microsoft Sans Serif" w:cs="Microsoft Sans Serif"/>
          <w:b/>
          <w:sz w:val="20"/>
          <w:szCs w:val="21"/>
        </w:rPr>
      </w:pPr>
      <w:r w:rsidRPr="00E831B7">
        <w:rPr>
          <w:rFonts w:ascii="Microsoft Sans Serif" w:hAnsi="Microsoft Sans Serif" w:cs="Microsoft Sans Serif"/>
          <w:b/>
          <w:sz w:val="20"/>
          <w:szCs w:val="21"/>
        </w:rPr>
        <w:t xml:space="preserve">Période : du </w:t>
      </w:r>
      <w:r>
        <w:rPr>
          <w:rFonts w:ascii="Microsoft Sans Serif" w:hAnsi="Microsoft Sans Serif" w:cs="Microsoft Sans Serif"/>
          <w:b/>
          <w:sz w:val="20"/>
          <w:szCs w:val="21"/>
        </w:rPr>
        <w:t>24</w:t>
      </w:r>
      <w:r w:rsidRPr="00E831B7">
        <w:rPr>
          <w:rFonts w:ascii="Microsoft Sans Serif" w:hAnsi="Microsoft Sans Serif" w:cs="Microsoft Sans Serif"/>
          <w:b/>
          <w:sz w:val="20"/>
          <w:szCs w:val="21"/>
        </w:rPr>
        <w:t xml:space="preserve"> </w:t>
      </w:r>
      <w:r>
        <w:rPr>
          <w:rFonts w:ascii="Microsoft Sans Serif" w:hAnsi="Microsoft Sans Serif" w:cs="Microsoft Sans Serif"/>
          <w:b/>
          <w:sz w:val="20"/>
          <w:szCs w:val="21"/>
        </w:rPr>
        <w:t>novembre</w:t>
      </w:r>
      <w:r w:rsidRPr="00E831B7">
        <w:rPr>
          <w:rFonts w:ascii="Microsoft Sans Serif" w:hAnsi="Microsoft Sans Serif" w:cs="Microsoft Sans Serif"/>
          <w:b/>
          <w:sz w:val="20"/>
          <w:szCs w:val="21"/>
        </w:rPr>
        <w:t xml:space="preserve"> 20</w:t>
      </w:r>
      <w:r>
        <w:rPr>
          <w:rFonts w:ascii="Microsoft Sans Serif" w:hAnsi="Microsoft Sans Serif" w:cs="Microsoft Sans Serif"/>
          <w:b/>
          <w:sz w:val="20"/>
          <w:szCs w:val="21"/>
        </w:rPr>
        <w:t>20</w:t>
      </w:r>
      <w:r w:rsidRPr="00E831B7">
        <w:rPr>
          <w:rFonts w:ascii="Microsoft Sans Serif" w:hAnsi="Microsoft Sans Serif" w:cs="Microsoft Sans Serif"/>
          <w:b/>
          <w:sz w:val="20"/>
          <w:szCs w:val="21"/>
        </w:rPr>
        <w:t xml:space="preserve"> au </w:t>
      </w:r>
      <w:r>
        <w:rPr>
          <w:rFonts w:ascii="Microsoft Sans Serif" w:hAnsi="Microsoft Sans Serif" w:cs="Microsoft Sans Serif"/>
          <w:b/>
          <w:sz w:val="20"/>
          <w:szCs w:val="21"/>
        </w:rPr>
        <w:t>30</w:t>
      </w:r>
      <w:r w:rsidRPr="00E831B7">
        <w:rPr>
          <w:rFonts w:ascii="Microsoft Sans Serif" w:hAnsi="Microsoft Sans Serif" w:cs="Microsoft Sans Serif"/>
          <w:b/>
          <w:sz w:val="20"/>
          <w:szCs w:val="21"/>
        </w:rPr>
        <w:t xml:space="preserve"> </w:t>
      </w:r>
      <w:r>
        <w:rPr>
          <w:rFonts w:ascii="Microsoft Sans Serif" w:hAnsi="Microsoft Sans Serif" w:cs="Microsoft Sans Serif"/>
          <w:b/>
          <w:sz w:val="20"/>
          <w:szCs w:val="21"/>
        </w:rPr>
        <w:t>septembre</w:t>
      </w:r>
      <w:r w:rsidRPr="00E831B7">
        <w:rPr>
          <w:rFonts w:ascii="Microsoft Sans Serif" w:hAnsi="Microsoft Sans Serif" w:cs="Microsoft Sans Serif"/>
          <w:b/>
          <w:sz w:val="20"/>
          <w:szCs w:val="21"/>
        </w:rPr>
        <w:t xml:space="preserve"> 20</w:t>
      </w:r>
      <w:r>
        <w:rPr>
          <w:rFonts w:ascii="Microsoft Sans Serif" w:hAnsi="Microsoft Sans Serif" w:cs="Microsoft Sans Serif"/>
          <w:b/>
          <w:sz w:val="20"/>
          <w:szCs w:val="21"/>
        </w:rPr>
        <w:t>21</w:t>
      </w:r>
    </w:p>
    <w:p w14:paraId="0511CF1D" w14:textId="77777777" w:rsidR="00024EA1" w:rsidRPr="00E831B7" w:rsidRDefault="00024EA1" w:rsidP="00024EA1">
      <w:pPr>
        <w:tabs>
          <w:tab w:val="left" w:pos="3969"/>
          <w:tab w:val="center" w:pos="6804"/>
        </w:tabs>
        <w:ind w:left="567"/>
        <w:rPr>
          <w:rFonts w:ascii="Microsoft Sans Serif" w:hAnsi="Microsoft Sans Serif" w:cs="Microsoft Sans Serif"/>
          <w:sz w:val="12"/>
          <w:szCs w:val="16"/>
        </w:rPr>
      </w:pPr>
    </w:p>
    <w:p w14:paraId="17433772" w14:textId="77777777" w:rsidR="00024EA1" w:rsidRPr="006C5941" w:rsidRDefault="00024EA1" w:rsidP="00024EA1">
      <w:pPr>
        <w:tabs>
          <w:tab w:val="left" w:pos="3969"/>
          <w:tab w:val="center" w:pos="6804"/>
        </w:tabs>
        <w:spacing w:before="240" w:after="240"/>
        <w:ind w:left="567"/>
        <w:jc w:val="center"/>
        <w:rPr>
          <w:rFonts w:ascii="Times New Roman" w:hAnsi="Times New Roman" w:cs="Times New Roman"/>
          <w:b/>
          <w:sz w:val="20"/>
          <w:szCs w:val="20"/>
        </w:rPr>
      </w:pPr>
      <w:r w:rsidRPr="00A903BE">
        <w:rPr>
          <w:rFonts w:ascii="Microsoft Sans Serif" w:hAnsi="Microsoft Sans Serif" w:cs="Microsoft Sans Serif"/>
          <w:noProof/>
        </w:rPr>
        <mc:AlternateContent>
          <mc:Choice Requires="wps">
            <w:drawing>
              <wp:anchor distT="0" distB="0" distL="114300" distR="114300" simplePos="0" relativeHeight="251664384" behindDoc="0" locked="0" layoutInCell="1" allowOverlap="1" wp14:anchorId="56D803CE" wp14:editId="3816E5DB">
                <wp:simplePos x="0" y="0"/>
                <wp:positionH relativeFrom="column">
                  <wp:posOffset>363855</wp:posOffset>
                </wp:positionH>
                <wp:positionV relativeFrom="paragraph">
                  <wp:posOffset>-635</wp:posOffset>
                </wp:positionV>
                <wp:extent cx="5530789" cy="0"/>
                <wp:effectExtent l="0" t="0" r="0" b="0"/>
                <wp:wrapNone/>
                <wp:docPr id="4" name="Connecteur droit 58"/>
                <wp:cNvGraphicFramePr/>
                <a:graphic xmlns:a="http://schemas.openxmlformats.org/drawingml/2006/main">
                  <a:graphicData uri="http://schemas.microsoft.com/office/word/2010/wordprocessingShape">
                    <wps:wsp>
                      <wps:cNvCnPr/>
                      <wps:spPr>
                        <a:xfrm>
                          <a:off x="0" y="0"/>
                          <a:ext cx="5530789"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BC71B4" id="Connecteur droit 58"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8.65pt,-.05pt" to="464.1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" strokecolor="black [3200]" strokeweight="2pt">
                <v:stroke joinstyle="miter"/>
              </v:line>
            </w:pict>
          </mc:Fallback>
        </mc:AlternateContent>
      </w:r>
      <w:r w:rsidRPr="006C5941">
        <w:rPr>
          <w:rFonts w:ascii="Times New Roman" w:hAnsi="Times New Roman" w:cs="Times New Roman"/>
          <w:b/>
          <w:sz w:val="20"/>
          <w:szCs w:val="20"/>
        </w:rPr>
        <w:t>Toutes les dépenses sont exprimées en dollars américains (USD)</w:t>
      </w:r>
    </w:p>
    <w:tbl>
      <w:tblPr>
        <w:tblStyle w:val="TableGrid"/>
        <w:tblW w:w="9349" w:type="dxa"/>
        <w:tblInd w:w="567" w:type="dxa"/>
        <w:tblLayout w:type="fixed"/>
        <w:tblLook w:val="04A0" w:firstRow="1" w:lastRow="0" w:firstColumn="1" w:lastColumn="0" w:noHBand="0" w:noVBand="1"/>
      </w:tblPr>
      <w:tblGrid>
        <w:gridCol w:w="2972"/>
        <w:gridCol w:w="1276"/>
        <w:gridCol w:w="1276"/>
        <w:gridCol w:w="1275"/>
        <w:gridCol w:w="1275"/>
        <w:gridCol w:w="1275"/>
      </w:tblGrid>
      <w:tr w:rsidR="00024EA1" w:rsidRPr="00D1639B" w14:paraId="62370C6B" w14:textId="77777777" w:rsidTr="004C0772">
        <w:trPr>
          <w:trHeight w:hRule="exact" w:val="567"/>
        </w:trPr>
        <w:tc>
          <w:tcPr>
            <w:tcW w:w="2972" w:type="dxa"/>
            <w:tcBorders>
              <w:top w:val="single" w:sz="12" w:space="0" w:color="auto"/>
              <w:left w:val="single" w:sz="4" w:space="0" w:color="auto"/>
              <w:bottom w:val="single" w:sz="12" w:space="0" w:color="auto"/>
              <w:right w:val="single" w:sz="4" w:space="0" w:color="auto"/>
            </w:tcBorders>
            <w:vAlign w:val="center"/>
          </w:tcPr>
          <w:p w14:paraId="08B2D4D4"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D</w:t>
            </w:r>
            <w:r>
              <w:rPr>
                <w:rFonts w:ascii="Microsoft Sans Serif" w:hAnsi="Microsoft Sans Serif" w:cs="Microsoft Sans Serif"/>
                <w:sz w:val="19"/>
                <w:szCs w:val="19"/>
              </w:rPr>
              <w:t>É</w:t>
            </w:r>
            <w:r w:rsidRPr="00D1639B">
              <w:rPr>
                <w:rFonts w:ascii="Microsoft Sans Serif" w:hAnsi="Microsoft Sans Serif" w:cs="Microsoft Sans Serif"/>
                <w:sz w:val="19"/>
                <w:szCs w:val="19"/>
              </w:rPr>
              <w:t>PENSES</w:t>
            </w:r>
          </w:p>
        </w:tc>
        <w:tc>
          <w:tcPr>
            <w:tcW w:w="1276" w:type="dxa"/>
            <w:tcBorders>
              <w:top w:val="single" w:sz="12" w:space="0" w:color="auto"/>
              <w:left w:val="single" w:sz="4" w:space="0" w:color="auto"/>
              <w:bottom w:val="single" w:sz="12" w:space="0" w:color="auto"/>
              <w:right w:val="single" w:sz="4" w:space="0" w:color="auto"/>
            </w:tcBorders>
            <w:vAlign w:val="center"/>
          </w:tcPr>
          <w:p w14:paraId="4F9B7646" w14:textId="77777777" w:rsidR="00024EA1" w:rsidRPr="00D1639B" w:rsidRDefault="00024EA1" w:rsidP="004C0772">
            <w:pPr>
              <w:jc w:val="right"/>
              <w:rPr>
                <w:rFonts w:ascii="Microsoft Sans Serif" w:hAnsi="Microsoft Sans Serif" w:cs="Microsoft Sans Serif"/>
                <w:sz w:val="19"/>
                <w:szCs w:val="19"/>
              </w:rPr>
            </w:pPr>
            <w:r w:rsidRPr="00D1639B">
              <w:rPr>
                <w:rFonts w:ascii="Microsoft Sans Serif" w:hAnsi="Microsoft Sans Serif" w:cs="Microsoft Sans Serif"/>
                <w:sz w:val="19"/>
                <w:szCs w:val="19"/>
              </w:rPr>
              <w:t>Budget</w:t>
            </w:r>
          </w:p>
        </w:tc>
        <w:tc>
          <w:tcPr>
            <w:tcW w:w="1276" w:type="dxa"/>
            <w:tcBorders>
              <w:top w:val="single" w:sz="12" w:space="0" w:color="auto"/>
              <w:left w:val="single" w:sz="4" w:space="0" w:color="auto"/>
              <w:bottom w:val="single" w:sz="12" w:space="0" w:color="auto"/>
              <w:right w:val="single" w:sz="4" w:space="0" w:color="auto"/>
            </w:tcBorders>
            <w:vAlign w:val="center"/>
          </w:tcPr>
          <w:p w14:paraId="1A152A2F"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w:t>
            </w:r>
            <w:r>
              <w:rPr>
                <w:rFonts w:ascii="Microsoft Sans Serif" w:hAnsi="Microsoft Sans Serif" w:cs="Microsoft Sans Serif"/>
                <w:sz w:val="19"/>
                <w:szCs w:val="19"/>
              </w:rPr>
              <w:t xml:space="preserve"> antérieures</w:t>
            </w:r>
          </w:p>
        </w:tc>
        <w:tc>
          <w:tcPr>
            <w:tcW w:w="1275" w:type="dxa"/>
            <w:tcBorders>
              <w:top w:val="single" w:sz="12" w:space="0" w:color="auto"/>
              <w:left w:val="single" w:sz="4" w:space="0" w:color="auto"/>
              <w:bottom w:val="single" w:sz="12" w:space="0" w:color="auto"/>
              <w:right w:val="single" w:sz="4" w:space="0" w:color="auto"/>
            </w:tcBorders>
            <w:vAlign w:val="center"/>
          </w:tcPr>
          <w:p w14:paraId="38FFFCE1"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 réelles</w:t>
            </w:r>
          </w:p>
        </w:tc>
        <w:tc>
          <w:tcPr>
            <w:tcW w:w="1275" w:type="dxa"/>
            <w:tcBorders>
              <w:top w:val="single" w:sz="12" w:space="0" w:color="auto"/>
              <w:left w:val="single" w:sz="4" w:space="0" w:color="auto"/>
              <w:bottom w:val="single" w:sz="12" w:space="0" w:color="auto"/>
              <w:right w:val="single" w:sz="4" w:space="0" w:color="auto"/>
            </w:tcBorders>
            <w:vAlign w:val="center"/>
          </w:tcPr>
          <w:p w14:paraId="4F95193B" w14:textId="77777777" w:rsidR="00024EA1" w:rsidRPr="00D1639B" w:rsidRDefault="00024EA1" w:rsidP="004C0772">
            <w:pPr>
              <w:jc w:val="center"/>
              <w:rPr>
                <w:rFonts w:ascii="Microsoft Sans Serif" w:hAnsi="Microsoft Sans Serif" w:cs="Microsoft Sans Serif"/>
                <w:sz w:val="19"/>
                <w:szCs w:val="19"/>
              </w:rPr>
            </w:pPr>
            <w:r w:rsidRPr="00D1639B">
              <w:rPr>
                <w:rFonts w:ascii="Microsoft Sans Serif" w:hAnsi="Microsoft Sans Serif" w:cs="Microsoft Sans Serif"/>
                <w:sz w:val="19"/>
                <w:szCs w:val="19"/>
              </w:rPr>
              <w:t>Dépenses</w:t>
            </w:r>
            <w:r>
              <w:rPr>
                <w:rFonts w:ascii="Microsoft Sans Serif" w:hAnsi="Microsoft Sans Serif" w:cs="Microsoft Sans Serif"/>
                <w:sz w:val="19"/>
                <w:szCs w:val="19"/>
              </w:rPr>
              <w:t xml:space="preserve"> cumulées</w:t>
            </w:r>
          </w:p>
        </w:tc>
        <w:tc>
          <w:tcPr>
            <w:tcW w:w="1275" w:type="dxa"/>
            <w:tcBorders>
              <w:top w:val="single" w:sz="12" w:space="0" w:color="auto"/>
              <w:left w:val="single" w:sz="4" w:space="0" w:color="auto"/>
              <w:bottom w:val="single" w:sz="12" w:space="0" w:color="auto"/>
              <w:right w:val="single" w:sz="4" w:space="0" w:color="auto"/>
            </w:tcBorders>
            <w:vAlign w:val="center"/>
          </w:tcPr>
          <w:p w14:paraId="25F5CFF1" w14:textId="77777777" w:rsidR="00024EA1" w:rsidRPr="00D1639B"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Solde</w:t>
            </w:r>
          </w:p>
        </w:tc>
      </w:tr>
      <w:tr w:rsidR="00024EA1" w:rsidRPr="00D1639B" w14:paraId="65FA79F0" w14:textId="77777777" w:rsidTr="004C0772">
        <w:trPr>
          <w:trHeight w:val="284"/>
        </w:trPr>
        <w:tc>
          <w:tcPr>
            <w:tcW w:w="2972" w:type="dxa"/>
            <w:tcBorders>
              <w:top w:val="single" w:sz="12" w:space="0" w:color="auto"/>
            </w:tcBorders>
            <w:vAlign w:val="center"/>
          </w:tcPr>
          <w:p w14:paraId="74E443BA"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Personnel</w:t>
            </w:r>
          </w:p>
        </w:tc>
        <w:tc>
          <w:tcPr>
            <w:tcW w:w="1276" w:type="dxa"/>
            <w:tcBorders>
              <w:top w:val="single" w:sz="12" w:space="0" w:color="auto"/>
            </w:tcBorders>
            <w:vAlign w:val="center"/>
          </w:tcPr>
          <w:p w14:paraId="7407351F"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179 522</w:t>
            </w:r>
          </w:p>
        </w:tc>
        <w:tc>
          <w:tcPr>
            <w:tcW w:w="1276" w:type="dxa"/>
            <w:tcBorders>
              <w:top w:val="single" w:sz="12" w:space="0" w:color="auto"/>
            </w:tcBorders>
            <w:vAlign w:val="center"/>
          </w:tcPr>
          <w:p w14:paraId="538DDE85"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129 635</w:t>
            </w:r>
          </w:p>
        </w:tc>
        <w:tc>
          <w:tcPr>
            <w:tcW w:w="1275" w:type="dxa"/>
            <w:tcBorders>
              <w:top w:val="single" w:sz="12" w:space="0" w:color="auto"/>
            </w:tcBorders>
            <w:vAlign w:val="center"/>
          </w:tcPr>
          <w:p w14:paraId="049E82B1"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69 171</w:t>
            </w:r>
          </w:p>
        </w:tc>
        <w:tc>
          <w:tcPr>
            <w:tcW w:w="1275" w:type="dxa"/>
            <w:tcBorders>
              <w:top w:val="single" w:sz="12" w:space="0" w:color="auto"/>
            </w:tcBorders>
            <w:vAlign w:val="center"/>
          </w:tcPr>
          <w:p w14:paraId="500862C4"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198 806</w:t>
            </w:r>
          </w:p>
        </w:tc>
        <w:tc>
          <w:tcPr>
            <w:tcW w:w="1275" w:type="dxa"/>
            <w:tcBorders>
              <w:top w:val="single" w:sz="12" w:space="0" w:color="auto"/>
            </w:tcBorders>
            <w:vAlign w:val="center"/>
          </w:tcPr>
          <w:p w14:paraId="6CC1E852"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-19 284</w:t>
            </w:r>
          </w:p>
        </w:tc>
      </w:tr>
      <w:tr w:rsidR="00024EA1" w:rsidRPr="00D1639B" w14:paraId="2E4A0342" w14:textId="77777777" w:rsidTr="004C0772">
        <w:trPr>
          <w:trHeight w:val="284"/>
        </w:trPr>
        <w:tc>
          <w:tcPr>
            <w:tcW w:w="2972" w:type="dxa"/>
            <w:vAlign w:val="center"/>
          </w:tcPr>
          <w:p w14:paraId="5524D89C"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Consommables</w:t>
            </w:r>
          </w:p>
        </w:tc>
        <w:tc>
          <w:tcPr>
            <w:tcW w:w="1276" w:type="dxa"/>
            <w:vAlign w:val="center"/>
          </w:tcPr>
          <w:p w14:paraId="0196AC25"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21 292</w:t>
            </w:r>
          </w:p>
        </w:tc>
        <w:tc>
          <w:tcPr>
            <w:tcW w:w="1276" w:type="dxa"/>
            <w:vAlign w:val="center"/>
          </w:tcPr>
          <w:p w14:paraId="0C56C842"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10 133</w:t>
            </w:r>
          </w:p>
        </w:tc>
        <w:tc>
          <w:tcPr>
            <w:tcW w:w="1275" w:type="dxa"/>
            <w:vAlign w:val="center"/>
          </w:tcPr>
          <w:p w14:paraId="784D4405"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936</w:t>
            </w:r>
          </w:p>
        </w:tc>
        <w:tc>
          <w:tcPr>
            <w:tcW w:w="1275" w:type="dxa"/>
            <w:vAlign w:val="center"/>
          </w:tcPr>
          <w:p w14:paraId="47377A6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11 069</w:t>
            </w:r>
          </w:p>
        </w:tc>
        <w:tc>
          <w:tcPr>
            <w:tcW w:w="1275" w:type="dxa"/>
            <w:vAlign w:val="center"/>
          </w:tcPr>
          <w:p w14:paraId="36607A8B"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10 223</w:t>
            </w:r>
          </w:p>
        </w:tc>
      </w:tr>
      <w:tr w:rsidR="00024EA1" w:rsidRPr="00D1639B" w14:paraId="5C82F655" w14:textId="77777777" w:rsidTr="004C0772">
        <w:trPr>
          <w:trHeight w:val="284"/>
        </w:trPr>
        <w:tc>
          <w:tcPr>
            <w:tcW w:w="2972" w:type="dxa"/>
            <w:vAlign w:val="center"/>
          </w:tcPr>
          <w:p w14:paraId="686BCFDE" w14:textId="77777777" w:rsidR="00024EA1" w:rsidRPr="005D73E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Équipement</w:t>
            </w:r>
          </w:p>
        </w:tc>
        <w:tc>
          <w:tcPr>
            <w:tcW w:w="1276" w:type="dxa"/>
            <w:vAlign w:val="center"/>
          </w:tcPr>
          <w:p w14:paraId="0B127023"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16 935</w:t>
            </w:r>
          </w:p>
        </w:tc>
        <w:tc>
          <w:tcPr>
            <w:tcW w:w="1276" w:type="dxa"/>
            <w:vAlign w:val="center"/>
          </w:tcPr>
          <w:p w14:paraId="5D64A530"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16 656</w:t>
            </w:r>
          </w:p>
        </w:tc>
        <w:tc>
          <w:tcPr>
            <w:tcW w:w="1275" w:type="dxa"/>
            <w:vAlign w:val="center"/>
          </w:tcPr>
          <w:p w14:paraId="7921FE4C"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3 685</w:t>
            </w:r>
          </w:p>
        </w:tc>
        <w:tc>
          <w:tcPr>
            <w:tcW w:w="1275" w:type="dxa"/>
            <w:vAlign w:val="center"/>
          </w:tcPr>
          <w:p w14:paraId="28259DFA"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20 341</w:t>
            </w:r>
          </w:p>
        </w:tc>
        <w:tc>
          <w:tcPr>
            <w:tcW w:w="1275" w:type="dxa"/>
            <w:vAlign w:val="center"/>
          </w:tcPr>
          <w:p w14:paraId="462A36BE"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-3 406</w:t>
            </w:r>
          </w:p>
        </w:tc>
      </w:tr>
      <w:tr w:rsidR="00024EA1" w:rsidRPr="00D1639B" w14:paraId="13FD51CC" w14:textId="77777777" w:rsidTr="004C0772">
        <w:trPr>
          <w:trHeight w:val="284"/>
        </w:trPr>
        <w:tc>
          <w:tcPr>
            <w:tcW w:w="2972" w:type="dxa"/>
            <w:tcBorders>
              <w:bottom w:val="single" w:sz="4" w:space="0" w:color="auto"/>
            </w:tcBorders>
            <w:vAlign w:val="center"/>
          </w:tcPr>
          <w:p w14:paraId="2730F685"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Déplacements</w:t>
            </w:r>
          </w:p>
        </w:tc>
        <w:tc>
          <w:tcPr>
            <w:tcW w:w="1276" w:type="dxa"/>
            <w:tcBorders>
              <w:bottom w:val="single" w:sz="4" w:space="0" w:color="auto"/>
            </w:tcBorders>
            <w:vAlign w:val="center"/>
          </w:tcPr>
          <w:p w14:paraId="1C6E056A"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10 288</w:t>
            </w:r>
          </w:p>
        </w:tc>
        <w:tc>
          <w:tcPr>
            <w:tcW w:w="1276" w:type="dxa"/>
            <w:tcBorders>
              <w:bottom w:val="single" w:sz="4" w:space="0" w:color="auto"/>
            </w:tcBorders>
            <w:vAlign w:val="center"/>
          </w:tcPr>
          <w:p w14:paraId="43D276B8"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9 275</w:t>
            </w:r>
          </w:p>
        </w:tc>
        <w:tc>
          <w:tcPr>
            <w:tcW w:w="1275" w:type="dxa"/>
            <w:tcBorders>
              <w:bottom w:val="single" w:sz="4" w:space="0" w:color="auto"/>
            </w:tcBorders>
            <w:vAlign w:val="center"/>
          </w:tcPr>
          <w:p w14:paraId="7C21480F"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c>
          <w:tcPr>
            <w:tcW w:w="1275" w:type="dxa"/>
            <w:tcBorders>
              <w:bottom w:val="single" w:sz="4" w:space="0" w:color="auto"/>
            </w:tcBorders>
            <w:vAlign w:val="center"/>
          </w:tcPr>
          <w:p w14:paraId="23D651C6"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9 275</w:t>
            </w:r>
          </w:p>
        </w:tc>
        <w:tc>
          <w:tcPr>
            <w:tcW w:w="1275" w:type="dxa"/>
            <w:tcBorders>
              <w:bottom w:val="single" w:sz="4" w:space="0" w:color="auto"/>
            </w:tcBorders>
            <w:vAlign w:val="center"/>
          </w:tcPr>
          <w:p w14:paraId="700BE92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1 013</w:t>
            </w:r>
          </w:p>
        </w:tc>
      </w:tr>
      <w:tr w:rsidR="00024EA1" w:rsidRPr="00D1639B" w14:paraId="10D9F33F" w14:textId="77777777" w:rsidTr="004C0772">
        <w:trPr>
          <w:trHeight w:val="284"/>
        </w:trPr>
        <w:tc>
          <w:tcPr>
            <w:tcW w:w="2972" w:type="dxa"/>
            <w:tcBorders>
              <w:bottom w:val="single" w:sz="4" w:space="0" w:color="auto"/>
            </w:tcBorders>
            <w:vAlign w:val="center"/>
          </w:tcPr>
          <w:p w14:paraId="7837A8B1" w14:textId="77777777" w:rsidR="00024EA1"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Divers</w:t>
            </w:r>
          </w:p>
        </w:tc>
        <w:tc>
          <w:tcPr>
            <w:tcW w:w="1276" w:type="dxa"/>
            <w:tcBorders>
              <w:bottom w:val="single" w:sz="4" w:space="0" w:color="auto"/>
            </w:tcBorders>
            <w:vAlign w:val="center"/>
          </w:tcPr>
          <w:p w14:paraId="0A4F873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13 720</w:t>
            </w:r>
          </w:p>
        </w:tc>
        <w:tc>
          <w:tcPr>
            <w:tcW w:w="1276" w:type="dxa"/>
            <w:tcBorders>
              <w:bottom w:val="single" w:sz="4" w:space="0" w:color="auto"/>
            </w:tcBorders>
            <w:vAlign w:val="center"/>
          </w:tcPr>
          <w:p w14:paraId="2803E93B"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890</w:t>
            </w:r>
          </w:p>
        </w:tc>
        <w:tc>
          <w:tcPr>
            <w:tcW w:w="1275" w:type="dxa"/>
            <w:tcBorders>
              <w:bottom w:val="single" w:sz="4" w:space="0" w:color="auto"/>
            </w:tcBorders>
            <w:vAlign w:val="center"/>
          </w:tcPr>
          <w:p w14:paraId="39174D82"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1 375</w:t>
            </w:r>
          </w:p>
        </w:tc>
        <w:tc>
          <w:tcPr>
            <w:tcW w:w="1275" w:type="dxa"/>
            <w:tcBorders>
              <w:bottom w:val="single" w:sz="4" w:space="0" w:color="auto"/>
            </w:tcBorders>
            <w:vAlign w:val="center"/>
          </w:tcPr>
          <w:p w14:paraId="4E053C3B"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2 265</w:t>
            </w:r>
          </w:p>
        </w:tc>
        <w:tc>
          <w:tcPr>
            <w:tcW w:w="1275" w:type="dxa"/>
            <w:tcBorders>
              <w:bottom w:val="single" w:sz="4" w:space="0" w:color="auto"/>
            </w:tcBorders>
            <w:vAlign w:val="center"/>
          </w:tcPr>
          <w:p w14:paraId="39E492A1"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11 455</w:t>
            </w:r>
          </w:p>
        </w:tc>
      </w:tr>
      <w:tr w:rsidR="00024EA1" w:rsidRPr="00D1639B" w14:paraId="473271D4" w14:textId="77777777" w:rsidTr="004C0772">
        <w:trPr>
          <w:trHeight w:val="284"/>
        </w:trPr>
        <w:tc>
          <w:tcPr>
            <w:tcW w:w="2972" w:type="dxa"/>
            <w:tcBorders>
              <w:bottom w:val="single" w:sz="4" w:space="0" w:color="auto"/>
            </w:tcBorders>
            <w:vAlign w:val="center"/>
          </w:tcPr>
          <w:p w14:paraId="145579AD"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Frais généraux de TAU</w:t>
            </w:r>
          </w:p>
        </w:tc>
        <w:tc>
          <w:tcPr>
            <w:tcW w:w="1276" w:type="dxa"/>
            <w:tcBorders>
              <w:bottom w:val="single" w:sz="4" w:space="0" w:color="auto"/>
            </w:tcBorders>
            <w:vAlign w:val="center"/>
          </w:tcPr>
          <w:p w14:paraId="2E29A7C2"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15 424</w:t>
            </w:r>
          </w:p>
        </w:tc>
        <w:tc>
          <w:tcPr>
            <w:tcW w:w="1276" w:type="dxa"/>
            <w:tcBorders>
              <w:bottom w:val="single" w:sz="4" w:space="0" w:color="auto"/>
            </w:tcBorders>
            <w:vAlign w:val="center"/>
          </w:tcPr>
          <w:p w14:paraId="0F158303"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10 628</w:t>
            </w:r>
          </w:p>
        </w:tc>
        <w:tc>
          <w:tcPr>
            <w:tcW w:w="1275" w:type="dxa"/>
            <w:tcBorders>
              <w:bottom w:val="single" w:sz="4" w:space="0" w:color="auto"/>
            </w:tcBorders>
            <w:vAlign w:val="center"/>
          </w:tcPr>
          <w:p w14:paraId="474FD325"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4 796</w:t>
            </w:r>
          </w:p>
        </w:tc>
        <w:tc>
          <w:tcPr>
            <w:tcW w:w="1275" w:type="dxa"/>
            <w:tcBorders>
              <w:bottom w:val="single" w:sz="4" w:space="0" w:color="auto"/>
            </w:tcBorders>
            <w:vAlign w:val="center"/>
          </w:tcPr>
          <w:p w14:paraId="5C64101A"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15 424</w:t>
            </w:r>
          </w:p>
        </w:tc>
        <w:tc>
          <w:tcPr>
            <w:tcW w:w="1275" w:type="dxa"/>
            <w:tcBorders>
              <w:bottom w:val="single" w:sz="4" w:space="0" w:color="auto"/>
            </w:tcBorders>
            <w:vAlign w:val="center"/>
          </w:tcPr>
          <w:p w14:paraId="05CA913D" w14:textId="77777777" w:rsidR="00024EA1"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0</w:t>
            </w:r>
          </w:p>
        </w:tc>
      </w:tr>
      <w:tr w:rsidR="00024EA1" w:rsidRPr="00A25EED" w14:paraId="05F3529A" w14:textId="77777777" w:rsidTr="004C0772">
        <w:trPr>
          <w:trHeight w:val="284"/>
        </w:trPr>
        <w:tc>
          <w:tcPr>
            <w:tcW w:w="2972" w:type="dxa"/>
            <w:tcBorders>
              <w:bottom w:val="single" w:sz="4" w:space="0" w:color="auto"/>
            </w:tcBorders>
            <w:vAlign w:val="center"/>
          </w:tcPr>
          <w:p w14:paraId="7545B358" w14:textId="77777777" w:rsidR="00024EA1" w:rsidRPr="00A25EED" w:rsidRDefault="00024EA1" w:rsidP="004C0772">
            <w:pPr>
              <w:rPr>
                <w:rFonts w:ascii="Microsoft Sans Serif" w:hAnsi="Microsoft Sans Serif" w:cs="Microsoft Sans Serif"/>
                <w:bCs/>
                <w:sz w:val="19"/>
                <w:szCs w:val="19"/>
              </w:rPr>
            </w:pPr>
            <w:r w:rsidRPr="00A25EED">
              <w:rPr>
                <w:rFonts w:ascii="Microsoft Sans Serif" w:hAnsi="Microsoft Sans Serif" w:cs="Microsoft Sans Serif"/>
                <w:bCs/>
                <w:sz w:val="19"/>
                <w:szCs w:val="19"/>
              </w:rPr>
              <w:t>TOTAL</w:t>
            </w:r>
          </w:p>
        </w:tc>
        <w:tc>
          <w:tcPr>
            <w:tcW w:w="1276" w:type="dxa"/>
            <w:tcBorders>
              <w:bottom w:val="single" w:sz="4" w:space="0" w:color="auto"/>
            </w:tcBorders>
            <w:vAlign w:val="center"/>
          </w:tcPr>
          <w:p w14:paraId="0DFE354D"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257 181</w:t>
            </w:r>
          </w:p>
        </w:tc>
        <w:tc>
          <w:tcPr>
            <w:tcW w:w="1276" w:type="dxa"/>
            <w:tcBorders>
              <w:bottom w:val="single" w:sz="4" w:space="0" w:color="auto"/>
            </w:tcBorders>
            <w:vAlign w:val="center"/>
          </w:tcPr>
          <w:p w14:paraId="6C4F8809"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177 218</w:t>
            </w:r>
          </w:p>
        </w:tc>
        <w:tc>
          <w:tcPr>
            <w:tcW w:w="1275" w:type="dxa"/>
            <w:tcBorders>
              <w:bottom w:val="single" w:sz="4" w:space="0" w:color="auto"/>
            </w:tcBorders>
            <w:vAlign w:val="center"/>
          </w:tcPr>
          <w:p w14:paraId="4222C2E5"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79 964</w:t>
            </w:r>
          </w:p>
        </w:tc>
        <w:tc>
          <w:tcPr>
            <w:tcW w:w="1275" w:type="dxa"/>
            <w:tcBorders>
              <w:bottom w:val="single" w:sz="4" w:space="0" w:color="auto"/>
            </w:tcBorders>
            <w:vAlign w:val="center"/>
          </w:tcPr>
          <w:p w14:paraId="4A9BAE52"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257 181</w:t>
            </w:r>
          </w:p>
        </w:tc>
        <w:tc>
          <w:tcPr>
            <w:tcW w:w="1275" w:type="dxa"/>
            <w:tcBorders>
              <w:bottom w:val="single" w:sz="4" w:space="0" w:color="auto"/>
            </w:tcBorders>
            <w:vAlign w:val="center"/>
          </w:tcPr>
          <w:p w14:paraId="517B658A" w14:textId="77777777" w:rsidR="00024EA1" w:rsidRPr="00A25EED" w:rsidRDefault="00024EA1" w:rsidP="004C0772">
            <w:pPr>
              <w:jc w:val="right"/>
              <w:rPr>
                <w:rFonts w:ascii="Microsoft Sans Serif" w:hAnsi="Microsoft Sans Serif" w:cs="Microsoft Sans Serif"/>
                <w:bCs/>
                <w:sz w:val="19"/>
                <w:szCs w:val="19"/>
              </w:rPr>
            </w:pPr>
            <w:r w:rsidRPr="00A25EED">
              <w:rPr>
                <w:rFonts w:ascii="Microsoft Sans Serif" w:hAnsi="Microsoft Sans Serif" w:cs="Microsoft Sans Serif"/>
                <w:bCs/>
                <w:sz w:val="19"/>
                <w:szCs w:val="19"/>
              </w:rPr>
              <w:t>0</w:t>
            </w:r>
          </w:p>
        </w:tc>
      </w:tr>
    </w:tbl>
    <w:p w14:paraId="62B48DE6" w14:textId="77777777" w:rsidR="00024EA1" w:rsidRPr="00D1639B" w:rsidRDefault="00024EA1" w:rsidP="00024EA1">
      <w:pPr>
        <w:ind w:left="567"/>
        <w:rPr>
          <w:rFonts w:ascii="Arial Narrow" w:hAnsi="Arial Narrow" w:cs="Microsoft Sans Serif"/>
          <w:sz w:val="20"/>
          <w:szCs w:val="20"/>
        </w:rPr>
      </w:pPr>
    </w:p>
    <w:tbl>
      <w:tblPr>
        <w:tblStyle w:val="TableGrid"/>
        <w:tblW w:w="9351" w:type="dxa"/>
        <w:tblInd w:w="567" w:type="dxa"/>
        <w:tblLayout w:type="fixed"/>
        <w:tblLook w:val="04A0" w:firstRow="1" w:lastRow="0" w:firstColumn="1" w:lastColumn="0" w:noHBand="0" w:noVBand="1"/>
      </w:tblPr>
      <w:tblGrid>
        <w:gridCol w:w="2972"/>
        <w:gridCol w:w="1276"/>
        <w:gridCol w:w="1276"/>
        <w:gridCol w:w="2551"/>
        <w:gridCol w:w="1276"/>
      </w:tblGrid>
      <w:tr w:rsidR="00024EA1" w:rsidRPr="00D1639B" w14:paraId="0BA2F0AF" w14:textId="77777777" w:rsidTr="004C0772">
        <w:trPr>
          <w:trHeight w:val="284"/>
        </w:trPr>
        <w:tc>
          <w:tcPr>
            <w:tcW w:w="2972" w:type="dxa"/>
            <w:vAlign w:val="center"/>
          </w:tcPr>
          <w:p w14:paraId="43B493FC"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 xml:space="preserve">Versement </w:t>
            </w:r>
            <w:r>
              <w:rPr>
                <w:rFonts w:ascii="Microsoft Sans Serif" w:hAnsi="Microsoft Sans Serif" w:cs="Microsoft Sans Serif"/>
                <w:sz w:val="19"/>
                <w:szCs w:val="19"/>
              </w:rPr>
              <w:t>a</w:t>
            </w:r>
            <w:r w:rsidRPr="00D1639B">
              <w:rPr>
                <w:rFonts w:ascii="Microsoft Sans Serif" w:hAnsi="Microsoft Sans Serif" w:cs="Microsoft Sans Serif"/>
                <w:sz w:val="19"/>
                <w:szCs w:val="19"/>
              </w:rPr>
              <w:t xml:space="preserve">nticipé </w:t>
            </w:r>
            <w:r>
              <w:rPr>
                <w:rFonts w:ascii="Microsoft Sans Serif" w:hAnsi="Microsoft Sans Serif" w:cs="Microsoft Sans Serif"/>
                <w:sz w:val="19"/>
                <w:szCs w:val="19"/>
              </w:rPr>
              <w:t>r</w:t>
            </w:r>
            <w:r w:rsidRPr="00D1639B">
              <w:rPr>
                <w:rFonts w:ascii="Microsoft Sans Serif" w:hAnsi="Microsoft Sans Serif" w:cs="Microsoft Sans Serif"/>
                <w:sz w:val="19"/>
                <w:szCs w:val="19"/>
              </w:rPr>
              <w:t>eçu</w:t>
            </w:r>
          </w:p>
        </w:tc>
        <w:tc>
          <w:tcPr>
            <w:tcW w:w="1276" w:type="dxa"/>
            <w:vAlign w:val="center"/>
          </w:tcPr>
          <w:p w14:paraId="019E05D0" w14:textId="77777777" w:rsidR="00024EA1" w:rsidRPr="00D1639B" w:rsidRDefault="00024EA1" w:rsidP="004C0772">
            <w:pPr>
              <w:rPr>
                <w:rFonts w:ascii="Microsoft Sans Serif" w:hAnsi="Microsoft Sans Serif" w:cs="Microsoft Sans Serif"/>
                <w:sz w:val="19"/>
                <w:szCs w:val="19"/>
              </w:rPr>
            </w:pPr>
          </w:p>
        </w:tc>
        <w:tc>
          <w:tcPr>
            <w:tcW w:w="1276" w:type="dxa"/>
          </w:tcPr>
          <w:p w14:paraId="2651B92E" w14:textId="77777777" w:rsidR="00024EA1" w:rsidRPr="00D1639B" w:rsidRDefault="00024EA1" w:rsidP="004C0772">
            <w:pPr>
              <w:rPr>
                <w:rFonts w:ascii="Microsoft Sans Serif" w:hAnsi="Microsoft Sans Serif" w:cs="Microsoft Sans Serif"/>
                <w:sz w:val="19"/>
                <w:szCs w:val="19"/>
              </w:rPr>
            </w:pPr>
          </w:p>
        </w:tc>
        <w:tc>
          <w:tcPr>
            <w:tcW w:w="2551" w:type="dxa"/>
            <w:vAlign w:val="center"/>
          </w:tcPr>
          <w:p w14:paraId="2839F188" w14:textId="77777777" w:rsidR="00024EA1" w:rsidRPr="00D1639B" w:rsidRDefault="00024EA1" w:rsidP="004C0772">
            <w:pPr>
              <w:rPr>
                <w:rFonts w:ascii="Microsoft Sans Serif" w:hAnsi="Microsoft Sans Serif" w:cs="Microsoft Sans Serif"/>
                <w:sz w:val="19"/>
                <w:szCs w:val="19"/>
              </w:rPr>
            </w:pPr>
          </w:p>
        </w:tc>
        <w:tc>
          <w:tcPr>
            <w:tcW w:w="1276" w:type="dxa"/>
            <w:vAlign w:val="center"/>
          </w:tcPr>
          <w:p w14:paraId="51F3A8E3" w14:textId="77777777" w:rsidR="00024EA1" w:rsidRPr="00D1639B" w:rsidRDefault="00024EA1" w:rsidP="004C0772">
            <w:pPr>
              <w:jc w:val="right"/>
              <w:rPr>
                <w:rFonts w:ascii="Microsoft Sans Serif" w:hAnsi="Microsoft Sans Serif" w:cs="Microsoft Sans Serif"/>
                <w:sz w:val="19"/>
                <w:szCs w:val="19"/>
              </w:rPr>
            </w:pPr>
            <w:r>
              <w:rPr>
                <w:rFonts w:ascii="Microsoft Sans Serif" w:hAnsi="Microsoft Sans Serif" w:cs="Microsoft Sans Serif"/>
                <w:sz w:val="19"/>
                <w:szCs w:val="19"/>
              </w:rPr>
              <w:t>150</w:t>
            </w:r>
            <w:r w:rsidRPr="00D1639B">
              <w:rPr>
                <w:rFonts w:ascii="Microsoft Sans Serif" w:hAnsi="Microsoft Sans Serif" w:cs="Microsoft Sans Serif"/>
                <w:sz w:val="19"/>
                <w:szCs w:val="19"/>
              </w:rPr>
              <w:t> 000</w:t>
            </w:r>
          </w:p>
        </w:tc>
      </w:tr>
      <w:tr w:rsidR="00024EA1" w:rsidRPr="00D1639B" w14:paraId="6AE7B9CD" w14:textId="77777777" w:rsidTr="004C0772">
        <w:trPr>
          <w:trHeight w:val="284"/>
        </w:trPr>
        <w:tc>
          <w:tcPr>
            <w:tcW w:w="2972" w:type="dxa"/>
            <w:vAlign w:val="center"/>
          </w:tcPr>
          <w:p w14:paraId="04F82E10" w14:textId="77777777" w:rsidR="00024EA1" w:rsidRPr="00293C3D" w:rsidRDefault="00024EA1" w:rsidP="004C0772">
            <w:pPr>
              <w:rPr>
                <w:rFonts w:ascii="Microsoft Sans Serif" w:hAnsi="Microsoft Sans Serif" w:cs="Microsoft Sans Serif"/>
                <w:bCs/>
                <w:sz w:val="19"/>
                <w:szCs w:val="19"/>
              </w:rPr>
            </w:pPr>
            <w:r w:rsidRPr="00293C3D">
              <w:rPr>
                <w:rFonts w:ascii="Microsoft Sans Serif" w:hAnsi="Microsoft Sans Serif" w:cs="Microsoft Sans Serif"/>
                <w:bCs/>
                <w:sz w:val="19"/>
                <w:szCs w:val="19"/>
              </w:rPr>
              <w:t>Solde</w:t>
            </w:r>
          </w:p>
        </w:tc>
        <w:tc>
          <w:tcPr>
            <w:tcW w:w="1276" w:type="dxa"/>
            <w:vAlign w:val="center"/>
          </w:tcPr>
          <w:p w14:paraId="400BD00A" w14:textId="77777777" w:rsidR="00024EA1" w:rsidRPr="00D1639B" w:rsidRDefault="00024EA1" w:rsidP="004C0772">
            <w:pPr>
              <w:rPr>
                <w:rFonts w:ascii="Microsoft Sans Serif" w:hAnsi="Microsoft Sans Serif" w:cs="Microsoft Sans Serif"/>
                <w:b/>
                <w:sz w:val="19"/>
                <w:szCs w:val="19"/>
              </w:rPr>
            </w:pPr>
          </w:p>
        </w:tc>
        <w:tc>
          <w:tcPr>
            <w:tcW w:w="1276" w:type="dxa"/>
          </w:tcPr>
          <w:p w14:paraId="2038DA43" w14:textId="77777777" w:rsidR="00024EA1" w:rsidRPr="00D1639B" w:rsidRDefault="00024EA1" w:rsidP="004C0772">
            <w:pPr>
              <w:rPr>
                <w:rFonts w:ascii="Microsoft Sans Serif" w:hAnsi="Microsoft Sans Serif" w:cs="Microsoft Sans Serif"/>
                <w:b/>
                <w:sz w:val="19"/>
                <w:szCs w:val="19"/>
              </w:rPr>
            </w:pPr>
          </w:p>
        </w:tc>
        <w:tc>
          <w:tcPr>
            <w:tcW w:w="2551" w:type="dxa"/>
            <w:vAlign w:val="center"/>
          </w:tcPr>
          <w:p w14:paraId="401A12E2" w14:textId="77777777" w:rsidR="00024EA1" w:rsidRPr="00D1639B" w:rsidRDefault="00024EA1" w:rsidP="004C0772">
            <w:pPr>
              <w:rPr>
                <w:rFonts w:ascii="Microsoft Sans Serif" w:hAnsi="Microsoft Sans Serif" w:cs="Microsoft Sans Serif"/>
                <w:b/>
                <w:sz w:val="19"/>
                <w:szCs w:val="19"/>
              </w:rPr>
            </w:pPr>
          </w:p>
        </w:tc>
        <w:tc>
          <w:tcPr>
            <w:tcW w:w="1276" w:type="dxa"/>
            <w:vAlign w:val="center"/>
          </w:tcPr>
          <w:p w14:paraId="43533A13" w14:textId="77777777" w:rsidR="00024EA1" w:rsidRPr="00293C3D" w:rsidRDefault="00024EA1" w:rsidP="004C0772">
            <w:pPr>
              <w:jc w:val="right"/>
              <w:rPr>
                <w:rFonts w:ascii="Microsoft Sans Serif" w:hAnsi="Microsoft Sans Serif" w:cs="Microsoft Sans Serif"/>
                <w:bCs/>
                <w:sz w:val="19"/>
                <w:szCs w:val="19"/>
              </w:rPr>
            </w:pPr>
            <w:r w:rsidRPr="00293C3D">
              <w:rPr>
                <w:rFonts w:ascii="Microsoft Sans Serif" w:hAnsi="Microsoft Sans Serif" w:cs="Microsoft Sans Serif"/>
                <w:bCs/>
                <w:sz w:val="19"/>
                <w:szCs w:val="19"/>
              </w:rPr>
              <w:t>0</w:t>
            </w:r>
          </w:p>
        </w:tc>
      </w:tr>
    </w:tbl>
    <w:p w14:paraId="56CFD193" w14:textId="77777777" w:rsidR="00024EA1" w:rsidRPr="00D1639B" w:rsidRDefault="00024EA1" w:rsidP="00024EA1">
      <w:pPr>
        <w:ind w:left="567"/>
        <w:rPr>
          <w:rFonts w:ascii="Arial Narrow" w:hAnsi="Arial Narrow" w:cs="Microsoft Sans Serif"/>
          <w:sz w:val="20"/>
          <w:szCs w:val="20"/>
        </w:rPr>
      </w:pPr>
    </w:p>
    <w:tbl>
      <w:tblPr>
        <w:tblStyle w:val="TableGrid"/>
        <w:tblW w:w="0" w:type="auto"/>
        <w:tblInd w:w="567" w:type="dxa"/>
        <w:tblLook w:val="04A0" w:firstRow="1" w:lastRow="0" w:firstColumn="1" w:lastColumn="0" w:noHBand="0" w:noVBand="1"/>
      </w:tblPr>
      <w:tblGrid>
        <w:gridCol w:w="1980"/>
        <w:gridCol w:w="992"/>
      </w:tblGrid>
      <w:tr w:rsidR="00024EA1" w:rsidRPr="00D1639B" w14:paraId="26B98C18" w14:textId="77777777" w:rsidTr="004C0772">
        <w:trPr>
          <w:trHeight w:val="284"/>
        </w:trPr>
        <w:tc>
          <w:tcPr>
            <w:tcW w:w="1980" w:type="dxa"/>
            <w:vAlign w:val="center"/>
          </w:tcPr>
          <w:p w14:paraId="7DA7E803" w14:textId="77777777" w:rsidR="00024EA1" w:rsidRPr="00D1639B" w:rsidRDefault="00024EA1" w:rsidP="004C0772">
            <w:pPr>
              <w:rPr>
                <w:rFonts w:ascii="Microsoft Sans Serif" w:hAnsi="Microsoft Sans Serif" w:cs="Microsoft Sans Serif"/>
                <w:sz w:val="19"/>
                <w:szCs w:val="19"/>
              </w:rPr>
            </w:pPr>
            <w:r>
              <w:rPr>
                <w:rFonts w:ascii="Microsoft Sans Serif" w:hAnsi="Microsoft Sans Serif" w:cs="Microsoft Sans Serif"/>
                <w:sz w:val="19"/>
                <w:szCs w:val="19"/>
              </w:rPr>
              <w:t>F</w:t>
            </w:r>
            <w:r w:rsidRPr="00D1639B">
              <w:rPr>
                <w:rFonts w:ascii="Microsoft Sans Serif" w:hAnsi="Microsoft Sans Serif" w:cs="Microsoft Sans Serif"/>
                <w:sz w:val="19"/>
                <w:szCs w:val="19"/>
              </w:rPr>
              <w:t>rais généraux en %</w:t>
            </w:r>
          </w:p>
        </w:tc>
        <w:tc>
          <w:tcPr>
            <w:tcW w:w="992" w:type="dxa"/>
            <w:vAlign w:val="center"/>
          </w:tcPr>
          <w:p w14:paraId="2D7CC5B5" w14:textId="77777777" w:rsidR="00024EA1" w:rsidRPr="00D1639B" w:rsidRDefault="00024EA1" w:rsidP="004C0772">
            <w:pPr>
              <w:rPr>
                <w:rFonts w:ascii="Microsoft Sans Serif" w:hAnsi="Microsoft Sans Serif" w:cs="Microsoft Sans Serif"/>
                <w:sz w:val="19"/>
                <w:szCs w:val="19"/>
              </w:rPr>
            </w:pPr>
            <w:r w:rsidRPr="00D1639B">
              <w:rPr>
                <w:rFonts w:ascii="Microsoft Sans Serif" w:hAnsi="Microsoft Sans Serif" w:cs="Microsoft Sans Serif"/>
                <w:sz w:val="19"/>
                <w:szCs w:val="19"/>
              </w:rPr>
              <w:t>6,38</w:t>
            </w:r>
            <w:r>
              <w:rPr>
                <w:rFonts w:ascii="Microsoft Sans Serif" w:hAnsi="Microsoft Sans Serif" w:cs="Microsoft Sans Serif"/>
                <w:sz w:val="19"/>
                <w:szCs w:val="19"/>
              </w:rPr>
              <w:t> </w:t>
            </w:r>
            <w:r w:rsidRPr="00D1639B">
              <w:rPr>
                <w:rFonts w:ascii="Microsoft Sans Serif" w:hAnsi="Microsoft Sans Serif" w:cs="Microsoft Sans Serif"/>
                <w:sz w:val="19"/>
                <w:szCs w:val="19"/>
              </w:rPr>
              <w:t>%</w:t>
            </w:r>
          </w:p>
        </w:tc>
      </w:tr>
    </w:tbl>
    <w:p w14:paraId="3740384E" w14:textId="77777777" w:rsidR="00024EA1" w:rsidRPr="00D1639B" w:rsidRDefault="00024EA1" w:rsidP="00024EA1">
      <w:pPr>
        <w:ind w:left="567"/>
        <w:rPr>
          <w:rFonts w:ascii="Arial Narrow" w:hAnsi="Arial Narrow" w:cs="Microsoft Sans Serif"/>
          <w:sz w:val="20"/>
          <w:szCs w:val="20"/>
        </w:rPr>
      </w:pPr>
    </w:p>
    <w:p w14:paraId="35BCDC08" w14:textId="77777777" w:rsidR="00024EA1" w:rsidRPr="00D1639B" w:rsidRDefault="00024EA1" w:rsidP="00024EA1">
      <w:pPr>
        <w:ind w:left="567"/>
        <w:rPr>
          <w:rFonts w:ascii="Arial Narrow" w:hAnsi="Arial Narrow" w:cs="Microsoft Sans Serif"/>
          <w:sz w:val="20"/>
          <w:szCs w:val="20"/>
        </w:rPr>
      </w:pPr>
    </w:p>
    <w:p w14:paraId="2951F4A0" w14:textId="77777777" w:rsidR="00024EA1" w:rsidRDefault="00024EA1" w:rsidP="00024EA1">
      <w:pPr>
        <w:ind w:left="567"/>
        <w:rPr>
          <w:rFonts w:ascii="Microsoft Sans Serif" w:hAnsi="Microsoft Sans Serif" w:cs="Microsoft Sans Serif"/>
        </w:rPr>
      </w:pPr>
    </w:p>
    <w:tbl>
      <w:tblPr>
        <w:tblStyle w:val="TableGrid"/>
        <w:tblW w:w="0" w:type="auto"/>
        <w:tblInd w:w="567" w:type="dxa"/>
        <w:tblLook w:val="04A0" w:firstRow="1" w:lastRow="0" w:firstColumn="1" w:lastColumn="0" w:noHBand="0" w:noVBand="1"/>
      </w:tblPr>
      <w:tblGrid>
        <w:gridCol w:w="2101"/>
        <w:gridCol w:w="2114"/>
        <w:gridCol w:w="2113"/>
        <w:gridCol w:w="2121"/>
      </w:tblGrid>
      <w:tr w:rsidR="00024EA1" w:rsidRPr="00EF2802" w14:paraId="53C801EB" w14:textId="77777777" w:rsidTr="004C0772">
        <w:trPr>
          <w:trHeight w:val="454"/>
        </w:trPr>
        <w:tc>
          <w:tcPr>
            <w:tcW w:w="2337" w:type="dxa"/>
            <w:vAlign w:val="center"/>
          </w:tcPr>
          <w:p w14:paraId="4822702C"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Nom</w:t>
            </w:r>
          </w:p>
        </w:tc>
        <w:tc>
          <w:tcPr>
            <w:tcW w:w="2337" w:type="dxa"/>
            <w:vAlign w:val="center"/>
          </w:tcPr>
          <w:p w14:paraId="6C361DDA"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Pr Noam Shomron</w:t>
            </w:r>
          </w:p>
        </w:tc>
        <w:tc>
          <w:tcPr>
            <w:tcW w:w="2338" w:type="dxa"/>
            <w:vAlign w:val="center"/>
          </w:tcPr>
          <w:p w14:paraId="7324142D"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Maayan Ben Yosef</w:t>
            </w:r>
          </w:p>
        </w:tc>
        <w:tc>
          <w:tcPr>
            <w:tcW w:w="2338" w:type="dxa"/>
            <w:vAlign w:val="center"/>
          </w:tcPr>
          <w:p w14:paraId="4A26F669"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Hani Shahmoon</w:t>
            </w:r>
          </w:p>
        </w:tc>
      </w:tr>
      <w:tr w:rsidR="00024EA1" w:rsidRPr="00EF2802" w14:paraId="303A81FA" w14:textId="77777777" w:rsidTr="004C0772">
        <w:trPr>
          <w:trHeight w:val="454"/>
        </w:trPr>
        <w:tc>
          <w:tcPr>
            <w:tcW w:w="2337" w:type="dxa"/>
            <w:vAlign w:val="center"/>
          </w:tcPr>
          <w:p w14:paraId="3AFE842A"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Titre</w:t>
            </w:r>
          </w:p>
        </w:tc>
        <w:tc>
          <w:tcPr>
            <w:tcW w:w="2337" w:type="dxa"/>
            <w:vAlign w:val="center"/>
          </w:tcPr>
          <w:p w14:paraId="51211965"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Chercheur principal</w:t>
            </w:r>
          </w:p>
        </w:tc>
        <w:tc>
          <w:tcPr>
            <w:tcW w:w="2338" w:type="dxa"/>
            <w:vAlign w:val="center"/>
          </w:tcPr>
          <w:p w14:paraId="7DD8253C"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Agent comptable</w:t>
            </w:r>
          </w:p>
        </w:tc>
        <w:tc>
          <w:tcPr>
            <w:tcW w:w="2338" w:type="dxa"/>
            <w:vAlign w:val="center"/>
          </w:tcPr>
          <w:p w14:paraId="68195E10"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Chef de l’Unité comptable</w:t>
            </w:r>
          </w:p>
        </w:tc>
      </w:tr>
      <w:tr w:rsidR="00024EA1" w:rsidRPr="00EF2802" w14:paraId="4B937F3F" w14:textId="77777777" w:rsidTr="004C0772">
        <w:trPr>
          <w:trHeight w:val="454"/>
        </w:trPr>
        <w:tc>
          <w:tcPr>
            <w:tcW w:w="2337" w:type="dxa"/>
            <w:vAlign w:val="center"/>
          </w:tcPr>
          <w:p w14:paraId="4F991874" w14:textId="77777777" w:rsidR="00024EA1" w:rsidRPr="00EF2802" w:rsidRDefault="00024EA1" w:rsidP="004C0772">
            <w:pPr>
              <w:rPr>
                <w:rFonts w:ascii="Microsoft Sans Serif" w:hAnsi="Microsoft Sans Serif" w:cs="Microsoft Sans Serif"/>
                <w:sz w:val="19"/>
                <w:szCs w:val="19"/>
              </w:rPr>
            </w:pPr>
            <w:r w:rsidRPr="00EF2802">
              <w:rPr>
                <w:rFonts w:ascii="Microsoft Sans Serif" w:hAnsi="Microsoft Sans Serif" w:cs="Microsoft Sans Serif"/>
                <w:sz w:val="19"/>
                <w:szCs w:val="19"/>
              </w:rPr>
              <w:t>Signature</w:t>
            </w:r>
          </w:p>
        </w:tc>
        <w:tc>
          <w:tcPr>
            <w:tcW w:w="2337" w:type="dxa"/>
            <w:vAlign w:val="center"/>
          </w:tcPr>
          <w:p w14:paraId="3F4C02AA"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c>
          <w:tcPr>
            <w:tcW w:w="2338" w:type="dxa"/>
            <w:vAlign w:val="center"/>
          </w:tcPr>
          <w:p w14:paraId="620F1C81"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c>
          <w:tcPr>
            <w:tcW w:w="2338" w:type="dxa"/>
            <w:vAlign w:val="center"/>
          </w:tcPr>
          <w:p w14:paraId="78C57E84" w14:textId="77777777" w:rsidR="00024EA1" w:rsidRPr="00EF2802" w:rsidRDefault="00024EA1" w:rsidP="004C0772">
            <w:pPr>
              <w:jc w:val="center"/>
              <w:rPr>
                <w:rFonts w:ascii="Microsoft Sans Serif" w:hAnsi="Microsoft Sans Serif" w:cs="Microsoft Sans Serif"/>
                <w:sz w:val="19"/>
                <w:szCs w:val="19"/>
              </w:rPr>
            </w:pPr>
            <w:r>
              <w:rPr>
                <w:rFonts w:ascii="Microsoft Sans Serif" w:hAnsi="Microsoft Sans Serif" w:cs="Microsoft Sans Serif"/>
                <w:sz w:val="19"/>
                <w:szCs w:val="19"/>
              </w:rPr>
              <w:t>[</w:t>
            </w:r>
            <w:proofErr w:type="gramStart"/>
            <w:r>
              <w:rPr>
                <w:rFonts w:ascii="Microsoft Sans Serif" w:hAnsi="Microsoft Sans Serif" w:cs="Microsoft Sans Serif"/>
                <w:sz w:val="19"/>
                <w:szCs w:val="19"/>
              </w:rPr>
              <w:t>voir</w:t>
            </w:r>
            <w:proofErr w:type="gramEnd"/>
            <w:r>
              <w:rPr>
                <w:rFonts w:ascii="Microsoft Sans Serif" w:hAnsi="Microsoft Sans Serif" w:cs="Microsoft Sans Serif"/>
                <w:sz w:val="19"/>
                <w:szCs w:val="19"/>
              </w:rPr>
              <w:t xml:space="preserve"> document original]</w:t>
            </w:r>
          </w:p>
        </w:tc>
      </w:tr>
    </w:tbl>
    <w:p w14:paraId="74855FF0" w14:textId="77777777" w:rsidR="00024EA1" w:rsidRPr="00A903BE" w:rsidRDefault="00024EA1" w:rsidP="00024EA1">
      <w:pPr>
        <w:ind w:left="567"/>
        <w:rPr>
          <w:rFonts w:ascii="Microsoft Sans Serif" w:hAnsi="Microsoft Sans Serif" w:cs="Microsoft Sans Serif"/>
        </w:rPr>
      </w:pPr>
    </w:p>
    <w:p w14:paraId="2C93A4F2" w14:textId="77777777" w:rsidR="00024EA1" w:rsidRDefault="00024EA1" w:rsidP="00300AB8">
      <w:pPr>
        <w:rPr>
          <w:rFonts w:ascii="Arial" w:hAnsi="Arial" w:cs="Arial"/>
          <w:sz w:val="22"/>
          <w:szCs w:val="22"/>
        </w:rPr>
      </w:pPr>
    </w:p>
    <w:sectPr w:rsidR="00024EA1">
      <w:headerReference w:type="default" r:id="rId31"/>
      <w:footerReference w:type="default" r:id="rId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CA0C49" w14:textId="77777777" w:rsidR="004071A4" w:rsidRDefault="004071A4" w:rsidP="00BB0FEA">
      <w:r>
        <w:separator/>
      </w:r>
    </w:p>
  </w:endnote>
  <w:endnote w:type="continuationSeparator" w:id="0">
    <w:p w14:paraId="0714314E" w14:textId="77777777" w:rsidR="004071A4" w:rsidRDefault="004071A4" w:rsidP="00BB0F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embedRegular r:id="rId1" w:fontKey="{6977C989-8835-6744-AEC9-21FEBB541E31}"/>
    <w:embedBold r:id="rId2" w:fontKey="{BF9117FD-7761-2446-978A-8E2234FDBAD3}"/>
    <w:embedItalic r:id="rId3" w:fontKey="{A446E5F1-FE4F-1142-9755-BF9FE91DCE49}"/>
    <w:embedBoldItalic r:id="rId4" w:fontKey="{D3A30079-9E79-744D-BC9D-3962229D64CD}"/>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embedRegular r:id="rId5" w:subsetted="1" w:fontKey="{CB82A5E7-F1F4-AE4D-8420-4EDF3343405C}"/>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embedRegular r:id="rId6" w:fontKey="{BB5A180D-0064-4F43-BC08-A2A166349E4A}"/>
    <w:embedBold r:id="rId7" w:fontKey="{C3879792-DA34-DE4F-9BC6-611F5ADAD0F3}"/>
    <w:embedItalic r:id="rId8" w:fontKey="{73A063AC-B3E6-784E-BDF7-01AFB00E3BA1}"/>
    <w:embedBoldItalic r:id="rId9" w:fontKey="{BAE207D3-0EB8-BF48-9316-EEB0610DD973}"/>
  </w:font>
  <w:font w:name="Cambria Math">
    <w:panose1 w:val="02040503050406030204"/>
    <w:charset w:val="00"/>
    <w:family w:val="roman"/>
    <w:pitch w:val="variable"/>
    <w:sig w:usb0="E00002FF" w:usb1="420024FF" w:usb2="00000000" w:usb3="00000000" w:csb0="0000019F" w:csb1="00000000"/>
    <w:embedItalic r:id="rId10" w:fontKey="{C0DE9C15-D3BC-6442-A4E3-7B38A05156FE}"/>
  </w:font>
  <w:font w:name="Microsoft Sans Serif">
    <w:panose1 w:val="020B0604020202020204"/>
    <w:charset w:val="00"/>
    <w:family w:val="swiss"/>
    <w:pitch w:val="variable"/>
    <w:sig w:usb0="E1002AFF" w:usb1="C0000002" w:usb2="00000008" w:usb3="00000000" w:csb0="000101FF" w:csb1="00000000"/>
    <w:embedRegular r:id="rId11" w:fontKey="{4E520C4C-D498-EF4C-A442-7FF7B79302A5}"/>
    <w:embedBold r:id="rId12" w:fontKey="{24541533-1CC5-644E-AAC1-AD224351468E}"/>
  </w:font>
  <w:font w:name="Arial Narrow">
    <w:panose1 w:val="020B0606020202030204"/>
    <w:charset w:val="00"/>
    <w:family w:val="swiss"/>
    <w:pitch w:val="variable"/>
    <w:sig w:usb0="00000287" w:usb1="00000800" w:usb2="00000000" w:usb3="00000000" w:csb0="0000009F" w:csb1="00000000"/>
  </w:font>
  <w:font w:name="Arial Nova">
    <w:panose1 w:val="020B0504020202020204"/>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DE71D" w14:textId="3BA311A2" w:rsidR="00BB0FEA" w:rsidRDefault="00BB0FEA" w:rsidP="00BB0FEA">
    <w:pPr>
      <w:pStyle w:val="Footer"/>
      <w:tabs>
        <w:tab w:val="clear" w:pos="4513"/>
        <w:tab w:val="clear" w:pos="9026"/>
        <w:tab w:val="left" w:pos="3850"/>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2F64A" w14:textId="414AF538" w:rsidR="00BB0FEA" w:rsidRDefault="00BB0FEA" w:rsidP="00BB0FEA">
    <w:pPr>
      <w:pStyle w:val="Footer"/>
      <w:tabs>
        <w:tab w:val="clear" w:pos="4513"/>
        <w:tab w:val="clear" w:pos="9026"/>
        <w:tab w:val="left" w:pos="3850"/>
      </w:tabs>
      <w:jc w:val="center"/>
    </w:pPr>
    <w:r>
      <w:rPr>
        <w:noProof/>
      </w:rPr>
      <w:drawing>
        <wp:inline distT="0" distB="0" distL="0" distR="0" wp14:anchorId="35ACBA6E" wp14:editId="3E78DFC8">
          <wp:extent cx="5225143" cy="6017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5305804" cy="61107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003F0D" w14:textId="77777777" w:rsidR="004071A4" w:rsidRDefault="004071A4" w:rsidP="00BB0FEA">
      <w:r>
        <w:separator/>
      </w:r>
    </w:p>
  </w:footnote>
  <w:footnote w:type="continuationSeparator" w:id="0">
    <w:p w14:paraId="456D62BE" w14:textId="77777777" w:rsidR="004071A4" w:rsidRDefault="004071A4" w:rsidP="00BB0F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33551" w14:textId="1ED13CEB" w:rsidR="00BB0FEA" w:rsidRDefault="00BB0FEA">
    <w:pPr>
      <w:pStyle w:val="Header"/>
    </w:pPr>
    <w:r>
      <w:rPr>
        <w:noProof/>
      </w:rPr>
      <w:drawing>
        <wp:inline distT="0" distB="0" distL="0" distR="0" wp14:anchorId="5C1ACAB4" wp14:editId="65008451">
          <wp:extent cx="5731510" cy="694394"/>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5731510" cy="69439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941670"/>
    <w:multiLevelType w:val="hybridMultilevel"/>
    <w:tmpl w:val="F3A2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F965B66"/>
    <w:multiLevelType w:val="multilevel"/>
    <w:tmpl w:val="3FB6873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4E002BF6"/>
    <w:multiLevelType w:val="multilevel"/>
    <w:tmpl w:val="5FB0639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 w15:restartNumberingAfterBreak="0">
    <w:nsid w:val="5DB53992"/>
    <w:multiLevelType w:val="multilevel"/>
    <w:tmpl w:val="8A72D5A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F6D303A"/>
    <w:multiLevelType w:val="hybridMultilevel"/>
    <w:tmpl w:val="D7B0FC3E"/>
    <w:lvl w:ilvl="0" w:tplc="BD1EDF2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84354157">
    <w:abstractNumId w:val="1"/>
  </w:num>
  <w:num w:numId="2" w16cid:durableId="2135980292">
    <w:abstractNumId w:val="2"/>
  </w:num>
  <w:num w:numId="3" w16cid:durableId="2066446398">
    <w:abstractNumId w:val="3"/>
  </w:num>
  <w:num w:numId="4" w16cid:durableId="503787491">
    <w:abstractNumId w:val="4"/>
  </w:num>
  <w:num w:numId="5" w16cid:durableId="4881359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saveSubsetFont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5E2B"/>
    <w:rsid w:val="00015C42"/>
    <w:rsid w:val="00024EA1"/>
    <w:rsid w:val="00052609"/>
    <w:rsid w:val="000C2658"/>
    <w:rsid w:val="00112C05"/>
    <w:rsid w:val="00142E17"/>
    <w:rsid w:val="00142EFA"/>
    <w:rsid w:val="001509CF"/>
    <w:rsid w:val="00173E8F"/>
    <w:rsid w:val="001B47C8"/>
    <w:rsid w:val="001E359B"/>
    <w:rsid w:val="00293287"/>
    <w:rsid w:val="002D2C47"/>
    <w:rsid w:val="00300AB8"/>
    <w:rsid w:val="00385E18"/>
    <w:rsid w:val="003F39AE"/>
    <w:rsid w:val="004037A8"/>
    <w:rsid w:val="0040628E"/>
    <w:rsid w:val="004071A4"/>
    <w:rsid w:val="005D1C8B"/>
    <w:rsid w:val="0067598C"/>
    <w:rsid w:val="006D38E3"/>
    <w:rsid w:val="00711AC0"/>
    <w:rsid w:val="00775E2B"/>
    <w:rsid w:val="007B1477"/>
    <w:rsid w:val="007C7E80"/>
    <w:rsid w:val="00871579"/>
    <w:rsid w:val="009B335D"/>
    <w:rsid w:val="00A3178A"/>
    <w:rsid w:val="00B56607"/>
    <w:rsid w:val="00B76CD7"/>
    <w:rsid w:val="00B97D5D"/>
    <w:rsid w:val="00BB0FEA"/>
    <w:rsid w:val="00C02594"/>
    <w:rsid w:val="00C36A7E"/>
    <w:rsid w:val="00CA51F7"/>
    <w:rsid w:val="00CD60CD"/>
    <w:rsid w:val="00D3787D"/>
    <w:rsid w:val="00D7146F"/>
    <w:rsid w:val="00E00560"/>
    <w:rsid w:val="00E32C0D"/>
    <w:rsid w:val="00EE0EBF"/>
    <w:rsid w:val="00F0134D"/>
    <w:rsid w:val="00F226C2"/>
  </w:rsids>
  <m:mathPr>
    <m:mathFont m:val="Cambria Math"/>
    <m:brkBin m:val="before"/>
    <m:brkBinSub m:val="--"/>
    <m:smallFrac m:val="0"/>
    <m:dispDef/>
    <m:lMargin m:val="0"/>
    <m:rMargin m:val="0"/>
    <m:defJc m:val="centerGroup"/>
    <m:wrapIndent m:val="1440"/>
    <m:intLim m:val="subSup"/>
    <m:naryLim m:val="undOvr"/>
  </m:mathPr>
  <w:themeFontLang w:val="en-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5B126D"/>
  <w15:chartTrackingRefBased/>
  <w15:docId w15:val="{BEE90D56-9970-B549-8752-429D0F646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75E2B"/>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39"/>
    <w:rsid w:val="00F226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76CD7"/>
    <w:pPr>
      <w:ind w:left="720"/>
      <w:contextualSpacing/>
    </w:pPr>
  </w:style>
  <w:style w:type="character" w:styleId="Hyperlink">
    <w:name w:val="Hyperlink"/>
    <w:basedOn w:val="DefaultParagraphFont"/>
    <w:uiPriority w:val="99"/>
    <w:unhideWhenUsed/>
    <w:rsid w:val="00D3787D"/>
    <w:rPr>
      <w:color w:val="0563C1" w:themeColor="hyperlink"/>
      <w:u w:val="single"/>
    </w:rPr>
  </w:style>
  <w:style w:type="character" w:styleId="UnresolvedMention">
    <w:name w:val="Unresolved Mention"/>
    <w:basedOn w:val="DefaultParagraphFont"/>
    <w:uiPriority w:val="99"/>
    <w:semiHidden/>
    <w:unhideWhenUsed/>
    <w:rsid w:val="00D3787D"/>
    <w:rPr>
      <w:color w:val="605E5C"/>
      <w:shd w:val="clear" w:color="auto" w:fill="E1DFDD"/>
    </w:rPr>
  </w:style>
  <w:style w:type="paragraph" w:styleId="Header">
    <w:name w:val="header"/>
    <w:basedOn w:val="Normal"/>
    <w:link w:val="HeaderChar"/>
    <w:uiPriority w:val="99"/>
    <w:unhideWhenUsed/>
    <w:rsid w:val="00BB0FEA"/>
    <w:pPr>
      <w:tabs>
        <w:tab w:val="center" w:pos="4513"/>
        <w:tab w:val="right" w:pos="9026"/>
      </w:tabs>
    </w:pPr>
  </w:style>
  <w:style w:type="character" w:customStyle="1" w:styleId="HeaderChar">
    <w:name w:val="Header Char"/>
    <w:basedOn w:val="DefaultParagraphFont"/>
    <w:link w:val="Header"/>
    <w:uiPriority w:val="99"/>
    <w:rsid w:val="00BB0FEA"/>
  </w:style>
  <w:style w:type="paragraph" w:styleId="Footer">
    <w:name w:val="footer"/>
    <w:basedOn w:val="Normal"/>
    <w:link w:val="FooterChar"/>
    <w:uiPriority w:val="99"/>
    <w:unhideWhenUsed/>
    <w:rsid w:val="00BB0FEA"/>
    <w:pPr>
      <w:tabs>
        <w:tab w:val="center" w:pos="4513"/>
        <w:tab w:val="right" w:pos="9026"/>
      </w:tabs>
    </w:pPr>
  </w:style>
  <w:style w:type="character" w:customStyle="1" w:styleId="FooterChar">
    <w:name w:val="Footer Char"/>
    <w:basedOn w:val="DefaultParagraphFont"/>
    <w:link w:val="Footer"/>
    <w:uiPriority w:val="99"/>
    <w:rsid w:val="00BB0F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6673">
      <w:bodyDiv w:val="1"/>
      <w:marLeft w:val="0"/>
      <w:marRight w:val="0"/>
      <w:marTop w:val="0"/>
      <w:marBottom w:val="0"/>
      <w:divBdr>
        <w:top w:val="none" w:sz="0" w:space="0" w:color="auto"/>
        <w:left w:val="none" w:sz="0" w:space="0" w:color="auto"/>
        <w:bottom w:val="none" w:sz="0" w:space="0" w:color="auto"/>
        <w:right w:val="none" w:sz="0" w:space="0" w:color="auto"/>
      </w:divBdr>
      <w:divsChild>
        <w:div w:id="1138108902">
          <w:marLeft w:val="0"/>
          <w:marRight w:val="0"/>
          <w:marTop w:val="0"/>
          <w:marBottom w:val="0"/>
          <w:divBdr>
            <w:top w:val="none" w:sz="0" w:space="0" w:color="auto"/>
            <w:left w:val="none" w:sz="0" w:space="0" w:color="auto"/>
            <w:bottom w:val="none" w:sz="0" w:space="0" w:color="auto"/>
            <w:right w:val="none" w:sz="0" w:space="0" w:color="auto"/>
          </w:divBdr>
          <w:divsChild>
            <w:div w:id="1152412024">
              <w:marLeft w:val="0"/>
              <w:marRight w:val="0"/>
              <w:marTop w:val="0"/>
              <w:marBottom w:val="0"/>
              <w:divBdr>
                <w:top w:val="none" w:sz="0" w:space="0" w:color="auto"/>
                <w:left w:val="none" w:sz="0" w:space="0" w:color="auto"/>
                <w:bottom w:val="none" w:sz="0" w:space="0" w:color="auto"/>
                <w:right w:val="none" w:sz="0" w:space="0" w:color="auto"/>
              </w:divBdr>
              <w:divsChild>
                <w:div w:id="145721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30990">
      <w:bodyDiv w:val="1"/>
      <w:marLeft w:val="0"/>
      <w:marRight w:val="0"/>
      <w:marTop w:val="0"/>
      <w:marBottom w:val="0"/>
      <w:divBdr>
        <w:top w:val="none" w:sz="0" w:space="0" w:color="auto"/>
        <w:left w:val="none" w:sz="0" w:space="0" w:color="auto"/>
        <w:bottom w:val="none" w:sz="0" w:space="0" w:color="auto"/>
        <w:right w:val="none" w:sz="0" w:space="0" w:color="auto"/>
      </w:divBdr>
      <w:divsChild>
        <w:div w:id="1598562733">
          <w:marLeft w:val="0"/>
          <w:marRight w:val="0"/>
          <w:marTop w:val="0"/>
          <w:marBottom w:val="0"/>
          <w:divBdr>
            <w:top w:val="none" w:sz="0" w:space="0" w:color="auto"/>
            <w:left w:val="none" w:sz="0" w:space="0" w:color="auto"/>
            <w:bottom w:val="none" w:sz="0" w:space="0" w:color="auto"/>
            <w:right w:val="none" w:sz="0" w:space="0" w:color="auto"/>
          </w:divBdr>
          <w:divsChild>
            <w:div w:id="878590088">
              <w:marLeft w:val="0"/>
              <w:marRight w:val="0"/>
              <w:marTop w:val="0"/>
              <w:marBottom w:val="0"/>
              <w:divBdr>
                <w:top w:val="none" w:sz="0" w:space="0" w:color="auto"/>
                <w:left w:val="none" w:sz="0" w:space="0" w:color="auto"/>
                <w:bottom w:val="none" w:sz="0" w:space="0" w:color="auto"/>
                <w:right w:val="none" w:sz="0" w:space="0" w:color="auto"/>
              </w:divBdr>
              <w:divsChild>
                <w:div w:id="889651866">
                  <w:marLeft w:val="0"/>
                  <w:marRight w:val="0"/>
                  <w:marTop w:val="0"/>
                  <w:marBottom w:val="0"/>
                  <w:divBdr>
                    <w:top w:val="none" w:sz="0" w:space="0" w:color="auto"/>
                    <w:left w:val="none" w:sz="0" w:space="0" w:color="auto"/>
                    <w:bottom w:val="none" w:sz="0" w:space="0" w:color="auto"/>
                    <w:right w:val="none" w:sz="0" w:space="0" w:color="auto"/>
                  </w:divBdr>
                  <w:divsChild>
                    <w:div w:id="1801262243">
                      <w:marLeft w:val="0"/>
                      <w:marRight w:val="0"/>
                      <w:marTop w:val="0"/>
                      <w:marBottom w:val="0"/>
                      <w:divBdr>
                        <w:top w:val="none" w:sz="0" w:space="0" w:color="auto"/>
                        <w:left w:val="none" w:sz="0" w:space="0" w:color="auto"/>
                        <w:bottom w:val="none" w:sz="0" w:space="0" w:color="auto"/>
                        <w:right w:val="none" w:sz="0" w:space="0" w:color="auto"/>
                      </w:divBdr>
                    </w:div>
                  </w:divsChild>
                </w:div>
                <w:div w:id="1143697711">
                  <w:marLeft w:val="0"/>
                  <w:marRight w:val="0"/>
                  <w:marTop w:val="0"/>
                  <w:marBottom w:val="0"/>
                  <w:divBdr>
                    <w:top w:val="none" w:sz="0" w:space="0" w:color="auto"/>
                    <w:left w:val="none" w:sz="0" w:space="0" w:color="auto"/>
                    <w:bottom w:val="none" w:sz="0" w:space="0" w:color="auto"/>
                    <w:right w:val="none" w:sz="0" w:space="0" w:color="auto"/>
                  </w:divBdr>
                  <w:divsChild>
                    <w:div w:id="152910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77779">
      <w:bodyDiv w:val="1"/>
      <w:marLeft w:val="0"/>
      <w:marRight w:val="0"/>
      <w:marTop w:val="0"/>
      <w:marBottom w:val="0"/>
      <w:divBdr>
        <w:top w:val="none" w:sz="0" w:space="0" w:color="auto"/>
        <w:left w:val="none" w:sz="0" w:space="0" w:color="auto"/>
        <w:bottom w:val="none" w:sz="0" w:space="0" w:color="auto"/>
        <w:right w:val="none" w:sz="0" w:space="0" w:color="auto"/>
      </w:divBdr>
      <w:divsChild>
        <w:div w:id="1830516070">
          <w:marLeft w:val="0"/>
          <w:marRight w:val="0"/>
          <w:marTop w:val="0"/>
          <w:marBottom w:val="0"/>
          <w:divBdr>
            <w:top w:val="none" w:sz="0" w:space="0" w:color="auto"/>
            <w:left w:val="none" w:sz="0" w:space="0" w:color="auto"/>
            <w:bottom w:val="none" w:sz="0" w:space="0" w:color="auto"/>
            <w:right w:val="none" w:sz="0" w:space="0" w:color="auto"/>
          </w:divBdr>
          <w:divsChild>
            <w:div w:id="1192037740">
              <w:marLeft w:val="0"/>
              <w:marRight w:val="0"/>
              <w:marTop w:val="0"/>
              <w:marBottom w:val="0"/>
              <w:divBdr>
                <w:top w:val="none" w:sz="0" w:space="0" w:color="auto"/>
                <w:left w:val="none" w:sz="0" w:space="0" w:color="auto"/>
                <w:bottom w:val="none" w:sz="0" w:space="0" w:color="auto"/>
                <w:right w:val="none" w:sz="0" w:space="0" w:color="auto"/>
              </w:divBdr>
              <w:divsChild>
                <w:div w:id="33693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52727">
      <w:bodyDiv w:val="1"/>
      <w:marLeft w:val="0"/>
      <w:marRight w:val="0"/>
      <w:marTop w:val="0"/>
      <w:marBottom w:val="0"/>
      <w:divBdr>
        <w:top w:val="none" w:sz="0" w:space="0" w:color="auto"/>
        <w:left w:val="none" w:sz="0" w:space="0" w:color="auto"/>
        <w:bottom w:val="none" w:sz="0" w:space="0" w:color="auto"/>
        <w:right w:val="none" w:sz="0" w:space="0" w:color="auto"/>
      </w:divBdr>
      <w:divsChild>
        <w:div w:id="633100488">
          <w:marLeft w:val="0"/>
          <w:marRight w:val="0"/>
          <w:marTop w:val="0"/>
          <w:marBottom w:val="0"/>
          <w:divBdr>
            <w:top w:val="none" w:sz="0" w:space="0" w:color="auto"/>
            <w:left w:val="none" w:sz="0" w:space="0" w:color="auto"/>
            <w:bottom w:val="none" w:sz="0" w:space="0" w:color="auto"/>
            <w:right w:val="none" w:sz="0" w:space="0" w:color="auto"/>
          </w:divBdr>
          <w:divsChild>
            <w:div w:id="402263168">
              <w:marLeft w:val="0"/>
              <w:marRight w:val="0"/>
              <w:marTop w:val="0"/>
              <w:marBottom w:val="0"/>
              <w:divBdr>
                <w:top w:val="none" w:sz="0" w:space="0" w:color="auto"/>
                <w:left w:val="none" w:sz="0" w:space="0" w:color="auto"/>
                <w:bottom w:val="none" w:sz="0" w:space="0" w:color="auto"/>
                <w:right w:val="none" w:sz="0" w:space="0" w:color="auto"/>
              </w:divBdr>
              <w:divsChild>
                <w:div w:id="33549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82719">
      <w:bodyDiv w:val="1"/>
      <w:marLeft w:val="0"/>
      <w:marRight w:val="0"/>
      <w:marTop w:val="0"/>
      <w:marBottom w:val="0"/>
      <w:divBdr>
        <w:top w:val="none" w:sz="0" w:space="0" w:color="auto"/>
        <w:left w:val="none" w:sz="0" w:space="0" w:color="auto"/>
        <w:bottom w:val="none" w:sz="0" w:space="0" w:color="auto"/>
        <w:right w:val="none" w:sz="0" w:space="0" w:color="auto"/>
      </w:divBdr>
      <w:divsChild>
        <w:div w:id="329908671">
          <w:marLeft w:val="0"/>
          <w:marRight w:val="0"/>
          <w:marTop w:val="0"/>
          <w:marBottom w:val="0"/>
          <w:divBdr>
            <w:top w:val="none" w:sz="0" w:space="0" w:color="auto"/>
            <w:left w:val="none" w:sz="0" w:space="0" w:color="auto"/>
            <w:bottom w:val="none" w:sz="0" w:space="0" w:color="auto"/>
            <w:right w:val="none" w:sz="0" w:space="0" w:color="auto"/>
          </w:divBdr>
          <w:divsChild>
            <w:div w:id="1281105672">
              <w:marLeft w:val="0"/>
              <w:marRight w:val="0"/>
              <w:marTop w:val="0"/>
              <w:marBottom w:val="0"/>
              <w:divBdr>
                <w:top w:val="none" w:sz="0" w:space="0" w:color="auto"/>
                <w:left w:val="none" w:sz="0" w:space="0" w:color="auto"/>
                <w:bottom w:val="none" w:sz="0" w:space="0" w:color="auto"/>
                <w:right w:val="none" w:sz="0" w:space="0" w:color="auto"/>
              </w:divBdr>
              <w:divsChild>
                <w:div w:id="193882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03480">
      <w:bodyDiv w:val="1"/>
      <w:marLeft w:val="0"/>
      <w:marRight w:val="0"/>
      <w:marTop w:val="0"/>
      <w:marBottom w:val="0"/>
      <w:divBdr>
        <w:top w:val="none" w:sz="0" w:space="0" w:color="auto"/>
        <w:left w:val="none" w:sz="0" w:space="0" w:color="auto"/>
        <w:bottom w:val="none" w:sz="0" w:space="0" w:color="auto"/>
        <w:right w:val="none" w:sz="0" w:space="0" w:color="auto"/>
      </w:divBdr>
      <w:divsChild>
        <w:div w:id="570968773">
          <w:marLeft w:val="0"/>
          <w:marRight w:val="0"/>
          <w:marTop w:val="0"/>
          <w:marBottom w:val="0"/>
          <w:divBdr>
            <w:top w:val="none" w:sz="0" w:space="0" w:color="auto"/>
            <w:left w:val="none" w:sz="0" w:space="0" w:color="auto"/>
            <w:bottom w:val="none" w:sz="0" w:space="0" w:color="auto"/>
            <w:right w:val="none" w:sz="0" w:space="0" w:color="auto"/>
          </w:divBdr>
          <w:divsChild>
            <w:div w:id="1373379670">
              <w:marLeft w:val="0"/>
              <w:marRight w:val="0"/>
              <w:marTop w:val="0"/>
              <w:marBottom w:val="0"/>
              <w:divBdr>
                <w:top w:val="none" w:sz="0" w:space="0" w:color="auto"/>
                <w:left w:val="none" w:sz="0" w:space="0" w:color="auto"/>
                <w:bottom w:val="none" w:sz="0" w:space="0" w:color="auto"/>
                <w:right w:val="none" w:sz="0" w:space="0" w:color="auto"/>
              </w:divBdr>
              <w:divsChild>
                <w:div w:id="1035814052">
                  <w:marLeft w:val="0"/>
                  <w:marRight w:val="0"/>
                  <w:marTop w:val="0"/>
                  <w:marBottom w:val="0"/>
                  <w:divBdr>
                    <w:top w:val="none" w:sz="0" w:space="0" w:color="auto"/>
                    <w:left w:val="none" w:sz="0" w:space="0" w:color="auto"/>
                    <w:bottom w:val="none" w:sz="0" w:space="0" w:color="auto"/>
                    <w:right w:val="none" w:sz="0" w:space="0" w:color="auto"/>
                  </w:divBdr>
                  <w:divsChild>
                    <w:div w:id="188567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59393">
      <w:bodyDiv w:val="1"/>
      <w:marLeft w:val="0"/>
      <w:marRight w:val="0"/>
      <w:marTop w:val="0"/>
      <w:marBottom w:val="0"/>
      <w:divBdr>
        <w:top w:val="none" w:sz="0" w:space="0" w:color="auto"/>
        <w:left w:val="none" w:sz="0" w:space="0" w:color="auto"/>
        <w:bottom w:val="none" w:sz="0" w:space="0" w:color="auto"/>
        <w:right w:val="none" w:sz="0" w:space="0" w:color="auto"/>
      </w:divBdr>
      <w:divsChild>
        <w:div w:id="1918054226">
          <w:marLeft w:val="0"/>
          <w:marRight w:val="0"/>
          <w:marTop w:val="0"/>
          <w:marBottom w:val="0"/>
          <w:divBdr>
            <w:top w:val="none" w:sz="0" w:space="0" w:color="auto"/>
            <w:left w:val="none" w:sz="0" w:space="0" w:color="auto"/>
            <w:bottom w:val="none" w:sz="0" w:space="0" w:color="auto"/>
            <w:right w:val="none" w:sz="0" w:space="0" w:color="auto"/>
          </w:divBdr>
          <w:divsChild>
            <w:div w:id="1934510435">
              <w:marLeft w:val="0"/>
              <w:marRight w:val="0"/>
              <w:marTop w:val="0"/>
              <w:marBottom w:val="0"/>
              <w:divBdr>
                <w:top w:val="none" w:sz="0" w:space="0" w:color="auto"/>
                <w:left w:val="none" w:sz="0" w:space="0" w:color="auto"/>
                <w:bottom w:val="none" w:sz="0" w:space="0" w:color="auto"/>
                <w:right w:val="none" w:sz="0" w:space="0" w:color="auto"/>
              </w:divBdr>
              <w:divsChild>
                <w:div w:id="19073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52522">
      <w:bodyDiv w:val="1"/>
      <w:marLeft w:val="0"/>
      <w:marRight w:val="0"/>
      <w:marTop w:val="0"/>
      <w:marBottom w:val="0"/>
      <w:divBdr>
        <w:top w:val="none" w:sz="0" w:space="0" w:color="auto"/>
        <w:left w:val="none" w:sz="0" w:space="0" w:color="auto"/>
        <w:bottom w:val="none" w:sz="0" w:space="0" w:color="auto"/>
        <w:right w:val="none" w:sz="0" w:space="0" w:color="auto"/>
      </w:divBdr>
      <w:divsChild>
        <w:div w:id="588083914">
          <w:marLeft w:val="0"/>
          <w:marRight w:val="0"/>
          <w:marTop w:val="0"/>
          <w:marBottom w:val="0"/>
          <w:divBdr>
            <w:top w:val="none" w:sz="0" w:space="0" w:color="auto"/>
            <w:left w:val="none" w:sz="0" w:space="0" w:color="auto"/>
            <w:bottom w:val="none" w:sz="0" w:space="0" w:color="auto"/>
            <w:right w:val="none" w:sz="0" w:space="0" w:color="auto"/>
          </w:divBdr>
          <w:divsChild>
            <w:div w:id="1317224560">
              <w:marLeft w:val="0"/>
              <w:marRight w:val="0"/>
              <w:marTop w:val="0"/>
              <w:marBottom w:val="0"/>
              <w:divBdr>
                <w:top w:val="none" w:sz="0" w:space="0" w:color="auto"/>
                <w:left w:val="none" w:sz="0" w:space="0" w:color="auto"/>
                <w:bottom w:val="none" w:sz="0" w:space="0" w:color="auto"/>
                <w:right w:val="none" w:sz="0" w:space="0" w:color="auto"/>
              </w:divBdr>
              <w:divsChild>
                <w:div w:id="210233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174742">
          <w:marLeft w:val="0"/>
          <w:marRight w:val="0"/>
          <w:marTop w:val="0"/>
          <w:marBottom w:val="0"/>
          <w:divBdr>
            <w:top w:val="none" w:sz="0" w:space="0" w:color="auto"/>
            <w:left w:val="none" w:sz="0" w:space="0" w:color="auto"/>
            <w:bottom w:val="none" w:sz="0" w:space="0" w:color="auto"/>
            <w:right w:val="none" w:sz="0" w:space="0" w:color="auto"/>
          </w:divBdr>
          <w:divsChild>
            <w:div w:id="542330407">
              <w:marLeft w:val="0"/>
              <w:marRight w:val="0"/>
              <w:marTop w:val="0"/>
              <w:marBottom w:val="0"/>
              <w:divBdr>
                <w:top w:val="none" w:sz="0" w:space="0" w:color="auto"/>
                <w:left w:val="none" w:sz="0" w:space="0" w:color="auto"/>
                <w:bottom w:val="none" w:sz="0" w:space="0" w:color="auto"/>
                <w:right w:val="none" w:sz="0" w:space="0" w:color="auto"/>
              </w:divBdr>
              <w:divsChild>
                <w:div w:id="161409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03456">
      <w:bodyDiv w:val="1"/>
      <w:marLeft w:val="0"/>
      <w:marRight w:val="0"/>
      <w:marTop w:val="0"/>
      <w:marBottom w:val="0"/>
      <w:divBdr>
        <w:top w:val="none" w:sz="0" w:space="0" w:color="auto"/>
        <w:left w:val="none" w:sz="0" w:space="0" w:color="auto"/>
        <w:bottom w:val="none" w:sz="0" w:space="0" w:color="auto"/>
        <w:right w:val="none" w:sz="0" w:space="0" w:color="auto"/>
      </w:divBdr>
      <w:divsChild>
        <w:div w:id="1805274227">
          <w:marLeft w:val="0"/>
          <w:marRight w:val="0"/>
          <w:marTop w:val="0"/>
          <w:marBottom w:val="0"/>
          <w:divBdr>
            <w:top w:val="none" w:sz="0" w:space="0" w:color="auto"/>
            <w:left w:val="none" w:sz="0" w:space="0" w:color="auto"/>
            <w:bottom w:val="none" w:sz="0" w:space="0" w:color="auto"/>
            <w:right w:val="none" w:sz="0" w:space="0" w:color="auto"/>
          </w:divBdr>
          <w:divsChild>
            <w:div w:id="1716343219">
              <w:marLeft w:val="0"/>
              <w:marRight w:val="0"/>
              <w:marTop w:val="0"/>
              <w:marBottom w:val="0"/>
              <w:divBdr>
                <w:top w:val="none" w:sz="0" w:space="0" w:color="auto"/>
                <w:left w:val="none" w:sz="0" w:space="0" w:color="auto"/>
                <w:bottom w:val="none" w:sz="0" w:space="0" w:color="auto"/>
                <w:right w:val="none" w:sz="0" w:space="0" w:color="auto"/>
              </w:divBdr>
              <w:divsChild>
                <w:div w:id="38761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49171">
      <w:bodyDiv w:val="1"/>
      <w:marLeft w:val="0"/>
      <w:marRight w:val="0"/>
      <w:marTop w:val="0"/>
      <w:marBottom w:val="0"/>
      <w:divBdr>
        <w:top w:val="none" w:sz="0" w:space="0" w:color="auto"/>
        <w:left w:val="none" w:sz="0" w:space="0" w:color="auto"/>
        <w:bottom w:val="none" w:sz="0" w:space="0" w:color="auto"/>
        <w:right w:val="none" w:sz="0" w:space="0" w:color="auto"/>
      </w:divBdr>
      <w:divsChild>
        <w:div w:id="1263030962">
          <w:marLeft w:val="0"/>
          <w:marRight w:val="0"/>
          <w:marTop w:val="0"/>
          <w:marBottom w:val="0"/>
          <w:divBdr>
            <w:top w:val="none" w:sz="0" w:space="0" w:color="auto"/>
            <w:left w:val="none" w:sz="0" w:space="0" w:color="auto"/>
            <w:bottom w:val="none" w:sz="0" w:space="0" w:color="auto"/>
            <w:right w:val="none" w:sz="0" w:space="0" w:color="auto"/>
          </w:divBdr>
          <w:divsChild>
            <w:div w:id="364017377">
              <w:marLeft w:val="0"/>
              <w:marRight w:val="0"/>
              <w:marTop w:val="0"/>
              <w:marBottom w:val="0"/>
              <w:divBdr>
                <w:top w:val="none" w:sz="0" w:space="0" w:color="auto"/>
                <w:left w:val="none" w:sz="0" w:space="0" w:color="auto"/>
                <w:bottom w:val="none" w:sz="0" w:space="0" w:color="auto"/>
                <w:right w:val="none" w:sz="0" w:space="0" w:color="auto"/>
              </w:divBdr>
              <w:divsChild>
                <w:div w:id="176255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89460">
      <w:bodyDiv w:val="1"/>
      <w:marLeft w:val="0"/>
      <w:marRight w:val="0"/>
      <w:marTop w:val="0"/>
      <w:marBottom w:val="0"/>
      <w:divBdr>
        <w:top w:val="none" w:sz="0" w:space="0" w:color="auto"/>
        <w:left w:val="none" w:sz="0" w:space="0" w:color="auto"/>
        <w:bottom w:val="none" w:sz="0" w:space="0" w:color="auto"/>
        <w:right w:val="none" w:sz="0" w:space="0" w:color="auto"/>
      </w:divBdr>
      <w:divsChild>
        <w:div w:id="415057024">
          <w:marLeft w:val="0"/>
          <w:marRight w:val="0"/>
          <w:marTop w:val="0"/>
          <w:marBottom w:val="0"/>
          <w:divBdr>
            <w:top w:val="none" w:sz="0" w:space="0" w:color="auto"/>
            <w:left w:val="none" w:sz="0" w:space="0" w:color="auto"/>
            <w:bottom w:val="none" w:sz="0" w:space="0" w:color="auto"/>
            <w:right w:val="none" w:sz="0" w:space="0" w:color="auto"/>
          </w:divBdr>
          <w:divsChild>
            <w:div w:id="2116901198">
              <w:marLeft w:val="0"/>
              <w:marRight w:val="0"/>
              <w:marTop w:val="0"/>
              <w:marBottom w:val="0"/>
              <w:divBdr>
                <w:top w:val="none" w:sz="0" w:space="0" w:color="auto"/>
                <w:left w:val="none" w:sz="0" w:space="0" w:color="auto"/>
                <w:bottom w:val="none" w:sz="0" w:space="0" w:color="auto"/>
                <w:right w:val="none" w:sz="0" w:space="0" w:color="auto"/>
              </w:divBdr>
              <w:divsChild>
                <w:div w:id="1686201948">
                  <w:marLeft w:val="0"/>
                  <w:marRight w:val="0"/>
                  <w:marTop w:val="0"/>
                  <w:marBottom w:val="0"/>
                  <w:divBdr>
                    <w:top w:val="none" w:sz="0" w:space="0" w:color="auto"/>
                    <w:left w:val="none" w:sz="0" w:space="0" w:color="auto"/>
                    <w:bottom w:val="none" w:sz="0" w:space="0" w:color="auto"/>
                    <w:right w:val="none" w:sz="0" w:space="0" w:color="auto"/>
                  </w:divBdr>
                  <w:divsChild>
                    <w:div w:id="119191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24518">
      <w:bodyDiv w:val="1"/>
      <w:marLeft w:val="0"/>
      <w:marRight w:val="0"/>
      <w:marTop w:val="0"/>
      <w:marBottom w:val="0"/>
      <w:divBdr>
        <w:top w:val="none" w:sz="0" w:space="0" w:color="auto"/>
        <w:left w:val="none" w:sz="0" w:space="0" w:color="auto"/>
        <w:bottom w:val="none" w:sz="0" w:space="0" w:color="auto"/>
        <w:right w:val="none" w:sz="0" w:space="0" w:color="auto"/>
      </w:divBdr>
      <w:divsChild>
        <w:div w:id="259414563">
          <w:marLeft w:val="0"/>
          <w:marRight w:val="0"/>
          <w:marTop w:val="0"/>
          <w:marBottom w:val="0"/>
          <w:divBdr>
            <w:top w:val="none" w:sz="0" w:space="0" w:color="auto"/>
            <w:left w:val="none" w:sz="0" w:space="0" w:color="auto"/>
            <w:bottom w:val="none" w:sz="0" w:space="0" w:color="auto"/>
            <w:right w:val="none" w:sz="0" w:space="0" w:color="auto"/>
          </w:divBdr>
          <w:divsChild>
            <w:div w:id="197818997">
              <w:marLeft w:val="0"/>
              <w:marRight w:val="0"/>
              <w:marTop w:val="0"/>
              <w:marBottom w:val="0"/>
              <w:divBdr>
                <w:top w:val="none" w:sz="0" w:space="0" w:color="auto"/>
                <w:left w:val="none" w:sz="0" w:space="0" w:color="auto"/>
                <w:bottom w:val="none" w:sz="0" w:space="0" w:color="auto"/>
                <w:right w:val="none" w:sz="0" w:space="0" w:color="auto"/>
              </w:divBdr>
              <w:divsChild>
                <w:div w:id="86614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87442">
      <w:bodyDiv w:val="1"/>
      <w:marLeft w:val="0"/>
      <w:marRight w:val="0"/>
      <w:marTop w:val="0"/>
      <w:marBottom w:val="0"/>
      <w:divBdr>
        <w:top w:val="none" w:sz="0" w:space="0" w:color="auto"/>
        <w:left w:val="none" w:sz="0" w:space="0" w:color="auto"/>
        <w:bottom w:val="none" w:sz="0" w:space="0" w:color="auto"/>
        <w:right w:val="none" w:sz="0" w:space="0" w:color="auto"/>
      </w:divBdr>
      <w:divsChild>
        <w:div w:id="1901282572">
          <w:marLeft w:val="0"/>
          <w:marRight w:val="0"/>
          <w:marTop w:val="0"/>
          <w:marBottom w:val="0"/>
          <w:divBdr>
            <w:top w:val="none" w:sz="0" w:space="0" w:color="auto"/>
            <w:left w:val="none" w:sz="0" w:space="0" w:color="auto"/>
            <w:bottom w:val="none" w:sz="0" w:space="0" w:color="auto"/>
            <w:right w:val="none" w:sz="0" w:space="0" w:color="auto"/>
          </w:divBdr>
          <w:divsChild>
            <w:div w:id="929656422">
              <w:marLeft w:val="0"/>
              <w:marRight w:val="0"/>
              <w:marTop w:val="0"/>
              <w:marBottom w:val="0"/>
              <w:divBdr>
                <w:top w:val="none" w:sz="0" w:space="0" w:color="auto"/>
                <w:left w:val="none" w:sz="0" w:space="0" w:color="auto"/>
                <w:bottom w:val="none" w:sz="0" w:space="0" w:color="auto"/>
                <w:right w:val="none" w:sz="0" w:space="0" w:color="auto"/>
              </w:divBdr>
              <w:divsChild>
                <w:div w:id="221600502">
                  <w:marLeft w:val="0"/>
                  <w:marRight w:val="0"/>
                  <w:marTop w:val="0"/>
                  <w:marBottom w:val="0"/>
                  <w:divBdr>
                    <w:top w:val="none" w:sz="0" w:space="0" w:color="auto"/>
                    <w:left w:val="none" w:sz="0" w:space="0" w:color="auto"/>
                    <w:bottom w:val="none" w:sz="0" w:space="0" w:color="auto"/>
                    <w:right w:val="none" w:sz="0" w:space="0" w:color="auto"/>
                  </w:divBdr>
                </w:div>
              </w:divsChild>
            </w:div>
            <w:div w:id="95179065">
              <w:marLeft w:val="0"/>
              <w:marRight w:val="0"/>
              <w:marTop w:val="0"/>
              <w:marBottom w:val="0"/>
              <w:divBdr>
                <w:top w:val="none" w:sz="0" w:space="0" w:color="auto"/>
                <w:left w:val="none" w:sz="0" w:space="0" w:color="auto"/>
                <w:bottom w:val="none" w:sz="0" w:space="0" w:color="auto"/>
                <w:right w:val="none" w:sz="0" w:space="0" w:color="auto"/>
              </w:divBdr>
              <w:divsChild>
                <w:div w:id="1790664340">
                  <w:marLeft w:val="0"/>
                  <w:marRight w:val="0"/>
                  <w:marTop w:val="0"/>
                  <w:marBottom w:val="0"/>
                  <w:divBdr>
                    <w:top w:val="none" w:sz="0" w:space="0" w:color="auto"/>
                    <w:left w:val="none" w:sz="0" w:space="0" w:color="auto"/>
                    <w:bottom w:val="none" w:sz="0" w:space="0" w:color="auto"/>
                    <w:right w:val="none" w:sz="0" w:space="0" w:color="auto"/>
                  </w:divBdr>
                </w:div>
              </w:divsChild>
            </w:div>
            <w:div w:id="78253010">
              <w:marLeft w:val="0"/>
              <w:marRight w:val="0"/>
              <w:marTop w:val="0"/>
              <w:marBottom w:val="0"/>
              <w:divBdr>
                <w:top w:val="none" w:sz="0" w:space="0" w:color="auto"/>
                <w:left w:val="none" w:sz="0" w:space="0" w:color="auto"/>
                <w:bottom w:val="none" w:sz="0" w:space="0" w:color="auto"/>
                <w:right w:val="none" w:sz="0" w:space="0" w:color="auto"/>
              </w:divBdr>
              <w:divsChild>
                <w:div w:id="352387773">
                  <w:marLeft w:val="0"/>
                  <w:marRight w:val="0"/>
                  <w:marTop w:val="0"/>
                  <w:marBottom w:val="0"/>
                  <w:divBdr>
                    <w:top w:val="none" w:sz="0" w:space="0" w:color="auto"/>
                    <w:left w:val="none" w:sz="0" w:space="0" w:color="auto"/>
                    <w:bottom w:val="none" w:sz="0" w:space="0" w:color="auto"/>
                    <w:right w:val="none" w:sz="0" w:space="0" w:color="auto"/>
                  </w:divBdr>
                </w:div>
              </w:divsChild>
            </w:div>
            <w:div w:id="485509334">
              <w:marLeft w:val="0"/>
              <w:marRight w:val="0"/>
              <w:marTop w:val="0"/>
              <w:marBottom w:val="0"/>
              <w:divBdr>
                <w:top w:val="none" w:sz="0" w:space="0" w:color="auto"/>
                <w:left w:val="none" w:sz="0" w:space="0" w:color="auto"/>
                <w:bottom w:val="none" w:sz="0" w:space="0" w:color="auto"/>
                <w:right w:val="none" w:sz="0" w:space="0" w:color="auto"/>
              </w:divBdr>
              <w:divsChild>
                <w:div w:id="1961108677">
                  <w:marLeft w:val="0"/>
                  <w:marRight w:val="0"/>
                  <w:marTop w:val="0"/>
                  <w:marBottom w:val="0"/>
                  <w:divBdr>
                    <w:top w:val="none" w:sz="0" w:space="0" w:color="auto"/>
                    <w:left w:val="none" w:sz="0" w:space="0" w:color="auto"/>
                    <w:bottom w:val="none" w:sz="0" w:space="0" w:color="auto"/>
                    <w:right w:val="none" w:sz="0" w:space="0" w:color="auto"/>
                  </w:divBdr>
                </w:div>
              </w:divsChild>
            </w:div>
            <w:div w:id="2002931634">
              <w:marLeft w:val="0"/>
              <w:marRight w:val="0"/>
              <w:marTop w:val="0"/>
              <w:marBottom w:val="0"/>
              <w:divBdr>
                <w:top w:val="none" w:sz="0" w:space="0" w:color="auto"/>
                <w:left w:val="none" w:sz="0" w:space="0" w:color="auto"/>
                <w:bottom w:val="none" w:sz="0" w:space="0" w:color="auto"/>
                <w:right w:val="none" w:sz="0" w:space="0" w:color="auto"/>
              </w:divBdr>
              <w:divsChild>
                <w:div w:id="16604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07397">
      <w:bodyDiv w:val="1"/>
      <w:marLeft w:val="0"/>
      <w:marRight w:val="0"/>
      <w:marTop w:val="0"/>
      <w:marBottom w:val="0"/>
      <w:divBdr>
        <w:top w:val="none" w:sz="0" w:space="0" w:color="auto"/>
        <w:left w:val="none" w:sz="0" w:space="0" w:color="auto"/>
        <w:bottom w:val="none" w:sz="0" w:space="0" w:color="auto"/>
        <w:right w:val="none" w:sz="0" w:space="0" w:color="auto"/>
      </w:divBdr>
      <w:divsChild>
        <w:div w:id="989212519">
          <w:marLeft w:val="0"/>
          <w:marRight w:val="0"/>
          <w:marTop w:val="0"/>
          <w:marBottom w:val="0"/>
          <w:divBdr>
            <w:top w:val="none" w:sz="0" w:space="0" w:color="auto"/>
            <w:left w:val="none" w:sz="0" w:space="0" w:color="auto"/>
            <w:bottom w:val="none" w:sz="0" w:space="0" w:color="auto"/>
            <w:right w:val="none" w:sz="0" w:space="0" w:color="auto"/>
          </w:divBdr>
          <w:divsChild>
            <w:div w:id="526256812">
              <w:marLeft w:val="0"/>
              <w:marRight w:val="0"/>
              <w:marTop w:val="0"/>
              <w:marBottom w:val="0"/>
              <w:divBdr>
                <w:top w:val="none" w:sz="0" w:space="0" w:color="auto"/>
                <w:left w:val="none" w:sz="0" w:space="0" w:color="auto"/>
                <w:bottom w:val="none" w:sz="0" w:space="0" w:color="auto"/>
                <w:right w:val="none" w:sz="0" w:space="0" w:color="auto"/>
              </w:divBdr>
              <w:divsChild>
                <w:div w:id="626545194">
                  <w:marLeft w:val="0"/>
                  <w:marRight w:val="0"/>
                  <w:marTop w:val="0"/>
                  <w:marBottom w:val="0"/>
                  <w:divBdr>
                    <w:top w:val="none" w:sz="0" w:space="0" w:color="auto"/>
                    <w:left w:val="none" w:sz="0" w:space="0" w:color="auto"/>
                    <w:bottom w:val="none" w:sz="0" w:space="0" w:color="auto"/>
                    <w:right w:val="none" w:sz="0" w:space="0" w:color="auto"/>
                  </w:divBdr>
                </w:div>
                <w:div w:id="660353025">
                  <w:marLeft w:val="0"/>
                  <w:marRight w:val="0"/>
                  <w:marTop w:val="0"/>
                  <w:marBottom w:val="0"/>
                  <w:divBdr>
                    <w:top w:val="none" w:sz="0" w:space="0" w:color="auto"/>
                    <w:left w:val="none" w:sz="0" w:space="0" w:color="auto"/>
                    <w:bottom w:val="none" w:sz="0" w:space="0" w:color="auto"/>
                    <w:right w:val="none" w:sz="0" w:space="0" w:color="auto"/>
                  </w:divBdr>
                </w:div>
              </w:divsChild>
            </w:div>
            <w:div w:id="568345018">
              <w:marLeft w:val="0"/>
              <w:marRight w:val="0"/>
              <w:marTop w:val="0"/>
              <w:marBottom w:val="0"/>
              <w:divBdr>
                <w:top w:val="none" w:sz="0" w:space="0" w:color="auto"/>
                <w:left w:val="none" w:sz="0" w:space="0" w:color="auto"/>
                <w:bottom w:val="none" w:sz="0" w:space="0" w:color="auto"/>
                <w:right w:val="none" w:sz="0" w:space="0" w:color="auto"/>
              </w:divBdr>
              <w:divsChild>
                <w:div w:id="1933320415">
                  <w:marLeft w:val="0"/>
                  <w:marRight w:val="0"/>
                  <w:marTop w:val="0"/>
                  <w:marBottom w:val="0"/>
                  <w:divBdr>
                    <w:top w:val="none" w:sz="0" w:space="0" w:color="auto"/>
                    <w:left w:val="none" w:sz="0" w:space="0" w:color="auto"/>
                    <w:bottom w:val="none" w:sz="0" w:space="0" w:color="auto"/>
                    <w:right w:val="none" w:sz="0" w:space="0" w:color="auto"/>
                  </w:divBdr>
                </w:div>
              </w:divsChild>
            </w:div>
            <w:div w:id="529298051">
              <w:marLeft w:val="0"/>
              <w:marRight w:val="0"/>
              <w:marTop w:val="0"/>
              <w:marBottom w:val="0"/>
              <w:divBdr>
                <w:top w:val="none" w:sz="0" w:space="0" w:color="auto"/>
                <w:left w:val="none" w:sz="0" w:space="0" w:color="auto"/>
                <w:bottom w:val="none" w:sz="0" w:space="0" w:color="auto"/>
                <w:right w:val="none" w:sz="0" w:space="0" w:color="auto"/>
              </w:divBdr>
              <w:divsChild>
                <w:div w:id="419763849">
                  <w:marLeft w:val="0"/>
                  <w:marRight w:val="0"/>
                  <w:marTop w:val="0"/>
                  <w:marBottom w:val="0"/>
                  <w:divBdr>
                    <w:top w:val="none" w:sz="0" w:space="0" w:color="auto"/>
                    <w:left w:val="none" w:sz="0" w:space="0" w:color="auto"/>
                    <w:bottom w:val="none" w:sz="0" w:space="0" w:color="auto"/>
                    <w:right w:val="none" w:sz="0" w:space="0" w:color="auto"/>
                  </w:divBdr>
                </w:div>
              </w:divsChild>
            </w:div>
            <w:div w:id="1557160431">
              <w:marLeft w:val="0"/>
              <w:marRight w:val="0"/>
              <w:marTop w:val="0"/>
              <w:marBottom w:val="0"/>
              <w:divBdr>
                <w:top w:val="none" w:sz="0" w:space="0" w:color="auto"/>
                <w:left w:val="none" w:sz="0" w:space="0" w:color="auto"/>
                <w:bottom w:val="none" w:sz="0" w:space="0" w:color="auto"/>
                <w:right w:val="none" w:sz="0" w:space="0" w:color="auto"/>
              </w:divBdr>
              <w:divsChild>
                <w:div w:id="1218054234">
                  <w:marLeft w:val="0"/>
                  <w:marRight w:val="0"/>
                  <w:marTop w:val="0"/>
                  <w:marBottom w:val="0"/>
                  <w:divBdr>
                    <w:top w:val="none" w:sz="0" w:space="0" w:color="auto"/>
                    <w:left w:val="none" w:sz="0" w:space="0" w:color="auto"/>
                    <w:bottom w:val="none" w:sz="0" w:space="0" w:color="auto"/>
                    <w:right w:val="none" w:sz="0" w:space="0" w:color="auto"/>
                  </w:divBdr>
                </w:div>
              </w:divsChild>
            </w:div>
            <w:div w:id="2108957812">
              <w:marLeft w:val="0"/>
              <w:marRight w:val="0"/>
              <w:marTop w:val="0"/>
              <w:marBottom w:val="0"/>
              <w:divBdr>
                <w:top w:val="none" w:sz="0" w:space="0" w:color="auto"/>
                <w:left w:val="none" w:sz="0" w:space="0" w:color="auto"/>
                <w:bottom w:val="none" w:sz="0" w:space="0" w:color="auto"/>
                <w:right w:val="none" w:sz="0" w:space="0" w:color="auto"/>
              </w:divBdr>
              <w:divsChild>
                <w:div w:id="1126512133">
                  <w:marLeft w:val="0"/>
                  <w:marRight w:val="0"/>
                  <w:marTop w:val="0"/>
                  <w:marBottom w:val="0"/>
                  <w:divBdr>
                    <w:top w:val="none" w:sz="0" w:space="0" w:color="auto"/>
                    <w:left w:val="none" w:sz="0" w:space="0" w:color="auto"/>
                    <w:bottom w:val="none" w:sz="0" w:space="0" w:color="auto"/>
                    <w:right w:val="none" w:sz="0" w:space="0" w:color="auto"/>
                  </w:divBdr>
                </w:div>
              </w:divsChild>
            </w:div>
            <w:div w:id="340857398">
              <w:marLeft w:val="0"/>
              <w:marRight w:val="0"/>
              <w:marTop w:val="0"/>
              <w:marBottom w:val="0"/>
              <w:divBdr>
                <w:top w:val="none" w:sz="0" w:space="0" w:color="auto"/>
                <w:left w:val="none" w:sz="0" w:space="0" w:color="auto"/>
                <w:bottom w:val="none" w:sz="0" w:space="0" w:color="auto"/>
                <w:right w:val="none" w:sz="0" w:space="0" w:color="auto"/>
              </w:divBdr>
              <w:divsChild>
                <w:div w:id="417411386">
                  <w:marLeft w:val="0"/>
                  <w:marRight w:val="0"/>
                  <w:marTop w:val="0"/>
                  <w:marBottom w:val="0"/>
                  <w:divBdr>
                    <w:top w:val="none" w:sz="0" w:space="0" w:color="auto"/>
                    <w:left w:val="none" w:sz="0" w:space="0" w:color="auto"/>
                    <w:bottom w:val="none" w:sz="0" w:space="0" w:color="auto"/>
                    <w:right w:val="none" w:sz="0" w:space="0" w:color="auto"/>
                  </w:divBdr>
                </w:div>
              </w:divsChild>
            </w:div>
            <w:div w:id="1627858375">
              <w:marLeft w:val="0"/>
              <w:marRight w:val="0"/>
              <w:marTop w:val="0"/>
              <w:marBottom w:val="0"/>
              <w:divBdr>
                <w:top w:val="none" w:sz="0" w:space="0" w:color="auto"/>
                <w:left w:val="none" w:sz="0" w:space="0" w:color="auto"/>
                <w:bottom w:val="none" w:sz="0" w:space="0" w:color="auto"/>
                <w:right w:val="none" w:sz="0" w:space="0" w:color="auto"/>
              </w:divBdr>
              <w:divsChild>
                <w:div w:id="618337227">
                  <w:marLeft w:val="0"/>
                  <w:marRight w:val="0"/>
                  <w:marTop w:val="0"/>
                  <w:marBottom w:val="0"/>
                  <w:divBdr>
                    <w:top w:val="none" w:sz="0" w:space="0" w:color="auto"/>
                    <w:left w:val="none" w:sz="0" w:space="0" w:color="auto"/>
                    <w:bottom w:val="none" w:sz="0" w:space="0" w:color="auto"/>
                    <w:right w:val="none" w:sz="0" w:space="0" w:color="auto"/>
                  </w:divBdr>
                </w:div>
              </w:divsChild>
            </w:div>
            <w:div w:id="681393895">
              <w:marLeft w:val="0"/>
              <w:marRight w:val="0"/>
              <w:marTop w:val="0"/>
              <w:marBottom w:val="0"/>
              <w:divBdr>
                <w:top w:val="none" w:sz="0" w:space="0" w:color="auto"/>
                <w:left w:val="none" w:sz="0" w:space="0" w:color="auto"/>
                <w:bottom w:val="none" w:sz="0" w:space="0" w:color="auto"/>
                <w:right w:val="none" w:sz="0" w:space="0" w:color="auto"/>
              </w:divBdr>
              <w:divsChild>
                <w:div w:id="155631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75274">
      <w:bodyDiv w:val="1"/>
      <w:marLeft w:val="0"/>
      <w:marRight w:val="0"/>
      <w:marTop w:val="0"/>
      <w:marBottom w:val="0"/>
      <w:divBdr>
        <w:top w:val="none" w:sz="0" w:space="0" w:color="auto"/>
        <w:left w:val="none" w:sz="0" w:space="0" w:color="auto"/>
        <w:bottom w:val="none" w:sz="0" w:space="0" w:color="auto"/>
        <w:right w:val="none" w:sz="0" w:space="0" w:color="auto"/>
      </w:divBdr>
      <w:divsChild>
        <w:div w:id="533811009">
          <w:marLeft w:val="0"/>
          <w:marRight w:val="0"/>
          <w:marTop w:val="0"/>
          <w:marBottom w:val="0"/>
          <w:divBdr>
            <w:top w:val="none" w:sz="0" w:space="0" w:color="auto"/>
            <w:left w:val="none" w:sz="0" w:space="0" w:color="auto"/>
            <w:bottom w:val="none" w:sz="0" w:space="0" w:color="auto"/>
            <w:right w:val="none" w:sz="0" w:space="0" w:color="auto"/>
          </w:divBdr>
          <w:divsChild>
            <w:div w:id="343359667">
              <w:marLeft w:val="0"/>
              <w:marRight w:val="0"/>
              <w:marTop w:val="0"/>
              <w:marBottom w:val="0"/>
              <w:divBdr>
                <w:top w:val="none" w:sz="0" w:space="0" w:color="auto"/>
                <w:left w:val="none" w:sz="0" w:space="0" w:color="auto"/>
                <w:bottom w:val="none" w:sz="0" w:space="0" w:color="auto"/>
                <w:right w:val="none" w:sz="0" w:space="0" w:color="auto"/>
              </w:divBdr>
              <w:divsChild>
                <w:div w:id="174085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15676">
      <w:bodyDiv w:val="1"/>
      <w:marLeft w:val="0"/>
      <w:marRight w:val="0"/>
      <w:marTop w:val="0"/>
      <w:marBottom w:val="0"/>
      <w:divBdr>
        <w:top w:val="none" w:sz="0" w:space="0" w:color="auto"/>
        <w:left w:val="none" w:sz="0" w:space="0" w:color="auto"/>
        <w:bottom w:val="none" w:sz="0" w:space="0" w:color="auto"/>
        <w:right w:val="none" w:sz="0" w:space="0" w:color="auto"/>
      </w:divBdr>
      <w:divsChild>
        <w:div w:id="1868912519">
          <w:marLeft w:val="0"/>
          <w:marRight w:val="0"/>
          <w:marTop w:val="0"/>
          <w:marBottom w:val="0"/>
          <w:divBdr>
            <w:top w:val="none" w:sz="0" w:space="0" w:color="auto"/>
            <w:left w:val="none" w:sz="0" w:space="0" w:color="auto"/>
            <w:bottom w:val="none" w:sz="0" w:space="0" w:color="auto"/>
            <w:right w:val="none" w:sz="0" w:space="0" w:color="auto"/>
          </w:divBdr>
        </w:div>
      </w:divsChild>
    </w:div>
    <w:div w:id="174273576">
      <w:bodyDiv w:val="1"/>
      <w:marLeft w:val="0"/>
      <w:marRight w:val="0"/>
      <w:marTop w:val="0"/>
      <w:marBottom w:val="0"/>
      <w:divBdr>
        <w:top w:val="none" w:sz="0" w:space="0" w:color="auto"/>
        <w:left w:val="none" w:sz="0" w:space="0" w:color="auto"/>
        <w:bottom w:val="none" w:sz="0" w:space="0" w:color="auto"/>
        <w:right w:val="none" w:sz="0" w:space="0" w:color="auto"/>
      </w:divBdr>
      <w:divsChild>
        <w:div w:id="1588076616">
          <w:marLeft w:val="0"/>
          <w:marRight w:val="0"/>
          <w:marTop w:val="0"/>
          <w:marBottom w:val="0"/>
          <w:divBdr>
            <w:top w:val="none" w:sz="0" w:space="0" w:color="auto"/>
            <w:left w:val="none" w:sz="0" w:space="0" w:color="auto"/>
            <w:bottom w:val="none" w:sz="0" w:space="0" w:color="auto"/>
            <w:right w:val="none" w:sz="0" w:space="0" w:color="auto"/>
          </w:divBdr>
          <w:divsChild>
            <w:div w:id="329137269">
              <w:marLeft w:val="0"/>
              <w:marRight w:val="0"/>
              <w:marTop w:val="0"/>
              <w:marBottom w:val="0"/>
              <w:divBdr>
                <w:top w:val="none" w:sz="0" w:space="0" w:color="auto"/>
                <w:left w:val="none" w:sz="0" w:space="0" w:color="auto"/>
                <w:bottom w:val="none" w:sz="0" w:space="0" w:color="auto"/>
                <w:right w:val="none" w:sz="0" w:space="0" w:color="auto"/>
              </w:divBdr>
              <w:divsChild>
                <w:div w:id="17323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69063">
      <w:bodyDiv w:val="1"/>
      <w:marLeft w:val="0"/>
      <w:marRight w:val="0"/>
      <w:marTop w:val="0"/>
      <w:marBottom w:val="0"/>
      <w:divBdr>
        <w:top w:val="none" w:sz="0" w:space="0" w:color="auto"/>
        <w:left w:val="none" w:sz="0" w:space="0" w:color="auto"/>
        <w:bottom w:val="none" w:sz="0" w:space="0" w:color="auto"/>
        <w:right w:val="none" w:sz="0" w:space="0" w:color="auto"/>
      </w:divBdr>
      <w:divsChild>
        <w:div w:id="1527598693">
          <w:marLeft w:val="0"/>
          <w:marRight w:val="0"/>
          <w:marTop w:val="0"/>
          <w:marBottom w:val="0"/>
          <w:divBdr>
            <w:top w:val="none" w:sz="0" w:space="0" w:color="auto"/>
            <w:left w:val="none" w:sz="0" w:space="0" w:color="auto"/>
            <w:bottom w:val="none" w:sz="0" w:space="0" w:color="auto"/>
            <w:right w:val="none" w:sz="0" w:space="0" w:color="auto"/>
          </w:divBdr>
          <w:divsChild>
            <w:div w:id="1344211824">
              <w:marLeft w:val="0"/>
              <w:marRight w:val="0"/>
              <w:marTop w:val="0"/>
              <w:marBottom w:val="0"/>
              <w:divBdr>
                <w:top w:val="none" w:sz="0" w:space="0" w:color="auto"/>
                <w:left w:val="none" w:sz="0" w:space="0" w:color="auto"/>
                <w:bottom w:val="none" w:sz="0" w:space="0" w:color="auto"/>
                <w:right w:val="none" w:sz="0" w:space="0" w:color="auto"/>
              </w:divBdr>
              <w:divsChild>
                <w:div w:id="133086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10827">
      <w:bodyDiv w:val="1"/>
      <w:marLeft w:val="0"/>
      <w:marRight w:val="0"/>
      <w:marTop w:val="0"/>
      <w:marBottom w:val="0"/>
      <w:divBdr>
        <w:top w:val="none" w:sz="0" w:space="0" w:color="auto"/>
        <w:left w:val="none" w:sz="0" w:space="0" w:color="auto"/>
        <w:bottom w:val="none" w:sz="0" w:space="0" w:color="auto"/>
        <w:right w:val="none" w:sz="0" w:space="0" w:color="auto"/>
      </w:divBdr>
      <w:divsChild>
        <w:div w:id="1860043539">
          <w:marLeft w:val="0"/>
          <w:marRight w:val="0"/>
          <w:marTop w:val="0"/>
          <w:marBottom w:val="0"/>
          <w:divBdr>
            <w:top w:val="none" w:sz="0" w:space="0" w:color="auto"/>
            <w:left w:val="none" w:sz="0" w:space="0" w:color="auto"/>
            <w:bottom w:val="none" w:sz="0" w:space="0" w:color="auto"/>
            <w:right w:val="none" w:sz="0" w:space="0" w:color="auto"/>
          </w:divBdr>
          <w:divsChild>
            <w:div w:id="1039084343">
              <w:marLeft w:val="0"/>
              <w:marRight w:val="0"/>
              <w:marTop w:val="0"/>
              <w:marBottom w:val="0"/>
              <w:divBdr>
                <w:top w:val="none" w:sz="0" w:space="0" w:color="auto"/>
                <w:left w:val="none" w:sz="0" w:space="0" w:color="auto"/>
                <w:bottom w:val="none" w:sz="0" w:space="0" w:color="auto"/>
                <w:right w:val="none" w:sz="0" w:space="0" w:color="auto"/>
              </w:divBdr>
              <w:divsChild>
                <w:div w:id="182315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89060">
      <w:bodyDiv w:val="1"/>
      <w:marLeft w:val="0"/>
      <w:marRight w:val="0"/>
      <w:marTop w:val="0"/>
      <w:marBottom w:val="0"/>
      <w:divBdr>
        <w:top w:val="none" w:sz="0" w:space="0" w:color="auto"/>
        <w:left w:val="none" w:sz="0" w:space="0" w:color="auto"/>
        <w:bottom w:val="none" w:sz="0" w:space="0" w:color="auto"/>
        <w:right w:val="none" w:sz="0" w:space="0" w:color="auto"/>
      </w:divBdr>
      <w:divsChild>
        <w:div w:id="891307190">
          <w:marLeft w:val="0"/>
          <w:marRight w:val="0"/>
          <w:marTop w:val="0"/>
          <w:marBottom w:val="0"/>
          <w:divBdr>
            <w:top w:val="none" w:sz="0" w:space="0" w:color="auto"/>
            <w:left w:val="none" w:sz="0" w:space="0" w:color="auto"/>
            <w:bottom w:val="none" w:sz="0" w:space="0" w:color="auto"/>
            <w:right w:val="none" w:sz="0" w:space="0" w:color="auto"/>
          </w:divBdr>
          <w:divsChild>
            <w:div w:id="462431750">
              <w:marLeft w:val="0"/>
              <w:marRight w:val="0"/>
              <w:marTop w:val="0"/>
              <w:marBottom w:val="0"/>
              <w:divBdr>
                <w:top w:val="none" w:sz="0" w:space="0" w:color="auto"/>
                <w:left w:val="none" w:sz="0" w:space="0" w:color="auto"/>
                <w:bottom w:val="none" w:sz="0" w:space="0" w:color="auto"/>
                <w:right w:val="none" w:sz="0" w:space="0" w:color="auto"/>
              </w:divBdr>
              <w:divsChild>
                <w:div w:id="20296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552222">
      <w:bodyDiv w:val="1"/>
      <w:marLeft w:val="0"/>
      <w:marRight w:val="0"/>
      <w:marTop w:val="0"/>
      <w:marBottom w:val="0"/>
      <w:divBdr>
        <w:top w:val="none" w:sz="0" w:space="0" w:color="auto"/>
        <w:left w:val="none" w:sz="0" w:space="0" w:color="auto"/>
        <w:bottom w:val="none" w:sz="0" w:space="0" w:color="auto"/>
        <w:right w:val="none" w:sz="0" w:space="0" w:color="auto"/>
      </w:divBdr>
      <w:divsChild>
        <w:div w:id="902714608">
          <w:marLeft w:val="0"/>
          <w:marRight w:val="0"/>
          <w:marTop w:val="0"/>
          <w:marBottom w:val="0"/>
          <w:divBdr>
            <w:top w:val="none" w:sz="0" w:space="0" w:color="auto"/>
            <w:left w:val="none" w:sz="0" w:space="0" w:color="auto"/>
            <w:bottom w:val="none" w:sz="0" w:space="0" w:color="auto"/>
            <w:right w:val="none" w:sz="0" w:space="0" w:color="auto"/>
          </w:divBdr>
          <w:divsChild>
            <w:div w:id="1687559982">
              <w:marLeft w:val="0"/>
              <w:marRight w:val="0"/>
              <w:marTop w:val="0"/>
              <w:marBottom w:val="0"/>
              <w:divBdr>
                <w:top w:val="none" w:sz="0" w:space="0" w:color="auto"/>
                <w:left w:val="none" w:sz="0" w:space="0" w:color="auto"/>
                <w:bottom w:val="none" w:sz="0" w:space="0" w:color="auto"/>
                <w:right w:val="none" w:sz="0" w:space="0" w:color="auto"/>
              </w:divBdr>
              <w:divsChild>
                <w:div w:id="207142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548269">
      <w:bodyDiv w:val="1"/>
      <w:marLeft w:val="0"/>
      <w:marRight w:val="0"/>
      <w:marTop w:val="0"/>
      <w:marBottom w:val="0"/>
      <w:divBdr>
        <w:top w:val="none" w:sz="0" w:space="0" w:color="auto"/>
        <w:left w:val="none" w:sz="0" w:space="0" w:color="auto"/>
        <w:bottom w:val="none" w:sz="0" w:space="0" w:color="auto"/>
        <w:right w:val="none" w:sz="0" w:space="0" w:color="auto"/>
      </w:divBdr>
      <w:divsChild>
        <w:div w:id="734402278">
          <w:marLeft w:val="0"/>
          <w:marRight w:val="0"/>
          <w:marTop w:val="0"/>
          <w:marBottom w:val="0"/>
          <w:divBdr>
            <w:top w:val="none" w:sz="0" w:space="0" w:color="auto"/>
            <w:left w:val="none" w:sz="0" w:space="0" w:color="auto"/>
            <w:bottom w:val="none" w:sz="0" w:space="0" w:color="auto"/>
            <w:right w:val="none" w:sz="0" w:space="0" w:color="auto"/>
          </w:divBdr>
          <w:divsChild>
            <w:div w:id="1532692538">
              <w:marLeft w:val="0"/>
              <w:marRight w:val="0"/>
              <w:marTop w:val="0"/>
              <w:marBottom w:val="0"/>
              <w:divBdr>
                <w:top w:val="none" w:sz="0" w:space="0" w:color="auto"/>
                <w:left w:val="none" w:sz="0" w:space="0" w:color="auto"/>
                <w:bottom w:val="none" w:sz="0" w:space="0" w:color="auto"/>
                <w:right w:val="none" w:sz="0" w:space="0" w:color="auto"/>
              </w:divBdr>
              <w:divsChild>
                <w:div w:id="11496314">
                  <w:marLeft w:val="0"/>
                  <w:marRight w:val="0"/>
                  <w:marTop w:val="0"/>
                  <w:marBottom w:val="0"/>
                  <w:divBdr>
                    <w:top w:val="none" w:sz="0" w:space="0" w:color="auto"/>
                    <w:left w:val="none" w:sz="0" w:space="0" w:color="auto"/>
                    <w:bottom w:val="none" w:sz="0" w:space="0" w:color="auto"/>
                    <w:right w:val="none" w:sz="0" w:space="0" w:color="auto"/>
                  </w:divBdr>
                  <w:divsChild>
                    <w:div w:id="104637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680907">
      <w:bodyDiv w:val="1"/>
      <w:marLeft w:val="0"/>
      <w:marRight w:val="0"/>
      <w:marTop w:val="0"/>
      <w:marBottom w:val="0"/>
      <w:divBdr>
        <w:top w:val="none" w:sz="0" w:space="0" w:color="auto"/>
        <w:left w:val="none" w:sz="0" w:space="0" w:color="auto"/>
        <w:bottom w:val="none" w:sz="0" w:space="0" w:color="auto"/>
        <w:right w:val="none" w:sz="0" w:space="0" w:color="auto"/>
      </w:divBdr>
      <w:divsChild>
        <w:div w:id="1242062074">
          <w:marLeft w:val="0"/>
          <w:marRight w:val="0"/>
          <w:marTop w:val="0"/>
          <w:marBottom w:val="0"/>
          <w:divBdr>
            <w:top w:val="none" w:sz="0" w:space="0" w:color="auto"/>
            <w:left w:val="none" w:sz="0" w:space="0" w:color="auto"/>
            <w:bottom w:val="none" w:sz="0" w:space="0" w:color="auto"/>
            <w:right w:val="none" w:sz="0" w:space="0" w:color="auto"/>
          </w:divBdr>
          <w:divsChild>
            <w:div w:id="1521312016">
              <w:marLeft w:val="0"/>
              <w:marRight w:val="0"/>
              <w:marTop w:val="0"/>
              <w:marBottom w:val="0"/>
              <w:divBdr>
                <w:top w:val="none" w:sz="0" w:space="0" w:color="auto"/>
                <w:left w:val="none" w:sz="0" w:space="0" w:color="auto"/>
                <w:bottom w:val="none" w:sz="0" w:space="0" w:color="auto"/>
                <w:right w:val="none" w:sz="0" w:space="0" w:color="auto"/>
              </w:divBdr>
              <w:divsChild>
                <w:div w:id="2071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092093">
      <w:bodyDiv w:val="1"/>
      <w:marLeft w:val="0"/>
      <w:marRight w:val="0"/>
      <w:marTop w:val="0"/>
      <w:marBottom w:val="0"/>
      <w:divBdr>
        <w:top w:val="none" w:sz="0" w:space="0" w:color="auto"/>
        <w:left w:val="none" w:sz="0" w:space="0" w:color="auto"/>
        <w:bottom w:val="none" w:sz="0" w:space="0" w:color="auto"/>
        <w:right w:val="none" w:sz="0" w:space="0" w:color="auto"/>
      </w:divBdr>
      <w:divsChild>
        <w:div w:id="269974884">
          <w:marLeft w:val="0"/>
          <w:marRight w:val="0"/>
          <w:marTop w:val="0"/>
          <w:marBottom w:val="0"/>
          <w:divBdr>
            <w:top w:val="none" w:sz="0" w:space="0" w:color="auto"/>
            <w:left w:val="none" w:sz="0" w:space="0" w:color="auto"/>
            <w:bottom w:val="none" w:sz="0" w:space="0" w:color="auto"/>
            <w:right w:val="none" w:sz="0" w:space="0" w:color="auto"/>
          </w:divBdr>
          <w:divsChild>
            <w:div w:id="2076121390">
              <w:marLeft w:val="0"/>
              <w:marRight w:val="0"/>
              <w:marTop w:val="0"/>
              <w:marBottom w:val="0"/>
              <w:divBdr>
                <w:top w:val="none" w:sz="0" w:space="0" w:color="auto"/>
                <w:left w:val="none" w:sz="0" w:space="0" w:color="auto"/>
                <w:bottom w:val="none" w:sz="0" w:space="0" w:color="auto"/>
                <w:right w:val="none" w:sz="0" w:space="0" w:color="auto"/>
              </w:divBdr>
              <w:divsChild>
                <w:div w:id="122167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001044">
      <w:bodyDiv w:val="1"/>
      <w:marLeft w:val="0"/>
      <w:marRight w:val="0"/>
      <w:marTop w:val="0"/>
      <w:marBottom w:val="0"/>
      <w:divBdr>
        <w:top w:val="none" w:sz="0" w:space="0" w:color="auto"/>
        <w:left w:val="none" w:sz="0" w:space="0" w:color="auto"/>
        <w:bottom w:val="none" w:sz="0" w:space="0" w:color="auto"/>
        <w:right w:val="none" w:sz="0" w:space="0" w:color="auto"/>
      </w:divBdr>
      <w:divsChild>
        <w:div w:id="1753769825">
          <w:marLeft w:val="0"/>
          <w:marRight w:val="0"/>
          <w:marTop w:val="0"/>
          <w:marBottom w:val="0"/>
          <w:divBdr>
            <w:top w:val="none" w:sz="0" w:space="0" w:color="auto"/>
            <w:left w:val="none" w:sz="0" w:space="0" w:color="auto"/>
            <w:bottom w:val="none" w:sz="0" w:space="0" w:color="auto"/>
            <w:right w:val="none" w:sz="0" w:space="0" w:color="auto"/>
          </w:divBdr>
          <w:divsChild>
            <w:div w:id="1907378274">
              <w:marLeft w:val="0"/>
              <w:marRight w:val="0"/>
              <w:marTop w:val="0"/>
              <w:marBottom w:val="0"/>
              <w:divBdr>
                <w:top w:val="none" w:sz="0" w:space="0" w:color="auto"/>
                <w:left w:val="none" w:sz="0" w:space="0" w:color="auto"/>
                <w:bottom w:val="none" w:sz="0" w:space="0" w:color="auto"/>
                <w:right w:val="none" w:sz="0" w:space="0" w:color="auto"/>
              </w:divBdr>
              <w:divsChild>
                <w:div w:id="195968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083946">
      <w:bodyDiv w:val="1"/>
      <w:marLeft w:val="0"/>
      <w:marRight w:val="0"/>
      <w:marTop w:val="0"/>
      <w:marBottom w:val="0"/>
      <w:divBdr>
        <w:top w:val="none" w:sz="0" w:space="0" w:color="auto"/>
        <w:left w:val="none" w:sz="0" w:space="0" w:color="auto"/>
        <w:bottom w:val="none" w:sz="0" w:space="0" w:color="auto"/>
        <w:right w:val="none" w:sz="0" w:space="0" w:color="auto"/>
      </w:divBdr>
      <w:divsChild>
        <w:div w:id="1453983518">
          <w:marLeft w:val="0"/>
          <w:marRight w:val="0"/>
          <w:marTop w:val="0"/>
          <w:marBottom w:val="0"/>
          <w:divBdr>
            <w:top w:val="none" w:sz="0" w:space="0" w:color="auto"/>
            <w:left w:val="none" w:sz="0" w:space="0" w:color="auto"/>
            <w:bottom w:val="none" w:sz="0" w:space="0" w:color="auto"/>
            <w:right w:val="none" w:sz="0" w:space="0" w:color="auto"/>
          </w:divBdr>
          <w:divsChild>
            <w:div w:id="638653907">
              <w:marLeft w:val="0"/>
              <w:marRight w:val="0"/>
              <w:marTop w:val="0"/>
              <w:marBottom w:val="0"/>
              <w:divBdr>
                <w:top w:val="none" w:sz="0" w:space="0" w:color="auto"/>
                <w:left w:val="none" w:sz="0" w:space="0" w:color="auto"/>
                <w:bottom w:val="none" w:sz="0" w:space="0" w:color="auto"/>
                <w:right w:val="none" w:sz="0" w:space="0" w:color="auto"/>
              </w:divBdr>
              <w:divsChild>
                <w:div w:id="88895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680707">
      <w:bodyDiv w:val="1"/>
      <w:marLeft w:val="0"/>
      <w:marRight w:val="0"/>
      <w:marTop w:val="0"/>
      <w:marBottom w:val="0"/>
      <w:divBdr>
        <w:top w:val="none" w:sz="0" w:space="0" w:color="auto"/>
        <w:left w:val="none" w:sz="0" w:space="0" w:color="auto"/>
        <w:bottom w:val="none" w:sz="0" w:space="0" w:color="auto"/>
        <w:right w:val="none" w:sz="0" w:space="0" w:color="auto"/>
      </w:divBdr>
      <w:divsChild>
        <w:div w:id="2061515737">
          <w:marLeft w:val="0"/>
          <w:marRight w:val="0"/>
          <w:marTop w:val="0"/>
          <w:marBottom w:val="0"/>
          <w:divBdr>
            <w:top w:val="none" w:sz="0" w:space="0" w:color="auto"/>
            <w:left w:val="none" w:sz="0" w:space="0" w:color="auto"/>
            <w:bottom w:val="none" w:sz="0" w:space="0" w:color="auto"/>
            <w:right w:val="none" w:sz="0" w:space="0" w:color="auto"/>
          </w:divBdr>
          <w:divsChild>
            <w:div w:id="419832177">
              <w:marLeft w:val="0"/>
              <w:marRight w:val="0"/>
              <w:marTop w:val="0"/>
              <w:marBottom w:val="0"/>
              <w:divBdr>
                <w:top w:val="none" w:sz="0" w:space="0" w:color="auto"/>
                <w:left w:val="none" w:sz="0" w:space="0" w:color="auto"/>
                <w:bottom w:val="none" w:sz="0" w:space="0" w:color="auto"/>
                <w:right w:val="none" w:sz="0" w:space="0" w:color="auto"/>
              </w:divBdr>
              <w:divsChild>
                <w:div w:id="142121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490411">
      <w:bodyDiv w:val="1"/>
      <w:marLeft w:val="0"/>
      <w:marRight w:val="0"/>
      <w:marTop w:val="0"/>
      <w:marBottom w:val="0"/>
      <w:divBdr>
        <w:top w:val="none" w:sz="0" w:space="0" w:color="auto"/>
        <w:left w:val="none" w:sz="0" w:space="0" w:color="auto"/>
        <w:bottom w:val="none" w:sz="0" w:space="0" w:color="auto"/>
        <w:right w:val="none" w:sz="0" w:space="0" w:color="auto"/>
      </w:divBdr>
      <w:divsChild>
        <w:div w:id="452216103">
          <w:marLeft w:val="0"/>
          <w:marRight w:val="0"/>
          <w:marTop w:val="0"/>
          <w:marBottom w:val="0"/>
          <w:divBdr>
            <w:top w:val="none" w:sz="0" w:space="0" w:color="auto"/>
            <w:left w:val="none" w:sz="0" w:space="0" w:color="auto"/>
            <w:bottom w:val="none" w:sz="0" w:space="0" w:color="auto"/>
            <w:right w:val="none" w:sz="0" w:space="0" w:color="auto"/>
          </w:divBdr>
          <w:divsChild>
            <w:div w:id="285158270">
              <w:marLeft w:val="0"/>
              <w:marRight w:val="0"/>
              <w:marTop w:val="0"/>
              <w:marBottom w:val="0"/>
              <w:divBdr>
                <w:top w:val="none" w:sz="0" w:space="0" w:color="auto"/>
                <w:left w:val="none" w:sz="0" w:space="0" w:color="auto"/>
                <w:bottom w:val="none" w:sz="0" w:space="0" w:color="auto"/>
                <w:right w:val="none" w:sz="0" w:space="0" w:color="auto"/>
              </w:divBdr>
              <w:divsChild>
                <w:div w:id="205515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794124">
      <w:bodyDiv w:val="1"/>
      <w:marLeft w:val="0"/>
      <w:marRight w:val="0"/>
      <w:marTop w:val="0"/>
      <w:marBottom w:val="0"/>
      <w:divBdr>
        <w:top w:val="none" w:sz="0" w:space="0" w:color="auto"/>
        <w:left w:val="none" w:sz="0" w:space="0" w:color="auto"/>
        <w:bottom w:val="none" w:sz="0" w:space="0" w:color="auto"/>
        <w:right w:val="none" w:sz="0" w:space="0" w:color="auto"/>
      </w:divBdr>
      <w:divsChild>
        <w:div w:id="1229850605">
          <w:marLeft w:val="0"/>
          <w:marRight w:val="0"/>
          <w:marTop w:val="0"/>
          <w:marBottom w:val="0"/>
          <w:divBdr>
            <w:top w:val="none" w:sz="0" w:space="0" w:color="auto"/>
            <w:left w:val="none" w:sz="0" w:space="0" w:color="auto"/>
            <w:bottom w:val="none" w:sz="0" w:space="0" w:color="auto"/>
            <w:right w:val="none" w:sz="0" w:space="0" w:color="auto"/>
          </w:divBdr>
          <w:divsChild>
            <w:div w:id="1464692525">
              <w:marLeft w:val="0"/>
              <w:marRight w:val="0"/>
              <w:marTop w:val="0"/>
              <w:marBottom w:val="0"/>
              <w:divBdr>
                <w:top w:val="none" w:sz="0" w:space="0" w:color="auto"/>
                <w:left w:val="none" w:sz="0" w:space="0" w:color="auto"/>
                <w:bottom w:val="none" w:sz="0" w:space="0" w:color="auto"/>
                <w:right w:val="none" w:sz="0" w:space="0" w:color="auto"/>
              </w:divBdr>
              <w:divsChild>
                <w:div w:id="190506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16250">
      <w:bodyDiv w:val="1"/>
      <w:marLeft w:val="0"/>
      <w:marRight w:val="0"/>
      <w:marTop w:val="0"/>
      <w:marBottom w:val="0"/>
      <w:divBdr>
        <w:top w:val="none" w:sz="0" w:space="0" w:color="auto"/>
        <w:left w:val="none" w:sz="0" w:space="0" w:color="auto"/>
        <w:bottom w:val="none" w:sz="0" w:space="0" w:color="auto"/>
        <w:right w:val="none" w:sz="0" w:space="0" w:color="auto"/>
      </w:divBdr>
      <w:divsChild>
        <w:div w:id="344526443">
          <w:marLeft w:val="0"/>
          <w:marRight w:val="0"/>
          <w:marTop w:val="0"/>
          <w:marBottom w:val="0"/>
          <w:divBdr>
            <w:top w:val="none" w:sz="0" w:space="0" w:color="auto"/>
            <w:left w:val="none" w:sz="0" w:space="0" w:color="auto"/>
            <w:bottom w:val="none" w:sz="0" w:space="0" w:color="auto"/>
            <w:right w:val="none" w:sz="0" w:space="0" w:color="auto"/>
          </w:divBdr>
          <w:divsChild>
            <w:div w:id="1318457062">
              <w:marLeft w:val="0"/>
              <w:marRight w:val="0"/>
              <w:marTop w:val="0"/>
              <w:marBottom w:val="0"/>
              <w:divBdr>
                <w:top w:val="none" w:sz="0" w:space="0" w:color="auto"/>
                <w:left w:val="none" w:sz="0" w:space="0" w:color="auto"/>
                <w:bottom w:val="none" w:sz="0" w:space="0" w:color="auto"/>
                <w:right w:val="none" w:sz="0" w:space="0" w:color="auto"/>
              </w:divBdr>
              <w:divsChild>
                <w:div w:id="132897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358514">
      <w:bodyDiv w:val="1"/>
      <w:marLeft w:val="0"/>
      <w:marRight w:val="0"/>
      <w:marTop w:val="0"/>
      <w:marBottom w:val="0"/>
      <w:divBdr>
        <w:top w:val="none" w:sz="0" w:space="0" w:color="auto"/>
        <w:left w:val="none" w:sz="0" w:space="0" w:color="auto"/>
        <w:bottom w:val="none" w:sz="0" w:space="0" w:color="auto"/>
        <w:right w:val="none" w:sz="0" w:space="0" w:color="auto"/>
      </w:divBdr>
      <w:divsChild>
        <w:div w:id="2129855529">
          <w:marLeft w:val="0"/>
          <w:marRight w:val="0"/>
          <w:marTop w:val="0"/>
          <w:marBottom w:val="0"/>
          <w:divBdr>
            <w:top w:val="none" w:sz="0" w:space="0" w:color="auto"/>
            <w:left w:val="none" w:sz="0" w:space="0" w:color="auto"/>
            <w:bottom w:val="none" w:sz="0" w:space="0" w:color="auto"/>
            <w:right w:val="none" w:sz="0" w:space="0" w:color="auto"/>
          </w:divBdr>
          <w:divsChild>
            <w:div w:id="2006009991">
              <w:marLeft w:val="0"/>
              <w:marRight w:val="0"/>
              <w:marTop w:val="0"/>
              <w:marBottom w:val="0"/>
              <w:divBdr>
                <w:top w:val="none" w:sz="0" w:space="0" w:color="auto"/>
                <w:left w:val="none" w:sz="0" w:space="0" w:color="auto"/>
                <w:bottom w:val="none" w:sz="0" w:space="0" w:color="auto"/>
                <w:right w:val="none" w:sz="0" w:space="0" w:color="auto"/>
              </w:divBdr>
              <w:divsChild>
                <w:div w:id="59305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201041">
      <w:bodyDiv w:val="1"/>
      <w:marLeft w:val="0"/>
      <w:marRight w:val="0"/>
      <w:marTop w:val="0"/>
      <w:marBottom w:val="0"/>
      <w:divBdr>
        <w:top w:val="none" w:sz="0" w:space="0" w:color="auto"/>
        <w:left w:val="none" w:sz="0" w:space="0" w:color="auto"/>
        <w:bottom w:val="none" w:sz="0" w:space="0" w:color="auto"/>
        <w:right w:val="none" w:sz="0" w:space="0" w:color="auto"/>
      </w:divBdr>
      <w:divsChild>
        <w:div w:id="230238955">
          <w:marLeft w:val="0"/>
          <w:marRight w:val="0"/>
          <w:marTop w:val="0"/>
          <w:marBottom w:val="0"/>
          <w:divBdr>
            <w:top w:val="none" w:sz="0" w:space="0" w:color="auto"/>
            <w:left w:val="none" w:sz="0" w:space="0" w:color="auto"/>
            <w:bottom w:val="none" w:sz="0" w:space="0" w:color="auto"/>
            <w:right w:val="none" w:sz="0" w:space="0" w:color="auto"/>
          </w:divBdr>
          <w:divsChild>
            <w:div w:id="1772124042">
              <w:marLeft w:val="0"/>
              <w:marRight w:val="0"/>
              <w:marTop w:val="0"/>
              <w:marBottom w:val="0"/>
              <w:divBdr>
                <w:top w:val="none" w:sz="0" w:space="0" w:color="auto"/>
                <w:left w:val="none" w:sz="0" w:space="0" w:color="auto"/>
                <w:bottom w:val="none" w:sz="0" w:space="0" w:color="auto"/>
                <w:right w:val="none" w:sz="0" w:space="0" w:color="auto"/>
              </w:divBdr>
              <w:divsChild>
                <w:div w:id="56364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089658">
      <w:bodyDiv w:val="1"/>
      <w:marLeft w:val="0"/>
      <w:marRight w:val="0"/>
      <w:marTop w:val="0"/>
      <w:marBottom w:val="0"/>
      <w:divBdr>
        <w:top w:val="none" w:sz="0" w:space="0" w:color="auto"/>
        <w:left w:val="none" w:sz="0" w:space="0" w:color="auto"/>
        <w:bottom w:val="none" w:sz="0" w:space="0" w:color="auto"/>
        <w:right w:val="none" w:sz="0" w:space="0" w:color="auto"/>
      </w:divBdr>
      <w:divsChild>
        <w:div w:id="1335959532">
          <w:marLeft w:val="0"/>
          <w:marRight w:val="0"/>
          <w:marTop w:val="0"/>
          <w:marBottom w:val="0"/>
          <w:divBdr>
            <w:top w:val="none" w:sz="0" w:space="0" w:color="auto"/>
            <w:left w:val="none" w:sz="0" w:space="0" w:color="auto"/>
            <w:bottom w:val="none" w:sz="0" w:space="0" w:color="auto"/>
            <w:right w:val="none" w:sz="0" w:space="0" w:color="auto"/>
          </w:divBdr>
          <w:divsChild>
            <w:div w:id="463475205">
              <w:marLeft w:val="0"/>
              <w:marRight w:val="0"/>
              <w:marTop w:val="0"/>
              <w:marBottom w:val="0"/>
              <w:divBdr>
                <w:top w:val="none" w:sz="0" w:space="0" w:color="auto"/>
                <w:left w:val="none" w:sz="0" w:space="0" w:color="auto"/>
                <w:bottom w:val="none" w:sz="0" w:space="0" w:color="auto"/>
                <w:right w:val="none" w:sz="0" w:space="0" w:color="auto"/>
              </w:divBdr>
              <w:divsChild>
                <w:div w:id="17250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767415">
      <w:bodyDiv w:val="1"/>
      <w:marLeft w:val="0"/>
      <w:marRight w:val="0"/>
      <w:marTop w:val="0"/>
      <w:marBottom w:val="0"/>
      <w:divBdr>
        <w:top w:val="none" w:sz="0" w:space="0" w:color="auto"/>
        <w:left w:val="none" w:sz="0" w:space="0" w:color="auto"/>
        <w:bottom w:val="none" w:sz="0" w:space="0" w:color="auto"/>
        <w:right w:val="none" w:sz="0" w:space="0" w:color="auto"/>
      </w:divBdr>
      <w:divsChild>
        <w:div w:id="1133526021">
          <w:marLeft w:val="0"/>
          <w:marRight w:val="0"/>
          <w:marTop w:val="0"/>
          <w:marBottom w:val="0"/>
          <w:divBdr>
            <w:top w:val="none" w:sz="0" w:space="0" w:color="auto"/>
            <w:left w:val="none" w:sz="0" w:space="0" w:color="auto"/>
            <w:bottom w:val="none" w:sz="0" w:space="0" w:color="auto"/>
            <w:right w:val="none" w:sz="0" w:space="0" w:color="auto"/>
          </w:divBdr>
          <w:divsChild>
            <w:div w:id="626937740">
              <w:marLeft w:val="0"/>
              <w:marRight w:val="0"/>
              <w:marTop w:val="0"/>
              <w:marBottom w:val="0"/>
              <w:divBdr>
                <w:top w:val="none" w:sz="0" w:space="0" w:color="auto"/>
                <w:left w:val="none" w:sz="0" w:space="0" w:color="auto"/>
                <w:bottom w:val="none" w:sz="0" w:space="0" w:color="auto"/>
                <w:right w:val="none" w:sz="0" w:space="0" w:color="auto"/>
              </w:divBdr>
              <w:divsChild>
                <w:div w:id="44265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614644">
      <w:bodyDiv w:val="1"/>
      <w:marLeft w:val="0"/>
      <w:marRight w:val="0"/>
      <w:marTop w:val="0"/>
      <w:marBottom w:val="0"/>
      <w:divBdr>
        <w:top w:val="none" w:sz="0" w:space="0" w:color="auto"/>
        <w:left w:val="none" w:sz="0" w:space="0" w:color="auto"/>
        <w:bottom w:val="none" w:sz="0" w:space="0" w:color="auto"/>
        <w:right w:val="none" w:sz="0" w:space="0" w:color="auto"/>
      </w:divBdr>
      <w:divsChild>
        <w:div w:id="231619402">
          <w:marLeft w:val="0"/>
          <w:marRight w:val="0"/>
          <w:marTop w:val="0"/>
          <w:marBottom w:val="0"/>
          <w:divBdr>
            <w:top w:val="none" w:sz="0" w:space="0" w:color="auto"/>
            <w:left w:val="none" w:sz="0" w:space="0" w:color="auto"/>
            <w:bottom w:val="none" w:sz="0" w:space="0" w:color="auto"/>
            <w:right w:val="none" w:sz="0" w:space="0" w:color="auto"/>
          </w:divBdr>
          <w:divsChild>
            <w:div w:id="64423580">
              <w:marLeft w:val="0"/>
              <w:marRight w:val="0"/>
              <w:marTop w:val="0"/>
              <w:marBottom w:val="0"/>
              <w:divBdr>
                <w:top w:val="none" w:sz="0" w:space="0" w:color="auto"/>
                <w:left w:val="none" w:sz="0" w:space="0" w:color="auto"/>
                <w:bottom w:val="none" w:sz="0" w:space="0" w:color="auto"/>
                <w:right w:val="none" w:sz="0" w:space="0" w:color="auto"/>
              </w:divBdr>
              <w:divsChild>
                <w:div w:id="77898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545492">
      <w:bodyDiv w:val="1"/>
      <w:marLeft w:val="0"/>
      <w:marRight w:val="0"/>
      <w:marTop w:val="0"/>
      <w:marBottom w:val="0"/>
      <w:divBdr>
        <w:top w:val="none" w:sz="0" w:space="0" w:color="auto"/>
        <w:left w:val="none" w:sz="0" w:space="0" w:color="auto"/>
        <w:bottom w:val="none" w:sz="0" w:space="0" w:color="auto"/>
        <w:right w:val="none" w:sz="0" w:space="0" w:color="auto"/>
      </w:divBdr>
      <w:divsChild>
        <w:div w:id="1418554800">
          <w:marLeft w:val="0"/>
          <w:marRight w:val="0"/>
          <w:marTop w:val="0"/>
          <w:marBottom w:val="0"/>
          <w:divBdr>
            <w:top w:val="none" w:sz="0" w:space="0" w:color="auto"/>
            <w:left w:val="none" w:sz="0" w:space="0" w:color="auto"/>
            <w:bottom w:val="none" w:sz="0" w:space="0" w:color="auto"/>
            <w:right w:val="none" w:sz="0" w:space="0" w:color="auto"/>
          </w:divBdr>
          <w:divsChild>
            <w:div w:id="274290536">
              <w:marLeft w:val="0"/>
              <w:marRight w:val="0"/>
              <w:marTop w:val="0"/>
              <w:marBottom w:val="0"/>
              <w:divBdr>
                <w:top w:val="none" w:sz="0" w:space="0" w:color="auto"/>
                <w:left w:val="none" w:sz="0" w:space="0" w:color="auto"/>
                <w:bottom w:val="none" w:sz="0" w:space="0" w:color="auto"/>
                <w:right w:val="none" w:sz="0" w:space="0" w:color="auto"/>
              </w:divBdr>
              <w:divsChild>
                <w:div w:id="214519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341146">
      <w:bodyDiv w:val="1"/>
      <w:marLeft w:val="0"/>
      <w:marRight w:val="0"/>
      <w:marTop w:val="0"/>
      <w:marBottom w:val="0"/>
      <w:divBdr>
        <w:top w:val="none" w:sz="0" w:space="0" w:color="auto"/>
        <w:left w:val="none" w:sz="0" w:space="0" w:color="auto"/>
        <w:bottom w:val="none" w:sz="0" w:space="0" w:color="auto"/>
        <w:right w:val="none" w:sz="0" w:space="0" w:color="auto"/>
      </w:divBdr>
      <w:divsChild>
        <w:div w:id="1607081957">
          <w:marLeft w:val="0"/>
          <w:marRight w:val="0"/>
          <w:marTop w:val="0"/>
          <w:marBottom w:val="0"/>
          <w:divBdr>
            <w:top w:val="none" w:sz="0" w:space="0" w:color="auto"/>
            <w:left w:val="none" w:sz="0" w:space="0" w:color="auto"/>
            <w:bottom w:val="none" w:sz="0" w:space="0" w:color="auto"/>
            <w:right w:val="none" w:sz="0" w:space="0" w:color="auto"/>
          </w:divBdr>
          <w:divsChild>
            <w:div w:id="1723628502">
              <w:marLeft w:val="0"/>
              <w:marRight w:val="0"/>
              <w:marTop w:val="0"/>
              <w:marBottom w:val="0"/>
              <w:divBdr>
                <w:top w:val="none" w:sz="0" w:space="0" w:color="auto"/>
                <w:left w:val="none" w:sz="0" w:space="0" w:color="auto"/>
                <w:bottom w:val="none" w:sz="0" w:space="0" w:color="auto"/>
                <w:right w:val="none" w:sz="0" w:space="0" w:color="auto"/>
              </w:divBdr>
              <w:divsChild>
                <w:div w:id="41590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869759">
      <w:bodyDiv w:val="1"/>
      <w:marLeft w:val="0"/>
      <w:marRight w:val="0"/>
      <w:marTop w:val="0"/>
      <w:marBottom w:val="0"/>
      <w:divBdr>
        <w:top w:val="none" w:sz="0" w:space="0" w:color="auto"/>
        <w:left w:val="none" w:sz="0" w:space="0" w:color="auto"/>
        <w:bottom w:val="none" w:sz="0" w:space="0" w:color="auto"/>
        <w:right w:val="none" w:sz="0" w:space="0" w:color="auto"/>
      </w:divBdr>
      <w:divsChild>
        <w:div w:id="366948863">
          <w:marLeft w:val="0"/>
          <w:marRight w:val="0"/>
          <w:marTop w:val="0"/>
          <w:marBottom w:val="0"/>
          <w:divBdr>
            <w:top w:val="none" w:sz="0" w:space="0" w:color="auto"/>
            <w:left w:val="none" w:sz="0" w:space="0" w:color="auto"/>
            <w:bottom w:val="none" w:sz="0" w:space="0" w:color="auto"/>
            <w:right w:val="none" w:sz="0" w:space="0" w:color="auto"/>
          </w:divBdr>
          <w:divsChild>
            <w:div w:id="1420755475">
              <w:marLeft w:val="0"/>
              <w:marRight w:val="0"/>
              <w:marTop w:val="0"/>
              <w:marBottom w:val="0"/>
              <w:divBdr>
                <w:top w:val="none" w:sz="0" w:space="0" w:color="auto"/>
                <w:left w:val="none" w:sz="0" w:space="0" w:color="auto"/>
                <w:bottom w:val="none" w:sz="0" w:space="0" w:color="auto"/>
                <w:right w:val="none" w:sz="0" w:space="0" w:color="auto"/>
              </w:divBdr>
              <w:divsChild>
                <w:div w:id="157188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379686">
      <w:bodyDiv w:val="1"/>
      <w:marLeft w:val="0"/>
      <w:marRight w:val="0"/>
      <w:marTop w:val="0"/>
      <w:marBottom w:val="0"/>
      <w:divBdr>
        <w:top w:val="none" w:sz="0" w:space="0" w:color="auto"/>
        <w:left w:val="none" w:sz="0" w:space="0" w:color="auto"/>
        <w:bottom w:val="none" w:sz="0" w:space="0" w:color="auto"/>
        <w:right w:val="none" w:sz="0" w:space="0" w:color="auto"/>
      </w:divBdr>
      <w:divsChild>
        <w:div w:id="130245530">
          <w:marLeft w:val="0"/>
          <w:marRight w:val="0"/>
          <w:marTop w:val="0"/>
          <w:marBottom w:val="0"/>
          <w:divBdr>
            <w:top w:val="none" w:sz="0" w:space="0" w:color="auto"/>
            <w:left w:val="none" w:sz="0" w:space="0" w:color="auto"/>
            <w:bottom w:val="none" w:sz="0" w:space="0" w:color="auto"/>
            <w:right w:val="none" w:sz="0" w:space="0" w:color="auto"/>
          </w:divBdr>
          <w:divsChild>
            <w:div w:id="247882852">
              <w:marLeft w:val="0"/>
              <w:marRight w:val="0"/>
              <w:marTop w:val="0"/>
              <w:marBottom w:val="0"/>
              <w:divBdr>
                <w:top w:val="none" w:sz="0" w:space="0" w:color="auto"/>
                <w:left w:val="none" w:sz="0" w:space="0" w:color="auto"/>
                <w:bottom w:val="none" w:sz="0" w:space="0" w:color="auto"/>
                <w:right w:val="none" w:sz="0" w:space="0" w:color="auto"/>
              </w:divBdr>
              <w:divsChild>
                <w:div w:id="49757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348123">
      <w:bodyDiv w:val="1"/>
      <w:marLeft w:val="0"/>
      <w:marRight w:val="0"/>
      <w:marTop w:val="0"/>
      <w:marBottom w:val="0"/>
      <w:divBdr>
        <w:top w:val="none" w:sz="0" w:space="0" w:color="auto"/>
        <w:left w:val="none" w:sz="0" w:space="0" w:color="auto"/>
        <w:bottom w:val="none" w:sz="0" w:space="0" w:color="auto"/>
        <w:right w:val="none" w:sz="0" w:space="0" w:color="auto"/>
      </w:divBdr>
      <w:divsChild>
        <w:div w:id="475679967">
          <w:marLeft w:val="0"/>
          <w:marRight w:val="0"/>
          <w:marTop w:val="0"/>
          <w:marBottom w:val="0"/>
          <w:divBdr>
            <w:top w:val="none" w:sz="0" w:space="0" w:color="auto"/>
            <w:left w:val="none" w:sz="0" w:space="0" w:color="auto"/>
            <w:bottom w:val="none" w:sz="0" w:space="0" w:color="auto"/>
            <w:right w:val="none" w:sz="0" w:space="0" w:color="auto"/>
          </w:divBdr>
          <w:divsChild>
            <w:div w:id="699277892">
              <w:marLeft w:val="0"/>
              <w:marRight w:val="0"/>
              <w:marTop w:val="0"/>
              <w:marBottom w:val="0"/>
              <w:divBdr>
                <w:top w:val="none" w:sz="0" w:space="0" w:color="auto"/>
                <w:left w:val="none" w:sz="0" w:space="0" w:color="auto"/>
                <w:bottom w:val="none" w:sz="0" w:space="0" w:color="auto"/>
                <w:right w:val="none" w:sz="0" w:space="0" w:color="auto"/>
              </w:divBdr>
              <w:divsChild>
                <w:div w:id="122679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670176">
      <w:bodyDiv w:val="1"/>
      <w:marLeft w:val="0"/>
      <w:marRight w:val="0"/>
      <w:marTop w:val="0"/>
      <w:marBottom w:val="0"/>
      <w:divBdr>
        <w:top w:val="none" w:sz="0" w:space="0" w:color="auto"/>
        <w:left w:val="none" w:sz="0" w:space="0" w:color="auto"/>
        <w:bottom w:val="none" w:sz="0" w:space="0" w:color="auto"/>
        <w:right w:val="none" w:sz="0" w:space="0" w:color="auto"/>
      </w:divBdr>
    </w:div>
    <w:div w:id="698553658">
      <w:bodyDiv w:val="1"/>
      <w:marLeft w:val="0"/>
      <w:marRight w:val="0"/>
      <w:marTop w:val="0"/>
      <w:marBottom w:val="0"/>
      <w:divBdr>
        <w:top w:val="none" w:sz="0" w:space="0" w:color="auto"/>
        <w:left w:val="none" w:sz="0" w:space="0" w:color="auto"/>
        <w:bottom w:val="none" w:sz="0" w:space="0" w:color="auto"/>
        <w:right w:val="none" w:sz="0" w:space="0" w:color="auto"/>
      </w:divBdr>
      <w:divsChild>
        <w:div w:id="2027053844">
          <w:marLeft w:val="0"/>
          <w:marRight w:val="0"/>
          <w:marTop w:val="0"/>
          <w:marBottom w:val="0"/>
          <w:divBdr>
            <w:top w:val="none" w:sz="0" w:space="0" w:color="auto"/>
            <w:left w:val="none" w:sz="0" w:space="0" w:color="auto"/>
            <w:bottom w:val="none" w:sz="0" w:space="0" w:color="auto"/>
            <w:right w:val="none" w:sz="0" w:space="0" w:color="auto"/>
          </w:divBdr>
          <w:divsChild>
            <w:div w:id="1232429616">
              <w:marLeft w:val="0"/>
              <w:marRight w:val="0"/>
              <w:marTop w:val="0"/>
              <w:marBottom w:val="0"/>
              <w:divBdr>
                <w:top w:val="none" w:sz="0" w:space="0" w:color="auto"/>
                <w:left w:val="none" w:sz="0" w:space="0" w:color="auto"/>
                <w:bottom w:val="none" w:sz="0" w:space="0" w:color="auto"/>
                <w:right w:val="none" w:sz="0" w:space="0" w:color="auto"/>
              </w:divBdr>
              <w:divsChild>
                <w:div w:id="28072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387212">
      <w:bodyDiv w:val="1"/>
      <w:marLeft w:val="0"/>
      <w:marRight w:val="0"/>
      <w:marTop w:val="0"/>
      <w:marBottom w:val="0"/>
      <w:divBdr>
        <w:top w:val="none" w:sz="0" w:space="0" w:color="auto"/>
        <w:left w:val="none" w:sz="0" w:space="0" w:color="auto"/>
        <w:bottom w:val="none" w:sz="0" w:space="0" w:color="auto"/>
        <w:right w:val="none" w:sz="0" w:space="0" w:color="auto"/>
      </w:divBdr>
      <w:divsChild>
        <w:div w:id="1281844088">
          <w:marLeft w:val="0"/>
          <w:marRight w:val="0"/>
          <w:marTop w:val="0"/>
          <w:marBottom w:val="0"/>
          <w:divBdr>
            <w:top w:val="none" w:sz="0" w:space="0" w:color="auto"/>
            <w:left w:val="none" w:sz="0" w:space="0" w:color="auto"/>
            <w:bottom w:val="none" w:sz="0" w:space="0" w:color="auto"/>
            <w:right w:val="none" w:sz="0" w:space="0" w:color="auto"/>
          </w:divBdr>
          <w:divsChild>
            <w:div w:id="2147312982">
              <w:marLeft w:val="0"/>
              <w:marRight w:val="0"/>
              <w:marTop w:val="0"/>
              <w:marBottom w:val="0"/>
              <w:divBdr>
                <w:top w:val="none" w:sz="0" w:space="0" w:color="auto"/>
                <w:left w:val="none" w:sz="0" w:space="0" w:color="auto"/>
                <w:bottom w:val="none" w:sz="0" w:space="0" w:color="auto"/>
                <w:right w:val="none" w:sz="0" w:space="0" w:color="auto"/>
              </w:divBdr>
              <w:divsChild>
                <w:div w:id="195586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703263">
      <w:bodyDiv w:val="1"/>
      <w:marLeft w:val="0"/>
      <w:marRight w:val="0"/>
      <w:marTop w:val="0"/>
      <w:marBottom w:val="0"/>
      <w:divBdr>
        <w:top w:val="none" w:sz="0" w:space="0" w:color="auto"/>
        <w:left w:val="none" w:sz="0" w:space="0" w:color="auto"/>
        <w:bottom w:val="none" w:sz="0" w:space="0" w:color="auto"/>
        <w:right w:val="none" w:sz="0" w:space="0" w:color="auto"/>
      </w:divBdr>
      <w:divsChild>
        <w:div w:id="1784419938">
          <w:marLeft w:val="0"/>
          <w:marRight w:val="0"/>
          <w:marTop w:val="0"/>
          <w:marBottom w:val="0"/>
          <w:divBdr>
            <w:top w:val="none" w:sz="0" w:space="0" w:color="auto"/>
            <w:left w:val="none" w:sz="0" w:space="0" w:color="auto"/>
            <w:bottom w:val="none" w:sz="0" w:space="0" w:color="auto"/>
            <w:right w:val="none" w:sz="0" w:space="0" w:color="auto"/>
          </w:divBdr>
        </w:div>
      </w:divsChild>
    </w:div>
    <w:div w:id="735325916">
      <w:bodyDiv w:val="1"/>
      <w:marLeft w:val="0"/>
      <w:marRight w:val="0"/>
      <w:marTop w:val="0"/>
      <w:marBottom w:val="0"/>
      <w:divBdr>
        <w:top w:val="none" w:sz="0" w:space="0" w:color="auto"/>
        <w:left w:val="none" w:sz="0" w:space="0" w:color="auto"/>
        <w:bottom w:val="none" w:sz="0" w:space="0" w:color="auto"/>
        <w:right w:val="none" w:sz="0" w:space="0" w:color="auto"/>
      </w:divBdr>
      <w:divsChild>
        <w:div w:id="1448701093">
          <w:marLeft w:val="0"/>
          <w:marRight w:val="0"/>
          <w:marTop w:val="0"/>
          <w:marBottom w:val="0"/>
          <w:divBdr>
            <w:top w:val="none" w:sz="0" w:space="0" w:color="auto"/>
            <w:left w:val="none" w:sz="0" w:space="0" w:color="auto"/>
            <w:bottom w:val="none" w:sz="0" w:space="0" w:color="auto"/>
            <w:right w:val="none" w:sz="0" w:space="0" w:color="auto"/>
          </w:divBdr>
          <w:divsChild>
            <w:div w:id="133183067">
              <w:marLeft w:val="0"/>
              <w:marRight w:val="0"/>
              <w:marTop w:val="0"/>
              <w:marBottom w:val="0"/>
              <w:divBdr>
                <w:top w:val="none" w:sz="0" w:space="0" w:color="auto"/>
                <w:left w:val="none" w:sz="0" w:space="0" w:color="auto"/>
                <w:bottom w:val="none" w:sz="0" w:space="0" w:color="auto"/>
                <w:right w:val="none" w:sz="0" w:space="0" w:color="auto"/>
              </w:divBdr>
              <w:divsChild>
                <w:div w:id="29302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980443">
      <w:bodyDiv w:val="1"/>
      <w:marLeft w:val="0"/>
      <w:marRight w:val="0"/>
      <w:marTop w:val="0"/>
      <w:marBottom w:val="0"/>
      <w:divBdr>
        <w:top w:val="none" w:sz="0" w:space="0" w:color="auto"/>
        <w:left w:val="none" w:sz="0" w:space="0" w:color="auto"/>
        <w:bottom w:val="none" w:sz="0" w:space="0" w:color="auto"/>
        <w:right w:val="none" w:sz="0" w:space="0" w:color="auto"/>
      </w:divBdr>
      <w:divsChild>
        <w:div w:id="1858536960">
          <w:marLeft w:val="0"/>
          <w:marRight w:val="0"/>
          <w:marTop w:val="0"/>
          <w:marBottom w:val="0"/>
          <w:divBdr>
            <w:top w:val="none" w:sz="0" w:space="0" w:color="auto"/>
            <w:left w:val="none" w:sz="0" w:space="0" w:color="auto"/>
            <w:bottom w:val="none" w:sz="0" w:space="0" w:color="auto"/>
            <w:right w:val="none" w:sz="0" w:space="0" w:color="auto"/>
          </w:divBdr>
          <w:divsChild>
            <w:div w:id="633406660">
              <w:marLeft w:val="0"/>
              <w:marRight w:val="0"/>
              <w:marTop w:val="0"/>
              <w:marBottom w:val="0"/>
              <w:divBdr>
                <w:top w:val="none" w:sz="0" w:space="0" w:color="auto"/>
                <w:left w:val="none" w:sz="0" w:space="0" w:color="auto"/>
                <w:bottom w:val="none" w:sz="0" w:space="0" w:color="auto"/>
                <w:right w:val="none" w:sz="0" w:space="0" w:color="auto"/>
              </w:divBdr>
              <w:divsChild>
                <w:div w:id="29873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027728">
      <w:bodyDiv w:val="1"/>
      <w:marLeft w:val="0"/>
      <w:marRight w:val="0"/>
      <w:marTop w:val="0"/>
      <w:marBottom w:val="0"/>
      <w:divBdr>
        <w:top w:val="none" w:sz="0" w:space="0" w:color="auto"/>
        <w:left w:val="none" w:sz="0" w:space="0" w:color="auto"/>
        <w:bottom w:val="none" w:sz="0" w:space="0" w:color="auto"/>
        <w:right w:val="none" w:sz="0" w:space="0" w:color="auto"/>
      </w:divBdr>
      <w:divsChild>
        <w:div w:id="1598521227">
          <w:marLeft w:val="0"/>
          <w:marRight w:val="0"/>
          <w:marTop w:val="0"/>
          <w:marBottom w:val="0"/>
          <w:divBdr>
            <w:top w:val="none" w:sz="0" w:space="0" w:color="auto"/>
            <w:left w:val="none" w:sz="0" w:space="0" w:color="auto"/>
            <w:bottom w:val="none" w:sz="0" w:space="0" w:color="auto"/>
            <w:right w:val="none" w:sz="0" w:space="0" w:color="auto"/>
          </w:divBdr>
          <w:divsChild>
            <w:div w:id="118259410">
              <w:marLeft w:val="0"/>
              <w:marRight w:val="0"/>
              <w:marTop w:val="0"/>
              <w:marBottom w:val="0"/>
              <w:divBdr>
                <w:top w:val="none" w:sz="0" w:space="0" w:color="auto"/>
                <w:left w:val="none" w:sz="0" w:space="0" w:color="auto"/>
                <w:bottom w:val="none" w:sz="0" w:space="0" w:color="auto"/>
                <w:right w:val="none" w:sz="0" w:space="0" w:color="auto"/>
              </w:divBdr>
              <w:divsChild>
                <w:div w:id="145255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500018">
      <w:bodyDiv w:val="1"/>
      <w:marLeft w:val="0"/>
      <w:marRight w:val="0"/>
      <w:marTop w:val="0"/>
      <w:marBottom w:val="0"/>
      <w:divBdr>
        <w:top w:val="none" w:sz="0" w:space="0" w:color="auto"/>
        <w:left w:val="none" w:sz="0" w:space="0" w:color="auto"/>
        <w:bottom w:val="none" w:sz="0" w:space="0" w:color="auto"/>
        <w:right w:val="none" w:sz="0" w:space="0" w:color="auto"/>
      </w:divBdr>
      <w:divsChild>
        <w:div w:id="2071076077">
          <w:marLeft w:val="0"/>
          <w:marRight w:val="0"/>
          <w:marTop w:val="0"/>
          <w:marBottom w:val="0"/>
          <w:divBdr>
            <w:top w:val="none" w:sz="0" w:space="0" w:color="auto"/>
            <w:left w:val="none" w:sz="0" w:space="0" w:color="auto"/>
            <w:bottom w:val="none" w:sz="0" w:space="0" w:color="auto"/>
            <w:right w:val="none" w:sz="0" w:space="0" w:color="auto"/>
          </w:divBdr>
          <w:divsChild>
            <w:div w:id="998460621">
              <w:marLeft w:val="0"/>
              <w:marRight w:val="0"/>
              <w:marTop w:val="0"/>
              <w:marBottom w:val="0"/>
              <w:divBdr>
                <w:top w:val="none" w:sz="0" w:space="0" w:color="auto"/>
                <w:left w:val="none" w:sz="0" w:space="0" w:color="auto"/>
                <w:bottom w:val="none" w:sz="0" w:space="0" w:color="auto"/>
                <w:right w:val="none" w:sz="0" w:space="0" w:color="auto"/>
              </w:divBdr>
              <w:divsChild>
                <w:div w:id="60079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275762">
      <w:bodyDiv w:val="1"/>
      <w:marLeft w:val="0"/>
      <w:marRight w:val="0"/>
      <w:marTop w:val="0"/>
      <w:marBottom w:val="0"/>
      <w:divBdr>
        <w:top w:val="none" w:sz="0" w:space="0" w:color="auto"/>
        <w:left w:val="none" w:sz="0" w:space="0" w:color="auto"/>
        <w:bottom w:val="none" w:sz="0" w:space="0" w:color="auto"/>
        <w:right w:val="none" w:sz="0" w:space="0" w:color="auto"/>
      </w:divBdr>
      <w:divsChild>
        <w:div w:id="1053887743">
          <w:marLeft w:val="0"/>
          <w:marRight w:val="0"/>
          <w:marTop w:val="0"/>
          <w:marBottom w:val="0"/>
          <w:divBdr>
            <w:top w:val="none" w:sz="0" w:space="0" w:color="auto"/>
            <w:left w:val="none" w:sz="0" w:space="0" w:color="auto"/>
            <w:bottom w:val="none" w:sz="0" w:space="0" w:color="auto"/>
            <w:right w:val="none" w:sz="0" w:space="0" w:color="auto"/>
          </w:divBdr>
          <w:divsChild>
            <w:div w:id="531916825">
              <w:marLeft w:val="0"/>
              <w:marRight w:val="0"/>
              <w:marTop w:val="0"/>
              <w:marBottom w:val="0"/>
              <w:divBdr>
                <w:top w:val="none" w:sz="0" w:space="0" w:color="auto"/>
                <w:left w:val="none" w:sz="0" w:space="0" w:color="auto"/>
                <w:bottom w:val="none" w:sz="0" w:space="0" w:color="auto"/>
                <w:right w:val="none" w:sz="0" w:space="0" w:color="auto"/>
              </w:divBdr>
              <w:divsChild>
                <w:div w:id="119839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566716">
      <w:bodyDiv w:val="1"/>
      <w:marLeft w:val="0"/>
      <w:marRight w:val="0"/>
      <w:marTop w:val="0"/>
      <w:marBottom w:val="0"/>
      <w:divBdr>
        <w:top w:val="none" w:sz="0" w:space="0" w:color="auto"/>
        <w:left w:val="none" w:sz="0" w:space="0" w:color="auto"/>
        <w:bottom w:val="none" w:sz="0" w:space="0" w:color="auto"/>
        <w:right w:val="none" w:sz="0" w:space="0" w:color="auto"/>
      </w:divBdr>
      <w:divsChild>
        <w:div w:id="1979603068">
          <w:marLeft w:val="0"/>
          <w:marRight w:val="0"/>
          <w:marTop w:val="0"/>
          <w:marBottom w:val="0"/>
          <w:divBdr>
            <w:top w:val="none" w:sz="0" w:space="0" w:color="auto"/>
            <w:left w:val="none" w:sz="0" w:space="0" w:color="auto"/>
            <w:bottom w:val="none" w:sz="0" w:space="0" w:color="auto"/>
            <w:right w:val="none" w:sz="0" w:space="0" w:color="auto"/>
          </w:divBdr>
          <w:divsChild>
            <w:div w:id="538515147">
              <w:marLeft w:val="0"/>
              <w:marRight w:val="0"/>
              <w:marTop w:val="0"/>
              <w:marBottom w:val="0"/>
              <w:divBdr>
                <w:top w:val="none" w:sz="0" w:space="0" w:color="auto"/>
                <w:left w:val="none" w:sz="0" w:space="0" w:color="auto"/>
                <w:bottom w:val="none" w:sz="0" w:space="0" w:color="auto"/>
                <w:right w:val="none" w:sz="0" w:space="0" w:color="auto"/>
              </w:divBdr>
              <w:divsChild>
                <w:div w:id="186157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85318">
      <w:bodyDiv w:val="1"/>
      <w:marLeft w:val="0"/>
      <w:marRight w:val="0"/>
      <w:marTop w:val="0"/>
      <w:marBottom w:val="0"/>
      <w:divBdr>
        <w:top w:val="none" w:sz="0" w:space="0" w:color="auto"/>
        <w:left w:val="none" w:sz="0" w:space="0" w:color="auto"/>
        <w:bottom w:val="none" w:sz="0" w:space="0" w:color="auto"/>
        <w:right w:val="none" w:sz="0" w:space="0" w:color="auto"/>
      </w:divBdr>
      <w:divsChild>
        <w:div w:id="80224193">
          <w:marLeft w:val="0"/>
          <w:marRight w:val="0"/>
          <w:marTop w:val="0"/>
          <w:marBottom w:val="0"/>
          <w:divBdr>
            <w:top w:val="none" w:sz="0" w:space="0" w:color="auto"/>
            <w:left w:val="none" w:sz="0" w:space="0" w:color="auto"/>
            <w:bottom w:val="none" w:sz="0" w:space="0" w:color="auto"/>
            <w:right w:val="none" w:sz="0" w:space="0" w:color="auto"/>
          </w:divBdr>
          <w:divsChild>
            <w:div w:id="1676615699">
              <w:marLeft w:val="0"/>
              <w:marRight w:val="0"/>
              <w:marTop w:val="0"/>
              <w:marBottom w:val="0"/>
              <w:divBdr>
                <w:top w:val="none" w:sz="0" w:space="0" w:color="auto"/>
                <w:left w:val="none" w:sz="0" w:space="0" w:color="auto"/>
                <w:bottom w:val="none" w:sz="0" w:space="0" w:color="auto"/>
                <w:right w:val="none" w:sz="0" w:space="0" w:color="auto"/>
              </w:divBdr>
              <w:divsChild>
                <w:div w:id="152138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639407">
      <w:bodyDiv w:val="1"/>
      <w:marLeft w:val="0"/>
      <w:marRight w:val="0"/>
      <w:marTop w:val="0"/>
      <w:marBottom w:val="0"/>
      <w:divBdr>
        <w:top w:val="none" w:sz="0" w:space="0" w:color="auto"/>
        <w:left w:val="none" w:sz="0" w:space="0" w:color="auto"/>
        <w:bottom w:val="none" w:sz="0" w:space="0" w:color="auto"/>
        <w:right w:val="none" w:sz="0" w:space="0" w:color="auto"/>
      </w:divBdr>
      <w:divsChild>
        <w:div w:id="1802723844">
          <w:marLeft w:val="0"/>
          <w:marRight w:val="0"/>
          <w:marTop w:val="0"/>
          <w:marBottom w:val="0"/>
          <w:divBdr>
            <w:top w:val="none" w:sz="0" w:space="0" w:color="auto"/>
            <w:left w:val="none" w:sz="0" w:space="0" w:color="auto"/>
            <w:bottom w:val="none" w:sz="0" w:space="0" w:color="auto"/>
            <w:right w:val="none" w:sz="0" w:space="0" w:color="auto"/>
          </w:divBdr>
          <w:divsChild>
            <w:div w:id="1356492570">
              <w:marLeft w:val="0"/>
              <w:marRight w:val="0"/>
              <w:marTop w:val="0"/>
              <w:marBottom w:val="0"/>
              <w:divBdr>
                <w:top w:val="none" w:sz="0" w:space="0" w:color="auto"/>
                <w:left w:val="none" w:sz="0" w:space="0" w:color="auto"/>
                <w:bottom w:val="none" w:sz="0" w:space="0" w:color="auto"/>
                <w:right w:val="none" w:sz="0" w:space="0" w:color="auto"/>
              </w:divBdr>
              <w:divsChild>
                <w:div w:id="199972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97813">
          <w:marLeft w:val="0"/>
          <w:marRight w:val="0"/>
          <w:marTop w:val="0"/>
          <w:marBottom w:val="0"/>
          <w:divBdr>
            <w:top w:val="none" w:sz="0" w:space="0" w:color="auto"/>
            <w:left w:val="none" w:sz="0" w:space="0" w:color="auto"/>
            <w:bottom w:val="none" w:sz="0" w:space="0" w:color="auto"/>
            <w:right w:val="none" w:sz="0" w:space="0" w:color="auto"/>
          </w:divBdr>
          <w:divsChild>
            <w:div w:id="187063556">
              <w:marLeft w:val="0"/>
              <w:marRight w:val="0"/>
              <w:marTop w:val="0"/>
              <w:marBottom w:val="0"/>
              <w:divBdr>
                <w:top w:val="none" w:sz="0" w:space="0" w:color="auto"/>
                <w:left w:val="none" w:sz="0" w:space="0" w:color="auto"/>
                <w:bottom w:val="none" w:sz="0" w:space="0" w:color="auto"/>
                <w:right w:val="none" w:sz="0" w:space="0" w:color="auto"/>
              </w:divBdr>
              <w:divsChild>
                <w:div w:id="136328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871321">
      <w:bodyDiv w:val="1"/>
      <w:marLeft w:val="0"/>
      <w:marRight w:val="0"/>
      <w:marTop w:val="0"/>
      <w:marBottom w:val="0"/>
      <w:divBdr>
        <w:top w:val="none" w:sz="0" w:space="0" w:color="auto"/>
        <w:left w:val="none" w:sz="0" w:space="0" w:color="auto"/>
        <w:bottom w:val="none" w:sz="0" w:space="0" w:color="auto"/>
        <w:right w:val="none" w:sz="0" w:space="0" w:color="auto"/>
      </w:divBdr>
      <w:divsChild>
        <w:div w:id="1194734157">
          <w:marLeft w:val="0"/>
          <w:marRight w:val="0"/>
          <w:marTop w:val="0"/>
          <w:marBottom w:val="0"/>
          <w:divBdr>
            <w:top w:val="none" w:sz="0" w:space="0" w:color="auto"/>
            <w:left w:val="none" w:sz="0" w:space="0" w:color="auto"/>
            <w:bottom w:val="none" w:sz="0" w:space="0" w:color="auto"/>
            <w:right w:val="none" w:sz="0" w:space="0" w:color="auto"/>
          </w:divBdr>
        </w:div>
      </w:divsChild>
    </w:div>
    <w:div w:id="961418292">
      <w:bodyDiv w:val="1"/>
      <w:marLeft w:val="0"/>
      <w:marRight w:val="0"/>
      <w:marTop w:val="0"/>
      <w:marBottom w:val="0"/>
      <w:divBdr>
        <w:top w:val="none" w:sz="0" w:space="0" w:color="auto"/>
        <w:left w:val="none" w:sz="0" w:space="0" w:color="auto"/>
        <w:bottom w:val="none" w:sz="0" w:space="0" w:color="auto"/>
        <w:right w:val="none" w:sz="0" w:space="0" w:color="auto"/>
      </w:divBdr>
      <w:divsChild>
        <w:div w:id="1274900583">
          <w:marLeft w:val="0"/>
          <w:marRight w:val="0"/>
          <w:marTop w:val="0"/>
          <w:marBottom w:val="0"/>
          <w:divBdr>
            <w:top w:val="none" w:sz="0" w:space="0" w:color="auto"/>
            <w:left w:val="none" w:sz="0" w:space="0" w:color="auto"/>
            <w:bottom w:val="none" w:sz="0" w:space="0" w:color="auto"/>
            <w:right w:val="none" w:sz="0" w:space="0" w:color="auto"/>
          </w:divBdr>
          <w:divsChild>
            <w:div w:id="1144661233">
              <w:marLeft w:val="0"/>
              <w:marRight w:val="0"/>
              <w:marTop w:val="0"/>
              <w:marBottom w:val="0"/>
              <w:divBdr>
                <w:top w:val="none" w:sz="0" w:space="0" w:color="auto"/>
                <w:left w:val="none" w:sz="0" w:space="0" w:color="auto"/>
                <w:bottom w:val="none" w:sz="0" w:space="0" w:color="auto"/>
                <w:right w:val="none" w:sz="0" w:space="0" w:color="auto"/>
              </w:divBdr>
              <w:divsChild>
                <w:div w:id="125744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14366">
      <w:bodyDiv w:val="1"/>
      <w:marLeft w:val="0"/>
      <w:marRight w:val="0"/>
      <w:marTop w:val="0"/>
      <w:marBottom w:val="0"/>
      <w:divBdr>
        <w:top w:val="none" w:sz="0" w:space="0" w:color="auto"/>
        <w:left w:val="none" w:sz="0" w:space="0" w:color="auto"/>
        <w:bottom w:val="none" w:sz="0" w:space="0" w:color="auto"/>
        <w:right w:val="none" w:sz="0" w:space="0" w:color="auto"/>
      </w:divBdr>
      <w:divsChild>
        <w:div w:id="530458311">
          <w:marLeft w:val="0"/>
          <w:marRight w:val="0"/>
          <w:marTop w:val="0"/>
          <w:marBottom w:val="0"/>
          <w:divBdr>
            <w:top w:val="none" w:sz="0" w:space="0" w:color="auto"/>
            <w:left w:val="none" w:sz="0" w:space="0" w:color="auto"/>
            <w:bottom w:val="none" w:sz="0" w:space="0" w:color="auto"/>
            <w:right w:val="none" w:sz="0" w:space="0" w:color="auto"/>
          </w:divBdr>
          <w:divsChild>
            <w:div w:id="1705905414">
              <w:marLeft w:val="0"/>
              <w:marRight w:val="0"/>
              <w:marTop w:val="0"/>
              <w:marBottom w:val="0"/>
              <w:divBdr>
                <w:top w:val="none" w:sz="0" w:space="0" w:color="auto"/>
                <w:left w:val="none" w:sz="0" w:space="0" w:color="auto"/>
                <w:bottom w:val="none" w:sz="0" w:space="0" w:color="auto"/>
                <w:right w:val="none" w:sz="0" w:space="0" w:color="auto"/>
              </w:divBdr>
              <w:divsChild>
                <w:div w:id="65877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413407">
      <w:bodyDiv w:val="1"/>
      <w:marLeft w:val="0"/>
      <w:marRight w:val="0"/>
      <w:marTop w:val="0"/>
      <w:marBottom w:val="0"/>
      <w:divBdr>
        <w:top w:val="none" w:sz="0" w:space="0" w:color="auto"/>
        <w:left w:val="none" w:sz="0" w:space="0" w:color="auto"/>
        <w:bottom w:val="none" w:sz="0" w:space="0" w:color="auto"/>
        <w:right w:val="none" w:sz="0" w:space="0" w:color="auto"/>
      </w:divBdr>
      <w:divsChild>
        <w:div w:id="251938242">
          <w:marLeft w:val="0"/>
          <w:marRight w:val="0"/>
          <w:marTop w:val="0"/>
          <w:marBottom w:val="0"/>
          <w:divBdr>
            <w:top w:val="none" w:sz="0" w:space="0" w:color="auto"/>
            <w:left w:val="none" w:sz="0" w:space="0" w:color="auto"/>
            <w:bottom w:val="none" w:sz="0" w:space="0" w:color="auto"/>
            <w:right w:val="none" w:sz="0" w:space="0" w:color="auto"/>
          </w:divBdr>
          <w:divsChild>
            <w:div w:id="18899174">
              <w:marLeft w:val="0"/>
              <w:marRight w:val="0"/>
              <w:marTop w:val="0"/>
              <w:marBottom w:val="0"/>
              <w:divBdr>
                <w:top w:val="none" w:sz="0" w:space="0" w:color="auto"/>
                <w:left w:val="none" w:sz="0" w:space="0" w:color="auto"/>
                <w:bottom w:val="none" w:sz="0" w:space="0" w:color="auto"/>
                <w:right w:val="none" w:sz="0" w:space="0" w:color="auto"/>
              </w:divBdr>
              <w:divsChild>
                <w:div w:id="39166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922528">
      <w:bodyDiv w:val="1"/>
      <w:marLeft w:val="0"/>
      <w:marRight w:val="0"/>
      <w:marTop w:val="0"/>
      <w:marBottom w:val="0"/>
      <w:divBdr>
        <w:top w:val="none" w:sz="0" w:space="0" w:color="auto"/>
        <w:left w:val="none" w:sz="0" w:space="0" w:color="auto"/>
        <w:bottom w:val="none" w:sz="0" w:space="0" w:color="auto"/>
        <w:right w:val="none" w:sz="0" w:space="0" w:color="auto"/>
      </w:divBdr>
      <w:divsChild>
        <w:div w:id="2103867625">
          <w:marLeft w:val="0"/>
          <w:marRight w:val="0"/>
          <w:marTop w:val="0"/>
          <w:marBottom w:val="0"/>
          <w:divBdr>
            <w:top w:val="none" w:sz="0" w:space="0" w:color="auto"/>
            <w:left w:val="none" w:sz="0" w:space="0" w:color="auto"/>
            <w:bottom w:val="none" w:sz="0" w:space="0" w:color="auto"/>
            <w:right w:val="none" w:sz="0" w:space="0" w:color="auto"/>
          </w:divBdr>
          <w:divsChild>
            <w:div w:id="93401351">
              <w:marLeft w:val="0"/>
              <w:marRight w:val="0"/>
              <w:marTop w:val="0"/>
              <w:marBottom w:val="0"/>
              <w:divBdr>
                <w:top w:val="none" w:sz="0" w:space="0" w:color="auto"/>
                <w:left w:val="none" w:sz="0" w:space="0" w:color="auto"/>
                <w:bottom w:val="none" w:sz="0" w:space="0" w:color="auto"/>
                <w:right w:val="none" w:sz="0" w:space="0" w:color="auto"/>
              </w:divBdr>
              <w:divsChild>
                <w:div w:id="185973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435778">
      <w:bodyDiv w:val="1"/>
      <w:marLeft w:val="0"/>
      <w:marRight w:val="0"/>
      <w:marTop w:val="0"/>
      <w:marBottom w:val="0"/>
      <w:divBdr>
        <w:top w:val="none" w:sz="0" w:space="0" w:color="auto"/>
        <w:left w:val="none" w:sz="0" w:space="0" w:color="auto"/>
        <w:bottom w:val="none" w:sz="0" w:space="0" w:color="auto"/>
        <w:right w:val="none" w:sz="0" w:space="0" w:color="auto"/>
      </w:divBdr>
      <w:divsChild>
        <w:div w:id="1920216609">
          <w:marLeft w:val="0"/>
          <w:marRight w:val="0"/>
          <w:marTop w:val="0"/>
          <w:marBottom w:val="0"/>
          <w:divBdr>
            <w:top w:val="none" w:sz="0" w:space="0" w:color="auto"/>
            <w:left w:val="none" w:sz="0" w:space="0" w:color="auto"/>
            <w:bottom w:val="none" w:sz="0" w:space="0" w:color="auto"/>
            <w:right w:val="none" w:sz="0" w:space="0" w:color="auto"/>
          </w:divBdr>
          <w:divsChild>
            <w:div w:id="1422146113">
              <w:marLeft w:val="0"/>
              <w:marRight w:val="0"/>
              <w:marTop w:val="0"/>
              <w:marBottom w:val="0"/>
              <w:divBdr>
                <w:top w:val="none" w:sz="0" w:space="0" w:color="auto"/>
                <w:left w:val="none" w:sz="0" w:space="0" w:color="auto"/>
                <w:bottom w:val="none" w:sz="0" w:space="0" w:color="auto"/>
                <w:right w:val="none" w:sz="0" w:space="0" w:color="auto"/>
              </w:divBdr>
              <w:divsChild>
                <w:div w:id="18089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257490">
      <w:bodyDiv w:val="1"/>
      <w:marLeft w:val="0"/>
      <w:marRight w:val="0"/>
      <w:marTop w:val="0"/>
      <w:marBottom w:val="0"/>
      <w:divBdr>
        <w:top w:val="none" w:sz="0" w:space="0" w:color="auto"/>
        <w:left w:val="none" w:sz="0" w:space="0" w:color="auto"/>
        <w:bottom w:val="none" w:sz="0" w:space="0" w:color="auto"/>
        <w:right w:val="none" w:sz="0" w:space="0" w:color="auto"/>
      </w:divBdr>
      <w:divsChild>
        <w:div w:id="319386066">
          <w:marLeft w:val="0"/>
          <w:marRight w:val="0"/>
          <w:marTop w:val="0"/>
          <w:marBottom w:val="0"/>
          <w:divBdr>
            <w:top w:val="none" w:sz="0" w:space="0" w:color="auto"/>
            <w:left w:val="none" w:sz="0" w:space="0" w:color="auto"/>
            <w:bottom w:val="none" w:sz="0" w:space="0" w:color="auto"/>
            <w:right w:val="none" w:sz="0" w:space="0" w:color="auto"/>
          </w:divBdr>
          <w:divsChild>
            <w:div w:id="997802643">
              <w:marLeft w:val="0"/>
              <w:marRight w:val="0"/>
              <w:marTop w:val="0"/>
              <w:marBottom w:val="0"/>
              <w:divBdr>
                <w:top w:val="none" w:sz="0" w:space="0" w:color="auto"/>
                <w:left w:val="none" w:sz="0" w:space="0" w:color="auto"/>
                <w:bottom w:val="none" w:sz="0" w:space="0" w:color="auto"/>
                <w:right w:val="none" w:sz="0" w:space="0" w:color="auto"/>
              </w:divBdr>
              <w:divsChild>
                <w:div w:id="43058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223285">
      <w:bodyDiv w:val="1"/>
      <w:marLeft w:val="0"/>
      <w:marRight w:val="0"/>
      <w:marTop w:val="0"/>
      <w:marBottom w:val="0"/>
      <w:divBdr>
        <w:top w:val="none" w:sz="0" w:space="0" w:color="auto"/>
        <w:left w:val="none" w:sz="0" w:space="0" w:color="auto"/>
        <w:bottom w:val="none" w:sz="0" w:space="0" w:color="auto"/>
        <w:right w:val="none" w:sz="0" w:space="0" w:color="auto"/>
      </w:divBdr>
      <w:divsChild>
        <w:div w:id="1400903673">
          <w:marLeft w:val="0"/>
          <w:marRight w:val="0"/>
          <w:marTop w:val="0"/>
          <w:marBottom w:val="0"/>
          <w:divBdr>
            <w:top w:val="none" w:sz="0" w:space="0" w:color="auto"/>
            <w:left w:val="none" w:sz="0" w:space="0" w:color="auto"/>
            <w:bottom w:val="none" w:sz="0" w:space="0" w:color="auto"/>
            <w:right w:val="none" w:sz="0" w:space="0" w:color="auto"/>
          </w:divBdr>
          <w:divsChild>
            <w:div w:id="2117291599">
              <w:marLeft w:val="0"/>
              <w:marRight w:val="0"/>
              <w:marTop w:val="0"/>
              <w:marBottom w:val="0"/>
              <w:divBdr>
                <w:top w:val="none" w:sz="0" w:space="0" w:color="auto"/>
                <w:left w:val="none" w:sz="0" w:space="0" w:color="auto"/>
                <w:bottom w:val="none" w:sz="0" w:space="0" w:color="auto"/>
                <w:right w:val="none" w:sz="0" w:space="0" w:color="auto"/>
              </w:divBdr>
              <w:divsChild>
                <w:div w:id="170192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064013">
      <w:bodyDiv w:val="1"/>
      <w:marLeft w:val="0"/>
      <w:marRight w:val="0"/>
      <w:marTop w:val="0"/>
      <w:marBottom w:val="0"/>
      <w:divBdr>
        <w:top w:val="none" w:sz="0" w:space="0" w:color="auto"/>
        <w:left w:val="none" w:sz="0" w:space="0" w:color="auto"/>
        <w:bottom w:val="none" w:sz="0" w:space="0" w:color="auto"/>
        <w:right w:val="none" w:sz="0" w:space="0" w:color="auto"/>
      </w:divBdr>
      <w:divsChild>
        <w:div w:id="200287209">
          <w:marLeft w:val="0"/>
          <w:marRight w:val="0"/>
          <w:marTop w:val="0"/>
          <w:marBottom w:val="0"/>
          <w:divBdr>
            <w:top w:val="none" w:sz="0" w:space="0" w:color="auto"/>
            <w:left w:val="none" w:sz="0" w:space="0" w:color="auto"/>
            <w:bottom w:val="none" w:sz="0" w:space="0" w:color="auto"/>
            <w:right w:val="none" w:sz="0" w:space="0" w:color="auto"/>
          </w:divBdr>
          <w:divsChild>
            <w:div w:id="893391136">
              <w:marLeft w:val="0"/>
              <w:marRight w:val="0"/>
              <w:marTop w:val="0"/>
              <w:marBottom w:val="0"/>
              <w:divBdr>
                <w:top w:val="none" w:sz="0" w:space="0" w:color="auto"/>
                <w:left w:val="none" w:sz="0" w:space="0" w:color="auto"/>
                <w:bottom w:val="none" w:sz="0" w:space="0" w:color="auto"/>
                <w:right w:val="none" w:sz="0" w:space="0" w:color="auto"/>
              </w:divBdr>
              <w:divsChild>
                <w:div w:id="107396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765937">
      <w:bodyDiv w:val="1"/>
      <w:marLeft w:val="0"/>
      <w:marRight w:val="0"/>
      <w:marTop w:val="0"/>
      <w:marBottom w:val="0"/>
      <w:divBdr>
        <w:top w:val="none" w:sz="0" w:space="0" w:color="auto"/>
        <w:left w:val="none" w:sz="0" w:space="0" w:color="auto"/>
        <w:bottom w:val="none" w:sz="0" w:space="0" w:color="auto"/>
        <w:right w:val="none" w:sz="0" w:space="0" w:color="auto"/>
      </w:divBdr>
      <w:divsChild>
        <w:div w:id="561672221">
          <w:marLeft w:val="0"/>
          <w:marRight w:val="0"/>
          <w:marTop w:val="0"/>
          <w:marBottom w:val="0"/>
          <w:divBdr>
            <w:top w:val="none" w:sz="0" w:space="0" w:color="auto"/>
            <w:left w:val="none" w:sz="0" w:space="0" w:color="auto"/>
            <w:bottom w:val="none" w:sz="0" w:space="0" w:color="auto"/>
            <w:right w:val="none" w:sz="0" w:space="0" w:color="auto"/>
          </w:divBdr>
          <w:divsChild>
            <w:div w:id="1436515514">
              <w:marLeft w:val="0"/>
              <w:marRight w:val="0"/>
              <w:marTop w:val="0"/>
              <w:marBottom w:val="0"/>
              <w:divBdr>
                <w:top w:val="none" w:sz="0" w:space="0" w:color="auto"/>
                <w:left w:val="none" w:sz="0" w:space="0" w:color="auto"/>
                <w:bottom w:val="none" w:sz="0" w:space="0" w:color="auto"/>
                <w:right w:val="none" w:sz="0" w:space="0" w:color="auto"/>
              </w:divBdr>
              <w:divsChild>
                <w:div w:id="108445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260346">
      <w:bodyDiv w:val="1"/>
      <w:marLeft w:val="0"/>
      <w:marRight w:val="0"/>
      <w:marTop w:val="0"/>
      <w:marBottom w:val="0"/>
      <w:divBdr>
        <w:top w:val="none" w:sz="0" w:space="0" w:color="auto"/>
        <w:left w:val="none" w:sz="0" w:space="0" w:color="auto"/>
        <w:bottom w:val="none" w:sz="0" w:space="0" w:color="auto"/>
        <w:right w:val="none" w:sz="0" w:space="0" w:color="auto"/>
      </w:divBdr>
      <w:divsChild>
        <w:div w:id="2128693308">
          <w:marLeft w:val="0"/>
          <w:marRight w:val="0"/>
          <w:marTop w:val="0"/>
          <w:marBottom w:val="0"/>
          <w:divBdr>
            <w:top w:val="none" w:sz="0" w:space="0" w:color="auto"/>
            <w:left w:val="none" w:sz="0" w:space="0" w:color="auto"/>
            <w:bottom w:val="none" w:sz="0" w:space="0" w:color="auto"/>
            <w:right w:val="none" w:sz="0" w:space="0" w:color="auto"/>
          </w:divBdr>
          <w:divsChild>
            <w:div w:id="2115898879">
              <w:marLeft w:val="0"/>
              <w:marRight w:val="0"/>
              <w:marTop w:val="0"/>
              <w:marBottom w:val="0"/>
              <w:divBdr>
                <w:top w:val="none" w:sz="0" w:space="0" w:color="auto"/>
                <w:left w:val="none" w:sz="0" w:space="0" w:color="auto"/>
                <w:bottom w:val="none" w:sz="0" w:space="0" w:color="auto"/>
                <w:right w:val="none" w:sz="0" w:space="0" w:color="auto"/>
              </w:divBdr>
              <w:divsChild>
                <w:div w:id="26176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902608">
      <w:bodyDiv w:val="1"/>
      <w:marLeft w:val="0"/>
      <w:marRight w:val="0"/>
      <w:marTop w:val="0"/>
      <w:marBottom w:val="0"/>
      <w:divBdr>
        <w:top w:val="none" w:sz="0" w:space="0" w:color="auto"/>
        <w:left w:val="none" w:sz="0" w:space="0" w:color="auto"/>
        <w:bottom w:val="none" w:sz="0" w:space="0" w:color="auto"/>
        <w:right w:val="none" w:sz="0" w:space="0" w:color="auto"/>
      </w:divBdr>
      <w:divsChild>
        <w:div w:id="2043548935">
          <w:marLeft w:val="0"/>
          <w:marRight w:val="0"/>
          <w:marTop w:val="0"/>
          <w:marBottom w:val="0"/>
          <w:divBdr>
            <w:top w:val="none" w:sz="0" w:space="0" w:color="auto"/>
            <w:left w:val="none" w:sz="0" w:space="0" w:color="auto"/>
            <w:bottom w:val="none" w:sz="0" w:space="0" w:color="auto"/>
            <w:right w:val="none" w:sz="0" w:space="0" w:color="auto"/>
          </w:divBdr>
          <w:divsChild>
            <w:div w:id="1706714809">
              <w:marLeft w:val="0"/>
              <w:marRight w:val="0"/>
              <w:marTop w:val="0"/>
              <w:marBottom w:val="0"/>
              <w:divBdr>
                <w:top w:val="none" w:sz="0" w:space="0" w:color="auto"/>
                <w:left w:val="none" w:sz="0" w:space="0" w:color="auto"/>
                <w:bottom w:val="none" w:sz="0" w:space="0" w:color="auto"/>
                <w:right w:val="none" w:sz="0" w:space="0" w:color="auto"/>
              </w:divBdr>
              <w:divsChild>
                <w:div w:id="157496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268780">
      <w:bodyDiv w:val="1"/>
      <w:marLeft w:val="0"/>
      <w:marRight w:val="0"/>
      <w:marTop w:val="0"/>
      <w:marBottom w:val="0"/>
      <w:divBdr>
        <w:top w:val="none" w:sz="0" w:space="0" w:color="auto"/>
        <w:left w:val="none" w:sz="0" w:space="0" w:color="auto"/>
        <w:bottom w:val="none" w:sz="0" w:space="0" w:color="auto"/>
        <w:right w:val="none" w:sz="0" w:space="0" w:color="auto"/>
      </w:divBdr>
      <w:divsChild>
        <w:div w:id="66273723">
          <w:marLeft w:val="0"/>
          <w:marRight w:val="0"/>
          <w:marTop w:val="0"/>
          <w:marBottom w:val="0"/>
          <w:divBdr>
            <w:top w:val="none" w:sz="0" w:space="0" w:color="auto"/>
            <w:left w:val="none" w:sz="0" w:space="0" w:color="auto"/>
            <w:bottom w:val="none" w:sz="0" w:space="0" w:color="auto"/>
            <w:right w:val="none" w:sz="0" w:space="0" w:color="auto"/>
          </w:divBdr>
          <w:divsChild>
            <w:div w:id="282924557">
              <w:marLeft w:val="0"/>
              <w:marRight w:val="0"/>
              <w:marTop w:val="0"/>
              <w:marBottom w:val="0"/>
              <w:divBdr>
                <w:top w:val="none" w:sz="0" w:space="0" w:color="auto"/>
                <w:left w:val="none" w:sz="0" w:space="0" w:color="auto"/>
                <w:bottom w:val="none" w:sz="0" w:space="0" w:color="auto"/>
                <w:right w:val="none" w:sz="0" w:space="0" w:color="auto"/>
              </w:divBdr>
              <w:divsChild>
                <w:div w:id="18839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532233">
      <w:bodyDiv w:val="1"/>
      <w:marLeft w:val="0"/>
      <w:marRight w:val="0"/>
      <w:marTop w:val="0"/>
      <w:marBottom w:val="0"/>
      <w:divBdr>
        <w:top w:val="none" w:sz="0" w:space="0" w:color="auto"/>
        <w:left w:val="none" w:sz="0" w:space="0" w:color="auto"/>
        <w:bottom w:val="none" w:sz="0" w:space="0" w:color="auto"/>
        <w:right w:val="none" w:sz="0" w:space="0" w:color="auto"/>
      </w:divBdr>
      <w:divsChild>
        <w:div w:id="1370645596">
          <w:marLeft w:val="0"/>
          <w:marRight w:val="0"/>
          <w:marTop w:val="0"/>
          <w:marBottom w:val="0"/>
          <w:divBdr>
            <w:top w:val="none" w:sz="0" w:space="0" w:color="auto"/>
            <w:left w:val="none" w:sz="0" w:space="0" w:color="auto"/>
            <w:bottom w:val="none" w:sz="0" w:space="0" w:color="auto"/>
            <w:right w:val="none" w:sz="0" w:space="0" w:color="auto"/>
          </w:divBdr>
          <w:divsChild>
            <w:div w:id="2028676718">
              <w:marLeft w:val="0"/>
              <w:marRight w:val="0"/>
              <w:marTop w:val="0"/>
              <w:marBottom w:val="0"/>
              <w:divBdr>
                <w:top w:val="none" w:sz="0" w:space="0" w:color="auto"/>
                <w:left w:val="none" w:sz="0" w:space="0" w:color="auto"/>
                <w:bottom w:val="none" w:sz="0" w:space="0" w:color="auto"/>
                <w:right w:val="none" w:sz="0" w:space="0" w:color="auto"/>
              </w:divBdr>
              <w:divsChild>
                <w:div w:id="32987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257650">
      <w:bodyDiv w:val="1"/>
      <w:marLeft w:val="0"/>
      <w:marRight w:val="0"/>
      <w:marTop w:val="0"/>
      <w:marBottom w:val="0"/>
      <w:divBdr>
        <w:top w:val="none" w:sz="0" w:space="0" w:color="auto"/>
        <w:left w:val="none" w:sz="0" w:space="0" w:color="auto"/>
        <w:bottom w:val="none" w:sz="0" w:space="0" w:color="auto"/>
        <w:right w:val="none" w:sz="0" w:space="0" w:color="auto"/>
      </w:divBdr>
      <w:divsChild>
        <w:div w:id="540828455">
          <w:marLeft w:val="0"/>
          <w:marRight w:val="0"/>
          <w:marTop w:val="0"/>
          <w:marBottom w:val="0"/>
          <w:divBdr>
            <w:top w:val="none" w:sz="0" w:space="0" w:color="auto"/>
            <w:left w:val="none" w:sz="0" w:space="0" w:color="auto"/>
            <w:bottom w:val="none" w:sz="0" w:space="0" w:color="auto"/>
            <w:right w:val="none" w:sz="0" w:space="0" w:color="auto"/>
          </w:divBdr>
          <w:divsChild>
            <w:div w:id="10645860">
              <w:marLeft w:val="0"/>
              <w:marRight w:val="0"/>
              <w:marTop w:val="0"/>
              <w:marBottom w:val="0"/>
              <w:divBdr>
                <w:top w:val="none" w:sz="0" w:space="0" w:color="auto"/>
                <w:left w:val="none" w:sz="0" w:space="0" w:color="auto"/>
                <w:bottom w:val="none" w:sz="0" w:space="0" w:color="auto"/>
                <w:right w:val="none" w:sz="0" w:space="0" w:color="auto"/>
              </w:divBdr>
              <w:divsChild>
                <w:div w:id="40599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781336">
          <w:marLeft w:val="0"/>
          <w:marRight w:val="0"/>
          <w:marTop w:val="0"/>
          <w:marBottom w:val="0"/>
          <w:divBdr>
            <w:top w:val="none" w:sz="0" w:space="0" w:color="auto"/>
            <w:left w:val="none" w:sz="0" w:space="0" w:color="auto"/>
            <w:bottom w:val="none" w:sz="0" w:space="0" w:color="auto"/>
            <w:right w:val="none" w:sz="0" w:space="0" w:color="auto"/>
          </w:divBdr>
          <w:divsChild>
            <w:div w:id="1843861524">
              <w:marLeft w:val="0"/>
              <w:marRight w:val="0"/>
              <w:marTop w:val="0"/>
              <w:marBottom w:val="0"/>
              <w:divBdr>
                <w:top w:val="none" w:sz="0" w:space="0" w:color="auto"/>
                <w:left w:val="none" w:sz="0" w:space="0" w:color="auto"/>
                <w:bottom w:val="none" w:sz="0" w:space="0" w:color="auto"/>
                <w:right w:val="none" w:sz="0" w:space="0" w:color="auto"/>
              </w:divBdr>
              <w:divsChild>
                <w:div w:id="180515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374625">
      <w:bodyDiv w:val="1"/>
      <w:marLeft w:val="0"/>
      <w:marRight w:val="0"/>
      <w:marTop w:val="0"/>
      <w:marBottom w:val="0"/>
      <w:divBdr>
        <w:top w:val="none" w:sz="0" w:space="0" w:color="auto"/>
        <w:left w:val="none" w:sz="0" w:space="0" w:color="auto"/>
        <w:bottom w:val="none" w:sz="0" w:space="0" w:color="auto"/>
        <w:right w:val="none" w:sz="0" w:space="0" w:color="auto"/>
      </w:divBdr>
      <w:divsChild>
        <w:div w:id="1707876376">
          <w:marLeft w:val="0"/>
          <w:marRight w:val="0"/>
          <w:marTop w:val="0"/>
          <w:marBottom w:val="0"/>
          <w:divBdr>
            <w:top w:val="none" w:sz="0" w:space="0" w:color="auto"/>
            <w:left w:val="none" w:sz="0" w:space="0" w:color="auto"/>
            <w:bottom w:val="none" w:sz="0" w:space="0" w:color="auto"/>
            <w:right w:val="none" w:sz="0" w:space="0" w:color="auto"/>
          </w:divBdr>
          <w:divsChild>
            <w:div w:id="1114251546">
              <w:marLeft w:val="0"/>
              <w:marRight w:val="0"/>
              <w:marTop w:val="0"/>
              <w:marBottom w:val="0"/>
              <w:divBdr>
                <w:top w:val="none" w:sz="0" w:space="0" w:color="auto"/>
                <w:left w:val="none" w:sz="0" w:space="0" w:color="auto"/>
                <w:bottom w:val="none" w:sz="0" w:space="0" w:color="auto"/>
                <w:right w:val="none" w:sz="0" w:space="0" w:color="auto"/>
              </w:divBdr>
              <w:divsChild>
                <w:div w:id="140676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569884">
      <w:bodyDiv w:val="1"/>
      <w:marLeft w:val="0"/>
      <w:marRight w:val="0"/>
      <w:marTop w:val="0"/>
      <w:marBottom w:val="0"/>
      <w:divBdr>
        <w:top w:val="none" w:sz="0" w:space="0" w:color="auto"/>
        <w:left w:val="none" w:sz="0" w:space="0" w:color="auto"/>
        <w:bottom w:val="none" w:sz="0" w:space="0" w:color="auto"/>
        <w:right w:val="none" w:sz="0" w:space="0" w:color="auto"/>
      </w:divBdr>
      <w:divsChild>
        <w:div w:id="815493220">
          <w:marLeft w:val="0"/>
          <w:marRight w:val="0"/>
          <w:marTop w:val="0"/>
          <w:marBottom w:val="0"/>
          <w:divBdr>
            <w:top w:val="none" w:sz="0" w:space="0" w:color="auto"/>
            <w:left w:val="none" w:sz="0" w:space="0" w:color="auto"/>
            <w:bottom w:val="none" w:sz="0" w:space="0" w:color="auto"/>
            <w:right w:val="none" w:sz="0" w:space="0" w:color="auto"/>
          </w:divBdr>
          <w:divsChild>
            <w:div w:id="64107805">
              <w:marLeft w:val="0"/>
              <w:marRight w:val="0"/>
              <w:marTop w:val="0"/>
              <w:marBottom w:val="0"/>
              <w:divBdr>
                <w:top w:val="none" w:sz="0" w:space="0" w:color="auto"/>
                <w:left w:val="none" w:sz="0" w:space="0" w:color="auto"/>
                <w:bottom w:val="none" w:sz="0" w:space="0" w:color="auto"/>
                <w:right w:val="none" w:sz="0" w:space="0" w:color="auto"/>
              </w:divBdr>
              <w:divsChild>
                <w:div w:id="102636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3681">
      <w:bodyDiv w:val="1"/>
      <w:marLeft w:val="0"/>
      <w:marRight w:val="0"/>
      <w:marTop w:val="0"/>
      <w:marBottom w:val="0"/>
      <w:divBdr>
        <w:top w:val="none" w:sz="0" w:space="0" w:color="auto"/>
        <w:left w:val="none" w:sz="0" w:space="0" w:color="auto"/>
        <w:bottom w:val="none" w:sz="0" w:space="0" w:color="auto"/>
        <w:right w:val="none" w:sz="0" w:space="0" w:color="auto"/>
      </w:divBdr>
    </w:div>
    <w:div w:id="1350722326">
      <w:bodyDiv w:val="1"/>
      <w:marLeft w:val="0"/>
      <w:marRight w:val="0"/>
      <w:marTop w:val="0"/>
      <w:marBottom w:val="0"/>
      <w:divBdr>
        <w:top w:val="none" w:sz="0" w:space="0" w:color="auto"/>
        <w:left w:val="none" w:sz="0" w:space="0" w:color="auto"/>
        <w:bottom w:val="none" w:sz="0" w:space="0" w:color="auto"/>
        <w:right w:val="none" w:sz="0" w:space="0" w:color="auto"/>
      </w:divBdr>
      <w:divsChild>
        <w:div w:id="1413550868">
          <w:marLeft w:val="0"/>
          <w:marRight w:val="0"/>
          <w:marTop w:val="0"/>
          <w:marBottom w:val="0"/>
          <w:divBdr>
            <w:top w:val="none" w:sz="0" w:space="0" w:color="auto"/>
            <w:left w:val="none" w:sz="0" w:space="0" w:color="auto"/>
            <w:bottom w:val="none" w:sz="0" w:space="0" w:color="auto"/>
            <w:right w:val="none" w:sz="0" w:space="0" w:color="auto"/>
          </w:divBdr>
          <w:divsChild>
            <w:div w:id="358045551">
              <w:marLeft w:val="0"/>
              <w:marRight w:val="0"/>
              <w:marTop w:val="0"/>
              <w:marBottom w:val="0"/>
              <w:divBdr>
                <w:top w:val="none" w:sz="0" w:space="0" w:color="auto"/>
                <w:left w:val="none" w:sz="0" w:space="0" w:color="auto"/>
                <w:bottom w:val="none" w:sz="0" w:space="0" w:color="auto"/>
                <w:right w:val="none" w:sz="0" w:space="0" w:color="auto"/>
              </w:divBdr>
              <w:divsChild>
                <w:div w:id="108318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2026">
          <w:marLeft w:val="0"/>
          <w:marRight w:val="0"/>
          <w:marTop w:val="0"/>
          <w:marBottom w:val="0"/>
          <w:divBdr>
            <w:top w:val="none" w:sz="0" w:space="0" w:color="auto"/>
            <w:left w:val="none" w:sz="0" w:space="0" w:color="auto"/>
            <w:bottom w:val="none" w:sz="0" w:space="0" w:color="auto"/>
            <w:right w:val="none" w:sz="0" w:space="0" w:color="auto"/>
          </w:divBdr>
          <w:divsChild>
            <w:div w:id="739014474">
              <w:marLeft w:val="0"/>
              <w:marRight w:val="0"/>
              <w:marTop w:val="0"/>
              <w:marBottom w:val="0"/>
              <w:divBdr>
                <w:top w:val="none" w:sz="0" w:space="0" w:color="auto"/>
                <w:left w:val="none" w:sz="0" w:space="0" w:color="auto"/>
                <w:bottom w:val="none" w:sz="0" w:space="0" w:color="auto"/>
                <w:right w:val="none" w:sz="0" w:space="0" w:color="auto"/>
              </w:divBdr>
              <w:divsChild>
                <w:div w:id="206644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954543">
      <w:bodyDiv w:val="1"/>
      <w:marLeft w:val="0"/>
      <w:marRight w:val="0"/>
      <w:marTop w:val="0"/>
      <w:marBottom w:val="0"/>
      <w:divBdr>
        <w:top w:val="none" w:sz="0" w:space="0" w:color="auto"/>
        <w:left w:val="none" w:sz="0" w:space="0" w:color="auto"/>
        <w:bottom w:val="none" w:sz="0" w:space="0" w:color="auto"/>
        <w:right w:val="none" w:sz="0" w:space="0" w:color="auto"/>
      </w:divBdr>
      <w:divsChild>
        <w:div w:id="47848335">
          <w:marLeft w:val="0"/>
          <w:marRight w:val="0"/>
          <w:marTop w:val="0"/>
          <w:marBottom w:val="0"/>
          <w:divBdr>
            <w:top w:val="none" w:sz="0" w:space="0" w:color="auto"/>
            <w:left w:val="none" w:sz="0" w:space="0" w:color="auto"/>
            <w:bottom w:val="none" w:sz="0" w:space="0" w:color="auto"/>
            <w:right w:val="none" w:sz="0" w:space="0" w:color="auto"/>
          </w:divBdr>
          <w:divsChild>
            <w:div w:id="965817718">
              <w:marLeft w:val="0"/>
              <w:marRight w:val="0"/>
              <w:marTop w:val="0"/>
              <w:marBottom w:val="0"/>
              <w:divBdr>
                <w:top w:val="none" w:sz="0" w:space="0" w:color="auto"/>
                <w:left w:val="none" w:sz="0" w:space="0" w:color="auto"/>
                <w:bottom w:val="none" w:sz="0" w:space="0" w:color="auto"/>
                <w:right w:val="none" w:sz="0" w:space="0" w:color="auto"/>
              </w:divBdr>
              <w:divsChild>
                <w:div w:id="184662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3919">
      <w:bodyDiv w:val="1"/>
      <w:marLeft w:val="0"/>
      <w:marRight w:val="0"/>
      <w:marTop w:val="0"/>
      <w:marBottom w:val="0"/>
      <w:divBdr>
        <w:top w:val="none" w:sz="0" w:space="0" w:color="auto"/>
        <w:left w:val="none" w:sz="0" w:space="0" w:color="auto"/>
        <w:bottom w:val="none" w:sz="0" w:space="0" w:color="auto"/>
        <w:right w:val="none" w:sz="0" w:space="0" w:color="auto"/>
      </w:divBdr>
      <w:divsChild>
        <w:div w:id="1423993592">
          <w:marLeft w:val="0"/>
          <w:marRight w:val="0"/>
          <w:marTop w:val="0"/>
          <w:marBottom w:val="0"/>
          <w:divBdr>
            <w:top w:val="none" w:sz="0" w:space="0" w:color="auto"/>
            <w:left w:val="none" w:sz="0" w:space="0" w:color="auto"/>
            <w:bottom w:val="none" w:sz="0" w:space="0" w:color="auto"/>
            <w:right w:val="none" w:sz="0" w:space="0" w:color="auto"/>
          </w:divBdr>
          <w:divsChild>
            <w:div w:id="2037851961">
              <w:marLeft w:val="0"/>
              <w:marRight w:val="0"/>
              <w:marTop w:val="0"/>
              <w:marBottom w:val="0"/>
              <w:divBdr>
                <w:top w:val="none" w:sz="0" w:space="0" w:color="auto"/>
                <w:left w:val="none" w:sz="0" w:space="0" w:color="auto"/>
                <w:bottom w:val="none" w:sz="0" w:space="0" w:color="auto"/>
                <w:right w:val="none" w:sz="0" w:space="0" w:color="auto"/>
              </w:divBdr>
              <w:divsChild>
                <w:div w:id="187603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002337">
      <w:bodyDiv w:val="1"/>
      <w:marLeft w:val="0"/>
      <w:marRight w:val="0"/>
      <w:marTop w:val="0"/>
      <w:marBottom w:val="0"/>
      <w:divBdr>
        <w:top w:val="none" w:sz="0" w:space="0" w:color="auto"/>
        <w:left w:val="none" w:sz="0" w:space="0" w:color="auto"/>
        <w:bottom w:val="none" w:sz="0" w:space="0" w:color="auto"/>
        <w:right w:val="none" w:sz="0" w:space="0" w:color="auto"/>
      </w:divBdr>
      <w:divsChild>
        <w:div w:id="1856117891">
          <w:marLeft w:val="0"/>
          <w:marRight w:val="0"/>
          <w:marTop w:val="0"/>
          <w:marBottom w:val="0"/>
          <w:divBdr>
            <w:top w:val="none" w:sz="0" w:space="0" w:color="auto"/>
            <w:left w:val="none" w:sz="0" w:space="0" w:color="auto"/>
            <w:bottom w:val="none" w:sz="0" w:space="0" w:color="auto"/>
            <w:right w:val="none" w:sz="0" w:space="0" w:color="auto"/>
          </w:divBdr>
          <w:divsChild>
            <w:div w:id="1991664473">
              <w:marLeft w:val="0"/>
              <w:marRight w:val="0"/>
              <w:marTop w:val="0"/>
              <w:marBottom w:val="0"/>
              <w:divBdr>
                <w:top w:val="none" w:sz="0" w:space="0" w:color="auto"/>
                <w:left w:val="none" w:sz="0" w:space="0" w:color="auto"/>
                <w:bottom w:val="none" w:sz="0" w:space="0" w:color="auto"/>
                <w:right w:val="none" w:sz="0" w:space="0" w:color="auto"/>
              </w:divBdr>
              <w:divsChild>
                <w:div w:id="142044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154000">
      <w:bodyDiv w:val="1"/>
      <w:marLeft w:val="0"/>
      <w:marRight w:val="0"/>
      <w:marTop w:val="0"/>
      <w:marBottom w:val="0"/>
      <w:divBdr>
        <w:top w:val="none" w:sz="0" w:space="0" w:color="auto"/>
        <w:left w:val="none" w:sz="0" w:space="0" w:color="auto"/>
        <w:bottom w:val="none" w:sz="0" w:space="0" w:color="auto"/>
        <w:right w:val="none" w:sz="0" w:space="0" w:color="auto"/>
      </w:divBdr>
      <w:divsChild>
        <w:div w:id="422067159">
          <w:marLeft w:val="0"/>
          <w:marRight w:val="0"/>
          <w:marTop w:val="0"/>
          <w:marBottom w:val="0"/>
          <w:divBdr>
            <w:top w:val="none" w:sz="0" w:space="0" w:color="auto"/>
            <w:left w:val="none" w:sz="0" w:space="0" w:color="auto"/>
            <w:bottom w:val="none" w:sz="0" w:space="0" w:color="auto"/>
            <w:right w:val="none" w:sz="0" w:space="0" w:color="auto"/>
          </w:divBdr>
          <w:divsChild>
            <w:div w:id="1449004731">
              <w:marLeft w:val="0"/>
              <w:marRight w:val="0"/>
              <w:marTop w:val="0"/>
              <w:marBottom w:val="0"/>
              <w:divBdr>
                <w:top w:val="none" w:sz="0" w:space="0" w:color="auto"/>
                <w:left w:val="none" w:sz="0" w:space="0" w:color="auto"/>
                <w:bottom w:val="none" w:sz="0" w:space="0" w:color="auto"/>
                <w:right w:val="none" w:sz="0" w:space="0" w:color="auto"/>
              </w:divBdr>
              <w:divsChild>
                <w:div w:id="180369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489385">
      <w:bodyDiv w:val="1"/>
      <w:marLeft w:val="0"/>
      <w:marRight w:val="0"/>
      <w:marTop w:val="0"/>
      <w:marBottom w:val="0"/>
      <w:divBdr>
        <w:top w:val="none" w:sz="0" w:space="0" w:color="auto"/>
        <w:left w:val="none" w:sz="0" w:space="0" w:color="auto"/>
        <w:bottom w:val="none" w:sz="0" w:space="0" w:color="auto"/>
        <w:right w:val="none" w:sz="0" w:space="0" w:color="auto"/>
      </w:divBdr>
      <w:divsChild>
        <w:div w:id="4017777">
          <w:marLeft w:val="0"/>
          <w:marRight w:val="0"/>
          <w:marTop w:val="0"/>
          <w:marBottom w:val="0"/>
          <w:divBdr>
            <w:top w:val="none" w:sz="0" w:space="0" w:color="auto"/>
            <w:left w:val="none" w:sz="0" w:space="0" w:color="auto"/>
            <w:bottom w:val="none" w:sz="0" w:space="0" w:color="auto"/>
            <w:right w:val="none" w:sz="0" w:space="0" w:color="auto"/>
          </w:divBdr>
          <w:divsChild>
            <w:div w:id="1028410418">
              <w:marLeft w:val="0"/>
              <w:marRight w:val="0"/>
              <w:marTop w:val="0"/>
              <w:marBottom w:val="0"/>
              <w:divBdr>
                <w:top w:val="none" w:sz="0" w:space="0" w:color="auto"/>
                <w:left w:val="none" w:sz="0" w:space="0" w:color="auto"/>
                <w:bottom w:val="none" w:sz="0" w:space="0" w:color="auto"/>
                <w:right w:val="none" w:sz="0" w:space="0" w:color="auto"/>
              </w:divBdr>
              <w:divsChild>
                <w:div w:id="2053724164">
                  <w:marLeft w:val="0"/>
                  <w:marRight w:val="0"/>
                  <w:marTop w:val="0"/>
                  <w:marBottom w:val="0"/>
                  <w:divBdr>
                    <w:top w:val="none" w:sz="0" w:space="0" w:color="auto"/>
                    <w:left w:val="none" w:sz="0" w:space="0" w:color="auto"/>
                    <w:bottom w:val="none" w:sz="0" w:space="0" w:color="auto"/>
                    <w:right w:val="none" w:sz="0" w:space="0" w:color="auto"/>
                  </w:divBdr>
                </w:div>
              </w:divsChild>
            </w:div>
            <w:div w:id="243734037">
              <w:marLeft w:val="0"/>
              <w:marRight w:val="0"/>
              <w:marTop w:val="0"/>
              <w:marBottom w:val="0"/>
              <w:divBdr>
                <w:top w:val="none" w:sz="0" w:space="0" w:color="auto"/>
                <w:left w:val="none" w:sz="0" w:space="0" w:color="auto"/>
                <w:bottom w:val="none" w:sz="0" w:space="0" w:color="auto"/>
                <w:right w:val="none" w:sz="0" w:space="0" w:color="auto"/>
              </w:divBdr>
              <w:divsChild>
                <w:div w:id="838234504">
                  <w:marLeft w:val="0"/>
                  <w:marRight w:val="0"/>
                  <w:marTop w:val="0"/>
                  <w:marBottom w:val="0"/>
                  <w:divBdr>
                    <w:top w:val="none" w:sz="0" w:space="0" w:color="auto"/>
                    <w:left w:val="none" w:sz="0" w:space="0" w:color="auto"/>
                    <w:bottom w:val="none" w:sz="0" w:space="0" w:color="auto"/>
                    <w:right w:val="none" w:sz="0" w:space="0" w:color="auto"/>
                  </w:divBdr>
                </w:div>
              </w:divsChild>
            </w:div>
            <w:div w:id="105465488">
              <w:marLeft w:val="0"/>
              <w:marRight w:val="0"/>
              <w:marTop w:val="0"/>
              <w:marBottom w:val="0"/>
              <w:divBdr>
                <w:top w:val="none" w:sz="0" w:space="0" w:color="auto"/>
                <w:left w:val="none" w:sz="0" w:space="0" w:color="auto"/>
                <w:bottom w:val="none" w:sz="0" w:space="0" w:color="auto"/>
                <w:right w:val="none" w:sz="0" w:space="0" w:color="auto"/>
              </w:divBdr>
              <w:divsChild>
                <w:div w:id="975721855">
                  <w:marLeft w:val="0"/>
                  <w:marRight w:val="0"/>
                  <w:marTop w:val="0"/>
                  <w:marBottom w:val="0"/>
                  <w:divBdr>
                    <w:top w:val="none" w:sz="0" w:space="0" w:color="auto"/>
                    <w:left w:val="none" w:sz="0" w:space="0" w:color="auto"/>
                    <w:bottom w:val="none" w:sz="0" w:space="0" w:color="auto"/>
                    <w:right w:val="none" w:sz="0" w:space="0" w:color="auto"/>
                  </w:divBdr>
                </w:div>
              </w:divsChild>
            </w:div>
            <w:div w:id="895624859">
              <w:marLeft w:val="0"/>
              <w:marRight w:val="0"/>
              <w:marTop w:val="0"/>
              <w:marBottom w:val="0"/>
              <w:divBdr>
                <w:top w:val="none" w:sz="0" w:space="0" w:color="auto"/>
                <w:left w:val="none" w:sz="0" w:space="0" w:color="auto"/>
                <w:bottom w:val="none" w:sz="0" w:space="0" w:color="auto"/>
                <w:right w:val="none" w:sz="0" w:space="0" w:color="auto"/>
              </w:divBdr>
              <w:divsChild>
                <w:div w:id="842621817">
                  <w:marLeft w:val="0"/>
                  <w:marRight w:val="0"/>
                  <w:marTop w:val="0"/>
                  <w:marBottom w:val="0"/>
                  <w:divBdr>
                    <w:top w:val="none" w:sz="0" w:space="0" w:color="auto"/>
                    <w:left w:val="none" w:sz="0" w:space="0" w:color="auto"/>
                    <w:bottom w:val="none" w:sz="0" w:space="0" w:color="auto"/>
                    <w:right w:val="none" w:sz="0" w:space="0" w:color="auto"/>
                  </w:divBdr>
                </w:div>
              </w:divsChild>
            </w:div>
            <w:div w:id="21130871">
              <w:marLeft w:val="0"/>
              <w:marRight w:val="0"/>
              <w:marTop w:val="0"/>
              <w:marBottom w:val="0"/>
              <w:divBdr>
                <w:top w:val="none" w:sz="0" w:space="0" w:color="auto"/>
                <w:left w:val="none" w:sz="0" w:space="0" w:color="auto"/>
                <w:bottom w:val="none" w:sz="0" w:space="0" w:color="auto"/>
                <w:right w:val="none" w:sz="0" w:space="0" w:color="auto"/>
              </w:divBdr>
              <w:divsChild>
                <w:div w:id="416173442">
                  <w:marLeft w:val="0"/>
                  <w:marRight w:val="0"/>
                  <w:marTop w:val="0"/>
                  <w:marBottom w:val="0"/>
                  <w:divBdr>
                    <w:top w:val="none" w:sz="0" w:space="0" w:color="auto"/>
                    <w:left w:val="none" w:sz="0" w:space="0" w:color="auto"/>
                    <w:bottom w:val="none" w:sz="0" w:space="0" w:color="auto"/>
                    <w:right w:val="none" w:sz="0" w:space="0" w:color="auto"/>
                  </w:divBdr>
                </w:div>
              </w:divsChild>
            </w:div>
            <w:div w:id="1917326467">
              <w:marLeft w:val="0"/>
              <w:marRight w:val="0"/>
              <w:marTop w:val="0"/>
              <w:marBottom w:val="0"/>
              <w:divBdr>
                <w:top w:val="none" w:sz="0" w:space="0" w:color="auto"/>
                <w:left w:val="none" w:sz="0" w:space="0" w:color="auto"/>
                <w:bottom w:val="none" w:sz="0" w:space="0" w:color="auto"/>
                <w:right w:val="none" w:sz="0" w:space="0" w:color="auto"/>
              </w:divBdr>
              <w:divsChild>
                <w:div w:id="5473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523000">
          <w:marLeft w:val="0"/>
          <w:marRight w:val="0"/>
          <w:marTop w:val="0"/>
          <w:marBottom w:val="0"/>
          <w:divBdr>
            <w:top w:val="none" w:sz="0" w:space="0" w:color="auto"/>
            <w:left w:val="none" w:sz="0" w:space="0" w:color="auto"/>
            <w:bottom w:val="none" w:sz="0" w:space="0" w:color="auto"/>
            <w:right w:val="none" w:sz="0" w:space="0" w:color="auto"/>
          </w:divBdr>
          <w:divsChild>
            <w:div w:id="594481395">
              <w:marLeft w:val="0"/>
              <w:marRight w:val="0"/>
              <w:marTop w:val="0"/>
              <w:marBottom w:val="0"/>
              <w:divBdr>
                <w:top w:val="none" w:sz="0" w:space="0" w:color="auto"/>
                <w:left w:val="none" w:sz="0" w:space="0" w:color="auto"/>
                <w:bottom w:val="none" w:sz="0" w:space="0" w:color="auto"/>
                <w:right w:val="none" w:sz="0" w:space="0" w:color="auto"/>
              </w:divBdr>
              <w:divsChild>
                <w:div w:id="174426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26105">
      <w:bodyDiv w:val="1"/>
      <w:marLeft w:val="0"/>
      <w:marRight w:val="0"/>
      <w:marTop w:val="0"/>
      <w:marBottom w:val="0"/>
      <w:divBdr>
        <w:top w:val="none" w:sz="0" w:space="0" w:color="auto"/>
        <w:left w:val="none" w:sz="0" w:space="0" w:color="auto"/>
        <w:bottom w:val="none" w:sz="0" w:space="0" w:color="auto"/>
        <w:right w:val="none" w:sz="0" w:space="0" w:color="auto"/>
      </w:divBdr>
      <w:divsChild>
        <w:div w:id="1242374278">
          <w:marLeft w:val="0"/>
          <w:marRight w:val="0"/>
          <w:marTop w:val="0"/>
          <w:marBottom w:val="0"/>
          <w:divBdr>
            <w:top w:val="none" w:sz="0" w:space="0" w:color="auto"/>
            <w:left w:val="none" w:sz="0" w:space="0" w:color="auto"/>
            <w:bottom w:val="none" w:sz="0" w:space="0" w:color="auto"/>
            <w:right w:val="none" w:sz="0" w:space="0" w:color="auto"/>
          </w:divBdr>
          <w:divsChild>
            <w:div w:id="459766134">
              <w:marLeft w:val="0"/>
              <w:marRight w:val="0"/>
              <w:marTop w:val="0"/>
              <w:marBottom w:val="0"/>
              <w:divBdr>
                <w:top w:val="none" w:sz="0" w:space="0" w:color="auto"/>
                <w:left w:val="none" w:sz="0" w:space="0" w:color="auto"/>
                <w:bottom w:val="none" w:sz="0" w:space="0" w:color="auto"/>
                <w:right w:val="none" w:sz="0" w:space="0" w:color="auto"/>
              </w:divBdr>
              <w:divsChild>
                <w:div w:id="465633981">
                  <w:marLeft w:val="0"/>
                  <w:marRight w:val="0"/>
                  <w:marTop w:val="0"/>
                  <w:marBottom w:val="0"/>
                  <w:divBdr>
                    <w:top w:val="none" w:sz="0" w:space="0" w:color="auto"/>
                    <w:left w:val="none" w:sz="0" w:space="0" w:color="auto"/>
                    <w:bottom w:val="none" w:sz="0" w:space="0" w:color="auto"/>
                    <w:right w:val="none" w:sz="0" w:space="0" w:color="auto"/>
                  </w:divBdr>
                </w:div>
              </w:divsChild>
            </w:div>
            <w:div w:id="1227302856">
              <w:marLeft w:val="0"/>
              <w:marRight w:val="0"/>
              <w:marTop w:val="0"/>
              <w:marBottom w:val="0"/>
              <w:divBdr>
                <w:top w:val="none" w:sz="0" w:space="0" w:color="auto"/>
                <w:left w:val="none" w:sz="0" w:space="0" w:color="auto"/>
                <w:bottom w:val="none" w:sz="0" w:space="0" w:color="auto"/>
                <w:right w:val="none" w:sz="0" w:space="0" w:color="auto"/>
              </w:divBdr>
              <w:divsChild>
                <w:div w:id="1319262279">
                  <w:marLeft w:val="0"/>
                  <w:marRight w:val="0"/>
                  <w:marTop w:val="0"/>
                  <w:marBottom w:val="0"/>
                  <w:divBdr>
                    <w:top w:val="none" w:sz="0" w:space="0" w:color="auto"/>
                    <w:left w:val="none" w:sz="0" w:space="0" w:color="auto"/>
                    <w:bottom w:val="none" w:sz="0" w:space="0" w:color="auto"/>
                    <w:right w:val="none" w:sz="0" w:space="0" w:color="auto"/>
                  </w:divBdr>
                </w:div>
              </w:divsChild>
            </w:div>
            <w:div w:id="361975639">
              <w:marLeft w:val="0"/>
              <w:marRight w:val="0"/>
              <w:marTop w:val="0"/>
              <w:marBottom w:val="0"/>
              <w:divBdr>
                <w:top w:val="none" w:sz="0" w:space="0" w:color="auto"/>
                <w:left w:val="none" w:sz="0" w:space="0" w:color="auto"/>
                <w:bottom w:val="none" w:sz="0" w:space="0" w:color="auto"/>
                <w:right w:val="none" w:sz="0" w:space="0" w:color="auto"/>
              </w:divBdr>
              <w:divsChild>
                <w:div w:id="960578292">
                  <w:marLeft w:val="0"/>
                  <w:marRight w:val="0"/>
                  <w:marTop w:val="0"/>
                  <w:marBottom w:val="0"/>
                  <w:divBdr>
                    <w:top w:val="none" w:sz="0" w:space="0" w:color="auto"/>
                    <w:left w:val="none" w:sz="0" w:space="0" w:color="auto"/>
                    <w:bottom w:val="none" w:sz="0" w:space="0" w:color="auto"/>
                    <w:right w:val="none" w:sz="0" w:space="0" w:color="auto"/>
                  </w:divBdr>
                </w:div>
              </w:divsChild>
            </w:div>
            <w:div w:id="1385103633">
              <w:marLeft w:val="0"/>
              <w:marRight w:val="0"/>
              <w:marTop w:val="0"/>
              <w:marBottom w:val="0"/>
              <w:divBdr>
                <w:top w:val="none" w:sz="0" w:space="0" w:color="auto"/>
                <w:left w:val="none" w:sz="0" w:space="0" w:color="auto"/>
                <w:bottom w:val="none" w:sz="0" w:space="0" w:color="auto"/>
                <w:right w:val="none" w:sz="0" w:space="0" w:color="auto"/>
              </w:divBdr>
              <w:divsChild>
                <w:div w:id="1573420697">
                  <w:marLeft w:val="0"/>
                  <w:marRight w:val="0"/>
                  <w:marTop w:val="0"/>
                  <w:marBottom w:val="0"/>
                  <w:divBdr>
                    <w:top w:val="none" w:sz="0" w:space="0" w:color="auto"/>
                    <w:left w:val="none" w:sz="0" w:space="0" w:color="auto"/>
                    <w:bottom w:val="none" w:sz="0" w:space="0" w:color="auto"/>
                    <w:right w:val="none" w:sz="0" w:space="0" w:color="auto"/>
                  </w:divBdr>
                </w:div>
              </w:divsChild>
            </w:div>
            <w:div w:id="966738724">
              <w:marLeft w:val="0"/>
              <w:marRight w:val="0"/>
              <w:marTop w:val="0"/>
              <w:marBottom w:val="0"/>
              <w:divBdr>
                <w:top w:val="none" w:sz="0" w:space="0" w:color="auto"/>
                <w:left w:val="none" w:sz="0" w:space="0" w:color="auto"/>
                <w:bottom w:val="none" w:sz="0" w:space="0" w:color="auto"/>
                <w:right w:val="none" w:sz="0" w:space="0" w:color="auto"/>
              </w:divBdr>
              <w:divsChild>
                <w:div w:id="1600916195">
                  <w:marLeft w:val="0"/>
                  <w:marRight w:val="0"/>
                  <w:marTop w:val="0"/>
                  <w:marBottom w:val="0"/>
                  <w:divBdr>
                    <w:top w:val="none" w:sz="0" w:space="0" w:color="auto"/>
                    <w:left w:val="none" w:sz="0" w:space="0" w:color="auto"/>
                    <w:bottom w:val="none" w:sz="0" w:space="0" w:color="auto"/>
                    <w:right w:val="none" w:sz="0" w:space="0" w:color="auto"/>
                  </w:divBdr>
                </w:div>
              </w:divsChild>
            </w:div>
            <w:div w:id="940455268">
              <w:marLeft w:val="0"/>
              <w:marRight w:val="0"/>
              <w:marTop w:val="0"/>
              <w:marBottom w:val="0"/>
              <w:divBdr>
                <w:top w:val="none" w:sz="0" w:space="0" w:color="auto"/>
                <w:left w:val="none" w:sz="0" w:space="0" w:color="auto"/>
                <w:bottom w:val="none" w:sz="0" w:space="0" w:color="auto"/>
                <w:right w:val="none" w:sz="0" w:space="0" w:color="auto"/>
              </w:divBdr>
              <w:divsChild>
                <w:div w:id="126218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15295">
          <w:marLeft w:val="0"/>
          <w:marRight w:val="0"/>
          <w:marTop w:val="0"/>
          <w:marBottom w:val="0"/>
          <w:divBdr>
            <w:top w:val="none" w:sz="0" w:space="0" w:color="auto"/>
            <w:left w:val="none" w:sz="0" w:space="0" w:color="auto"/>
            <w:bottom w:val="none" w:sz="0" w:space="0" w:color="auto"/>
            <w:right w:val="none" w:sz="0" w:space="0" w:color="auto"/>
          </w:divBdr>
          <w:divsChild>
            <w:div w:id="2133208869">
              <w:marLeft w:val="0"/>
              <w:marRight w:val="0"/>
              <w:marTop w:val="0"/>
              <w:marBottom w:val="0"/>
              <w:divBdr>
                <w:top w:val="none" w:sz="0" w:space="0" w:color="auto"/>
                <w:left w:val="none" w:sz="0" w:space="0" w:color="auto"/>
                <w:bottom w:val="none" w:sz="0" w:space="0" w:color="auto"/>
                <w:right w:val="none" w:sz="0" w:space="0" w:color="auto"/>
              </w:divBdr>
              <w:divsChild>
                <w:div w:id="149556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85006">
      <w:bodyDiv w:val="1"/>
      <w:marLeft w:val="0"/>
      <w:marRight w:val="0"/>
      <w:marTop w:val="0"/>
      <w:marBottom w:val="0"/>
      <w:divBdr>
        <w:top w:val="none" w:sz="0" w:space="0" w:color="auto"/>
        <w:left w:val="none" w:sz="0" w:space="0" w:color="auto"/>
        <w:bottom w:val="none" w:sz="0" w:space="0" w:color="auto"/>
        <w:right w:val="none" w:sz="0" w:space="0" w:color="auto"/>
      </w:divBdr>
      <w:divsChild>
        <w:div w:id="189219475">
          <w:marLeft w:val="0"/>
          <w:marRight w:val="0"/>
          <w:marTop w:val="0"/>
          <w:marBottom w:val="0"/>
          <w:divBdr>
            <w:top w:val="none" w:sz="0" w:space="0" w:color="auto"/>
            <w:left w:val="none" w:sz="0" w:space="0" w:color="auto"/>
            <w:bottom w:val="none" w:sz="0" w:space="0" w:color="auto"/>
            <w:right w:val="none" w:sz="0" w:space="0" w:color="auto"/>
          </w:divBdr>
          <w:divsChild>
            <w:div w:id="6757625">
              <w:marLeft w:val="0"/>
              <w:marRight w:val="0"/>
              <w:marTop w:val="0"/>
              <w:marBottom w:val="0"/>
              <w:divBdr>
                <w:top w:val="none" w:sz="0" w:space="0" w:color="auto"/>
                <w:left w:val="none" w:sz="0" w:space="0" w:color="auto"/>
                <w:bottom w:val="none" w:sz="0" w:space="0" w:color="auto"/>
                <w:right w:val="none" w:sz="0" w:space="0" w:color="auto"/>
              </w:divBdr>
              <w:divsChild>
                <w:div w:id="2328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30417">
          <w:marLeft w:val="0"/>
          <w:marRight w:val="0"/>
          <w:marTop w:val="0"/>
          <w:marBottom w:val="0"/>
          <w:divBdr>
            <w:top w:val="none" w:sz="0" w:space="0" w:color="auto"/>
            <w:left w:val="none" w:sz="0" w:space="0" w:color="auto"/>
            <w:bottom w:val="none" w:sz="0" w:space="0" w:color="auto"/>
            <w:right w:val="none" w:sz="0" w:space="0" w:color="auto"/>
          </w:divBdr>
          <w:divsChild>
            <w:div w:id="1007706979">
              <w:marLeft w:val="0"/>
              <w:marRight w:val="0"/>
              <w:marTop w:val="0"/>
              <w:marBottom w:val="0"/>
              <w:divBdr>
                <w:top w:val="none" w:sz="0" w:space="0" w:color="auto"/>
                <w:left w:val="none" w:sz="0" w:space="0" w:color="auto"/>
                <w:bottom w:val="none" w:sz="0" w:space="0" w:color="auto"/>
                <w:right w:val="none" w:sz="0" w:space="0" w:color="auto"/>
              </w:divBdr>
              <w:divsChild>
                <w:div w:id="58839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486729">
      <w:bodyDiv w:val="1"/>
      <w:marLeft w:val="0"/>
      <w:marRight w:val="0"/>
      <w:marTop w:val="0"/>
      <w:marBottom w:val="0"/>
      <w:divBdr>
        <w:top w:val="none" w:sz="0" w:space="0" w:color="auto"/>
        <w:left w:val="none" w:sz="0" w:space="0" w:color="auto"/>
        <w:bottom w:val="none" w:sz="0" w:space="0" w:color="auto"/>
        <w:right w:val="none" w:sz="0" w:space="0" w:color="auto"/>
      </w:divBdr>
      <w:divsChild>
        <w:div w:id="1770002286">
          <w:marLeft w:val="0"/>
          <w:marRight w:val="0"/>
          <w:marTop w:val="0"/>
          <w:marBottom w:val="0"/>
          <w:divBdr>
            <w:top w:val="none" w:sz="0" w:space="0" w:color="auto"/>
            <w:left w:val="none" w:sz="0" w:space="0" w:color="auto"/>
            <w:bottom w:val="none" w:sz="0" w:space="0" w:color="auto"/>
            <w:right w:val="none" w:sz="0" w:space="0" w:color="auto"/>
          </w:divBdr>
          <w:divsChild>
            <w:div w:id="1358702547">
              <w:marLeft w:val="0"/>
              <w:marRight w:val="0"/>
              <w:marTop w:val="0"/>
              <w:marBottom w:val="0"/>
              <w:divBdr>
                <w:top w:val="none" w:sz="0" w:space="0" w:color="auto"/>
                <w:left w:val="none" w:sz="0" w:space="0" w:color="auto"/>
                <w:bottom w:val="none" w:sz="0" w:space="0" w:color="auto"/>
                <w:right w:val="none" w:sz="0" w:space="0" w:color="auto"/>
              </w:divBdr>
              <w:divsChild>
                <w:div w:id="475491961">
                  <w:marLeft w:val="0"/>
                  <w:marRight w:val="0"/>
                  <w:marTop w:val="0"/>
                  <w:marBottom w:val="0"/>
                  <w:divBdr>
                    <w:top w:val="none" w:sz="0" w:space="0" w:color="auto"/>
                    <w:left w:val="none" w:sz="0" w:space="0" w:color="auto"/>
                    <w:bottom w:val="none" w:sz="0" w:space="0" w:color="auto"/>
                    <w:right w:val="none" w:sz="0" w:space="0" w:color="auto"/>
                  </w:divBdr>
                  <w:divsChild>
                    <w:div w:id="133067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844909">
      <w:bodyDiv w:val="1"/>
      <w:marLeft w:val="0"/>
      <w:marRight w:val="0"/>
      <w:marTop w:val="0"/>
      <w:marBottom w:val="0"/>
      <w:divBdr>
        <w:top w:val="none" w:sz="0" w:space="0" w:color="auto"/>
        <w:left w:val="none" w:sz="0" w:space="0" w:color="auto"/>
        <w:bottom w:val="none" w:sz="0" w:space="0" w:color="auto"/>
        <w:right w:val="none" w:sz="0" w:space="0" w:color="auto"/>
      </w:divBdr>
      <w:divsChild>
        <w:div w:id="1938558612">
          <w:marLeft w:val="0"/>
          <w:marRight w:val="0"/>
          <w:marTop w:val="0"/>
          <w:marBottom w:val="0"/>
          <w:divBdr>
            <w:top w:val="none" w:sz="0" w:space="0" w:color="auto"/>
            <w:left w:val="none" w:sz="0" w:space="0" w:color="auto"/>
            <w:bottom w:val="none" w:sz="0" w:space="0" w:color="auto"/>
            <w:right w:val="none" w:sz="0" w:space="0" w:color="auto"/>
          </w:divBdr>
          <w:divsChild>
            <w:div w:id="1386954649">
              <w:marLeft w:val="0"/>
              <w:marRight w:val="0"/>
              <w:marTop w:val="0"/>
              <w:marBottom w:val="0"/>
              <w:divBdr>
                <w:top w:val="none" w:sz="0" w:space="0" w:color="auto"/>
                <w:left w:val="none" w:sz="0" w:space="0" w:color="auto"/>
                <w:bottom w:val="none" w:sz="0" w:space="0" w:color="auto"/>
                <w:right w:val="none" w:sz="0" w:space="0" w:color="auto"/>
              </w:divBdr>
              <w:divsChild>
                <w:div w:id="20121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886102">
      <w:bodyDiv w:val="1"/>
      <w:marLeft w:val="0"/>
      <w:marRight w:val="0"/>
      <w:marTop w:val="0"/>
      <w:marBottom w:val="0"/>
      <w:divBdr>
        <w:top w:val="none" w:sz="0" w:space="0" w:color="auto"/>
        <w:left w:val="none" w:sz="0" w:space="0" w:color="auto"/>
        <w:bottom w:val="none" w:sz="0" w:space="0" w:color="auto"/>
        <w:right w:val="none" w:sz="0" w:space="0" w:color="auto"/>
      </w:divBdr>
      <w:divsChild>
        <w:div w:id="961375953">
          <w:marLeft w:val="0"/>
          <w:marRight w:val="0"/>
          <w:marTop w:val="0"/>
          <w:marBottom w:val="0"/>
          <w:divBdr>
            <w:top w:val="none" w:sz="0" w:space="0" w:color="auto"/>
            <w:left w:val="none" w:sz="0" w:space="0" w:color="auto"/>
            <w:bottom w:val="none" w:sz="0" w:space="0" w:color="auto"/>
            <w:right w:val="none" w:sz="0" w:space="0" w:color="auto"/>
          </w:divBdr>
          <w:divsChild>
            <w:div w:id="1220633209">
              <w:marLeft w:val="0"/>
              <w:marRight w:val="0"/>
              <w:marTop w:val="0"/>
              <w:marBottom w:val="0"/>
              <w:divBdr>
                <w:top w:val="none" w:sz="0" w:space="0" w:color="auto"/>
                <w:left w:val="none" w:sz="0" w:space="0" w:color="auto"/>
                <w:bottom w:val="none" w:sz="0" w:space="0" w:color="auto"/>
                <w:right w:val="none" w:sz="0" w:space="0" w:color="auto"/>
              </w:divBdr>
              <w:divsChild>
                <w:div w:id="1878203886">
                  <w:marLeft w:val="0"/>
                  <w:marRight w:val="0"/>
                  <w:marTop w:val="0"/>
                  <w:marBottom w:val="0"/>
                  <w:divBdr>
                    <w:top w:val="none" w:sz="0" w:space="0" w:color="auto"/>
                    <w:left w:val="none" w:sz="0" w:space="0" w:color="auto"/>
                    <w:bottom w:val="none" w:sz="0" w:space="0" w:color="auto"/>
                    <w:right w:val="none" w:sz="0" w:space="0" w:color="auto"/>
                  </w:divBdr>
                </w:div>
              </w:divsChild>
            </w:div>
            <w:div w:id="958414680">
              <w:marLeft w:val="0"/>
              <w:marRight w:val="0"/>
              <w:marTop w:val="0"/>
              <w:marBottom w:val="0"/>
              <w:divBdr>
                <w:top w:val="none" w:sz="0" w:space="0" w:color="auto"/>
                <w:left w:val="none" w:sz="0" w:space="0" w:color="auto"/>
                <w:bottom w:val="none" w:sz="0" w:space="0" w:color="auto"/>
                <w:right w:val="none" w:sz="0" w:space="0" w:color="auto"/>
              </w:divBdr>
              <w:divsChild>
                <w:div w:id="322704470">
                  <w:marLeft w:val="0"/>
                  <w:marRight w:val="0"/>
                  <w:marTop w:val="0"/>
                  <w:marBottom w:val="0"/>
                  <w:divBdr>
                    <w:top w:val="none" w:sz="0" w:space="0" w:color="auto"/>
                    <w:left w:val="none" w:sz="0" w:space="0" w:color="auto"/>
                    <w:bottom w:val="none" w:sz="0" w:space="0" w:color="auto"/>
                    <w:right w:val="none" w:sz="0" w:space="0" w:color="auto"/>
                  </w:divBdr>
                  <w:divsChild>
                    <w:div w:id="157014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016542">
          <w:marLeft w:val="0"/>
          <w:marRight w:val="0"/>
          <w:marTop w:val="0"/>
          <w:marBottom w:val="0"/>
          <w:divBdr>
            <w:top w:val="none" w:sz="0" w:space="0" w:color="auto"/>
            <w:left w:val="none" w:sz="0" w:space="0" w:color="auto"/>
            <w:bottom w:val="none" w:sz="0" w:space="0" w:color="auto"/>
            <w:right w:val="none" w:sz="0" w:space="0" w:color="auto"/>
          </w:divBdr>
          <w:divsChild>
            <w:div w:id="394862323">
              <w:marLeft w:val="0"/>
              <w:marRight w:val="0"/>
              <w:marTop w:val="0"/>
              <w:marBottom w:val="0"/>
              <w:divBdr>
                <w:top w:val="none" w:sz="0" w:space="0" w:color="auto"/>
                <w:left w:val="none" w:sz="0" w:space="0" w:color="auto"/>
                <w:bottom w:val="none" w:sz="0" w:space="0" w:color="auto"/>
                <w:right w:val="none" w:sz="0" w:space="0" w:color="auto"/>
              </w:divBdr>
              <w:divsChild>
                <w:div w:id="1742826147">
                  <w:marLeft w:val="0"/>
                  <w:marRight w:val="0"/>
                  <w:marTop w:val="0"/>
                  <w:marBottom w:val="0"/>
                  <w:divBdr>
                    <w:top w:val="none" w:sz="0" w:space="0" w:color="auto"/>
                    <w:left w:val="none" w:sz="0" w:space="0" w:color="auto"/>
                    <w:bottom w:val="none" w:sz="0" w:space="0" w:color="auto"/>
                    <w:right w:val="none" w:sz="0" w:space="0" w:color="auto"/>
                  </w:divBdr>
                </w:div>
              </w:divsChild>
            </w:div>
            <w:div w:id="1126388584">
              <w:marLeft w:val="0"/>
              <w:marRight w:val="0"/>
              <w:marTop w:val="0"/>
              <w:marBottom w:val="0"/>
              <w:divBdr>
                <w:top w:val="none" w:sz="0" w:space="0" w:color="auto"/>
                <w:left w:val="none" w:sz="0" w:space="0" w:color="auto"/>
                <w:bottom w:val="none" w:sz="0" w:space="0" w:color="auto"/>
                <w:right w:val="none" w:sz="0" w:space="0" w:color="auto"/>
              </w:divBdr>
              <w:divsChild>
                <w:div w:id="923874823">
                  <w:marLeft w:val="0"/>
                  <w:marRight w:val="0"/>
                  <w:marTop w:val="0"/>
                  <w:marBottom w:val="0"/>
                  <w:divBdr>
                    <w:top w:val="none" w:sz="0" w:space="0" w:color="auto"/>
                    <w:left w:val="none" w:sz="0" w:space="0" w:color="auto"/>
                    <w:bottom w:val="none" w:sz="0" w:space="0" w:color="auto"/>
                    <w:right w:val="none" w:sz="0" w:space="0" w:color="auto"/>
                  </w:divBdr>
                  <w:divsChild>
                    <w:div w:id="150543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943218">
          <w:marLeft w:val="0"/>
          <w:marRight w:val="0"/>
          <w:marTop w:val="0"/>
          <w:marBottom w:val="0"/>
          <w:divBdr>
            <w:top w:val="none" w:sz="0" w:space="0" w:color="auto"/>
            <w:left w:val="none" w:sz="0" w:space="0" w:color="auto"/>
            <w:bottom w:val="none" w:sz="0" w:space="0" w:color="auto"/>
            <w:right w:val="none" w:sz="0" w:space="0" w:color="auto"/>
          </w:divBdr>
          <w:divsChild>
            <w:div w:id="990327209">
              <w:marLeft w:val="0"/>
              <w:marRight w:val="0"/>
              <w:marTop w:val="0"/>
              <w:marBottom w:val="0"/>
              <w:divBdr>
                <w:top w:val="none" w:sz="0" w:space="0" w:color="auto"/>
                <w:left w:val="none" w:sz="0" w:space="0" w:color="auto"/>
                <w:bottom w:val="none" w:sz="0" w:space="0" w:color="auto"/>
                <w:right w:val="none" w:sz="0" w:space="0" w:color="auto"/>
              </w:divBdr>
              <w:divsChild>
                <w:div w:id="2070758710">
                  <w:marLeft w:val="0"/>
                  <w:marRight w:val="0"/>
                  <w:marTop w:val="0"/>
                  <w:marBottom w:val="0"/>
                  <w:divBdr>
                    <w:top w:val="none" w:sz="0" w:space="0" w:color="auto"/>
                    <w:left w:val="none" w:sz="0" w:space="0" w:color="auto"/>
                    <w:bottom w:val="none" w:sz="0" w:space="0" w:color="auto"/>
                    <w:right w:val="none" w:sz="0" w:space="0" w:color="auto"/>
                  </w:divBdr>
                </w:div>
              </w:divsChild>
            </w:div>
            <w:div w:id="1604798666">
              <w:marLeft w:val="0"/>
              <w:marRight w:val="0"/>
              <w:marTop w:val="0"/>
              <w:marBottom w:val="0"/>
              <w:divBdr>
                <w:top w:val="none" w:sz="0" w:space="0" w:color="auto"/>
                <w:left w:val="none" w:sz="0" w:space="0" w:color="auto"/>
                <w:bottom w:val="none" w:sz="0" w:space="0" w:color="auto"/>
                <w:right w:val="none" w:sz="0" w:space="0" w:color="auto"/>
              </w:divBdr>
              <w:divsChild>
                <w:div w:id="660622624">
                  <w:marLeft w:val="0"/>
                  <w:marRight w:val="0"/>
                  <w:marTop w:val="0"/>
                  <w:marBottom w:val="0"/>
                  <w:divBdr>
                    <w:top w:val="none" w:sz="0" w:space="0" w:color="auto"/>
                    <w:left w:val="none" w:sz="0" w:space="0" w:color="auto"/>
                    <w:bottom w:val="none" w:sz="0" w:space="0" w:color="auto"/>
                    <w:right w:val="none" w:sz="0" w:space="0" w:color="auto"/>
                  </w:divBdr>
                  <w:divsChild>
                    <w:div w:id="11882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33662">
          <w:marLeft w:val="0"/>
          <w:marRight w:val="0"/>
          <w:marTop w:val="0"/>
          <w:marBottom w:val="0"/>
          <w:divBdr>
            <w:top w:val="none" w:sz="0" w:space="0" w:color="auto"/>
            <w:left w:val="none" w:sz="0" w:space="0" w:color="auto"/>
            <w:bottom w:val="none" w:sz="0" w:space="0" w:color="auto"/>
            <w:right w:val="none" w:sz="0" w:space="0" w:color="auto"/>
          </w:divBdr>
          <w:divsChild>
            <w:div w:id="871922196">
              <w:marLeft w:val="0"/>
              <w:marRight w:val="0"/>
              <w:marTop w:val="0"/>
              <w:marBottom w:val="0"/>
              <w:divBdr>
                <w:top w:val="none" w:sz="0" w:space="0" w:color="auto"/>
                <w:left w:val="none" w:sz="0" w:space="0" w:color="auto"/>
                <w:bottom w:val="none" w:sz="0" w:space="0" w:color="auto"/>
                <w:right w:val="none" w:sz="0" w:space="0" w:color="auto"/>
              </w:divBdr>
              <w:divsChild>
                <w:div w:id="756287847">
                  <w:marLeft w:val="0"/>
                  <w:marRight w:val="0"/>
                  <w:marTop w:val="0"/>
                  <w:marBottom w:val="0"/>
                  <w:divBdr>
                    <w:top w:val="none" w:sz="0" w:space="0" w:color="auto"/>
                    <w:left w:val="none" w:sz="0" w:space="0" w:color="auto"/>
                    <w:bottom w:val="none" w:sz="0" w:space="0" w:color="auto"/>
                    <w:right w:val="none" w:sz="0" w:space="0" w:color="auto"/>
                  </w:divBdr>
                </w:div>
              </w:divsChild>
            </w:div>
            <w:div w:id="606616154">
              <w:marLeft w:val="0"/>
              <w:marRight w:val="0"/>
              <w:marTop w:val="0"/>
              <w:marBottom w:val="0"/>
              <w:divBdr>
                <w:top w:val="none" w:sz="0" w:space="0" w:color="auto"/>
                <w:left w:val="none" w:sz="0" w:space="0" w:color="auto"/>
                <w:bottom w:val="none" w:sz="0" w:space="0" w:color="auto"/>
                <w:right w:val="none" w:sz="0" w:space="0" w:color="auto"/>
              </w:divBdr>
              <w:divsChild>
                <w:div w:id="14429842">
                  <w:marLeft w:val="0"/>
                  <w:marRight w:val="0"/>
                  <w:marTop w:val="0"/>
                  <w:marBottom w:val="0"/>
                  <w:divBdr>
                    <w:top w:val="none" w:sz="0" w:space="0" w:color="auto"/>
                    <w:left w:val="none" w:sz="0" w:space="0" w:color="auto"/>
                    <w:bottom w:val="none" w:sz="0" w:space="0" w:color="auto"/>
                    <w:right w:val="none" w:sz="0" w:space="0" w:color="auto"/>
                  </w:divBdr>
                  <w:divsChild>
                    <w:div w:id="18671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505538">
      <w:bodyDiv w:val="1"/>
      <w:marLeft w:val="0"/>
      <w:marRight w:val="0"/>
      <w:marTop w:val="0"/>
      <w:marBottom w:val="0"/>
      <w:divBdr>
        <w:top w:val="none" w:sz="0" w:space="0" w:color="auto"/>
        <w:left w:val="none" w:sz="0" w:space="0" w:color="auto"/>
        <w:bottom w:val="none" w:sz="0" w:space="0" w:color="auto"/>
        <w:right w:val="none" w:sz="0" w:space="0" w:color="auto"/>
      </w:divBdr>
      <w:divsChild>
        <w:div w:id="1214851714">
          <w:marLeft w:val="0"/>
          <w:marRight w:val="0"/>
          <w:marTop w:val="0"/>
          <w:marBottom w:val="0"/>
          <w:divBdr>
            <w:top w:val="none" w:sz="0" w:space="0" w:color="auto"/>
            <w:left w:val="none" w:sz="0" w:space="0" w:color="auto"/>
            <w:bottom w:val="none" w:sz="0" w:space="0" w:color="auto"/>
            <w:right w:val="none" w:sz="0" w:space="0" w:color="auto"/>
          </w:divBdr>
          <w:divsChild>
            <w:div w:id="1803619220">
              <w:marLeft w:val="0"/>
              <w:marRight w:val="0"/>
              <w:marTop w:val="0"/>
              <w:marBottom w:val="0"/>
              <w:divBdr>
                <w:top w:val="none" w:sz="0" w:space="0" w:color="auto"/>
                <w:left w:val="none" w:sz="0" w:space="0" w:color="auto"/>
                <w:bottom w:val="none" w:sz="0" w:space="0" w:color="auto"/>
                <w:right w:val="none" w:sz="0" w:space="0" w:color="auto"/>
              </w:divBdr>
              <w:divsChild>
                <w:div w:id="95521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478435">
      <w:bodyDiv w:val="1"/>
      <w:marLeft w:val="0"/>
      <w:marRight w:val="0"/>
      <w:marTop w:val="0"/>
      <w:marBottom w:val="0"/>
      <w:divBdr>
        <w:top w:val="none" w:sz="0" w:space="0" w:color="auto"/>
        <w:left w:val="none" w:sz="0" w:space="0" w:color="auto"/>
        <w:bottom w:val="none" w:sz="0" w:space="0" w:color="auto"/>
        <w:right w:val="none" w:sz="0" w:space="0" w:color="auto"/>
      </w:divBdr>
      <w:divsChild>
        <w:div w:id="1099834856">
          <w:marLeft w:val="0"/>
          <w:marRight w:val="0"/>
          <w:marTop w:val="0"/>
          <w:marBottom w:val="0"/>
          <w:divBdr>
            <w:top w:val="none" w:sz="0" w:space="0" w:color="auto"/>
            <w:left w:val="none" w:sz="0" w:space="0" w:color="auto"/>
            <w:bottom w:val="none" w:sz="0" w:space="0" w:color="auto"/>
            <w:right w:val="none" w:sz="0" w:space="0" w:color="auto"/>
          </w:divBdr>
          <w:divsChild>
            <w:div w:id="711999968">
              <w:marLeft w:val="0"/>
              <w:marRight w:val="0"/>
              <w:marTop w:val="0"/>
              <w:marBottom w:val="0"/>
              <w:divBdr>
                <w:top w:val="none" w:sz="0" w:space="0" w:color="auto"/>
                <w:left w:val="none" w:sz="0" w:space="0" w:color="auto"/>
                <w:bottom w:val="none" w:sz="0" w:space="0" w:color="auto"/>
                <w:right w:val="none" w:sz="0" w:space="0" w:color="auto"/>
              </w:divBdr>
              <w:divsChild>
                <w:div w:id="189662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752282">
      <w:bodyDiv w:val="1"/>
      <w:marLeft w:val="0"/>
      <w:marRight w:val="0"/>
      <w:marTop w:val="0"/>
      <w:marBottom w:val="0"/>
      <w:divBdr>
        <w:top w:val="none" w:sz="0" w:space="0" w:color="auto"/>
        <w:left w:val="none" w:sz="0" w:space="0" w:color="auto"/>
        <w:bottom w:val="none" w:sz="0" w:space="0" w:color="auto"/>
        <w:right w:val="none" w:sz="0" w:space="0" w:color="auto"/>
      </w:divBdr>
      <w:divsChild>
        <w:div w:id="23403834">
          <w:marLeft w:val="0"/>
          <w:marRight w:val="0"/>
          <w:marTop w:val="0"/>
          <w:marBottom w:val="0"/>
          <w:divBdr>
            <w:top w:val="none" w:sz="0" w:space="0" w:color="auto"/>
            <w:left w:val="none" w:sz="0" w:space="0" w:color="auto"/>
            <w:bottom w:val="none" w:sz="0" w:space="0" w:color="auto"/>
            <w:right w:val="none" w:sz="0" w:space="0" w:color="auto"/>
          </w:divBdr>
          <w:divsChild>
            <w:div w:id="752823149">
              <w:marLeft w:val="0"/>
              <w:marRight w:val="0"/>
              <w:marTop w:val="0"/>
              <w:marBottom w:val="0"/>
              <w:divBdr>
                <w:top w:val="none" w:sz="0" w:space="0" w:color="auto"/>
                <w:left w:val="none" w:sz="0" w:space="0" w:color="auto"/>
                <w:bottom w:val="none" w:sz="0" w:space="0" w:color="auto"/>
                <w:right w:val="none" w:sz="0" w:space="0" w:color="auto"/>
              </w:divBdr>
              <w:divsChild>
                <w:div w:id="5540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249483">
      <w:bodyDiv w:val="1"/>
      <w:marLeft w:val="0"/>
      <w:marRight w:val="0"/>
      <w:marTop w:val="0"/>
      <w:marBottom w:val="0"/>
      <w:divBdr>
        <w:top w:val="none" w:sz="0" w:space="0" w:color="auto"/>
        <w:left w:val="none" w:sz="0" w:space="0" w:color="auto"/>
        <w:bottom w:val="none" w:sz="0" w:space="0" w:color="auto"/>
        <w:right w:val="none" w:sz="0" w:space="0" w:color="auto"/>
      </w:divBdr>
      <w:divsChild>
        <w:div w:id="136801667">
          <w:marLeft w:val="0"/>
          <w:marRight w:val="0"/>
          <w:marTop w:val="0"/>
          <w:marBottom w:val="0"/>
          <w:divBdr>
            <w:top w:val="none" w:sz="0" w:space="0" w:color="auto"/>
            <w:left w:val="none" w:sz="0" w:space="0" w:color="auto"/>
            <w:bottom w:val="none" w:sz="0" w:space="0" w:color="auto"/>
            <w:right w:val="none" w:sz="0" w:space="0" w:color="auto"/>
          </w:divBdr>
          <w:divsChild>
            <w:div w:id="1930851990">
              <w:marLeft w:val="0"/>
              <w:marRight w:val="0"/>
              <w:marTop w:val="0"/>
              <w:marBottom w:val="0"/>
              <w:divBdr>
                <w:top w:val="none" w:sz="0" w:space="0" w:color="auto"/>
                <w:left w:val="none" w:sz="0" w:space="0" w:color="auto"/>
                <w:bottom w:val="none" w:sz="0" w:space="0" w:color="auto"/>
                <w:right w:val="none" w:sz="0" w:space="0" w:color="auto"/>
              </w:divBdr>
              <w:divsChild>
                <w:div w:id="102092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399661">
      <w:bodyDiv w:val="1"/>
      <w:marLeft w:val="0"/>
      <w:marRight w:val="0"/>
      <w:marTop w:val="0"/>
      <w:marBottom w:val="0"/>
      <w:divBdr>
        <w:top w:val="none" w:sz="0" w:space="0" w:color="auto"/>
        <w:left w:val="none" w:sz="0" w:space="0" w:color="auto"/>
        <w:bottom w:val="none" w:sz="0" w:space="0" w:color="auto"/>
        <w:right w:val="none" w:sz="0" w:space="0" w:color="auto"/>
      </w:divBdr>
      <w:divsChild>
        <w:div w:id="419370725">
          <w:marLeft w:val="0"/>
          <w:marRight w:val="0"/>
          <w:marTop w:val="0"/>
          <w:marBottom w:val="0"/>
          <w:divBdr>
            <w:top w:val="none" w:sz="0" w:space="0" w:color="auto"/>
            <w:left w:val="none" w:sz="0" w:space="0" w:color="auto"/>
            <w:bottom w:val="none" w:sz="0" w:space="0" w:color="auto"/>
            <w:right w:val="none" w:sz="0" w:space="0" w:color="auto"/>
          </w:divBdr>
          <w:divsChild>
            <w:div w:id="1654063969">
              <w:marLeft w:val="0"/>
              <w:marRight w:val="0"/>
              <w:marTop w:val="0"/>
              <w:marBottom w:val="0"/>
              <w:divBdr>
                <w:top w:val="none" w:sz="0" w:space="0" w:color="auto"/>
                <w:left w:val="none" w:sz="0" w:space="0" w:color="auto"/>
                <w:bottom w:val="none" w:sz="0" w:space="0" w:color="auto"/>
                <w:right w:val="none" w:sz="0" w:space="0" w:color="auto"/>
              </w:divBdr>
              <w:divsChild>
                <w:div w:id="106957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497618">
      <w:bodyDiv w:val="1"/>
      <w:marLeft w:val="0"/>
      <w:marRight w:val="0"/>
      <w:marTop w:val="0"/>
      <w:marBottom w:val="0"/>
      <w:divBdr>
        <w:top w:val="none" w:sz="0" w:space="0" w:color="auto"/>
        <w:left w:val="none" w:sz="0" w:space="0" w:color="auto"/>
        <w:bottom w:val="none" w:sz="0" w:space="0" w:color="auto"/>
        <w:right w:val="none" w:sz="0" w:space="0" w:color="auto"/>
      </w:divBdr>
      <w:divsChild>
        <w:div w:id="741490518">
          <w:marLeft w:val="0"/>
          <w:marRight w:val="0"/>
          <w:marTop w:val="0"/>
          <w:marBottom w:val="0"/>
          <w:divBdr>
            <w:top w:val="none" w:sz="0" w:space="0" w:color="auto"/>
            <w:left w:val="none" w:sz="0" w:space="0" w:color="auto"/>
            <w:bottom w:val="none" w:sz="0" w:space="0" w:color="auto"/>
            <w:right w:val="none" w:sz="0" w:space="0" w:color="auto"/>
          </w:divBdr>
          <w:divsChild>
            <w:div w:id="2048599277">
              <w:marLeft w:val="0"/>
              <w:marRight w:val="0"/>
              <w:marTop w:val="0"/>
              <w:marBottom w:val="0"/>
              <w:divBdr>
                <w:top w:val="none" w:sz="0" w:space="0" w:color="auto"/>
                <w:left w:val="none" w:sz="0" w:space="0" w:color="auto"/>
                <w:bottom w:val="none" w:sz="0" w:space="0" w:color="auto"/>
                <w:right w:val="none" w:sz="0" w:space="0" w:color="auto"/>
              </w:divBdr>
              <w:divsChild>
                <w:div w:id="205882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148863">
      <w:bodyDiv w:val="1"/>
      <w:marLeft w:val="0"/>
      <w:marRight w:val="0"/>
      <w:marTop w:val="0"/>
      <w:marBottom w:val="0"/>
      <w:divBdr>
        <w:top w:val="none" w:sz="0" w:space="0" w:color="auto"/>
        <w:left w:val="none" w:sz="0" w:space="0" w:color="auto"/>
        <w:bottom w:val="none" w:sz="0" w:space="0" w:color="auto"/>
        <w:right w:val="none" w:sz="0" w:space="0" w:color="auto"/>
      </w:divBdr>
      <w:divsChild>
        <w:div w:id="638877394">
          <w:marLeft w:val="0"/>
          <w:marRight w:val="0"/>
          <w:marTop w:val="0"/>
          <w:marBottom w:val="0"/>
          <w:divBdr>
            <w:top w:val="none" w:sz="0" w:space="0" w:color="auto"/>
            <w:left w:val="none" w:sz="0" w:space="0" w:color="auto"/>
            <w:bottom w:val="none" w:sz="0" w:space="0" w:color="auto"/>
            <w:right w:val="none" w:sz="0" w:space="0" w:color="auto"/>
          </w:divBdr>
          <w:divsChild>
            <w:div w:id="1320496496">
              <w:marLeft w:val="0"/>
              <w:marRight w:val="0"/>
              <w:marTop w:val="0"/>
              <w:marBottom w:val="0"/>
              <w:divBdr>
                <w:top w:val="none" w:sz="0" w:space="0" w:color="auto"/>
                <w:left w:val="none" w:sz="0" w:space="0" w:color="auto"/>
                <w:bottom w:val="none" w:sz="0" w:space="0" w:color="auto"/>
                <w:right w:val="none" w:sz="0" w:space="0" w:color="auto"/>
              </w:divBdr>
              <w:divsChild>
                <w:div w:id="212942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474022">
      <w:bodyDiv w:val="1"/>
      <w:marLeft w:val="0"/>
      <w:marRight w:val="0"/>
      <w:marTop w:val="0"/>
      <w:marBottom w:val="0"/>
      <w:divBdr>
        <w:top w:val="none" w:sz="0" w:space="0" w:color="auto"/>
        <w:left w:val="none" w:sz="0" w:space="0" w:color="auto"/>
        <w:bottom w:val="none" w:sz="0" w:space="0" w:color="auto"/>
        <w:right w:val="none" w:sz="0" w:space="0" w:color="auto"/>
      </w:divBdr>
      <w:divsChild>
        <w:div w:id="1517190102">
          <w:marLeft w:val="0"/>
          <w:marRight w:val="0"/>
          <w:marTop w:val="0"/>
          <w:marBottom w:val="0"/>
          <w:divBdr>
            <w:top w:val="none" w:sz="0" w:space="0" w:color="auto"/>
            <w:left w:val="none" w:sz="0" w:space="0" w:color="auto"/>
            <w:bottom w:val="none" w:sz="0" w:space="0" w:color="auto"/>
            <w:right w:val="none" w:sz="0" w:space="0" w:color="auto"/>
          </w:divBdr>
          <w:divsChild>
            <w:div w:id="1790926864">
              <w:marLeft w:val="0"/>
              <w:marRight w:val="0"/>
              <w:marTop w:val="0"/>
              <w:marBottom w:val="0"/>
              <w:divBdr>
                <w:top w:val="none" w:sz="0" w:space="0" w:color="auto"/>
                <w:left w:val="none" w:sz="0" w:space="0" w:color="auto"/>
                <w:bottom w:val="none" w:sz="0" w:space="0" w:color="auto"/>
                <w:right w:val="none" w:sz="0" w:space="0" w:color="auto"/>
              </w:divBdr>
              <w:divsChild>
                <w:div w:id="159300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404053">
      <w:bodyDiv w:val="1"/>
      <w:marLeft w:val="0"/>
      <w:marRight w:val="0"/>
      <w:marTop w:val="0"/>
      <w:marBottom w:val="0"/>
      <w:divBdr>
        <w:top w:val="none" w:sz="0" w:space="0" w:color="auto"/>
        <w:left w:val="none" w:sz="0" w:space="0" w:color="auto"/>
        <w:bottom w:val="none" w:sz="0" w:space="0" w:color="auto"/>
        <w:right w:val="none" w:sz="0" w:space="0" w:color="auto"/>
      </w:divBdr>
      <w:divsChild>
        <w:div w:id="947658994">
          <w:marLeft w:val="0"/>
          <w:marRight w:val="0"/>
          <w:marTop w:val="0"/>
          <w:marBottom w:val="0"/>
          <w:divBdr>
            <w:top w:val="none" w:sz="0" w:space="0" w:color="auto"/>
            <w:left w:val="none" w:sz="0" w:space="0" w:color="auto"/>
            <w:bottom w:val="none" w:sz="0" w:space="0" w:color="auto"/>
            <w:right w:val="none" w:sz="0" w:space="0" w:color="auto"/>
          </w:divBdr>
          <w:divsChild>
            <w:div w:id="1786774763">
              <w:marLeft w:val="0"/>
              <w:marRight w:val="0"/>
              <w:marTop w:val="0"/>
              <w:marBottom w:val="0"/>
              <w:divBdr>
                <w:top w:val="none" w:sz="0" w:space="0" w:color="auto"/>
                <w:left w:val="none" w:sz="0" w:space="0" w:color="auto"/>
                <w:bottom w:val="none" w:sz="0" w:space="0" w:color="auto"/>
                <w:right w:val="none" w:sz="0" w:space="0" w:color="auto"/>
              </w:divBdr>
              <w:divsChild>
                <w:div w:id="110430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82852">
      <w:bodyDiv w:val="1"/>
      <w:marLeft w:val="0"/>
      <w:marRight w:val="0"/>
      <w:marTop w:val="0"/>
      <w:marBottom w:val="0"/>
      <w:divBdr>
        <w:top w:val="none" w:sz="0" w:space="0" w:color="auto"/>
        <w:left w:val="none" w:sz="0" w:space="0" w:color="auto"/>
        <w:bottom w:val="none" w:sz="0" w:space="0" w:color="auto"/>
        <w:right w:val="none" w:sz="0" w:space="0" w:color="auto"/>
      </w:divBdr>
    </w:div>
    <w:div w:id="1733041879">
      <w:bodyDiv w:val="1"/>
      <w:marLeft w:val="0"/>
      <w:marRight w:val="0"/>
      <w:marTop w:val="0"/>
      <w:marBottom w:val="0"/>
      <w:divBdr>
        <w:top w:val="none" w:sz="0" w:space="0" w:color="auto"/>
        <w:left w:val="none" w:sz="0" w:space="0" w:color="auto"/>
        <w:bottom w:val="none" w:sz="0" w:space="0" w:color="auto"/>
        <w:right w:val="none" w:sz="0" w:space="0" w:color="auto"/>
      </w:divBdr>
      <w:divsChild>
        <w:div w:id="1466041393">
          <w:marLeft w:val="0"/>
          <w:marRight w:val="0"/>
          <w:marTop w:val="0"/>
          <w:marBottom w:val="0"/>
          <w:divBdr>
            <w:top w:val="none" w:sz="0" w:space="0" w:color="auto"/>
            <w:left w:val="none" w:sz="0" w:space="0" w:color="auto"/>
            <w:bottom w:val="none" w:sz="0" w:space="0" w:color="auto"/>
            <w:right w:val="none" w:sz="0" w:space="0" w:color="auto"/>
          </w:divBdr>
          <w:divsChild>
            <w:div w:id="1826703871">
              <w:marLeft w:val="0"/>
              <w:marRight w:val="0"/>
              <w:marTop w:val="0"/>
              <w:marBottom w:val="0"/>
              <w:divBdr>
                <w:top w:val="none" w:sz="0" w:space="0" w:color="auto"/>
                <w:left w:val="none" w:sz="0" w:space="0" w:color="auto"/>
                <w:bottom w:val="none" w:sz="0" w:space="0" w:color="auto"/>
                <w:right w:val="none" w:sz="0" w:space="0" w:color="auto"/>
              </w:divBdr>
              <w:divsChild>
                <w:div w:id="185834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446994">
      <w:bodyDiv w:val="1"/>
      <w:marLeft w:val="0"/>
      <w:marRight w:val="0"/>
      <w:marTop w:val="0"/>
      <w:marBottom w:val="0"/>
      <w:divBdr>
        <w:top w:val="none" w:sz="0" w:space="0" w:color="auto"/>
        <w:left w:val="none" w:sz="0" w:space="0" w:color="auto"/>
        <w:bottom w:val="none" w:sz="0" w:space="0" w:color="auto"/>
        <w:right w:val="none" w:sz="0" w:space="0" w:color="auto"/>
      </w:divBdr>
      <w:divsChild>
        <w:div w:id="1573343927">
          <w:marLeft w:val="0"/>
          <w:marRight w:val="0"/>
          <w:marTop w:val="0"/>
          <w:marBottom w:val="0"/>
          <w:divBdr>
            <w:top w:val="none" w:sz="0" w:space="0" w:color="auto"/>
            <w:left w:val="none" w:sz="0" w:space="0" w:color="auto"/>
            <w:bottom w:val="none" w:sz="0" w:space="0" w:color="auto"/>
            <w:right w:val="none" w:sz="0" w:space="0" w:color="auto"/>
          </w:divBdr>
          <w:divsChild>
            <w:div w:id="211307287">
              <w:marLeft w:val="0"/>
              <w:marRight w:val="0"/>
              <w:marTop w:val="0"/>
              <w:marBottom w:val="0"/>
              <w:divBdr>
                <w:top w:val="none" w:sz="0" w:space="0" w:color="auto"/>
                <w:left w:val="none" w:sz="0" w:space="0" w:color="auto"/>
                <w:bottom w:val="none" w:sz="0" w:space="0" w:color="auto"/>
                <w:right w:val="none" w:sz="0" w:space="0" w:color="auto"/>
              </w:divBdr>
              <w:divsChild>
                <w:div w:id="203792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911700">
      <w:bodyDiv w:val="1"/>
      <w:marLeft w:val="0"/>
      <w:marRight w:val="0"/>
      <w:marTop w:val="0"/>
      <w:marBottom w:val="0"/>
      <w:divBdr>
        <w:top w:val="none" w:sz="0" w:space="0" w:color="auto"/>
        <w:left w:val="none" w:sz="0" w:space="0" w:color="auto"/>
        <w:bottom w:val="none" w:sz="0" w:space="0" w:color="auto"/>
        <w:right w:val="none" w:sz="0" w:space="0" w:color="auto"/>
      </w:divBdr>
      <w:divsChild>
        <w:div w:id="688221875">
          <w:marLeft w:val="0"/>
          <w:marRight w:val="0"/>
          <w:marTop w:val="0"/>
          <w:marBottom w:val="0"/>
          <w:divBdr>
            <w:top w:val="none" w:sz="0" w:space="0" w:color="auto"/>
            <w:left w:val="none" w:sz="0" w:space="0" w:color="auto"/>
            <w:bottom w:val="none" w:sz="0" w:space="0" w:color="auto"/>
            <w:right w:val="none" w:sz="0" w:space="0" w:color="auto"/>
          </w:divBdr>
          <w:divsChild>
            <w:div w:id="201745980">
              <w:marLeft w:val="0"/>
              <w:marRight w:val="0"/>
              <w:marTop w:val="0"/>
              <w:marBottom w:val="0"/>
              <w:divBdr>
                <w:top w:val="none" w:sz="0" w:space="0" w:color="auto"/>
                <w:left w:val="none" w:sz="0" w:space="0" w:color="auto"/>
                <w:bottom w:val="none" w:sz="0" w:space="0" w:color="auto"/>
                <w:right w:val="none" w:sz="0" w:space="0" w:color="auto"/>
              </w:divBdr>
              <w:divsChild>
                <w:div w:id="190757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847312">
      <w:bodyDiv w:val="1"/>
      <w:marLeft w:val="0"/>
      <w:marRight w:val="0"/>
      <w:marTop w:val="0"/>
      <w:marBottom w:val="0"/>
      <w:divBdr>
        <w:top w:val="none" w:sz="0" w:space="0" w:color="auto"/>
        <w:left w:val="none" w:sz="0" w:space="0" w:color="auto"/>
        <w:bottom w:val="none" w:sz="0" w:space="0" w:color="auto"/>
        <w:right w:val="none" w:sz="0" w:space="0" w:color="auto"/>
      </w:divBdr>
      <w:divsChild>
        <w:div w:id="39982034">
          <w:marLeft w:val="0"/>
          <w:marRight w:val="0"/>
          <w:marTop w:val="0"/>
          <w:marBottom w:val="0"/>
          <w:divBdr>
            <w:top w:val="none" w:sz="0" w:space="0" w:color="auto"/>
            <w:left w:val="none" w:sz="0" w:space="0" w:color="auto"/>
            <w:bottom w:val="none" w:sz="0" w:space="0" w:color="auto"/>
            <w:right w:val="none" w:sz="0" w:space="0" w:color="auto"/>
          </w:divBdr>
          <w:divsChild>
            <w:div w:id="1414669842">
              <w:marLeft w:val="0"/>
              <w:marRight w:val="0"/>
              <w:marTop w:val="0"/>
              <w:marBottom w:val="0"/>
              <w:divBdr>
                <w:top w:val="none" w:sz="0" w:space="0" w:color="auto"/>
                <w:left w:val="none" w:sz="0" w:space="0" w:color="auto"/>
                <w:bottom w:val="none" w:sz="0" w:space="0" w:color="auto"/>
                <w:right w:val="none" w:sz="0" w:space="0" w:color="auto"/>
              </w:divBdr>
              <w:divsChild>
                <w:div w:id="180913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698513">
      <w:bodyDiv w:val="1"/>
      <w:marLeft w:val="0"/>
      <w:marRight w:val="0"/>
      <w:marTop w:val="0"/>
      <w:marBottom w:val="0"/>
      <w:divBdr>
        <w:top w:val="none" w:sz="0" w:space="0" w:color="auto"/>
        <w:left w:val="none" w:sz="0" w:space="0" w:color="auto"/>
        <w:bottom w:val="none" w:sz="0" w:space="0" w:color="auto"/>
        <w:right w:val="none" w:sz="0" w:space="0" w:color="auto"/>
      </w:divBdr>
      <w:divsChild>
        <w:div w:id="2085057003">
          <w:marLeft w:val="0"/>
          <w:marRight w:val="0"/>
          <w:marTop w:val="0"/>
          <w:marBottom w:val="0"/>
          <w:divBdr>
            <w:top w:val="none" w:sz="0" w:space="0" w:color="auto"/>
            <w:left w:val="none" w:sz="0" w:space="0" w:color="auto"/>
            <w:bottom w:val="none" w:sz="0" w:space="0" w:color="auto"/>
            <w:right w:val="none" w:sz="0" w:space="0" w:color="auto"/>
          </w:divBdr>
          <w:divsChild>
            <w:div w:id="368994411">
              <w:marLeft w:val="0"/>
              <w:marRight w:val="0"/>
              <w:marTop w:val="0"/>
              <w:marBottom w:val="0"/>
              <w:divBdr>
                <w:top w:val="none" w:sz="0" w:space="0" w:color="auto"/>
                <w:left w:val="none" w:sz="0" w:space="0" w:color="auto"/>
                <w:bottom w:val="none" w:sz="0" w:space="0" w:color="auto"/>
                <w:right w:val="none" w:sz="0" w:space="0" w:color="auto"/>
              </w:divBdr>
              <w:divsChild>
                <w:div w:id="178430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81029">
      <w:bodyDiv w:val="1"/>
      <w:marLeft w:val="0"/>
      <w:marRight w:val="0"/>
      <w:marTop w:val="0"/>
      <w:marBottom w:val="0"/>
      <w:divBdr>
        <w:top w:val="none" w:sz="0" w:space="0" w:color="auto"/>
        <w:left w:val="none" w:sz="0" w:space="0" w:color="auto"/>
        <w:bottom w:val="none" w:sz="0" w:space="0" w:color="auto"/>
        <w:right w:val="none" w:sz="0" w:space="0" w:color="auto"/>
      </w:divBdr>
      <w:divsChild>
        <w:div w:id="2133548285">
          <w:marLeft w:val="0"/>
          <w:marRight w:val="0"/>
          <w:marTop w:val="0"/>
          <w:marBottom w:val="0"/>
          <w:divBdr>
            <w:top w:val="none" w:sz="0" w:space="0" w:color="auto"/>
            <w:left w:val="none" w:sz="0" w:space="0" w:color="auto"/>
            <w:bottom w:val="none" w:sz="0" w:space="0" w:color="auto"/>
            <w:right w:val="none" w:sz="0" w:space="0" w:color="auto"/>
          </w:divBdr>
          <w:divsChild>
            <w:div w:id="1190948635">
              <w:marLeft w:val="0"/>
              <w:marRight w:val="0"/>
              <w:marTop w:val="0"/>
              <w:marBottom w:val="0"/>
              <w:divBdr>
                <w:top w:val="none" w:sz="0" w:space="0" w:color="auto"/>
                <w:left w:val="none" w:sz="0" w:space="0" w:color="auto"/>
                <w:bottom w:val="none" w:sz="0" w:space="0" w:color="auto"/>
                <w:right w:val="none" w:sz="0" w:space="0" w:color="auto"/>
              </w:divBdr>
              <w:divsChild>
                <w:div w:id="167576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291607">
      <w:bodyDiv w:val="1"/>
      <w:marLeft w:val="0"/>
      <w:marRight w:val="0"/>
      <w:marTop w:val="0"/>
      <w:marBottom w:val="0"/>
      <w:divBdr>
        <w:top w:val="none" w:sz="0" w:space="0" w:color="auto"/>
        <w:left w:val="none" w:sz="0" w:space="0" w:color="auto"/>
        <w:bottom w:val="none" w:sz="0" w:space="0" w:color="auto"/>
        <w:right w:val="none" w:sz="0" w:space="0" w:color="auto"/>
      </w:divBdr>
      <w:divsChild>
        <w:div w:id="1152868932">
          <w:marLeft w:val="0"/>
          <w:marRight w:val="0"/>
          <w:marTop w:val="0"/>
          <w:marBottom w:val="0"/>
          <w:divBdr>
            <w:top w:val="none" w:sz="0" w:space="0" w:color="auto"/>
            <w:left w:val="none" w:sz="0" w:space="0" w:color="auto"/>
            <w:bottom w:val="none" w:sz="0" w:space="0" w:color="auto"/>
            <w:right w:val="none" w:sz="0" w:space="0" w:color="auto"/>
          </w:divBdr>
          <w:divsChild>
            <w:div w:id="940339193">
              <w:marLeft w:val="0"/>
              <w:marRight w:val="0"/>
              <w:marTop w:val="0"/>
              <w:marBottom w:val="0"/>
              <w:divBdr>
                <w:top w:val="none" w:sz="0" w:space="0" w:color="auto"/>
                <w:left w:val="none" w:sz="0" w:space="0" w:color="auto"/>
                <w:bottom w:val="none" w:sz="0" w:space="0" w:color="auto"/>
                <w:right w:val="none" w:sz="0" w:space="0" w:color="auto"/>
              </w:divBdr>
              <w:divsChild>
                <w:div w:id="127579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945780">
      <w:bodyDiv w:val="1"/>
      <w:marLeft w:val="0"/>
      <w:marRight w:val="0"/>
      <w:marTop w:val="0"/>
      <w:marBottom w:val="0"/>
      <w:divBdr>
        <w:top w:val="none" w:sz="0" w:space="0" w:color="auto"/>
        <w:left w:val="none" w:sz="0" w:space="0" w:color="auto"/>
        <w:bottom w:val="none" w:sz="0" w:space="0" w:color="auto"/>
        <w:right w:val="none" w:sz="0" w:space="0" w:color="auto"/>
      </w:divBdr>
      <w:divsChild>
        <w:div w:id="47265155">
          <w:marLeft w:val="0"/>
          <w:marRight w:val="0"/>
          <w:marTop w:val="0"/>
          <w:marBottom w:val="0"/>
          <w:divBdr>
            <w:top w:val="none" w:sz="0" w:space="0" w:color="auto"/>
            <w:left w:val="none" w:sz="0" w:space="0" w:color="auto"/>
            <w:bottom w:val="none" w:sz="0" w:space="0" w:color="auto"/>
            <w:right w:val="none" w:sz="0" w:space="0" w:color="auto"/>
          </w:divBdr>
          <w:divsChild>
            <w:div w:id="1076366524">
              <w:marLeft w:val="0"/>
              <w:marRight w:val="0"/>
              <w:marTop w:val="0"/>
              <w:marBottom w:val="0"/>
              <w:divBdr>
                <w:top w:val="none" w:sz="0" w:space="0" w:color="auto"/>
                <w:left w:val="none" w:sz="0" w:space="0" w:color="auto"/>
                <w:bottom w:val="none" w:sz="0" w:space="0" w:color="auto"/>
                <w:right w:val="none" w:sz="0" w:space="0" w:color="auto"/>
              </w:divBdr>
              <w:divsChild>
                <w:div w:id="255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882237">
      <w:bodyDiv w:val="1"/>
      <w:marLeft w:val="0"/>
      <w:marRight w:val="0"/>
      <w:marTop w:val="0"/>
      <w:marBottom w:val="0"/>
      <w:divBdr>
        <w:top w:val="none" w:sz="0" w:space="0" w:color="auto"/>
        <w:left w:val="none" w:sz="0" w:space="0" w:color="auto"/>
        <w:bottom w:val="none" w:sz="0" w:space="0" w:color="auto"/>
        <w:right w:val="none" w:sz="0" w:space="0" w:color="auto"/>
      </w:divBdr>
      <w:divsChild>
        <w:div w:id="75054894">
          <w:marLeft w:val="0"/>
          <w:marRight w:val="0"/>
          <w:marTop w:val="0"/>
          <w:marBottom w:val="0"/>
          <w:divBdr>
            <w:top w:val="none" w:sz="0" w:space="0" w:color="auto"/>
            <w:left w:val="none" w:sz="0" w:space="0" w:color="auto"/>
            <w:bottom w:val="none" w:sz="0" w:space="0" w:color="auto"/>
            <w:right w:val="none" w:sz="0" w:space="0" w:color="auto"/>
          </w:divBdr>
          <w:divsChild>
            <w:div w:id="1876188360">
              <w:marLeft w:val="0"/>
              <w:marRight w:val="0"/>
              <w:marTop w:val="0"/>
              <w:marBottom w:val="0"/>
              <w:divBdr>
                <w:top w:val="none" w:sz="0" w:space="0" w:color="auto"/>
                <w:left w:val="none" w:sz="0" w:space="0" w:color="auto"/>
                <w:bottom w:val="none" w:sz="0" w:space="0" w:color="auto"/>
                <w:right w:val="none" w:sz="0" w:space="0" w:color="auto"/>
              </w:divBdr>
              <w:divsChild>
                <w:div w:id="13535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938977">
      <w:bodyDiv w:val="1"/>
      <w:marLeft w:val="0"/>
      <w:marRight w:val="0"/>
      <w:marTop w:val="0"/>
      <w:marBottom w:val="0"/>
      <w:divBdr>
        <w:top w:val="none" w:sz="0" w:space="0" w:color="auto"/>
        <w:left w:val="none" w:sz="0" w:space="0" w:color="auto"/>
        <w:bottom w:val="none" w:sz="0" w:space="0" w:color="auto"/>
        <w:right w:val="none" w:sz="0" w:space="0" w:color="auto"/>
      </w:divBdr>
      <w:divsChild>
        <w:div w:id="1963537953">
          <w:marLeft w:val="0"/>
          <w:marRight w:val="0"/>
          <w:marTop w:val="0"/>
          <w:marBottom w:val="0"/>
          <w:divBdr>
            <w:top w:val="none" w:sz="0" w:space="0" w:color="auto"/>
            <w:left w:val="none" w:sz="0" w:space="0" w:color="auto"/>
            <w:bottom w:val="none" w:sz="0" w:space="0" w:color="auto"/>
            <w:right w:val="none" w:sz="0" w:space="0" w:color="auto"/>
          </w:divBdr>
          <w:divsChild>
            <w:div w:id="1097671542">
              <w:marLeft w:val="0"/>
              <w:marRight w:val="0"/>
              <w:marTop w:val="0"/>
              <w:marBottom w:val="0"/>
              <w:divBdr>
                <w:top w:val="none" w:sz="0" w:space="0" w:color="auto"/>
                <w:left w:val="none" w:sz="0" w:space="0" w:color="auto"/>
                <w:bottom w:val="none" w:sz="0" w:space="0" w:color="auto"/>
                <w:right w:val="none" w:sz="0" w:space="0" w:color="auto"/>
              </w:divBdr>
              <w:divsChild>
                <w:div w:id="83198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857260">
          <w:marLeft w:val="0"/>
          <w:marRight w:val="0"/>
          <w:marTop w:val="0"/>
          <w:marBottom w:val="0"/>
          <w:divBdr>
            <w:top w:val="none" w:sz="0" w:space="0" w:color="auto"/>
            <w:left w:val="none" w:sz="0" w:space="0" w:color="auto"/>
            <w:bottom w:val="none" w:sz="0" w:space="0" w:color="auto"/>
            <w:right w:val="none" w:sz="0" w:space="0" w:color="auto"/>
          </w:divBdr>
          <w:divsChild>
            <w:div w:id="540021729">
              <w:marLeft w:val="0"/>
              <w:marRight w:val="0"/>
              <w:marTop w:val="0"/>
              <w:marBottom w:val="0"/>
              <w:divBdr>
                <w:top w:val="none" w:sz="0" w:space="0" w:color="auto"/>
                <w:left w:val="none" w:sz="0" w:space="0" w:color="auto"/>
                <w:bottom w:val="none" w:sz="0" w:space="0" w:color="auto"/>
                <w:right w:val="none" w:sz="0" w:space="0" w:color="auto"/>
              </w:divBdr>
              <w:divsChild>
                <w:div w:id="91497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216871">
      <w:bodyDiv w:val="1"/>
      <w:marLeft w:val="0"/>
      <w:marRight w:val="0"/>
      <w:marTop w:val="0"/>
      <w:marBottom w:val="0"/>
      <w:divBdr>
        <w:top w:val="none" w:sz="0" w:space="0" w:color="auto"/>
        <w:left w:val="none" w:sz="0" w:space="0" w:color="auto"/>
        <w:bottom w:val="none" w:sz="0" w:space="0" w:color="auto"/>
        <w:right w:val="none" w:sz="0" w:space="0" w:color="auto"/>
      </w:divBdr>
      <w:divsChild>
        <w:div w:id="1134299883">
          <w:marLeft w:val="0"/>
          <w:marRight w:val="0"/>
          <w:marTop w:val="0"/>
          <w:marBottom w:val="0"/>
          <w:divBdr>
            <w:top w:val="none" w:sz="0" w:space="0" w:color="auto"/>
            <w:left w:val="none" w:sz="0" w:space="0" w:color="auto"/>
            <w:bottom w:val="none" w:sz="0" w:space="0" w:color="auto"/>
            <w:right w:val="none" w:sz="0" w:space="0" w:color="auto"/>
          </w:divBdr>
          <w:divsChild>
            <w:div w:id="1636642878">
              <w:marLeft w:val="0"/>
              <w:marRight w:val="0"/>
              <w:marTop w:val="0"/>
              <w:marBottom w:val="0"/>
              <w:divBdr>
                <w:top w:val="none" w:sz="0" w:space="0" w:color="auto"/>
                <w:left w:val="none" w:sz="0" w:space="0" w:color="auto"/>
                <w:bottom w:val="none" w:sz="0" w:space="0" w:color="auto"/>
                <w:right w:val="none" w:sz="0" w:space="0" w:color="auto"/>
              </w:divBdr>
              <w:divsChild>
                <w:div w:id="66605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800701">
      <w:bodyDiv w:val="1"/>
      <w:marLeft w:val="0"/>
      <w:marRight w:val="0"/>
      <w:marTop w:val="0"/>
      <w:marBottom w:val="0"/>
      <w:divBdr>
        <w:top w:val="none" w:sz="0" w:space="0" w:color="auto"/>
        <w:left w:val="none" w:sz="0" w:space="0" w:color="auto"/>
        <w:bottom w:val="none" w:sz="0" w:space="0" w:color="auto"/>
        <w:right w:val="none" w:sz="0" w:space="0" w:color="auto"/>
      </w:divBdr>
      <w:divsChild>
        <w:div w:id="1607156086">
          <w:marLeft w:val="0"/>
          <w:marRight w:val="0"/>
          <w:marTop w:val="0"/>
          <w:marBottom w:val="0"/>
          <w:divBdr>
            <w:top w:val="none" w:sz="0" w:space="0" w:color="auto"/>
            <w:left w:val="none" w:sz="0" w:space="0" w:color="auto"/>
            <w:bottom w:val="none" w:sz="0" w:space="0" w:color="auto"/>
            <w:right w:val="none" w:sz="0" w:space="0" w:color="auto"/>
          </w:divBdr>
          <w:divsChild>
            <w:div w:id="994147319">
              <w:marLeft w:val="0"/>
              <w:marRight w:val="0"/>
              <w:marTop w:val="0"/>
              <w:marBottom w:val="0"/>
              <w:divBdr>
                <w:top w:val="none" w:sz="0" w:space="0" w:color="auto"/>
                <w:left w:val="none" w:sz="0" w:space="0" w:color="auto"/>
                <w:bottom w:val="none" w:sz="0" w:space="0" w:color="auto"/>
                <w:right w:val="none" w:sz="0" w:space="0" w:color="auto"/>
              </w:divBdr>
              <w:divsChild>
                <w:div w:id="4872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341976">
      <w:bodyDiv w:val="1"/>
      <w:marLeft w:val="0"/>
      <w:marRight w:val="0"/>
      <w:marTop w:val="0"/>
      <w:marBottom w:val="0"/>
      <w:divBdr>
        <w:top w:val="none" w:sz="0" w:space="0" w:color="auto"/>
        <w:left w:val="none" w:sz="0" w:space="0" w:color="auto"/>
        <w:bottom w:val="none" w:sz="0" w:space="0" w:color="auto"/>
        <w:right w:val="none" w:sz="0" w:space="0" w:color="auto"/>
      </w:divBdr>
      <w:divsChild>
        <w:div w:id="898785266">
          <w:marLeft w:val="0"/>
          <w:marRight w:val="0"/>
          <w:marTop w:val="0"/>
          <w:marBottom w:val="0"/>
          <w:divBdr>
            <w:top w:val="none" w:sz="0" w:space="0" w:color="auto"/>
            <w:left w:val="none" w:sz="0" w:space="0" w:color="auto"/>
            <w:bottom w:val="none" w:sz="0" w:space="0" w:color="auto"/>
            <w:right w:val="none" w:sz="0" w:space="0" w:color="auto"/>
          </w:divBdr>
          <w:divsChild>
            <w:div w:id="263344235">
              <w:marLeft w:val="0"/>
              <w:marRight w:val="0"/>
              <w:marTop w:val="0"/>
              <w:marBottom w:val="0"/>
              <w:divBdr>
                <w:top w:val="none" w:sz="0" w:space="0" w:color="auto"/>
                <w:left w:val="none" w:sz="0" w:space="0" w:color="auto"/>
                <w:bottom w:val="none" w:sz="0" w:space="0" w:color="auto"/>
                <w:right w:val="none" w:sz="0" w:space="0" w:color="auto"/>
              </w:divBdr>
              <w:divsChild>
                <w:div w:id="78604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288143">
      <w:bodyDiv w:val="1"/>
      <w:marLeft w:val="0"/>
      <w:marRight w:val="0"/>
      <w:marTop w:val="0"/>
      <w:marBottom w:val="0"/>
      <w:divBdr>
        <w:top w:val="none" w:sz="0" w:space="0" w:color="auto"/>
        <w:left w:val="none" w:sz="0" w:space="0" w:color="auto"/>
        <w:bottom w:val="none" w:sz="0" w:space="0" w:color="auto"/>
        <w:right w:val="none" w:sz="0" w:space="0" w:color="auto"/>
      </w:divBdr>
      <w:divsChild>
        <w:div w:id="1585185325">
          <w:marLeft w:val="0"/>
          <w:marRight w:val="0"/>
          <w:marTop w:val="0"/>
          <w:marBottom w:val="0"/>
          <w:divBdr>
            <w:top w:val="none" w:sz="0" w:space="0" w:color="auto"/>
            <w:left w:val="none" w:sz="0" w:space="0" w:color="auto"/>
            <w:bottom w:val="none" w:sz="0" w:space="0" w:color="auto"/>
            <w:right w:val="none" w:sz="0" w:space="0" w:color="auto"/>
          </w:divBdr>
          <w:divsChild>
            <w:div w:id="1875849372">
              <w:marLeft w:val="0"/>
              <w:marRight w:val="0"/>
              <w:marTop w:val="0"/>
              <w:marBottom w:val="0"/>
              <w:divBdr>
                <w:top w:val="none" w:sz="0" w:space="0" w:color="auto"/>
                <w:left w:val="none" w:sz="0" w:space="0" w:color="auto"/>
                <w:bottom w:val="none" w:sz="0" w:space="0" w:color="auto"/>
                <w:right w:val="none" w:sz="0" w:space="0" w:color="auto"/>
              </w:divBdr>
              <w:divsChild>
                <w:div w:id="101942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611175">
      <w:bodyDiv w:val="1"/>
      <w:marLeft w:val="0"/>
      <w:marRight w:val="0"/>
      <w:marTop w:val="0"/>
      <w:marBottom w:val="0"/>
      <w:divBdr>
        <w:top w:val="none" w:sz="0" w:space="0" w:color="auto"/>
        <w:left w:val="none" w:sz="0" w:space="0" w:color="auto"/>
        <w:bottom w:val="none" w:sz="0" w:space="0" w:color="auto"/>
        <w:right w:val="none" w:sz="0" w:space="0" w:color="auto"/>
      </w:divBdr>
      <w:divsChild>
        <w:div w:id="1946375440">
          <w:marLeft w:val="0"/>
          <w:marRight w:val="0"/>
          <w:marTop w:val="0"/>
          <w:marBottom w:val="0"/>
          <w:divBdr>
            <w:top w:val="none" w:sz="0" w:space="0" w:color="auto"/>
            <w:left w:val="none" w:sz="0" w:space="0" w:color="auto"/>
            <w:bottom w:val="none" w:sz="0" w:space="0" w:color="auto"/>
            <w:right w:val="none" w:sz="0" w:space="0" w:color="auto"/>
          </w:divBdr>
          <w:divsChild>
            <w:div w:id="1650401332">
              <w:marLeft w:val="0"/>
              <w:marRight w:val="0"/>
              <w:marTop w:val="0"/>
              <w:marBottom w:val="0"/>
              <w:divBdr>
                <w:top w:val="none" w:sz="0" w:space="0" w:color="auto"/>
                <w:left w:val="none" w:sz="0" w:space="0" w:color="auto"/>
                <w:bottom w:val="none" w:sz="0" w:space="0" w:color="auto"/>
                <w:right w:val="none" w:sz="0" w:space="0" w:color="auto"/>
              </w:divBdr>
              <w:divsChild>
                <w:div w:id="153179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158166">
      <w:bodyDiv w:val="1"/>
      <w:marLeft w:val="0"/>
      <w:marRight w:val="0"/>
      <w:marTop w:val="0"/>
      <w:marBottom w:val="0"/>
      <w:divBdr>
        <w:top w:val="none" w:sz="0" w:space="0" w:color="auto"/>
        <w:left w:val="none" w:sz="0" w:space="0" w:color="auto"/>
        <w:bottom w:val="none" w:sz="0" w:space="0" w:color="auto"/>
        <w:right w:val="none" w:sz="0" w:space="0" w:color="auto"/>
      </w:divBdr>
      <w:divsChild>
        <w:div w:id="1773353187">
          <w:marLeft w:val="0"/>
          <w:marRight w:val="0"/>
          <w:marTop w:val="0"/>
          <w:marBottom w:val="0"/>
          <w:divBdr>
            <w:top w:val="none" w:sz="0" w:space="0" w:color="auto"/>
            <w:left w:val="none" w:sz="0" w:space="0" w:color="auto"/>
            <w:bottom w:val="none" w:sz="0" w:space="0" w:color="auto"/>
            <w:right w:val="none" w:sz="0" w:space="0" w:color="auto"/>
          </w:divBdr>
          <w:divsChild>
            <w:div w:id="1277061460">
              <w:marLeft w:val="0"/>
              <w:marRight w:val="0"/>
              <w:marTop w:val="0"/>
              <w:marBottom w:val="0"/>
              <w:divBdr>
                <w:top w:val="none" w:sz="0" w:space="0" w:color="auto"/>
                <w:left w:val="none" w:sz="0" w:space="0" w:color="auto"/>
                <w:bottom w:val="none" w:sz="0" w:space="0" w:color="auto"/>
                <w:right w:val="none" w:sz="0" w:space="0" w:color="auto"/>
              </w:divBdr>
              <w:divsChild>
                <w:div w:id="114107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22597">
      <w:bodyDiv w:val="1"/>
      <w:marLeft w:val="0"/>
      <w:marRight w:val="0"/>
      <w:marTop w:val="0"/>
      <w:marBottom w:val="0"/>
      <w:divBdr>
        <w:top w:val="none" w:sz="0" w:space="0" w:color="auto"/>
        <w:left w:val="none" w:sz="0" w:space="0" w:color="auto"/>
        <w:bottom w:val="none" w:sz="0" w:space="0" w:color="auto"/>
        <w:right w:val="none" w:sz="0" w:space="0" w:color="auto"/>
      </w:divBdr>
      <w:divsChild>
        <w:div w:id="1253927212">
          <w:marLeft w:val="0"/>
          <w:marRight w:val="0"/>
          <w:marTop w:val="0"/>
          <w:marBottom w:val="0"/>
          <w:divBdr>
            <w:top w:val="none" w:sz="0" w:space="0" w:color="auto"/>
            <w:left w:val="none" w:sz="0" w:space="0" w:color="auto"/>
            <w:bottom w:val="none" w:sz="0" w:space="0" w:color="auto"/>
            <w:right w:val="none" w:sz="0" w:space="0" w:color="auto"/>
          </w:divBdr>
          <w:divsChild>
            <w:div w:id="1463228379">
              <w:marLeft w:val="0"/>
              <w:marRight w:val="0"/>
              <w:marTop w:val="0"/>
              <w:marBottom w:val="0"/>
              <w:divBdr>
                <w:top w:val="none" w:sz="0" w:space="0" w:color="auto"/>
                <w:left w:val="none" w:sz="0" w:space="0" w:color="auto"/>
                <w:bottom w:val="none" w:sz="0" w:space="0" w:color="auto"/>
                <w:right w:val="none" w:sz="0" w:space="0" w:color="auto"/>
              </w:divBdr>
              <w:divsChild>
                <w:div w:id="79364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115561">
      <w:bodyDiv w:val="1"/>
      <w:marLeft w:val="0"/>
      <w:marRight w:val="0"/>
      <w:marTop w:val="0"/>
      <w:marBottom w:val="0"/>
      <w:divBdr>
        <w:top w:val="none" w:sz="0" w:space="0" w:color="auto"/>
        <w:left w:val="none" w:sz="0" w:space="0" w:color="auto"/>
        <w:bottom w:val="none" w:sz="0" w:space="0" w:color="auto"/>
        <w:right w:val="none" w:sz="0" w:space="0" w:color="auto"/>
      </w:divBdr>
      <w:divsChild>
        <w:div w:id="184639828">
          <w:marLeft w:val="0"/>
          <w:marRight w:val="0"/>
          <w:marTop w:val="0"/>
          <w:marBottom w:val="0"/>
          <w:divBdr>
            <w:top w:val="none" w:sz="0" w:space="0" w:color="auto"/>
            <w:left w:val="none" w:sz="0" w:space="0" w:color="auto"/>
            <w:bottom w:val="none" w:sz="0" w:space="0" w:color="auto"/>
            <w:right w:val="none" w:sz="0" w:space="0" w:color="auto"/>
          </w:divBdr>
          <w:divsChild>
            <w:div w:id="2044597069">
              <w:marLeft w:val="0"/>
              <w:marRight w:val="0"/>
              <w:marTop w:val="0"/>
              <w:marBottom w:val="0"/>
              <w:divBdr>
                <w:top w:val="none" w:sz="0" w:space="0" w:color="auto"/>
                <w:left w:val="none" w:sz="0" w:space="0" w:color="auto"/>
                <w:bottom w:val="none" w:sz="0" w:space="0" w:color="auto"/>
                <w:right w:val="none" w:sz="0" w:space="0" w:color="auto"/>
              </w:divBdr>
              <w:divsChild>
                <w:div w:id="1832678771">
                  <w:marLeft w:val="0"/>
                  <w:marRight w:val="0"/>
                  <w:marTop w:val="0"/>
                  <w:marBottom w:val="0"/>
                  <w:divBdr>
                    <w:top w:val="none" w:sz="0" w:space="0" w:color="auto"/>
                    <w:left w:val="none" w:sz="0" w:space="0" w:color="auto"/>
                    <w:bottom w:val="none" w:sz="0" w:space="0" w:color="auto"/>
                    <w:right w:val="none" w:sz="0" w:space="0" w:color="auto"/>
                  </w:divBdr>
                  <w:divsChild>
                    <w:div w:id="181760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963301">
      <w:bodyDiv w:val="1"/>
      <w:marLeft w:val="0"/>
      <w:marRight w:val="0"/>
      <w:marTop w:val="0"/>
      <w:marBottom w:val="0"/>
      <w:divBdr>
        <w:top w:val="none" w:sz="0" w:space="0" w:color="auto"/>
        <w:left w:val="none" w:sz="0" w:space="0" w:color="auto"/>
        <w:bottom w:val="none" w:sz="0" w:space="0" w:color="auto"/>
        <w:right w:val="none" w:sz="0" w:space="0" w:color="auto"/>
      </w:divBdr>
      <w:divsChild>
        <w:div w:id="1300914282">
          <w:marLeft w:val="0"/>
          <w:marRight w:val="0"/>
          <w:marTop w:val="0"/>
          <w:marBottom w:val="0"/>
          <w:divBdr>
            <w:top w:val="none" w:sz="0" w:space="0" w:color="auto"/>
            <w:left w:val="none" w:sz="0" w:space="0" w:color="auto"/>
            <w:bottom w:val="none" w:sz="0" w:space="0" w:color="auto"/>
            <w:right w:val="none" w:sz="0" w:space="0" w:color="auto"/>
          </w:divBdr>
          <w:divsChild>
            <w:div w:id="639462029">
              <w:marLeft w:val="0"/>
              <w:marRight w:val="0"/>
              <w:marTop w:val="0"/>
              <w:marBottom w:val="0"/>
              <w:divBdr>
                <w:top w:val="none" w:sz="0" w:space="0" w:color="auto"/>
                <w:left w:val="none" w:sz="0" w:space="0" w:color="auto"/>
                <w:bottom w:val="none" w:sz="0" w:space="0" w:color="auto"/>
                <w:right w:val="none" w:sz="0" w:space="0" w:color="auto"/>
              </w:divBdr>
              <w:divsChild>
                <w:div w:id="193227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284892">
      <w:bodyDiv w:val="1"/>
      <w:marLeft w:val="0"/>
      <w:marRight w:val="0"/>
      <w:marTop w:val="0"/>
      <w:marBottom w:val="0"/>
      <w:divBdr>
        <w:top w:val="none" w:sz="0" w:space="0" w:color="auto"/>
        <w:left w:val="none" w:sz="0" w:space="0" w:color="auto"/>
        <w:bottom w:val="none" w:sz="0" w:space="0" w:color="auto"/>
        <w:right w:val="none" w:sz="0" w:space="0" w:color="auto"/>
      </w:divBdr>
      <w:divsChild>
        <w:div w:id="522325603">
          <w:marLeft w:val="0"/>
          <w:marRight w:val="0"/>
          <w:marTop w:val="0"/>
          <w:marBottom w:val="0"/>
          <w:divBdr>
            <w:top w:val="none" w:sz="0" w:space="0" w:color="auto"/>
            <w:left w:val="none" w:sz="0" w:space="0" w:color="auto"/>
            <w:bottom w:val="none" w:sz="0" w:space="0" w:color="auto"/>
            <w:right w:val="none" w:sz="0" w:space="0" w:color="auto"/>
          </w:divBdr>
          <w:divsChild>
            <w:div w:id="1066223568">
              <w:marLeft w:val="0"/>
              <w:marRight w:val="0"/>
              <w:marTop w:val="0"/>
              <w:marBottom w:val="0"/>
              <w:divBdr>
                <w:top w:val="none" w:sz="0" w:space="0" w:color="auto"/>
                <w:left w:val="none" w:sz="0" w:space="0" w:color="auto"/>
                <w:bottom w:val="none" w:sz="0" w:space="0" w:color="auto"/>
                <w:right w:val="none" w:sz="0" w:space="0" w:color="auto"/>
              </w:divBdr>
              <w:divsChild>
                <w:div w:id="150690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710081">
      <w:bodyDiv w:val="1"/>
      <w:marLeft w:val="0"/>
      <w:marRight w:val="0"/>
      <w:marTop w:val="0"/>
      <w:marBottom w:val="0"/>
      <w:divBdr>
        <w:top w:val="none" w:sz="0" w:space="0" w:color="auto"/>
        <w:left w:val="none" w:sz="0" w:space="0" w:color="auto"/>
        <w:bottom w:val="none" w:sz="0" w:space="0" w:color="auto"/>
        <w:right w:val="none" w:sz="0" w:space="0" w:color="auto"/>
      </w:divBdr>
      <w:divsChild>
        <w:div w:id="1181820350">
          <w:marLeft w:val="0"/>
          <w:marRight w:val="0"/>
          <w:marTop w:val="0"/>
          <w:marBottom w:val="0"/>
          <w:divBdr>
            <w:top w:val="none" w:sz="0" w:space="0" w:color="auto"/>
            <w:left w:val="none" w:sz="0" w:space="0" w:color="auto"/>
            <w:bottom w:val="none" w:sz="0" w:space="0" w:color="auto"/>
            <w:right w:val="none" w:sz="0" w:space="0" w:color="auto"/>
          </w:divBdr>
          <w:divsChild>
            <w:div w:id="850296519">
              <w:marLeft w:val="0"/>
              <w:marRight w:val="0"/>
              <w:marTop w:val="0"/>
              <w:marBottom w:val="0"/>
              <w:divBdr>
                <w:top w:val="none" w:sz="0" w:space="0" w:color="auto"/>
                <w:left w:val="none" w:sz="0" w:space="0" w:color="auto"/>
                <w:bottom w:val="none" w:sz="0" w:space="0" w:color="auto"/>
                <w:right w:val="none" w:sz="0" w:space="0" w:color="auto"/>
              </w:divBdr>
              <w:divsChild>
                <w:div w:id="25914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618330">
      <w:bodyDiv w:val="1"/>
      <w:marLeft w:val="0"/>
      <w:marRight w:val="0"/>
      <w:marTop w:val="0"/>
      <w:marBottom w:val="0"/>
      <w:divBdr>
        <w:top w:val="none" w:sz="0" w:space="0" w:color="auto"/>
        <w:left w:val="none" w:sz="0" w:space="0" w:color="auto"/>
        <w:bottom w:val="none" w:sz="0" w:space="0" w:color="auto"/>
        <w:right w:val="none" w:sz="0" w:space="0" w:color="auto"/>
      </w:divBdr>
      <w:divsChild>
        <w:div w:id="30691777">
          <w:marLeft w:val="0"/>
          <w:marRight w:val="0"/>
          <w:marTop w:val="0"/>
          <w:marBottom w:val="0"/>
          <w:divBdr>
            <w:top w:val="none" w:sz="0" w:space="0" w:color="auto"/>
            <w:left w:val="none" w:sz="0" w:space="0" w:color="auto"/>
            <w:bottom w:val="none" w:sz="0" w:space="0" w:color="auto"/>
            <w:right w:val="none" w:sz="0" w:space="0" w:color="auto"/>
          </w:divBdr>
          <w:divsChild>
            <w:div w:id="95249578">
              <w:marLeft w:val="0"/>
              <w:marRight w:val="0"/>
              <w:marTop w:val="0"/>
              <w:marBottom w:val="0"/>
              <w:divBdr>
                <w:top w:val="none" w:sz="0" w:space="0" w:color="auto"/>
                <w:left w:val="none" w:sz="0" w:space="0" w:color="auto"/>
                <w:bottom w:val="none" w:sz="0" w:space="0" w:color="auto"/>
                <w:right w:val="none" w:sz="0" w:space="0" w:color="auto"/>
              </w:divBdr>
              <w:divsChild>
                <w:div w:id="40418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094891">
      <w:bodyDiv w:val="1"/>
      <w:marLeft w:val="0"/>
      <w:marRight w:val="0"/>
      <w:marTop w:val="0"/>
      <w:marBottom w:val="0"/>
      <w:divBdr>
        <w:top w:val="none" w:sz="0" w:space="0" w:color="auto"/>
        <w:left w:val="none" w:sz="0" w:space="0" w:color="auto"/>
        <w:bottom w:val="none" w:sz="0" w:space="0" w:color="auto"/>
        <w:right w:val="none" w:sz="0" w:space="0" w:color="auto"/>
      </w:divBdr>
      <w:divsChild>
        <w:div w:id="1221668246">
          <w:marLeft w:val="0"/>
          <w:marRight w:val="0"/>
          <w:marTop w:val="0"/>
          <w:marBottom w:val="0"/>
          <w:divBdr>
            <w:top w:val="none" w:sz="0" w:space="0" w:color="auto"/>
            <w:left w:val="none" w:sz="0" w:space="0" w:color="auto"/>
            <w:bottom w:val="none" w:sz="0" w:space="0" w:color="auto"/>
            <w:right w:val="none" w:sz="0" w:space="0" w:color="auto"/>
          </w:divBdr>
          <w:divsChild>
            <w:div w:id="170721495">
              <w:marLeft w:val="0"/>
              <w:marRight w:val="0"/>
              <w:marTop w:val="0"/>
              <w:marBottom w:val="0"/>
              <w:divBdr>
                <w:top w:val="none" w:sz="0" w:space="0" w:color="auto"/>
                <w:left w:val="none" w:sz="0" w:space="0" w:color="auto"/>
                <w:bottom w:val="none" w:sz="0" w:space="0" w:color="auto"/>
                <w:right w:val="none" w:sz="0" w:space="0" w:color="auto"/>
              </w:divBdr>
              <w:divsChild>
                <w:div w:id="105081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976079">
      <w:bodyDiv w:val="1"/>
      <w:marLeft w:val="0"/>
      <w:marRight w:val="0"/>
      <w:marTop w:val="0"/>
      <w:marBottom w:val="0"/>
      <w:divBdr>
        <w:top w:val="none" w:sz="0" w:space="0" w:color="auto"/>
        <w:left w:val="none" w:sz="0" w:space="0" w:color="auto"/>
        <w:bottom w:val="none" w:sz="0" w:space="0" w:color="auto"/>
        <w:right w:val="none" w:sz="0" w:space="0" w:color="auto"/>
      </w:divBdr>
      <w:divsChild>
        <w:div w:id="1614093971">
          <w:marLeft w:val="0"/>
          <w:marRight w:val="0"/>
          <w:marTop w:val="0"/>
          <w:marBottom w:val="0"/>
          <w:divBdr>
            <w:top w:val="none" w:sz="0" w:space="0" w:color="auto"/>
            <w:left w:val="none" w:sz="0" w:space="0" w:color="auto"/>
            <w:bottom w:val="none" w:sz="0" w:space="0" w:color="auto"/>
            <w:right w:val="none" w:sz="0" w:space="0" w:color="auto"/>
          </w:divBdr>
          <w:divsChild>
            <w:div w:id="77604052">
              <w:marLeft w:val="0"/>
              <w:marRight w:val="0"/>
              <w:marTop w:val="0"/>
              <w:marBottom w:val="0"/>
              <w:divBdr>
                <w:top w:val="none" w:sz="0" w:space="0" w:color="auto"/>
                <w:left w:val="none" w:sz="0" w:space="0" w:color="auto"/>
                <w:bottom w:val="none" w:sz="0" w:space="0" w:color="auto"/>
                <w:right w:val="none" w:sz="0" w:space="0" w:color="auto"/>
              </w:divBdr>
              <w:divsChild>
                <w:div w:id="188370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534126">
      <w:bodyDiv w:val="1"/>
      <w:marLeft w:val="0"/>
      <w:marRight w:val="0"/>
      <w:marTop w:val="0"/>
      <w:marBottom w:val="0"/>
      <w:divBdr>
        <w:top w:val="none" w:sz="0" w:space="0" w:color="auto"/>
        <w:left w:val="none" w:sz="0" w:space="0" w:color="auto"/>
        <w:bottom w:val="none" w:sz="0" w:space="0" w:color="auto"/>
        <w:right w:val="none" w:sz="0" w:space="0" w:color="auto"/>
      </w:divBdr>
      <w:divsChild>
        <w:div w:id="1107430787">
          <w:marLeft w:val="0"/>
          <w:marRight w:val="0"/>
          <w:marTop w:val="0"/>
          <w:marBottom w:val="0"/>
          <w:divBdr>
            <w:top w:val="none" w:sz="0" w:space="0" w:color="auto"/>
            <w:left w:val="none" w:sz="0" w:space="0" w:color="auto"/>
            <w:bottom w:val="none" w:sz="0" w:space="0" w:color="auto"/>
            <w:right w:val="none" w:sz="0" w:space="0" w:color="auto"/>
          </w:divBdr>
          <w:divsChild>
            <w:div w:id="1744527625">
              <w:marLeft w:val="0"/>
              <w:marRight w:val="0"/>
              <w:marTop w:val="0"/>
              <w:marBottom w:val="0"/>
              <w:divBdr>
                <w:top w:val="none" w:sz="0" w:space="0" w:color="auto"/>
                <w:left w:val="none" w:sz="0" w:space="0" w:color="auto"/>
                <w:bottom w:val="none" w:sz="0" w:space="0" w:color="auto"/>
                <w:right w:val="none" w:sz="0" w:space="0" w:color="auto"/>
              </w:divBdr>
              <w:divsChild>
                <w:div w:id="370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97602">
      <w:bodyDiv w:val="1"/>
      <w:marLeft w:val="0"/>
      <w:marRight w:val="0"/>
      <w:marTop w:val="0"/>
      <w:marBottom w:val="0"/>
      <w:divBdr>
        <w:top w:val="none" w:sz="0" w:space="0" w:color="auto"/>
        <w:left w:val="none" w:sz="0" w:space="0" w:color="auto"/>
        <w:bottom w:val="none" w:sz="0" w:space="0" w:color="auto"/>
        <w:right w:val="none" w:sz="0" w:space="0" w:color="auto"/>
      </w:divBdr>
    </w:div>
    <w:div w:id="2025085559">
      <w:bodyDiv w:val="1"/>
      <w:marLeft w:val="0"/>
      <w:marRight w:val="0"/>
      <w:marTop w:val="0"/>
      <w:marBottom w:val="0"/>
      <w:divBdr>
        <w:top w:val="none" w:sz="0" w:space="0" w:color="auto"/>
        <w:left w:val="none" w:sz="0" w:space="0" w:color="auto"/>
        <w:bottom w:val="none" w:sz="0" w:space="0" w:color="auto"/>
        <w:right w:val="none" w:sz="0" w:space="0" w:color="auto"/>
      </w:divBdr>
      <w:divsChild>
        <w:div w:id="1290162702">
          <w:marLeft w:val="0"/>
          <w:marRight w:val="0"/>
          <w:marTop w:val="0"/>
          <w:marBottom w:val="0"/>
          <w:divBdr>
            <w:top w:val="none" w:sz="0" w:space="0" w:color="auto"/>
            <w:left w:val="none" w:sz="0" w:space="0" w:color="auto"/>
            <w:bottom w:val="none" w:sz="0" w:space="0" w:color="auto"/>
            <w:right w:val="none" w:sz="0" w:space="0" w:color="auto"/>
          </w:divBdr>
          <w:divsChild>
            <w:div w:id="1564947188">
              <w:marLeft w:val="0"/>
              <w:marRight w:val="0"/>
              <w:marTop w:val="0"/>
              <w:marBottom w:val="0"/>
              <w:divBdr>
                <w:top w:val="none" w:sz="0" w:space="0" w:color="auto"/>
                <w:left w:val="none" w:sz="0" w:space="0" w:color="auto"/>
                <w:bottom w:val="none" w:sz="0" w:space="0" w:color="auto"/>
                <w:right w:val="none" w:sz="0" w:space="0" w:color="auto"/>
              </w:divBdr>
              <w:divsChild>
                <w:div w:id="9125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523721">
      <w:bodyDiv w:val="1"/>
      <w:marLeft w:val="0"/>
      <w:marRight w:val="0"/>
      <w:marTop w:val="0"/>
      <w:marBottom w:val="0"/>
      <w:divBdr>
        <w:top w:val="none" w:sz="0" w:space="0" w:color="auto"/>
        <w:left w:val="none" w:sz="0" w:space="0" w:color="auto"/>
        <w:bottom w:val="none" w:sz="0" w:space="0" w:color="auto"/>
        <w:right w:val="none" w:sz="0" w:space="0" w:color="auto"/>
      </w:divBdr>
      <w:divsChild>
        <w:div w:id="1827165914">
          <w:marLeft w:val="0"/>
          <w:marRight w:val="0"/>
          <w:marTop w:val="0"/>
          <w:marBottom w:val="0"/>
          <w:divBdr>
            <w:top w:val="none" w:sz="0" w:space="0" w:color="auto"/>
            <w:left w:val="none" w:sz="0" w:space="0" w:color="auto"/>
            <w:bottom w:val="none" w:sz="0" w:space="0" w:color="auto"/>
            <w:right w:val="none" w:sz="0" w:space="0" w:color="auto"/>
          </w:divBdr>
          <w:divsChild>
            <w:div w:id="1780635840">
              <w:marLeft w:val="0"/>
              <w:marRight w:val="0"/>
              <w:marTop w:val="0"/>
              <w:marBottom w:val="0"/>
              <w:divBdr>
                <w:top w:val="none" w:sz="0" w:space="0" w:color="auto"/>
                <w:left w:val="none" w:sz="0" w:space="0" w:color="auto"/>
                <w:bottom w:val="none" w:sz="0" w:space="0" w:color="auto"/>
                <w:right w:val="none" w:sz="0" w:space="0" w:color="auto"/>
              </w:divBdr>
              <w:divsChild>
                <w:div w:id="125135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359025">
      <w:bodyDiv w:val="1"/>
      <w:marLeft w:val="0"/>
      <w:marRight w:val="0"/>
      <w:marTop w:val="0"/>
      <w:marBottom w:val="0"/>
      <w:divBdr>
        <w:top w:val="none" w:sz="0" w:space="0" w:color="auto"/>
        <w:left w:val="none" w:sz="0" w:space="0" w:color="auto"/>
        <w:bottom w:val="none" w:sz="0" w:space="0" w:color="auto"/>
        <w:right w:val="none" w:sz="0" w:space="0" w:color="auto"/>
      </w:divBdr>
      <w:divsChild>
        <w:div w:id="1644626540">
          <w:marLeft w:val="0"/>
          <w:marRight w:val="0"/>
          <w:marTop w:val="0"/>
          <w:marBottom w:val="0"/>
          <w:divBdr>
            <w:top w:val="none" w:sz="0" w:space="0" w:color="auto"/>
            <w:left w:val="none" w:sz="0" w:space="0" w:color="auto"/>
            <w:bottom w:val="none" w:sz="0" w:space="0" w:color="auto"/>
            <w:right w:val="none" w:sz="0" w:space="0" w:color="auto"/>
          </w:divBdr>
          <w:divsChild>
            <w:div w:id="1880511113">
              <w:marLeft w:val="0"/>
              <w:marRight w:val="0"/>
              <w:marTop w:val="0"/>
              <w:marBottom w:val="0"/>
              <w:divBdr>
                <w:top w:val="none" w:sz="0" w:space="0" w:color="auto"/>
                <w:left w:val="none" w:sz="0" w:space="0" w:color="auto"/>
                <w:bottom w:val="none" w:sz="0" w:space="0" w:color="auto"/>
                <w:right w:val="none" w:sz="0" w:space="0" w:color="auto"/>
              </w:divBdr>
              <w:divsChild>
                <w:div w:id="15768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778676">
          <w:marLeft w:val="0"/>
          <w:marRight w:val="0"/>
          <w:marTop w:val="0"/>
          <w:marBottom w:val="0"/>
          <w:divBdr>
            <w:top w:val="none" w:sz="0" w:space="0" w:color="auto"/>
            <w:left w:val="none" w:sz="0" w:space="0" w:color="auto"/>
            <w:bottom w:val="none" w:sz="0" w:space="0" w:color="auto"/>
            <w:right w:val="none" w:sz="0" w:space="0" w:color="auto"/>
          </w:divBdr>
          <w:divsChild>
            <w:div w:id="397823445">
              <w:marLeft w:val="0"/>
              <w:marRight w:val="0"/>
              <w:marTop w:val="0"/>
              <w:marBottom w:val="0"/>
              <w:divBdr>
                <w:top w:val="none" w:sz="0" w:space="0" w:color="auto"/>
                <w:left w:val="none" w:sz="0" w:space="0" w:color="auto"/>
                <w:bottom w:val="none" w:sz="0" w:space="0" w:color="auto"/>
                <w:right w:val="none" w:sz="0" w:space="0" w:color="auto"/>
              </w:divBdr>
              <w:divsChild>
                <w:div w:id="197559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147546">
      <w:bodyDiv w:val="1"/>
      <w:marLeft w:val="0"/>
      <w:marRight w:val="0"/>
      <w:marTop w:val="0"/>
      <w:marBottom w:val="0"/>
      <w:divBdr>
        <w:top w:val="none" w:sz="0" w:space="0" w:color="auto"/>
        <w:left w:val="none" w:sz="0" w:space="0" w:color="auto"/>
        <w:bottom w:val="none" w:sz="0" w:space="0" w:color="auto"/>
        <w:right w:val="none" w:sz="0" w:space="0" w:color="auto"/>
      </w:divBdr>
      <w:divsChild>
        <w:div w:id="1489055750">
          <w:marLeft w:val="0"/>
          <w:marRight w:val="0"/>
          <w:marTop w:val="0"/>
          <w:marBottom w:val="0"/>
          <w:divBdr>
            <w:top w:val="none" w:sz="0" w:space="0" w:color="auto"/>
            <w:left w:val="none" w:sz="0" w:space="0" w:color="auto"/>
            <w:bottom w:val="none" w:sz="0" w:space="0" w:color="auto"/>
            <w:right w:val="none" w:sz="0" w:space="0" w:color="auto"/>
          </w:divBdr>
          <w:divsChild>
            <w:div w:id="1216771556">
              <w:marLeft w:val="0"/>
              <w:marRight w:val="0"/>
              <w:marTop w:val="0"/>
              <w:marBottom w:val="0"/>
              <w:divBdr>
                <w:top w:val="none" w:sz="0" w:space="0" w:color="auto"/>
                <w:left w:val="none" w:sz="0" w:space="0" w:color="auto"/>
                <w:bottom w:val="none" w:sz="0" w:space="0" w:color="auto"/>
                <w:right w:val="none" w:sz="0" w:space="0" w:color="auto"/>
              </w:divBdr>
              <w:divsChild>
                <w:div w:id="200948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261621">
      <w:bodyDiv w:val="1"/>
      <w:marLeft w:val="0"/>
      <w:marRight w:val="0"/>
      <w:marTop w:val="0"/>
      <w:marBottom w:val="0"/>
      <w:divBdr>
        <w:top w:val="none" w:sz="0" w:space="0" w:color="auto"/>
        <w:left w:val="none" w:sz="0" w:space="0" w:color="auto"/>
        <w:bottom w:val="none" w:sz="0" w:space="0" w:color="auto"/>
        <w:right w:val="none" w:sz="0" w:space="0" w:color="auto"/>
      </w:divBdr>
      <w:divsChild>
        <w:div w:id="663821924">
          <w:marLeft w:val="0"/>
          <w:marRight w:val="0"/>
          <w:marTop w:val="0"/>
          <w:marBottom w:val="0"/>
          <w:divBdr>
            <w:top w:val="none" w:sz="0" w:space="0" w:color="auto"/>
            <w:left w:val="none" w:sz="0" w:space="0" w:color="auto"/>
            <w:bottom w:val="none" w:sz="0" w:space="0" w:color="auto"/>
            <w:right w:val="none" w:sz="0" w:space="0" w:color="auto"/>
          </w:divBdr>
          <w:divsChild>
            <w:div w:id="676200849">
              <w:marLeft w:val="0"/>
              <w:marRight w:val="0"/>
              <w:marTop w:val="0"/>
              <w:marBottom w:val="0"/>
              <w:divBdr>
                <w:top w:val="none" w:sz="0" w:space="0" w:color="auto"/>
                <w:left w:val="none" w:sz="0" w:space="0" w:color="auto"/>
                <w:bottom w:val="none" w:sz="0" w:space="0" w:color="auto"/>
                <w:right w:val="none" w:sz="0" w:space="0" w:color="auto"/>
              </w:divBdr>
              <w:divsChild>
                <w:div w:id="47619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061215">
      <w:bodyDiv w:val="1"/>
      <w:marLeft w:val="0"/>
      <w:marRight w:val="0"/>
      <w:marTop w:val="0"/>
      <w:marBottom w:val="0"/>
      <w:divBdr>
        <w:top w:val="none" w:sz="0" w:space="0" w:color="auto"/>
        <w:left w:val="none" w:sz="0" w:space="0" w:color="auto"/>
        <w:bottom w:val="none" w:sz="0" w:space="0" w:color="auto"/>
        <w:right w:val="none" w:sz="0" w:space="0" w:color="auto"/>
      </w:divBdr>
      <w:divsChild>
        <w:div w:id="859853389">
          <w:marLeft w:val="0"/>
          <w:marRight w:val="0"/>
          <w:marTop w:val="0"/>
          <w:marBottom w:val="0"/>
          <w:divBdr>
            <w:top w:val="none" w:sz="0" w:space="0" w:color="auto"/>
            <w:left w:val="none" w:sz="0" w:space="0" w:color="auto"/>
            <w:bottom w:val="none" w:sz="0" w:space="0" w:color="auto"/>
            <w:right w:val="none" w:sz="0" w:space="0" w:color="auto"/>
          </w:divBdr>
          <w:divsChild>
            <w:div w:id="1456831168">
              <w:marLeft w:val="0"/>
              <w:marRight w:val="0"/>
              <w:marTop w:val="0"/>
              <w:marBottom w:val="0"/>
              <w:divBdr>
                <w:top w:val="none" w:sz="0" w:space="0" w:color="auto"/>
                <w:left w:val="none" w:sz="0" w:space="0" w:color="auto"/>
                <w:bottom w:val="none" w:sz="0" w:space="0" w:color="auto"/>
                <w:right w:val="none" w:sz="0" w:space="0" w:color="auto"/>
              </w:divBdr>
              <w:divsChild>
                <w:div w:id="83908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073744">
      <w:bodyDiv w:val="1"/>
      <w:marLeft w:val="0"/>
      <w:marRight w:val="0"/>
      <w:marTop w:val="0"/>
      <w:marBottom w:val="0"/>
      <w:divBdr>
        <w:top w:val="none" w:sz="0" w:space="0" w:color="auto"/>
        <w:left w:val="none" w:sz="0" w:space="0" w:color="auto"/>
        <w:bottom w:val="none" w:sz="0" w:space="0" w:color="auto"/>
        <w:right w:val="none" w:sz="0" w:space="0" w:color="auto"/>
      </w:divBdr>
      <w:divsChild>
        <w:div w:id="1997340714">
          <w:marLeft w:val="0"/>
          <w:marRight w:val="0"/>
          <w:marTop w:val="0"/>
          <w:marBottom w:val="0"/>
          <w:divBdr>
            <w:top w:val="none" w:sz="0" w:space="0" w:color="auto"/>
            <w:left w:val="none" w:sz="0" w:space="0" w:color="auto"/>
            <w:bottom w:val="none" w:sz="0" w:space="0" w:color="auto"/>
            <w:right w:val="none" w:sz="0" w:space="0" w:color="auto"/>
          </w:divBdr>
          <w:divsChild>
            <w:div w:id="2147315149">
              <w:marLeft w:val="0"/>
              <w:marRight w:val="0"/>
              <w:marTop w:val="0"/>
              <w:marBottom w:val="0"/>
              <w:divBdr>
                <w:top w:val="none" w:sz="0" w:space="0" w:color="auto"/>
                <w:left w:val="none" w:sz="0" w:space="0" w:color="auto"/>
                <w:bottom w:val="none" w:sz="0" w:space="0" w:color="auto"/>
                <w:right w:val="none" w:sz="0" w:space="0" w:color="auto"/>
              </w:divBdr>
              <w:divsChild>
                <w:div w:id="153191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630527">
          <w:marLeft w:val="0"/>
          <w:marRight w:val="0"/>
          <w:marTop w:val="0"/>
          <w:marBottom w:val="0"/>
          <w:divBdr>
            <w:top w:val="none" w:sz="0" w:space="0" w:color="auto"/>
            <w:left w:val="none" w:sz="0" w:space="0" w:color="auto"/>
            <w:bottom w:val="none" w:sz="0" w:space="0" w:color="auto"/>
            <w:right w:val="none" w:sz="0" w:space="0" w:color="auto"/>
          </w:divBdr>
          <w:divsChild>
            <w:div w:id="515002038">
              <w:marLeft w:val="0"/>
              <w:marRight w:val="0"/>
              <w:marTop w:val="0"/>
              <w:marBottom w:val="0"/>
              <w:divBdr>
                <w:top w:val="none" w:sz="0" w:space="0" w:color="auto"/>
                <w:left w:val="none" w:sz="0" w:space="0" w:color="auto"/>
                <w:bottom w:val="none" w:sz="0" w:space="0" w:color="auto"/>
                <w:right w:val="none" w:sz="0" w:space="0" w:color="auto"/>
              </w:divBdr>
              <w:divsChild>
                <w:div w:id="111393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oi.org/10.1038/d41586-020-03606-5" TargetMode="Externa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footer" Target="footer1.xml"/><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36</Pages>
  <Words>11311</Words>
  <Characters>64474</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Fleurdepine</dc:creator>
  <cp:keywords/>
  <dc:description/>
  <cp:lastModifiedBy>Sophie Fleurdepine</cp:lastModifiedBy>
  <cp:revision>3</cp:revision>
  <dcterms:created xsi:type="dcterms:W3CDTF">2022-03-24T16:38:00Z</dcterms:created>
  <dcterms:modified xsi:type="dcterms:W3CDTF">2022-03-24T16:42:00Z</dcterms:modified>
</cp:coreProperties>
</file>