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5CCF7" w14:textId="77777777" w:rsidR="00463209" w:rsidRDefault="005E2E68" w:rsidP="00FF43D3">
      <w:pPr>
        <w:bidi w:val="0"/>
        <w:spacing w:line="480" w:lineRule="auto"/>
        <w:rPr>
          <w:b/>
          <w:bCs/>
          <w:sz w:val="32"/>
          <w:szCs w:val="32"/>
        </w:rPr>
      </w:pPr>
      <w:r w:rsidRPr="005E2E68">
        <w:rPr>
          <w:b/>
          <w:bCs/>
          <w:sz w:val="32"/>
          <w:szCs w:val="32"/>
        </w:rPr>
        <w:t xml:space="preserve">The traditions concerning Aaron, and their contributions to the understanding of </w:t>
      </w:r>
      <w:r w:rsidR="00A640BC">
        <w:rPr>
          <w:b/>
          <w:bCs/>
          <w:sz w:val="32"/>
          <w:szCs w:val="32"/>
        </w:rPr>
        <w:t>the changes in the status of the priesthood at the end of the Second Temple period and in the generations following the destruction of the Temple</w:t>
      </w:r>
    </w:p>
    <w:p w14:paraId="08B4F0A8" w14:textId="77777777" w:rsidR="00A640BC" w:rsidRDefault="00A640BC" w:rsidP="00A640BC">
      <w:pPr>
        <w:bidi w:val="0"/>
        <w:spacing w:line="480" w:lineRule="auto"/>
        <w:rPr>
          <w:b/>
          <w:bCs/>
          <w:sz w:val="32"/>
          <w:szCs w:val="32"/>
        </w:rPr>
      </w:pPr>
    </w:p>
    <w:p w14:paraId="2081171A" w14:textId="4768A6AF" w:rsidR="00A640BC" w:rsidRDefault="00A640BC" w:rsidP="00683844">
      <w:pPr>
        <w:bidi w:val="0"/>
        <w:spacing w:line="480" w:lineRule="auto"/>
      </w:pPr>
      <w:r>
        <w:rPr>
          <w:sz w:val="32"/>
          <w:szCs w:val="32"/>
        </w:rPr>
        <w:tab/>
      </w:r>
      <w:r w:rsidR="00686B50" w:rsidRPr="00FB0377">
        <w:t xml:space="preserve">A study of the </w:t>
      </w:r>
      <w:r w:rsidR="008E7784">
        <w:t xml:space="preserve">rabbinic </w:t>
      </w:r>
      <w:r w:rsidR="00686B50" w:rsidRPr="00FB0377">
        <w:t>aggadic midrash</w:t>
      </w:r>
      <w:r w:rsidR="003F3774">
        <w:t>im</w:t>
      </w:r>
      <w:r w:rsidR="00686B50" w:rsidRPr="00FB0377">
        <w:t xml:space="preserve"> concerning Aaron raises a major </w:t>
      </w:r>
      <w:r w:rsidR="000E217F">
        <w:t>question</w:t>
      </w:r>
      <w:r w:rsidR="00C37E2B">
        <w:t xml:space="preserve">, </w:t>
      </w:r>
      <w:r w:rsidR="00AD3A6C">
        <w:t>emerging</w:t>
      </w:r>
      <w:r w:rsidR="00C37E2B">
        <w:t xml:space="preserve"> from </w:t>
      </w:r>
      <w:r w:rsidR="000E217F">
        <w:t>t</w:t>
      </w:r>
      <w:r w:rsidR="000470AE" w:rsidRPr="00FB0377">
        <w:t xml:space="preserve">he content found in many of them. </w:t>
      </w:r>
      <w:r w:rsidR="003F3774">
        <w:t xml:space="preserve">The biblical Aaron, </w:t>
      </w:r>
      <w:r w:rsidR="008B6228">
        <w:t xml:space="preserve">having secured the role of patriarch of the high priesthood, represents ritual leadership, whose central task revolves around the service in the Temple, </w:t>
      </w:r>
      <w:r w:rsidR="005627B0">
        <w:t xml:space="preserve">sacrifices and atonement for the sins of the nation. In the extant rabbinic midrashim, there is hardly a trace of development or description of Aaron’s ritual role in the Temple and </w:t>
      </w:r>
      <w:r w:rsidR="00C37E2B">
        <w:t xml:space="preserve">in the sacrificial order. Instead, </w:t>
      </w:r>
      <w:r w:rsidR="006819FB">
        <w:t xml:space="preserve">the traditions depict Aaron’s unique qualities, his hierarchal </w:t>
      </w:r>
      <w:r w:rsidR="00E82BA9">
        <w:t xml:space="preserve">status relative to Moses, the special fraternal relationship between the two brothers and, of course, </w:t>
      </w:r>
      <w:r w:rsidR="00700E56">
        <w:t xml:space="preserve">deliberation as to the </w:t>
      </w:r>
      <w:r w:rsidR="00683844">
        <w:t>extent</w:t>
      </w:r>
      <w:r w:rsidR="00700E56">
        <w:t xml:space="preserve"> of his </w:t>
      </w:r>
      <w:r w:rsidR="00683844">
        <w:t>culpability</w:t>
      </w:r>
      <w:r w:rsidR="00700E56">
        <w:t xml:space="preserve"> </w:t>
      </w:r>
      <w:r w:rsidR="00683844">
        <w:t>for</w:t>
      </w:r>
      <w:r w:rsidR="00700E56">
        <w:t xml:space="preserve"> the sin of the Golden </w:t>
      </w:r>
      <w:commentRangeStart w:id="0"/>
      <w:r w:rsidR="00700E56">
        <w:t>Calf</w:t>
      </w:r>
      <w:commentRangeEnd w:id="0"/>
      <w:r w:rsidR="001A3C01">
        <w:rPr>
          <w:rStyle w:val="CommentReference"/>
        </w:rPr>
        <w:commentReference w:id="0"/>
      </w:r>
      <w:r w:rsidR="00700E56">
        <w:t>.</w:t>
      </w:r>
      <w:r w:rsidR="00700E56">
        <w:rPr>
          <w:rStyle w:val="FootnoteReference"/>
        </w:rPr>
        <w:footnoteReference w:id="1"/>
      </w:r>
      <w:r w:rsidR="00971D8C">
        <w:t xml:space="preserve"> </w:t>
      </w:r>
    </w:p>
    <w:p w14:paraId="13601185" w14:textId="6666DBAD" w:rsidR="00DA3947" w:rsidRDefault="00DA3947" w:rsidP="00E351B5">
      <w:pPr>
        <w:bidi w:val="0"/>
        <w:spacing w:line="480" w:lineRule="auto"/>
      </w:pPr>
      <w:r>
        <w:lastRenderedPageBreak/>
        <w:tab/>
      </w:r>
      <w:r w:rsidR="00683844">
        <w:t>The</w:t>
      </w:r>
      <w:r>
        <w:t xml:space="preserve"> conventional wisdom in scholarship </w:t>
      </w:r>
      <w:r w:rsidR="00683844">
        <w:t xml:space="preserve">is </w:t>
      </w:r>
      <w:r>
        <w:t xml:space="preserve">that </w:t>
      </w:r>
      <w:r w:rsidR="00BC6F46">
        <w:t>later biblical and post-biblical traditions dealing with the image of Aaron</w:t>
      </w:r>
      <w:r w:rsidR="008143C1">
        <w:t xml:space="preserve"> serve as a sort of seismograph for measuring the degree of support for</w:t>
      </w:r>
      <w:r w:rsidR="00683844">
        <w:t>,</w:t>
      </w:r>
      <w:r w:rsidR="008143C1">
        <w:t xml:space="preserve"> or opposition to</w:t>
      </w:r>
      <w:r w:rsidR="00683844">
        <w:t>,</w:t>
      </w:r>
      <w:r w:rsidR="008143C1">
        <w:t xml:space="preserve"> the status of priesthood </w:t>
      </w:r>
      <w:r w:rsidR="0013113D">
        <w:t xml:space="preserve">in </w:t>
      </w:r>
      <w:r w:rsidR="00683844">
        <w:t>a given</w:t>
      </w:r>
      <w:r w:rsidR="0013113D">
        <w:t xml:space="preserve"> era </w:t>
      </w:r>
      <w:r w:rsidR="008143C1">
        <w:t xml:space="preserve">on the </w:t>
      </w:r>
      <w:r w:rsidR="0013113D">
        <w:t>p</w:t>
      </w:r>
      <w:r w:rsidR="007C5531">
        <w:t>art of the</w:t>
      </w:r>
      <w:r w:rsidR="00683844">
        <w:t xml:space="preserve"> contemporary</w:t>
      </w:r>
      <w:r w:rsidR="007C5531">
        <w:t xml:space="preserve"> camp of writers.</w:t>
      </w:r>
      <w:r w:rsidR="007C5531">
        <w:rPr>
          <w:rStyle w:val="FootnoteReference"/>
        </w:rPr>
        <w:footnoteReference w:id="2"/>
      </w:r>
      <w:r w:rsidR="00FE7E64">
        <w:t xml:space="preserve"> </w:t>
      </w:r>
      <w:r w:rsidR="00D6651C">
        <w:t xml:space="preserve">Thus, for example, </w:t>
      </w:r>
      <w:r w:rsidR="003A4CCD">
        <w:t xml:space="preserve">while </w:t>
      </w:r>
      <w:r w:rsidR="00D6651C">
        <w:t xml:space="preserve">one can infer Ben </w:t>
      </w:r>
      <w:r w:rsidR="00FA283C">
        <w:t>Sira</w:t>
      </w:r>
      <w:r w:rsidR="00AC3104">
        <w:t>’s</w:t>
      </w:r>
      <w:r w:rsidR="00D6651C">
        <w:t xml:space="preserve"> admiration for Simon the Righteous, who was the High Priest in his day, </w:t>
      </w:r>
      <w:r w:rsidR="00C119A4">
        <w:t>from his direct discussion of Simon</w:t>
      </w:r>
      <w:r w:rsidR="003A4CCD">
        <w:t>;</w:t>
      </w:r>
      <w:r w:rsidR="00C119A4">
        <w:rPr>
          <w:rStyle w:val="FootnoteReference"/>
        </w:rPr>
        <w:footnoteReference w:id="3"/>
      </w:r>
      <w:r w:rsidR="000C5DA3">
        <w:t xml:space="preserve"> </w:t>
      </w:r>
      <w:r w:rsidR="00AC3104">
        <w:t xml:space="preserve">it is no less clear from place and space devoted to the image of Aaron in Ben </w:t>
      </w:r>
      <w:r w:rsidR="00FA283C">
        <w:t>Sira</w:t>
      </w:r>
      <w:r w:rsidR="00AC3104">
        <w:t xml:space="preserve">’s </w:t>
      </w:r>
      <w:r w:rsidR="00A350DF">
        <w:t>survey of the Patriarchs of the nation.</w:t>
      </w:r>
      <w:r w:rsidR="00A350DF">
        <w:rPr>
          <w:rStyle w:val="FootnoteReference"/>
        </w:rPr>
        <w:footnoteReference w:id="4"/>
      </w:r>
      <w:r w:rsidR="00AC3104">
        <w:t xml:space="preserve"> </w:t>
      </w:r>
      <w:r w:rsidR="003A4CCD">
        <w:t xml:space="preserve">Feldman </w:t>
      </w:r>
      <w:r w:rsidR="00506B18">
        <w:t>attributes</w:t>
      </w:r>
      <w:r w:rsidR="003A4CCD">
        <w:t xml:space="preserve"> </w:t>
      </w:r>
      <w:r w:rsidR="00A350DF">
        <w:t xml:space="preserve">Josephus’ </w:t>
      </w:r>
      <w:r w:rsidR="00485D26">
        <w:t xml:space="preserve">great fondness for the image of Aaron in his </w:t>
      </w:r>
      <w:r w:rsidR="00485D26" w:rsidRPr="00485D26">
        <w:rPr>
          <w:i/>
          <w:iCs/>
        </w:rPr>
        <w:t>Antiquities</w:t>
      </w:r>
      <w:r w:rsidR="00485D26">
        <w:rPr>
          <w:i/>
          <w:iCs/>
        </w:rPr>
        <w:t xml:space="preserve"> of the Jews</w:t>
      </w:r>
      <w:r w:rsidR="00EB5C25">
        <w:rPr>
          <w:rStyle w:val="FootnoteReference"/>
        </w:rPr>
        <w:footnoteReference w:id="5"/>
      </w:r>
      <w:r w:rsidR="003A4CCD">
        <w:t xml:space="preserve"> </w:t>
      </w:r>
      <w:r w:rsidR="00506B18">
        <w:t>to</w:t>
      </w:r>
      <w:r w:rsidR="00777530">
        <w:t xml:space="preserve"> Josephus’ own priestly </w:t>
      </w:r>
      <w:r w:rsidR="00A255A6">
        <w:t>extraction</w:t>
      </w:r>
      <w:r w:rsidR="00F03B4F">
        <w:t xml:space="preserve">, </w:t>
      </w:r>
      <w:r w:rsidR="00506B18">
        <w:t xml:space="preserve">in which he took great </w:t>
      </w:r>
      <w:r w:rsidR="00506B18">
        <w:lastRenderedPageBreak/>
        <w:t>pride</w:t>
      </w:r>
      <w:r w:rsidR="00F03B4F">
        <w:t>.</w:t>
      </w:r>
      <w:r w:rsidR="00F03B4F">
        <w:rPr>
          <w:rStyle w:val="FootnoteReference"/>
        </w:rPr>
        <w:footnoteReference w:id="6"/>
      </w:r>
      <w:r w:rsidR="00A255A6">
        <w:t xml:space="preserve"> </w:t>
      </w:r>
      <w:r w:rsidR="009C672F">
        <w:t xml:space="preserve">Feldman </w:t>
      </w:r>
      <w:r w:rsidR="00EC5F0F">
        <w:t>uses this to explain</w:t>
      </w:r>
      <w:r w:rsidR="00D40E6A">
        <w:t xml:space="preserve"> Josephus’ decision to omit </w:t>
      </w:r>
      <w:r w:rsidR="00EC5F0F">
        <w:t xml:space="preserve">the narratives concerning Aaron’s sins (the sin of the Golden Calf, his conversation with Miriam concerning the Kushite woman and the sin of </w:t>
      </w:r>
      <w:r w:rsidR="00EC5F0F" w:rsidRPr="00EC5F0F">
        <w:rPr>
          <w:i/>
          <w:iCs/>
        </w:rPr>
        <w:t>Mei Merivah</w:t>
      </w:r>
      <w:r w:rsidR="00506B18">
        <w:t xml:space="preserve"> [the water of contention]</w:t>
      </w:r>
      <w:r w:rsidR="00EC5F0F">
        <w:t xml:space="preserve">). </w:t>
      </w:r>
      <w:r w:rsidR="009832BA">
        <w:t>On the other hand</w:t>
      </w:r>
      <w:r w:rsidR="001E424B">
        <w:t xml:space="preserve">, Feldman explains </w:t>
      </w:r>
      <w:r w:rsidR="009832BA">
        <w:t xml:space="preserve">the </w:t>
      </w:r>
      <w:r w:rsidR="00B55AC3">
        <w:t xml:space="preserve">extreme minimizing of the scope of </w:t>
      </w:r>
      <w:r w:rsidR="00075FEE">
        <w:t xml:space="preserve">narratives concerning Aaron’s positive actions, as </w:t>
      </w:r>
      <w:r w:rsidR="00FA3BFE">
        <w:t xml:space="preserve">a consequence of his political perspective </w:t>
      </w:r>
      <w:r w:rsidR="00152710">
        <w:t>on autocratic rule without partners, as was accepted in the Greek and Roman cultures of his day.</w:t>
      </w:r>
      <w:r w:rsidR="00152710">
        <w:rPr>
          <w:rStyle w:val="FootnoteReference"/>
        </w:rPr>
        <w:footnoteReference w:id="7"/>
      </w:r>
      <w:r w:rsidR="00C83561">
        <w:t xml:space="preserve"> </w:t>
      </w:r>
      <w:r w:rsidR="000655C0">
        <w:t>Use of the designation ‘the sons of Aaron</w:t>
      </w:r>
      <w:r w:rsidR="00D73900">
        <w:t>’</w:t>
      </w:r>
      <w:r w:rsidR="000655C0">
        <w:t xml:space="preserve"> in the Qumran literature is explained by Hempel as </w:t>
      </w:r>
      <w:r w:rsidR="00720185">
        <w:t xml:space="preserve">pointing to the </w:t>
      </w:r>
      <w:r w:rsidR="000405D2">
        <w:t xml:space="preserve">transformation </w:t>
      </w:r>
      <w:r w:rsidR="00720185">
        <w:t xml:space="preserve">in </w:t>
      </w:r>
      <w:r w:rsidR="001E0633">
        <w:t xml:space="preserve">the </w:t>
      </w:r>
      <w:r w:rsidR="00720185">
        <w:t xml:space="preserve">role </w:t>
      </w:r>
      <w:r w:rsidR="00DA519E">
        <w:t xml:space="preserve">attributed to those </w:t>
      </w:r>
      <w:r w:rsidR="001E0633">
        <w:t>in the sect</w:t>
      </w:r>
      <w:r w:rsidR="001E0633">
        <w:t xml:space="preserve"> </w:t>
      </w:r>
      <w:r w:rsidR="00DA519E">
        <w:t>who were perceived as being replacements for the priests.</w:t>
      </w:r>
      <w:r w:rsidR="00DA519E">
        <w:rPr>
          <w:rStyle w:val="FootnoteReference"/>
        </w:rPr>
        <w:footnoteReference w:id="8"/>
      </w:r>
      <w:r w:rsidR="00203823">
        <w:t xml:space="preserve"> The role of ritual leadership which the </w:t>
      </w:r>
      <w:r w:rsidR="001A07B2">
        <w:t>descendants</w:t>
      </w:r>
      <w:r w:rsidR="00203823">
        <w:t xml:space="preserve"> of Aaron </w:t>
      </w:r>
      <w:r w:rsidR="001A07B2">
        <w:t xml:space="preserve">filled in the </w:t>
      </w:r>
      <w:r w:rsidR="001A07B2">
        <w:lastRenderedPageBreak/>
        <w:t xml:space="preserve">Temple was now taken over by </w:t>
      </w:r>
      <w:r w:rsidR="00D73900">
        <w:t xml:space="preserve">the new </w:t>
      </w:r>
      <w:r w:rsidR="001A07B2">
        <w:t xml:space="preserve">‘sons of Aaron’ (later to be replaced </w:t>
      </w:r>
      <w:r w:rsidR="001E0633">
        <w:t>by</w:t>
      </w:r>
      <w:r w:rsidR="001A07B2">
        <w:t xml:space="preserve"> the designation </w:t>
      </w:r>
      <w:r w:rsidR="00D73900">
        <w:t>‘</w:t>
      </w:r>
      <w:r w:rsidR="001A07B2">
        <w:t xml:space="preserve">sons of </w:t>
      </w:r>
      <w:r w:rsidR="00E303AF" w:rsidRPr="00E303AF">
        <w:rPr>
          <w:color w:val="000000"/>
        </w:rPr>
        <w:t>Tz</w:t>
      </w:r>
      <w:r w:rsidR="001A07B2" w:rsidRPr="00E303AF">
        <w:rPr>
          <w:color w:val="000000"/>
        </w:rPr>
        <w:t>addok</w:t>
      </w:r>
      <w:r w:rsidR="00D73900" w:rsidRPr="00E303AF">
        <w:rPr>
          <w:color w:val="000000"/>
        </w:rPr>
        <w:t>’</w:t>
      </w:r>
      <w:r w:rsidR="001A07B2">
        <w:t xml:space="preserve">) </w:t>
      </w:r>
      <w:r w:rsidR="006E16B6">
        <w:t>of the sect. Their messianic role in the end of</w:t>
      </w:r>
      <w:r w:rsidR="001A7EED">
        <w:t xml:space="preserve"> days is described this way, as well.</w:t>
      </w:r>
      <w:r w:rsidR="001A7EED">
        <w:rPr>
          <w:rStyle w:val="FootnoteReference"/>
        </w:rPr>
        <w:footnoteReference w:id="9"/>
      </w:r>
      <w:r w:rsidR="00BB28DD">
        <w:t xml:space="preserve"> </w:t>
      </w:r>
      <w:r w:rsidR="00041CFA">
        <w:t xml:space="preserve">The early </w:t>
      </w:r>
      <w:r w:rsidR="00D57707">
        <w:t xml:space="preserve">Christians’ opposition to the Temple and the priesthood </w:t>
      </w:r>
      <w:r w:rsidR="00365552">
        <w:t>is expressed</w:t>
      </w:r>
      <w:r w:rsidR="00E7234D">
        <w:t xml:space="preserve"> in many </w:t>
      </w:r>
      <w:r w:rsidR="00365552">
        <w:t>citations in the New Testament.</w:t>
      </w:r>
      <w:r w:rsidR="00365552">
        <w:rPr>
          <w:rStyle w:val="FootnoteReference"/>
        </w:rPr>
        <w:footnoteReference w:id="10"/>
      </w:r>
      <w:r w:rsidR="00B63D4A">
        <w:t xml:space="preserve"> </w:t>
      </w:r>
      <w:r w:rsidR="00AE3FF1">
        <w:t xml:space="preserve">Apparently, </w:t>
      </w:r>
      <w:r w:rsidR="00B63D4A">
        <w:t xml:space="preserve">the most explicit expression of this is found in the </w:t>
      </w:r>
      <w:r w:rsidR="00112CFD">
        <w:t xml:space="preserve">Epistle to the Hebrews, where it mentions the preference for the priesthood of </w:t>
      </w:r>
      <w:r w:rsidR="00112CFD" w:rsidRPr="00112CFD">
        <w:t>Melchizedek</w:t>
      </w:r>
      <w:r w:rsidR="00112CFD">
        <w:t xml:space="preserve"> over that of Aaron. </w:t>
      </w:r>
      <w:r w:rsidR="00112CFD" w:rsidRPr="00112CFD">
        <w:t>Melchizedek</w:t>
      </w:r>
      <w:r w:rsidR="00FE2BDB">
        <w:t>,</w:t>
      </w:r>
      <w:r w:rsidR="00112CFD">
        <w:t xml:space="preserve"> rather than Aaron</w:t>
      </w:r>
      <w:r w:rsidR="00FE2BDB">
        <w:t>,</w:t>
      </w:r>
      <w:r w:rsidR="00112CFD">
        <w:t xml:space="preserve"> </w:t>
      </w:r>
      <w:r w:rsidR="00FE2BDB">
        <w:t xml:space="preserve">is understood as a </w:t>
      </w:r>
      <w:r w:rsidR="00E351B5">
        <w:t>designation</w:t>
      </w:r>
      <w:r w:rsidR="00FE2BDB">
        <w:t xml:space="preserve"> for the High Priest who foreshadows the image of Jesus.</w:t>
      </w:r>
      <w:r w:rsidR="00FE2BDB">
        <w:rPr>
          <w:rStyle w:val="FootnoteReference"/>
        </w:rPr>
        <w:footnoteReference w:id="11"/>
      </w:r>
    </w:p>
    <w:p w14:paraId="3E7C7B8D" w14:textId="13065EAE" w:rsidR="009512E6" w:rsidRDefault="009512E6" w:rsidP="00187FF6">
      <w:pPr>
        <w:bidi w:val="0"/>
        <w:spacing w:line="480" w:lineRule="auto"/>
      </w:pPr>
      <w:r>
        <w:tab/>
      </w:r>
      <w:r w:rsidR="0036266B">
        <w:t xml:space="preserve">According to the outline set by scholars, </w:t>
      </w:r>
      <w:r w:rsidR="00653F10">
        <w:t xml:space="preserve">how will Aaron’s image be treated in the </w:t>
      </w:r>
      <w:r w:rsidR="00653F10" w:rsidRPr="00653F10">
        <w:t>pharisaic</w:t>
      </w:r>
      <w:r w:rsidR="00653F10">
        <w:t xml:space="preserve"> traditions </w:t>
      </w:r>
      <w:r w:rsidR="00B32684">
        <w:t xml:space="preserve">of the second Temple period, assuming that it reflects the </w:t>
      </w:r>
      <w:r w:rsidR="00B32684">
        <w:lastRenderedPageBreak/>
        <w:t xml:space="preserve">corrupt priesthood of their time, </w:t>
      </w:r>
      <w:r w:rsidR="00A97728">
        <w:t xml:space="preserve">whose representatives </w:t>
      </w:r>
      <w:r w:rsidR="00187FF6">
        <w:t xml:space="preserve">desecrated the </w:t>
      </w:r>
      <w:r w:rsidR="00187FF6" w:rsidRPr="00653F10">
        <w:t>pharisaic</w:t>
      </w:r>
      <w:r w:rsidR="00187FF6">
        <w:t xml:space="preserve"> halakha? What will </w:t>
      </w:r>
      <w:r w:rsidR="00431BB6">
        <w:t>the meaning of the development of the traditions concerning Aaron in the period following the destruction of the Temple be</w:t>
      </w:r>
      <w:r w:rsidR="001065F9">
        <w:t>, given that at this time the role of the priests shrunk</w:t>
      </w:r>
      <w:r w:rsidR="00E351B5">
        <w:t>,</w:t>
      </w:r>
      <w:r w:rsidR="001065F9">
        <w:t xml:space="preserve"> as their status changed dramatically? </w:t>
      </w:r>
    </w:p>
    <w:p w14:paraId="3DE7E88C" w14:textId="14140073" w:rsidR="001065F9" w:rsidRDefault="001065F9" w:rsidP="00E351B5">
      <w:pPr>
        <w:bidi w:val="0"/>
        <w:spacing w:line="480" w:lineRule="auto"/>
        <w:ind w:firstLine="720"/>
      </w:pPr>
      <w:r>
        <w:t xml:space="preserve">In this article, </w:t>
      </w:r>
      <w:r w:rsidR="00952B35">
        <w:t xml:space="preserve">we will </w:t>
      </w:r>
      <w:r w:rsidR="00243754">
        <w:t xml:space="preserve">explore the unique aspects </w:t>
      </w:r>
      <w:r w:rsidR="00171DC1">
        <w:t xml:space="preserve">of the midrashic traditions concerning Aaron, in an attempt to thereby depict the social dynamic </w:t>
      </w:r>
      <w:r w:rsidR="00E351B5">
        <w:t>during</w:t>
      </w:r>
      <w:r w:rsidR="00171DC1">
        <w:t xml:space="preserve"> the end of the</w:t>
      </w:r>
      <w:r w:rsidR="001D2854">
        <w:t xml:space="preserve"> second Temple period, and the </w:t>
      </w:r>
      <w:r w:rsidR="0053692A">
        <w:t xml:space="preserve">new </w:t>
      </w:r>
      <w:r w:rsidR="001D2854">
        <w:t>hierarchy</w:t>
      </w:r>
      <w:r w:rsidR="0053692A">
        <w:t xml:space="preserve"> of status which was created by </w:t>
      </w:r>
      <w:r w:rsidR="006B77E6">
        <w:t>the destruction of the Temple</w:t>
      </w:r>
      <w:r w:rsidR="00027847">
        <w:t xml:space="preserve">, continuing into the period of the Mishna and Talmud. </w:t>
      </w:r>
    </w:p>
    <w:p w14:paraId="702755F4" w14:textId="560D9C91" w:rsidR="00027847" w:rsidRPr="00027847" w:rsidRDefault="00027847" w:rsidP="00027847">
      <w:pPr>
        <w:bidi w:val="0"/>
        <w:spacing w:line="480" w:lineRule="auto"/>
        <w:ind w:firstLine="720"/>
        <w:rPr>
          <w:b/>
          <w:bCs/>
        </w:rPr>
      </w:pPr>
      <w:r>
        <w:rPr>
          <w:b/>
          <w:bCs/>
        </w:rPr>
        <w:t xml:space="preserve">The limited freedom of the traditions dealing with Aaron </w:t>
      </w:r>
    </w:p>
    <w:p w14:paraId="6FCE9D34" w14:textId="34EDEAEE" w:rsidR="00A70F23" w:rsidRDefault="005A77A1" w:rsidP="00020FA2">
      <w:pPr>
        <w:bidi w:val="0"/>
        <w:spacing w:line="480" w:lineRule="auto"/>
      </w:pPr>
      <w:r>
        <w:tab/>
        <w:t>In his book,</w:t>
      </w:r>
      <w:r w:rsidR="00320F00">
        <w:t xml:space="preserve"> </w:t>
      </w:r>
      <w:commentRangeStart w:id="1"/>
      <w:r w:rsidR="00567404" w:rsidRPr="00567404">
        <w:rPr>
          <w:i/>
          <w:iCs/>
          <w:rtl/>
        </w:rPr>
        <w:t>החייבים</w:t>
      </w:r>
      <w:commentRangeEnd w:id="1"/>
      <w:r w:rsidR="00567404">
        <w:rPr>
          <w:rStyle w:val="CommentReference"/>
          <w:rtl/>
        </w:rPr>
        <w:commentReference w:id="1"/>
      </w:r>
      <w:r w:rsidR="00567404" w:rsidRPr="00567404">
        <w:rPr>
          <w:i/>
          <w:iCs/>
          <w:rtl/>
        </w:rPr>
        <w:t xml:space="preserve"> במקרא וזכאים בתלמוד ובמדרשים</w:t>
      </w:r>
      <w:r w:rsidR="000C4530">
        <w:t>,</w:t>
      </w:r>
      <w:r w:rsidR="008A44EA">
        <w:rPr>
          <w:rStyle w:val="FootnoteReference"/>
        </w:rPr>
        <w:footnoteReference w:id="12"/>
      </w:r>
      <w:r w:rsidR="000C4530">
        <w:t xml:space="preserve"> Margulies </w:t>
      </w:r>
      <w:r w:rsidR="00BB0E9D">
        <w:t xml:space="preserve">noted the common phenomenon in which there is a significant difference between the way </w:t>
      </w:r>
      <w:r w:rsidR="00E351B5">
        <w:t xml:space="preserve">in which </w:t>
      </w:r>
      <w:r w:rsidR="00BB0E9D">
        <w:t xml:space="preserve">the biblical images are presented in the biblical text and how they are presented in rabbinic sources. </w:t>
      </w:r>
      <w:r w:rsidR="00CD66B1">
        <w:t xml:space="preserve">Sometimes </w:t>
      </w:r>
      <w:r w:rsidR="002826E7">
        <w:t xml:space="preserve">the Rabbis </w:t>
      </w:r>
      <w:r w:rsidR="00D26643">
        <w:t xml:space="preserve">paint the biblical images more negatively than they appear in the text, whereas other times they exonerate them for sins </w:t>
      </w:r>
      <w:r w:rsidR="00547970">
        <w:t>which are mentioned explicitly in the text. The reasons for these differences in evaluation which have been suggested over the generations are many and diverse</w:t>
      </w:r>
      <w:r w:rsidR="0050446C">
        <w:t>. Most of the explanations point to the didactic aims which occupy the author of the particular tradition.</w:t>
      </w:r>
      <w:r w:rsidR="00447810">
        <w:rPr>
          <w:rStyle w:val="FootnoteReference"/>
        </w:rPr>
        <w:footnoteReference w:id="13"/>
      </w:r>
      <w:r w:rsidR="00547970">
        <w:t xml:space="preserve"> </w:t>
      </w:r>
      <w:r w:rsidR="00D26643">
        <w:t xml:space="preserve"> </w:t>
      </w:r>
      <w:r w:rsidR="008D534C">
        <w:t xml:space="preserve">According to this approach, </w:t>
      </w:r>
      <w:r w:rsidR="00440423">
        <w:t>one</w:t>
      </w:r>
      <w:r w:rsidR="008D534C">
        <w:t xml:space="preserve"> would expect to find, similar to the great </w:t>
      </w:r>
      <w:r w:rsidR="008D534C">
        <w:lastRenderedPageBreak/>
        <w:t xml:space="preserve">admiration for Aaron in the traditions of the periods of </w:t>
      </w:r>
      <w:r w:rsidR="00B60304">
        <w:t>priestly leadership</w:t>
      </w:r>
      <w:r w:rsidR="0037022F">
        <w:t xml:space="preserve"> which enjoyed popularity and </w:t>
      </w:r>
      <w:r w:rsidR="002F36E7">
        <w:t>support</w:t>
      </w:r>
      <w:r w:rsidR="00B60304">
        <w:t xml:space="preserve">, interpretations critical of him and his actions in eras of opposition to the priesthood. </w:t>
      </w:r>
      <w:r w:rsidR="001C05D5">
        <w:t xml:space="preserve">The fact that the biblical text </w:t>
      </w:r>
      <w:r w:rsidR="00C92ED9">
        <w:t xml:space="preserve">does not </w:t>
      </w:r>
      <w:r w:rsidR="00035766">
        <w:t>cover up</w:t>
      </w:r>
      <w:r w:rsidR="00C92ED9">
        <w:t xml:space="preserve"> Aaron’s sins increases this expectation. A study of the </w:t>
      </w:r>
      <w:r w:rsidR="00BD27ED">
        <w:t>traditions of the end of the second Temple period and the period of the Mishna and Talmud reveals a plethora of interpretations which deal with Aaron. However, only a few of them contain</w:t>
      </w:r>
      <w:r w:rsidR="00020FA2">
        <w:t xml:space="preserve"> even</w:t>
      </w:r>
      <w:r w:rsidR="00BD27ED">
        <w:t xml:space="preserve"> </w:t>
      </w:r>
      <w:r w:rsidR="006C1EC6">
        <w:t xml:space="preserve">the gentlest critique. Even these occur in </w:t>
      </w:r>
      <w:r w:rsidR="000E4D9C">
        <w:t xml:space="preserve">the </w:t>
      </w:r>
      <w:r w:rsidR="006C1EC6">
        <w:t xml:space="preserve">local context </w:t>
      </w:r>
      <w:r w:rsidR="005838F6">
        <w:t xml:space="preserve">of Aaron’s explicit sins. They do not deal with his leadership role as the patriarch of the high priesthood. The </w:t>
      </w:r>
      <w:r w:rsidR="00020FA2">
        <w:t>theory which</w:t>
      </w:r>
      <w:r w:rsidR="005C2673">
        <w:t xml:space="preserve"> attempt</w:t>
      </w:r>
      <w:r w:rsidR="00020FA2">
        <w:t>s</w:t>
      </w:r>
      <w:r w:rsidR="005C2673">
        <w:t xml:space="preserve"> to explain the phenomenon as a function of the Rabbis</w:t>
      </w:r>
      <w:r w:rsidR="00020FA2">
        <w:t>’</w:t>
      </w:r>
      <w:r w:rsidR="005C2673">
        <w:t xml:space="preserve"> sensitivity to critique of the national heroes, does not stand up to scrutiny when one compares it to </w:t>
      </w:r>
      <w:r w:rsidR="00A57533">
        <w:t>the traditions which deal with other biblical heroes, such as Abraham, Moses and David. In those cases, one finds substantive criticism of their public leadership or personal conduct.</w:t>
      </w:r>
      <w:r w:rsidR="00A57533">
        <w:rPr>
          <w:rStyle w:val="FootnoteReference"/>
        </w:rPr>
        <w:footnoteReference w:id="14"/>
      </w:r>
      <w:r w:rsidR="00BF6844">
        <w:t xml:space="preserve"> </w:t>
      </w:r>
    </w:p>
    <w:p w14:paraId="3A06F73D" w14:textId="639F00D1" w:rsidR="00BF6844" w:rsidRDefault="00BF6844" w:rsidP="00471767">
      <w:pPr>
        <w:bidi w:val="0"/>
        <w:spacing w:line="480" w:lineRule="auto"/>
      </w:pPr>
      <w:r>
        <w:lastRenderedPageBreak/>
        <w:tab/>
      </w:r>
      <w:r w:rsidR="00942B2A">
        <w:t xml:space="preserve">It would seem that </w:t>
      </w:r>
      <w:r w:rsidR="008A5E49">
        <w:t>the great disparity between the ideal of priesthood as presented in the biblical text and the reality in the period of the Sages at the end of the second Temple period</w:t>
      </w:r>
      <w:r w:rsidR="00F64EC7">
        <w:t xml:space="preserve"> did not allow for the use of Aaron’s image as the reflection of the High Priest in their time. </w:t>
      </w:r>
      <w:r w:rsidR="00CA2B61">
        <w:t xml:space="preserve">The image of Moses or King David could serve as a prototype </w:t>
      </w:r>
      <w:r w:rsidR="00AF7190">
        <w:t xml:space="preserve">of the </w:t>
      </w:r>
      <w:r w:rsidR="000C14F4">
        <w:t>leader</w:t>
      </w:r>
      <w:r w:rsidR="00AF7190">
        <w:t>,</w:t>
      </w:r>
      <w:r w:rsidR="00AF7190">
        <w:rPr>
          <w:rStyle w:val="FootnoteReference"/>
        </w:rPr>
        <w:footnoteReference w:id="15"/>
      </w:r>
      <w:r w:rsidR="000C14F4">
        <w:t xml:space="preserve"> </w:t>
      </w:r>
      <w:r w:rsidR="00F5436C">
        <w:t>and the images of the Patriarchs and prophets could serve as models for the scholar</w:t>
      </w:r>
      <w:r w:rsidR="002F36E7">
        <w:t>;</w:t>
      </w:r>
      <w:r w:rsidR="00F5436C">
        <w:rPr>
          <w:rStyle w:val="FootnoteReference"/>
        </w:rPr>
        <w:footnoteReference w:id="16"/>
      </w:r>
      <w:r w:rsidR="00436241">
        <w:t xml:space="preserve"> </w:t>
      </w:r>
      <w:r w:rsidR="002F36E7">
        <w:t>since</w:t>
      </w:r>
      <w:r w:rsidR="007E17F3">
        <w:t xml:space="preserve"> </w:t>
      </w:r>
      <w:r w:rsidR="000E6A2A">
        <w:t xml:space="preserve">the </w:t>
      </w:r>
      <w:r w:rsidR="002F36E7">
        <w:t xml:space="preserve">popular support which these authorities enjoyed </w:t>
      </w:r>
      <w:r w:rsidR="00EE2E8E">
        <w:lastRenderedPageBreak/>
        <w:t>allowe</w:t>
      </w:r>
      <w:bookmarkStart w:id="2" w:name="here"/>
      <w:bookmarkEnd w:id="2"/>
      <w:r w:rsidR="00EE2E8E">
        <w:t>d for the use of the positive</w:t>
      </w:r>
      <w:r w:rsidR="00EA553B">
        <w:t xml:space="preserve"> images of</w:t>
      </w:r>
      <w:r w:rsidR="00EE2E8E">
        <w:t xml:space="preserve"> biblical characters</w:t>
      </w:r>
      <w:r w:rsidR="002F36E7">
        <w:t xml:space="preserve"> </w:t>
      </w:r>
      <w:r w:rsidR="00EA553B">
        <w:t xml:space="preserve">for the purpose of internalizing the lessons of leadership and ethics, both positive and negative. On the other hand, the great disparity between the positive image of Aaron in the biblical text and </w:t>
      </w:r>
      <w:r w:rsidR="00471767">
        <w:t>the increasing estrangement from the image</w:t>
      </w:r>
      <w:r w:rsidR="00B803E9">
        <w:t xml:space="preserve">s of the priests, made Aaron irrelevant as a model for deriving lessons, both positive and negative. </w:t>
      </w:r>
    </w:p>
    <w:p w14:paraId="65EF3953" w14:textId="0C4D4D66" w:rsidR="00B803E9" w:rsidRDefault="00B803E9" w:rsidP="00D87AD4">
      <w:pPr>
        <w:bidi w:val="0"/>
        <w:spacing w:line="480" w:lineRule="auto"/>
      </w:pPr>
      <w:r>
        <w:tab/>
        <w:t>What then is t</w:t>
      </w:r>
      <w:r w:rsidR="00D87AD4">
        <w:t>he alternative model for the development</w:t>
      </w:r>
      <w:r w:rsidR="00BC542B">
        <w:t xml:space="preserve"> of Aaron’s image? </w:t>
      </w:r>
    </w:p>
    <w:p w14:paraId="07EC38D7" w14:textId="50CD7F5E" w:rsidR="00BC542B" w:rsidRDefault="00BC542B" w:rsidP="007A1C81">
      <w:pPr>
        <w:bidi w:val="0"/>
        <w:spacing w:line="480" w:lineRule="auto"/>
      </w:pPr>
      <w:r>
        <w:tab/>
        <w:t xml:space="preserve">The extant rabbinic traditions </w:t>
      </w:r>
      <w:r w:rsidR="007A1C81">
        <w:t xml:space="preserve">dealing with </w:t>
      </w:r>
      <w:r w:rsidR="007A1C81">
        <w:t>Aaron’s image</w:t>
      </w:r>
      <w:r w:rsidR="007A1C81">
        <w:t xml:space="preserve"> revolve around four central axes</w:t>
      </w:r>
      <w:r w:rsidR="00C2740F">
        <w:t>:</w:t>
      </w:r>
    </w:p>
    <w:p w14:paraId="31BA3D46" w14:textId="6F33DF10" w:rsidR="00C2740F" w:rsidRDefault="00C2740F" w:rsidP="00C2740F">
      <w:pPr>
        <w:pStyle w:val="ListParagraph"/>
        <w:numPr>
          <w:ilvl w:val="0"/>
          <w:numId w:val="1"/>
        </w:numPr>
        <w:bidi w:val="0"/>
        <w:spacing w:line="480" w:lineRule="auto"/>
      </w:pPr>
      <w:r>
        <w:t xml:space="preserve">Ethical aspects of </w:t>
      </w:r>
      <w:r>
        <w:t>Aaron’s image</w:t>
      </w:r>
    </w:p>
    <w:p w14:paraId="34015E25" w14:textId="022083B1" w:rsidR="00C2740F" w:rsidRDefault="00C2740F" w:rsidP="00C2740F">
      <w:pPr>
        <w:pStyle w:val="ListParagraph"/>
        <w:numPr>
          <w:ilvl w:val="0"/>
          <w:numId w:val="1"/>
        </w:numPr>
        <w:bidi w:val="0"/>
        <w:spacing w:line="480" w:lineRule="auto"/>
      </w:pPr>
      <w:r>
        <w:t>Leadership hierarchy in the description of Aaron’s status</w:t>
      </w:r>
    </w:p>
    <w:p w14:paraId="3468DCB1" w14:textId="275FCCD4" w:rsidR="00C2740F" w:rsidRDefault="00C2740F" w:rsidP="00C2740F">
      <w:pPr>
        <w:pStyle w:val="ListParagraph"/>
        <w:numPr>
          <w:ilvl w:val="0"/>
          <w:numId w:val="1"/>
        </w:numPr>
        <w:bidi w:val="0"/>
        <w:spacing w:line="480" w:lineRule="auto"/>
      </w:pPr>
      <w:r>
        <w:t xml:space="preserve">Fraternal relationship between Moses and Aaron </w:t>
      </w:r>
    </w:p>
    <w:p w14:paraId="2141AD5F" w14:textId="1EF3E78E" w:rsidR="00C2740F" w:rsidRDefault="00C2740F" w:rsidP="00C2740F">
      <w:pPr>
        <w:pStyle w:val="ListParagraph"/>
        <w:numPr>
          <w:ilvl w:val="0"/>
          <w:numId w:val="1"/>
        </w:numPr>
        <w:bidi w:val="0"/>
        <w:spacing w:line="480" w:lineRule="auto"/>
      </w:pPr>
      <w:r>
        <w:t>Aaron’s role in the sin of the Golden Calf</w:t>
      </w:r>
    </w:p>
    <w:p w14:paraId="0E06FE91" w14:textId="078DD6F6" w:rsidR="00C2740F" w:rsidRDefault="00785DF8" w:rsidP="00C91B50">
      <w:pPr>
        <w:bidi w:val="0"/>
        <w:spacing w:line="480" w:lineRule="auto"/>
      </w:pPr>
      <w:r>
        <w:t>In the discussion below</w:t>
      </w:r>
      <w:r w:rsidR="00AD12E2">
        <w:t>, we will examine the traditions concerning three of these four axes,</w:t>
      </w:r>
      <w:r w:rsidR="00AD12E2">
        <w:rPr>
          <w:rStyle w:val="FootnoteReference"/>
        </w:rPr>
        <w:footnoteReference w:id="17"/>
      </w:r>
      <w:r w:rsidR="00AD12E2">
        <w:t xml:space="preserve"> and suggest </w:t>
      </w:r>
      <w:r w:rsidR="001E4C33">
        <w:t>an explanation for their authors</w:t>
      </w:r>
      <w:r w:rsidR="00C91B50">
        <w:t xml:space="preserve"> choosing to develop </w:t>
      </w:r>
      <w:r w:rsidR="00C91B50">
        <w:t xml:space="preserve">Aaron’s </w:t>
      </w:r>
      <w:r w:rsidR="00C91B50">
        <w:lastRenderedPageBreak/>
        <w:t>image</w:t>
      </w:r>
      <w:r w:rsidR="00C91B50">
        <w:t xml:space="preserve"> based on these parameters, while almost entirely ignoring </w:t>
      </w:r>
      <w:r w:rsidR="00AF67E7">
        <w:t xml:space="preserve">his role in the area of the Temple rite. </w:t>
      </w:r>
    </w:p>
    <w:p w14:paraId="77BE9E22" w14:textId="77777777" w:rsidR="004A0B5C" w:rsidRPr="000C4530" w:rsidRDefault="004A0B5C" w:rsidP="004A0B5C">
      <w:pPr>
        <w:bidi w:val="0"/>
        <w:spacing w:line="480" w:lineRule="auto"/>
      </w:pPr>
    </w:p>
    <w:sectPr w:rsidR="004A0B5C" w:rsidRPr="000C4530" w:rsidSect="0046320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itzchak Twersky" w:date="2016-11-11T08:34:00Z" w:initials="yt">
    <w:p w14:paraId="007BD60B" w14:textId="77777777" w:rsidR="001A3C01" w:rsidRDefault="001A3C01">
      <w:pPr>
        <w:pStyle w:val="CommentText"/>
        <w:rPr>
          <w:rtl/>
        </w:rPr>
      </w:pPr>
      <w:r>
        <w:rPr>
          <w:rStyle w:val="CommentReference"/>
        </w:rPr>
        <w:annotationRef/>
      </w:r>
      <w:r w:rsidR="00356D4C">
        <w:rPr>
          <w:rFonts w:hint="cs"/>
          <w:noProof/>
          <w:rtl/>
        </w:rPr>
        <w:t xml:space="preserve">נראה שיש טעות בהערה (במקור). סימנתי באדום </w:t>
      </w:r>
    </w:p>
  </w:comment>
  <w:comment w:id="1" w:author="Yitzchak Twersky" w:date="2016-11-12T21:20:00Z" w:initials="yt">
    <w:p w14:paraId="473DC183" w14:textId="7637209D" w:rsidR="00567404" w:rsidRDefault="00567404">
      <w:pPr>
        <w:pStyle w:val="CommentText"/>
      </w:pPr>
      <w:r>
        <w:rPr>
          <w:rStyle w:val="CommentReference"/>
        </w:rPr>
        <w:annotationRef/>
      </w:r>
      <w:r>
        <w:rPr>
          <w:noProof/>
          <w:rtl/>
        </w:rPr>
        <w:t>נראה שיש טעות במקור , תקנתי שם הספר כמו שהוא למיטב ידעתי.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BD60B" w15:done="0"/>
  <w15:commentEx w15:paraId="473DC1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4CBFA" w14:textId="77777777" w:rsidR="00027CE1" w:rsidRDefault="00027CE1" w:rsidP="00700E56">
      <w:pPr>
        <w:spacing w:after="0" w:line="240" w:lineRule="auto"/>
      </w:pPr>
      <w:r>
        <w:separator/>
      </w:r>
    </w:p>
  </w:endnote>
  <w:endnote w:type="continuationSeparator" w:id="0">
    <w:p w14:paraId="26C077C5" w14:textId="77777777" w:rsidR="00027CE1" w:rsidRDefault="00027CE1" w:rsidP="0070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75915" w14:textId="77777777" w:rsidR="00027CE1" w:rsidRDefault="00027CE1" w:rsidP="00700E56">
      <w:pPr>
        <w:spacing w:after="0" w:line="240" w:lineRule="auto"/>
      </w:pPr>
      <w:r>
        <w:separator/>
      </w:r>
    </w:p>
  </w:footnote>
  <w:footnote w:type="continuationSeparator" w:id="0">
    <w:p w14:paraId="2C3F881A" w14:textId="77777777" w:rsidR="00027CE1" w:rsidRDefault="00027CE1" w:rsidP="00700E56">
      <w:pPr>
        <w:spacing w:after="0" w:line="240" w:lineRule="auto"/>
      </w:pPr>
      <w:r>
        <w:continuationSeparator/>
      </w:r>
    </w:p>
  </w:footnote>
  <w:footnote w:id="1">
    <w:p w14:paraId="161E90F3" w14:textId="120090BB" w:rsidR="00700E56" w:rsidRPr="007C5531" w:rsidRDefault="00700E56" w:rsidP="00343414">
      <w:pPr>
        <w:pStyle w:val="FootnoteText"/>
      </w:pPr>
      <w:r w:rsidRPr="007C5531">
        <w:footnoteRef/>
      </w:r>
      <w:r w:rsidRPr="007C5531">
        <w:rPr>
          <w:rtl/>
        </w:rPr>
        <w:t xml:space="preserve"> </w:t>
      </w:r>
      <w:r w:rsidRPr="007C5531">
        <w:t xml:space="preserve">The focus here is on the traditions of the aggadic midrashim, not on </w:t>
      </w:r>
      <w:r w:rsidR="00971D8C" w:rsidRPr="007C5531">
        <w:t>halakhic traditions attached to biblical verses</w:t>
      </w:r>
      <w:r w:rsidR="00875599" w:rsidRPr="007C5531">
        <w:t xml:space="preserve"> dealing with sacrifices, or those focused on the laws of the Temple and sacrifices</w:t>
      </w:r>
      <w:r w:rsidR="00931031" w:rsidRPr="007C5531">
        <w:t xml:space="preserve">. With respect to the distinctions regarding priesthood in general, </w:t>
      </w:r>
      <w:r w:rsidR="001A3C01" w:rsidRPr="007C5531">
        <w:t>see J</w:t>
      </w:r>
      <w:r w:rsidR="00931031" w:rsidRPr="007C5531">
        <w:t xml:space="preserve">. Neusner, "The Mishnah's Conception of the Priesthood: the Aggadah versus the Halakhah", </w:t>
      </w:r>
      <w:r w:rsidR="00931031" w:rsidRPr="0057259F">
        <w:rPr>
          <w:i/>
          <w:iCs/>
        </w:rPr>
        <w:t xml:space="preserve">Review of </w:t>
      </w:r>
      <w:r w:rsidR="0057259F" w:rsidRPr="001A3C01">
        <w:rPr>
          <w:i/>
          <w:iCs/>
          <w:color w:val="FF0000"/>
        </w:rPr>
        <w:t>S</w:t>
      </w:r>
      <w:r w:rsidR="0057259F">
        <w:rPr>
          <w:i/>
          <w:iCs/>
        </w:rPr>
        <w:t xml:space="preserve"> </w:t>
      </w:r>
      <w:r w:rsidR="00931031" w:rsidRPr="0057259F">
        <w:rPr>
          <w:i/>
          <w:iCs/>
        </w:rPr>
        <w:t>Rabbinic Judaism</w:t>
      </w:r>
      <w:r w:rsidR="0057259F">
        <w:rPr>
          <w:i/>
          <w:iCs/>
        </w:rPr>
        <w:t xml:space="preserve"> </w:t>
      </w:r>
      <w:r w:rsidR="00931031" w:rsidRPr="007C5531">
        <w:t xml:space="preserve">14,1 (2011) pp.92 – 107. </w:t>
      </w:r>
    </w:p>
  </w:footnote>
  <w:footnote w:id="2">
    <w:p w14:paraId="367A6D7D" w14:textId="7258C890" w:rsidR="007C5531" w:rsidRPr="00FE7E64" w:rsidRDefault="007C5531" w:rsidP="00343414">
      <w:pPr>
        <w:pStyle w:val="FootnoteText"/>
      </w:pPr>
      <w:r w:rsidRPr="00FE7E64">
        <w:rPr>
          <w:rStyle w:val="FootnoteReference"/>
        </w:rPr>
        <w:footnoteRef/>
      </w:r>
      <w:r w:rsidRPr="00FE7E64">
        <w:rPr>
          <w:rtl/>
        </w:rPr>
        <w:t xml:space="preserve"> </w:t>
      </w:r>
      <w:r w:rsidRPr="00CC087F">
        <w:t xml:space="preserve">Those who hold </w:t>
      </w:r>
      <w:r w:rsidRPr="00FE7E64">
        <w:t xml:space="preserve">that </w:t>
      </w:r>
      <w:r w:rsidR="0004769B">
        <w:t xml:space="preserve">this </w:t>
      </w:r>
      <w:r w:rsidR="00CC087F">
        <w:t xml:space="preserve">thrust </w:t>
      </w:r>
      <w:r w:rsidR="00343414">
        <w:t xml:space="preserve">already </w:t>
      </w:r>
      <w:r w:rsidR="00CC087F">
        <w:t xml:space="preserve">began in the later biblical literature argue that the image of Aaron is presented in </w:t>
      </w:r>
      <w:r w:rsidR="008E142B">
        <w:t xml:space="preserve">the </w:t>
      </w:r>
      <w:r w:rsidR="008E142B" w:rsidRPr="008E142B">
        <w:t>Deuteronomic</w:t>
      </w:r>
      <w:r w:rsidR="008E142B">
        <w:t xml:space="preserve"> literature and in the books of Ezra and Nehemiah in line with the challenges of the generation of the return to Zion. See </w:t>
      </w:r>
      <w:r w:rsidR="009A08E0" w:rsidRPr="009A08E0">
        <w:t xml:space="preserve">P. Guillaume, "Exploring the memory of Aaron in late Persian/early Hellenistic period Yehud", </w:t>
      </w:r>
      <w:r w:rsidR="009A08E0" w:rsidRPr="0054251B">
        <w:rPr>
          <w:i/>
          <w:iCs/>
        </w:rPr>
        <w:t>Remembering Biblical Figures in the Late Persian and Early Hellenistic Periods</w:t>
      </w:r>
      <w:r w:rsidR="009A08E0" w:rsidRPr="009A08E0">
        <w:t>, (2013) pp. 95-105</w:t>
      </w:r>
      <w:r w:rsidR="0054251B">
        <w:t>.</w:t>
      </w:r>
      <w:r w:rsidR="009A08E0" w:rsidRPr="009A08E0">
        <w:t xml:space="preserve"> </w:t>
      </w:r>
      <w:r w:rsidR="0054251B">
        <w:t>Similarly</w:t>
      </w:r>
      <w:r w:rsidR="009A08E0" w:rsidRPr="009A08E0">
        <w:t xml:space="preserve">: J.W. Watts, "Scripturalization and the Aaronide Dynasties, </w:t>
      </w:r>
      <w:r w:rsidR="009A08E0" w:rsidRPr="0054251B">
        <w:rPr>
          <w:i/>
          <w:iCs/>
        </w:rPr>
        <w:t>Journal of Hebrew Scriptures</w:t>
      </w:r>
      <w:r w:rsidR="009A08E0" w:rsidRPr="009A08E0">
        <w:t xml:space="preserve"> 13 (2013) pp.1 – 15.</w:t>
      </w:r>
    </w:p>
  </w:footnote>
  <w:footnote w:id="3">
    <w:p w14:paraId="11C719A6" w14:textId="1CE21619" w:rsidR="00C119A4" w:rsidRDefault="00C119A4" w:rsidP="00343414">
      <w:pPr>
        <w:pStyle w:val="FootnoteText"/>
      </w:pPr>
      <w:r>
        <w:rPr>
          <w:rStyle w:val="FootnoteReference"/>
        </w:rPr>
        <w:footnoteRef/>
      </w:r>
      <w:r>
        <w:t xml:space="preserve"> </w:t>
      </w:r>
      <w:r w:rsidR="006070F3">
        <w:t>See chapter 3 of the work, which is entirely devoted to prais</w:t>
      </w:r>
      <w:r w:rsidR="00343414">
        <w:t>e of</w:t>
      </w:r>
      <w:r w:rsidR="006070F3">
        <w:t xml:space="preserve"> Simon b. Johanan </w:t>
      </w:r>
      <w:r w:rsidR="0030665F">
        <w:t xml:space="preserve">the great. </w:t>
      </w:r>
    </w:p>
  </w:footnote>
  <w:footnote w:id="4">
    <w:p w14:paraId="1E2FA27D" w14:textId="77777777" w:rsidR="00A350DF" w:rsidRPr="007D609C" w:rsidRDefault="00A350DF" w:rsidP="00D03515">
      <w:pPr>
        <w:pStyle w:val="a"/>
      </w:pPr>
      <w:r w:rsidRPr="004A79A9">
        <w:footnoteRef/>
      </w:r>
      <w:r w:rsidRPr="004A79A9">
        <w:t xml:space="preserve"> </w:t>
      </w:r>
      <w:r w:rsidR="004A79A9" w:rsidRPr="004A79A9">
        <w:t xml:space="preserve">See F. V. </w:t>
      </w:r>
      <w:r w:rsidR="004A79A9" w:rsidRPr="004A79A9">
        <w:rPr>
          <w:rFonts w:hint="cs"/>
        </w:rPr>
        <w:t xml:space="preserve">Reiterer, </w:t>
      </w:r>
      <w:r w:rsidR="004A79A9" w:rsidRPr="004A79A9">
        <w:t>"</w:t>
      </w:r>
      <w:r w:rsidR="004A79A9" w:rsidRPr="004A79A9">
        <w:rPr>
          <w:rFonts w:hint="cs"/>
        </w:rPr>
        <w:t>Aaron's polyvalent role according to Ben Sira</w:t>
      </w:r>
      <w:r w:rsidR="004A79A9" w:rsidRPr="004A79A9">
        <w:t xml:space="preserve">", </w:t>
      </w:r>
      <w:r w:rsidR="004A79A9" w:rsidRPr="0054251B">
        <w:rPr>
          <w:rFonts w:hint="cs"/>
          <w:i/>
          <w:iCs/>
        </w:rPr>
        <w:t>Rewriting Biblical History</w:t>
      </w:r>
      <w:r w:rsidR="004A79A9" w:rsidRPr="004A79A9">
        <w:rPr>
          <w:rFonts w:hint="cs"/>
        </w:rPr>
        <w:t xml:space="preserve"> (2011)</w:t>
      </w:r>
      <w:r w:rsidR="004A79A9" w:rsidRPr="004A79A9">
        <w:t xml:space="preserve"> pp.</w:t>
      </w:r>
      <w:r w:rsidR="004A79A9" w:rsidRPr="004A79A9">
        <w:rPr>
          <w:rFonts w:hint="cs"/>
        </w:rPr>
        <w:t>27-56</w:t>
      </w:r>
      <w:r w:rsidR="004A79A9">
        <w:t xml:space="preserve">, especially pp. </w:t>
      </w:r>
      <w:r w:rsidR="007D609C">
        <w:t xml:space="preserve">46-51. </w:t>
      </w:r>
    </w:p>
  </w:footnote>
  <w:footnote w:id="5">
    <w:p w14:paraId="24795D32" w14:textId="66F35FA4" w:rsidR="00EB5C25" w:rsidRPr="00361364" w:rsidRDefault="00EB5C25" w:rsidP="00343414">
      <w:pPr>
        <w:pStyle w:val="FootnoteText"/>
      </w:pPr>
      <w:r w:rsidRPr="00361364">
        <w:rPr>
          <w:rStyle w:val="FootnoteReference"/>
        </w:rPr>
        <w:footnoteRef/>
      </w:r>
      <w:r w:rsidRPr="00361364">
        <w:t xml:space="preserve"> </w:t>
      </w:r>
      <w:r w:rsidR="002671A4" w:rsidRPr="00361364">
        <w:t xml:space="preserve">See </w:t>
      </w:r>
      <w:r w:rsidR="002671A4" w:rsidRPr="00361364">
        <w:rPr>
          <w:i/>
          <w:iCs/>
        </w:rPr>
        <w:t xml:space="preserve">Antiquities of the Jews </w:t>
      </w:r>
      <w:r w:rsidR="002671A4" w:rsidRPr="00361364">
        <w:t>(ed.</w:t>
      </w:r>
      <w:r w:rsidR="0017706B" w:rsidRPr="00361364">
        <w:t xml:space="preserve"> Shalit), Jerusalem 2002, 3:188: “[…] God appeared to Moses and commanded him to give the priesthood to his brother, Aaron, whose piety (and righteousness) </w:t>
      </w:r>
      <w:r w:rsidR="00183870" w:rsidRPr="00361364">
        <w:t>earn for him</w:t>
      </w:r>
      <w:r w:rsidR="003D3C2F">
        <w:t>, more than any (other person)</w:t>
      </w:r>
      <w:r w:rsidR="00183870" w:rsidRPr="00361364">
        <w:t xml:space="preserve"> the right </w:t>
      </w:r>
      <w:r w:rsidR="003D3C2F">
        <w:t>to receive this honor</w:t>
      </w:r>
      <w:r w:rsidR="00343414">
        <w:t>.</w:t>
      </w:r>
      <w:r w:rsidR="003D3C2F">
        <w:t>” In the continuation (3:190)</w:t>
      </w:r>
      <w:r w:rsidR="00CD64D8">
        <w:t xml:space="preserve">: “And now God Himself decided that Aaron was worthy of this honor, and chose him to serve as priest, for He knew that he is the most righteous amongst us […] (3:192): For (indeed) Aaron was the worthiest </w:t>
      </w:r>
      <w:r w:rsidR="00D47A45">
        <w:t xml:space="preserve">of all to receive </w:t>
      </w:r>
      <w:r w:rsidR="00CD64D8">
        <w:t xml:space="preserve">this honor, </w:t>
      </w:r>
      <w:r w:rsidR="006D58F3">
        <w:t>by virtue of his family and (the spirit of) his prophecy, and due to his brother’s praiseworthy character</w:t>
      </w:r>
      <w:r w:rsidR="00901A64">
        <w:t>.</w:t>
      </w:r>
      <w:r w:rsidR="006D58F3">
        <w:t xml:space="preserve">” </w:t>
      </w:r>
    </w:p>
  </w:footnote>
  <w:footnote w:id="6">
    <w:p w14:paraId="5EF8FB16" w14:textId="2CC7DA58" w:rsidR="00F03B4F" w:rsidRPr="00A11BB5" w:rsidRDefault="00F03B4F" w:rsidP="00F71A61">
      <w:pPr>
        <w:pStyle w:val="FootnoteText"/>
      </w:pPr>
      <w:r>
        <w:rPr>
          <w:rStyle w:val="FootnoteReference"/>
        </w:rPr>
        <w:footnoteRef/>
      </w:r>
      <w:r>
        <w:t xml:space="preserve"> As his words in the introduction to </w:t>
      </w:r>
      <w:r w:rsidR="00A11BB5">
        <w:t xml:space="preserve">his autobiographical work, </w:t>
      </w:r>
      <w:r w:rsidR="00E303AF">
        <w:rPr>
          <w:rFonts w:hint="cs"/>
          <w:i/>
          <w:iCs/>
          <w:rtl/>
        </w:rPr>
        <w:t>חיי יוסף</w:t>
      </w:r>
      <w:r w:rsidR="00E303AF">
        <w:rPr>
          <w:i/>
          <w:iCs/>
        </w:rPr>
        <w:t xml:space="preserve"> </w:t>
      </w:r>
      <w:r w:rsidR="00E303AF">
        <w:t>[</w:t>
      </w:r>
      <w:r w:rsidR="00A11BB5">
        <w:t xml:space="preserve">trans. </w:t>
      </w:r>
      <w:r w:rsidR="00261919">
        <w:t>D, Schwartz], Jerusalem 5768, p. 63: “My pedigree is not at all unexcep</w:t>
      </w:r>
      <w:r w:rsidR="001C28C2">
        <w:t xml:space="preserve">tional, but rather </w:t>
      </w:r>
      <w:r w:rsidR="001063DD">
        <w:t>descends from priest of ancient generations. Just as each nation has its own basis for belonging to the elite, for us membership in the priesthood is the sign of noble pedigree […]</w:t>
      </w:r>
      <w:r w:rsidR="00343414">
        <w:t>”</w:t>
      </w:r>
      <w:r w:rsidR="001063DD">
        <w:t xml:space="preserve"> </w:t>
      </w:r>
    </w:p>
  </w:footnote>
  <w:footnote w:id="7">
    <w:p w14:paraId="10C5767A" w14:textId="77777777" w:rsidR="00152710" w:rsidRDefault="00152710" w:rsidP="00F71A61">
      <w:pPr>
        <w:pStyle w:val="FootnoteText"/>
      </w:pPr>
      <w:r>
        <w:rPr>
          <w:rStyle w:val="FootnoteReference"/>
        </w:rPr>
        <w:footnoteRef/>
      </w:r>
      <w:r>
        <w:t xml:space="preserve"> </w:t>
      </w:r>
      <w:r w:rsidR="00426395">
        <w:t xml:space="preserve">See </w:t>
      </w:r>
      <w:r w:rsidR="007A2DD3" w:rsidRPr="007A2DD3">
        <w:t xml:space="preserve">L. Feldman, "Josephus' Portrait of Aaron", </w:t>
      </w:r>
      <w:r w:rsidR="007A2DD3" w:rsidRPr="007A2DD3">
        <w:rPr>
          <w:i/>
          <w:iCs/>
        </w:rPr>
        <w:t>Classical Studies in Honor of David Sohlberg</w:t>
      </w:r>
      <w:r w:rsidR="007A2DD3" w:rsidRPr="007A2DD3">
        <w:t xml:space="preserve"> (1996) pp.167-192.  </w:t>
      </w:r>
    </w:p>
  </w:footnote>
  <w:footnote w:id="8">
    <w:p w14:paraId="025EE6FD" w14:textId="77777777" w:rsidR="000E4709" w:rsidRPr="000E4709" w:rsidRDefault="00DA519E" w:rsidP="00D03515">
      <w:pPr>
        <w:pStyle w:val="a"/>
        <w:rPr>
          <w:rtl/>
        </w:rPr>
      </w:pPr>
      <w:r w:rsidRPr="000E4709">
        <w:rPr>
          <w:rStyle w:val="FootnoteReference"/>
        </w:rPr>
        <w:footnoteRef/>
      </w:r>
      <w:r w:rsidRPr="000E4709">
        <w:t xml:space="preserve"> </w:t>
      </w:r>
      <w:r w:rsidR="000E4709" w:rsidRPr="000E4709">
        <w:t xml:space="preserve">Concerning the opposition of the members of the sect to the priests of Jerusalem, see </w:t>
      </w:r>
      <w:r w:rsidR="000E4709" w:rsidRPr="000E4709">
        <w:rPr>
          <w:lang w:bidi="ar-SA"/>
        </w:rPr>
        <w:t xml:space="preserve">R. A. Kugler, "Priesthood at Qumran", </w:t>
      </w:r>
      <w:r w:rsidR="000E4709" w:rsidRPr="000E4709">
        <w:rPr>
          <w:i/>
          <w:iCs/>
          <w:lang w:bidi="ar-SA"/>
        </w:rPr>
        <w:t>The Dead Sea Scrolls after Fifty Years II</w:t>
      </w:r>
      <w:r w:rsidR="000E4709" w:rsidRPr="000E4709">
        <w:rPr>
          <w:lang w:bidi="ar-SA"/>
        </w:rPr>
        <w:t xml:space="preserve"> (1999) pp.93 – 116</w:t>
      </w:r>
      <w:r w:rsidR="000E4709" w:rsidRPr="000E4709">
        <w:t xml:space="preserve">; ibid, </w:t>
      </w:r>
      <w:r w:rsidR="000E4709" w:rsidRPr="000E4709">
        <w:rPr>
          <w:lang w:bidi="ar-SA"/>
        </w:rPr>
        <w:t xml:space="preserve">"The Priesthood at Qumran: the evidence of references to Levi and the Levites", </w:t>
      </w:r>
      <w:r w:rsidR="000E4709" w:rsidRPr="000E4709">
        <w:rPr>
          <w:i/>
          <w:iCs/>
          <w:lang w:bidi="ar-SA"/>
        </w:rPr>
        <w:t>The Provo International Conference</w:t>
      </w:r>
      <w:r w:rsidR="000E4709" w:rsidRPr="000E4709">
        <w:rPr>
          <w:lang w:bidi="ar-SA"/>
        </w:rPr>
        <w:t xml:space="preserve"> (1999) pp.465 – 479.</w:t>
      </w:r>
    </w:p>
    <w:p w14:paraId="0DD02206" w14:textId="77777777" w:rsidR="00DA519E" w:rsidRDefault="00DA519E" w:rsidP="00F71A61">
      <w:pPr>
        <w:pStyle w:val="FootnoteText"/>
      </w:pPr>
    </w:p>
  </w:footnote>
  <w:footnote w:id="9">
    <w:p w14:paraId="04B5F6CF" w14:textId="77777777" w:rsidR="001A7EED" w:rsidRDefault="001A7EED" w:rsidP="00F71A61">
      <w:pPr>
        <w:pStyle w:val="FootnoteText"/>
      </w:pPr>
      <w:r>
        <w:rPr>
          <w:rStyle w:val="FootnoteReference"/>
        </w:rPr>
        <w:footnoteRef/>
      </w:r>
      <w:r>
        <w:t xml:space="preserve"> See </w:t>
      </w:r>
      <w:r w:rsidRPr="008E6D87">
        <w:t xml:space="preserve">C. </w:t>
      </w:r>
      <w:r w:rsidRPr="008E6D87">
        <w:rPr>
          <w:rFonts w:hint="cs"/>
        </w:rPr>
        <w:t>Hempel</w:t>
      </w:r>
      <w:r w:rsidRPr="008E6D87">
        <w:t>,</w:t>
      </w:r>
      <w:r w:rsidRPr="008E6D87">
        <w:rPr>
          <w:rFonts w:hint="cs"/>
        </w:rPr>
        <w:t xml:space="preserve"> </w:t>
      </w:r>
      <w:r w:rsidRPr="008E6D87">
        <w:t>"</w:t>
      </w:r>
      <w:r w:rsidRPr="008E6D87">
        <w:rPr>
          <w:rFonts w:hint="cs"/>
        </w:rPr>
        <w:t xml:space="preserve">The </w:t>
      </w:r>
      <w:r w:rsidRPr="008E6D87">
        <w:t>S</w:t>
      </w:r>
      <w:r w:rsidRPr="008E6D87">
        <w:rPr>
          <w:rFonts w:hint="cs"/>
        </w:rPr>
        <w:t>ons of Aaron in the Dead Sea Scrolls</w:t>
      </w:r>
      <w:r w:rsidRPr="008E6D87">
        <w:t>"</w:t>
      </w:r>
      <w:r w:rsidRPr="008E6D87">
        <w:rPr>
          <w:rFonts w:hint="cs"/>
        </w:rPr>
        <w:t xml:space="preserve"> </w:t>
      </w:r>
      <w:r w:rsidRPr="008E6D87">
        <w:rPr>
          <w:rFonts w:hint="cs"/>
          <w:i/>
          <w:iCs/>
        </w:rPr>
        <w:t>Flores Florentino</w:t>
      </w:r>
      <w:r w:rsidRPr="008E6D87">
        <w:rPr>
          <w:rFonts w:hint="cs"/>
        </w:rPr>
        <w:t xml:space="preserve"> (2007)</w:t>
      </w:r>
      <w:r w:rsidRPr="008E6D87">
        <w:t xml:space="preserve"> pp.</w:t>
      </w:r>
      <w:r w:rsidRPr="008E6D87">
        <w:rPr>
          <w:rFonts w:hint="cs"/>
        </w:rPr>
        <w:t xml:space="preserve"> 207-224</w:t>
      </w:r>
      <w:r w:rsidRPr="008E6D87">
        <w:t>; ibid, "</w:t>
      </w:r>
      <w:r w:rsidRPr="008E6D87">
        <w:rPr>
          <w:rFonts w:hint="cs"/>
        </w:rPr>
        <w:t xml:space="preserve">Do the Scrolls </w:t>
      </w:r>
      <w:r w:rsidRPr="008E6D87">
        <w:t>S</w:t>
      </w:r>
      <w:r w:rsidRPr="008E6D87">
        <w:rPr>
          <w:rFonts w:hint="cs"/>
        </w:rPr>
        <w:t xml:space="preserve">uggest </w:t>
      </w:r>
      <w:r w:rsidRPr="008E6D87">
        <w:t>R</w:t>
      </w:r>
      <w:r w:rsidRPr="008E6D87">
        <w:rPr>
          <w:rFonts w:hint="cs"/>
        </w:rPr>
        <w:t xml:space="preserve">ivalry </w:t>
      </w:r>
      <w:r w:rsidRPr="008E6D87">
        <w:t>between</w:t>
      </w:r>
      <w:r w:rsidRPr="008E6D87">
        <w:rPr>
          <w:rFonts w:hint="cs"/>
        </w:rPr>
        <w:t xml:space="preserve"> the </w:t>
      </w:r>
      <w:r w:rsidRPr="008E6D87">
        <w:t>S</w:t>
      </w:r>
      <w:r w:rsidRPr="008E6D87">
        <w:rPr>
          <w:rFonts w:hint="cs"/>
        </w:rPr>
        <w:t xml:space="preserve">ons of Aaron and the </w:t>
      </w:r>
      <w:r w:rsidRPr="008E6D87">
        <w:t>S</w:t>
      </w:r>
      <w:r w:rsidRPr="008E6D87">
        <w:rPr>
          <w:rFonts w:hint="cs"/>
        </w:rPr>
        <w:t xml:space="preserve">ons of Zadok and if so was it </w:t>
      </w:r>
      <w:r w:rsidRPr="008E6D87">
        <w:t>M</w:t>
      </w:r>
      <w:r w:rsidRPr="008E6D87">
        <w:rPr>
          <w:rFonts w:hint="cs"/>
        </w:rPr>
        <w:t>utual?</w:t>
      </w:r>
      <w:r w:rsidRPr="008E6D87">
        <w:t xml:space="preserve">" </w:t>
      </w:r>
      <w:r w:rsidRPr="008E6D87">
        <w:rPr>
          <w:rFonts w:hint="cs"/>
          <w:i/>
          <w:iCs/>
        </w:rPr>
        <w:t>Revue de Qumran</w:t>
      </w:r>
      <w:r w:rsidRPr="008E6D87">
        <w:rPr>
          <w:rFonts w:hint="cs"/>
        </w:rPr>
        <w:t xml:space="preserve"> 24,</w:t>
      </w:r>
      <w:r w:rsidRPr="008E6D87">
        <w:t xml:space="preserve"> </w:t>
      </w:r>
      <w:r w:rsidRPr="008E6D87">
        <w:rPr>
          <w:rFonts w:hint="cs"/>
        </w:rPr>
        <w:t>1 &lt;93&gt; (2009)</w:t>
      </w:r>
      <w:r w:rsidRPr="008E6D87">
        <w:t xml:space="preserve"> pp.</w:t>
      </w:r>
      <w:r w:rsidRPr="008E6D87">
        <w:rPr>
          <w:rFonts w:hint="cs"/>
        </w:rPr>
        <w:t>135-153</w:t>
      </w:r>
      <w:r w:rsidRPr="008E6D87">
        <w:t>.</w:t>
      </w:r>
      <w:r>
        <w:t xml:space="preserve"> </w:t>
      </w:r>
    </w:p>
  </w:footnote>
  <w:footnote w:id="10">
    <w:p w14:paraId="53CA1746" w14:textId="77777777" w:rsidR="00365552" w:rsidRDefault="00365552" w:rsidP="00F71A61">
      <w:pPr>
        <w:pStyle w:val="FootnoteText"/>
      </w:pPr>
      <w:r>
        <w:rPr>
          <w:rStyle w:val="FootnoteReference"/>
        </w:rPr>
        <w:footnoteRef/>
      </w:r>
      <w:r>
        <w:t xml:space="preserve"> See </w:t>
      </w:r>
      <w:r w:rsidRPr="008E6D87">
        <w:rPr>
          <w:lang w:bidi="ar-SA"/>
        </w:rPr>
        <w:t xml:space="preserve">I. Gruenwald, "From Priesthood to Messianism: the Antipriestly Polemic and the Messianic Factor", </w:t>
      </w:r>
      <w:r w:rsidRPr="008E6D87">
        <w:rPr>
          <w:i/>
          <w:iCs/>
          <w:lang w:bidi="ar-SA"/>
        </w:rPr>
        <w:t>Messiah and Christos</w:t>
      </w:r>
      <w:r w:rsidRPr="008E6D87">
        <w:rPr>
          <w:lang w:bidi="ar-SA"/>
        </w:rPr>
        <w:t xml:space="preserve"> (1992), pp.75 – 93.</w:t>
      </w:r>
      <w:r>
        <w:rPr>
          <w:lang w:bidi="ar-SA"/>
        </w:rPr>
        <w:t xml:space="preserve"> </w:t>
      </w:r>
    </w:p>
  </w:footnote>
  <w:footnote w:id="11">
    <w:p w14:paraId="0808F89E" w14:textId="590FD51C" w:rsidR="00176A51" w:rsidRPr="00D03515" w:rsidRDefault="00FE2BDB" w:rsidP="00D03515">
      <w:pPr>
        <w:pStyle w:val="a"/>
        <w:rPr>
          <w:rtl/>
        </w:rPr>
      </w:pPr>
      <w:r w:rsidRPr="00D03515">
        <w:rPr>
          <w:rStyle w:val="FootnoteReference"/>
        </w:rPr>
        <w:footnoteRef/>
      </w:r>
      <w:r w:rsidRPr="00D03515">
        <w:t xml:space="preserve"> </w:t>
      </w:r>
      <w:r w:rsidR="00176A51" w:rsidRPr="00D03515">
        <w:t xml:space="preserve">See further </w:t>
      </w:r>
      <w:r w:rsidR="00176A51" w:rsidRPr="00D03515">
        <w:rPr>
          <w:lang w:bidi="ar-SA"/>
        </w:rPr>
        <w:t>W. Horbury, "The Aaronic priesthood in the Epistle to the Hebrews</w:t>
      </w:r>
      <w:r w:rsidR="00176A51" w:rsidRPr="00D03515">
        <w:t>",</w:t>
      </w:r>
      <w:r w:rsidR="00176A51" w:rsidRPr="00D03515">
        <w:rPr>
          <w:lang w:bidi="ar-SA"/>
        </w:rPr>
        <w:t xml:space="preserve"> </w:t>
      </w:r>
      <w:r w:rsidR="00176A51" w:rsidRPr="00D03515">
        <w:rPr>
          <w:i/>
          <w:iCs/>
          <w:lang w:bidi="ar-SA"/>
        </w:rPr>
        <w:t>Messianism among Jews and Christians</w:t>
      </w:r>
      <w:r w:rsidR="00176A51" w:rsidRPr="00D03515">
        <w:rPr>
          <w:lang w:bidi="ar-SA"/>
        </w:rPr>
        <w:t xml:space="preserve"> (2003) pp.227 – 254; </w:t>
      </w:r>
      <w:r w:rsidR="00176A51" w:rsidRPr="00D03515">
        <w:rPr>
          <w:color w:val="313131"/>
          <w:lang w:bidi="ar-SA"/>
        </w:rPr>
        <w:t xml:space="preserve">D. W. Rooke, "Jesus as royal Priest: reflections on the interpretation of the Melchizedek tradition in Heb 7", </w:t>
      </w:r>
      <w:r w:rsidR="00176A51" w:rsidRPr="00D03515">
        <w:rPr>
          <w:i/>
          <w:iCs/>
          <w:color w:val="313131"/>
          <w:lang w:bidi="ar-SA"/>
        </w:rPr>
        <w:t>Biblica</w:t>
      </w:r>
      <w:r w:rsidR="00176A51" w:rsidRPr="00D03515">
        <w:rPr>
          <w:color w:val="313131"/>
          <w:lang w:bidi="ar-SA"/>
        </w:rPr>
        <w:t xml:space="preserve"> 81,1 (2000) pp.81 – 94.</w:t>
      </w:r>
      <w:r w:rsidR="00D03515">
        <w:t xml:space="preserve"> </w:t>
      </w:r>
    </w:p>
    <w:p w14:paraId="178DE9BA" w14:textId="047E9AE5" w:rsidR="00FE2BDB" w:rsidRDefault="00FE2BDB" w:rsidP="00F71A61">
      <w:pPr>
        <w:pStyle w:val="FootnoteText"/>
      </w:pPr>
    </w:p>
  </w:footnote>
  <w:footnote w:id="12">
    <w:p w14:paraId="301D10A6" w14:textId="3F8A9B92" w:rsidR="008A44EA" w:rsidRDefault="008A44EA" w:rsidP="00F71A61">
      <w:pPr>
        <w:pStyle w:val="FootnoteText"/>
      </w:pPr>
      <w:r>
        <w:rPr>
          <w:rStyle w:val="FootnoteReference"/>
        </w:rPr>
        <w:footnoteRef/>
      </w:r>
      <w:r>
        <w:t xml:space="preserve"> </w:t>
      </w:r>
      <w:r w:rsidR="00F923EA">
        <w:t xml:space="preserve">E. Margulies, </w:t>
      </w:r>
      <w:r>
        <w:t>London, 5</w:t>
      </w:r>
      <w:r w:rsidR="00F923EA">
        <w:t xml:space="preserve">709. </w:t>
      </w:r>
    </w:p>
  </w:footnote>
  <w:footnote w:id="13">
    <w:p w14:paraId="1BEF1E05" w14:textId="1E434032" w:rsidR="00447810" w:rsidRPr="00F36DAB" w:rsidRDefault="00447810" w:rsidP="00F71A61">
      <w:pPr>
        <w:pStyle w:val="FootnoteText"/>
      </w:pPr>
      <w:r>
        <w:rPr>
          <w:rStyle w:val="FootnoteReference"/>
        </w:rPr>
        <w:footnoteRef/>
      </w:r>
      <w:r>
        <w:t xml:space="preserve"> </w:t>
      </w:r>
      <w:r w:rsidR="00644CC3">
        <w:t xml:space="preserve">For survey of the different approaches to the thrusts of the rabbinic midrashim, see: Y. Gafni, </w:t>
      </w:r>
      <w:r w:rsidR="00567404" w:rsidRPr="00CD520F">
        <w:rPr>
          <w:i/>
          <w:iCs/>
          <w:rtl/>
        </w:rPr>
        <w:t>ארץ ישראל בתקופת המשנה והתלמוד: חקר שנות דור – הישגים ותהיות</w:t>
      </w:r>
      <w:r w:rsidR="00CD520F">
        <w:t xml:space="preserve">, Katedra 100 (5761), pp. 200-226. </w:t>
      </w:r>
      <w:r w:rsidR="00DC6218">
        <w:t xml:space="preserve">For a more specific survey </w:t>
      </w:r>
      <w:r w:rsidR="006C6E90">
        <w:t>of approaches</w:t>
      </w:r>
      <w:r w:rsidR="00BF6D37">
        <w:t xml:space="preserve"> to the thrusts of the interpretations dealing with biblical characters, see B. Elitzur</w:t>
      </w:r>
      <w:r w:rsidR="006C6E90">
        <w:t xml:space="preserve">, </w:t>
      </w:r>
      <w:r w:rsidR="006C6E90">
        <w:rPr>
          <w:rtl/>
        </w:rPr>
        <w:t>על</w:t>
      </w:r>
      <w:r w:rsidR="00BF6D37" w:rsidRPr="00BF6D37">
        <w:rPr>
          <w:rFonts w:hint="cs"/>
          <w:i/>
          <w:iCs/>
          <w:rtl/>
        </w:rPr>
        <w:t xml:space="preserve"> מגמות בדרשות אמוראי ארץ ישראל העוסקות באישי המקרא, דיסרטציה,</w:t>
      </w:r>
      <w:r w:rsidR="00BF6D37">
        <w:t xml:space="preserve"> Bar Ilan University, Ramat Gan (5766). </w:t>
      </w:r>
      <w:r w:rsidR="00181377">
        <w:t xml:space="preserve">An interesting summary of the various explanations </w:t>
      </w:r>
      <w:r w:rsidR="00F36DAB">
        <w:t>given for the anomalies in the midrashic evaluations of biblical images may be found in A. Chwat,</w:t>
      </w:r>
      <w:r w:rsidR="00181377">
        <w:t xml:space="preserve"> </w:t>
      </w:r>
      <w:r w:rsidR="00F36DAB" w:rsidRPr="00F85A49">
        <w:rPr>
          <w:rFonts w:hint="cs"/>
          <w:i/>
          <w:iCs/>
          <w:rtl/>
        </w:rPr>
        <w:t>הזכאים במקרא וחייבים בחז"ל</w:t>
      </w:r>
      <w:r w:rsidR="00F36DAB">
        <w:rPr>
          <w:rFonts w:hint="cs"/>
          <w:rtl/>
        </w:rPr>
        <w:t>,</w:t>
      </w:r>
      <w:r w:rsidR="00F36DAB">
        <w:t xml:space="preserve"> </w:t>
      </w:r>
      <w:r w:rsidR="00F36DAB">
        <w:rPr>
          <w:i/>
          <w:iCs/>
        </w:rPr>
        <w:t xml:space="preserve">Talelei Orot </w:t>
      </w:r>
      <w:r w:rsidR="00F36DAB">
        <w:t>12 (5766</w:t>
      </w:r>
      <w:r w:rsidR="004B7B7E">
        <w:t>),</w:t>
      </w:r>
      <w:r w:rsidR="00F36DAB">
        <w:t xml:space="preserve"> pp. 13-99. </w:t>
      </w:r>
    </w:p>
  </w:footnote>
  <w:footnote w:id="14">
    <w:p w14:paraId="12B04DC4" w14:textId="362EBB94" w:rsidR="008A5E49" w:rsidRDefault="00A57533" w:rsidP="006C6E90">
      <w:pPr>
        <w:pStyle w:val="FootnoteText"/>
      </w:pPr>
      <w:r>
        <w:rPr>
          <w:rStyle w:val="FootnoteReference"/>
        </w:rPr>
        <w:footnoteRef/>
      </w:r>
      <w:r>
        <w:t xml:space="preserve"> </w:t>
      </w:r>
      <w:r w:rsidR="00EC5D1F">
        <w:t xml:space="preserve">E.g. in the case of Abraham: </w:t>
      </w:r>
      <w:r w:rsidR="00AC6AFF">
        <w:t>R. Abahu said in the name of R. Elazar: Why was our father Abraham punished, and his offspring subjugated in Egypt for 210 years? Because he conscr</w:t>
      </w:r>
      <w:r w:rsidR="00AC6AFF" w:rsidRPr="00846A7C">
        <w:t xml:space="preserve">ipted </w:t>
      </w:r>
      <w:r w:rsidR="00846A7C" w:rsidRPr="00846A7C">
        <w:t>Torah scholars. As it states: “</w:t>
      </w:r>
      <w:r w:rsidR="006C6E90">
        <w:t>H</w:t>
      </w:r>
      <w:r w:rsidR="00846A7C" w:rsidRPr="00846A7C">
        <w:t>e mustered his retainers</w:t>
      </w:r>
      <w:r w:rsidR="00846A7C" w:rsidRPr="00846A7C">
        <w:rPr>
          <w:color w:val="000000"/>
          <w:lang w:val="en"/>
        </w:rPr>
        <w:t>, born into his household</w:t>
      </w:r>
      <w:r w:rsidR="00846A7C">
        <w:t xml:space="preserve">.” </w:t>
      </w:r>
      <w:r w:rsidR="002E3B33">
        <w:t xml:space="preserve">And Samuel said: Because he </w:t>
      </w:r>
      <w:r w:rsidR="00AA59D6">
        <w:t>overreached regarding God’s attributes, as it states: “By means of what will I know that I will inherit it</w:t>
      </w:r>
      <w:r w:rsidR="006C6E90">
        <w:t>?</w:t>
      </w:r>
      <w:r w:rsidR="00AA59D6">
        <w:t xml:space="preserve">” And R. Yochanan said: Because he prevented people from entering under the wings of the Divine Presence, as it states: “Give me the souls, and you </w:t>
      </w:r>
      <w:r w:rsidR="00F21460">
        <w:t xml:space="preserve">take the property for yourself” (B. Talmud Nedarim 32 a). </w:t>
      </w:r>
      <w:r w:rsidR="00F85563">
        <w:t>The accusation is particula</w:t>
      </w:r>
      <w:r w:rsidR="00114B53">
        <w:t>rly harsh in the case of Moses: Because Moses heard the Israelites speaking behind his back [Tanhuma [6] Pekudie 7: Because he heard the cynics of the generation speaking about him] as it states: “</w:t>
      </w:r>
      <w:r w:rsidR="00114B53" w:rsidRPr="00114B53">
        <w:t xml:space="preserve">Whenever Moses went out to the Tent, </w:t>
      </w:r>
      <w:r w:rsidR="00114B53">
        <w:t>etc., and gaze after Moses” (Exodus 33:8). And what would they say? R</w:t>
      </w:r>
      <w:r w:rsidR="006C6E90">
        <w:t>.</w:t>
      </w:r>
      <w:r w:rsidR="00114B53">
        <w:t xml:space="preserve"> Yitzchak said they were speaking his praise […] and R. Chama said </w:t>
      </w:r>
      <w:r w:rsidR="004A5ECE">
        <w:t xml:space="preserve">it was derogatory. They said: See the neck, see the leg. He is eating at the expense of the Jews, he is drinking at the expense of the Jews, and all that he has is from the Jews (Tanhuma </w:t>
      </w:r>
      <w:r w:rsidR="008A5E49">
        <w:t xml:space="preserve">[2] Pekudei 4). And many other such examples. </w:t>
      </w:r>
    </w:p>
  </w:footnote>
  <w:footnote w:id="15">
    <w:p w14:paraId="38F5DCEE" w14:textId="465CA07F" w:rsidR="00AF7190" w:rsidRPr="004D07EC" w:rsidRDefault="00AF7190" w:rsidP="00F71A61">
      <w:pPr>
        <w:pStyle w:val="FootnoteText"/>
      </w:pPr>
      <w:r>
        <w:rPr>
          <w:rStyle w:val="FootnoteReference"/>
        </w:rPr>
        <w:footnoteRef/>
      </w:r>
      <w:r>
        <w:t xml:space="preserve"> </w:t>
      </w:r>
      <w:r w:rsidR="007731B8">
        <w:t xml:space="preserve">Concerning the </w:t>
      </w:r>
      <w:r w:rsidR="0066280D">
        <w:t xml:space="preserve">Sages use of the patriarchs of the nation </w:t>
      </w:r>
      <w:r w:rsidR="00912D2E">
        <w:t xml:space="preserve">as models for the leaders of their generation, see E.E. Urbach, </w:t>
      </w:r>
      <w:r w:rsidR="00F71A61" w:rsidRPr="004D07EC">
        <w:rPr>
          <w:rFonts w:hint="cs"/>
          <w:rtl/>
        </w:rPr>
        <w:t>"מלך ונביא בעיני חז"ל"</w:t>
      </w:r>
      <w:r w:rsidR="00F71A61" w:rsidRPr="00802E03">
        <w:rPr>
          <w:rFonts w:hint="cs"/>
          <w:i/>
          <w:iCs/>
          <w:rtl/>
        </w:rPr>
        <w:t>, טיפוסי מנהיגות בתקופת המקרא,</w:t>
      </w:r>
      <w:r w:rsidR="00802E03">
        <w:t xml:space="preserve"> Jerusalem (5733) pp. 55-68; </w:t>
      </w:r>
      <w:r w:rsidR="00A00584">
        <w:t xml:space="preserve">idem, </w:t>
      </w:r>
      <w:r w:rsidR="00A00584" w:rsidRPr="004D07EC">
        <w:rPr>
          <w:rFonts w:hint="cs"/>
          <w:rtl/>
        </w:rPr>
        <w:t>"המלוכה המקראית בעיני חכמים"</w:t>
      </w:r>
      <w:r w:rsidR="00A00584" w:rsidRPr="00A00584">
        <w:rPr>
          <w:rFonts w:hint="cs"/>
          <w:i/>
          <w:iCs/>
          <w:rtl/>
        </w:rPr>
        <w:t>, ספר יצחק אריה זליגמן</w:t>
      </w:r>
      <w:r w:rsidR="004D07EC">
        <w:t xml:space="preserve"> (5743) pp. 439-451; D. Goldblatt, </w:t>
      </w:r>
      <w:r w:rsidR="004D07EC" w:rsidRPr="0067682E">
        <w:rPr>
          <w:i/>
          <w:iCs/>
        </w:rPr>
        <w:t>The Monarchic Principle: Studies in Jewish Self Government in Antiquity</w:t>
      </w:r>
      <w:r w:rsidR="004D07EC">
        <w:t xml:space="preserve">, Tübingen 1993, pp. 176 – 231. </w:t>
      </w:r>
    </w:p>
  </w:footnote>
  <w:footnote w:id="16">
    <w:p w14:paraId="09FDBBBD" w14:textId="3D931F4B" w:rsidR="00F5436C" w:rsidRDefault="00F5436C">
      <w:pPr>
        <w:pStyle w:val="FootnoteText"/>
      </w:pPr>
      <w:r>
        <w:rPr>
          <w:rStyle w:val="FootnoteReference"/>
        </w:rPr>
        <w:footnoteRef/>
      </w:r>
      <w:r>
        <w:t xml:space="preserve"> See M. Aberbach and L. Smolar, "Jeroboam and Solomon: Rabbinic Interpretations", </w:t>
      </w:r>
      <w:r w:rsidRPr="00CA4B2B">
        <w:rPr>
          <w:i/>
          <w:iCs/>
        </w:rPr>
        <w:t>JQR</w:t>
      </w:r>
      <w:r>
        <w:rPr>
          <w:b/>
          <w:bCs/>
          <w:i/>
          <w:iCs/>
        </w:rPr>
        <w:t xml:space="preserve"> </w:t>
      </w:r>
      <w:r>
        <w:t xml:space="preserve">59 (1968) pp. 118 – 132; R. L. Kalmin, </w:t>
      </w:r>
      <w:r w:rsidRPr="00CA4B2B">
        <w:rPr>
          <w:i/>
          <w:iCs/>
        </w:rPr>
        <w:t>The Sage in Jewish Society of Late Antiquity</w:t>
      </w:r>
      <w:r>
        <w:t xml:space="preserve">, London – New york 1999, pp/83 – 109; R.R Kimelman, "The Conflict Between R. Yohanan and Resh Laqish on the Supremacy of the Patriarchate”, </w:t>
      </w:r>
      <w:r w:rsidRPr="00CA4B2B">
        <w:rPr>
          <w:i/>
          <w:iCs/>
        </w:rPr>
        <w:t>Proceedings of the 7th World Congress of Jewish Studies</w:t>
      </w:r>
      <w:r>
        <w:t xml:space="preserve"> 3 (1981) pp. 1 – 20; S. Safrai, "Tales of the Sages in the Palestinian Tradition and the Babylonian Talmud", </w:t>
      </w:r>
      <w:r w:rsidRPr="00CA4B2B">
        <w:rPr>
          <w:i/>
          <w:iCs/>
        </w:rPr>
        <w:t>Scripta Hierosolymitana</w:t>
      </w:r>
      <w:r>
        <w:t xml:space="preserve"> 22 (1971) pp. 209 – 232.</w:t>
      </w:r>
    </w:p>
  </w:footnote>
  <w:footnote w:id="17">
    <w:p w14:paraId="2447CC23" w14:textId="00A8B01C" w:rsidR="00AD12E2" w:rsidRDefault="00AD12E2" w:rsidP="00965A05">
      <w:pPr>
        <w:pStyle w:val="FootnoteText"/>
      </w:pPr>
      <w:r>
        <w:rPr>
          <w:rStyle w:val="FootnoteReference"/>
        </w:rPr>
        <w:footnoteRef/>
      </w:r>
      <w:r>
        <w:t xml:space="preserve"> </w:t>
      </w:r>
      <w:r w:rsidR="000405D2">
        <w:t xml:space="preserve">The </w:t>
      </w:r>
      <w:r w:rsidR="006C6E90">
        <w:t>elaboration on</w:t>
      </w:r>
      <w:r w:rsidR="000405D2">
        <w:t xml:space="preserve"> Aaron’s s</w:t>
      </w:r>
      <w:r w:rsidR="006C6E90">
        <w:t>i</w:t>
      </w:r>
      <w:r w:rsidR="000405D2">
        <w:t xml:space="preserve">n in the sin of the Golden Calf in the rabbinic traditions, and the transformation </w:t>
      </w:r>
      <w:r w:rsidR="00305EB7">
        <w:t xml:space="preserve">which took place in these traditions in evaluating his role in the sin, are beyond the scope of the present paper. </w:t>
      </w:r>
      <w:r w:rsidR="00522A29">
        <w:t>The extensive treatment of Aaron’s role in the sin is not surprising, as there is a clear connection to that which is related in the biblical text</w:t>
      </w:r>
      <w:r w:rsidR="001A3B06">
        <w:t xml:space="preserve"> and the aim of the </w:t>
      </w:r>
      <w:r w:rsidR="001F5256">
        <w:t>elaboration</w:t>
      </w:r>
      <w:r w:rsidR="001A3B06">
        <w:t xml:space="preserve"> is to derive educational and religious lessons from </w:t>
      </w:r>
      <w:r w:rsidR="001F5256">
        <w:t xml:space="preserve">his </w:t>
      </w:r>
      <w:r w:rsidR="001A3B06">
        <w:t xml:space="preserve">sin, in line with the needs of the generations of the conveyors of the traditions. </w:t>
      </w:r>
      <w:r w:rsidR="00BC483A">
        <w:t xml:space="preserve">In this respect, this axis is different than the other three, where the </w:t>
      </w:r>
      <w:r w:rsidR="00965A05">
        <w:t>elaboration on</w:t>
      </w:r>
      <w:r w:rsidR="00BC483A">
        <w:t xml:space="preserve"> and development of </w:t>
      </w:r>
      <w:r w:rsidR="00BC483A">
        <w:t>Aaron’s image</w:t>
      </w:r>
      <w:r w:rsidR="00BC483A">
        <w:t xml:space="preserve"> are not necessarily integrated with the</w:t>
      </w:r>
      <w:bookmarkStart w:id="3" w:name="_GoBack"/>
      <w:bookmarkEnd w:id="3"/>
      <w:r w:rsidR="00BC483A">
        <w:t xml:space="preserve"> depiction of his image and actions in the text. </w:t>
      </w:r>
      <w:r w:rsidR="00277A41">
        <w:t xml:space="preserve">For further discussion of the topic of Aaron and the sin of the Golden Calf in rabbinic traditions, see: </w:t>
      </w:r>
      <w:r w:rsidR="00277A41" w:rsidRPr="008E6D87">
        <w:t xml:space="preserve">L. Smolar &amp; M. Aberbach, "The Golden Calf Episode in Postbiblical Literature", </w:t>
      </w:r>
      <w:r w:rsidR="00277A41" w:rsidRPr="008E6D87">
        <w:rPr>
          <w:i/>
          <w:iCs/>
        </w:rPr>
        <w:t>HUCA</w:t>
      </w:r>
      <w:r w:rsidR="00277A41" w:rsidRPr="008E6D87">
        <w:t xml:space="preserve"> 39 (1968) pp.91-116; N. M. </w:t>
      </w:r>
      <w:r w:rsidR="00277A41" w:rsidRPr="008E6D87">
        <w:rPr>
          <w:rFonts w:hint="cs"/>
        </w:rPr>
        <w:t xml:space="preserve">Waldman, </w:t>
      </w:r>
      <w:r w:rsidR="00277A41" w:rsidRPr="008E6D87">
        <w:t>"</w:t>
      </w:r>
      <w:r w:rsidR="00277A41" w:rsidRPr="008E6D87">
        <w:rPr>
          <w:rFonts w:hint="cs"/>
        </w:rPr>
        <w:t>Interpretive cover-ups: whitewashing the images of Aaron and the Israelite people in the incident of the Golden Calf</w:t>
      </w:r>
      <w:r w:rsidR="00277A41" w:rsidRPr="008E6D87">
        <w:t>",</w:t>
      </w:r>
      <w:r w:rsidR="00277A41" w:rsidRPr="008E6D87">
        <w:rPr>
          <w:rFonts w:hint="cs"/>
        </w:rPr>
        <w:t xml:space="preserve"> </w:t>
      </w:r>
      <w:r w:rsidR="00277A41" w:rsidRPr="008E6D87">
        <w:rPr>
          <w:rFonts w:hint="cs"/>
          <w:i/>
          <w:iCs/>
        </w:rPr>
        <w:t>Freedom and Responsibility</w:t>
      </w:r>
      <w:r w:rsidR="00277A41" w:rsidRPr="008E6D87">
        <w:rPr>
          <w:rFonts w:hint="cs"/>
        </w:rPr>
        <w:t xml:space="preserve"> (1998)</w:t>
      </w:r>
      <w:r w:rsidR="00277A41" w:rsidRPr="008E6D87">
        <w:t xml:space="preserve"> pp.</w:t>
      </w:r>
      <w:r w:rsidR="00277A41" w:rsidRPr="008E6D87">
        <w:rPr>
          <w:rFonts w:hint="cs"/>
        </w:rPr>
        <w:t xml:space="preserve"> 51-64</w:t>
      </w:r>
      <w:r w:rsidR="00277A41" w:rsidRPr="008E6D87">
        <w:t xml:space="preserve">; </w:t>
      </w:r>
      <w:r w:rsidR="00277A41" w:rsidRPr="008E6D87">
        <w:rPr>
          <w:rFonts w:hint="cs"/>
        </w:rPr>
        <w:t>J</w:t>
      </w:r>
      <w:r w:rsidR="00277A41" w:rsidRPr="008E6D87">
        <w:t xml:space="preserve">. </w:t>
      </w:r>
      <w:r w:rsidR="00277A41" w:rsidRPr="008E6D87">
        <w:rPr>
          <w:rFonts w:hint="cs"/>
        </w:rPr>
        <w:t xml:space="preserve">Watts, </w:t>
      </w:r>
      <w:r w:rsidR="00277A41" w:rsidRPr="008E6D87">
        <w:t>"</w:t>
      </w:r>
      <w:r w:rsidR="00277A41" w:rsidRPr="008E6D87">
        <w:rPr>
          <w:rFonts w:hint="cs"/>
        </w:rPr>
        <w:t>Aaron and the Golden Calf in the rhetoric of the Pentateuch</w:t>
      </w:r>
      <w:r w:rsidR="00277A41" w:rsidRPr="008E6D87">
        <w:t xml:space="preserve">", </w:t>
      </w:r>
      <w:r w:rsidR="00277A41" w:rsidRPr="008E6D87">
        <w:rPr>
          <w:rFonts w:hint="cs"/>
          <w:i/>
          <w:iCs/>
        </w:rPr>
        <w:t>Journal of Biblical Literature</w:t>
      </w:r>
      <w:r w:rsidR="00277A41" w:rsidRPr="008E6D87">
        <w:rPr>
          <w:rFonts w:hint="cs"/>
        </w:rPr>
        <w:t>, 130,</w:t>
      </w:r>
      <w:r w:rsidR="00277A41" w:rsidRPr="008E6D87">
        <w:t xml:space="preserve"> </w:t>
      </w:r>
      <w:r w:rsidR="00277A41" w:rsidRPr="008E6D87">
        <w:rPr>
          <w:rFonts w:hint="cs"/>
        </w:rPr>
        <w:t xml:space="preserve">3 (2011) </w:t>
      </w:r>
      <w:r w:rsidR="00277A41" w:rsidRPr="008E6D87">
        <w:t>pp.</w:t>
      </w:r>
      <w:r w:rsidR="00277A41" w:rsidRPr="008E6D87">
        <w:rPr>
          <w:rFonts w:hint="cs"/>
        </w:rPr>
        <w:t>417-430</w:t>
      </w:r>
      <w:r w:rsidR="00277A41" w:rsidRPr="008E6D87">
        <w:t>.</w:t>
      </w:r>
      <w:r w:rsidR="00277A4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B600E"/>
    <w:multiLevelType w:val="hybridMultilevel"/>
    <w:tmpl w:val="876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tzchak Twersky">
    <w15:presenceInfo w15:providerId="None" w15:userId="Yitzchak Twer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D3"/>
    <w:rsid w:val="00002833"/>
    <w:rsid w:val="000032EA"/>
    <w:rsid w:val="000070AE"/>
    <w:rsid w:val="0001084A"/>
    <w:rsid w:val="00011454"/>
    <w:rsid w:val="00014842"/>
    <w:rsid w:val="00015BBD"/>
    <w:rsid w:val="00020FA2"/>
    <w:rsid w:val="00023415"/>
    <w:rsid w:val="00027847"/>
    <w:rsid w:val="00027CE1"/>
    <w:rsid w:val="00035766"/>
    <w:rsid w:val="0004014A"/>
    <w:rsid w:val="000405D2"/>
    <w:rsid w:val="0004133F"/>
    <w:rsid w:val="00041CFA"/>
    <w:rsid w:val="000446D4"/>
    <w:rsid w:val="00046AD9"/>
    <w:rsid w:val="000470AE"/>
    <w:rsid w:val="0004769B"/>
    <w:rsid w:val="00051A18"/>
    <w:rsid w:val="0005375E"/>
    <w:rsid w:val="0005424E"/>
    <w:rsid w:val="00057700"/>
    <w:rsid w:val="00061157"/>
    <w:rsid w:val="00062D0D"/>
    <w:rsid w:val="000649E6"/>
    <w:rsid w:val="0006523B"/>
    <w:rsid w:val="000655C0"/>
    <w:rsid w:val="0006608E"/>
    <w:rsid w:val="00070BAD"/>
    <w:rsid w:val="00075FEE"/>
    <w:rsid w:val="00076062"/>
    <w:rsid w:val="00076FB7"/>
    <w:rsid w:val="00084543"/>
    <w:rsid w:val="00090A4A"/>
    <w:rsid w:val="00095ACD"/>
    <w:rsid w:val="00096097"/>
    <w:rsid w:val="000A0477"/>
    <w:rsid w:val="000A2055"/>
    <w:rsid w:val="000A63F4"/>
    <w:rsid w:val="000A79A4"/>
    <w:rsid w:val="000B17C1"/>
    <w:rsid w:val="000B3DAD"/>
    <w:rsid w:val="000C14F4"/>
    <w:rsid w:val="000C3F66"/>
    <w:rsid w:val="000C3FF1"/>
    <w:rsid w:val="000C4530"/>
    <w:rsid w:val="000C5D08"/>
    <w:rsid w:val="000C5DA3"/>
    <w:rsid w:val="000C65A0"/>
    <w:rsid w:val="000C71A8"/>
    <w:rsid w:val="000D313B"/>
    <w:rsid w:val="000D4B2D"/>
    <w:rsid w:val="000D5960"/>
    <w:rsid w:val="000D738C"/>
    <w:rsid w:val="000E217F"/>
    <w:rsid w:val="000E3A55"/>
    <w:rsid w:val="000E4709"/>
    <w:rsid w:val="000E4D9C"/>
    <w:rsid w:val="000E6A2A"/>
    <w:rsid w:val="000F0377"/>
    <w:rsid w:val="000F0B1C"/>
    <w:rsid w:val="000F51B7"/>
    <w:rsid w:val="000F59A0"/>
    <w:rsid w:val="00100748"/>
    <w:rsid w:val="00100944"/>
    <w:rsid w:val="001063DD"/>
    <w:rsid w:val="001065F9"/>
    <w:rsid w:val="00111D1B"/>
    <w:rsid w:val="00112CFD"/>
    <w:rsid w:val="00114352"/>
    <w:rsid w:val="00114B53"/>
    <w:rsid w:val="0012374C"/>
    <w:rsid w:val="00124C2D"/>
    <w:rsid w:val="0013113D"/>
    <w:rsid w:val="00136663"/>
    <w:rsid w:val="00140F7E"/>
    <w:rsid w:val="001425DF"/>
    <w:rsid w:val="001475E2"/>
    <w:rsid w:val="00152710"/>
    <w:rsid w:val="0016411B"/>
    <w:rsid w:val="00170144"/>
    <w:rsid w:val="00171DC1"/>
    <w:rsid w:val="0017508C"/>
    <w:rsid w:val="001764CA"/>
    <w:rsid w:val="00176A51"/>
    <w:rsid w:val="0017706B"/>
    <w:rsid w:val="00181377"/>
    <w:rsid w:val="0018307E"/>
    <w:rsid w:val="00183870"/>
    <w:rsid w:val="001852B8"/>
    <w:rsid w:val="00185FCD"/>
    <w:rsid w:val="0018749C"/>
    <w:rsid w:val="00187FF6"/>
    <w:rsid w:val="00194C51"/>
    <w:rsid w:val="00195CC8"/>
    <w:rsid w:val="001A04D4"/>
    <w:rsid w:val="001A07B2"/>
    <w:rsid w:val="001A3721"/>
    <w:rsid w:val="001A38C6"/>
    <w:rsid w:val="001A3B06"/>
    <w:rsid w:val="001A3C01"/>
    <w:rsid w:val="001A7372"/>
    <w:rsid w:val="001A757B"/>
    <w:rsid w:val="001A772E"/>
    <w:rsid w:val="001A7EED"/>
    <w:rsid w:val="001B3D3E"/>
    <w:rsid w:val="001B6374"/>
    <w:rsid w:val="001C05D5"/>
    <w:rsid w:val="001C09F4"/>
    <w:rsid w:val="001C1127"/>
    <w:rsid w:val="001C28C2"/>
    <w:rsid w:val="001C2A2B"/>
    <w:rsid w:val="001C7A45"/>
    <w:rsid w:val="001D2854"/>
    <w:rsid w:val="001D765E"/>
    <w:rsid w:val="001D7B9F"/>
    <w:rsid w:val="001E0633"/>
    <w:rsid w:val="001E1A62"/>
    <w:rsid w:val="001E2476"/>
    <w:rsid w:val="001E424B"/>
    <w:rsid w:val="001E4C33"/>
    <w:rsid w:val="001E5239"/>
    <w:rsid w:val="001E6065"/>
    <w:rsid w:val="001E7C97"/>
    <w:rsid w:val="001F5256"/>
    <w:rsid w:val="001F79F4"/>
    <w:rsid w:val="001F7CD4"/>
    <w:rsid w:val="00202474"/>
    <w:rsid w:val="00203823"/>
    <w:rsid w:val="002044EC"/>
    <w:rsid w:val="00206A1E"/>
    <w:rsid w:val="00210BB1"/>
    <w:rsid w:val="00212ED7"/>
    <w:rsid w:val="0024110C"/>
    <w:rsid w:val="002411F4"/>
    <w:rsid w:val="00243754"/>
    <w:rsid w:val="00250F7C"/>
    <w:rsid w:val="002513F6"/>
    <w:rsid w:val="00255F9C"/>
    <w:rsid w:val="00257946"/>
    <w:rsid w:val="00260E98"/>
    <w:rsid w:val="002614DD"/>
    <w:rsid w:val="00261919"/>
    <w:rsid w:val="00262058"/>
    <w:rsid w:val="00262E32"/>
    <w:rsid w:val="00264C21"/>
    <w:rsid w:val="002671A4"/>
    <w:rsid w:val="00272C1C"/>
    <w:rsid w:val="00272C5D"/>
    <w:rsid w:val="00274461"/>
    <w:rsid w:val="00275E75"/>
    <w:rsid w:val="00277A41"/>
    <w:rsid w:val="0028164D"/>
    <w:rsid w:val="002826E7"/>
    <w:rsid w:val="002843CD"/>
    <w:rsid w:val="00290069"/>
    <w:rsid w:val="002926AC"/>
    <w:rsid w:val="00295DAC"/>
    <w:rsid w:val="00297CE9"/>
    <w:rsid w:val="002A26C8"/>
    <w:rsid w:val="002A40D1"/>
    <w:rsid w:val="002B07F2"/>
    <w:rsid w:val="002B0F3E"/>
    <w:rsid w:val="002B614B"/>
    <w:rsid w:val="002B7187"/>
    <w:rsid w:val="002C1D0A"/>
    <w:rsid w:val="002C2A77"/>
    <w:rsid w:val="002C4DF2"/>
    <w:rsid w:val="002C5ED0"/>
    <w:rsid w:val="002D1EE9"/>
    <w:rsid w:val="002D36E7"/>
    <w:rsid w:val="002E3814"/>
    <w:rsid w:val="002E3B33"/>
    <w:rsid w:val="002F1C3F"/>
    <w:rsid w:val="002F36E7"/>
    <w:rsid w:val="002F6E5E"/>
    <w:rsid w:val="002F79AA"/>
    <w:rsid w:val="002F7CEB"/>
    <w:rsid w:val="002F7DDA"/>
    <w:rsid w:val="00303B11"/>
    <w:rsid w:val="00304C80"/>
    <w:rsid w:val="00305EB7"/>
    <w:rsid w:val="00306192"/>
    <w:rsid w:val="0030665F"/>
    <w:rsid w:val="00307D4C"/>
    <w:rsid w:val="00310F86"/>
    <w:rsid w:val="0031178B"/>
    <w:rsid w:val="003155C5"/>
    <w:rsid w:val="00316883"/>
    <w:rsid w:val="00316B26"/>
    <w:rsid w:val="00320F00"/>
    <w:rsid w:val="00324B66"/>
    <w:rsid w:val="00327057"/>
    <w:rsid w:val="00327228"/>
    <w:rsid w:val="00327F90"/>
    <w:rsid w:val="0033337C"/>
    <w:rsid w:val="00334CAC"/>
    <w:rsid w:val="00334E9C"/>
    <w:rsid w:val="003355C2"/>
    <w:rsid w:val="00343414"/>
    <w:rsid w:val="003460E0"/>
    <w:rsid w:val="00347956"/>
    <w:rsid w:val="00347DAD"/>
    <w:rsid w:val="00350701"/>
    <w:rsid w:val="00352698"/>
    <w:rsid w:val="003527AC"/>
    <w:rsid w:val="00352F21"/>
    <w:rsid w:val="00354330"/>
    <w:rsid w:val="00356D4C"/>
    <w:rsid w:val="00361364"/>
    <w:rsid w:val="0036266B"/>
    <w:rsid w:val="00363DD4"/>
    <w:rsid w:val="00365002"/>
    <w:rsid w:val="00365552"/>
    <w:rsid w:val="0037022F"/>
    <w:rsid w:val="003729F6"/>
    <w:rsid w:val="003757A9"/>
    <w:rsid w:val="00381DE8"/>
    <w:rsid w:val="003A4CCD"/>
    <w:rsid w:val="003A5FC2"/>
    <w:rsid w:val="003B3DAA"/>
    <w:rsid w:val="003B630F"/>
    <w:rsid w:val="003C15CA"/>
    <w:rsid w:val="003C52C1"/>
    <w:rsid w:val="003D0F6F"/>
    <w:rsid w:val="003D3C2F"/>
    <w:rsid w:val="003D49FF"/>
    <w:rsid w:val="003D72D6"/>
    <w:rsid w:val="003E0CFF"/>
    <w:rsid w:val="003E1827"/>
    <w:rsid w:val="003E2400"/>
    <w:rsid w:val="003E4611"/>
    <w:rsid w:val="003F09F2"/>
    <w:rsid w:val="003F3774"/>
    <w:rsid w:val="003F434B"/>
    <w:rsid w:val="003F63AC"/>
    <w:rsid w:val="003F749D"/>
    <w:rsid w:val="00400CE3"/>
    <w:rsid w:val="004012DB"/>
    <w:rsid w:val="00415906"/>
    <w:rsid w:val="00424091"/>
    <w:rsid w:val="0042547F"/>
    <w:rsid w:val="0042632C"/>
    <w:rsid w:val="00426395"/>
    <w:rsid w:val="004318BA"/>
    <w:rsid w:val="00431BB6"/>
    <w:rsid w:val="00431ED8"/>
    <w:rsid w:val="004322D0"/>
    <w:rsid w:val="004326EC"/>
    <w:rsid w:val="004336AA"/>
    <w:rsid w:val="00434684"/>
    <w:rsid w:val="00436241"/>
    <w:rsid w:val="00437518"/>
    <w:rsid w:val="00440423"/>
    <w:rsid w:val="00444478"/>
    <w:rsid w:val="00444EFC"/>
    <w:rsid w:val="00447810"/>
    <w:rsid w:val="00450F9F"/>
    <w:rsid w:val="0045346D"/>
    <w:rsid w:val="004537E4"/>
    <w:rsid w:val="0045473F"/>
    <w:rsid w:val="00455C74"/>
    <w:rsid w:val="00463209"/>
    <w:rsid w:val="004646CC"/>
    <w:rsid w:val="00471767"/>
    <w:rsid w:val="00472E83"/>
    <w:rsid w:val="00481FD6"/>
    <w:rsid w:val="00485D26"/>
    <w:rsid w:val="004974D5"/>
    <w:rsid w:val="00497803"/>
    <w:rsid w:val="004A0B5C"/>
    <w:rsid w:val="004A4DF9"/>
    <w:rsid w:val="004A5C39"/>
    <w:rsid w:val="004A5ECE"/>
    <w:rsid w:val="004A6AE1"/>
    <w:rsid w:val="004A79A9"/>
    <w:rsid w:val="004B497C"/>
    <w:rsid w:val="004B79F7"/>
    <w:rsid w:val="004B7B7E"/>
    <w:rsid w:val="004C261C"/>
    <w:rsid w:val="004C53FE"/>
    <w:rsid w:val="004C568E"/>
    <w:rsid w:val="004D07EC"/>
    <w:rsid w:val="004D1814"/>
    <w:rsid w:val="004D2C84"/>
    <w:rsid w:val="004D51AE"/>
    <w:rsid w:val="004D6814"/>
    <w:rsid w:val="004E48BC"/>
    <w:rsid w:val="004E4F47"/>
    <w:rsid w:val="004F0ABE"/>
    <w:rsid w:val="004F32D7"/>
    <w:rsid w:val="004F6F06"/>
    <w:rsid w:val="00500D81"/>
    <w:rsid w:val="00500EED"/>
    <w:rsid w:val="00501311"/>
    <w:rsid w:val="00503546"/>
    <w:rsid w:val="0050446C"/>
    <w:rsid w:val="0050680D"/>
    <w:rsid w:val="00506B18"/>
    <w:rsid w:val="00506C67"/>
    <w:rsid w:val="0051141C"/>
    <w:rsid w:val="00512D02"/>
    <w:rsid w:val="00513EFC"/>
    <w:rsid w:val="00514112"/>
    <w:rsid w:val="0051628B"/>
    <w:rsid w:val="00520CCF"/>
    <w:rsid w:val="00522A29"/>
    <w:rsid w:val="00525A19"/>
    <w:rsid w:val="00526FDA"/>
    <w:rsid w:val="00530FF5"/>
    <w:rsid w:val="00532C11"/>
    <w:rsid w:val="0053692A"/>
    <w:rsid w:val="005372A4"/>
    <w:rsid w:val="00540EB9"/>
    <w:rsid w:val="0054251B"/>
    <w:rsid w:val="005435A1"/>
    <w:rsid w:val="00543FA5"/>
    <w:rsid w:val="00546EB4"/>
    <w:rsid w:val="00547970"/>
    <w:rsid w:val="00554056"/>
    <w:rsid w:val="00556B9E"/>
    <w:rsid w:val="0056128E"/>
    <w:rsid w:val="005627B0"/>
    <w:rsid w:val="00562B83"/>
    <w:rsid w:val="005631FD"/>
    <w:rsid w:val="00563569"/>
    <w:rsid w:val="00566E6D"/>
    <w:rsid w:val="00567404"/>
    <w:rsid w:val="00571406"/>
    <w:rsid w:val="0057259F"/>
    <w:rsid w:val="00572CBD"/>
    <w:rsid w:val="00572DF4"/>
    <w:rsid w:val="00572FD6"/>
    <w:rsid w:val="0057424B"/>
    <w:rsid w:val="00577846"/>
    <w:rsid w:val="00577DDE"/>
    <w:rsid w:val="0058092C"/>
    <w:rsid w:val="00581180"/>
    <w:rsid w:val="0058185D"/>
    <w:rsid w:val="00583153"/>
    <w:rsid w:val="00583169"/>
    <w:rsid w:val="00583407"/>
    <w:rsid w:val="005838F6"/>
    <w:rsid w:val="00586B00"/>
    <w:rsid w:val="0059132B"/>
    <w:rsid w:val="005913AF"/>
    <w:rsid w:val="00597E14"/>
    <w:rsid w:val="005A4E08"/>
    <w:rsid w:val="005A77A1"/>
    <w:rsid w:val="005B0952"/>
    <w:rsid w:val="005B4B32"/>
    <w:rsid w:val="005B7AC2"/>
    <w:rsid w:val="005C1740"/>
    <w:rsid w:val="005C2673"/>
    <w:rsid w:val="005D1753"/>
    <w:rsid w:val="005D3962"/>
    <w:rsid w:val="005D4426"/>
    <w:rsid w:val="005D4672"/>
    <w:rsid w:val="005D4C2C"/>
    <w:rsid w:val="005D683A"/>
    <w:rsid w:val="005E2E68"/>
    <w:rsid w:val="005E2E9B"/>
    <w:rsid w:val="005E3428"/>
    <w:rsid w:val="005E4A99"/>
    <w:rsid w:val="005E68E0"/>
    <w:rsid w:val="005E6C8C"/>
    <w:rsid w:val="005F39B3"/>
    <w:rsid w:val="005F56B2"/>
    <w:rsid w:val="006070F3"/>
    <w:rsid w:val="00610691"/>
    <w:rsid w:val="00611439"/>
    <w:rsid w:val="0061340C"/>
    <w:rsid w:val="00615109"/>
    <w:rsid w:val="00616C7A"/>
    <w:rsid w:val="00617181"/>
    <w:rsid w:val="00627D1F"/>
    <w:rsid w:val="00627FED"/>
    <w:rsid w:val="00630E06"/>
    <w:rsid w:val="00631826"/>
    <w:rsid w:val="00637AC8"/>
    <w:rsid w:val="00637CB6"/>
    <w:rsid w:val="00641EFA"/>
    <w:rsid w:val="006420BB"/>
    <w:rsid w:val="00642D9E"/>
    <w:rsid w:val="00644CC3"/>
    <w:rsid w:val="00650142"/>
    <w:rsid w:val="0065234F"/>
    <w:rsid w:val="00653F10"/>
    <w:rsid w:val="0065698C"/>
    <w:rsid w:val="0066280D"/>
    <w:rsid w:val="00663818"/>
    <w:rsid w:val="00666F82"/>
    <w:rsid w:val="00677701"/>
    <w:rsid w:val="00681891"/>
    <w:rsid w:val="006819FB"/>
    <w:rsid w:val="00683844"/>
    <w:rsid w:val="00684766"/>
    <w:rsid w:val="00684E6D"/>
    <w:rsid w:val="00686208"/>
    <w:rsid w:val="0068621B"/>
    <w:rsid w:val="00686317"/>
    <w:rsid w:val="00686734"/>
    <w:rsid w:val="00686B50"/>
    <w:rsid w:val="0069250C"/>
    <w:rsid w:val="006969F0"/>
    <w:rsid w:val="006A21E3"/>
    <w:rsid w:val="006A6068"/>
    <w:rsid w:val="006B2838"/>
    <w:rsid w:val="006B66D2"/>
    <w:rsid w:val="006B77E6"/>
    <w:rsid w:val="006C1EC6"/>
    <w:rsid w:val="006C2959"/>
    <w:rsid w:val="006C3DF7"/>
    <w:rsid w:val="006C57A3"/>
    <w:rsid w:val="006C6D5D"/>
    <w:rsid w:val="006C6E90"/>
    <w:rsid w:val="006D36E5"/>
    <w:rsid w:val="006D58F3"/>
    <w:rsid w:val="006D68CC"/>
    <w:rsid w:val="006E16B6"/>
    <w:rsid w:val="006E1804"/>
    <w:rsid w:val="006E1BAD"/>
    <w:rsid w:val="006E1BE3"/>
    <w:rsid w:val="006E2210"/>
    <w:rsid w:val="006E26A5"/>
    <w:rsid w:val="006E2772"/>
    <w:rsid w:val="006E4666"/>
    <w:rsid w:val="00700C40"/>
    <w:rsid w:val="00700E56"/>
    <w:rsid w:val="0070328F"/>
    <w:rsid w:val="00704DCC"/>
    <w:rsid w:val="0070654E"/>
    <w:rsid w:val="00714394"/>
    <w:rsid w:val="007172E5"/>
    <w:rsid w:val="0071736E"/>
    <w:rsid w:val="00720185"/>
    <w:rsid w:val="0072097F"/>
    <w:rsid w:val="00720CE2"/>
    <w:rsid w:val="00722EAE"/>
    <w:rsid w:val="00723872"/>
    <w:rsid w:val="007252C0"/>
    <w:rsid w:val="00733A44"/>
    <w:rsid w:val="00733F8D"/>
    <w:rsid w:val="00735AED"/>
    <w:rsid w:val="0073776D"/>
    <w:rsid w:val="00740A3B"/>
    <w:rsid w:val="00744E35"/>
    <w:rsid w:val="00746CF6"/>
    <w:rsid w:val="00746DC4"/>
    <w:rsid w:val="0075396E"/>
    <w:rsid w:val="00753AC8"/>
    <w:rsid w:val="00754EA6"/>
    <w:rsid w:val="00755568"/>
    <w:rsid w:val="0075556F"/>
    <w:rsid w:val="00757AD8"/>
    <w:rsid w:val="00760204"/>
    <w:rsid w:val="00762A4A"/>
    <w:rsid w:val="007652A3"/>
    <w:rsid w:val="00765A28"/>
    <w:rsid w:val="007665F8"/>
    <w:rsid w:val="007700D3"/>
    <w:rsid w:val="007731B8"/>
    <w:rsid w:val="0077470E"/>
    <w:rsid w:val="00777530"/>
    <w:rsid w:val="007849C0"/>
    <w:rsid w:val="00785DF8"/>
    <w:rsid w:val="00787520"/>
    <w:rsid w:val="00791961"/>
    <w:rsid w:val="007923A6"/>
    <w:rsid w:val="007A1C81"/>
    <w:rsid w:val="007A241E"/>
    <w:rsid w:val="007A2DD3"/>
    <w:rsid w:val="007A40FD"/>
    <w:rsid w:val="007A6C43"/>
    <w:rsid w:val="007B03A4"/>
    <w:rsid w:val="007B0713"/>
    <w:rsid w:val="007B1235"/>
    <w:rsid w:val="007B32B6"/>
    <w:rsid w:val="007B6DA9"/>
    <w:rsid w:val="007C5531"/>
    <w:rsid w:val="007D0A7F"/>
    <w:rsid w:val="007D1CD2"/>
    <w:rsid w:val="007D46FF"/>
    <w:rsid w:val="007D50DD"/>
    <w:rsid w:val="007D5652"/>
    <w:rsid w:val="007D565F"/>
    <w:rsid w:val="007D609C"/>
    <w:rsid w:val="007E0294"/>
    <w:rsid w:val="007E0AE7"/>
    <w:rsid w:val="007E124B"/>
    <w:rsid w:val="007E17F3"/>
    <w:rsid w:val="007E1B25"/>
    <w:rsid w:val="007E1D27"/>
    <w:rsid w:val="007E25AF"/>
    <w:rsid w:val="007E5300"/>
    <w:rsid w:val="007E5B12"/>
    <w:rsid w:val="007E6180"/>
    <w:rsid w:val="007E644D"/>
    <w:rsid w:val="007F01EE"/>
    <w:rsid w:val="007F1CC4"/>
    <w:rsid w:val="007F1D52"/>
    <w:rsid w:val="007F2B7D"/>
    <w:rsid w:val="007F734C"/>
    <w:rsid w:val="00802E03"/>
    <w:rsid w:val="008040CE"/>
    <w:rsid w:val="0080601F"/>
    <w:rsid w:val="00807921"/>
    <w:rsid w:val="0081230B"/>
    <w:rsid w:val="008143C1"/>
    <w:rsid w:val="0081468C"/>
    <w:rsid w:val="008228F1"/>
    <w:rsid w:val="00823F0F"/>
    <w:rsid w:val="00825513"/>
    <w:rsid w:val="008402FC"/>
    <w:rsid w:val="00843236"/>
    <w:rsid w:val="00846A7C"/>
    <w:rsid w:val="00850456"/>
    <w:rsid w:val="0085210E"/>
    <w:rsid w:val="0086146F"/>
    <w:rsid w:val="00875599"/>
    <w:rsid w:val="008768A0"/>
    <w:rsid w:val="008807FE"/>
    <w:rsid w:val="00880E7C"/>
    <w:rsid w:val="0089212A"/>
    <w:rsid w:val="008970C2"/>
    <w:rsid w:val="00897C8A"/>
    <w:rsid w:val="008A44EA"/>
    <w:rsid w:val="008A5E49"/>
    <w:rsid w:val="008B1CB8"/>
    <w:rsid w:val="008B598A"/>
    <w:rsid w:val="008B6228"/>
    <w:rsid w:val="008B624F"/>
    <w:rsid w:val="008B76C8"/>
    <w:rsid w:val="008C4139"/>
    <w:rsid w:val="008C7B07"/>
    <w:rsid w:val="008D0B22"/>
    <w:rsid w:val="008D0FFE"/>
    <w:rsid w:val="008D1C21"/>
    <w:rsid w:val="008D534C"/>
    <w:rsid w:val="008D6AB5"/>
    <w:rsid w:val="008E0798"/>
    <w:rsid w:val="008E115C"/>
    <w:rsid w:val="008E142B"/>
    <w:rsid w:val="008E3DBA"/>
    <w:rsid w:val="008E4F00"/>
    <w:rsid w:val="008E602F"/>
    <w:rsid w:val="008E6112"/>
    <w:rsid w:val="008E76E5"/>
    <w:rsid w:val="008E7784"/>
    <w:rsid w:val="008F0F09"/>
    <w:rsid w:val="008F11FC"/>
    <w:rsid w:val="008F2CB8"/>
    <w:rsid w:val="008F57C5"/>
    <w:rsid w:val="008F6C98"/>
    <w:rsid w:val="009002D0"/>
    <w:rsid w:val="00900A75"/>
    <w:rsid w:val="00901A64"/>
    <w:rsid w:val="00903974"/>
    <w:rsid w:val="00912D2E"/>
    <w:rsid w:val="0092383C"/>
    <w:rsid w:val="00924F45"/>
    <w:rsid w:val="00925884"/>
    <w:rsid w:val="00931031"/>
    <w:rsid w:val="009336B7"/>
    <w:rsid w:val="00933840"/>
    <w:rsid w:val="00942B2A"/>
    <w:rsid w:val="00950560"/>
    <w:rsid w:val="009512E6"/>
    <w:rsid w:val="00952B35"/>
    <w:rsid w:val="009551F4"/>
    <w:rsid w:val="0096286B"/>
    <w:rsid w:val="00964A77"/>
    <w:rsid w:val="00965226"/>
    <w:rsid w:val="00965541"/>
    <w:rsid w:val="00965A05"/>
    <w:rsid w:val="009671B4"/>
    <w:rsid w:val="00971D8C"/>
    <w:rsid w:val="009763FA"/>
    <w:rsid w:val="00977D10"/>
    <w:rsid w:val="009804D5"/>
    <w:rsid w:val="009832BA"/>
    <w:rsid w:val="00985EEE"/>
    <w:rsid w:val="0098617C"/>
    <w:rsid w:val="00993951"/>
    <w:rsid w:val="00996BF2"/>
    <w:rsid w:val="00997D3C"/>
    <w:rsid w:val="009A08E0"/>
    <w:rsid w:val="009A2E2E"/>
    <w:rsid w:val="009A7138"/>
    <w:rsid w:val="009A76C6"/>
    <w:rsid w:val="009B03A1"/>
    <w:rsid w:val="009B082F"/>
    <w:rsid w:val="009B413F"/>
    <w:rsid w:val="009B64D2"/>
    <w:rsid w:val="009B660F"/>
    <w:rsid w:val="009C4DC6"/>
    <w:rsid w:val="009C672F"/>
    <w:rsid w:val="009D1B15"/>
    <w:rsid w:val="009D2DE9"/>
    <w:rsid w:val="009D7319"/>
    <w:rsid w:val="009E1599"/>
    <w:rsid w:val="009E249A"/>
    <w:rsid w:val="009E3124"/>
    <w:rsid w:val="009E46DB"/>
    <w:rsid w:val="009F05B5"/>
    <w:rsid w:val="009F1B59"/>
    <w:rsid w:val="009F4394"/>
    <w:rsid w:val="009F6075"/>
    <w:rsid w:val="009F6B9E"/>
    <w:rsid w:val="00A00584"/>
    <w:rsid w:val="00A01141"/>
    <w:rsid w:val="00A013A5"/>
    <w:rsid w:val="00A02203"/>
    <w:rsid w:val="00A06EB1"/>
    <w:rsid w:val="00A106B6"/>
    <w:rsid w:val="00A11BB5"/>
    <w:rsid w:val="00A12C2E"/>
    <w:rsid w:val="00A14D77"/>
    <w:rsid w:val="00A205D3"/>
    <w:rsid w:val="00A20CF3"/>
    <w:rsid w:val="00A230C3"/>
    <w:rsid w:val="00A23820"/>
    <w:rsid w:val="00A23C2D"/>
    <w:rsid w:val="00A255A6"/>
    <w:rsid w:val="00A26523"/>
    <w:rsid w:val="00A2665F"/>
    <w:rsid w:val="00A314E6"/>
    <w:rsid w:val="00A32497"/>
    <w:rsid w:val="00A33A1E"/>
    <w:rsid w:val="00A350DF"/>
    <w:rsid w:val="00A35E4B"/>
    <w:rsid w:val="00A37915"/>
    <w:rsid w:val="00A40026"/>
    <w:rsid w:val="00A409B0"/>
    <w:rsid w:val="00A41DA1"/>
    <w:rsid w:val="00A42AF2"/>
    <w:rsid w:val="00A4333D"/>
    <w:rsid w:val="00A53970"/>
    <w:rsid w:val="00A57158"/>
    <w:rsid w:val="00A57533"/>
    <w:rsid w:val="00A614BF"/>
    <w:rsid w:val="00A61EE1"/>
    <w:rsid w:val="00A62F8F"/>
    <w:rsid w:val="00A640BC"/>
    <w:rsid w:val="00A6679D"/>
    <w:rsid w:val="00A66AF4"/>
    <w:rsid w:val="00A70F23"/>
    <w:rsid w:val="00A72F89"/>
    <w:rsid w:val="00A75215"/>
    <w:rsid w:val="00A83620"/>
    <w:rsid w:val="00A83D1B"/>
    <w:rsid w:val="00A84C6C"/>
    <w:rsid w:val="00A862A5"/>
    <w:rsid w:val="00A8669B"/>
    <w:rsid w:val="00A87484"/>
    <w:rsid w:val="00A92B86"/>
    <w:rsid w:val="00A97728"/>
    <w:rsid w:val="00AA11A3"/>
    <w:rsid w:val="00AA3E21"/>
    <w:rsid w:val="00AA3E38"/>
    <w:rsid w:val="00AA59D6"/>
    <w:rsid w:val="00AB21E8"/>
    <w:rsid w:val="00AB315A"/>
    <w:rsid w:val="00AB3F8A"/>
    <w:rsid w:val="00AB4FFE"/>
    <w:rsid w:val="00AB5B7C"/>
    <w:rsid w:val="00AB65F1"/>
    <w:rsid w:val="00AC2EEE"/>
    <w:rsid w:val="00AC3104"/>
    <w:rsid w:val="00AC38EB"/>
    <w:rsid w:val="00AC6AFF"/>
    <w:rsid w:val="00AD12E2"/>
    <w:rsid w:val="00AD3A6C"/>
    <w:rsid w:val="00AD3DEE"/>
    <w:rsid w:val="00AD7BB9"/>
    <w:rsid w:val="00AE00BE"/>
    <w:rsid w:val="00AE3FF1"/>
    <w:rsid w:val="00AE4432"/>
    <w:rsid w:val="00AF3C6B"/>
    <w:rsid w:val="00AF67E7"/>
    <w:rsid w:val="00AF6DE6"/>
    <w:rsid w:val="00AF7190"/>
    <w:rsid w:val="00B106F6"/>
    <w:rsid w:val="00B10EA3"/>
    <w:rsid w:val="00B11DE2"/>
    <w:rsid w:val="00B130FF"/>
    <w:rsid w:val="00B15274"/>
    <w:rsid w:val="00B27352"/>
    <w:rsid w:val="00B32684"/>
    <w:rsid w:val="00B35097"/>
    <w:rsid w:val="00B3642F"/>
    <w:rsid w:val="00B36B76"/>
    <w:rsid w:val="00B4054C"/>
    <w:rsid w:val="00B41099"/>
    <w:rsid w:val="00B412F9"/>
    <w:rsid w:val="00B42BE8"/>
    <w:rsid w:val="00B454B5"/>
    <w:rsid w:val="00B45D86"/>
    <w:rsid w:val="00B50FE9"/>
    <w:rsid w:val="00B5229B"/>
    <w:rsid w:val="00B55AC3"/>
    <w:rsid w:val="00B55CA7"/>
    <w:rsid w:val="00B60304"/>
    <w:rsid w:val="00B623FC"/>
    <w:rsid w:val="00B63D4A"/>
    <w:rsid w:val="00B64B62"/>
    <w:rsid w:val="00B67097"/>
    <w:rsid w:val="00B7023A"/>
    <w:rsid w:val="00B7128D"/>
    <w:rsid w:val="00B71DAF"/>
    <w:rsid w:val="00B72DE1"/>
    <w:rsid w:val="00B73532"/>
    <w:rsid w:val="00B803E9"/>
    <w:rsid w:val="00B84AD6"/>
    <w:rsid w:val="00B97E1E"/>
    <w:rsid w:val="00BA3EE8"/>
    <w:rsid w:val="00BA4AA0"/>
    <w:rsid w:val="00BB0E9D"/>
    <w:rsid w:val="00BB1D95"/>
    <w:rsid w:val="00BB2574"/>
    <w:rsid w:val="00BB28DD"/>
    <w:rsid w:val="00BB3619"/>
    <w:rsid w:val="00BB4A37"/>
    <w:rsid w:val="00BB7017"/>
    <w:rsid w:val="00BB7980"/>
    <w:rsid w:val="00BC0FC5"/>
    <w:rsid w:val="00BC483A"/>
    <w:rsid w:val="00BC542B"/>
    <w:rsid w:val="00BC6F46"/>
    <w:rsid w:val="00BD27ED"/>
    <w:rsid w:val="00BD3218"/>
    <w:rsid w:val="00BD4120"/>
    <w:rsid w:val="00BD44DA"/>
    <w:rsid w:val="00BD4E57"/>
    <w:rsid w:val="00BD5D21"/>
    <w:rsid w:val="00BD7993"/>
    <w:rsid w:val="00BE2E68"/>
    <w:rsid w:val="00BE32A5"/>
    <w:rsid w:val="00BE4373"/>
    <w:rsid w:val="00BE7A06"/>
    <w:rsid w:val="00BE7B6A"/>
    <w:rsid w:val="00BF6844"/>
    <w:rsid w:val="00BF6D37"/>
    <w:rsid w:val="00BF7D99"/>
    <w:rsid w:val="00C04E35"/>
    <w:rsid w:val="00C05E68"/>
    <w:rsid w:val="00C119A4"/>
    <w:rsid w:val="00C11A66"/>
    <w:rsid w:val="00C20372"/>
    <w:rsid w:val="00C21168"/>
    <w:rsid w:val="00C23D34"/>
    <w:rsid w:val="00C24520"/>
    <w:rsid w:val="00C2740F"/>
    <w:rsid w:val="00C32183"/>
    <w:rsid w:val="00C3454E"/>
    <w:rsid w:val="00C37E2B"/>
    <w:rsid w:val="00C37F07"/>
    <w:rsid w:val="00C40519"/>
    <w:rsid w:val="00C43F8A"/>
    <w:rsid w:val="00C449E2"/>
    <w:rsid w:val="00C44E3A"/>
    <w:rsid w:val="00C45079"/>
    <w:rsid w:val="00C45097"/>
    <w:rsid w:val="00C473EE"/>
    <w:rsid w:val="00C53B80"/>
    <w:rsid w:val="00C54DFC"/>
    <w:rsid w:val="00C61304"/>
    <w:rsid w:val="00C649A3"/>
    <w:rsid w:val="00C656F9"/>
    <w:rsid w:val="00C67380"/>
    <w:rsid w:val="00C72954"/>
    <w:rsid w:val="00C72E92"/>
    <w:rsid w:val="00C76BEC"/>
    <w:rsid w:val="00C77797"/>
    <w:rsid w:val="00C778E6"/>
    <w:rsid w:val="00C815F5"/>
    <w:rsid w:val="00C81C3D"/>
    <w:rsid w:val="00C83561"/>
    <w:rsid w:val="00C8645B"/>
    <w:rsid w:val="00C9017F"/>
    <w:rsid w:val="00C91B50"/>
    <w:rsid w:val="00C92ED9"/>
    <w:rsid w:val="00C94EDE"/>
    <w:rsid w:val="00C96DFF"/>
    <w:rsid w:val="00CA02DB"/>
    <w:rsid w:val="00CA2B61"/>
    <w:rsid w:val="00CA61A3"/>
    <w:rsid w:val="00CA67FA"/>
    <w:rsid w:val="00CB5281"/>
    <w:rsid w:val="00CB7895"/>
    <w:rsid w:val="00CC087F"/>
    <w:rsid w:val="00CC19B7"/>
    <w:rsid w:val="00CC656A"/>
    <w:rsid w:val="00CD18D9"/>
    <w:rsid w:val="00CD520F"/>
    <w:rsid w:val="00CD64D8"/>
    <w:rsid w:val="00CD66B1"/>
    <w:rsid w:val="00CE29FB"/>
    <w:rsid w:val="00CE7119"/>
    <w:rsid w:val="00CF57B9"/>
    <w:rsid w:val="00CF6E55"/>
    <w:rsid w:val="00CF6E5B"/>
    <w:rsid w:val="00CF7173"/>
    <w:rsid w:val="00D03515"/>
    <w:rsid w:val="00D05831"/>
    <w:rsid w:val="00D06A0C"/>
    <w:rsid w:val="00D10714"/>
    <w:rsid w:val="00D14190"/>
    <w:rsid w:val="00D16987"/>
    <w:rsid w:val="00D2011A"/>
    <w:rsid w:val="00D23E93"/>
    <w:rsid w:val="00D24367"/>
    <w:rsid w:val="00D26643"/>
    <w:rsid w:val="00D3129B"/>
    <w:rsid w:val="00D319CA"/>
    <w:rsid w:val="00D33684"/>
    <w:rsid w:val="00D40E6A"/>
    <w:rsid w:val="00D44D0B"/>
    <w:rsid w:val="00D471E5"/>
    <w:rsid w:val="00D47A45"/>
    <w:rsid w:val="00D52972"/>
    <w:rsid w:val="00D54341"/>
    <w:rsid w:val="00D5696D"/>
    <w:rsid w:val="00D56EEC"/>
    <w:rsid w:val="00D57707"/>
    <w:rsid w:val="00D62560"/>
    <w:rsid w:val="00D639F4"/>
    <w:rsid w:val="00D6651C"/>
    <w:rsid w:val="00D702CE"/>
    <w:rsid w:val="00D719C2"/>
    <w:rsid w:val="00D73900"/>
    <w:rsid w:val="00D73C0C"/>
    <w:rsid w:val="00D7508E"/>
    <w:rsid w:val="00D8040F"/>
    <w:rsid w:val="00D82742"/>
    <w:rsid w:val="00D87AD4"/>
    <w:rsid w:val="00D91384"/>
    <w:rsid w:val="00D917E9"/>
    <w:rsid w:val="00D9533B"/>
    <w:rsid w:val="00D97D29"/>
    <w:rsid w:val="00DA09E0"/>
    <w:rsid w:val="00DA236F"/>
    <w:rsid w:val="00DA3947"/>
    <w:rsid w:val="00DA519E"/>
    <w:rsid w:val="00DA6FDE"/>
    <w:rsid w:val="00DB268D"/>
    <w:rsid w:val="00DB4713"/>
    <w:rsid w:val="00DC2441"/>
    <w:rsid w:val="00DC46A5"/>
    <w:rsid w:val="00DC5423"/>
    <w:rsid w:val="00DC6218"/>
    <w:rsid w:val="00DC7F3C"/>
    <w:rsid w:val="00DD0B40"/>
    <w:rsid w:val="00DD30F5"/>
    <w:rsid w:val="00DD35B0"/>
    <w:rsid w:val="00DD71F7"/>
    <w:rsid w:val="00DE339E"/>
    <w:rsid w:val="00DE4A8A"/>
    <w:rsid w:val="00DE4FA1"/>
    <w:rsid w:val="00DF14E3"/>
    <w:rsid w:val="00DF2602"/>
    <w:rsid w:val="00DF4A3A"/>
    <w:rsid w:val="00DF6705"/>
    <w:rsid w:val="00DF76BE"/>
    <w:rsid w:val="00E01A8F"/>
    <w:rsid w:val="00E033F8"/>
    <w:rsid w:val="00E05E32"/>
    <w:rsid w:val="00E128D6"/>
    <w:rsid w:val="00E1404B"/>
    <w:rsid w:val="00E162A1"/>
    <w:rsid w:val="00E16C36"/>
    <w:rsid w:val="00E26CB3"/>
    <w:rsid w:val="00E27718"/>
    <w:rsid w:val="00E27907"/>
    <w:rsid w:val="00E303AF"/>
    <w:rsid w:val="00E32C2A"/>
    <w:rsid w:val="00E3480A"/>
    <w:rsid w:val="00E351B5"/>
    <w:rsid w:val="00E41C91"/>
    <w:rsid w:val="00E4263B"/>
    <w:rsid w:val="00E42686"/>
    <w:rsid w:val="00E435EC"/>
    <w:rsid w:val="00E46A9C"/>
    <w:rsid w:val="00E52C42"/>
    <w:rsid w:val="00E543CE"/>
    <w:rsid w:val="00E55C29"/>
    <w:rsid w:val="00E56BA2"/>
    <w:rsid w:val="00E57733"/>
    <w:rsid w:val="00E603CF"/>
    <w:rsid w:val="00E6490E"/>
    <w:rsid w:val="00E708B3"/>
    <w:rsid w:val="00E7234D"/>
    <w:rsid w:val="00E74067"/>
    <w:rsid w:val="00E82BA9"/>
    <w:rsid w:val="00E85E55"/>
    <w:rsid w:val="00E90B57"/>
    <w:rsid w:val="00E916A0"/>
    <w:rsid w:val="00E925FE"/>
    <w:rsid w:val="00EA089E"/>
    <w:rsid w:val="00EA16CD"/>
    <w:rsid w:val="00EA4367"/>
    <w:rsid w:val="00EA52BE"/>
    <w:rsid w:val="00EA553B"/>
    <w:rsid w:val="00EA57B1"/>
    <w:rsid w:val="00EA7023"/>
    <w:rsid w:val="00EB08F7"/>
    <w:rsid w:val="00EB5743"/>
    <w:rsid w:val="00EB5C25"/>
    <w:rsid w:val="00EB606A"/>
    <w:rsid w:val="00EC0743"/>
    <w:rsid w:val="00EC2E8F"/>
    <w:rsid w:val="00EC3ACC"/>
    <w:rsid w:val="00EC5D1F"/>
    <w:rsid w:val="00EC5F0F"/>
    <w:rsid w:val="00ED0815"/>
    <w:rsid w:val="00ED41B7"/>
    <w:rsid w:val="00ED4995"/>
    <w:rsid w:val="00EE1AC7"/>
    <w:rsid w:val="00EE2E8E"/>
    <w:rsid w:val="00EE3682"/>
    <w:rsid w:val="00EE3AAE"/>
    <w:rsid w:val="00EE728D"/>
    <w:rsid w:val="00EF28C4"/>
    <w:rsid w:val="00EF7C9D"/>
    <w:rsid w:val="00EF7F10"/>
    <w:rsid w:val="00F03B4F"/>
    <w:rsid w:val="00F04D64"/>
    <w:rsid w:val="00F05818"/>
    <w:rsid w:val="00F071EC"/>
    <w:rsid w:val="00F11912"/>
    <w:rsid w:val="00F15092"/>
    <w:rsid w:val="00F1634A"/>
    <w:rsid w:val="00F20683"/>
    <w:rsid w:val="00F21460"/>
    <w:rsid w:val="00F22951"/>
    <w:rsid w:val="00F2487F"/>
    <w:rsid w:val="00F26827"/>
    <w:rsid w:val="00F27160"/>
    <w:rsid w:val="00F27C0E"/>
    <w:rsid w:val="00F33464"/>
    <w:rsid w:val="00F36DAB"/>
    <w:rsid w:val="00F420E0"/>
    <w:rsid w:val="00F4258C"/>
    <w:rsid w:val="00F460B7"/>
    <w:rsid w:val="00F5436C"/>
    <w:rsid w:val="00F554EE"/>
    <w:rsid w:val="00F569C2"/>
    <w:rsid w:val="00F57538"/>
    <w:rsid w:val="00F608DD"/>
    <w:rsid w:val="00F64EC7"/>
    <w:rsid w:val="00F674E0"/>
    <w:rsid w:val="00F71A61"/>
    <w:rsid w:val="00F76225"/>
    <w:rsid w:val="00F76722"/>
    <w:rsid w:val="00F76E5A"/>
    <w:rsid w:val="00F77AB8"/>
    <w:rsid w:val="00F85563"/>
    <w:rsid w:val="00F85A49"/>
    <w:rsid w:val="00F923EA"/>
    <w:rsid w:val="00F954A8"/>
    <w:rsid w:val="00F9739F"/>
    <w:rsid w:val="00FA14A6"/>
    <w:rsid w:val="00FA1D3A"/>
    <w:rsid w:val="00FA283C"/>
    <w:rsid w:val="00FA3138"/>
    <w:rsid w:val="00FA3BFE"/>
    <w:rsid w:val="00FB0377"/>
    <w:rsid w:val="00FB5AB9"/>
    <w:rsid w:val="00FB5ACD"/>
    <w:rsid w:val="00FB6FB8"/>
    <w:rsid w:val="00FB7F5B"/>
    <w:rsid w:val="00FC0094"/>
    <w:rsid w:val="00FC1377"/>
    <w:rsid w:val="00FC2160"/>
    <w:rsid w:val="00FC49AE"/>
    <w:rsid w:val="00FC584C"/>
    <w:rsid w:val="00FD57C7"/>
    <w:rsid w:val="00FD5B41"/>
    <w:rsid w:val="00FD6512"/>
    <w:rsid w:val="00FE2A05"/>
    <w:rsid w:val="00FE2BDB"/>
    <w:rsid w:val="00FE339E"/>
    <w:rsid w:val="00FE451C"/>
    <w:rsid w:val="00FE6035"/>
    <w:rsid w:val="00FE62C7"/>
    <w:rsid w:val="00FE7E64"/>
    <w:rsid w:val="00FF026E"/>
    <w:rsid w:val="00FF43D3"/>
    <w:rsid w:val="00FF5BB0"/>
    <w:rsid w:val="00FF7B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432C"/>
  <w15:chartTrackingRefBased/>
  <w15:docId w15:val="{648AE7B8-72CD-4362-94FE-D4580992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E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71A61"/>
    <w:pPr>
      <w:bidi w:val="0"/>
      <w:spacing w:after="0" w:line="480" w:lineRule="auto"/>
    </w:pPr>
  </w:style>
  <w:style w:type="character" w:customStyle="1" w:styleId="FootnoteTextChar">
    <w:name w:val="Footnote Text Char"/>
    <w:basedOn w:val="DefaultParagraphFont"/>
    <w:link w:val="FootnoteText"/>
    <w:uiPriority w:val="99"/>
    <w:rsid w:val="00F71A61"/>
  </w:style>
  <w:style w:type="character" w:styleId="FootnoteReference">
    <w:name w:val="footnote reference"/>
    <w:basedOn w:val="DefaultParagraphFont"/>
    <w:uiPriority w:val="99"/>
    <w:semiHidden/>
    <w:unhideWhenUsed/>
    <w:rsid w:val="00700E56"/>
    <w:rPr>
      <w:vertAlign w:val="superscript"/>
    </w:rPr>
  </w:style>
  <w:style w:type="paragraph" w:customStyle="1" w:styleId="a">
    <w:name w:val="הערות שוליים"/>
    <w:autoRedefine/>
    <w:qFormat/>
    <w:rsid w:val="00D03515"/>
    <w:pPr>
      <w:spacing w:after="0" w:line="480" w:lineRule="auto"/>
      <w:contextualSpacing/>
      <w:jc w:val="both"/>
    </w:pPr>
  </w:style>
  <w:style w:type="character" w:styleId="CommentReference">
    <w:name w:val="annotation reference"/>
    <w:basedOn w:val="DefaultParagraphFont"/>
    <w:uiPriority w:val="99"/>
    <w:semiHidden/>
    <w:unhideWhenUsed/>
    <w:rsid w:val="001A3C01"/>
    <w:rPr>
      <w:sz w:val="16"/>
      <w:szCs w:val="16"/>
    </w:rPr>
  </w:style>
  <w:style w:type="paragraph" w:styleId="CommentText">
    <w:name w:val="annotation text"/>
    <w:basedOn w:val="Normal"/>
    <w:link w:val="CommentTextChar"/>
    <w:uiPriority w:val="99"/>
    <w:semiHidden/>
    <w:unhideWhenUsed/>
    <w:rsid w:val="001A3C01"/>
    <w:pPr>
      <w:spacing w:line="240" w:lineRule="auto"/>
    </w:pPr>
    <w:rPr>
      <w:sz w:val="20"/>
      <w:szCs w:val="20"/>
    </w:rPr>
  </w:style>
  <w:style w:type="character" w:customStyle="1" w:styleId="CommentTextChar">
    <w:name w:val="Comment Text Char"/>
    <w:basedOn w:val="DefaultParagraphFont"/>
    <w:link w:val="CommentText"/>
    <w:uiPriority w:val="99"/>
    <w:semiHidden/>
    <w:rsid w:val="001A3C01"/>
    <w:rPr>
      <w:sz w:val="20"/>
      <w:szCs w:val="20"/>
    </w:rPr>
  </w:style>
  <w:style w:type="paragraph" w:styleId="CommentSubject">
    <w:name w:val="annotation subject"/>
    <w:basedOn w:val="CommentText"/>
    <w:next w:val="CommentText"/>
    <w:link w:val="CommentSubjectChar"/>
    <w:uiPriority w:val="99"/>
    <w:semiHidden/>
    <w:unhideWhenUsed/>
    <w:rsid w:val="001A3C01"/>
    <w:rPr>
      <w:b/>
      <w:bCs/>
    </w:rPr>
  </w:style>
  <w:style w:type="character" w:customStyle="1" w:styleId="CommentSubjectChar">
    <w:name w:val="Comment Subject Char"/>
    <w:basedOn w:val="CommentTextChar"/>
    <w:link w:val="CommentSubject"/>
    <w:uiPriority w:val="99"/>
    <w:semiHidden/>
    <w:rsid w:val="001A3C01"/>
    <w:rPr>
      <w:b/>
      <w:bCs/>
      <w:sz w:val="20"/>
      <w:szCs w:val="20"/>
    </w:rPr>
  </w:style>
  <w:style w:type="paragraph" w:styleId="Revision">
    <w:name w:val="Revision"/>
    <w:hidden/>
    <w:uiPriority w:val="99"/>
    <w:semiHidden/>
    <w:rsid w:val="001A3C01"/>
    <w:pPr>
      <w:spacing w:after="0" w:line="240" w:lineRule="auto"/>
    </w:pPr>
  </w:style>
  <w:style w:type="paragraph" w:styleId="BalloonText">
    <w:name w:val="Balloon Text"/>
    <w:basedOn w:val="Normal"/>
    <w:link w:val="BalloonTextChar"/>
    <w:uiPriority w:val="99"/>
    <w:semiHidden/>
    <w:unhideWhenUsed/>
    <w:rsid w:val="001A3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01"/>
    <w:rPr>
      <w:rFonts w:ascii="Segoe UI" w:hAnsi="Segoe UI" w:cs="Segoe UI"/>
      <w:sz w:val="18"/>
      <w:szCs w:val="18"/>
    </w:rPr>
  </w:style>
  <w:style w:type="paragraph" w:styleId="ListParagraph">
    <w:name w:val="List Paragraph"/>
    <w:basedOn w:val="Normal"/>
    <w:uiPriority w:val="34"/>
    <w:qFormat/>
    <w:rsid w:val="00C27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9</Pages>
  <Words>1229</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Twersky</dc:creator>
  <cp:keywords/>
  <dc:description/>
  <cp:lastModifiedBy>Yitzchak Twersky</cp:lastModifiedBy>
  <cp:revision>121</cp:revision>
  <dcterms:created xsi:type="dcterms:W3CDTF">2016-11-10T07:27:00Z</dcterms:created>
  <dcterms:modified xsi:type="dcterms:W3CDTF">2016-11-13T09:16:00Z</dcterms:modified>
</cp:coreProperties>
</file>