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E31A6" w14:textId="22EF97CD" w:rsidR="003F4E1B" w:rsidRDefault="00D8267F" w:rsidP="00D8267F">
      <w:pPr>
        <w:jc w:val="center"/>
        <w:rPr>
          <w:rFonts w:asciiTheme="majorBidi" w:hAnsiTheme="majorBidi" w:cstheme="majorBidi"/>
          <w:b/>
          <w:bCs/>
          <w:sz w:val="28"/>
          <w:szCs w:val="28"/>
          <w:rtl/>
        </w:rPr>
      </w:pPr>
      <w:r w:rsidRPr="00D8267F">
        <w:rPr>
          <w:rFonts w:asciiTheme="majorBidi" w:hAnsiTheme="majorBidi" w:cstheme="majorBidi"/>
          <w:b/>
          <w:bCs/>
          <w:sz w:val="28"/>
          <w:szCs w:val="28"/>
        </w:rPr>
        <w:t>Practices of Loyalty to the Empire</w:t>
      </w:r>
      <w:r>
        <w:rPr>
          <w:rFonts w:asciiTheme="majorBidi" w:hAnsiTheme="majorBidi" w:cstheme="majorBidi"/>
          <w:b/>
          <w:bCs/>
          <w:sz w:val="28"/>
          <w:szCs w:val="28"/>
        </w:rPr>
        <w:t>:</w:t>
      </w:r>
    </w:p>
    <w:p w14:paraId="02064218" w14:textId="5C9F5509" w:rsidR="00D8267F" w:rsidRDefault="00D8267F" w:rsidP="00D8267F">
      <w:pPr>
        <w:spacing w:after="120"/>
        <w:jc w:val="center"/>
        <w:rPr>
          <w:rFonts w:asciiTheme="majorBidi" w:hAnsiTheme="majorBidi" w:cstheme="majorBidi"/>
          <w:b/>
          <w:bCs/>
          <w:sz w:val="28"/>
          <w:szCs w:val="28"/>
        </w:rPr>
      </w:pPr>
      <w:r>
        <w:rPr>
          <w:rFonts w:asciiTheme="majorBidi" w:hAnsiTheme="majorBidi" w:cstheme="majorBidi"/>
          <w:b/>
          <w:bCs/>
          <w:sz w:val="28"/>
          <w:szCs w:val="28"/>
        </w:rPr>
        <w:t>The Ottomanization Movement as a Test Case</w:t>
      </w:r>
    </w:p>
    <w:p w14:paraId="678E11A2" w14:textId="593A0ADC" w:rsidR="00D8267F" w:rsidRDefault="00D8267F" w:rsidP="00D8267F">
      <w:pPr>
        <w:jc w:val="center"/>
        <w:rPr>
          <w:rFonts w:asciiTheme="majorBidi" w:hAnsiTheme="majorBidi" w:cstheme="majorBidi"/>
          <w:b/>
          <w:bCs/>
        </w:rPr>
      </w:pPr>
      <w:r w:rsidRPr="00D8267F">
        <w:rPr>
          <w:rFonts w:asciiTheme="majorBidi" w:hAnsiTheme="majorBidi" w:cstheme="majorBidi"/>
          <w:b/>
          <w:bCs/>
        </w:rPr>
        <w:t>Abigail Jacobson</w:t>
      </w:r>
    </w:p>
    <w:p w14:paraId="22BF8C90" w14:textId="298046B5" w:rsidR="00D8267F" w:rsidRDefault="00D8267F" w:rsidP="00D8267F">
      <w:pPr>
        <w:jc w:val="center"/>
        <w:rPr>
          <w:rFonts w:asciiTheme="majorBidi" w:hAnsiTheme="majorBidi" w:cstheme="majorBidi"/>
          <w:b/>
          <w:bCs/>
        </w:rPr>
      </w:pPr>
    </w:p>
    <w:p w14:paraId="392551CA" w14:textId="1C5E9023" w:rsidR="00D8267F" w:rsidRDefault="00D8267F" w:rsidP="00D8267F">
      <w:pPr>
        <w:spacing w:line="360" w:lineRule="auto"/>
        <w:jc w:val="both"/>
        <w:rPr>
          <w:rFonts w:asciiTheme="majorBidi" w:hAnsiTheme="majorBidi" w:cstheme="majorBidi"/>
        </w:rPr>
      </w:pPr>
      <w:r>
        <w:rPr>
          <w:rFonts w:asciiTheme="majorBidi" w:hAnsiTheme="majorBidi" w:cstheme="majorBidi"/>
        </w:rPr>
        <w:tab/>
        <w:t xml:space="preserve">On December 7, 1914, about two months after the Ottoman Empire’s declaration abrogating the </w:t>
      </w:r>
      <w:r w:rsidR="0097216E">
        <w:rPr>
          <w:rFonts w:asciiTheme="majorBidi" w:hAnsiTheme="majorBidi" w:cstheme="majorBidi"/>
        </w:rPr>
        <w:t>Capitulations</w:t>
      </w:r>
      <w:r>
        <w:rPr>
          <w:rFonts w:asciiTheme="majorBidi" w:hAnsiTheme="majorBidi" w:cstheme="majorBidi"/>
        </w:rPr>
        <w:t xml:space="preserve">—the extraordinary rights granted to foreign nationals—in the wake of its entry into World War I, David Ben-Gurion published an enthusiastic article in the newspaper </w:t>
      </w:r>
      <w:r w:rsidRPr="00D8267F">
        <w:rPr>
          <w:rFonts w:asciiTheme="majorBidi" w:hAnsiTheme="majorBidi" w:cstheme="majorBidi"/>
          <w:i/>
          <w:iCs/>
        </w:rPr>
        <w:t>Ha-</w:t>
      </w:r>
      <w:proofErr w:type="spellStart"/>
      <w:r w:rsidRPr="00D8267F">
        <w:rPr>
          <w:rFonts w:asciiTheme="majorBidi" w:hAnsiTheme="majorBidi" w:cstheme="majorBidi"/>
          <w:i/>
          <w:iCs/>
        </w:rPr>
        <w:t>A</w:t>
      </w:r>
      <w:r w:rsidR="006F1C3C">
        <w:rPr>
          <w:rFonts w:asciiTheme="majorBidi" w:hAnsiTheme="majorBidi" w:cstheme="majorBidi"/>
          <w:i/>
          <w:iCs/>
        </w:rPr>
        <w:t>ḥ</w:t>
      </w:r>
      <w:r w:rsidRPr="00D8267F">
        <w:rPr>
          <w:rFonts w:asciiTheme="majorBidi" w:hAnsiTheme="majorBidi" w:cstheme="majorBidi"/>
          <w:i/>
          <w:iCs/>
        </w:rPr>
        <w:t>dut</w:t>
      </w:r>
      <w:proofErr w:type="spellEnd"/>
      <w:r>
        <w:rPr>
          <w:rFonts w:asciiTheme="majorBidi" w:hAnsiTheme="majorBidi" w:cstheme="majorBidi"/>
        </w:rPr>
        <w:t>.</w:t>
      </w:r>
      <w:r>
        <w:rPr>
          <w:rStyle w:val="FootnoteReference"/>
          <w:rFonts w:asciiTheme="majorBidi" w:hAnsiTheme="majorBidi" w:cstheme="majorBidi"/>
        </w:rPr>
        <w:footnoteReference w:id="1"/>
      </w:r>
      <w:r w:rsidR="007326A2">
        <w:rPr>
          <w:rFonts w:asciiTheme="majorBidi" w:hAnsiTheme="majorBidi" w:cstheme="majorBidi"/>
        </w:rPr>
        <w:t xml:space="preserve"> In his article, entitled “</w:t>
      </w:r>
      <w:proofErr w:type="spellStart"/>
      <w:r w:rsidR="007326A2">
        <w:rPr>
          <w:rFonts w:asciiTheme="majorBidi" w:hAnsiTheme="majorBidi" w:cstheme="majorBidi"/>
          <w:i/>
          <w:iCs/>
        </w:rPr>
        <w:t>Hakhshara</w:t>
      </w:r>
      <w:proofErr w:type="spellEnd"/>
      <w:r w:rsidR="007326A2">
        <w:rPr>
          <w:rFonts w:asciiTheme="majorBidi" w:hAnsiTheme="majorBidi" w:cstheme="majorBidi"/>
          <w:i/>
          <w:iCs/>
        </w:rPr>
        <w:t xml:space="preserve"> </w:t>
      </w:r>
      <w:proofErr w:type="spellStart"/>
      <w:r w:rsidR="007326A2">
        <w:rPr>
          <w:rFonts w:asciiTheme="majorBidi" w:hAnsiTheme="majorBidi" w:cstheme="majorBidi"/>
          <w:i/>
          <w:iCs/>
        </w:rPr>
        <w:t>Ezraḥit</w:t>
      </w:r>
      <w:proofErr w:type="spellEnd"/>
      <w:r w:rsidR="007326A2">
        <w:rPr>
          <w:rFonts w:asciiTheme="majorBidi" w:hAnsiTheme="majorBidi" w:cstheme="majorBidi"/>
        </w:rPr>
        <w:t>”</w:t>
      </w:r>
      <w:r w:rsidR="0097216E">
        <w:rPr>
          <w:rFonts w:asciiTheme="majorBidi" w:hAnsiTheme="majorBidi" w:cstheme="majorBidi"/>
        </w:rPr>
        <w:t xml:space="preserve"> (“Civil Preparedness” o</w:t>
      </w:r>
      <w:r w:rsidR="00314D2B">
        <w:rPr>
          <w:rFonts w:asciiTheme="majorBidi" w:hAnsiTheme="majorBidi" w:cstheme="majorBidi"/>
        </w:rPr>
        <w:t>r</w:t>
      </w:r>
      <w:r w:rsidR="0097216E">
        <w:rPr>
          <w:rFonts w:asciiTheme="majorBidi" w:hAnsiTheme="majorBidi" w:cstheme="majorBidi"/>
        </w:rPr>
        <w:t xml:space="preserve"> “</w:t>
      </w:r>
      <w:r w:rsidR="00314D2B">
        <w:rPr>
          <w:rFonts w:asciiTheme="majorBidi" w:hAnsiTheme="majorBidi" w:cstheme="majorBidi"/>
        </w:rPr>
        <w:t>Training for</w:t>
      </w:r>
      <w:r w:rsidR="0097216E">
        <w:rPr>
          <w:rFonts w:asciiTheme="majorBidi" w:hAnsiTheme="majorBidi" w:cstheme="majorBidi"/>
        </w:rPr>
        <w:t xml:space="preserve"> Citizen</w:t>
      </w:r>
      <w:r w:rsidR="00314D2B">
        <w:rPr>
          <w:rFonts w:asciiTheme="majorBidi" w:hAnsiTheme="majorBidi" w:cstheme="majorBidi"/>
        </w:rPr>
        <w:t>ship</w:t>
      </w:r>
      <w:r w:rsidR="0097216E">
        <w:rPr>
          <w:rFonts w:asciiTheme="majorBidi" w:hAnsiTheme="majorBidi" w:cstheme="majorBidi"/>
        </w:rPr>
        <w:t>”),</w:t>
      </w:r>
      <w:r w:rsidR="007326A2">
        <w:rPr>
          <w:rFonts w:asciiTheme="majorBidi" w:hAnsiTheme="majorBidi" w:cstheme="majorBidi"/>
        </w:rPr>
        <w:t xml:space="preserve"> Ben-Gurion related to the outbreak of the war, the crisis embroiling the Yishuv (the Jewish community of Palestine), and the </w:t>
      </w:r>
      <w:r w:rsidR="006F1C3C">
        <w:rPr>
          <w:rFonts w:asciiTheme="majorBidi" w:hAnsiTheme="majorBidi" w:cstheme="majorBidi"/>
        </w:rPr>
        <w:t>abrogation</w:t>
      </w:r>
      <w:r w:rsidR="007326A2">
        <w:rPr>
          <w:rFonts w:asciiTheme="majorBidi" w:hAnsiTheme="majorBidi" w:cstheme="majorBidi"/>
        </w:rPr>
        <w:t xml:space="preserve"> of the Capitulations, explaining why foreign nation</w:t>
      </w:r>
      <w:r w:rsidR="006F1C3C">
        <w:rPr>
          <w:rFonts w:asciiTheme="majorBidi" w:hAnsiTheme="majorBidi" w:cstheme="majorBidi"/>
        </w:rPr>
        <w:t>al</w:t>
      </w:r>
      <w:r w:rsidR="007326A2">
        <w:rPr>
          <w:rFonts w:asciiTheme="majorBidi" w:hAnsiTheme="majorBidi" w:cstheme="majorBidi"/>
        </w:rPr>
        <w:t xml:space="preserve">s in the Yishuv should become Ottoman subjects and what the meaning of naturalization would be for their lives in that country. In his opinion, the foreignness of the Jews in Palestine who held foreign citizenship did not enable them to integrate into the country and the imperial realm, and that had consequences for the status of the Yishuv, its participation (or non-participation) in the </w:t>
      </w:r>
      <w:r w:rsidR="00780E95">
        <w:rPr>
          <w:rFonts w:asciiTheme="majorBidi" w:hAnsiTheme="majorBidi" w:cstheme="majorBidi"/>
        </w:rPr>
        <w:t>institutions of the central government, and on their relations with the “natives,” the Arabs. Ben-Gurion therefore called for the naturalization of members of the Yishuv who help foreign nationality, writing:</w:t>
      </w:r>
    </w:p>
    <w:p w14:paraId="72CC54D9" w14:textId="77777777" w:rsidR="00D0036F" w:rsidRDefault="00D0036F" w:rsidP="00D8267F">
      <w:pPr>
        <w:spacing w:line="360" w:lineRule="auto"/>
        <w:jc w:val="both"/>
        <w:rPr>
          <w:rFonts w:asciiTheme="majorBidi" w:hAnsiTheme="majorBidi" w:cstheme="majorBidi"/>
        </w:rPr>
      </w:pPr>
    </w:p>
    <w:p w14:paraId="5D5E73A3" w14:textId="1BACF56B" w:rsidR="00780E95" w:rsidRDefault="006C3A9E" w:rsidP="00780E95">
      <w:pPr>
        <w:spacing w:line="360" w:lineRule="auto"/>
        <w:ind w:left="720" w:right="720"/>
        <w:jc w:val="both"/>
        <w:rPr>
          <w:rFonts w:asciiTheme="majorBidi" w:hAnsiTheme="majorBidi" w:cstheme="majorBidi"/>
        </w:rPr>
      </w:pPr>
      <w:r>
        <w:rPr>
          <w:rFonts w:asciiTheme="majorBidi" w:hAnsiTheme="majorBidi" w:cstheme="majorBidi"/>
        </w:rPr>
        <w:t xml:space="preserve">Our foreignness in this country—this </w:t>
      </w:r>
      <w:r w:rsidR="0097216E">
        <w:rPr>
          <w:rFonts w:asciiTheme="majorBidi" w:hAnsiTheme="majorBidi" w:cstheme="majorBidi"/>
        </w:rPr>
        <w:t>was</w:t>
      </w:r>
      <w:r>
        <w:rPr>
          <w:rFonts w:asciiTheme="majorBidi" w:hAnsiTheme="majorBidi" w:cstheme="majorBidi"/>
        </w:rPr>
        <w:t xml:space="preserve"> distort</w:t>
      </w:r>
      <w:r w:rsidR="0097216E">
        <w:rPr>
          <w:rFonts w:asciiTheme="majorBidi" w:hAnsiTheme="majorBidi" w:cstheme="majorBidi"/>
        </w:rPr>
        <w:t>ed</w:t>
      </w:r>
      <w:r>
        <w:rPr>
          <w:rFonts w:asciiTheme="majorBidi" w:hAnsiTheme="majorBidi" w:cstheme="majorBidi"/>
        </w:rPr>
        <w:t xml:space="preserve"> not outwardly but primarily and especially inwardly. </w:t>
      </w:r>
      <w:r w:rsidR="00397984">
        <w:rPr>
          <w:rFonts w:asciiTheme="majorBidi" w:hAnsiTheme="majorBidi" w:cstheme="majorBidi"/>
        </w:rPr>
        <w:t>Well-known are t</w:t>
      </w:r>
      <w:r>
        <w:rPr>
          <w:rFonts w:asciiTheme="majorBidi" w:hAnsiTheme="majorBidi" w:cstheme="majorBidi"/>
        </w:rPr>
        <w:t xml:space="preserve">he various obstacles and impediments placed on the path to naturalization and </w:t>
      </w:r>
      <w:r w:rsidR="006F1C3C">
        <w:rPr>
          <w:rFonts w:asciiTheme="majorBidi" w:hAnsiTheme="majorBidi" w:cstheme="majorBidi"/>
        </w:rPr>
        <w:t>attaining</w:t>
      </w:r>
      <w:r w:rsidR="00397984">
        <w:rPr>
          <w:rFonts w:asciiTheme="majorBidi" w:hAnsiTheme="majorBidi" w:cstheme="majorBidi"/>
        </w:rPr>
        <w:t xml:space="preserve"> citizenship in the era of the Capitulations and privileges for foreigners, and stalling by the consuls and government officials. These reasons did not escape notice by the government, and it had no reason to approach us with complaints about our foreign nationality. Aside from that, the government well knew that even while remaining foreign nationals, the Jews of this country were loyal and devoted to the country and to the Ottoman Empire, fulfilling </w:t>
      </w:r>
      <w:r w:rsidR="00397984">
        <w:rPr>
          <w:rFonts w:asciiTheme="majorBidi" w:hAnsiTheme="majorBidi" w:cstheme="majorBidi"/>
        </w:rPr>
        <w:lastRenderedPageBreak/>
        <w:t>their obligations to the state. This foreignness is a</w:t>
      </w:r>
      <w:r w:rsidR="0097216E">
        <w:rPr>
          <w:rFonts w:asciiTheme="majorBidi" w:hAnsiTheme="majorBidi" w:cstheme="majorBidi"/>
        </w:rPr>
        <w:t xml:space="preserve">n offense </w:t>
      </w:r>
      <w:r w:rsidR="00397984">
        <w:rPr>
          <w:rFonts w:asciiTheme="majorBidi" w:hAnsiTheme="majorBidi" w:cstheme="majorBidi"/>
        </w:rPr>
        <w:t>committed by the Yishuv against itself and its future. […]</w:t>
      </w:r>
    </w:p>
    <w:p w14:paraId="0EE39F72" w14:textId="320BA0CA" w:rsidR="00397984" w:rsidRDefault="00397984" w:rsidP="00780E95">
      <w:pPr>
        <w:spacing w:line="360" w:lineRule="auto"/>
        <w:ind w:left="720" w:right="720"/>
        <w:jc w:val="both"/>
        <w:rPr>
          <w:rFonts w:asciiTheme="majorBidi" w:hAnsiTheme="majorBidi" w:cstheme="majorBidi"/>
        </w:rPr>
      </w:pPr>
      <w:r>
        <w:rPr>
          <w:rFonts w:asciiTheme="majorBidi" w:hAnsiTheme="majorBidi" w:cstheme="majorBidi"/>
        </w:rPr>
        <w:t xml:space="preserve">The political crisis that occurred now has revealed to </w:t>
      </w:r>
      <w:r w:rsidR="0097216E">
        <w:rPr>
          <w:rFonts w:asciiTheme="majorBidi" w:hAnsiTheme="majorBidi" w:cstheme="majorBidi"/>
        </w:rPr>
        <w:t>everyone</w:t>
      </w:r>
      <w:r>
        <w:rPr>
          <w:rFonts w:asciiTheme="majorBidi" w:hAnsiTheme="majorBidi" w:cstheme="majorBidi"/>
        </w:rPr>
        <w:t xml:space="preserve"> the Yishuv’s</w:t>
      </w:r>
      <w:r w:rsidR="0097216E">
        <w:rPr>
          <w:rFonts w:asciiTheme="majorBidi" w:hAnsiTheme="majorBidi" w:cstheme="majorBidi"/>
        </w:rPr>
        <w:t xml:space="preserve"> faults</w:t>
      </w:r>
      <w:r>
        <w:rPr>
          <w:rFonts w:asciiTheme="majorBidi" w:hAnsiTheme="majorBidi" w:cstheme="majorBidi"/>
        </w:rPr>
        <w:t xml:space="preserve"> </w:t>
      </w:r>
      <w:r w:rsidR="00974143">
        <w:rPr>
          <w:rFonts w:asciiTheme="majorBidi" w:hAnsiTheme="majorBidi" w:cstheme="majorBidi"/>
        </w:rPr>
        <w:t>and made evident all the abnormality of our foreignness. Just as the Yishuv will not be built by tourists, so will it not be sustained by foreigners. Only a Yishuv that is rooted tightly in the soil and the land with every fiber of its being can withstand every wind that might come along without being shaken from its place. The fate of the Yishuv and the fate of the country must adhere and be bound together inextricably. […] A large part of our Yishuv faces the danger of expulsion or exile, and the only correction to this would be naturalization. However—and th</w:t>
      </w:r>
      <w:r w:rsidR="00D0036F">
        <w:rPr>
          <w:rFonts w:asciiTheme="majorBidi" w:hAnsiTheme="majorBidi" w:cstheme="majorBidi"/>
        </w:rPr>
        <w:t>i</w:t>
      </w:r>
      <w:r w:rsidR="00974143">
        <w:rPr>
          <w:rFonts w:asciiTheme="majorBidi" w:hAnsiTheme="majorBidi" w:cstheme="majorBidi"/>
        </w:rPr>
        <w:t xml:space="preserve">s must be fully emphasized—this correction is sufficient only outwardly. In order to cease being foreign to the land, its surroundings, and its civil and political life and everything that takes place within it—accepting Ottoman nationality is insufficient. Naturalization may protect us from expulsion from the country as enemies, but it will not save us from the </w:t>
      </w:r>
      <w:r w:rsidR="00D0036F">
        <w:rPr>
          <w:rFonts w:asciiTheme="majorBidi" w:hAnsiTheme="majorBidi" w:cstheme="majorBidi"/>
        </w:rPr>
        <w:t>expulsion</w:t>
      </w:r>
      <w:r w:rsidR="00974143">
        <w:rPr>
          <w:rFonts w:asciiTheme="majorBidi" w:hAnsiTheme="majorBidi" w:cstheme="majorBidi"/>
        </w:rPr>
        <w:t xml:space="preserve"> to which we have subjected our own selves from all the political institutions of the country, from all the legislatures and the institutions of self-government</w:t>
      </w:r>
      <w:r w:rsidR="00711B85">
        <w:rPr>
          <w:rFonts w:asciiTheme="majorBidi" w:hAnsiTheme="majorBidi" w:cstheme="majorBidi"/>
        </w:rPr>
        <w:t xml:space="preserve"> […] Naturalization—that is just the first step, or more correctly, the prior condition for our civil and political preparation and fortification.</w:t>
      </w:r>
      <w:r w:rsidR="0097216E">
        <w:rPr>
          <w:rStyle w:val="FootnoteReference"/>
          <w:rFonts w:asciiTheme="majorBidi" w:hAnsiTheme="majorBidi" w:cstheme="majorBidi"/>
        </w:rPr>
        <w:footnoteReference w:id="2"/>
      </w:r>
    </w:p>
    <w:p w14:paraId="62912991" w14:textId="77777777" w:rsidR="00D0036F" w:rsidRDefault="00D0036F" w:rsidP="00711B85">
      <w:pPr>
        <w:spacing w:line="360" w:lineRule="auto"/>
        <w:jc w:val="both"/>
        <w:rPr>
          <w:rFonts w:asciiTheme="majorBidi" w:hAnsiTheme="majorBidi" w:cstheme="majorBidi"/>
        </w:rPr>
      </w:pPr>
    </w:p>
    <w:p w14:paraId="15BEBADE" w14:textId="5E180060" w:rsidR="00711B85" w:rsidRDefault="00711B85" w:rsidP="00D0036F">
      <w:pPr>
        <w:spacing w:line="360" w:lineRule="auto"/>
        <w:ind w:firstLine="720"/>
        <w:jc w:val="both"/>
        <w:rPr>
          <w:rFonts w:asciiTheme="majorBidi" w:hAnsiTheme="majorBidi" w:cstheme="majorBidi"/>
        </w:rPr>
      </w:pPr>
      <w:r>
        <w:rPr>
          <w:rFonts w:asciiTheme="majorBidi" w:hAnsiTheme="majorBidi" w:cstheme="majorBidi"/>
        </w:rPr>
        <w:t>Ben-Gurion’s article should be read against the background of the events then taking place in Palestine, especially the Ottoman government’s threat to expel foreign national</w:t>
      </w:r>
      <w:r w:rsidR="003C6FE8">
        <w:rPr>
          <w:rFonts w:asciiTheme="majorBidi" w:hAnsiTheme="majorBidi" w:cstheme="majorBidi"/>
        </w:rPr>
        <w:t>s</w:t>
      </w:r>
      <w:r>
        <w:rPr>
          <w:rFonts w:asciiTheme="majorBidi" w:hAnsiTheme="majorBidi" w:cstheme="majorBidi"/>
        </w:rPr>
        <w:t xml:space="preserve"> from the country at the outbreak of the war. The expulsion of foreign nationals among the Yishuv was a real danger to the continued existence of the Jewish community and its future, which </w:t>
      </w:r>
      <w:r w:rsidR="003C6FE8">
        <w:rPr>
          <w:rFonts w:asciiTheme="majorBidi" w:hAnsiTheme="majorBidi" w:cstheme="majorBidi"/>
        </w:rPr>
        <w:t>led to</w:t>
      </w:r>
      <w:r>
        <w:rPr>
          <w:rFonts w:asciiTheme="majorBidi" w:hAnsiTheme="majorBidi" w:cstheme="majorBidi"/>
        </w:rPr>
        <w:t xml:space="preserve"> the great haste </w:t>
      </w:r>
      <w:r w:rsidR="003C6FE8">
        <w:rPr>
          <w:rFonts w:asciiTheme="majorBidi" w:hAnsiTheme="majorBidi" w:cstheme="majorBidi"/>
        </w:rPr>
        <w:t>concerning</w:t>
      </w:r>
      <w:r w:rsidR="002B27E4">
        <w:rPr>
          <w:rFonts w:asciiTheme="majorBidi" w:hAnsiTheme="majorBidi" w:cstheme="majorBidi"/>
        </w:rPr>
        <w:t xml:space="preserve"> </w:t>
      </w:r>
      <w:r w:rsidR="003C6FE8">
        <w:rPr>
          <w:rFonts w:asciiTheme="majorBidi" w:hAnsiTheme="majorBidi" w:cstheme="majorBidi"/>
        </w:rPr>
        <w:t>the</w:t>
      </w:r>
      <w:r w:rsidR="002B27E4">
        <w:rPr>
          <w:rFonts w:asciiTheme="majorBidi" w:hAnsiTheme="majorBidi" w:cstheme="majorBidi"/>
        </w:rPr>
        <w:t xml:space="preserve"> necess</w:t>
      </w:r>
      <w:r w:rsidR="003C6FE8">
        <w:rPr>
          <w:rFonts w:asciiTheme="majorBidi" w:hAnsiTheme="majorBidi" w:cstheme="majorBidi"/>
        </w:rPr>
        <w:t>ity of</w:t>
      </w:r>
      <w:r w:rsidR="002B27E4">
        <w:rPr>
          <w:rFonts w:asciiTheme="majorBidi" w:hAnsiTheme="majorBidi" w:cstheme="majorBidi"/>
        </w:rPr>
        <w:t xml:space="preserve"> adopt</w:t>
      </w:r>
      <w:r w:rsidR="003C6FE8">
        <w:rPr>
          <w:rFonts w:asciiTheme="majorBidi" w:hAnsiTheme="majorBidi" w:cstheme="majorBidi"/>
        </w:rPr>
        <w:t>ing</w:t>
      </w:r>
      <w:r w:rsidR="002B27E4">
        <w:rPr>
          <w:rFonts w:asciiTheme="majorBidi" w:hAnsiTheme="majorBidi" w:cstheme="majorBidi"/>
        </w:rPr>
        <w:t xml:space="preserve"> Ottoman citizenship by naturalization. However, this was not the first time that the question of naturalization and the adoption of local nationality had been on the agenda. In fact, it </w:t>
      </w:r>
      <w:r w:rsidR="003C6FE8">
        <w:rPr>
          <w:rFonts w:asciiTheme="majorBidi" w:hAnsiTheme="majorBidi" w:cstheme="majorBidi"/>
        </w:rPr>
        <w:t>had</w:t>
      </w:r>
      <w:r w:rsidR="002B27E4">
        <w:rPr>
          <w:rFonts w:asciiTheme="majorBidi" w:hAnsiTheme="majorBidi" w:cstheme="majorBidi"/>
        </w:rPr>
        <w:t xml:space="preserve"> already</w:t>
      </w:r>
      <w:r w:rsidR="003C6FE8">
        <w:rPr>
          <w:rFonts w:asciiTheme="majorBidi" w:hAnsiTheme="majorBidi" w:cstheme="majorBidi"/>
        </w:rPr>
        <w:t xml:space="preserve"> been</w:t>
      </w:r>
      <w:r w:rsidR="002B27E4">
        <w:rPr>
          <w:rFonts w:asciiTheme="majorBidi" w:hAnsiTheme="majorBidi" w:cstheme="majorBidi"/>
        </w:rPr>
        <w:t xml:space="preserve"> discussed in </w:t>
      </w:r>
      <w:r w:rsidR="003C6FE8">
        <w:rPr>
          <w:rFonts w:asciiTheme="majorBidi" w:hAnsiTheme="majorBidi" w:cstheme="majorBidi"/>
        </w:rPr>
        <w:t>many</w:t>
      </w:r>
      <w:r w:rsidR="002B27E4">
        <w:rPr>
          <w:rFonts w:asciiTheme="majorBidi" w:hAnsiTheme="majorBidi" w:cstheme="majorBidi"/>
        </w:rPr>
        <w:t xml:space="preserve"> contexts for some years even before the outbreak of war, especially after the revol</w:t>
      </w:r>
      <w:r w:rsidR="00D0036F">
        <w:rPr>
          <w:rFonts w:asciiTheme="majorBidi" w:hAnsiTheme="majorBidi" w:cstheme="majorBidi"/>
        </w:rPr>
        <w:t>u</w:t>
      </w:r>
      <w:r w:rsidR="002B27E4">
        <w:rPr>
          <w:rFonts w:asciiTheme="majorBidi" w:hAnsiTheme="majorBidi" w:cstheme="majorBidi"/>
        </w:rPr>
        <w:t>t</w:t>
      </w:r>
      <w:r w:rsidR="00D0036F">
        <w:rPr>
          <w:rFonts w:asciiTheme="majorBidi" w:hAnsiTheme="majorBidi" w:cstheme="majorBidi"/>
        </w:rPr>
        <w:t>ion</w:t>
      </w:r>
      <w:r w:rsidR="002B27E4">
        <w:rPr>
          <w:rFonts w:asciiTheme="majorBidi" w:hAnsiTheme="majorBidi" w:cstheme="majorBidi"/>
        </w:rPr>
        <w:t xml:space="preserve"> of the Young Turks in 1908 and </w:t>
      </w:r>
      <w:r w:rsidR="002B27E4">
        <w:rPr>
          <w:rFonts w:asciiTheme="majorBidi" w:hAnsiTheme="majorBidi" w:cstheme="majorBidi"/>
        </w:rPr>
        <w:lastRenderedPageBreak/>
        <w:t xml:space="preserve">the changes that consequently took place in the Empire’s provinces. It is important to note in this context that at its outset, the 1908 revolt harbored a promise (one not ultimately realized) of a new Ottoman imperial model, more inclusive and pluralistic, and created a broad discourse about loyalty to the </w:t>
      </w:r>
      <w:r w:rsidR="00730776">
        <w:rPr>
          <w:rFonts w:asciiTheme="majorBidi" w:hAnsiTheme="majorBidi" w:cstheme="majorBidi"/>
        </w:rPr>
        <w:t>E</w:t>
      </w:r>
      <w:r w:rsidR="002B27E4">
        <w:rPr>
          <w:rFonts w:asciiTheme="majorBidi" w:hAnsiTheme="majorBidi" w:cstheme="majorBidi"/>
        </w:rPr>
        <w:t xml:space="preserve">mpire, the demands of citizenship, and the meaning of national awakening and revival among the various groups across the </w:t>
      </w:r>
      <w:r w:rsidR="00730776">
        <w:rPr>
          <w:rFonts w:asciiTheme="majorBidi" w:hAnsiTheme="majorBidi" w:cstheme="majorBidi"/>
        </w:rPr>
        <w:t>E</w:t>
      </w:r>
      <w:r w:rsidR="002B27E4">
        <w:rPr>
          <w:rFonts w:asciiTheme="majorBidi" w:hAnsiTheme="majorBidi" w:cstheme="majorBidi"/>
        </w:rPr>
        <w:t>mpire. Discussion of the Ottomanization of Palestinian Jews, too, took place in the shadow o</w:t>
      </w:r>
      <w:r w:rsidR="004B3B85">
        <w:rPr>
          <w:rFonts w:asciiTheme="majorBidi" w:hAnsiTheme="majorBidi" w:cstheme="majorBidi"/>
        </w:rPr>
        <w:t>f</w:t>
      </w:r>
      <w:r w:rsidR="002B27E4">
        <w:rPr>
          <w:rFonts w:asciiTheme="majorBidi" w:hAnsiTheme="majorBidi" w:cstheme="majorBidi"/>
        </w:rPr>
        <w:t xml:space="preserve"> those promises, but the call for Ottomanization </w:t>
      </w:r>
      <w:r w:rsidR="004B3B85">
        <w:rPr>
          <w:rFonts w:asciiTheme="majorBidi" w:hAnsiTheme="majorBidi" w:cstheme="majorBidi"/>
        </w:rPr>
        <w:t>had been</w:t>
      </w:r>
      <w:r w:rsidR="002B27E4">
        <w:rPr>
          <w:rFonts w:asciiTheme="majorBidi" w:hAnsiTheme="majorBidi" w:cstheme="majorBidi"/>
        </w:rPr>
        <w:t xml:space="preserve"> heard even before the 1908 revolt and continued even past the disappointment of the centralized policies adopted by the Empire.</w:t>
      </w:r>
    </w:p>
    <w:p w14:paraId="3AC3860E" w14:textId="7983AC84" w:rsidR="00B0314F" w:rsidRDefault="00B0314F" w:rsidP="00711B85">
      <w:pPr>
        <w:spacing w:line="360" w:lineRule="auto"/>
        <w:jc w:val="both"/>
        <w:rPr>
          <w:rFonts w:asciiTheme="majorBidi" w:hAnsiTheme="majorBidi" w:cstheme="majorBidi"/>
        </w:rPr>
      </w:pPr>
      <w:r>
        <w:rPr>
          <w:rFonts w:asciiTheme="majorBidi" w:hAnsiTheme="majorBidi" w:cstheme="majorBidi"/>
        </w:rPr>
        <w:tab/>
        <w:t>By focusing on the Ottomanization movement, which was born of distress and a pressing need to preserve the Yishuv, I propose to explore here the question of citizenship and loyalty to the Ottoman Empire as it was expressed in the years preceding World War I and the first years of the war.</w:t>
      </w:r>
      <w:r w:rsidR="00EB7BBD">
        <w:rPr>
          <w:rFonts w:asciiTheme="majorBidi" w:hAnsiTheme="majorBidi" w:cstheme="majorBidi" w:hint="cs"/>
          <w:rtl/>
        </w:rPr>
        <w:t xml:space="preserve"> </w:t>
      </w:r>
      <w:r w:rsidR="00EB7BBD">
        <w:rPr>
          <w:rFonts w:asciiTheme="majorBidi" w:hAnsiTheme="majorBidi" w:cstheme="majorBidi"/>
        </w:rPr>
        <w:t xml:space="preserve">The issue of Ottomanization as proof of loyalty to the </w:t>
      </w:r>
      <w:r w:rsidR="00730776">
        <w:rPr>
          <w:rFonts w:asciiTheme="majorBidi" w:hAnsiTheme="majorBidi" w:cstheme="majorBidi"/>
        </w:rPr>
        <w:t>E</w:t>
      </w:r>
      <w:r w:rsidR="00EB7BBD">
        <w:rPr>
          <w:rFonts w:asciiTheme="majorBidi" w:hAnsiTheme="majorBidi" w:cstheme="majorBidi"/>
        </w:rPr>
        <w:t>mpire arose, as noted above, before the war, with Eliezer Ben-Yehuda’s early appeal, “Jews, Be Ottomans!”</w:t>
      </w:r>
      <w:r w:rsidR="00EB7BBD">
        <w:rPr>
          <w:rStyle w:val="FootnoteReference"/>
          <w:rFonts w:asciiTheme="majorBidi" w:hAnsiTheme="majorBidi" w:cstheme="majorBidi"/>
        </w:rPr>
        <w:footnoteReference w:id="3"/>
      </w:r>
      <w:r w:rsidR="00EB7BBD">
        <w:rPr>
          <w:rFonts w:asciiTheme="majorBidi" w:hAnsiTheme="majorBidi" w:cstheme="majorBidi"/>
        </w:rPr>
        <w:t xml:space="preserve"> Additional calls for Ottomanization were heard from representatives of the Sephardi and North African community in Palestine, all of them Ottoman subjects, who perceived Ottoman nationality and loyalty to the </w:t>
      </w:r>
      <w:r w:rsidR="00730776">
        <w:rPr>
          <w:rFonts w:asciiTheme="majorBidi" w:hAnsiTheme="majorBidi" w:cstheme="majorBidi"/>
        </w:rPr>
        <w:t>E</w:t>
      </w:r>
      <w:r w:rsidR="00EB7BBD">
        <w:rPr>
          <w:rFonts w:asciiTheme="majorBidi" w:hAnsiTheme="majorBidi" w:cstheme="majorBidi"/>
        </w:rPr>
        <w:t>mpire to be essential for strengthening the status of Jews in Palestine and proving their connection to the land, its inhabitants (the Arabs), and imperial rule.</w:t>
      </w:r>
      <w:r w:rsidR="00355713">
        <w:rPr>
          <w:rFonts w:asciiTheme="majorBidi" w:hAnsiTheme="majorBidi" w:cstheme="majorBidi"/>
        </w:rPr>
        <w:t xml:space="preserve"> I hope to demonstrate, though, that the motives for Ottomanization, its details in practice, and the expression of loyalty to the </w:t>
      </w:r>
      <w:r w:rsidR="00730776">
        <w:rPr>
          <w:rFonts w:asciiTheme="majorBidi" w:hAnsiTheme="majorBidi" w:cstheme="majorBidi"/>
        </w:rPr>
        <w:t>E</w:t>
      </w:r>
      <w:r w:rsidR="00355713">
        <w:rPr>
          <w:rFonts w:asciiTheme="majorBidi" w:hAnsiTheme="majorBidi" w:cstheme="majorBidi"/>
        </w:rPr>
        <w:t xml:space="preserve">mpire, as these were expressed by Ben-Yehuda, the Sephardi leaders, and some of the leaders of the Second Aliyah, were not identical, and that each of them had different interests and a different vision or imagining of the land, the Jews’ place in it, and the connection between them and the other locals (the Arabs) and of the Jews’ legal status in the Ottoman realm. </w:t>
      </w:r>
      <w:r w:rsidR="00310BF1">
        <w:rPr>
          <w:rFonts w:asciiTheme="majorBidi" w:hAnsiTheme="majorBidi" w:cstheme="majorBidi"/>
        </w:rPr>
        <w:t>In this context, as I will demonstrate at length below, I discern two different Zionist approaches to relations with the Arabs of Palestine: “inclusive Zionism” and “exclusionary Zionism.” The first</w:t>
      </w:r>
      <w:r w:rsidR="00412577">
        <w:rPr>
          <w:rFonts w:asciiTheme="majorBidi" w:hAnsiTheme="majorBidi" w:cstheme="majorBidi"/>
        </w:rPr>
        <w:t xml:space="preserve"> approach</w:t>
      </w:r>
      <w:r w:rsidR="00310BF1">
        <w:rPr>
          <w:rFonts w:asciiTheme="majorBidi" w:hAnsiTheme="majorBidi" w:cstheme="majorBidi"/>
        </w:rPr>
        <w:t>, represented by the Sephardi</w:t>
      </w:r>
      <w:r w:rsidR="00412577">
        <w:rPr>
          <w:rFonts w:asciiTheme="majorBidi" w:hAnsiTheme="majorBidi" w:cstheme="majorBidi"/>
        </w:rPr>
        <w:t xml:space="preserve"> leadership, attributes great importance to the important central position of the Arabs in the country and to the growing national conflict, seeing the Arabs as potential partners in Palestine. The other approach, represented by the Ashkenazi leadership of the Second Aliyah, in many senses excluded the Arabs from any imagined shared life in that country. By examining the different motives for Ottomanization and its different practical aspects at the end of the Ottoman period, we can gain </w:t>
      </w:r>
      <w:r w:rsidR="00412577">
        <w:rPr>
          <w:rFonts w:asciiTheme="majorBidi" w:hAnsiTheme="majorBidi" w:cstheme="majorBidi"/>
        </w:rPr>
        <w:lastRenderedPageBreak/>
        <w:t>insight into the historical options that existed then for future relations of the Yishuv (and the Zionist movement) with the Ottoman Empire and with the Palestinian Arabs.</w:t>
      </w:r>
    </w:p>
    <w:p w14:paraId="26118998" w14:textId="3D230B18" w:rsidR="003243FD" w:rsidRDefault="003243FD" w:rsidP="00A05E9B">
      <w:pPr>
        <w:spacing w:line="360" w:lineRule="auto"/>
        <w:jc w:val="both"/>
        <w:rPr>
          <w:rFonts w:asciiTheme="majorBidi" w:hAnsiTheme="majorBidi" w:cstheme="majorBidi"/>
        </w:rPr>
      </w:pPr>
      <w:r>
        <w:rPr>
          <w:rFonts w:asciiTheme="majorBidi" w:hAnsiTheme="majorBidi" w:cstheme="majorBidi"/>
        </w:rPr>
        <w:tab/>
      </w:r>
      <w:r>
        <w:rPr>
          <w:rFonts w:asciiTheme="majorBidi" w:hAnsiTheme="majorBidi" w:cstheme="majorBidi"/>
        </w:rPr>
        <w:tab/>
        <w:t xml:space="preserve">A discussion of the Ottomanization movement opens the door to a wider discussion about understanding the complex relations between nationalism and empire, </w:t>
      </w:r>
      <w:commentRangeStart w:id="0"/>
      <w:r>
        <w:rPr>
          <w:rFonts w:asciiTheme="majorBidi" w:hAnsiTheme="majorBidi" w:cstheme="majorBidi"/>
        </w:rPr>
        <w:t>between being a citizen and being a subject</w:t>
      </w:r>
      <w:commentRangeEnd w:id="0"/>
      <w:r w:rsidR="00A609D6">
        <w:rPr>
          <w:rStyle w:val="CommentReference"/>
        </w:rPr>
        <w:commentReference w:id="0"/>
      </w:r>
      <w:r>
        <w:rPr>
          <w:rFonts w:asciiTheme="majorBidi" w:hAnsiTheme="majorBidi" w:cstheme="majorBidi"/>
        </w:rPr>
        <w:t xml:space="preserve">, and </w:t>
      </w:r>
      <w:commentRangeStart w:id="1"/>
      <w:r>
        <w:rPr>
          <w:rFonts w:asciiTheme="majorBidi" w:hAnsiTheme="majorBidi" w:cstheme="majorBidi"/>
        </w:rPr>
        <w:t xml:space="preserve">between </w:t>
      </w:r>
      <w:commentRangeEnd w:id="1"/>
      <w:r>
        <w:rPr>
          <w:rStyle w:val="CommentReference"/>
        </w:rPr>
        <w:commentReference w:id="1"/>
      </w:r>
      <w:r>
        <w:rPr>
          <w:rFonts w:asciiTheme="majorBidi" w:hAnsiTheme="majorBidi" w:cstheme="majorBidi"/>
        </w:rPr>
        <w:t>national and ethnic minorities, and about how those minorities imagined their status in a multi-national empire. Dealing with those questions was made possible, in many senses, in the wake of the Young Turks</w:t>
      </w:r>
      <w:r w:rsidR="00D0036F">
        <w:rPr>
          <w:rFonts w:asciiTheme="majorBidi" w:hAnsiTheme="majorBidi" w:cstheme="majorBidi"/>
        </w:rPr>
        <w:t>’ revolution</w:t>
      </w:r>
      <w:r>
        <w:rPr>
          <w:rFonts w:asciiTheme="majorBidi" w:hAnsiTheme="majorBidi" w:cstheme="majorBidi"/>
        </w:rPr>
        <w:t xml:space="preserve"> and the new concepts that it brought into the imperial discourse, concepts such as citizenship, </w:t>
      </w:r>
      <w:r w:rsidR="00A609D6">
        <w:rPr>
          <w:rFonts w:asciiTheme="majorBidi" w:hAnsiTheme="majorBidi" w:cstheme="majorBidi"/>
        </w:rPr>
        <w:t xml:space="preserve">loyalty, and nationality. Using this test case, I suggest examining the complexity of the question of being a subject and being loyal to </w:t>
      </w:r>
      <w:r w:rsidR="00D0036F">
        <w:rPr>
          <w:rFonts w:asciiTheme="majorBidi" w:hAnsiTheme="majorBidi" w:cstheme="majorBidi"/>
        </w:rPr>
        <w:t>the</w:t>
      </w:r>
      <w:r w:rsidR="00A609D6">
        <w:rPr>
          <w:rFonts w:asciiTheme="majorBidi" w:hAnsiTheme="majorBidi" w:cstheme="majorBidi"/>
        </w:rPr>
        <w:t xml:space="preserve"> </w:t>
      </w:r>
      <w:r w:rsidR="00D0036F">
        <w:rPr>
          <w:rFonts w:asciiTheme="majorBidi" w:hAnsiTheme="majorBidi" w:cstheme="majorBidi"/>
        </w:rPr>
        <w:t>E</w:t>
      </w:r>
      <w:r w:rsidR="00A609D6">
        <w:rPr>
          <w:rFonts w:asciiTheme="majorBidi" w:hAnsiTheme="majorBidi" w:cstheme="majorBidi"/>
        </w:rPr>
        <w:t xml:space="preserve">mpire </w:t>
      </w:r>
      <w:r w:rsidR="00030596">
        <w:rPr>
          <w:rFonts w:asciiTheme="majorBidi" w:hAnsiTheme="majorBidi" w:cstheme="majorBidi"/>
        </w:rPr>
        <w:t xml:space="preserve">during a period of a marked heightening of the national tension in Palestine and the rise of national movements (in other areas of the </w:t>
      </w:r>
      <w:r w:rsidR="00730776">
        <w:rPr>
          <w:rFonts w:asciiTheme="majorBidi" w:hAnsiTheme="majorBidi" w:cstheme="majorBidi"/>
        </w:rPr>
        <w:t>E</w:t>
      </w:r>
      <w:r w:rsidR="00030596">
        <w:rPr>
          <w:rFonts w:asciiTheme="majorBidi" w:hAnsiTheme="majorBidi" w:cstheme="majorBidi"/>
        </w:rPr>
        <w:t>mpire) that endangered, or were likely to endanger, the Ottoman multi-national project.</w:t>
      </w:r>
    </w:p>
    <w:p w14:paraId="68C38FDD" w14:textId="31730008" w:rsidR="00030596" w:rsidRDefault="00030596" w:rsidP="00A05E9B">
      <w:pPr>
        <w:spacing w:line="360" w:lineRule="auto"/>
        <w:jc w:val="both"/>
        <w:rPr>
          <w:rFonts w:asciiTheme="majorBidi" w:hAnsiTheme="majorBidi" w:cstheme="majorBidi"/>
        </w:rPr>
      </w:pPr>
    </w:p>
    <w:p w14:paraId="23D4F838" w14:textId="2B3239DC" w:rsidR="00030596" w:rsidRPr="00030596" w:rsidRDefault="00030596" w:rsidP="00A05E9B">
      <w:pPr>
        <w:spacing w:line="360" w:lineRule="auto"/>
        <w:jc w:val="both"/>
        <w:rPr>
          <w:rFonts w:asciiTheme="majorBidi" w:hAnsiTheme="majorBidi" w:cstheme="majorBidi"/>
          <w:b/>
          <w:bCs/>
        </w:rPr>
      </w:pPr>
      <w:r w:rsidRPr="00030596">
        <w:rPr>
          <w:rFonts w:asciiTheme="majorBidi" w:hAnsiTheme="majorBidi" w:cstheme="majorBidi"/>
          <w:b/>
          <w:bCs/>
        </w:rPr>
        <w:t>Urgent Naturalization: The Ottomanization Movement during World War I</w:t>
      </w:r>
    </w:p>
    <w:p w14:paraId="40E28629" w14:textId="2468B213" w:rsidR="00030596" w:rsidRDefault="00030596" w:rsidP="00A05E9B">
      <w:pPr>
        <w:spacing w:line="360" w:lineRule="auto"/>
        <w:jc w:val="both"/>
        <w:rPr>
          <w:rFonts w:asciiTheme="majorBidi" w:hAnsiTheme="majorBidi" w:cstheme="majorBidi"/>
        </w:rPr>
      </w:pPr>
      <w:r>
        <w:rPr>
          <w:rFonts w:asciiTheme="majorBidi" w:hAnsiTheme="majorBidi" w:cstheme="majorBidi"/>
        </w:rPr>
        <w:tab/>
        <w:t>The Ottoman Empire entered the war on the side of Germany and the Austro-Hungarian Empire on October 30, 1914. Even before its official entry into the war, the Empire proclaimed the immediate abrogation of the Capitulations—the extra rights given to foreign national</w:t>
      </w:r>
      <w:r w:rsidR="00D0036F">
        <w:rPr>
          <w:rFonts w:asciiTheme="majorBidi" w:hAnsiTheme="majorBidi" w:cstheme="majorBidi"/>
        </w:rPr>
        <w:t>s</w:t>
      </w:r>
      <w:r>
        <w:rPr>
          <w:rFonts w:asciiTheme="majorBidi" w:hAnsiTheme="majorBidi" w:cstheme="majorBidi"/>
        </w:rPr>
        <w:t>—that had enabled citizens of other countries to live under the protection of their mother countries (through the consuls) across the Empire and to enjoy a variety of commercial rights. The Capitulations regime allowed Jews</w:t>
      </w:r>
      <w:r w:rsidR="00776EA0">
        <w:rPr>
          <w:rFonts w:asciiTheme="majorBidi" w:hAnsiTheme="majorBidi" w:cstheme="majorBidi"/>
        </w:rPr>
        <w:t>,</w:t>
      </w:r>
      <w:r>
        <w:rPr>
          <w:rFonts w:asciiTheme="majorBidi" w:hAnsiTheme="majorBidi" w:cstheme="majorBidi"/>
        </w:rPr>
        <w:t xml:space="preserve"> too</w:t>
      </w:r>
      <w:r w:rsidR="00776EA0">
        <w:rPr>
          <w:rFonts w:asciiTheme="majorBidi" w:hAnsiTheme="majorBidi" w:cstheme="majorBidi"/>
        </w:rPr>
        <w:t>,</w:t>
      </w:r>
      <w:r>
        <w:rPr>
          <w:rFonts w:asciiTheme="majorBidi" w:hAnsiTheme="majorBidi" w:cstheme="majorBidi"/>
        </w:rPr>
        <w:t xml:space="preserve"> who immigrated to Palestine at the end of the Ottoman period to continue to hold foreign nationalities</w:t>
      </w:r>
      <w:r w:rsidR="00776EA0">
        <w:rPr>
          <w:rFonts w:asciiTheme="majorBidi" w:hAnsiTheme="majorBidi" w:cstheme="majorBidi"/>
        </w:rPr>
        <w:t xml:space="preserve"> and not to adopt the local Ottoman citizenship. And in</w:t>
      </w:r>
      <w:r w:rsidR="002E6D37">
        <w:rPr>
          <w:rFonts w:asciiTheme="majorBidi" w:hAnsiTheme="majorBidi" w:cstheme="majorBidi"/>
        </w:rPr>
        <w:t xml:space="preserve"> </w:t>
      </w:r>
      <w:proofErr w:type="gramStart"/>
      <w:r w:rsidR="002E6D37">
        <w:rPr>
          <w:rFonts w:asciiTheme="majorBidi" w:hAnsiTheme="majorBidi" w:cstheme="majorBidi"/>
        </w:rPr>
        <w:t>fact</w:t>
      </w:r>
      <w:proofErr w:type="gramEnd"/>
      <w:r w:rsidR="00776EA0">
        <w:rPr>
          <w:rFonts w:asciiTheme="majorBidi" w:hAnsiTheme="majorBidi" w:cstheme="majorBidi"/>
        </w:rPr>
        <w:t xml:space="preserve"> many of those who arrived with the Second Aliyah, between 1904 and 1914, mostly from Eastern Europe, continued to hold foreign nationality (primarily Russian; about 50,000 Russian nationals, according to estimates). In contrast, many of those who arrived in the First Aliyah ha</w:t>
      </w:r>
      <w:r w:rsidR="00D0036F">
        <w:rPr>
          <w:rFonts w:asciiTheme="majorBidi" w:hAnsiTheme="majorBidi" w:cstheme="majorBidi"/>
        </w:rPr>
        <w:t>d</w:t>
      </w:r>
      <w:r w:rsidR="00776EA0">
        <w:rPr>
          <w:rFonts w:asciiTheme="majorBidi" w:hAnsiTheme="majorBidi" w:cstheme="majorBidi"/>
        </w:rPr>
        <w:t xml:space="preserve"> become Ottoman subjects and given up their original nationality. Becoming Ottoman nationals during the period before World War I enabled them to participate in political life and in the public sphere of the </w:t>
      </w:r>
      <w:r w:rsidR="00730776">
        <w:rPr>
          <w:rFonts w:asciiTheme="majorBidi" w:hAnsiTheme="majorBidi" w:cstheme="majorBidi"/>
        </w:rPr>
        <w:t>E</w:t>
      </w:r>
      <w:r w:rsidR="00776EA0">
        <w:rPr>
          <w:rFonts w:asciiTheme="majorBidi" w:hAnsiTheme="majorBidi" w:cstheme="majorBidi"/>
        </w:rPr>
        <w:t>mpire—among other things, the right to vote and be elected to the Parliament and the institutions of local rule such as municipalities (</w:t>
      </w:r>
      <w:r w:rsidR="00776EA0" w:rsidRPr="00776EA0">
        <w:rPr>
          <w:rFonts w:asciiTheme="majorBidi" w:hAnsiTheme="majorBidi" w:cstheme="majorBidi"/>
          <w:i/>
          <w:iCs/>
        </w:rPr>
        <w:t xml:space="preserve">majlis </w:t>
      </w:r>
      <w:proofErr w:type="spellStart"/>
      <w:r w:rsidR="00776EA0" w:rsidRPr="00776EA0">
        <w:rPr>
          <w:rFonts w:asciiTheme="majorBidi" w:hAnsiTheme="majorBidi" w:cstheme="majorBidi"/>
          <w:i/>
          <w:iCs/>
        </w:rPr>
        <w:t>baladiyyah</w:t>
      </w:r>
      <w:proofErr w:type="spellEnd"/>
      <w:r w:rsidR="00776EA0">
        <w:rPr>
          <w:rFonts w:asciiTheme="majorBidi" w:hAnsiTheme="majorBidi" w:cstheme="majorBidi"/>
        </w:rPr>
        <w:t>)</w:t>
      </w:r>
      <w:r w:rsidR="00316220">
        <w:rPr>
          <w:rFonts w:asciiTheme="majorBidi" w:hAnsiTheme="majorBidi" w:cstheme="majorBidi"/>
        </w:rPr>
        <w:t xml:space="preserve"> and various administrative bodies, such as the </w:t>
      </w:r>
      <w:r w:rsidR="00C11222">
        <w:rPr>
          <w:rFonts w:asciiTheme="majorBidi" w:hAnsiTheme="majorBidi" w:cstheme="majorBidi"/>
        </w:rPr>
        <w:t>g</w:t>
      </w:r>
      <w:r w:rsidR="00316220">
        <w:rPr>
          <w:rFonts w:asciiTheme="majorBidi" w:hAnsiTheme="majorBidi" w:cstheme="majorBidi"/>
        </w:rPr>
        <w:t xml:space="preserve">eneral </w:t>
      </w:r>
      <w:r w:rsidR="00C11222">
        <w:rPr>
          <w:rFonts w:asciiTheme="majorBidi" w:hAnsiTheme="majorBidi" w:cstheme="majorBidi"/>
        </w:rPr>
        <w:t>c</w:t>
      </w:r>
      <w:r w:rsidR="00316220">
        <w:rPr>
          <w:rFonts w:asciiTheme="majorBidi" w:hAnsiTheme="majorBidi" w:cstheme="majorBidi"/>
        </w:rPr>
        <w:t>ouncil (</w:t>
      </w:r>
      <w:r w:rsidR="00316220">
        <w:rPr>
          <w:rFonts w:asciiTheme="majorBidi" w:hAnsiTheme="majorBidi" w:cstheme="majorBidi"/>
          <w:i/>
          <w:iCs/>
        </w:rPr>
        <w:t>majlis ‘</w:t>
      </w:r>
      <w:proofErr w:type="spellStart"/>
      <w:r w:rsidR="00316220">
        <w:rPr>
          <w:rFonts w:asciiTheme="majorBidi" w:hAnsiTheme="majorBidi" w:cstheme="majorBidi"/>
          <w:i/>
          <w:iCs/>
        </w:rPr>
        <w:t>umumi</w:t>
      </w:r>
      <w:proofErr w:type="spellEnd"/>
      <w:r w:rsidR="00316220" w:rsidRPr="00316220">
        <w:rPr>
          <w:rFonts w:asciiTheme="majorBidi" w:hAnsiTheme="majorBidi" w:cstheme="majorBidi"/>
        </w:rPr>
        <w:t>)</w:t>
      </w:r>
      <w:r w:rsidR="00316220">
        <w:rPr>
          <w:rFonts w:asciiTheme="majorBidi" w:hAnsiTheme="majorBidi" w:cstheme="majorBidi" w:hint="cs"/>
          <w:rtl/>
        </w:rPr>
        <w:t xml:space="preserve"> </w:t>
      </w:r>
      <w:r w:rsidR="00316220">
        <w:rPr>
          <w:rFonts w:asciiTheme="majorBidi" w:hAnsiTheme="majorBidi" w:cstheme="majorBidi"/>
        </w:rPr>
        <w:t>and the district council (</w:t>
      </w:r>
      <w:r w:rsidR="00316220">
        <w:rPr>
          <w:rFonts w:asciiTheme="majorBidi" w:hAnsiTheme="majorBidi" w:cstheme="majorBidi"/>
          <w:i/>
          <w:iCs/>
        </w:rPr>
        <w:t xml:space="preserve">majlis </w:t>
      </w:r>
      <w:proofErr w:type="spellStart"/>
      <w:r w:rsidR="00316220">
        <w:rPr>
          <w:rFonts w:asciiTheme="majorBidi" w:hAnsiTheme="majorBidi" w:cstheme="majorBidi"/>
          <w:i/>
          <w:iCs/>
        </w:rPr>
        <w:t>idara</w:t>
      </w:r>
      <w:proofErr w:type="spellEnd"/>
      <w:r w:rsidR="00316220">
        <w:rPr>
          <w:rFonts w:asciiTheme="majorBidi" w:hAnsiTheme="majorBidi" w:cstheme="majorBidi"/>
        </w:rPr>
        <w:t>)</w:t>
      </w:r>
      <w:r w:rsidR="00C11222">
        <w:rPr>
          <w:rFonts w:asciiTheme="majorBidi" w:hAnsiTheme="majorBidi" w:cstheme="majorBidi"/>
        </w:rPr>
        <w:t xml:space="preserve">. However, as we shall see, no less important was that becoming an Ottoman subject was perceived </w:t>
      </w:r>
      <w:r w:rsidR="00C11222">
        <w:rPr>
          <w:rFonts w:asciiTheme="majorBidi" w:hAnsiTheme="majorBidi" w:cstheme="majorBidi"/>
        </w:rPr>
        <w:lastRenderedPageBreak/>
        <w:t xml:space="preserve">as a way to express loyalty to the </w:t>
      </w:r>
      <w:r w:rsidR="00730776">
        <w:rPr>
          <w:rFonts w:asciiTheme="majorBidi" w:hAnsiTheme="majorBidi" w:cstheme="majorBidi"/>
        </w:rPr>
        <w:t>E</w:t>
      </w:r>
      <w:r w:rsidR="00C11222">
        <w:rPr>
          <w:rFonts w:asciiTheme="majorBidi" w:hAnsiTheme="majorBidi" w:cstheme="majorBidi"/>
        </w:rPr>
        <w:t xml:space="preserve">mpire and to prove true integration into the country and </w:t>
      </w:r>
      <w:r w:rsidR="00042140">
        <w:rPr>
          <w:rFonts w:asciiTheme="majorBidi" w:hAnsiTheme="majorBidi" w:cstheme="majorBidi"/>
        </w:rPr>
        <w:t>events</w:t>
      </w:r>
      <w:r w:rsidR="00C11222">
        <w:rPr>
          <w:rFonts w:asciiTheme="majorBidi" w:hAnsiTheme="majorBidi" w:cstheme="majorBidi"/>
        </w:rPr>
        <w:t xml:space="preserve"> there.</w:t>
      </w:r>
    </w:p>
    <w:p w14:paraId="3958565D" w14:textId="117C27D4" w:rsidR="00C11222" w:rsidRDefault="00C11222" w:rsidP="00A05E9B">
      <w:pPr>
        <w:spacing w:line="360" w:lineRule="auto"/>
        <w:rPr>
          <w:rFonts w:asciiTheme="majorBidi" w:hAnsiTheme="majorBidi" w:cstheme="majorBidi"/>
        </w:rPr>
      </w:pPr>
      <w:r>
        <w:rPr>
          <w:rFonts w:asciiTheme="majorBidi" w:hAnsiTheme="majorBidi" w:cstheme="majorBidi"/>
        </w:rPr>
        <w:tab/>
        <w:t xml:space="preserve">One of the immediate effects of the renunciation of the Capitulations was the departure— sometimes forced departure—of the foreign consuls </w:t>
      </w:r>
      <w:r w:rsidR="00D0036F">
        <w:rPr>
          <w:rFonts w:asciiTheme="majorBidi" w:hAnsiTheme="majorBidi" w:cstheme="majorBidi"/>
        </w:rPr>
        <w:t>stationed in</w:t>
      </w:r>
      <w:r>
        <w:rPr>
          <w:rFonts w:asciiTheme="majorBidi" w:hAnsiTheme="majorBidi" w:cstheme="majorBidi"/>
        </w:rPr>
        <w:t xml:space="preserve"> Palestine. During the war years, only two consuls remained in the country: the American consul, Dr. Otis </w:t>
      </w:r>
      <w:proofErr w:type="spellStart"/>
      <w:r>
        <w:rPr>
          <w:rFonts w:asciiTheme="majorBidi" w:hAnsiTheme="majorBidi" w:cstheme="majorBidi"/>
        </w:rPr>
        <w:t>Glazebrook</w:t>
      </w:r>
      <w:proofErr w:type="spellEnd"/>
      <w:r>
        <w:rPr>
          <w:rFonts w:asciiTheme="majorBidi" w:hAnsiTheme="majorBidi" w:cstheme="majorBidi"/>
        </w:rPr>
        <w:t xml:space="preserve">, who remained in Jerusalem until the American entry into the war in 1917, and the Spanish consul, </w:t>
      </w:r>
      <w:commentRangeStart w:id="2"/>
      <w:r>
        <w:rPr>
          <w:rFonts w:asciiTheme="majorBidi" w:hAnsiTheme="majorBidi" w:cstheme="majorBidi"/>
        </w:rPr>
        <w:t xml:space="preserve">Conde de </w:t>
      </w:r>
      <w:proofErr w:type="spellStart"/>
      <w:r>
        <w:rPr>
          <w:rFonts w:asciiTheme="majorBidi" w:hAnsiTheme="majorBidi" w:cstheme="majorBidi"/>
        </w:rPr>
        <w:t>Ballobar</w:t>
      </w:r>
      <w:commentRangeEnd w:id="2"/>
      <w:proofErr w:type="spellEnd"/>
      <w:r w:rsidR="00282473">
        <w:rPr>
          <w:rStyle w:val="CommentReference"/>
        </w:rPr>
        <w:commentReference w:id="2"/>
      </w:r>
      <w:r>
        <w:rPr>
          <w:rFonts w:asciiTheme="majorBidi" w:hAnsiTheme="majorBidi" w:cstheme="majorBidi"/>
        </w:rPr>
        <w:t>.</w:t>
      </w:r>
      <w:r>
        <w:rPr>
          <w:rStyle w:val="FootnoteReference"/>
          <w:rFonts w:asciiTheme="majorBidi" w:hAnsiTheme="majorBidi" w:cstheme="majorBidi"/>
        </w:rPr>
        <w:footnoteReference w:id="4"/>
      </w:r>
      <w:r>
        <w:rPr>
          <w:rFonts w:asciiTheme="majorBidi" w:hAnsiTheme="majorBidi" w:cstheme="majorBidi"/>
        </w:rPr>
        <w:t xml:space="preserve"> More relevant to our inquiry, though, is the Ottoman Empire’s explicit threat, </w:t>
      </w:r>
      <w:r w:rsidR="00E6309E">
        <w:rPr>
          <w:rFonts w:asciiTheme="majorBidi" w:hAnsiTheme="majorBidi" w:cstheme="majorBidi"/>
        </w:rPr>
        <w:t xml:space="preserve">expressed through the local governors, to expel the foreign nationals in Palestine if they </w:t>
      </w:r>
      <w:r w:rsidR="00D0036F">
        <w:rPr>
          <w:rFonts w:asciiTheme="majorBidi" w:hAnsiTheme="majorBidi" w:cstheme="majorBidi"/>
        </w:rPr>
        <w:t>did</w:t>
      </w:r>
      <w:r w:rsidR="00E6309E">
        <w:rPr>
          <w:rFonts w:asciiTheme="majorBidi" w:hAnsiTheme="majorBidi" w:cstheme="majorBidi"/>
        </w:rPr>
        <w:t xml:space="preserve"> not immediately take on Ottoman nationality. The </w:t>
      </w:r>
      <w:r w:rsidR="00730776">
        <w:rPr>
          <w:rFonts w:asciiTheme="majorBidi" w:hAnsiTheme="majorBidi" w:cstheme="majorBidi"/>
        </w:rPr>
        <w:t>E</w:t>
      </w:r>
      <w:r w:rsidR="00E6309E">
        <w:rPr>
          <w:rFonts w:asciiTheme="majorBidi" w:hAnsiTheme="majorBidi" w:cstheme="majorBidi"/>
        </w:rPr>
        <w:t xml:space="preserve">mpire’s state of war with Russia, whose nationality was held by many of the Jews in Palestine who were foreign nationals, added to the urgency, of course. Thus, in the face of the immediate threat and the actual fear of expulsion and its implications for the future of the Yishuv, the Jewish community’s leadership began to organize to urge foreign nationals to accept Ottoman nationality, and Ottomanization councils were set up (the central ones were in Jaffa, Jerusalem, and Haifa) to organize the process of naturalization. </w:t>
      </w:r>
      <w:r w:rsidR="00720121">
        <w:rPr>
          <w:rFonts w:asciiTheme="majorBidi" w:hAnsiTheme="majorBidi" w:cstheme="majorBidi"/>
        </w:rPr>
        <w:t xml:space="preserve">As early as October 30, 1914, the governor of Jaffa, </w:t>
      </w:r>
      <w:r w:rsidR="00DE180A">
        <w:rPr>
          <w:rFonts w:asciiTheme="majorBidi" w:hAnsiTheme="majorBidi" w:cstheme="majorBidi"/>
        </w:rPr>
        <w:t xml:space="preserve">the </w:t>
      </w:r>
      <w:commentRangeStart w:id="3"/>
      <w:proofErr w:type="spellStart"/>
      <w:r w:rsidR="00DE180A">
        <w:rPr>
          <w:rFonts w:asciiTheme="majorBidi" w:hAnsiTheme="majorBidi" w:cstheme="majorBidi"/>
        </w:rPr>
        <w:t>Kaiminam</w:t>
      </w:r>
      <w:proofErr w:type="spellEnd"/>
      <w:r w:rsidR="00DE180A">
        <w:rPr>
          <w:rFonts w:asciiTheme="majorBidi" w:hAnsiTheme="majorBidi" w:cstheme="majorBidi"/>
        </w:rPr>
        <w:t xml:space="preserve"> </w:t>
      </w:r>
      <w:commentRangeEnd w:id="3"/>
      <w:r w:rsidR="00DE180A">
        <w:rPr>
          <w:rStyle w:val="CommentReference"/>
        </w:rPr>
        <w:commentReference w:id="3"/>
      </w:r>
      <w:r w:rsidR="00DE180A">
        <w:rPr>
          <w:rFonts w:asciiTheme="majorBidi" w:hAnsiTheme="majorBidi" w:cstheme="majorBidi"/>
        </w:rPr>
        <w:t>Baha ad-Din, published instructions to those newly Ottoman</w:t>
      </w:r>
      <w:r w:rsidR="00282473">
        <w:rPr>
          <w:rFonts w:asciiTheme="majorBidi" w:hAnsiTheme="majorBidi" w:cstheme="majorBidi"/>
        </w:rPr>
        <w:t>izing</w:t>
      </w:r>
      <w:r w:rsidR="00DE180A">
        <w:rPr>
          <w:rFonts w:asciiTheme="majorBidi" w:hAnsiTheme="majorBidi" w:cstheme="majorBidi"/>
        </w:rPr>
        <w:t xml:space="preserve">: those who wish to become Ottoman nationals should present their travel documents (passports) or “the red note” (a temporary visa, valid for three months). If </w:t>
      </w:r>
      <w:r w:rsidR="00DE180A" w:rsidRPr="0036035F">
        <w:rPr>
          <w:rFonts w:ascii="Times New Roman" w:hAnsi="Times New Roman" w:cs="Times New Roman"/>
        </w:rPr>
        <w:t xml:space="preserve">those documents are not at hand, they must prove their foreign citizenship by means of other official papers. Upon delivery of the documents and payment of the Ottomanization tax of 163.50 </w:t>
      </w:r>
      <w:proofErr w:type="spellStart"/>
      <w:r w:rsidR="0036035F" w:rsidRPr="0036035F">
        <w:rPr>
          <w:rFonts w:ascii="Times New Roman" w:eastAsia="Times New Roman" w:hAnsi="Times New Roman" w:cs="Times New Roman"/>
          <w:color w:val="222222"/>
          <w:shd w:val="clear" w:color="auto" w:fill="FFFFFF"/>
        </w:rPr>
        <w:t>kuruş</w:t>
      </w:r>
      <w:proofErr w:type="spellEnd"/>
      <w:r w:rsidR="00DE180A" w:rsidRPr="0036035F">
        <w:rPr>
          <w:rFonts w:ascii="Times New Roman" w:hAnsi="Times New Roman" w:cs="Times New Roman"/>
        </w:rPr>
        <w:t xml:space="preserve">, they would be informed whether their request for </w:t>
      </w:r>
      <w:r w:rsidR="0036035F" w:rsidRPr="0036035F">
        <w:rPr>
          <w:rFonts w:ascii="Times New Roman" w:hAnsi="Times New Roman" w:cs="Times New Roman"/>
        </w:rPr>
        <w:t xml:space="preserve">naturalization and listing in the </w:t>
      </w:r>
      <w:commentRangeStart w:id="4"/>
      <w:proofErr w:type="spellStart"/>
      <w:r w:rsidR="0036035F" w:rsidRPr="0036035F">
        <w:rPr>
          <w:rFonts w:ascii="Times New Roman" w:hAnsi="Times New Roman" w:cs="Times New Roman"/>
          <w:i/>
          <w:iCs/>
          <w:highlight w:val="yellow"/>
        </w:rPr>
        <w:t>nofos</w:t>
      </w:r>
      <w:proofErr w:type="spellEnd"/>
      <w:r w:rsidR="0036035F" w:rsidRPr="0036035F">
        <w:rPr>
          <w:rFonts w:ascii="Times New Roman" w:hAnsi="Times New Roman" w:cs="Times New Roman"/>
        </w:rPr>
        <w:t xml:space="preserve"> </w:t>
      </w:r>
      <w:commentRangeEnd w:id="4"/>
      <w:r w:rsidR="0036035F">
        <w:rPr>
          <w:rStyle w:val="CommentReference"/>
        </w:rPr>
        <w:commentReference w:id="4"/>
      </w:r>
      <w:r w:rsidR="0036035F" w:rsidRPr="0036035F">
        <w:rPr>
          <w:rFonts w:ascii="Times New Roman" w:hAnsi="Times New Roman" w:cs="Times New Roman"/>
        </w:rPr>
        <w:t>(citizenship</w:t>
      </w:r>
      <w:r w:rsidR="0036035F">
        <w:rPr>
          <w:rFonts w:asciiTheme="majorBidi" w:hAnsiTheme="majorBidi" w:cstheme="majorBidi"/>
        </w:rPr>
        <w:t>) books had been accepted.</w:t>
      </w:r>
      <w:r w:rsidR="0036035F">
        <w:rPr>
          <w:rStyle w:val="FootnoteReference"/>
          <w:rFonts w:asciiTheme="majorBidi" w:hAnsiTheme="majorBidi" w:cstheme="majorBidi"/>
        </w:rPr>
        <w:footnoteReference w:id="5"/>
      </w:r>
      <w:r w:rsidR="00575CFB">
        <w:rPr>
          <w:rFonts w:asciiTheme="majorBidi" w:hAnsiTheme="majorBidi" w:cstheme="majorBidi"/>
        </w:rPr>
        <w:t xml:space="preserve"> According to the Ottomanization Order, the law requiring local residency for five years did not apply to nationals of enemy states in Palestine, who were allowed to take Ottoman nationality even if they had not resided in the country for over five years. Heads of families could have their wives sign the </w:t>
      </w:r>
      <w:r w:rsidR="00575CFB">
        <w:rPr>
          <w:rFonts w:asciiTheme="majorBidi" w:hAnsiTheme="majorBidi" w:cstheme="majorBidi"/>
        </w:rPr>
        <w:lastRenderedPageBreak/>
        <w:t xml:space="preserve">Ottomanization request and include in it their minor children, but adult children would have to Ottomanize independently and even pay the tax separately. </w:t>
      </w:r>
      <w:r w:rsidR="00042140">
        <w:rPr>
          <w:rFonts w:asciiTheme="majorBidi" w:hAnsiTheme="majorBidi" w:cstheme="majorBidi"/>
        </w:rPr>
        <w:t>Regarding</w:t>
      </w:r>
      <w:r w:rsidR="00575CFB">
        <w:rPr>
          <w:rFonts w:asciiTheme="majorBidi" w:hAnsiTheme="majorBidi" w:cstheme="majorBidi"/>
        </w:rPr>
        <w:t xml:space="preserve"> non-Jews wishing to Ottomanize, the police would have to investigate whether they were eligible for receiving Ottoman status before their request would be approved.</w:t>
      </w:r>
      <w:r w:rsidR="00575CFB">
        <w:rPr>
          <w:rStyle w:val="FootnoteReference"/>
          <w:rFonts w:asciiTheme="majorBidi" w:hAnsiTheme="majorBidi" w:cstheme="majorBidi"/>
        </w:rPr>
        <w:footnoteReference w:id="6"/>
      </w:r>
    </w:p>
    <w:p w14:paraId="0FE87283" w14:textId="73C345B4" w:rsidR="00B83037" w:rsidRDefault="00B83037" w:rsidP="00A05E9B">
      <w:pPr>
        <w:spacing w:line="360" w:lineRule="auto"/>
        <w:rPr>
          <w:rFonts w:asciiTheme="majorBidi" w:hAnsiTheme="majorBidi" w:cstheme="majorBidi"/>
        </w:rPr>
      </w:pPr>
      <w:r>
        <w:rPr>
          <w:rFonts w:asciiTheme="majorBidi" w:hAnsiTheme="majorBidi" w:cstheme="majorBidi"/>
        </w:rPr>
        <w:tab/>
        <w:t xml:space="preserve">There were two main </w:t>
      </w:r>
      <w:r w:rsidR="00282473">
        <w:rPr>
          <w:rFonts w:asciiTheme="majorBidi" w:hAnsiTheme="majorBidi" w:cstheme="majorBidi"/>
        </w:rPr>
        <w:t>impediments</w:t>
      </w:r>
      <w:r>
        <w:rPr>
          <w:rFonts w:asciiTheme="majorBidi" w:hAnsiTheme="majorBidi" w:cstheme="majorBidi"/>
        </w:rPr>
        <w:t xml:space="preserve"> in the way of those seeking naturalization: payment of the Ottomanization tax and the requirement that 18-to</w:t>
      </w:r>
      <w:r w:rsidR="00282473">
        <w:rPr>
          <w:rFonts w:asciiTheme="majorBidi" w:hAnsiTheme="majorBidi" w:cstheme="majorBidi"/>
        </w:rPr>
        <w:t>-</w:t>
      </w:r>
      <w:r>
        <w:rPr>
          <w:rFonts w:asciiTheme="majorBidi" w:hAnsiTheme="majorBidi" w:cstheme="majorBidi"/>
        </w:rPr>
        <w:t xml:space="preserve">45-year-olds do army service. The </w:t>
      </w:r>
      <w:r w:rsidR="00282473">
        <w:rPr>
          <w:rFonts w:asciiTheme="majorBidi" w:hAnsiTheme="majorBidi" w:cstheme="majorBidi"/>
        </w:rPr>
        <w:t>burdensome</w:t>
      </w:r>
      <w:r>
        <w:rPr>
          <w:rFonts w:asciiTheme="majorBidi" w:hAnsiTheme="majorBidi" w:cstheme="majorBidi"/>
        </w:rPr>
        <w:t xml:space="preserve"> tax ma</w:t>
      </w:r>
      <w:r w:rsidR="00EE376F">
        <w:rPr>
          <w:rFonts w:asciiTheme="majorBidi" w:hAnsiTheme="majorBidi" w:cstheme="majorBidi"/>
        </w:rPr>
        <w:t>d</w:t>
      </w:r>
      <w:r>
        <w:rPr>
          <w:rFonts w:asciiTheme="majorBidi" w:hAnsiTheme="majorBidi" w:cstheme="majorBidi"/>
        </w:rPr>
        <w:t>e it difficult for many to undergo naturalization, and the requirement to serve in the army caused many people to hesitate before adopting Ottoman nationality. For one thing, army service could mean finding oneself fighting against the army of one’s country of origin, such as Russia. Activists in the Ottomanization movement approached both imperial officials and external actors to request an easing of the conditions for Ottomanization. So</w:t>
      </w:r>
      <w:r w:rsidR="00EE376F">
        <w:rPr>
          <w:rFonts w:asciiTheme="majorBidi" w:hAnsiTheme="majorBidi" w:cstheme="majorBidi"/>
        </w:rPr>
        <w:t>,</w:t>
      </w:r>
      <w:r>
        <w:rPr>
          <w:rFonts w:asciiTheme="majorBidi" w:hAnsiTheme="majorBidi" w:cstheme="majorBidi"/>
        </w:rPr>
        <w:t xml:space="preserve"> for example, a letter to the U.S. ambassador in Istanbul, Henry Morgenthau, from November 27, 1914, states that many people cannot meet the demand to pay the high Ottomanization fee. About 10,000 people are interested in nationalization</w:t>
      </w:r>
      <w:r w:rsidR="00A05E9B">
        <w:rPr>
          <w:rFonts w:asciiTheme="majorBidi" w:hAnsiTheme="majorBidi" w:cstheme="majorBidi"/>
        </w:rPr>
        <w:t xml:space="preserve">, and a large sum of money must be raised to assist them. The problematic nature of fighting against Russia is discussed in the letter as well. Morgenthau was thus asked to use his influence on the central authorities in Istanbul to get the tax lowered and the conscription rule </w:t>
      </w:r>
      <w:r w:rsidR="00EE376F">
        <w:rPr>
          <w:rFonts w:asciiTheme="majorBidi" w:hAnsiTheme="majorBidi" w:cstheme="majorBidi"/>
        </w:rPr>
        <w:t>relaxed</w:t>
      </w:r>
      <w:r w:rsidR="00A05E9B">
        <w:rPr>
          <w:rFonts w:asciiTheme="majorBidi" w:hAnsiTheme="majorBidi" w:cstheme="majorBidi"/>
        </w:rPr>
        <w:t>.</w:t>
      </w:r>
      <w:r w:rsidR="00A05E9B">
        <w:rPr>
          <w:rStyle w:val="FootnoteReference"/>
          <w:rFonts w:asciiTheme="majorBidi" w:hAnsiTheme="majorBidi" w:cstheme="majorBidi"/>
        </w:rPr>
        <w:footnoteReference w:id="7"/>
      </w:r>
      <w:r w:rsidR="00A05E9B">
        <w:rPr>
          <w:rFonts w:asciiTheme="majorBidi" w:hAnsiTheme="majorBidi" w:cstheme="majorBidi"/>
        </w:rPr>
        <w:t xml:space="preserve"> The appeal to the American ambassador and the request for assistance from him is interesting, but not surprising. During the war, the United States, and especially its Jewish community and the Joint Distribution Committee, became very involved in events in Palestine, acquired much influence, and granted substantial assistance to residents of Palestine of every religion. The American consul, </w:t>
      </w:r>
      <w:proofErr w:type="spellStart"/>
      <w:r w:rsidR="00A05E9B">
        <w:rPr>
          <w:rFonts w:asciiTheme="majorBidi" w:hAnsiTheme="majorBidi" w:cstheme="majorBidi"/>
        </w:rPr>
        <w:t>Glazebrook</w:t>
      </w:r>
      <w:proofErr w:type="spellEnd"/>
      <w:r w:rsidR="00B475FB">
        <w:rPr>
          <w:rFonts w:asciiTheme="majorBidi" w:hAnsiTheme="majorBidi" w:cstheme="majorBidi"/>
        </w:rPr>
        <w:t xml:space="preserve">, served as a </w:t>
      </w:r>
      <w:r w:rsidR="003E7813">
        <w:rPr>
          <w:rFonts w:asciiTheme="majorBidi" w:hAnsiTheme="majorBidi" w:cstheme="majorBidi"/>
        </w:rPr>
        <w:t>liaison</w:t>
      </w:r>
      <w:r w:rsidR="00B475FB">
        <w:rPr>
          <w:rFonts w:asciiTheme="majorBidi" w:hAnsiTheme="majorBidi" w:cstheme="majorBidi"/>
        </w:rPr>
        <w:t xml:space="preserve"> between the Yishuv and the Americans and helped a great deal in aid distribution as well. </w:t>
      </w:r>
      <w:r w:rsidR="003E7813">
        <w:rPr>
          <w:rFonts w:asciiTheme="majorBidi" w:hAnsiTheme="majorBidi" w:cstheme="majorBidi"/>
        </w:rPr>
        <w:t>T</w:t>
      </w:r>
      <w:r w:rsidR="00BE0C41">
        <w:rPr>
          <w:rFonts w:asciiTheme="majorBidi" w:hAnsiTheme="majorBidi" w:cstheme="majorBidi"/>
        </w:rPr>
        <w:t xml:space="preserve">he American involvement in events in the region, the aid </w:t>
      </w:r>
      <w:r w:rsidR="003E7813">
        <w:rPr>
          <w:rFonts w:asciiTheme="majorBidi" w:hAnsiTheme="majorBidi" w:cstheme="majorBidi"/>
        </w:rPr>
        <w:t xml:space="preserve">it provided </w:t>
      </w:r>
      <w:r w:rsidR="00BE0C41">
        <w:rPr>
          <w:rFonts w:asciiTheme="majorBidi" w:hAnsiTheme="majorBidi" w:cstheme="majorBidi"/>
        </w:rPr>
        <w:t>during the crisis of the war, and it</w:t>
      </w:r>
      <w:r w:rsidR="003E7813">
        <w:rPr>
          <w:rFonts w:asciiTheme="majorBidi" w:hAnsiTheme="majorBidi" w:cstheme="majorBidi"/>
        </w:rPr>
        <w:t>s</w:t>
      </w:r>
      <w:r w:rsidR="00BE0C41">
        <w:rPr>
          <w:rFonts w:asciiTheme="majorBidi" w:hAnsiTheme="majorBidi" w:cstheme="majorBidi"/>
        </w:rPr>
        <w:t xml:space="preserve"> </w:t>
      </w:r>
      <w:r w:rsidR="003E7813">
        <w:rPr>
          <w:rFonts w:asciiTheme="majorBidi" w:hAnsiTheme="majorBidi" w:cstheme="majorBidi"/>
        </w:rPr>
        <w:t>role</w:t>
      </w:r>
      <w:r w:rsidR="00BE0C41">
        <w:rPr>
          <w:rFonts w:asciiTheme="majorBidi" w:hAnsiTheme="majorBidi" w:cstheme="majorBidi"/>
        </w:rPr>
        <w:t xml:space="preserve"> as the mediator between the people of Palestine and the Ottoman rulers, </w:t>
      </w:r>
      <w:r w:rsidR="003E7813">
        <w:rPr>
          <w:rFonts w:asciiTheme="majorBidi" w:hAnsiTheme="majorBidi" w:cstheme="majorBidi"/>
        </w:rPr>
        <w:t xml:space="preserve">can all be seen as the start of a process of the United States becoming a new provider of imperial </w:t>
      </w:r>
      <w:r w:rsidR="00042140">
        <w:rPr>
          <w:rFonts w:asciiTheme="majorBidi" w:hAnsiTheme="majorBidi" w:cstheme="majorBidi"/>
        </w:rPr>
        <w:t>protection whose influence would find expression both during the war and for many years afterward.</w:t>
      </w:r>
    </w:p>
    <w:p w14:paraId="3C6C1D98" w14:textId="37A351D9" w:rsidR="00042140" w:rsidRDefault="00042140" w:rsidP="00A05E9B">
      <w:pPr>
        <w:spacing w:line="360" w:lineRule="auto"/>
        <w:rPr>
          <w:rFonts w:asciiTheme="majorBidi" w:hAnsiTheme="majorBidi" w:cstheme="majorBidi"/>
        </w:rPr>
      </w:pPr>
      <w:r>
        <w:rPr>
          <w:rFonts w:asciiTheme="majorBidi" w:hAnsiTheme="majorBidi" w:cstheme="majorBidi"/>
        </w:rPr>
        <w:lastRenderedPageBreak/>
        <w:tab/>
        <w:t>Initiatives aimed at aiding those seeking to Ottomanize were undertaken within the Zionist Movement as well. A meeting at the organization’s Palestine office in Jaffa on June 11, 1914, took up the question on Ottomanization and the need to increase the number of those seeking to Ottomanize. Among other topics raised were the idea of establishing a “Fund for Army Work” that would collect funds for the Zionist institutions both for “redeeming” young men seeking to avoid conscription (</w:t>
      </w:r>
      <w:r w:rsidR="005416D8">
        <w:rPr>
          <w:rFonts w:asciiTheme="majorBidi" w:hAnsiTheme="majorBidi" w:cstheme="majorBidi"/>
        </w:rPr>
        <w:t xml:space="preserve">the payment for exemption, the </w:t>
      </w:r>
      <w:proofErr w:type="spellStart"/>
      <w:r w:rsidR="005416D8">
        <w:rPr>
          <w:rFonts w:asciiTheme="majorBidi" w:hAnsiTheme="majorBidi" w:cstheme="majorBidi"/>
          <w:i/>
          <w:iCs/>
        </w:rPr>
        <w:t>b</w:t>
      </w:r>
      <w:r w:rsidR="003B7C4B">
        <w:rPr>
          <w:rFonts w:asciiTheme="majorBidi" w:hAnsiTheme="majorBidi" w:cstheme="majorBidi"/>
          <w:i/>
          <w:iCs/>
        </w:rPr>
        <w:t>a</w:t>
      </w:r>
      <w:r w:rsidR="005416D8">
        <w:rPr>
          <w:rFonts w:asciiTheme="majorBidi" w:hAnsiTheme="majorBidi" w:cstheme="majorBidi"/>
          <w:i/>
          <w:iCs/>
        </w:rPr>
        <w:t>dal</w:t>
      </w:r>
      <w:proofErr w:type="spellEnd"/>
      <w:r w:rsidR="005416D8">
        <w:rPr>
          <w:rFonts w:asciiTheme="majorBidi" w:hAnsiTheme="majorBidi" w:cstheme="majorBidi"/>
          <w:i/>
          <w:iCs/>
        </w:rPr>
        <w:t xml:space="preserve"> ‘</w:t>
      </w:r>
      <w:r w:rsidR="003B7C4B">
        <w:rPr>
          <w:rFonts w:asciiTheme="majorBidi" w:hAnsiTheme="majorBidi" w:cstheme="majorBidi"/>
          <w:i/>
          <w:iCs/>
        </w:rPr>
        <w:t>a</w:t>
      </w:r>
      <w:r w:rsidR="005416D8">
        <w:rPr>
          <w:rFonts w:asciiTheme="majorBidi" w:hAnsiTheme="majorBidi" w:cstheme="majorBidi"/>
          <w:i/>
          <w:iCs/>
        </w:rPr>
        <w:t>skari</w:t>
      </w:r>
      <w:r w:rsidR="003B7C4B">
        <w:rPr>
          <w:rFonts w:asciiTheme="majorBidi" w:hAnsiTheme="majorBidi" w:cstheme="majorBidi"/>
        </w:rPr>
        <w:t>, was quite high at 43 Turkish liras, but it enabled non-Muslims to exempt themselves from labor in the army</w:t>
      </w:r>
      <w:r w:rsidR="005416D8">
        <w:rPr>
          <w:rFonts w:asciiTheme="majorBidi" w:hAnsiTheme="majorBidi" w:cstheme="majorBidi"/>
        </w:rPr>
        <w:t>)</w:t>
      </w:r>
      <w:r w:rsidR="003B7C4B">
        <w:rPr>
          <w:rFonts w:asciiTheme="majorBidi" w:hAnsiTheme="majorBidi" w:cstheme="majorBidi"/>
        </w:rPr>
        <w:t xml:space="preserve"> and for support for those conscripted. The meeting also discussed difficulties placed before those seeking naturalization, among them a dearth of manpower and clerks at the </w:t>
      </w:r>
      <w:proofErr w:type="spellStart"/>
      <w:r w:rsidR="003B7C4B">
        <w:rPr>
          <w:rFonts w:asciiTheme="majorBidi" w:hAnsiTheme="majorBidi" w:cstheme="majorBidi"/>
          <w:i/>
          <w:iCs/>
        </w:rPr>
        <w:t>nofos</w:t>
      </w:r>
      <w:proofErr w:type="spellEnd"/>
      <w:r w:rsidR="003B7C4B">
        <w:rPr>
          <w:rFonts w:asciiTheme="majorBidi" w:hAnsiTheme="majorBidi" w:cstheme="majorBidi"/>
        </w:rPr>
        <w:t xml:space="preserve"> (Ottoman citizenship) committee and complaints about the length of the process of naturalization, during which the applicant was, for practical purposes, stateless.</w:t>
      </w:r>
      <w:r w:rsidR="003B7C4B">
        <w:rPr>
          <w:rStyle w:val="FootnoteReference"/>
          <w:rFonts w:asciiTheme="majorBidi" w:hAnsiTheme="majorBidi" w:cstheme="majorBidi"/>
        </w:rPr>
        <w:footnoteReference w:id="8"/>
      </w:r>
    </w:p>
    <w:p w14:paraId="0F87CF59" w14:textId="1EFE5476" w:rsidR="003B7C4B" w:rsidRDefault="003B7C4B" w:rsidP="00A05E9B">
      <w:pPr>
        <w:spacing w:line="360" w:lineRule="auto"/>
        <w:rPr>
          <w:rFonts w:asciiTheme="majorBidi" w:hAnsiTheme="majorBidi" w:cstheme="majorBidi"/>
        </w:rPr>
      </w:pPr>
      <w:r>
        <w:rPr>
          <w:rFonts w:asciiTheme="majorBidi" w:hAnsiTheme="majorBidi" w:cstheme="majorBidi"/>
        </w:rPr>
        <w:tab/>
        <w:t xml:space="preserve">The threat of expulsion was actualized for the first time, and </w:t>
      </w:r>
      <w:r w:rsidR="00DE067B">
        <w:rPr>
          <w:rFonts w:asciiTheme="majorBidi" w:hAnsiTheme="majorBidi" w:cstheme="majorBidi"/>
        </w:rPr>
        <w:t>by</w:t>
      </w:r>
      <w:r>
        <w:rPr>
          <w:rFonts w:asciiTheme="majorBidi" w:hAnsiTheme="majorBidi" w:cstheme="majorBidi"/>
        </w:rPr>
        <w:t xml:space="preserve"> surprise, on November 17, 1917, when the governor of Jaffa, Baha ad-Din, published an order for all nationals of enemy states residing in Palestine who had not yet adopted local nationality to leave the country immediately. That very night, about 500 persons were expelled to Alexandria. The authorities employed a </w:t>
      </w:r>
      <w:r w:rsidR="00DE067B">
        <w:rPr>
          <w:rFonts w:asciiTheme="majorBidi" w:hAnsiTheme="majorBidi" w:cstheme="majorBidi"/>
        </w:rPr>
        <w:t>great deal</w:t>
      </w:r>
      <w:r>
        <w:rPr>
          <w:rFonts w:asciiTheme="majorBidi" w:hAnsiTheme="majorBidi" w:cstheme="majorBidi"/>
        </w:rPr>
        <w:t xml:space="preserve"> of </w:t>
      </w:r>
      <w:r w:rsidR="00FD5081">
        <w:rPr>
          <w:rFonts w:asciiTheme="majorBidi" w:hAnsiTheme="majorBidi" w:cstheme="majorBidi"/>
        </w:rPr>
        <w:t>force in that expulsion, and family members were separated from each other.</w:t>
      </w:r>
      <w:r w:rsidR="00FD5081">
        <w:rPr>
          <w:rStyle w:val="FootnoteReference"/>
          <w:rFonts w:asciiTheme="majorBidi" w:hAnsiTheme="majorBidi" w:cstheme="majorBidi"/>
        </w:rPr>
        <w:footnoteReference w:id="9"/>
      </w:r>
      <w:r w:rsidR="00075CD5">
        <w:rPr>
          <w:rFonts w:asciiTheme="majorBidi" w:hAnsiTheme="majorBidi" w:cstheme="majorBidi"/>
        </w:rPr>
        <w:t xml:space="preserve"> The expulsion provoked agitated responses</w:t>
      </w:r>
      <w:r w:rsidR="00F2764B">
        <w:rPr>
          <w:rFonts w:asciiTheme="majorBidi" w:hAnsiTheme="majorBidi" w:cstheme="majorBidi"/>
        </w:rPr>
        <w:t xml:space="preserve"> and protests in the Yishuv and among American Jews, and brought in its wake a second, accelerated wave of Ottomanization. Following </w:t>
      </w:r>
      <w:r w:rsidR="00ED065C">
        <w:rPr>
          <w:rFonts w:asciiTheme="majorBidi" w:hAnsiTheme="majorBidi" w:cstheme="majorBidi"/>
        </w:rPr>
        <w:t xml:space="preserve">a </w:t>
      </w:r>
      <w:r w:rsidR="00F2764B">
        <w:rPr>
          <w:rFonts w:asciiTheme="majorBidi" w:hAnsiTheme="majorBidi" w:cstheme="majorBidi"/>
        </w:rPr>
        <w:t xml:space="preserve">request to the local authorities, extensions were granted for the process of Ottomanization, and these were publicized mostly through advertisements in the local press. In an advertisement on January 3, 1915, for example, the </w:t>
      </w:r>
      <w:commentRangeStart w:id="5"/>
      <w:r w:rsidR="00F2764B">
        <w:rPr>
          <w:rFonts w:asciiTheme="majorBidi" w:hAnsiTheme="majorBidi" w:cstheme="majorBidi"/>
        </w:rPr>
        <w:t xml:space="preserve">Ottomanization committee </w:t>
      </w:r>
      <w:commentRangeEnd w:id="5"/>
      <w:r w:rsidR="00ED065C">
        <w:rPr>
          <w:rStyle w:val="CommentReference"/>
        </w:rPr>
        <w:commentReference w:id="5"/>
      </w:r>
      <w:r w:rsidR="00F2764B">
        <w:rPr>
          <w:rFonts w:asciiTheme="majorBidi" w:hAnsiTheme="majorBidi" w:cstheme="majorBidi"/>
        </w:rPr>
        <w:t xml:space="preserve">announced the granting of an extension of one month for the naturalization of foreign nationals, an exemption from the Ottomanization tax for poor applicants, and an exemption from one year of military </w:t>
      </w:r>
      <w:r w:rsidR="00F2764B">
        <w:rPr>
          <w:rFonts w:asciiTheme="majorBidi" w:hAnsiTheme="majorBidi" w:cstheme="majorBidi"/>
        </w:rPr>
        <w:lastRenderedPageBreak/>
        <w:t>service.</w:t>
      </w:r>
      <w:r w:rsidR="00F2764B">
        <w:rPr>
          <w:rStyle w:val="FootnoteReference"/>
          <w:rFonts w:asciiTheme="majorBidi" w:hAnsiTheme="majorBidi" w:cstheme="majorBidi"/>
        </w:rPr>
        <w:footnoteReference w:id="10"/>
      </w:r>
      <w:r w:rsidR="00F2764B">
        <w:rPr>
          <w:rFonts w:asciiTheme="majorBidi" w:hAnsiTheme="majorBidi" w:cstheme="majorBidi"/>
        </w:rPr>
        <w:t xml:space="preserve"> In an article they published on December 30, 1914, the members of the Ottomanization Committee in Jerusalem, which numbered Albert </w:t>
      </w:r>
      <w:proofErr w:type="spellStart"/>
      <w:r w:rsidR="00F2764B">
        <w:rPr>
          <w:rFonts w:asciiTheme="majorBidi" w:hAnsiTheme="majorBidi" w:cstheme="majorBidi"/>
        </w:rPr>
        <w:t>Antébi</w:t>
      </w:r>
      <w:proofErr w:type="spellEnd"/>
      <w:r w:rsidR="00F2764B">
        <w:rPr>
          <w:rFonts w:asciiTheme="majorBidi" w:hAnsiTheme="majorBidi" w:cstheme="majorBidi"/>
        </w:rPr>
        <w:t xml:space="preserve">, David Yellin, Boris Schatz, David Ben-Gurion, and </w:t>
      </w:r>
      <w:r w:rsidR="00E61B5F">
        <w:rPr>
          <w:rFonts w:asciiTheme="majorBidi" w:hAnsiTheme="majorBidi" w:cstheme="majorBidi"/>
        </w:rPr>
        <w:t>I</w:t>
      </w:r>
      <w:r w:rsidR="00F2764B">
        <w:rPr>
          <w:rFonts w:asciiTheme="majorBidi" w:hAnsiTheme="majorBidi" w:cstheme="majorBidi"/>
        </w:rPr>
        <w:t>tzhak Ben-</w:t>
      </w:r>
      <w:proofErr w:type="spellStart"/>
      <w:r w:rsidR="00F2764B">
        <w:rPr>
          <w:rFonts w:asciiTheme="majorBidi" w:hAnsiTheme="majorBidi" w:cstheme="majorBidi"/>
        </w:rPr>
        <w:t>Zvi</w:t>
      </w:r>
      <w:proofErr w:type="spellEnd"/>
      <w:r w:rsidR="00F2764B">
        <w:rPr>
          <w:rFonts w:asciiTheme="majorBidi" w:hAnsiTheme="majorBidi" w:cstheme="majorBidi"/>
        </w:rPr>
        <w:t xml:space="preserve"> among its members, </w:t>
      </w:r>
      <w:r w:rsidR="00914F92">
        <w:rPr>
          <w:rFonts w:asciiTheme="majorBidi" w:hAnsiTheme="majorBidi" w:cstheme="majorBidi"/>
        </w:rPr>
        <w:t xml:space="preserve">addressed all those hesitating to become Ottoman subjects. The number of those undergoing Ottomanization </w:t>
      </w:r>
      <w:r w:rsidR="00ED065C">
        <w:rPr>
          <w:rFonts w:asciiTheme="majorBidi" w:hAnsiTheme="majorBidi" w:cstheme="majorBidi"/>
        </w:rPr>
        <w:t xml:space="preserve">was </w:t>
      </w:r>
      <w:r w:rsidR="00914F92">
        <w:rPr>
          <w:rFonts w:asciiTheme="majorBidi" w:hAnsiTheme="majorBidi" w:cstheme="majorBidi"/>
        </w:rPr>
        <w:t xml:space="preserve">falling off, they wrote, and the decree of expulsion was at </w:t>
      </w:r>
      <w:r w:rsidR="00ED065C">
        <w:rPr>
          <w:rFonts w:asciiTheme="majorBidi" w:hAnsiTheme="majorBidi" w:cstheme="majorBidi"/>
        </w:rPr>
        <w:t>hand</w:t>
      </w:r>
      <w:r w:rsidR="00914F92">
        <w:rPr>
          <w:rFonts w:asciiTheme="majorBidi" w:hAnsiTheme="majorBidi" w:cstheme="majorBidi"/>
        </w:rPr>
        <w:t xml:space="preserve">. “The Jerusalem community faces disaster and destruction […] The expulsion is not a temporary edict, for the duration of the war, but a </w:t>
      </w:r>
      <w:commentRangeStart w:id="6"/>
      <w:r w:rsidR="00914F92">
        <w:rPr>
          <w:rFonts w:asciiTheme="majorBidi" w:hAnsiTheme="majorBidi" w:cstheme="majorBidi"/>
        </w:rPr>
        <w:t xml:space="preserve">permanent </w:t>
      </w:r>
      <w:commentRangeEnd w:id="6"/>
      <w:r w:rsidR="00914F92">
        <w:rPr>
          <w:rStyle w:val="CommentReference"/>
        </w:rPr>
        <w:commentReference w:id="6"/>
      </w:r>
      <w:r w:rsidR="00914F92">
        <w:rPr>
          <w:rFonts w:asciiTheme="majorBidi" w:hAnsiTheme="majorBidi" w:cstheme="majorBidi"/>
        </w:rPr>
        <w:t xml:space="preserve">dispersion beyond </w:t>
      </w:r>
      <w:r w:rsidR="00914F92">
        <w:rPr>
          <w:rFonts w:asciiTheme="majorBidi" w:hAnsiTheme="majorBidi" w:cstheme="majorBidi" w:hint="cs"/>
          <w:rtl/>
        </w:rPr>
        <w:t>T</w:t>
      </w:r>
      <w:proofErr w:type="spellStart"/>
      <w:r w:rsidR="00914F92">
        <w:rPr>
          <w:rFonts w:asciiTheme="majorBidi" w:hAnsiTheme="majorBidi" w:cstheme="majorBidi"/>
        </w:rPr>
        <w:t>urkey’s</w:t>
      </w:r>
      <w:proofErr w:type="spellEnd"/>
      <w:r w:rsidR="00914F92">
        <w:rPr>
          <w:rFonts w:asciiTheme="majorBidi" w:hAnsiTheme="majorBidi" w:cstheme="majorBidi"/>
        </w:rPr>
        <w:t xml:space="preserve"> borders.” Instructions for seeking Ottoman nationality were appended </w:t>
      </w:r>
      <w:r w:rsidR="00A77C92">
        <w:rPr>
          <w:rFonts w:asciiTheme="majorBidi" w:hAnsiTheme="majorBidi" w:cstheme="majorBidi"/>
        </w:rPr>
        <w:t>to</w:t>
      </w:r>
      <w:r w:rsidR="00914F92">
        <w:rPr>
          <w:rFonts w:asciiTheme="majorBidi" w:hAnsiTheme="majorBidi" w:cstheme="majorBidi"/>
        </w:rPr>
        <w:t xml:space="preserve"> the article.</w:t>
      </w:r>
    </w:p>
    <w:p w14:paraId="670E8694" w14:textId="67442B1D" w:rsidR="00A77C92" w:rsidRDefault="00A77C92" w:rsidP="00A05E9B">
      <w:pPr>
        <w:spacing w:line="360" w:lineRule="auto"/>
        <w:rPr>
          <w:rFonts w:asciiTheme="majorBidi" w:hAnsiTheme="majorBidi" w:cstheme="majorBidi"/>
        </w:rPr>
      </w:pPr>
      <w:r>
        <w:rPr>
          <w:rFonts w:asciiTheme="majorBidi" w:hAnsiTheme="majorBidi" w:cstheme="majorBidi"/>
        </w:rPr>
        <w:tab/>
        <w:t>During the first year of the war, through August 1915, about 10,000 people left Palestine, while some 10,000 to 15,000 took on Ottoman nationality.</w:t>
      </w:r>
      <w:r>
        <w:rPr>
          <w:rStyle w:val="FootnoteReference"/>
          <w:rFonts w:asciiTheme="majorBidi" w:hAnsiTheme="majorBidi" w:cstheme="majorBidi"/>
        </w:rPr>
        <w:footnoteReference w:id="11"/>
      </w:r>
      <w:r w:rsidR="00E61B5F">
        <w:rPr>
          <w:rFonts w:asciiTheme="majorBidi" w:hAnsiTheme="majorBidi" w:cstheme="majorBidi"/>
        </w:rPr>
        <w:t xml:space="preserve"> The Ottomanization movement failed to achieve the success it had hoped for and, as we have noted, encountered many difficulties. </w:t>
      </w:r>
      <w:r w:rsidR="00B91504">
        <w:rPr>
          <w:rFonts w:asciiTheme="majorBidi" w:hAnsiTheme="majorBidi" w:cstheme="majorBidi"/>
        </w:rPr>
        <w:t>Ben-Gurion and Ben-</w:t>
      </w:r>
      <w:proofErr w:type="spellStart"/>
      <w:r w:rsidR="00B91504">
        <w:rPr>
          <w:rFonts w:asciiTheme="majorBidi" w:hAnsiTheme="majorBidi" w:cstheme="majorBidi"/>
        </w:rPr>
        <w:t>Zvi</w:t>
      </w:r>
      <w:proofErr w:type="spellEnd"/>
      <w:r w:rsidR="00B91504">
        <w:rPr>
          <w:rFonts w:asciiTheme="majorBidi" w:hAnsiTheme="majorBidi" w:cstheme="majorBidi"/>
        </w:rPr>
        <w:t xml:space="preserve"> themselves were </w:t>
      </w:r>
      <w:commentRangeStart w:id="7"/>
      <w:r w:rsidR="00B91504">
        <w:rPr>
          <w:rFonts w:asciiTheme="majorBidi" w:hAnsiTheme="majorBidi" w:cstheme="majorBidi"/>
        </w:rPr>
        <w:t>expelled from Palestine to the United States</w:t>
      </w:r>
      <w:commentRangeEnd w:id="7"/>
      <w:r w:rsidR="00B91504">
        <w:rPr>
          <w:rStyle w:val="CommentReference"/>
        </w:rPr>
        <w:commentReference w:id="7"/>
      </w:r>
      <w:r w:rsidR="00B91504">
        <w:rPr>
          <w:rFonts w:asciiTheme="majorBidi" w:hAnsiTheme="majorBidi" w:cstheme="majorBidi" w:hint="cs"/>
          <w:rtl/>
        </w:rPr>
        <w:t xml:space="preserve"> </w:t>
      </w:r>
      <w:r w:rsidR="00B91504">
        <w:rPr>
          <w:rFonts w:asciiTheme="majorBidi" w:hAnsiTheme="majorBidi" w:cstheme="majorBidi"/>
        </w:rPr>
        <w:t xml:space="preserve">in March of 1915, and the </w:t>
      </w:r>
      <w:commentRangeStart w:id="8"/>
      <w:proofErr w:type="spellStart"/>
      <w:r w:rsidR="00B91504" w:rsidRPr="00B91504">
        <w:rPr>
          <w:rFonts w:asciiTheme="majorBidi" w:hAnsiTheme="majorBidi" w:cstheme="majorBidi"/>
          <w:i/>
          <w:iCs/>
        </w:rPr>
        <w:t>nofos</w:t>
      </w:r>
      <w:proofErr w:type="spellEnd"/>
      <w:r w:rsidR="00B91504">
        <w:rPr>
          <w:rFonts w:asciiTheme="majorBidi" w:hAnsiTheme="majorBidi" w:cstheme="majorBidi"/>
        </w:rPr>
        <w:t xml:space="preserve"> </w:t>
      </w:r>
      <w:commentRangeEnd w:id="8"/>
      <w:r w:rsidR="00ED065C">
        <w:rPr>
          <w:rStyle w:val="CommentReference"/>
        </w:rPr>
        <w:commentReference w:id="8"/>
      </w:r>
      <w:r w:rsidR="00B91504">
        <w:rPr>
          <w:rFonts w:asciiTheme="majorBidi" w:hAnsiTheme="majorBidi" w:cstheme="majorBidi"/>
        </w:rPr>
        <w:t>documents certifying their Ottoman citizenship, which they had received a short time earlier, were rescinded. The reasons for their expulsion are related to the increasingly severe actions of Jamal Pasha, commander of the Fourth Army, who reached Palestine in December 1914, agains</w:t>
      </w:r>
      <w:r w:rsidR="00ED065C">
        <w:rPr>
          <w:rFonts w:asciiTheme="majorBidi" w:hAnsiTheme="majorBidi" w:cstheme="majorBidi"/>
        </w:rPr>
        <w:t>t</w:t>
      </w:r>
      <w:r w:rsidR="00B91504">
        <w:rPr>
          <w:rFonts w:asciiTheme="majorBidi" w:hAnsiTheme="majorBidi" w:cstheme="majorBidi"/>
        </w:rPr>
        <w:t xml:space="preserve"> the Zionist movement and its central activists, such as Ben-Gurion, Israel and </w:t>
      </w:r>
      <w:proofErr w:type="spellStart"/>
      <w:r w:rsidR="00B91504">
        <w:rPr>
          <w:rFonts w:asciiTheme="majorBidi" w:hAnsiTheme="majorBidi" w:cstheme="majorBidi"/>
        </w:rPr>
        <w:t>Manya</w:t>
      </w:r>
      <w:proofErr w:type="spellEnd"/>
      <w:r w:rsidR="00B91504">
        <w:rPr>
          <w:rFonts w:asciiTheme="majorBidi" w:hAnsiTheme="majorBidi" w:cstheme="majorBidi"/>
        </w:rPr>
        <w:t xml:space="preserve"> </w:t>
      </w:r>
      <w:proofErr w:type="spellStart"/>
      <w:r w:rsidR="00B91504">
        <w:rPr>
          <w:rFonts w:asciiTheme="majorBidi" w:hAnsiTheme="majorBidi" w:cstheme="majorBidi"/>
        </w:rPr>
        <w:t>Shochat</w:t>
      </w:r>
      <w:proofErr w:type="spellEnd"/>
      <w:r w:rsidR="00B91504">
        <w:rPr>
          <w:rFonts w:asciiTheme="majorBidi" w:hAnsiTheme="majorBidi" w:cstheme="majorBidi"/>
        </w:rPr>
        <w:t>, Ben-</w:t>
      </w:r>
      <w:proofErr w:type="spellStart"/>
      <w:r w:rsidR="00B91504">
        <w:rPr>
          <w:rFonts w:asciiTheme="majorBidi" w:hAnsiTheme="majorBidi" w:cstheme="majorBidi"/>
        </w:rPr>
        <w:t>Zvi</w:t>
      </w:r>
      <w:proofErr w:type="spellEnd"/>
      <w:r w:rsidR="00B91504">
        <w:rPr>
          <w:rFonts w:asciiTheme="majorBidi" w:hAnsiTheme="majorBidi" w:cstheme="majorBidi"/>
        </w:rPr>
        <w:t>, and others.</w:t>
      </w:r>
      <w:r w:rsidR="00B91504">
        <w:rPr>
          <w:rStyle w:val="FootnoteReference"/>
          <w:rFonts w:asciiTheme="majorBidi" w:hAnsiTheme="majorBidi" w:cstheme="majorBidi"/>
        </w:rPr>
        <w:footnoteReference w:id="12"/>
      </w:r>
    </w:p>
    <w:p w14:paraId="2C9F2B8A" w14:textId="108996FD" w:rsidR="009A16DB" w:rsidRDefault="009A16DB" w:rsidP="00A05E9B">
      <w:pPr>
        <w:spacing w:line="360" w:lineRule="auto"/>
        <w:rPr>
          <w:rFonts w:asciiTheme="majorBidi" w:hAnsiTheme="majorBidi" w:cstheme="majorBidi"/>
        </w:rPr>
      </w:pPr>
      <w:r>
        <w:rPr>
          <w:rFonts w:asciiTheme="majorBidi" w:hAnsiTheme="majorBidi" w:cstheme="majorBidi"/>
        </w:rPr>
        <w:tab/>
      </w:r>
    </w:p>
    <w:p w14:paraId="09720F40" w14:textId="79D29118" w:rsidR="009A16DB" w:rsidRDefault="009A16DB" w:rsidP="00A05E9B">
      <w:pPr>
        <w:spacing w:line="360" w:lineRule="auto"/>
        <w:rPr>
          <w:rFonts w:asciiTheme="majorBidi" w:hAnsiTheme="majorBidi" w:cstheme="majorBidi"/>
          <w:b/>
          <w:bCs/>
        </w:rPr>
      </w:pPr>
      <w:r w:rsidRPr="009A16DB">
        <w:rPr>
          <w:rFonts w:asciiTheme="majorBidi" w:hAnsiTheme="majorBidi" w:cstheme="majorBidi"/>
          <w:b/>
          <w:bCs/>
        </w:rPr>
        <w:t>The Motives for Ottomanization: Ben-Gurion and Ben-</w:t>
      </w:r>
      <w:proofErr w:type="spellStart"/>
      <w:r w:rsidRPr="009A16DB">
        <w:rPr>
          <w:rFonts w:asciiTheme="majorBidi" w:hAnsiTheme="majorBidi" w:cstheme="majorBidi"/>
          <w:b/>
          <w:bCs/>
        </w:rPr>
        <w:t>Zvi</w:t>
      </w:r>
      <w:proofErr w:type="spellEnd"/>
      <w:r w:rsidRPr="009A16DB">
        <w:rPr>
          <w:rFonts w:asciiTheme="majorBidi" w:hAnsiTheme="majorBidi" w:cstheme="majorBidi"/>
          <w:b/>
          <w:bCs/>
        </w:rPr>
        <w:t xml:space="preserve"> as Test Cases</w:t>
      </w:r>
    </w:p>
    <w:p w14:paraId="1E153BF5" w14:textId="358A8DB4" w:rsidR="009A16DB" w:rsidRDefault="009A16DB" w:rsidP="009A16DB">
      <w:pPr>
        <w:spacing w:line="360" w:lineRule="auto"/>
        <w:rPr>
          <w:rFonts w:asciiTheme="majorBidi" w:hAnsiTheme="majorBidi" w:cstheme="majorBidi"/>
        </w:rPr>
      </w:pPr>
      <w:r>
        <w:rPr>
          <w:rFonts w:asciiTheme="majorBidi" w:hAnsiTheme="majorBidi" w:cstheme="majorBidi"/>
        </w:rPr>
        <w:tab/>
        <w:t xml:space="preserve">As we have seen, the Ottomanization movement during the beginning of the war was founded because of an urgent need and out of a sense of mission, to save the Yishuv and prevent the expulsion of nationals </w:t>
      </w:r>
      <w:r w:rsidR="00ED065C">
        <w:rPr>
          <w:rFonts w:asciiTheme="majorBidi" w:hAnsiTheme="majorBidi" w:cstheme="majorBidi"/>
        </w:rPr>
        <w:t>of</w:t>
      </w:r>
      <w:r>
        <w:rPr>
          <w:rFonts w:asciiTheme="majorBidi" w:hAnsiTheme="majorBidi" w:cstheme="majorBidi"/>
        </w:rPr>
        <w:t xml:space="preserve"> hostile countries by the Ottoman authorities, a goal that was achieved, as we have seen, only in part. Two of the central activists in that movement, who had </w:t>
      </w:r>
      <w:r>
        <w:rPr>
          <w:rFonts w:asciiTheme="majorBidi" w:hAnsiTheme="majorBidi" w:cstheme="majorBidi"/>
        </w:rPr>
        <w:lastRenderedPageBreak/>
        <w:t>devoted much attention to the question of Ottomanization even before the outbreak of war, were David Ben-Gurion and Itzhak Ben-</w:t>
      </w:r>
      <w:proofErr w:type="spellStart"/>
      <w:r>
        <w:rPr>
          <w:rFonts w:asciiTheme="majorBidi" w:hAnsiTheme="majorBidi" w:cstheme="majorBidi"/>
        </w:rPr>
        <w:t>Zvi</w:t>
      </w:r>
      <w:proofErr w:type="spellEnd"/>
      <w:r>
        <w:rPr>
          <w:rFonts w:asciiTheme="majorBidi" w:hAnsiTheme="majorBidi" w:cstheme="majorBidi"/>
        </w:rPr>
        <w:t xml:space="preserve">. As two of the central leaders of the </w:t>
      </w:r>
      <w:proofErr w:type="spellStart"/>
      <w:r>
        <w:rPr>
          <w:rFonts w:asciiTheme="majorBidi" w:hAnsiTheme="majorBidi" w:cstheme="majorBidi"/>
        </w:rPr>
        <w:t>Poale</w:t>
      </w:r>
      <w:proofErr w:type="spellEnd"/>
      <w:r>
        <w:rPr>
          <w:rFonts w:asciiTheme="majorBidi" w:hAnsiTheme="majorBidi" w:cstheme="majorBidi"/>
        </w:rPr>
        <w:t xml:space="preserve"> Zion movement and among the Second Aliyah arrivals, it is interesting to examine how they related to the question of naturalization and the adoption of Ottoman nationality.</w:t>
      </w:r>
    </w:p>
    <w:p w14:paraId="7F2454C2" w14:textId="3B115DE1" w:rsidR="009A16DB" w:rsidRDefault="009A16DB" w:rsidP="009A16DB">
      <w:pPr>
        <w:spacing w:line="360" w:lineRule="auto"/>
        <w:rPr>
          <w:rFonts w:asciiTheme="majorBidi" w:hAnsiTheme="majorBidi" w:cstheme="majorBidi"/>
        </w:rPr>
      </w:pPr>
      <w:r>
        <w:rPr>
          <w:rFonts w:asciiTheme="majorBidi" w:hAnsiTheme="majorBidi" w:cstheme="majorBidi"/>
        </w:rPr>
        <w:tab/>
        <w:t>Ben-Gurion</w:t>
      </w:r>
      <w:r w:rsidR="0047051D">
        <w:rPr>
          <w:rFonts w:asciiTheme="majorBidi" w:hAnsiTheme="majorBidi" w:cstheme="majorBidi"/>
        </w:rPr>
        <w:t>’s</w:t>
      </w:r>
      <w:r>
        <w:rPr>
          <w:rFonts w:asciiTheme="majorBidi" w:hAnsiTheme="majorBidi" w:cstheme="majorBidi"/>
        </w:rPr>
        <w:t xml:space="preserve"> and Ben-</w:t>
      </w:r>
      <w:proofErr w:type="spellStart"/>
      <w:r>
        <w:rPr>
          <w:rFonts w:asciiTheme="majorBidi" w:hAnsiTheme="majorBidi" w:cstheme="majorBidi"/>
        </w:rPr>
        <w:t>Zvi’s</w:t>
      </w:r>
      <w:proofErr w:type="spellEnd"/>
      <w:r>
        <w:rPr>
          <w:rFonts w:asciiTheme="majorBidi" w:hAnsiTheme="majorBidi" w:cstheme="majorBidi"/>
        </w:rPr>
        <w:t xml:space="preserve"> decision to study law in Istanbul stemmed from, </w:t>
      </w:r>
      <w:r w:rsidR="009D7806">
        <w:rPr>
          <w:rFonts w:asciiTheme="majorBidi" w:hAnsiTheme="majorBidi" w:cstheme="majorBidi"/>
        </w:rPr>
        <w:t>among other things, the importance they attributed to Ottoman nationality for strengthening the Yishuv. Ben-Gurion even aspired to becoming the Jewish Palestinian representative in the Ottoman parliament and to represent the Yishuv’s interest in that body:</w:t>
      </w:r>
    </w:p>
    <w:p w14:paraId="4EC33E25" w14:textId="77777777" w:rsidR="000B232F" w:rsidRDefault="000B232F" w:rsidP="009A16DB">
      <w:pPr>
        <w:spacing w:line="360" w:lineRule="auto"/>
        <w:rPr>
          <w:rFonts w:asciiTheme="majorBidi" w:hAnsiTheme="majorBidi" w:cstheme="majorBidi"/>
        </w:rPr>
      </w:pPr>
    </w:p>
    <w:p w14:paraId="61A4553D" w14:textId="2D74DAF8" w:rsidR="009D7806" w:rsidRDefault="009D7806" w:rsidP="009D7806">
      <w:pPr>
        <w:spacing w:line="360" w:lineRule="auto"/>
        <w:ind w:left="720" w:right="720"/>
        <w:rPr>
          <w:rFonts w:asciiTheme="majorBidi" w:hAnsiTheme="majorBidi" w:cstheme="majorBidi"/>
        </w:rPr>
      </w:pPr>
      <w:r>
        <w:rPr>
          <w:rFonts w:asciiTheme="majorBidi" w:hAnsiTheme="majorBidi" w:cstheme="majorBidi"/>
        </w:rPr>
        <w:t>After I am elected as a representative in the parliament, I will be able to attain the role of the Jewish member of the Ottoman government. […] I have come to think that I will be very close to the focus of power, so that I can advance the development and progress of the Jews in Palestine. At the same time, I will be able, in various ways</w:t>
      </w:r>
      <w:r w:rsidR="0047051D">
        <w:rPr>
          <w:rFonts w:asciiTheme="majorBidi" w:hAnsiTheme="majorBidi" w:cstheme="majorBidi"/>
        </w:rPr>
        <w:t>,</w:t>
      </w:r>
      <w:r>
        <w:rPr>
          <w:rFonts w:asciiTheme="majorBidi" w:hAnsiTheme="majorBidi" w:cstheme="majorBidi"/>
        </w:rPr>
        <w:t xml:space="preserve"> to assist the movement for Jewish liberation, which is likely at first to attain a certain autonomy and, in the end, complete independence.</w:t>
      </w:r>
      <w:r>
        <w:rPr>
          <w:rStyle w:val="FootnoteReference"/>
          <w:rFonts w:asciiTheme="majorBidi" w:hAnsiTheme="majorBidi" w:cstheme="majorBidi"/>
        </w:rPr>
        <w:footnoteReference w:id="13"/>
      </w:r>
    </w:p>
    <w:p w14:paraId="4EA1FCB7" w14:textId="77777777" w:rsidR="000B232F" w:rsidRDefault="000B232F" w:rsidP="009D7806">
      <w:pPr>
        <w:spacing w:line="360" w:lineRule="auto"/>
        <w:ind w:left="720" w:right="720"/>
        <w:rPr>
          <w:rFonts w:asciiTheme="majorBidi" w:hAnsiTheme="majorBidi" w:cstheme="majorBidi"/>
        </w:rPr>
      </w:pPr>
    </w:p>
    <w:p w14:paraId="2D0AAF9C" w14:textId="1A37D532" w:rsidR="00042140" w:rsidRDefault="000B232F" w:rsidP="00C4373A">
      <w:pPr>
        <w:spacing w:line="360" w:lineRule="auto"/>
        <w:ind w:firstLine="720"/>
        <w:rPr>
          <w:rFonts w:asciiTheme="majorBidi" w:hAnsiTheme="majorBidi" w:cstheme="majorBidi"/>
        </w:rPr>
      </w:pPr>
      <w:r>
        <w:rPr>
          <w:rFonts w:asciiTheme="majorBidi" w:hAnsiTheme="majorBidi" w:cstheme="majorBidi"/>
        </w:rPr>
        <w:t>The adoption of Ottoman nationality stemmed from Ben-Gurion’s and Ben-</w:t>
      </w:r>
      <w:proofErr w:type="spellStart"/>
      <w:r>
        <w:rPr>
          <w:rFonts w:asciiTheme="majorBidi" w:hAnsiTheme="majorBidi" w:cstheme="majorBidi"/>
        </w:rPr>
        <w:t>Zvi’s</w:t>
      </w:r>
      <w:proofErr w:type="spellEnd"/>
      <w:r>
        <w:rPr>
          <w:rFonts w:asciiTheme="majorBidi" w:hAnsiTheme="majorBidi" w:cstheme="majorBidi"/>
        </w:rPr>
        <w:t xml:space="preserve"> desire to break their </w:t>
      </w:r>
      <w:r w:rsidR="00C23A15">
        <w:rPr>
          <w:rFonts w:asciiTheme="majorBidi" w:hAnsiTheme="majorBidi" w:cstheme="majorBidi"/>
        </w:rPr>
        <w:t>connections</w:t>
      </w:r>
      <w:r>
        <w:rPr>
          <w:rFonts w:asciiTheme="majorBidi" w:hAnsiTheme="majorBidi" w:cstheme="majorBidi"/>
        </w:rPr>
        <w:t xml:space="preserve"> with their Russian past and tie their fate to that of the Empire.</w:t>
      </w:r>
      <w:r w:rsidR="009373DC">
        <w:rPr>
          <w:rFonts w:asciiTheme="majorBidi" w:hAnsiTheme="majorBidi" w:cstheme="majorBidi"/>
        </w:rPr>
        <w:t xml:space="preserve"> As Ben-</w:t>
      </w:r>
      <w:proofErr w:type="spellStart"/>
      <w:r w:rsidR="009373DC">
        <w:rPr>
          <w:rFonts w:asciiTheme="majorBidi" w:hAnsiTheme="majorBidi" w:cstheme="majorBidi"/>
        </w:rPr>
        <w:t>Zvi</w:t>
      </w:r>
      <w:proofErr w:type="spellEnd"/>
      <w:r w:rsidR="009373DC">
        <w:rPr>
          <w:rFonts w:asciiTheme="majorBidi" w:hAnsiTheme="majorBidi" w:cstheme="majorBidi"/>
        </w:rPr>
        <w:t xml:space="preserve"> remarked, </w:t>
      </w:r>
      <w:r w:rsidR="00C23A15">
        <w:rPr>
          <w:rFonts w:asciiTheme="majorBidi" w:hAnsiTheme="majorBidi" w:cstheme="majorBidi"/>
        </w:rPr>
        <w:t xml:space="preserve">“A firm decision formed within me to sever my ties with the </w:t>
      </w:r>
      <w:proofErr w:type="spellStart"/>
      <w:r w:rsidR="00C23A15">
        <w:rPr>
          <w:rFonts w:asciiTheme="majorBidi" w:hAnsiTheme="majorBidi" w:cstheme="majorBidi"/>
          <w:i/>
          <w:iCs/>
        </w:rPr>
        <w:t>golah</w:t>
      </w:r>
      <w:proofErr w:type="spellEnd"/>
      <w:r w:rsidR="00C23A15">
        <w:rPr>
          <w:rFonts w:asciiTheme="majorBidi" w:hAnsiTheme="majorBidi" w:cstheme="majorBidi"/>
        </w:rPr>
        <w:t xml:space="preserve"> [the lands of “exile”] in a formal way too and to tie my fate to the state with which my country’s fate was bound up.”</w:t>
      </w:r>
      <w:r w:rsidR="00C23A15">
        <w:rPr>
          <w:rStyle w:val="FootnoteReference"/>
          <w:rFonts w:asciiTheme="majorBidi" w:hAnsiTheme="majorBidi" w:cstheme="majorBidi"/>
        </w:rPr>
        <w:footnoteReference w:id="14"/>
      </w:r>
      <w:r w:rsidR="00C23A15">
        <w:rPr>
          <w:rFonts w:asciiTheme="majorBidi" w:hAnsiTheme="majorBidi" w:cstheme="majorBidi"/>
        </w:rPr>
        <w:t xml:space="preserve"> That state is the Empire; the country is the Land of Israel. The changes that took place in the Empire in the wake of the constitutional changes after the 1908 revolution—the loss </w:t>
      </w:r>
      <w:r w:rsidR="00C23A15">
        <w:rPr>
          <w:rFonts w:asciiTheme="majorBidi" w:hAnsiTheme="majorBidi" w:cstheme="majorBidi"/>
        </w:rPr>
        <w:lastRenderedPageBreak/>
        <w:t>of Libya in 1911–1912, the Balkan wars of 1912–1913, the loss of most of the Christian provinces and their population in Europe, and the transformation of the Empire into a more homogenous realm in relation to religion—all only increased those men’s faith in the openness of the Empire toward its minorities and in the Empire’s strength and resilience. They hoped that the new constitutional regime would facilitate the expression of national sentiments by the Empire’s national minorities</w:t>
      </w:r>
      <w:r w:rsidR="004371CF">
        <w:rPr>
          <w:rFonts w:asciiTheme="majorBidi" w:hAnsiTheme="majorBidi" w:cstheme="majorBidi"/>
        </w:rPr>
        <w:t xml:space="preserve">, on the condition, of course, that </w:t>
      </w:r>
      <w:r w:rsidR="0047051D">
        <w:rPr>
          <w:rFonts w:asciiTheme="majorBidi" w:hAnsiTheme="majorBidi" w:cstheme="majorBidi"/>
        </w:rPr>
        <w:t>those</w:t>
      </w:r>
      <w:r w:rsidR="004371CF">
        <w:rPr>
          <w:rFonts w:asciiTheme="majorBidi" w:hAnsiTheme="majorBidi" w:cstheme="majorBidi"/>
        </w:rPr>
        <w:t xml:space="preserve"> minorities would be loyal Ottoman nationals. In Israel </w:t>
      </w:r>
      <w:proofErr w:type="spellStart"/>
      <w:r w:rsidR="004371CF">
        <w:rPr>
          <w:rFonts w:asciiTheme="majorBidi" w:hAnsiTheme="majorBidi" w:cstheme="majorBidi"/>
        </w:rPr>
        <w:t>Bartal’s</w:t>
      </w:r>
      <w:proofErr w:type="spellEnd"/>
      <w:r w:rsidR="004371CF">
        <w:rPr>
          <w:rFonts w:asciiTheme="majorBidi" w:hAnsiTheme="majorBidi" w:cstheme="majorBidi"/>
        </w:rPr>
        <w:t xml:space="preserve"> analysis, </w:t>
      </w:r>
      <w:commentRangeStart w:id="9"/>
      <w:r w:rsidR="004371CF">
        <w:rPr>
          <w:rFonts w:asciiTheme="majorBidi" w:hAnsiTheme="majorBidi" w:cstheme="majorBidi"/>
        </w:rPr>
        <w:t xml:space="preserve">they combined the autonomist elements in their Zionist conception with the </w:t>
      </w:r>
      <w:proofErr w:type="spellStart"/>
      <w:r w:rsidR="004371CF">
        <w:rPr>
          <w:rFonts w:asciiTheme="majorBidi" w:hAnsiTheme="majorBidi" w:cstheme="majorBidi"/>
        </w:rPr>
        <w:t>territorialist</w:t>
      </w:r>
      <w:proofErr w:type="spellEnd"/>
      <w:r w:rsidR="004371CF">
        <w:rPr>
          <w:rFonts w:asciiTheme="majorBidi" w:hAnsiTheme="majorBidi" w:cstheme="majorBidi"/>
        </w:rPr>
        <w:t xml:space="preserve"> elements</w:t>
      </w:r>
      <w:commentRangeEnd w:id="9"/>
      <w:r w:rsidR="0047051D">
        <w:rPr>
          <w:rStyle w:val="CommentReference"/>
        </w:rPr>
        <w:commentReference w:id="9"/>
      </w:r>
      <w:r w:rsidR="004371CF">
        <w:rPr>
          <w:rFonts w:asciiTheme="majorBidi" w:hAnsiTheme="majorBidi" w:cstheme="majorBidi"/>
        </w:rPr>
        <w:t>, hoping that the communal autonomy that Ottoman Jews had enjoyed in the Empire could become territorial autonomy for the Yishuv in the context of the Ottoman Empire.</w:t>
      </w:r>
      <w:r w:rsidR="004371CF">
        <w:rPr>
          <w:rStyle w:val="FootnoteReference"/>
          <w:rFonts w:asciiTheme="majorBidi" w:hAnsiTheme="majorBidi" w:cstheme="majorBidi"/>
        </w:rPr>
        <w:footnoteReference w:id="15"/>
      </w:r>
      <w:r w:rsidR="00C4373A">
        <w:rPr>
          <w:rFonts w:asciiTheme="majorBidi" w:hAnsiTheme="majorBidi" w:cstheme="majorBidi"/>
        </w:rPr>
        <w:t xml:space="preserve"> As it became clear, </w:t>
      </w:r>
      <w:r w:rsidR="003D68C0">
        <w:rPr>
          <w:rFonts w:asciiTheme="majorBidi" w:hAnsiTheme="majorBidi" w:cstheme="majorBidi"/>
        </w:rPr>
        <w:t xml:space="preserve">this hope of encouraging the participation of minorities in the life of the Empire </w:t>
      </w:r>
      <w:commentRangeStart w:id="10"/>
      <w:r w:rsidR="003D68C0">
        <w:rPr>
          <w:rFonts w:asciiTheme="majorBidi" w:hAnsiTheme="majorBidi" w:cstheme="majorBidi"/>
        </w:rPr>
        <w:t>came too early</w:t>
      </w:r>
      <w:commentRangeEnd w:id="10"/>
      <w:r w:rsidR="0047051D">
        <w:rPr>
          <w:rStyle w:val="CommentReference"/>
        </w:rPr>
        <w:commentReference w:id="10"/>
      </w:r>
      <w:r w:rsidR="003D68C0">
        <w:rPr>
          <w:rFonts w:asciiTheme="majorBidi" w:hAnsiTheme="majorBidi" w:cstheme="majorBidi"/>
        </w:rPr>
        <w:t xml:space="preserve">, because the centralizing trends, under the leadership of </w:t>
      </w:r>
      <w:commentRangeStart w:id="11"/>
      <w:r w:rsidR="003D68C0">
        <w:rPr>
          <w:rFonts w:asciiTheme="majorBidi" w:hAnsiTheme="majorBidi" w:cstheme="majorBidi"/>
        </w:rPr>
        <w:t xml:space="preserve">the ministers Anwar, </w:t>
      </w:r>
      <w:proofErr w:type="spellStart"/>
      <w:r w:rsidR="003D68C0">
        <w:rPr>
          <w:rFonts w:asciiTheme="majorBidi" w:hAnsiTheme="majorBidi" w:cstheme="majorBidi"/>
        </w:rPr>
        <w:t>Tal‘at</w:t>
      </w:r>
      <w:proofErr w:type="spellEnd"/>
      <w:r w:rsidR="003D68C0">
        <w:rPr>
          <w:rFonts w:asciiTheme="majorBidi" w:hAnsiTheme="majorBidi" w:cstheme="majorBidi"/>
        </w:rPr>
        <w:t>, and Jamal</w:t>
      </w:r>
      <w:commentRangeEnd w:id="11"/>
      <w:r w:rsidR="003D68C0">
        <w:rPr>
          <w:rStyle w:val="CommentReference"/>
        </w:rPr>
        <w:commentReference w:id="11"/>
      </w:r>
      <w:r w:rsidR="003D68C0">
        <w:rPr>
          <w:rFonts w:asciiTheme="majorBidi" w:hAnsiTheme="majorBidi" w:cstheme="majorBidi"/>
        </w:rPr>
        <w:t>, are what dictated, in the end, Ottoman policy toward the minorities during the last years of the Empire.</w:t>
      </w:r>
    </w:p>
    <w:p w14:paraId="6178A657" w14:textId="71F726A6" w:rsidR="003D68C0" w:rsidRDefault="003D68C0" w:rsidP="00C4373A">
      <w:pPr>
        <w:spacing w:line="360" w:lineRule="auto"/>
        <w:ind w:firstLine="720"/>
        <w:rPr>
          <w:rFonts w:asciiTheme="majorBidi" w:hAnsiTheme="majorBidi" w:cstheme="majorBidi"/>
        </w:rPr>
      </w:pPr>
      <w:r>
        <w:rPr>
          <w:rFonts w:asciiTheme="majorBidi" w:hAnsiTheme="majorBidi" w:cstheme="majorBidi"/>
        </w:rPr>
        <w:t>The manner in which Ben-Gurion and Ben-</w:t>
      </w:r>
      <w:proofErr w:type="spellStart"/>
      <w:r>
        <w:rPr>
          <w:rFonts w:asciiTheme="majorBidi" w:hAnsiTheme="majorBidi" w:cstheme="majorBidi"/>
        </w:rPr>
        <w:t>Zvi</w:t>
      </w:r>
      <w:proofErr w:type="spellEnd"/>
      <w:r>
        <w:rPr>
          <w:rFonts w:asciiTheme="majorBidi" w:hAnsiTheme="majorBidi" w:cstheme="majorBidi"/>
        </w:rPr>
        <w:t xml:space="preserve"> perceived the need for Ottomanization is clear: it was essential, in their opinion, for strengthening the Yishuv and putting </w:t>
      </w:r>
      <w:r w:rsidR="0047051D">
        <w:rPr>
          <w:rFonts w:asciiTheme="majorBidi" w:hAnsiTheme="majorBidi" w:cstheme="majorBidi"/>
        </w:rPr>
        <w:t xml:space="preserve">it </w:t>
      </w:r>
      <w:r>
        <w:rPr>
          <w:rFonts w:asciiTheme="majorBidi" w:hAnsiTheme="majorBidi" w:cstheme="majorBidi"/>
        </w:rPr>
        <w:t xml:space="preserve">on a solid footing, for expanding its political representation in the institutions of the Empire, and for striking root in the Empire. Only through political involvement in the Empire could the Yishuv struggle for its rights in Palestine, such as the rescinding of the restrictions on immigration and the limitations of land acquisition. The abrogation of the Capitulations contributed, as we have said, to that conception: “The Empire is </w:t>
      </w:r>
      <w:r w:rsidR="00942AD6">
        <w:rPr>
          <w:rFonts w:asciiTheme="majorBidi" w:hAnsiTheme="majorBidi" w:cstheme="majorBidi"/>
        </w:rPr>
        <w:t>emerging</w:t>
      </w:r>
      <w:r>
        <w:rPr>
          <w:rFonts w:asciiTheme="majorBidi" w:hAnsiTheme="majorBidi" w:cstheme="majorBidi"/>
        </w:rPr>
        <w:t xml:space="preserve"> from servitude to freedom, liberating itself </w:t>
      </w:r>
      <w:r w:rsidR="0047051D">
        <w:rPr>
          <w:rFonts w:asciiTheme="majorBidi" w:hAnsiTheme="majorBidi" w:cstheme="majorBidi"/>
        </w:rPr>
        <w:t>from</w:t>
      </w:r>
      <w:r>
        <w:rPr>
          <w:rFonts w:asciiTheme="majorBidi" w:hAnsiTheme="majorBidi" w:cstheme="majorBidi"/>
        </w:rPr>
        <w:t xml:space="preserve"> the yoke of foreign </w:t>
      </w:r>
      <w:commentRangeStart w:id="12"/>
      <w:r w:rsidR="00942AD6">
        <w:rPr>
          <w:rFonts w:asciiTheme="majorBidi" w:hAnsiTheme="majorBidi" w:cstheme="majorBidi"/>
        </w:rPr>
        <w:t>control</w:t>
      </w:r>
      <w:commentRangeEnd w:id="12"/>
      <w:r w:rsidR="00942AD6">
        <w:rPr>
          <w:rStyle w:val="CommentReference"/>
        </w:rPr>
        <w:commentReference w:id="12"/>
      </w:r>
      <w:r w:rsidR="00942AD6">
        <w:rPr>
          <w:rFonts w:asciiTheme="majorBidi" w:hAnsiTheme="majorBidi" w:cstheme="majorBidi"/>
        </w:rPr>
        <w:t xml:space="preserve">, both financial and legal, and becoming master of itself. […] The privileges for foreigners have been cancelled, and all residents of the realm have become equal. </w:t>
      </w:r>
      <w:r w:rsidR="005E4B82">
        <w:rPr>
          <w:rFonts w:asciiTheme="majorBidi" w:hAnsiTheme="majorBidi" w:cstheme="majorBidi"/>
        </w:rPr>
        <w:t xml:space="preserve">There is one rule, one law for both the alien and the native-born,” wrote Ben-Gurion in </w:t>
      </w:r>
      <w:r w:rsidR="005E4B82" w:rsidRPr="005E4B82">
        <w:rPr>
          <w:rFonts w:ascii="Times New Roman" w:hAnsi="Times New Roman" w:cs="Times New Roman"/>
          <w:i/>
          <w:iCs/>
        </w:rPr>
        <w:t>Ha-</w:t>
      </w:r>
      <w:proofErr w:type="spellStart"/>
      <w:r w:rsidR="005E4B82" w:rsidRPr="005E4B82">
        <w:rPr>
          <w:rFonts w:ascii="Times New Roman" w:hAnsi="Times New Roman" w:cs="Times New Roman"/>
          <w:i/>
          <w:iCs/>
        </w:rPr>
        <w:t>aḥdut</w:t>
      </w:r>
      <w:proofErr w:type="spellEnd"/>
      <w:r w:rsidR="005E4B82">
        <w:rPr>
          <w:rFonts w:asciiTheme="majorBidi" w:hAnsiTheme="majorBidi" w:cstheme="majorBidi"/>
        </w:rPr>
        <w:t xml:space="preserve"> in September 1914.</w:t>
      </w:r>
      <w:r w:rsidR="005E4B82">
        <w:rPr>
          <w:rStyle w:val="FootnoteReference"/>
          <w:rFonts w:asciiTheme="majorBidi" w:hAnsiTheme="majorBidi" w:cstheme="majorBidi"/>
        </w:rPr>
        <w:footnoteReference w:id="16"/>
      </w:r>
      <w:r w:rsidR="005E4B82">
        <w:rPr>
          <w:rFonts w:asciiTheme="majorBidi" w:hAnsiTheme="majorBidi" w:cstheme="majorBidi"/>
        </w:rPr>
        <w:t xml:space="preserve"> They themselves, it should be noted, adopted Ottoman nationality at a relatively late stage. In fact, when they sat on the Ottomanization </w:t>
      </w:r>
      <w:commentRangeStart w:id="13"/>
      <w:r w:rsidR="005E4B82">
        <w:rPr>
          <w:rFonts w:asciiTheme="majorBidi" w:hAnsiTheme="majorBidi" w:cstheme="majorBidi"/>
        </w:rPr>
        <w:t>C</w:t>
      </w:r>
      <w:commentRangeEnd w:id="13"/>
      <w:r w:rsidR="0047051D">
        <w:rPr>
          <w:rStyle w:val="CommentReference"/>
        </w:rPr>
        <w:commentReference w:id="13"/>
      </w:r>
      <w:r w:rsidR="005E4B82">
        <w:rPr>
          <w:rFonts w:asciiTheme="majorBidi" w:hAnsiTheme="majorBidi" w:cstheme="majorBidi"/>
        </w:rPr>
        <w:t xml:space="preserve">ommittee, </w:t>
      </w:r>
      <w:r w:rsidR="005E4B82">
        <w:rPr>
          <w:rFonts w:asciiTheme="majorBidi" w:hAnsiTheme="majorBidi" w:cstheme="majorBidi"/>
        </w:rPr>
        <w:lastRenderedPageBreak/>
        <w:t xml:space="preserve">they </w:t>
      </w:r>
      <w:r w:rsidR="00F747F0">
        <w:rPr>
          <w:rFonts w:asciiTheme="majorBidi" w:hAnsiTheme="majorBidi" w:cstheme="majorBidi"/>
        </w:rPr>
        <w:t>were the o</w:t>
      </w:r>
      <w:r w:rsidR="0047051D">
        <w:rPr>
          <w:rFonts w:asciiTheme="majorBidi" w:hAnsiTheme="majorBidi" w:cstheme="majorBidi"/>
        </w:rPr>
        <w:t>nly</w:t>
      </w:r>
      <w:r w:rsidR="00F747F0">
        <w:rPr>
          <w:rFonts w:asciiTheme="majorBidi" w:hAnsiTheme="majorBidi" w:cstheme="majorBidi"/>
        </w:rPr>
        <w:t xml:space="preserve"> ones among its members who did not hold Ottoman nationality. Their </w:t>
      </w:r>
      <w:commentRangeStart w:id="14"/>
      <w:proofErr w:type="spellStart"/>
      <w:r w:rsidR="00F747F0">
        <w:rPr>
          <w:rFonts w:asciiTheme="majorBidi" w:hAnsiTheme="majorBidi" w:cstheme="majorBidi"/>
          <w:i/>
          <w:iCs/>
        </w:rPr>
        <w:t>nofos</w:t>
      </w:r>
      <w:proofErr w:type="spellEnd"/>
      <w:r w:rsidR="00F747F0">
        <w:rPr>
          <w:rFonts w:asciiTheme="majorBidi" w:hAnsiTheme="majorBidi" w:cstheme="majorBidi"/>
          <w:i/>
          <w:iCs/>
          <w:u w:val="single"/>
        </w:rPr>
        <w:t xml:space="preserve"> </w:t>
      </w:r>
      <w:commentRangeEnd w:id="14"/>
      <w:r w:rsidR="0047051D">
        <w:rPr>
          <w:rStyle w:val="CommentReference"/>
        </w:rPr>
        <w:commentReference w:id="14"/>
      </w:r>
      <w:r w:rsidR="00F747F0" w:rsidRPr="00F747F0">
        <w:rPr>
          <w:rFonts w:asciiTheme="majorBidi" w:hAnsiTheme="majorBidi" w:cstheme="majorBidi"/>
        </w:rPr>
        <w:t xml:space="preserve">documents were rescinded, as noted above, </w:t>
      </w:r>
      <w:r w:rsidR="00F747F0">
        <w:rPr>
          <w:rFonts w:asciiTheme="majorBidi" w:hAnsiTheme="majorBidi" w:cstheme="majorBidi"/>
        </w:rPr>
        <w:t>with the</w:t>
      </w:r>
      <w:r w:rsidR="0047051D">
        <w:rPr>
          <w:rFonts w:asciiTheme="majorBidi" w:hAnsiTheme="majorBidi" w:cstheme="majorBidi"/>
        </w:rPr>
        <w:t>ir</w:t>
      </w:r>
      <w:r w:rsidR="00F747F0">
        <w:rPr>
          <w:rFonts w:asciiTheme="majorBidi" w:hAnsiTheme="majorBidi" w:cstheme="majorBidi"/>
        </w:rPr>
        <w:t xml:space="preserve"> expu</w:t>
      </w:r>
      <w:r w:rsidR="0047051D">
        <w:rPr>
          <w:rFonts w:asciiTheme="majorBidi" w:hAnsiTheme="majorBidi" w:cstheme="majorBidi"/>
        </w:rPr>
        <w:t>l</w:t>
      </w:r>
      <w:r w:rsidR="00F747F0">
        <w:rPr>
          <w:rFonts w:asciiTheme="majorBidi" w:hAnsiTheme="majorBidi" w:cstheme="majorBidi"/>
        </w:rPr>
        <w:t>sion from Palestine in 1915.</w:t>
      </w:r>
    </w:p>
    <w:p w14:paraId="4673A2DA" w14:textId="372F7EE0" w:rsidR="00F747F0" w:rsidRDefault="00F747F0" w:rsidP="00C4373A">
      <w:pPr>
        <w:spacing w:line="360" w:lineRule="auto"/>
        <w:ind w:firstLine="720"/>
        <w:rPr>
          <w:rFonts w:asciiTheme="majorBidi" w:hAnsiTheme="majorBidi" w:cstheme="majorBidi"/>
        </w:rPr>
      </w:pPr>
      <w:r>
        <w:rPr>
          <w:rFonts w:asciiTheme="majorBidi" w:hAnsiTheme="majorBidi" w:cstheme="majorBidi"/>
        </w:rPr>
        <w:t>It is interesting to examine</w:t>
      </w:r>
      <w:r>
        <w:rPr>
          <w:rFonts w:asciiTheme="majorBidi" w:hAnsiTheme="majorBidi" w:cstheme="majorBidi" w:hint="cs"/>
          <w:rtl/>
        </w:rPr>
        <w:t xml:space="preserve"> </w:t>
      </w:r>
      <w:r>
        <w:rPr>
          <w:rFonts w:asciiTheme="majorBidi" w:hAnsiTheme="majorBidi" w:cstheme="majorBidi"/>
        </w:rPr>
        <w:t>the advantages of Ottomanization in their eyes from the aspect of the attitude toward the local Arabs. Foreign citizenship influences relations with the local Arabs as well, Ben-Gurion argued.</w:t>
      </w:r>
      <w:r w:rsidR="003F4E1B">
        <w:rPr>
          <w:rFonts w:asciiTheme="majorBidi" w:hAnsiTheme="majorBidi" w:cstheme="majorBidi"/>
        </w:rPr>
        <w:t xml:space="preserve"> Lack of knowledge of Turkish and Arabic and lack of involvement in public life and local politics prevent any </w:t>
      </w:r>
      <w:commentRangeStart w:id="15"/>
      <w:r w:rsidR="003F4E1B">
        <w:rPr>
          <w:rFonts w:asciiTheme="majorBidi" w:hAnsiTheme="majorBidi" w:cstheme="majorBidi"/>
        </w:rPr>
        <w:t xml:space="preserve">negotiation </w:t>
      </w:r>
      <w:commentRangeEnd w:id="15"/>
      <w:r w:rsidR="003F4E1B">
        <w:rPr>
          <w:rStyle w:val="CommentReference"/>
        </w:rPr>
        <w:commentReference w:id="15"/>
      </w:r>
      <w:r w:rsidR="003F4E1B">
        <w:rPr>
          <w:rFonts w:asciiTheme="majorBidi" w:hAnsiTheme="majorBidi" w:cstheme="majorBidi"/>
        </w:rPr>
        <w:t xml:space="preserve">or contact with the Arabs living in Palestine. Moreover, Ben-Gurion </w:t>
      </w:r>
      <w:r w:rsidR="0047051D">
        <w:rPr>
          <w:rFonts w:asciiTheme="majorBidi" w:hAnsiTheme="majorBidi" w:cstheme="majorBidi"/>
        </w:rPr>
        <w:t>derided</w:t>
      </w:r>
      <w:r w:rsidR="003F4E1B">
        <w:rPr>
          <w:rFonts w:asciiTheme="majorBidi" w:hAnsiTheme="majorBidi" w:cstheme="majorBidi"/>
        </w:rPr>
        <w:t xml:space="preserve"> the community officials living in Palestine for decades for not speaking the local language:</w:t>
      </w:r>
    </w:p>
    <w:p w14:paraId="458608E9" w14:textId="77777777" w:rsidR="000772CD" w:rsidRDefault="000772CD" w:rsidP="00C4373A">
      <w:pPr>
        <w:spacing w:line="360" w:lineRule="auto"/>
        <w:ind w:firstLine="720"/>
        <w:rPr>
          <w:rFonts w:asciiTheme="majorBidi" w:hAnsiTheme="majorBidi" w:cstheme="majorBidi"/>
        </w:rPr>
      </w:pPr>
    </w:p>
    <w:p w14:paraId="1EA287FA" w14:textId="6FC083F4" w:rsidR="003F4E1B" w:rsidRDefault="003F4E1B" w:rsidP="000772CD">
      <w:pPr>
        <w:spacing w:line="360" w:lineRule="auto"/>
        <w:ind w:left="720" w:right="720" w:firstLine="720"/>
        <w:rPr>
          <w:rFonts w:asciiTheme="majorBidi" w:hAnsiTheme="majorBidi" w:cstheme="majorBidi"/>
        </w:rPr>
      </w:pPr>
      <w:commentRangeStart w:id="16"/>
      <w:r>
        <w:rPr>
          <w:rFonts w:asciiTheme="majorBidi" w:hAnsiTheme="majorBidi" w:cstheme="majorBidi"/>
        </w:rPr>
        <w:t xml:space="preserve">The language of the land, </w:t>
      </w:r>
      <w:commentRangeEnd w:id="16"/>
      <w:r>
        <w:rPr>
          <w:rStyle w:val="CommentReference"/>
        </w:rPr>
        <w:commentReference w:id="16"/>
      </w:r>
      <w:r>
        <w:rPr>
          <w:rFonts w:asciiTheme="majorBidi" w:hAnsiTheme="majorBidi" w:cstheme="majorBidi"/>
        </w:rPr>
        <w:t xml:space="preserve">local customs, the life of the country’s folk </w:t>
      </w:r>
      <w:proofErr w:type="gramStart"/>
      <w:r>
        <w:rPr>
          <w:rFonts w:asciiTheme="majorBidi" w:hAnsiTheme="majorBidi" w:cstheme="majorBidi"/>
        </w:rPr>
        <w:t>are</w:t>
      </w:r>
      <w:proofErr w:type="gramEnd"/>
      <w:r>
        <w:rPr>
          <w:rFonts w:asciiTheme="majorBidi" w:hAnsiTheme="majorBidi" w:cstheme="majorBidi"/>
        </w:rPr>
        <w:t xml:space="preserve"> foreign not only to the masses but to our intelligentsia as well. Officials </w:t>
      </w:r>
      <w:r w:rsidR="00314D2B">
        <w:rPr>
          <w:rFonts w:asciiTheme="majorBidi" w:hAnsiTheme="majorBidi" w:cstheme="majorBidi"/>
        </w:rPr>
        <w:t xml:space="preserve">living in the country for decades cannot speak the local language properly and none of them </w:t>
      </w:r>
      <w:r w:rsidR="0047051D">
        <w:rPr>
          <w:rFonts w:asciiTheme="majorBidi" w:hAnsiTheme="majorBidi" w:cstheme="majorBidi"/>
        </w:rPr>
        <w:t>knows</w:t>
      </w:r>
      <w:r w:rsidR="00314D2B">
        <w:rPr>
          <w:rFonts w:asciiTheme="majorBidi" w:hAnsiTheme="majorBidi" w:cstheme="majorBidi"/>
        </w:rPr>
        <w:t xml:space="preserve"> how to write it. Only an exceptional few know how to read Arabic. […] Our lack of preparation for participation in civil life—our foreignness and ignorance—influences our relations with the locals. Since we are unable and unprepared to take part in the local public and political life, we do not come into contact </w:t>
      </w:r>
      <w:commentRangeStart w:id="17"/>
      <w:r w:rsidR="00314D2B">
        <w:rPr>
          <w:rFonts w:asciiTheme="majorBidi" w:hAnsiTheme="majorBidi" w:cstheme="majorBidi"/>
        </w:rPr>
        <w:t xml:space="preserve">and negotiation </w:t>
      </w:r>
      <w:commentRangeEnd w:id="17"/>
      <w:r w:rsidR="00314D2B">
        <w:rPr>
          <w:rStyle w:val="CommentReference"/>
        </w:rPr>
        <w:commentReference w:id="17"/>
      </w:r>
      <w:r w:rsidR="00314D2B">
        <w:rPr>
          <w:rFonts w:asciiTheme="majorBidi" w:hAnsiTheme="majorBidi" w:cstheme="majorBidi"/>
        </w:rPr>
        <w:t xml:space="preserve">with our neighbors, we do not know the winds that blow among them, and we cannot draw close to them and draw them close to us. We are, simply put, lacking the public platform upon which to be able to meet and come together, meaning local politics, which would grant us the possibility of working side-by-side for the benefit of the country, to raise it up and cause it to flourish, and which would create a commonality of interests and mutual understanding between us. The lack of such constant </w:t>
      </w:r>
      <w:commentRangeStart w:id="18"/>
      <w:r w:rsidR="00314D2B">
        <w:rPr>
          <w:rFonts w:asciiTheme="majorBidi" w:hAnsiTheme="majorBidi" w:cstheme="majorBidi"/>
        </w:rPr>
        <w:t xml:space="preserve">contact </w:t>
      </w:r>
      <w:commentRangeEnd w:id="18"/>
      <w:r w:rsidR="000772CD">
        <w:rPr>
          <w:rStyle w:val="CommentReference"/>
        </w:rPr>
        <w:commentReference w:id="18"/>
      </w:r>
      <w:r w:rsidR="000772CD">
        <w:rPr>
          <w:rFonts w:asciiTheme="majorBidi" w:hAnsiTheme="majorBidi" w:cstheme="majorBidi"/>
        </w:rPr>
        <w:t xml:space="preserve">based on shared </w:t>
      </w:r>
      <w:r w:rsidR="0047051D">
        <w:rPr>
          <w:rFonts w:asciiTheme="majorBidi" w:hAnsiTheme="majorBidi" w:cstheme="majorBidi"/>
        </w:rPr>
        <w:t>effort</w:t>
      </w:r>
      <w:commentRangeStart w:id="19"/>
      <w:r w:rsidR="000772CD">
        <w:rPr>
          <w:rFonts w:asciiTheme="majorBidi" w:hAnsiTheme="majorBidi" w:cstheme="majorBidi"/>
        </w:rPr>
        <w:t xml:space="preserve"> </w:t>
      </w:r>
      <w:commentRangeEnd w:id="19"/>
      <w:r w:rsidR="000772CD">
        <w:rPr>
          <w:rStyle w:val="CommentReference"/>
        </w:rPr>
        <w:commentReference w:id="19"/>
      </w:r>
      <w:r w:rsidR="0047051D">
        <w:rPr>
          <w:rFonts w:asciiTheme="majorBidi" w:hAnsiTheme="majorBidi" w:cstheme="majorBidi"/>
        </w:rPr>
        <w:t>robs us of</w:t>
      </w:r>
      <w:r w:rsidR="000772CD">
        <w:rPr>
          <w:rFonts w:asciiTheme="majorBidi" w:hAnsiTheme="majorBidi" w:cstheme="majorBidi"/>
        </w:rPr>
        <w:t xml:space="preserve"> any possibility of influencing public opinion and the Arabic press and increasing </w:t>
      </w:r>
      <w:commentRangeStart w:id="20"/>
      <w:r w:rsidR="000772CD">
        <w:rPr>
          <w:rFonts w:asciiTheme="majorBidi" w:hAnsiTheme="majorBidi" w:cstheme="majorBidi"/>
        </w:rPr>
        <w:t>mutual understanding</w:t>
      </w:r>
      <w:commentRangeEnd w:id="20"/>
      <w:r w:rsidR="00B23E47">
        <w:rPr>
          <w:rStyle w:val="CommentReference"/>
        </w:rPr>
        <w:commentReference w:id="20"/>
      </w:r>
      <w:r w:rsidR="000772CD">
        <w:rPr>
          <w:rFonts w:asciiTheme="majorBidi" w:hAnsiTheme="majorBidi" w:cstheme="majorBidi"/>
        </w:rPr>
        <w:t>.</w:t>
      </w:r>
      <w:r w:rsidR="000772CD">
        <w:rPr>
          <w:rStyle w:val="FootnoteReference"/>
          <w:rFonts w:asciiTheme="majorBidi" w:hAnsiTheme="majorBidi" w:cstheme="majorBidi"/>
        </w:rPr>
        <w:footnoteReference w:id="17"/>
      </w:r>
    </w:p>
    <w:p w14:paraId="125D1DC0" w14:textId="194B1316" w:rsidR="000772CD" w:rsidRDefault="000772CD" w:rsidP="000772CD">
      <w:pPr>
        <w:spacing w:line="360" w:lineRule="auto"/>
        <w:ind w:right="720"/>
        <w:rPr>
          <w:rFonts w:asciiTheme="majorBidi" w:hAnsiTheme="majorBidi" w:cstheme="majorBidi"/>
        </w:rPr>
      </w:pPr>
    </w:p>
    <w:p w14:paraId="7027FFA4" w14:textId="3693CA0B" w:rsidR="000772CD" w:rsidRDefault="000772CD" w:rsidP="0047051D">
      <w:pPr>
        <w:spacing w:line="360" w:lineRule="auto"/>
        <w:ind w:firstLine="720"/>
        <w:rPr>
          <w:rFonts w:asciiTheme="majorBidi" w:hAnsiTheme="majorBidi" w:cstheme="majorBidi"/>
        </w:rPr>
      </w:pPr>
      <w:r>
        <w:rPr>
          <w:rFonts w:asciiTheme="majorBidi" w:hAnsiTheme="majorBidi" w:cstheme="majorBidi"/>
        </w:rPr>
        <w:t>Ben-Gurion’s concept</w:t>
      </w:r>
      <w:r w:rsidR="00B23E47">
        <w:rPr>
          <w:rFonts w:asciiTheme="majorBidi" w:hAnsiTheme="majorBidi" w:cstheme="majorBidi"/>
        </w:rPr>
        <w:t xml:space="preserve">ion stands out in light of his public activity in the </w:t>
      </w:r>
      <w:proofErr w:type="spellStart"/>
      <w:r w:rsidR="00B23E47">
        <w:rPr>
          <w:rFonts w:asciiTheme="majorBidi" w:hAnsiTheme="majorBidi" w:cstheme="majorBidi"/>
        </w:rPr>
        <w:t>Poale</w:t>
      </w:r>
      <w:proofErr w:type="spellEnd"/>
      <w:r w:rsidR="00B23E47">
        <w:rPr>
          <w:rFonts w:asciiTheme="majorBidi" w:hAnsiTheme="majorBidi" w:cstheme="majorBidi"/>
        </w:rPr>
        <w:t xml:space="preserve"> Zion party. His attitude toward politicians who do not know the local language is interesting, since not long before then, he was one of them. </w:t>
      </w:r>
      <w:proofErr w:type="gramStart"/>
      <w:r w:rsidR="00B23E47">
        <w:rPr>
          <w:rFonts w:asciiTheme="majorBidi" w:hAnsiTheme="majorBidi" w:cstheme="majorBidi"/>
        </w:rPr>
        <w:t>Similarly</w:t>
      </w:r>
      <w:proofErr w:type="gramEnd"/>
      <w:r w:rsidR="00B23E47">
        <w:rPr>
          <w:rFonts w:asciiTheme="majorBidi" w:hAnsiTheme="majorBidi" w:cstheme="majorBidi"/>
        </w:rPr>
        <w:t xml:space="preserve"> interesting is his general attitude to the question of </w:t>
      </w:r>
      <w:r w:rsidR="00B23E47">
        <w:rPr>
          <w:rFonts w:asciiTheme="majorBidi" w:hAnsiTheme="majorBidi" w:cstheme="majorBidi"/>
        </w:rPr>
        <w:lastRenderedPageBreak/>
        <w:t>relations with the Arabs in the face of the policy toward Arabs of the Zionists of the Second Aliyah, especially regarding the question of Jewish labor and a preference for national separateness over the Socialist concept of the unity of workers. Was it only lack of knowledge of the language and lack of involvement in local politics that prevented mutual understanding? We will return to this topic later.</w:t>
      </w:r>
    </w:p>
    <w:p w14:paraId="4081BC32" w14:textId="2A3A7175" w:rsidR="00585E7A" w:rsidRDefault="00585E7A" w:rsidP="001D46EB">
      <w:pPr>
        <w:spacing w:line="360" w:lineRule="auto"/>
        <w:rPr>
          <w:rFonts w:asciiTheme="majorBidi" w:hAnsiTheme="majorBidi" w:cstheme="majorBidi"/>
        </w:rPr>
      </w:pPr>
      <w:r>
        <w:rPr>
          <w:rFonts w:asciiTheme="majorBidi" w:hAnsiTheme="majorBidi" w:cstheme="majorBidi"/>
        </w:rPr>
        <w:tab/>
        <w:t>The question of attitude toward the local Arabs and the connection between that attitude and the question of citizenship was given extensive attention by the Sephardi leadership in Jerusalem in the period preceding World War I. The way in which the Sephardi leadership conceived of loyalty to the Empire, the importance of citizenship, and connection to the Arabs is worth comparing to Ben-</w:t>
      </w:r>
      <w:proofErr w:type="spellStart"/>
      <w:r>
        <w:rPr>
          <w:rFonts w:asciiTheme="majorBidi" w:hAnsiTheme="majorBidi" w:cstheme="majorBidi"/>
        </w:rPr>
        <w:t>Zvi’s</w:t>
      </w:r>
      <w:proofErr w:type="spellEnd"/>
      <w:r>
        <w:rPr>
          <w:rFonts w:asciiTheme="majorBidi" w:hAnsiTheme="majorBidi" w:cstheme="majorBidi"/>
        </w:rPr>
        <w:t xml:space="preserve"> and Ben-Gurion’s </w:t>
      </w:r>
      <w:commentRangeStart w:id="21"/>
      <w:r>
        <w:rPr>
          <w:rFonts w:asciiTheme="majorBidi" w:hAnsiTheme="majorBidi" w:cstheme="majorBidi"/>
        </w:rPr>
        <w:t>concept</w:t>
      </w:r>
      <w:commentRangeEnd w:id="21"/>
      <w:r>
        <w:rPr>
          <w:rStyle w:val="CommentReference"/>
        </w:rPr>
        <w:commentReference w:id="21"/>
      </w:r>
      <w:r>
        <w:rPr>
          <w:rFonts w:asciiTheme="majorBidi" w:hAnsiTheme="majorBidi" w:cstheme="majorBidi"/>
        </w:rPr>
        <w:t xml:space="preserve">. </w:t>
      </w:r>
    </w:p>
    <w:p w14:paraId="25E2064A" w14:textId="5A4B5562" w:rsidR="00585E7A" w:rsidRDefault="00585E7A" w:rsidP="001D46EB">
      <w:pPr>
        <w:spacing w:line="360" w:lineRule="auto"/>
        <w:rPr>
          <w:rFonts w:asciiTheme="majorBidi" w:hAnsiTheme="majorBidi" w:cstheme="majorBidi"/>
        </w:rPr>
      </w:pPr>
      <w:r>
        <w:rPr>
          <w:rFonts w:asciiTheme="majorBidi" w:hAnsiTheme="majorBidi" w:cstheme="majorBidi"/>
        </w:rPr>
        <w:tab/>
        <w:t xml:space="preserve">The Zionist movement </w:t>
      </w:r>
      <w:commentRangeStart w:id="22"/>
      <w:r>
        <w:rPr>
          <w:rFonts w:asciiTheme="majorBidi" w:hAnsiTheme="majorBidi" w:cstheme="majorBidi"/>
        </w:rPr>
        <w:t xml:space="preserve">was perceived </w:t>
      </w:r>
      <w:commentRangeEnd w:id="22"/>
      <w:r>
        <w:rPr>
          <w:rStyle w:val="CommentReference"/>
        </w:rPr>
        <w:commentReference w:id="22"/>
      </w:r>
      <w:r>
        <w:rPr>
          <w:rFonts w:asciiTheme="majorBidi" w:hAnsiTheme="majorBidi" w:cstheme="majorBidi"/>
        </w:rPr>
        <w:t xml:space="preserve">as </w:t>
      </w:r>
      <w:r w:rsidR="00284643">
        <w:rPr>
          <w:rFonts w:asciiTheme="majorBidi" w:hAnsiTheme="majorBidi" w:cstheme="majorBidi"/>
        </w:rPr>
        <w:t xml:space="preserve">a movement </w:t>
      </w:r>
      <w:r>
        <w:rPr>
          <w:rFonts w:asciiTheme="majorBidi" w:hAnsiTheme="majorBidi" w:cstheme="majorBidi"/>
        </w:rPr>
        <w:t xml:space="preserve">contributing </w:t>
      </w:r>
      <w:r w:rsidR="00284643">
        <w:rPr>
          <w:rFonts w:asciiTheme="majorBidi" w:hAnsiTheme="majorBidi" w:cstheme="majorBidi"/>
        </w:rPr>
        <w:t xml:space="preserve">to the development and advancement of Palestine, and being a foreign national was perceived as an impediment to recognition by the local Arabs of the Jews’ contribution to the country. For example, a series of articles from September 1913 argues that economic and cultural life in Palestine had completely changed since the arrival of the Jewish settlers at the end of the nineteenth century. Not only had the Jews and the local Arabs derived benefit from developments in various fields, but the Empire itself gained from their contribution, because of the tax revenue and the integration of Jews into the various bureaucracies. Jews are presented </w:t>
      </w:r>
      <w:commentRangeStart w:id="23"/>
      <w:r w:rsidR="00284643">
        <w:rPr>
          <w:rFonts w:asciiTheme="majorBidi" w:hAnsiTheme="majorBidi" w:cstheme="majorBidi"/>
        </w:rPr>
        <w:t xml:space="preserve">here </w:t>
      </w:r>
      <w:commentRangeEnd w:id="23"/>
      <w:r w:rsidR="00353C17">
        <w:rPr>
          <w:rStyle w:val="CommentReference"/>
        </w:rPr>
        <w:commentReference w:id="23"/>
      </w:r>
      <w:r w:rsidR="00284643">
        <w:rPr>
          <w:rFonts w:asciiTheme="majorBidi" w:hAnsiTheme="majorBidi" w:cstheme="majorBidi"/>
        </w:rPr>
        <w:t xml:space="preserve">as agents of modernization for Palestine, contributing both to the local population and to the </w:t>
      </w:r>
      <w:r w:rsidR="00353C17">
        <w:rPr>
          <w:rFonts w:asciiTheme="majorBidi" w:hAnsiTheme="majorBidi" w:cstheme="majorBidi"/>
        </w:rPr>
        <w:t>Empire, to which they were loyal.</w:t>
      </w:r>
      <w:r w:rsidR="00353C17">
        <w:rPr>
          <w:rStyle w:val="FootnoteReference"/>
          <w:rFonts w:asciiTheme="majorBidi" w:hAnsiTheme="majorBidi" w:cstheme="majorBidi"/>
        </w:rPr>
        <w:footnoteReference w:id="18"/>
      </w:r>
    </w:p>
    <w:p w14:paraId="17176666" w14:textId="2E3A3048" w:rsidR="001D46EB" w:rsidRDefault="001D46EB" w:rsidP="001D46EB">
      <w:pPr>
        <w:spacing w:line="360" w:lineRule="auto"/>
        <w:rPr>
          <w:rFonts w:asciiTheme="majorBidi" w:hAnsiTheme="majorBidi" w:cstheme="majorBidi"/>
        </w:rPr>
      </w:pPr>
      <w:r>
        <w:rPr>
          <w:rFonts w:asciiTheme="majorBidi" w:hAnsiTheme="majorBidi" w:cstheme="majorBidi"/>
        </w:rPr>
        <w:tab/>
        <w:t xml:space="preserve">The trend toward instrumental Ottomanization began with the outbreak of the war and the abrogation of the Capitulations, expressing feelings similar to those expressed in the </w:t>
      </w:r>
      <w:r w:rsidRPr="001D46EB">
        <w:rPr>
          <w:rFonts w:asciiTheme="majorBidi" w:hAnsiTheme="majorBidi" w:cstheme="majorBidi"/>
          <w:i/>
          <w:iCs/>
        </w:rPr>
        <w:t>Ha-</w:t>
      </w:r>
      <w:proofErr w:type="spellStart"/>
      <w:r w:rsidRPr="001D46EB">
        <w:rPr>
          <w:rFonts w:asciiTheme="majorBidi" w:hAnsiTheme="majorBidi" w:cstheme="majorBidi"/>
          <w:i/>
          <w:iCs/>
        </w:rPr>
        <w:t>aḥdut</w:t>
      </w:r>
      <w:proofErr w:type="spellEnd"/>
      <w:r>
        <w:rPr>
          <w:rFonts w:asciiTheme="majorBidi" w:hAnsiTheme="majorBidi" w:cstheme="majorBidi"/>
        </w:rPr>
        <w:t xml:space="preserve"> newspaper, as described above. Thus, for example, on May 3, 1915, two members of the Ottomanization Committee in Jerusalem, Albert </w:t>
      </w:r>
      <w:proofErr w:type="spellStart"/>
      <w:r>
        <w:rPr>
          <w:rFonts w:asciiTheme="majorBidi" w:hAnsiTheme="majorBidi" w:cstheme="majorBidi"/>
        </w:rPr>
        <w:t>Antébi</w:t>
      </w:r>
      <w:proofErr w:type="spellEnd"/>
      <w:r>
        <w:rPr>
          <w:rFonts w:asciiTheme="majorBidi" w:hAnsiTheme="majorBidi" w:cstheme="majorBidi"/>
        </w:rPr>
        <w:t xml:space="preserve"> and David Yellin, published an article in </w:t>
      </w:r>
      <w:r w:rsidRPr="001D46EB">
        <w:rPr>
          <w:rFonts w:asciiTheme="majorBidi" w:hAnsiTheme="majorBidi" w:cstheme="majorBidi"/>
          <w:i/>
          <w:iCs/>
        </w:rPr>
        <w:t>Ha-</w:t>
      </w:r>
      <w:proofErr w:type="spellStart"/>
      <w:r w:rsidRPr="001D46EB">
        <w:rPr>
          <w:rFonts w:asciiTheme="majorBidi" w:hAnsiTheme="majorBidi" w:cstheme="majorBidi"/>
          <w:i/>
          <w:iCs/>
        </w:rPr>
        <w:t>ḥerut</w:t>
      </w:r>
      <w:proofErr w:type="spellEnd"/>
      <w:r>
        <w:rPr>
          <w:rFonts w:asciiTheme="majorBidi" w:hAnsiTheme="majorBidi" w:cstheme="majorBidi"/>
        </w:rPr>
        <w:t xml:space="preserve"> entitled “To Our </w:t>
      </w:r>
      <w:r w:rsidR="00603FF5">
        <w:rPr>
          <w:rFonts w:asciiTheme="majorBidi" w:hAnsiTheme="majorBidi" w:cstheme="majorBidi"/>
        </w:rPr>
        <w:t>Jewish Brethren</w:t>
      </w:r>
      <w:r>
        <w:rPr>
          <w:rFonts w:asciiTheme="majorBidi" w:hAnsiTheme="majorBidi" w:cstheme="majorBidi"/>
        </w:rPr>
        <w:t xml:space="preserve">!” trying to encourage </w:t>
      </w:r>
      <w:r w:rsidR="00E43F5E">
        <w:rPr>
          <w:rFonts w:asciiTheme="majorBidi" w:hAnsiTheme="majorBidi" w:cstheme="majorBidi"/>
        </w:rPr>
        <w:t>those who</w:t>
      </w:r>
      <w:r>
        <w:rPr>
          <w:rFonts w:asciiTheme="majorBidi" w:hAnsiTheme="majorBidi" w:cstheme="majorBidi"/>
        </w:rPr>
        <w:t xml:space="preserve"> had not yet become Ottoman to do so:</w:t>
      </w:r>
    </w:p>
    <w:p w14:paraId="5502CE6A" w14:textId="2A64FA91" w:rsidR="001D46EB" w:rsidRDefault="001D46EB" w:rsidP="000772CD">
      <w:pPr>
        <w:spacing w:line="360" w:lineRule="auto"/>
        <w:ind w:right="720"/>
        <w:rPr>
          <w:rFonts w:asciiTheme="majorBidi" w:hAnsiTheme="majorBidi" w:cstheme="majorBidi"/>
        </w:rPr>
      </w:pPr>
    </w:p>
    <w:p w14:paraId="7EED471E" w14:textId="1E15B075" w:rsidR="001D46EB" w:rsidRDefault="001D46EB" w:rsidP="001D46EB">
      <w:pPr>
        <w:spacing w:line="360" w:lineRule="auto"/>
        <w:ind w:left="720" w:right="720"/>
        <w:rPr>
          <w:rFonts w:asciiTheme="majorBidi" w:hAnsiTheme="majorBidi" w:cstheme="majorBidi"/>
        </w:rPr>
      </w:pPr>
      <w:r>
        <w:rPr>
          <w:rFonts w:asciiTheme="majorBidi" w:hAnsiTheme="majorBidi" w:cstheme="majorBidi"/>
        </w:rPr>
        <w:t>Please become Ottomans, then, or leave the country! But know this: that departure will be total […] This is not exile for a while, or temporary expu</w:t>
      </w:r>
      <w:r w:rsidR="00115DD7">
        <w:rPr>
          <w:rFonts w:asciiTheme="majorBidi" w:hAnsiTheme="majorBidi" w:cstheme="majorBidi"/>
        </w:rPr>
        <w:t>l</w:t>
      </w:r>
      <w:r>
        <w:rPr>
          <w:rFonts w:asciiTheme="majorBidi" w:hAnsiTheme="majorBidi" w:cstheme="majorBidi"/>
        </w:rPr>
        <w:t xml:space="preserve">sion, </w:t>
      </w:r>
      <w:r w:rsidR="00115DD7">
        <w:rPr>
          <w:rFonts w:asciiTheme="majorBidi" w:hAnsiTheme="majorBidi" w:cstheme="majorBidi"/>
        </w:rPr>
        <w:t xml:space="preserve">but total </w:t>
      </w:r>
      <w:r w:rsidR="00115DD7">
        <w:rPr>
          <w:rFonts w:asciiTheme="majorBidi" w:hAnsiTheme="majorBidi" w:cstheme="majorBidi"/>
        </w:rPr>
        <w:lastRenderedPageBreak/>
        <w:t xml:space="preserve">expulsion and eternal exile, and there is no way to reverse the decree. […] Brothers! Do not destroy in an instant what we have built over many years! Tear up the </w:t>
      </w:r>
      <w:r w:rsidR="00612BB9">
        <w:rPr>
          <w:rFonts w:asciiTheme="majorBidi" w:hAnsiTheme="majorBidi" w:cstheme="majorBidi"/>
        </w:rPr>
        <w:t>disgraceful</w:t>
      </w:r>
      <w:r w:rsidR="00115DD7">
        <w:rPr>
          <w:rFonts w:asciiTheme="majorBidi" w:hAnsiTheme="majorBidi" w:cstheme="majorBidi"/>
        </w:rPr>
        <w:t xml:space="preserve"> Russian paper </w:t>
      </w:r>
      <w:r w:rsidR="00612BB9">
        <w:rPr>
          <w:rFonts w:asciiTheme="majorBidi" w:hAnsiTheme="majorBidi" w:cstheme="majorBidi"/>
        </w:rPr>
        <w:t xml:space="preserve">in order to accept the good certificate of our dear Turkey. […] Yes, brothers! Remember the past! Leaf through the chronicles of recent years and you’ll see how many sorrows and persecutions we have suffered, how many victims have been sacrificed to safeguard our religion, our race, and our language! […] Only free and </w:t>
      </w:r>
      <w:commentRangeStart w:id="24"/>
      <w:r w:rsidR="00612BB9">
        <w:rPr>
          <w:rFonts w:asciiTheme="majorBidi" w:hAnsiTheme="majorBidi" w:cstheme="majorBidi"/>
        </w:rPr>
        <w:t xml:space="preserve">patient </w:t>
      </w:r>
      <w:commentRangeEnd w:id="24"/>
      <w:r w:rsidR="00612BB9">
        <w:rPr>
          <w:rStyle w:val="CommentReference"/>
        </w:rPr>
        <w:commentReference w:id="24"/>
      </w:r>
      <w:r w:rsidR="00612BB9">
        <w:rPr>
          <w:rFonts w:asciiTheme="majorBidi" w:hAnsiTheme="majorBidi" w:cstheme="majorBidi"/>
        </w:rPr>
        <w:t xml:space="preserve">Turkey allows us to live according to our own spirit, as Jews. How can we, then, be ungrateful to her?! In another place you can be only Frenchmen, Englishmen, Austrians, or Americans, but here we are able to be Ottoman Jews. Can you refuse and remain foreigners?! </w:t>
      </w:r>
      <w:r w:rsidR="00603FF5">
        <w:rPr>
          <w:rFonts w:asciiTheme="majorBidi" w:hAnsiTheme="majorBidi" w:cstheme="majorBidi"/>
        </w:rPr>
        <w:t xml:space="preserve">Become naturalized, brothers! Ottomanize! This is your obligation—perform it! The Yishuv’s </w:t>
      </w:r>
      <w:r w:rsidR="00E43F5E">
        <w:rPr>
          <w:rFonts w:asciiTheme="majorBidi" w:hAnsiTheme="majorBidi" w:cstheme="majorBidi"/>
        </w:rPr>
        <w:t>need</w:t>
      </w:r>
      <w:r w:rsidR="00603FF5">
        <w:rPr>
          <w:rFonts w:asciiTheme="majorBidi" w:hAnsiTheme="majorBidi" w:cstheme="majorBidi"/>
        </w:rPr>
        <w:t xml:space="preserve"> demands this of you, and the obligation of your religion, your history, and </w:t>
      </w:r>
      <w:commentRangeStart w:id="25"/>
      <w:r w:rsidR="00603FF5">
        <w:rPr>
          <w:rFonts w:asciiTheme="majorBidi" w:hAnsiTheme="majorBidi" w:cstheme="majorBidi"/>
        </w:rPr>
        <w:t xml:space="preserve">Jewry </w:t>
      </w:r>
      <w:commentRangeEnd w:id="25"/>
      <w:r w:rsidR="00603FF5">
        <w:rPr>
          <w:rStyle w:val="CommentReference"/>
        </w:rPr>
        <w:commentReference w:id="25"/>
      </w:r>
      <w:r w:rsidR="00603FF5">
        <w:rPr>
          <w:rFonts w:asciiTheme="majorBidi" w:hAnsiTheme="majorBidi" w:cstheme="majorBidi"/>
        </w:rPr>
        <w:t>itself. And the obligation of humankind demands this of you, since inte</w:t>
      </w:r>
      <w:r w:rsidR="00E43F5E">
        <w:rPr>
          <w:rFonts w:asciiTheme="majorBidi" w:hAnsiTheme="majorBidi" w:cstheme="majorBidi"/>
        </w:rPr>
        <w:t>r</w:t>
      </w:r>
      <w:r w:rsidR="00603FF5">
        <w:rPr>
          <w:rFonts w:asciiTheme="majorBidi" w:hAnsiTheme="majorBidi" w:cstheme="majorBidi"/>
        </w:rPr>
        <w:t>national law demands equality of rights and responsibilities, the fusion of the individual within the collective that lives in one country, under one flag, under one sky, under one set of laws, and in one homeland. Let us show, then, to our dear, beloved Turkey, which opened its doors to our ancestors exiled from Spain, and which will accept with open arms those harassed and persecuted and which treats us with goodness and mercy, with fairness and justice, that we have a heart that beats and a conscience that is alert. […] Let us give this honest and reliable homeland our feelings of obligation, our hearts, not with mere words but with actions.</w:t>
      </w:r>
      <w:r w:rsidR="00603FF5">
        <w:rPr>
          <w:rStyle w:val="FootnoteReference"/>
          <w:rFonts w:asciiTheme="majorBidi" w:hAnsiTheme="majorBidi" w:cstheme="majorBidi"/>
        </w:rPr>
        <w:footnoteReference w:id="19"/>
      </w:r>
    </w:p>
    <w:p w14:paraId="6B308071" w14:textId="77777777" w:rsidR="007566BE" w:rsidRDefault="007566BE" w:rsidP="001D46EB">
      <w:pPr>
        <w:spacing w:line="360" w:lineRule="auto"/>
        <w:ind w:left="720" w:right="720"/>
        <w:rPr>
          <w:rFonts w:asciiTheme="majorBidi" w:hAnsiTheme="majorBidi" w:cstheme="majorBidi"/>
        </w:rPr>
      </w:pPr>
    </w:p>
    <w:p w14:paraId="391294C2" w14:textId="6BDB853C" w:rsidR="00AC7462" w:rsidRDefault="00FD49FE" w:rsidP="007566BE">
      <w:pPr>
        <w:spacing w:line="360" w:lineRule="auto"/>
        <w:rPr>
          <w:rFonts w:asciiTheme="majorBidi" w:hAnsiTheme="majorBidi" w:cstheme="majorBidi"/>
        </w:rPr>
      </w:pPr>
      <w:r>
        <w:rPr>
          <w:rFonts w:asciiTheme="majorBidi" w:hAnsiTheme="majorBidi" w:cstheme="majorBidi"/>
        </w:rPr>
        <w:tab/>
        <w:t xml:space="preserve">The </w:t>
      </w:r>
      <w:r w:rsidR="007566BE">
        <w:rPr>
          <w:rFonts w:asciiTheme="majorBidi" w:hAnsiTheme="majorBidi" w:cstheme="majorBidi"/>
        </w:rPr>
        <w:t xml:space="preserve">urgency of the need for naturalization can be easily discerned in Yellin and </w:t>
      </w:r>
      <w:proofErr w:type="spellStart"/>
      <w:r w:rsidR="007566BE">
        <w:rPr>
          <w:rFonts w:asciiTheme="majorBidi" w:hAnsiTheme="majorBidi" w:cstheme="majorBidi"/>
        </w:rPr>
        <w:t>Antébi’s</w:t>
      </w:r>
      <w:proofErr w:type="spellEnd"/>
      <w:r w:rsidR="007566BE">
        <w:rPr>
          <w:rFonts w:asciiTheme="majorBidi" w:hAnsiTheme="majorBidi" w:cstheme="majorBidi"/>
        </w:rPr>
        <w:t xml:space="preserve"> article</w:t>
      </w:r>
      <w:r w:rsidR="00730776">
        <w:rPr>
          <w:rFonts w:asciiTheme="majorBidi" w:hAnsiTheme="majorBidi" w:cstheme="majorBidi"/>
        </w:rPr>
        <w:t xml:space="preserve">. The way in which they marshal the Jewish past </w:t>
      </w:r>
      <w:r w:rsidR="00AC7462">
        <w:rPr>
          <w:rFonts w:asciiTheme="majorBidi" w:hAnsiTheme="majorBidi" w:cstheme="majorBidi"/>
        </w:rPr>
        <w:t>as a catalyst for naturalization and weave into their writing concepts of democracy and equal righ</w:t>
      </w:r>
      <w:r w:rsidR="00E43F5E">
        <w:rPr>
          <w:rFonts w:asciiTheme="majorBidi" w:hAnsiTheme="majorBidi" w:cstheme="majorBidi"/>
        </w:rPr>
        <w:t>ts is interesting</w:t>
      </w:r>
      <w:r w:rsidR="00AC7462">
        <w:rPr>
          <w:rFonts w:asciiTheme="majorBidi" w:hAnsiTheme="majorBidi" w:cstheme="majorBidi"/>
        </w:rPr>
        <w:t xml:space="preserve">. They actually believe quite sincerely that it is the Empire, or “our dear, beloved Turkey,” that will provide safe haven for the persecuted Jews. Naturalization, we should note, is not presented as a process of assimilation. In this period, many other articles in this spirit appeared, denouncing the </w:t>
      </w:r>
      <w:r w:rsidR="00AC7462">
        <w:rPr>
          <w:rFonts w:asciiTheme="majorBidi" w:hAnsiTheme="majorBidi" w:cstheme="majorBidi"/>
        </w:rPr>
        <w:lastRenderedPageBreak/>
        <w:t>phenomenon of the departure of foreign nationals from Palestine and urging foreigners to adopt Ottoman nationality.</w:t>
      </w:r>
      <w:r w:rsidR="00AC7462">
        <w:rPr>
          <w:rStyle w:val="FootnoteReference"/>
          <w:rFonts w:asciiTheme="majorBidi" w:hAnsiTheme="majorBidi" w:cstheme="majorBidi"/>
        </w:rPr>
        <w:footnoteReference w:id="20"/>
      </w:r>
    </w:p>
    <w:p w14:paraId="0079363A" w14:textId="77777777" w:rsidR="00F52197" w:rsidRDefault="00AC7462" w:rsidP="007566BE">
      <w:pPr>
        <w:spacing w:line="360" w:lineRule="auto"/>
        <w:rPr>
          <w:rFonts w:asciiTheme="majorBidi" w:hAnsiTheme="majorBidi" w:cstheme="majorBidi"/>
        </w:rPr>
      </w:pPr>
      <w:r>
        <w:rPr>
          <w:rFonts w:asciiTheme="majorBidi" w:hAnsiTheme="majorBidi" w:cstheme="majorBidi"/>
        </w:rPr>
        <w:tab/>
        <w:t xml:space="preserve">The two Ottomanization trends described here in brief, </w:t>
      </w:r>
      <w:commentRangeStart w:id="26"/>
      <w:r>
        <w:rPr>
          <w:rFonts w:asciiTheme="majorBidi" w:hAnsiTheme="majorBidi" w:cstheme="majorBidi"/>
        </w:rPr>
        <w:t>the idyllic Ottomanization of the pre-war years and the instrumental Ottomanization of the war years</w:t>
      </w:r>
      <w:commentRangeEnd w:id="26"/>
      <w:r>
        <w:rPr>
          <w:rStyle w:val="CommentReference"/>
        </w:rPr>
        <w:commentReference w:id="26"/>
      </w:r>
      <w:r>
        <w:rPr>
          <w:rFonts w:asciiTheme="majorBidi" w:hAnsiTheme="majorBidi" w:cstheme="majorBidi"/>
        </w:rPr>
        <w:t xml:space="preserve">, </w:t>
      </w:r>
      <w:r w:rsidR="003E2749">
        <w:rPr>
          <w:rFonts w:asciiTheme="majorBidi" w:hAnsiTheme="majorBidi" w:cstheme="majorBidi"/>
        </w:rPr>
        <w:t>express a recognition by the Sephardim of the changing reality</w:t>
      </w:r>
      <w:r w:rsidR="00F52197">
        <w:rPr>
          <w:rFonts w:asciiTheme="majorBidi" w:hAnsiTheme="majorBidi" w:cstheme="majorBidi"/>
        </w:rPr>
        <w:t xml:space="preserve"> in the region</w:t>
      </w:r>
      <w:r w:rsidR="003E2749">
        <w:rPr>
          <w:rFonts w:asciiTheme="majorBidi" w:hAnsiTheme="majorBidi" w:cstheme="majorBidi"/>
        </w:rPr>
        <w:t>.</w:t>
      </w:r>
      <w:r w:rsidR="00F52197">
        <w:rPr>
          <w:rFonts w:asciiTheme="majorBidi" w:hAnsiTheme="majorBidi" w:cstheme="majorBidi"/>
        </w:rPr>
        <w:t xml:space="preserve"> Their recognition within the Empire, which was even in this crisis period the organizing and unifying factor in the Yishuv, remained in effect, as did their belief in loyalty to the Empire that had, in the past, demonstrated its ability to protect the Jews within its realm.</w:t>
      </w:r>
    </w:p>
    <w:p w14:paraId="2F86F083" w14:textId="77777777" w:rsidR="00F52197" w:rsidRDefault="00F52197" w:rsidP="007566BE">
      <w:pPr>
        <w:spacing w:line="360" w:lineRule="auto"/>
        <w:rPr>
          <w:rFonts w:asciiTheme="majorBidi" w:hAnsiTheme="majorBidi" w:cstheme="majorBidi"/>
        </w:rPr>
      </w:pPr>
    </w:p>
    <w:p w14:paraId="6BC65BCE" w14:textId="77777777" w:rsidR="00F52197" w:rsidRPr="00F52197" w:rsidRDefault="00F52197" w:rsidP="007566BE">
      <w:pPr>
        <w:spacing w:line="360" w:lineRule="auto"/>
        <w:rPr>
          <w:rFonts w:asciiTheme="majorBidi" w:hAnsiTheme="majorBidi" w:cstheme="majorBidi"/>
          <w:b/>
          <w:bCs/>
        </w:rPr>
      </w:pPr>
      <w:r w:rsidRPr="00F52197">
        <w:rPr>
          <w:rFonts w:asciiTheme="majorBidi" w:hAnsiTheme="majorBidi" w:cstheme="majorBidi"/>
          <w:b/>
          <w:bCs/>
        </w:rPr>
        <w:t>“Jews, Be Ottomans!” – Eliezer Ben-Yehuda and Early Ottomanization</w:t>
      </w:r>
    </w:p>
    <w:p w14:paraId="4AA722D7" w14:textId="1DE5F411" w:rsidR="00FD49FE" w:rsidRDefault="003E2749" w:rsidP="007566BE">
      <w:pPr>
        <w:spacing w:line="360" w:lineRule="auto"/>
        <w:rPr>
          <w:rFonts w:asciiTheme="majorBidi" w:hAnsiTheme="majorBidi" w:cstheme="majorBidi"/>
        </w:rPr>
      </w:pPr>
      <w:r>
        <w:rPr>
          <w:rFonts w:asciiTheme="majorBidi" w:hAnsiTheme="majorBidi" w:cstheme="majorBidi"/>
        </w:rPr>
        <w:t xml:space="preserve"> </w:t>
      </w:r>
      <w:r w:rsidR="00F52197">
        <w:rPr>
          <w:rFonts w:asciiTheme="majorBidi" w:hAnsiTheme="majorBidi" w:cstheme="majorBidi"/>
        </w:rPr>
        <w:tab/>
        <w:t xml:space="preserve">The Sephardim were not the first to call for Ottomanization. </w:t>
      </w:r>
      <w:r w:rsidR="00FE49CA">
        <w:rPr>
          <w:rFonts w:asciiTheme="majorBidi" w:hAnsiTheme="majorBidi" w:cstheme="majorBidi"/>
        </w:rPr>
        <w:t xml:space="preserve">Before them was Eliezer Ben-Yehuda, who, on January 12, 1909, published on the front page of his Jerusalem newspaper </w:t>
      </w:r>
      <w:r w:rsidR="00FE49CA" w:rsidRPr="00FE49CA">
        <w:rPr>
          <w:rFonts w:asciiTheme="majorBidi" w:hAnsiTheme="majorBidi" w:cstheme="majorBidi"/>
          <w:i/>
          <w:iCs/>
        </w:rPr>
        <w:t>Ha-</w:t>
      </w:r>
      <w:proofErr w:type="spellStart"/>
      <w:r w:rsidR="00FE49CA" w:rsidRPr="00FE49CA">
        <w:rPr>
          <w:rFonts w:asciiTheme="majorBidi" w:hAnsiTheme="majorBidi" w:cstheme="majorBidi"/>
          <w:i/>
          <w:iCs/>
        </w:rPr>
        <w:t>Zvi</w:t>
      </w:r>
      <w:proofErr w:type="spellEnd"/>
      <w:r w:rsidR="00FE49CA">
        <w:rPr>
          <w:rFonts w:asciiTheme="majorBidi" w:hAnsiTheme="majorBidi" w:cstheme="majorBidi"/>
        </w:rPr>
        <w:t>, an article entitled “Jews, Be Ottomans!”</w:t>
      </w:r>
      <w:r w:rsidR="00FE49CA">
        <w:rPr>
          <w:rStyle w:val="FootnoteReference"/>
          <w:rFonts w:asciiTheme="majorBidi" w:hAnsiTheme="majorBidi" w:cstheme="majorBidi"/>
        </w:rPr>
        <w:footnoteReference w:id="21"/>
      </w:r>
      <w:r w:rsidR="00F933C9">
        <w:rPr>
          <w:rFonts w:asciiTheme="majorBidi" w:hAnsiTheme="majorBidi" w:cstheme="majorBidi"/>
        </w:rPr>
        <w:t xml:space="preserve"> In that article, Ben-Yehuda lashed out against what he called the “</w:t>
      </w:r>
      <w:commentRangeStart w:id="27"/>
      <w:r w:rsidR="00F933C9">
        <w:rPr>
          <w:rFonts w:asciiTheme="majorBidi" w:hAnsiTheme="majorBidi" w:cstheme="majorBidi"/>
        </w:rPr>
        <w:t>poverty</w:t>
      </w:r>
      <w:commentRangeEnd w:id="27"/>
      <w:r w:rsidR="00F933C9">
        <w:rPr>
          <w:rStyle w:val="CommentReference"/>
        </w:rPr>
        <w:commentReference w:id="27"/>
      </w:r>
      <w:r w:rsidR="00F933C9">
        <w:rPr>
          <w:rFonts w:asciiTheme="majorBidi" w:hAnsiTheme="majorBidi" w:cstheme="majorBidi"/>
        </w:rPr>
        <w:t>” of the Jews</w:t>
      </w:r>
      <w:r w:rsidR="00F933C9">
        <w:rPr>
          <w:rFonts w:asciiTheme="majorBidi" w:hAnsiTheme="majorBidi" w:cstheme="majorBidi" w:hint="cs"/>
          <w:rtl/>
        </w:rPr>
        <w:t xml:space="preserve"> </w:t>
      </w:r>
      <w:r w:rsidR="00F933C9">
        <w:rPr>
          <w:rFonts w:asciiTheme="majorBidi" w:hAnsiTheme="majorBidi" w:cstheme="majorBidi"/>
        </w:rPr>
        <w:t xml:space="preserve">and their lack of representation in the Ottoman parliament or other local representative institutions. The reason for the lack of representation is that so many of the members of the Yishuv in Jerusalem </w:t>
      </w:r>
      <w:r w:rsidR="00E43F5E">
        <w:rPr>
          <w:rFonts w:asciiTheme="majorBidi" w:hAnsiTheme="majorBidi" w:cstheme="majorBidi"/>
        </w:rPr>
        <w:t>were</w:t>
      </w:r>
      <w:r w:rsidR="00F933C9">
        <w:rPr>
          <w:rFonts w:asciiTheme="majorBidi" w:hAnsiTheme="majorBidi" w:cstheme="majorBidi"/>
        </w:rPr>
        <w:t xml:space="preserve"> not </w:t>
      </w:r>
      <w:r w:rsidR="00E43F5E">
        <w:rPr>
          <w:rFonts w:asciiTheme="majorBidi" w:hAnsiTheme="majorBidi" w:cstheme="majorBidi"/>
        </w:rPr>
        <w:t>O</w:t>
      </w:r>
      <w:r w:rsidR="00F933C9">
        <w:rPr>
          <w:rFonts w:asciiTheme="majorBidi" w:hAnsiTheme="majorBidi" w:cstheme="majorBidi"/>
        </w:rPr>
        <w:t xml:space="preserve">ttomans and </w:t>
      </w:r>
      <w:r w:rsidR="00E43F5E">
        <w:rPr>
          <w:rFonts w:asciiTheme="majorBidi" w:hAnsiTheme="majorBidi" w:cstheme="majorBidi"/>
        </w:rPr>
        <w:t>were</w:t>
      </w:r>
      <w:r w:rsidR="00F933C9">
        <w:rPr>
          <w:rFonts w:asciiTheme="majorBidi" w:hAnsiTheme="majorBidi" w:cstheme="majorBidi"/>
        </w:rPr>
        <w:t xml:space="preserve"> ineligible to vote or to be elected to the Empire’s institutions. The only way to influence events in the Empire and the live of the Yishuv would be through becoming involved in taking part in political life, which was particularly turbulent after the </w:t>
      </w:r>
      <w:r w:rsidR="00E43F5E">
        <w:rPr>
          <w:rFonts w:asciiTheme="majorBidi" w:hAnsiTheme="majorBidi" w:cstheme="majorBidi"/>
        </w:rPr>
        <w:t>revolt</w:t>
      </w:r>
      <w:r w:rsidR="00F933C9">
        <w:rPr>
          <w:rFonts w:asciiTheme="majorBidi" w:hAnsiTheme="majorBidi" w:cstheme="majorBidi"/>
        </w:rPr>
        <w:t xml:space="preserve"> of the Young Turks. Ben-Yehuda issued an emotionally charged call to the Jews to adopt Ottoman nationality:</w:t>
      </w:r>
    </w:p>
    <w:p w14:paraId="1CF909A7" w14:textId="18F407C3" w:rsidR="00F933C9" w:rsidRDefault="00F933C9" w:rsidP="007566BE">
      <w:pPr>
        <w:spacing w:line="360" w:lineRule="auto"/>
        <w:rPr>
          <w:rFonts w:asciiTheme="majorBidi" w:hAnsiTheme="majorBidi" w:cstheme="majorBidi"/>
        </w:rPr>
      </w:pPr>
    </w:p>
    <w:p w14:paraId="64DA913D" w14:textId="652013A4" w:rsidR="00F933C9" w:rsidRDefault="002B7C4E" w:rsidP="00F933C9">
      <w:pPr>
        <w:spacing w:line="360" w:lineRule="auto"/>
        <w:ind w:left="720" w:right="720"/>
        <w:rPr>
          <w:rFonts w:asciiTheme="majorBidi" w:hAnsiTheme="majorBidi" w:cstheme="majorBidi"/>
        </w:rPr>
      </w:pPr>
      <w:r>
        <w:rPr>
          <w:rFonts w:asciiTheme="majorBidi" w:hAnsiTheme="majorBidi" w:cstheme="majorBidi"/>
        </w:rPr>
        <w:tab/>
        <w:t>J</w:t>
      </w:r>
      <w:r w:rsidR="00F933C9">
        <w:rPr>
          <w:rFonts w:asciiTheme="majorBidi" w:hAnsiTheme="majorBidi" w:cstheme="majorBidi"/>
        </w:rPr>
        <w:t>ews, be Ottomans!</w:t>
      </w:r>
    </w:p>
    <w:p w14:paraId="0614650B" w14:textId="19D0E06F" w:rsidR="00F933C9" w:rsidRDefault="00F933C9" w:rsidP="002B7C4E">
      <w:pPr>
        <w:spacing w:line="360" w:lineRule="auto"/>
        <w:ind w:left="720" w:right="720" w:firstLine="720"/>
        <w:rPr>
          <w:rFonts w:asciiTheme="majorBidi" w:hAnsiTheme="majorBidi" w:cstheme="majorBidi"/>
        </w:rPr>
      </w:pPr>
      <w:r>
        <w:rPr>
          <w:rFonts w:asciiTheme="majorBidi" w:hAnsiTheme="majorBidi" w:cstheme="majorBidi"/>
        </w:rPr>
        <w:t>Be Ottomans, remember and be very mindful that the Ottomans today are free, no less liberated perhaps than the French, the English, the American</w:t>
      </w:r>
      <w:r w:rsidR="00E43F5E">
        <w:rPr>
          <w:rFonts w:asciiTheme="majorBidi" w:hAnsiTheme="majorBidi" w:cstheme="majorBidi"/>
        </w:rPr>
        <w:t>s</w:t>
      </w:r>
      <w:r>
        <w:rPr>
          <w:rFonts w:asciiTheme="majorBidi" w:hAnsiTheme="majorBidi" w:cstheme="majorBidi"/>
        </w:rPr>
        <w:t xml:space="preserve"> themselves! Today the Ottoman does not need to bow his head before </w:t>
      </w:r>
      <w:r w:rsidR="002B7C4E">
        <w:rPr>
          <w:rFonts w:asciiTheme="majorBidi" w:hAnsiTheme="majorBidi" w:cstheme="majorBidi"/>
        </w:rPr>
        <w:t xml:space="preserve">everyone who has some sort of brass button on his clothing, before every police officer, </w:t>
      </w:r>
      <w:r w:rsidR="002B7C4E">
        <w:rPr>
          <w:rFonts w:asciiTheme="majorBidi" w:hAnsiTheme="majorBidi" w:cstheme="majorBidi"/>
        </w:rPr>
        <w:lastRenderedPageBreak/>
        <w:t xml:space="preserve">before every </w:t>
      </w:r>
      <w:r w:rsidR="002B7C4E">
        <w:rPr>
          <w:rFonts w:asciiTheme="majorBidi" w:hAnsiTheme="majorBidi" w:cstheme="majorBidi"/>
          <w:i/>
          <w:iCs/>
        </w:rPr>
        <w:t>effendi</w:t>
      </w:r>
      <w:r w:rsidR="002B7C4E">
        <w:rPr>
          <w:rFonts w:asciiTheme="majorBidi" w:hAnsiTheme="majorBidi" w:cstheme="majorBidi"/>
        </w:rPr>
        <w:t>. Every Ottoman can go about standing erect, every Ottoman can insist on his right, and all the government officials, even the highest among them, even the Grand Vizier himself, are only public servants who are there for the public and its benefit!</w:t>
      </w:r>
    </w:p>
    <w:p w14:paraId="31414573" w14:textId="68AE5D55" w:rsidR="002B7C4E" w:rsidRDefault="002B7C4E" w:rsidP="00F933C9">
      <w:pPr>
        <w:spacing w:line="360" w:lineRule="auto"/>
        <w:ind w:left="720" w:right="720"/>
        <w:rPr>
          <w:rFonts w:asciiTheme="majorBidi" w:hAnsiTheme="majorBidi" w:cstheme="majorBidi"/>
        </w:rPr>
      </w:pPr>
      <w:r>
        <w:rPr>
          <w:rFonts w:asciiTheme="majorBidi" w:hAnsiTheme="majorBidi" w:cstheme="majorBidi"/>
        </w:rPr>
        <w:tab/>
        <w:t>The Ottomans are free now! The Ottoman kingdom is now a kingdom of freedom. But in a kingdom of freedom, everything goes according to the majority of the public, the majority of the community. And now the great day has arrived, the beginning of the reign of true freedom today, as each and every district will govern itself, and it is thus understood that that public will have the power to decide and determine who will hold the majority in the local representative assembly. Shall we, at least now, open our eyes?</w:t>
      </w:r>
    </w:p>
    <w:p w14:paraId="043F680A" w14:textId="5EB2A56C" w:rsidR="002B7C4E" w:rsidRDefault="002B7C4E" w:rsidP="00F933C9">
      <w:pPr>
        <w:spacing w:line="360" w:lineRule="auto"/>
        <w:ind w:left="720" w:right="720"/>
        <w:rPr>
          <w:rFonts w:asciiTheme="majorBidi" w:hAnsiTheme="majorBidi" w:cstheme="majorBidi"/>
        </w:rPr>
      </w:pPr>
      <w:r>
        <w:rPr>
          <w:rFonts w:asciiTheme="majorBidi" w:hAnsiTheme="majorBidi" w:cstheme="majorBidi"/>
        </w:rPr>
        <w:tab/>
        <w:t>Jews, be Ottomans!</w:t>
      </w:r>
      <w:r>
        <w:rPr>
          <w:rStyle w:val="FootnoteReference"/>
          <w:rFonts w:asciiTheme="majorBidi" w:hAnsiTheme="majorBidi" w:cstheme="majorBidi"/>
        </w:rPr>
        <w:footnoteReference w:id="22"/>
      </w:r>
    </w:p>
    <w:p w14:paraId="0680FF19" w14:textId="1DC713E9" w:rsidR="002B7C4E" w:rsidRDefault="002B7C4E" w:rsidP="00F933C9">
      <w:pPr>
        <w:spacing w:line="360" w:lineRule="auto"/>
        <w:ind w:left="720" w:right="720"/>
        <w:rPr>
          <w:rFonts w:asciiTheme="majorBidi" w:hAnsiTheme="majorBidi" w:cstheme="majorBidi"/>
        </w:rPr>
      </w:pPr>
    </w:p>
    <w:p w14:paraId="7953A377" w14:textId="5BE5D9EC" w:rsidR="002B7C4E" w:rsidRDefault="002B7C4E" w:rsidP="00B073BC">
      <w:pPr>
        <w:spacing w:line="360" w:lineRule="auto"/>
        <w:ind w:firstLine="720"/>
        <w:rPr>
          <w:rFonts w:ascii="Times New Roman" w:hAnsi="Times New Roman" w:cs="Times New Roman"/>
        </w:rPr>
      </w:pPr>
      <w:r>
        <w:rPr>
          <w:rFonts w:asciiTheme="majorBidi" w:hAnsiTheme="majorBidi" w:cstheme="majorBidi"/>
        </w:rPr>
        <w:t xml:space="preserve">Ben-Yehuda himself Ottomanized immediately after coming to Palestine in 1881 and changed his name from Eliezer Yitzhak Perlman </w:t>
      </w:r>
      <w:r w:rsidR="00FE51C5">
        <w:rPr>
          <w:rFonts w:asciiTheme="majorBidi" w:hAnsiTheme="majorBidi" w:cstheme="majorBidi"/>
        </w:rPr>
        <w:t xml:space="preserve">to Eliezer Ben-Yehuda. He had made the decision to become an Ottoman national even before coming to Palestine, </w:t>
      </w:r>
      <w:r w:rsidR="00A86132">
        <w:rPr>
          <w:rFonts w:asciiTheme="majorBidi" w:hAnsiTheme="majorBidi" w:cstheme="majorBidi"/>
        </w:rPr>
        <w:t xml:space="preserve">out of </w:t>
      </w:r>
      <w:r w:rsidR="00E43F5E">
        <w:rPr>
          <w:rFonts w:asciiTheme="majorBidi" w:hAnsiTheme="majorBidi" w:cstheme="majorBidi"/>
        </w:rPr>
        <w:t xml:space="preserve">a </w:t>
      </w:r>
      <w:r w:rsidR="00A86132">
        <w:rPr>
          <w:rFonts w:asciiTheme="majorBidi" w:hAnsiTheme="majorBidi" w:cstheme="majorBidi"/>
        </w:rPr>
        <w:t>desire not to be a foreigner there. In his autobiography he reports his decision to Ottomanize despite the many advantages held by foreign nationals, who at that time still enjoyed the protection of their foreign governments and the privileges of the Capitulations. By adopting the name “Ben-Yehuda,” he felt he officially became a citizen of Jerusalem.</w:t>
      </w:r>
      <w:r w:rsidR="00A86132">
        <w:rPr>
          <w:rStyle w:val="FootnoteReference"/>
          <w:rFonts w:asciiTheme="majorBidi" w:hAnsiTheme="majorBidi" w:cstheme="majorBidi"/>
        </w:rPr>
        <w:footnoteReference w:id="23"/>
      </w:r>
      <w:r w:rsidR="00AE7239">
        <w:rPr>
          <w:rFonts w:asciiTheme="majorBidi" w:hAnsiTheme="majorBidi" w:cstheme="majorBidi"/>
        </w:rPr>
        <w:t xml:space="preserve"> Ottoman citizenship came with some advantages as well, according to Ben-Yehuda. First, it would enable the Jews in Palestine to benefit from equal rights with non-Jewish Ottoman citizens, in the spirit of the reforms in the Empire that promised equality of rights to Muslims and non-Muslims. Among other information that he provided for his readers in a series of articles that appeared in </w:t>
      </w:r>
      <w:r w:rsidR="00AE7239" w:rsidRPr="00E43F5E">
        <w:rPr>
          <w:rFonts w:asciiTheme="majorBidi" w:hAnsiTheme="majorBidi" w:cstheme="majorBidi"/>
          <w:i/>
          <w:iCs/>
        </w:rPr>
        <w:t>Ha-</w:t>
      </w:r>
      <w:proofErr w:type="spellStart"/>
      <w:r w:rsidR="00AE7239" w:rsidRPr="00E43F5E">
        <w:rPr>
          <w:rFonts w:asciiTheme="majorBidi" w:hAnsiTheme="majorBidi" w:cstheme="majorBidi"/>
          <w:i/>
          <w:iCs/>
        </w:rPr>
        <w:t>Zvi</w:t>
      </w:r>
      <w:proofErr w:type="spellEnd"/>
      <w:r w:rsidR="00AE7239">
        <w:rPr>
          <w:rFonts w:asciiTheme="majorBidi" w:hAnsiTheme="majorBidi" w:cstheme="majorBidi"/>
        </w:rPr>
        <w:t xml:space="preserve"> in 1885–1886, </w:t>
      </w:r>
      <w:r w:rsidR="004661BF">
        <w:rPr>
          <w:rFonts w:asciiTheme="majorBidi" w:hAnsiTheme="majorBidi" w:cstheme="majorBidi"/>
        </w:rPr>
        <w:t xml:space="preserve">he </w:t>
      </w:r>
      <w:r w:rsidR="004661BF">
        <w:rPr>
          <w:rFonts w:asciiTheme="majorBidi" w:hAnsiTheme="majorBidi" w:cstheme="majorBidi"/>
        </w:rPr>
        <w:lastRenderedPageBreak/>
        <w:t xml:space="preserve">provides </w:t>
      </w:r>
      <w:r w:rsidR="004661BF" w:rsidRPr="004661BF">
        <w:rPr>
          <w:rFonts w:ascii="Times New Roman" w:hAnsi="Times New Roman" w:cs="Times New Roman"/>
        </w:rPr>
        <w:t>quotations from the Sultan’s edict</w:t>
      </w:r>
      <w:r w:rsidR="004661BF">
        <w:rPr>
          <w:rFonts w:ascii="Times New Roman" w:hAnsi="Times New Roman" w:cs="Times New Roman"/>
        </w:rPr>
        <w:t xml:space="preserve"> </w:t>
      </w:r>
      <w:r w:rsidR="004661BF" w:rsidRPr="004661BF">
        <w:rPr>
          <w:rFonts w:ascii="Times New Roman" w:hAnsi="Times New Roman" w:cs="Times New Roman"/>
        </w:rPr>
        <w:t>(</w:t>
      </w:r>
      <w:proofErr w:type="spellStart"/>
      <w:r w:rsidR="004661BF">
        <w:rPr>
          <w:rFonts w:ascii="Times New Roman" w:eastAsia="Times New Roman" w:hAnsi="Times New Roman" w:cs="Times New Roman"/>
          <w:i/>
          <w:iCs/>
          <w:color w:val="222222"/>
          <w:shd w:val="clear" w:color="auto" w:fill="FFFFFF"/>
        </w:rPr>
        <w:t>h</w:t>
      </w:r>
      <w:r w:rsidR="004661BF" w:rsidRPr="004661BF">
        <w:rPr>
          <w:rFonts w:ascii="Times New Roman" w:eastAsia="Times New Roman" w:hAnsi="Times New Roman" w:cs="Times New Roman"/>
          <w:i/>
          <w:iCs/>
          <w:color w:val="222222"/>
          <w:shd w:val="clear" w:color="auto" w:fill="FFFFFF"/>
        </w:rPr>
        <w:t>att-i</w:t>
      </w:r>
      <w:proofErr w:type="spellEnd"/>
      <w:r w:rsidR="004661BF" w:rsidRPr="004661BF">
        <w:rPr>
          <w:rFonts w:ascii="Times New Roman" w:eastAsia="Times New Roman" w:hAnsi="Times New Roman" w:cs="Times New Roman"/>
          <w:i/>
          <w:iCs/>
          <w:color w:val="222222"/>
          <w:shd w:val="clear" w:color="auto" w:fill="FFFFFF"/>
        </w:rPr>
        <w:t xml:space="preserve"> </w:t>
      </w:r>
      <w:proofErr w:type="spellStart"/>
      <w:r w:rsidR="004661BF" w:rsidRPr="004661BF">
        <w:rPr>
          <w:rFonts w:ascii="Times New Roman" w:eastAsia="Times New Roman" w:hAnsi="Times New Roman" w:cs="Times New Roman"/>
          <w:i/>
          <w:iCs/>
          <w:color w:val="222222"/>
          <w:shd w:val="clear" w:color="auto" w:fill="FFFFFF"/>
        </w:rPr>
        <w:t>humayun</w:t>
      </w:r>
      <w:proofErr w:type="spellEnd"/>
      <w:r w:rsidR="004661BF" w:rsidRPr="004661BF">
        <w:rPr>
          <w:rFonts w:ascii="Times New Roman" w:hAnsi="Times New Roman" w:cs="Times New Roman"/>
        </w:rPr>
        <w:t>) of 1856 promising equal rights to all subjects of the Empire</w:t>
      </w:r>
      <w:r w:rsidR="004661BF">
        <w:rPr>
          <w:rFonts w:ascii="Times New Roman" w:hAnsi="Times New Roman" w:cs="Times New Roman"/>
        </w:rPr>
        <w:t xml:space="preserve"> and explanations of the laws related to land ownership, inheritance, and more.</w:t>
      </w:r>
      <w:r w:rsidR="004661BF">
        <w:rPr>
          <w:rStyle w:val="FootnoteReference"/>
          <w:rFonts w:ascii="Times New Roman" w:hAnsi="Times New Roman" w:cs="Times New Roman"/>
        </w:rPr>
        <w:footnoteReference w:id="24"/>
      </w:r>
      <w:r w:rsidR="004661BF">
        <w:rPr>
          <w:rFonts w:ascii="Times New Roman" w:hAnsi="Times New Roman" w:cs="Times New Roman"/>
        </w:rPr>
        <w:t xml:space="preserve"> However, not only the legal argument served Ben-Gurion’s efforts regarding naturalization. He, too, like many after him, argued that the importance of Ottomanization is related to the need to convince the Ottoman authorities and the Sultan that Zionism </w:t>
      </w:r>
      <w:r w:rsidR="00042B6A">
        <w:rPr>
          <w:rFonts w:ascii="Times New Roman" w:hAnsi="Times New Roman" w:cs="Times New Roman"/>
        </w:rPr>
        <w:t xml:space="preserve">assists the Empire through the progress and development that the </w:t>
      </w:r>
      <w:r w:rsidR="00956EE4">
        <w:rPr>
          <w:rFonts w:ascii="Times New Roman" w:hAnsi="Times New Roman" w:cs="Times New Roman"/>
        </w:rPr>
        <w:t>Zionist</w:t>
      </w:r>
      <w:r w:rsidR="00042B6A">
        <w:rPr>
          <w:rFonts w:ascii="Times New Roman" w:hAnsi="Times New Roman" w:cs="Times New Roman"/>
        </w:rPr>
        <w:t xml:space="preserve"> immigrants </w:t>
      </w:r>
      <w:r w:rsidR="00956EE4">
        <w:rPr>
          <w:rFonts w:ascii="Times New Roman" w:hAnsi="Times New Roman" w:cs="Times New Roman"/>
        </w:rPr>
        <w:t>were</w:t>
      </w:r>
      <w:r w:rsidR="00042B6A">
        <w:rPr>
          <w:rFonts w:ascii="Times New Roman" w:hAnsi="Times New Roman" w:cs="Times New Roman"/>
        </w:rPr>
        <w:t xml:space="preserve"> bringing to the land.</w:t>
      </w:r>
      <w:r w:rsidR="00956EE4">
        <w:rPr>
          <w:rFonts w:ascii="Times New Roman" w:hAnsi="Times New Roman" w:cs="Times New Roman"/>
        </w:rPr>
        <w:t xml:space="preserve"> The argument that Ottomanization was essential for attaining proper representation for the Jews in the parliament and in such representative institutions as municipalities, district councils (the </w:t>
      </w:r>
      <w:r w:rsidR="00956EE4">
        <w:rPr>
          <w:rFonts w:ascii="Times New Roman" w:hAnsi="Times New Roman" w:cs="Times New Roman"/>
          <w:i/>
          <w:iCs/>
        </w:rPr>
        <w:t xml:space="preserve">majlis </w:t>
      </w:r>
      <w:proofErr w:type="spellStart"/>
      <w:r w:rsidR="00956EE4">
        <w:rPr>
          <w:rFonts w:ascii="Times New Roman" w:hAnsi="Times New Roman" w:cs="Times New Roman"/>
          <w:i/>
          <w:iCs/>
        </w:rPr>
        <w:t>idara</w:t>
      </w:r>
      <w:proofErr w:type="spellEnd"/>
      <w:r w:rsidR="00956EE4">
        <w:rPr>
          <w:rFonts w:ascii="Times New Roman" w:hAnsi="Times New Roman" w:cs="Times New Roman"/>
        </w:rPr>
        <w:t xml:space="preserve">), and others had already been presented by Ben-Yehuda on several occasions in 1891–1892, to assist negotiations with the </w:t>
      </w:r>
      <w:r w:rsidR="0002056E">
        <w:rPr>
          <w:rFonts w:ascii="Times New Roman" w:hAnsi="Times New Roman" w:cs="Times New Roman"/>
        </w:rPr>
        <w:t>I</w:t>
      </w:r>
      <w:r w:rsidR="00956EE4">
        <w:rPr>
          <w:rFonts w:ascii="Times New Roman" w:hAnsi="Times New Roman" w:cs="Times New Roman"/>
        </w:rPr>
        <w:t>mperial authorities over the future of the Yishuv and especially over issues of immigration and land.</w:t>
      </w:r>
      <w:r w:rsidR="00956EE4">
        <w:rPr>
          <w:rStyle w:val="FootnoteReference"/>
          <w:rFonts w:ascii="Times New Roman" w:hAnsi="Times New Roman" w:cs="Times New Roman"/>
        </w:rPr>
        <w:footnoteReference w:id="25"/>
      </w:r>
      <w:r w:rsidR="00956EE4">
        <w:rPr>
          <w:rFonts w:ascii="Times New Roman" w:hAnsi="Times New Roman" w:cs="Times New Roman"/>
        </w:rPr>
        <w:t xml:space="preserve"> The Young Turk Revolution in July 1908, </w:t>
      </w:r>
      <w:r w:rsidR="00021925">
        <w:rPr>
          <w:rFonts w:ascii="Times New Roman" w:hAnsi="Times New Roman" w:cs="Times New Roman"/>
        </w:rPr>
        <w:t xml:space="preserve">the promises regarding freedom and liberty for the Empire’s nationals and freedom of expression, the renewed parliamentary activity, and the early promises regarding trends toward openness on the part of the Ottoman leadership—all these engendered in Ben-Yehuda, </w:t>
      </w:r>
      <w:commentRangeStart w:id="28"/>
      <w:r w:rsidR="00021925">
        <w:rPr>
          <w:rFonts w:ascii="Times New Roman" w:hAnsi="Times New Roman" w:cs="Times New Roman"/>
        </w:rPr>
        <w:t xml:space="preserve">as among </w:t>
      </w:r>
      <w:commentRangeEnd w:id="28"/>
      <w:r w:rsidR="0002056E">
        <w:rPr>
          <w:rStyle w:val="CommentReference"/>
        </w:rPr>
        <w:commentReference w:id="28"/>
      </w:r>
      <w:r w:rsidR="00021925">
        <w:rPr>
          <w:rFonts w:ascii="Times New Roman" w:hAnsi="Times New Roman" w:cs="Times New Roman"/>
        </w:rPr>
        <w:t xml:space="preserve">the Sephardim, great hopes. As we saw above, the elections for the Ottoman parliament and representative bodies and the question of the Jews’ involvement in political life very much occupied the attention of Ben-Yehuda and </w:t>
      </w:r>
      <w:r w:rsidR="0002056E">
        <w:rPr>
          <w:rFonts w:ascii="Times New Roman" w:hAnsi="Times New Roman" w:cs="Times New Roman"/>
        </w:rPr>
        <w:t>those</w:t>
      </w:r>
      <w:r w:rsidR="00021925">
        <w:rPr>
          <w:rFonts w:ascii="Times New Roman" w:hAnsi="Times New Roman" w:cs="Times New Roman"/>
        </w:rPr>
        <w:t xml:space="preserve"> who wrote for </w:t>
      </w:r>
      <w:r w:rsidR="00021925" w:rsidRPr="00021925">
        <w:rPr>
          <w:rFonts w:ascii="Times New Roman" w:hAnsi="Times New Roman" w:cs="Times New Roman"/>
          <w:i/>
          <w:iCs/>
        </w:rPr>
        <w:t>Ha-</w:t>
      </w:r>
      <w:proofErr w:type="spellStart"/>
      <w:r w:rsidR="00021925" w:rsidRPr="00021925">
        <w:rPr>
          <w:rFonts w:ascii="Times New Roman" w:hAnsi="Times New Roman" w:cs="Times New Roman"/>
          <w:i/>
          <w:iCs/>
        </w:rPr>
        <w:t>Zvi</w:t>
      </w:r>
      <w:proofErr w:type="spellEnd"/>
      <w:r w:rsidR="00021925">
        <w:rPr>
          <w:rFonts w:ascii="Times New Roman" w:hAnsi="Times New Roman" w:cs="Times New Roman"/>
        </w:rPr>
        <w:t xml:space="preserve">. So, for example, in an article on October 2, 1908, the author complains that there are not enough Jews who speak Ottoman Turkish, the country’s language, who can serve in the government. The dearth of Ottoman Turkish speakers was most pronounced among the members of the “new generation,” many of whom were educated in the schools of the Alliance Israelite </w:t>
      </w:r>
      <w:proofErr w:type="spellStart"/>
      <w:r w:rsidR="00021925">
        <w:rPr>
          <w:rFonts w:ascii="Times New Roman" w:hAnsi="Times New Roman" w:cs="Times New Roman"/>
        </w:rPr>
        <w:t>Universelle</w:t>
      </w:r>
      <w:proofErr w:type="spellEnd"/>
      <w:r w:rsidR="00021925">
        <w:rPr>
          <w:rFonts w:ascii="Times New Roman" w:hAnsi="Times New Roman" w:cs="Times New Roman"/>
        </w:rPr>
        <w:t xml:space="preserve"> and learned French: “Our schools must be first of all Jewish and Ottoman. If we do not strive to join together those two concepts, </w:t>
      </w:r>
      <w:r w:rsidR="006D241A">
        <w:rPr>
          <w:rFonts w:ascii="Times New Roman" w:hAnsi="Times New Roman" w:cs="Times New Roman"/>
        </w:rPr>
        <w:t xml:space="preserve">we </w:t>
      </w:r>
      <w:r w:rsidR="0002056E">
        <w:rPr>
          <w:rFonts w:ascii="Times New Roman" w:hAnsi="Times New Roman" w:cs="Times New Roman"/>
        </w:rPr>
        <w:t>may</w:t>
      </w:r>
      <w:r w:rsidR="006D241A">
        <w:rPr>
          <w:rFonts w:ascii="Times New Roman" w:hAnsi="Times New Roman" w:cs="Times New Roman"/>
        </w:rPr>
        <w:t xml:space="preserve"> come to bitter regret. Let us learn Hebrew! Let us learn Turkish! […] Without those languages, we are foreign to the rest of the country’s residents, and foreign to </w:t>
      </w:r>
      <w:r w:rsidR="006D241A">
        <w:rPr>
          <w:rFonts w:ascii="Times New Roman" w:hAnsi="Times New Roman" w:cs="Times New Roman"/>
        </w:rPr>
        <w:lastRenderedPageBreak/>
        <w:t>the rest of our brethren who live in other countries.”</w:t>
      </w:r>
      <w:r w:rsidR="006D241A">
        <w:rPr>
          <w:rStyle w:val="FootnoteReference"/>
          <w:rFonts w:ascii="Times New Roman" w:hAnsi="Times New Roman" w:cs="Times New Roman"/>
        </w:rPr>
        <w:footnoteReference w:id="26"/>
      </w:r>
      <w:r w:rsidR="00B073BC">
        <w:rPr>
          <w:rFonts w:ascii="Times New Roman" w:hAnsi="Times New Roman" w:cs="Times New Roman"/>
        </w:rPr>
        <w:t xml:space="preserve"> The election of the Palestinian public figures Hafiz Bey, </w:t>
      </w:r>
      <w:proofErr w:type="spellStart"/>
      <w:r w:rsidR="00B073BC">
        <w:rPr>
          <w:rFonts w:ascii="Times New Roman" w:hAnsi="Times New Roman" w:cs="Times New Roman"/>
        </w:rPr>
        <w:t>Ruhi</w:t>
      </w:r>
      <w:proofErr w:type="spellEnd"/>
      <w:r w:rsidR="00B073BC">
        <w:rPr>
          <w:rFonts w:ascii="Times New Roman" w:hAnsi="Times New Roman" w:cs="Times New Roman"/>
        </w:rPr>
        <w:t xml:space="preserve"> al-</w:t>
      </w:r>
      <w:proofErr w:type="spellStart"/>
      <w:r w:rsidR="00B073BC">
        <w:rPr>
          <w:rFonts w:ascii="Times New Roman" w:hAnsi="Times New Roman" w:cs="Times New Roman"/>
        </w:rPr>
        <w:t>Khalidi</w:t>
      </w:r>
      <w:proofErr w:type="spellEnd"/>
      <w:r w:rsidR="00B073BC">
        <w:rPr>
          <w:rFonts w:ascii="Times New Roman" w:hAnsi="Times New Roman" w:cs="Times New Roman"/>
        </w:rPr>
        <w:t>, and Said al-Husseini to the Ottoman parliament and the Yishuv’s inability to come together and elect a Jewish Palestinian to the parliament</w:t>
      </w:r>
      <w:r w:rsidR="00EC41C9">
        <w:rPr>
          <w:rFonts w:ascii="Times New Roman" w:hAnsi="Times New Roman" w:cs="Times New Roman"/>
        </w:rPr>
        <w:t xml:space="preserve"> only strengthened Ben-Yehuda’s belief in the importance of adopting local nationality to strengthen the Yishuv. To increase the number of Ottoman Jews in the country, he even suggested in that period bringing the Jews of Yemen to Palestine.</w:t>
      </w:r>
      <w:r w:rsidR="00EC41C9">
        <w:rPr>
          <w:rStyle w:val="FootnoteReference"/>
          <w:rFonts w:ascii="Times New Roman" w:hAnsi="Times New Roman" w:cs="Times New Roman"/>
        </w:rPr>
        <w:footnoteReference w:id="27"/>
      </w:r>
    </w:p>
    <w:p w14:paraId="0EC3F3DD" w14:textId="5CD0E0BF" w:rsidR="00EC41C9" w:rsidRDefault="00EC41C9" w:rsidP="00B073BC">
      <w:pPr>
        <w:spacing w:line="360" w:lineRule="auto"/>
        <w:ind w:firstLine="720"/>
        <w:rPr>
          <w:rFonts w:ascii="Times New Roman" w:hAnsi="Times New Roman" w:cs="Times New Roman"/>
        </w:rPr>
      </w:pPr>
      <w:r>
        <w:rPr>
          <w:rFonts w:ascii="Times New Roman" w:hAnsi="Times New Roman" w:cs="Times New Roman"/>
        </w:rPr>
        <w:t xml:space="preserve">The opening of the Ottoman parliament in December 1908 was </w:t>
      </w:r>
      <w:r w:rsidR="00B92437">
        <w:rPr>
          <w:rFonts w:ascii="Times New Roman" w:hAnsi="Times New Roman" w:cs="Times New Roman"/>
        </w:rPr>
        <w:t>featured</w:t>
      </w:r>
      <w:r>
        <w:rPr>
          <w:rFonts w:ascii="Times New Roman" w:hAnsi="Times New Roman" w:cs="Times New Roman"/>
        </w:rPr>
        <w:t xml:space="preserve"> prominently on the pages of </w:t>
      </w:r>
      <w:r>
        <w:rPr>
          <w:rFonts w:ascii="Times New Roman" w:hAnsi="Times New Roman" w:cs="Times New Roman"/>
          <w:i/>
          <w:iCs/>
        </w:rPr>
        <w:t>Ha-</w:t>
      </w:r>
      <w:proofErr w:type="spellStart"/>
      <w:r>
        <w:rPr>
          <w:rFonts w:ascii="Times New Roman" w:hAnsi="Times New Roman" w:cs="Times New Roman"/>
          <w:i/>
          <w:iCs/>
        </w:rPr>
        <w:t>Zvi</w:t>
      </w:r>
      <w:proofErr w:type="spellEnd"/>
      <w:r>
        <w:rPr>
          <w:rFonts w:ascii="Times New Roman" w:hAnsi="Times New Roman" w:cs="Times New Roman"/>
        </w:rPr>
        <w:t xml:space="preserve">. The absence of Jewish representatives from Palestine was discussed at length, of course, and hope was expressed that the four Jewish representatives from around the Empire would be “true Jewish delegates, like the delegates of other peoples in the government, </w:t>
      </w:r>
      <w:r w:rsidR="002F2F76">
        <w:rPr>
          <w:rFonts w:ascii="Times New Roman" w:hAnsi="Times New Roman" w:cs="Times New Roman"/>
        </w:rPr>
        <w:t>and staunchly defend their people’s interests just as the other delegates will defend their own peoples’ interests.”</w:t>
      </w:r>
      <w:r w:rsidR="002F2F76">
        <w:rPr>
          <w:rStyle w:val="FootnoteReference"/>
          <w:rFonts w:ascii="Times New Roman" w:hAnsi="Times New Roman" w:cs="Times New Roman"/>
        </w:rPr>
        <w:footnoteReference w:id="28"/>
      </w:r>
      <w:r w:rsidR="002F2F76">
        <w:rPr>
          <w:rFonts w:ascii="Times New Roman" w:hAnsi="Times New Roman" w:cs="Times New Roman"/>
        </w:rPr>
        <w:t xml:space="preserve"> The excitement in Jerusalem and Jaffa at the opening of the Parliament is also described, accompanied by expressions of affection and appreciation for the Empire: “Very great and complete is our joy. Yes, we love Turkey! Yes, we want to defend her; yes, we stand by the </w:t>
      </w:r>
      <w:commentRangeStart w:id="29"/>
      <w:r w:rsidR="002F2F76">
        <w:rPr>
          <w:rFonts w:ascii="Times New Roman" w:hAnsi="Times New Roman" w:cs="Times New Roman"/>
        </w:rPr>
        <w:t>constitution</w:t>
      </w:r>
      <w:commentRangeEnd w:id="29"/>
      <w:r w:rsidR="002F2F76">
        <w:rPr>
          <w:rStyle w:val="CommentReference"/>
        </w:rPr>
        <w:commentReference w:id="29"/>
      </w:r>
      <w:r w:rsidR="002F2F76">
        <w:rPr>
          <w:rFonts w:ascii="Times New Roman" w:hAnsi="Times New Roman" w:cs="Times New Roman"/>
        </w:rPr>
        <w:t xml:space="preserve"> and for it we would shed our blood. Let us be Turks, </w:t>
      </w:r>
      <w:commentRangeStart w:id="30"/>
      <w:r w:rsidR="002F2F76">
        <w:rPr>
          <w:rFonts w:ascii="Times New Roman" w:hAnsi="Times New Roman" w:cs="Times New Roman"/>
        </w:rPr>
        <w:t xml:space="preserve">all of us, </w:t>
      </w:r>
      <w:r w:rsidR="002C16C1">
        <w:rPr>
          <w:rFonts w:ascii="Times New Roman" w:hAnsi="Times New Roman" w:cs="Times New Roman"/>
        </w:rPr>
        <w:t xml:space="preserve">whether </w:t>
      </w:r>
      <w:r w:rsidR="002F2F76">
        <w:rPr>
          <w:rFonts w:ascii="Times New Roman" w:hAnsi="Times New Roman" w:cs="Times New Roman"/>
        </w:rPr>
        <w:t>Arabs or Jews</w:t>
      </w:r>
      <w:commentRangeEnd w:id="30"/>
      <w:r w:rsidR="002C16C1">
        <w:rPr>
          <w:rStyle w:val="CommentReference"/>
        </w:rPr>
        <w:commentReference w:id="30"/>
      </w:r>
      <w:r w:rsidR="002F2F76">
        <w:rPr>
          <w:rFonts w:ascii="Times New Roman" w:hAnsi="Times New Roman" w:cs="Times New Roman"/>
        </w:rPr>
        <w:t>.”</w:t>
      </w:r>
      <w:r w:rsidR="002F2F76">
        <w:rPr>
          <w:rStyle w:val="FootnoteReference"/>
          <w:rFonts w:ascii="Times New Roman" w:hAnsi="Times New Roman" w:cs="Times New Roman"/>
        </w:rPr>
        <w:footnoteReference w:id="29"/>
      </w:r>
      <w:r w:rsidR="002C16C1">
        <w:rPr>
          <w:rFonts w:ascii="Times New Roman" w:hAnsi="Times New Roman" w:cs="Times New Roman"/>
        </w:rPr>
        <w:t xml:space="preserve"> Together with the excitement about parliamentary life, though, one could already begin to hear, in the pages of the newspaper, concerns about the tension between the Turkish direction and direction of multi-national </w:t>
      </w:r>
      <w:proofErr w:type="spellStart"/>
      <w:r w:rsidR="002C16C1">
        <w:rPr>
          <w:rFonts w:ascii="Times New Roman" w:hAnsi="Times New Roman" w:cs="Times New Roman"/>
        </w:rPr>
        <w:t>Ottomanism</w:t>
      </w:r>
      <w:proofErr w:type="spellEnd"/>
      <w:r w:rsidR="002C16C1">
        <w:rPr>
          <w:rFonts w:ascii="Times New Roman" w:hAnsi="Times New Roman" w:cs="Times New Roman"/>
        </w:rPr>
        <w:t>, the Empire, which was perceived as vital: “It was not the Young Turks alone who made the well-known revolution, but rather, and especially, the Armenians, the Jews, the Albanians, and the Greeks with their people and their money. And why would they sacrifice their own rights on behalf of a regime of Turks who are currently in power?”</w:t>
      </w:r>
      <w:r w:rsidR="002C16C1">
        <w:rPr>
          <w:rStyle w:val="FootnoteReference"/>
          <w:rFonts w:ascii="Times New Roman" w:hAnsi="Times New Roman" w:cs="Times New Roman"/>
        </w:rPr>
        <w:footnoteReference w:id="30"/>
      </w:r>
    </w:p>
    <w:p w14:paraId="03C4CE74" w14:textId="6BE8CBD9" w:rsidR="002C16C1" w:rsidRDefault="002C16C1" w:rsidP="00B073BC">
      <w:pPr>
        <w:spacing w:line="360" w:lineRule="auto"/>
        <w:ind w:firstLine="720"/>
        <w:rPr>
          <w:rFonts w:ascii="Times New Roman" w:hAnsi="Times New Roman" w:cs="Times New Roman"/>
        </w:rPr>
      </w:pPr>
      <w:r>
        <w:rPr>
          <w:rFonts w:ascii="Times New Roman" w:hAnsi="Times New Roman" w:cs="Times New Roman"/>
        </w:rPr>
        <w:t xml:space="preserve">Along with the calls for Ottomanization and the insistence upon the importance of the multinational character of the Empire, Ben-Yehuda spoke out vehemently against discrimination </w:t>
      </w:r>
      <w:r>
        <w:rPr>
          <w:rFonts w:ascii="Times New Roman" w:hAnsi="Times New Roman" w:cs="Times New Roman"/>
        </w:rPr>
        <w:lastRenderedPageBreak/>
        <w:t xml:space="preserve">against Jews in entry to Palestine, and he demanded that the Jewish delegates in the parliament raise the matter for discussion. Equality between all Ottoman nationals only appears to be equality, argued Ben-Yehuda, for only Jews are, upon arrival, issued a “red note” limiting their stay to </w:t>
      </w:r>
      <w:r w:rsidR="0026507F">
        <w:rPr>
          <w:rFonts w:ascii="Times New Roman" w:hAnsi="Times New Roman" w:cs="Times New Roman"/>
        </w:rPr>
        <w:t xml:space="preserve">only three months, while other foreign nationals who arrive in the country may roam free there without restriction. As an Ottoman Jew, Ben-Yehuda protested against that discrimination on </w:t>
      </w:r>
      <w:proofErr w:type="spellStart"/>
      <w:r w:rsidR="0026507F">
        <w:rPr>
          <w:rFonts w:ascii="Times New Roman" w:hAnsi="Times New Roman" w:cs="Times New Roman"/>
        </w:rPr>
        <w:t>religio</w:t>
      </w:r>
      <w:proofErr w:type="spellEnd"/>
      <w:r w:rsidR="0026507F">
        <w:rPr>
          <w:rFonts w:ascii="Times New Roman" w:hAnsi="Times New Roman" w:cs="Times New Roman"/>
        </w:rPr>
        <w:t>-national grounds, not out of a fear that the Zionist Jews would not succeed in settling in Palestine, since anyone who wanted to do so eventually did, but on principle: “For us, the Ottoman Jews, this decree is an indignity, and in the name of our own honor and in the name of the danger that threatens us from its implementation, we demand its cancellation. […] You must see to it that we are equal to all other Ottomans not only in theory but in practice as well, and that the government remove from us the shame of this decree.”</w:t>
      </w:r>
      <w:r w:rsidR="0026507F">
        <w:rPr>
          <w:rStyle w:val="FootnoteReference"/>
          <w:rFonts w:ascii="Times New Roman" w:hAnsi="Times New Roman" w:cs="Times New Roman"/>
        </w:rPr>
        <w:footnoteReference w:id="31"/>
      </w:r>
      <w:r w:rsidR="00177B93">
        <w:rPr>
          <w:rFonts w:ascii="Times New Roman" w:hAnsi="Times New Roman" w:cs="Times New Roman"/>
        </w:rPr>
        <w:t xml:space="preserve"> The question of the “red note” continued to occupy Ben-Yehuda’s attention; he even received from </w:t>
      </w:r>
      <w:proofErr w:type="spellStart"/>
      <w:r w:rsidR="00177B93">
        <w:rPr>
          <w:rFonts w:ascii="Times New Roman" w:hAnsi="Times New Roman" w:cs="Times New Roman"/>
        </w:rPr>
        <w:t>Subhi</w:t>
      </w:r>
      <w:proofErr w:type="spellEnd"/>
      <w:r w:rsidR="00177B93">
        <w:rPr>
          <w:rFonts w:ascii="Times New Roman" w:hAnsi="Times New Roman" w:cs="Times New Roman"/>
        </w:rPr>
        <w:t xml:space="preserve"> Bey, the governor of </w:t>
      </w:r>
      <w:commentRangeStart w:id="31"/>
      <w:r w:rsidR="00177B93">
        <w:rPr>
          <w:rFonts w:ascii="Times New Roman" w:hAnsi="Times New Roman" w:cs="Times New Roman"/>
        </w:rPr>
        <w:t>the Jerusalem District</w:t>
      </w:r>
      <w:commentRangeEnd w:id="31"/>
      <w:r w:rsidR="00177B93">
        <w:rPr>
          <w:rStyle w:val="CommentReference"/>
        </w:rPr>
        <w:commentReference w:id="31"/>
      </w:r>
      <w:r w:rsidR="00177B93">
        <w:rPr>
          <w:rFonts w:ascii="Times New Roman" w:hAnsi="Times New Roman" w:cs="Times New Roman"/>
        </w:rPr>
        <w:t xml:space="preserve">, a promise to cancel it immediately, but that promise was not </w:t>
      </w:r>
      <w:r w:rsidR="00B92437">
        <w:rPr>
          <w:rFonts w:ascii="Times New Roman" w:hAnsi="Times New Roman" w:cs="Times New Roman"/>
        </w:rPr>
        <w:t>fulfilled</w:t>
      </w:r>
      <w:r w:rsidR="00177B93">
        <w:rPr>
          <w:rFonts w:ascii="Times New Roman" w:hAnsi="Times New Roman" w:cs="Times New Roman"/>
        </w:rPr>
        <w:t>.</w:t>
      </w:r>
    </w:p>
    <w:p w14:paraId="549810CE" w14:textId="07B1F95B" w:rsidR="00177B93" w:rsidRDefault="00177B93" w:rsidP="00B073BC">
      <w:pPr>
        <w:spacing w:line="360" w:lineRule="auto"/>
        <w:ind w:firstLine="720"/>
        <w:rPr>
          <w:rFonts w:ascii="Times New Roman" w:hAnsi="Times New Roman" w:cs="Times New Roman"/>
        </w:rPr>
      </w:pPr>
      <w:r>
        <w:rPr>
          <w:rFonts w:ascii="Times New Roman" w:hAnsi="Times New Roman" w:cs="Times New Roman"/>
        </w:rPr>
        <w:t xml:space="preserve">Even so, and perhaps precisely for that reason, Ben-Yehuda was an enthusiastic supporter of Ottomanization. On January 12, 1909, his famous article, “Jews, Be Ottomans!” appeared, and in its wake, other articles were published on the question of Ottomanization, its meaning, and the connection between it and Zionism. What is the meaning of the term “Ottoman” and what is the connection between citizenship and the Zionist movement? In response to </w:t>
      </w:r>
      <w:r w:rsidR="00A120B8">
        <w:rPr>
          <w:rFonts w:ascii="Times New Roman" w:hAnsi="Times New Roman" w:cs="Times New Roman"/>
        </w:rPr>
        <w:t>criticism of his call to Jews to Ottomanize and concerns that the was encouraging the Jews to assimilate, Ben-Yehuda wrote on January 21, 1909:</w:t>
      </w:r>
    </w:p>
    <w:p w14:paraId="51B7DEF1" w14:textId="15F096F3" w:rsidR="00A120B8" w:rsidRDefault="00A120B8" w:rsidP="00B073BC">
      <w:pPr>
        <w:spacing w:line="360" w:lineRule="auto"/>
        <w:ind w:firstLine="720"/>
        <w:rPr>
          <w:rFonts w:ascii="Times New Roman" w:hAnsi="Times New Roman" w:cs="Times New Roman"/>
        </w:rPr>
      </w:pPr>
    </w:p>
    <w:p w14:paraId="49DBA21F" w14:textId="2B564769" w:rsidR="00A120B8" w:rsidRDefault="00A120B8" w:rsidP="00A120B8">
      <w:pPr>
        <w:spacing w:line="360" w:lineRule="auto"/>
        <w:ind w:left="720" w:right="720"/>
        <w:rPr>
          <w:rFonts w:ascii="Times New Roman" w:eastAsia="Times New Roman" w:hAnsi="Times New Roman" w:cs="Times New Roman"/>
        </w:rPr>
      </w:pPr>
      <w:r>
        <w:rPr>
          <w:rFonts w:ascii="Times New Roman" w:eastAsia="Times New Roman" w:hAnsi="Times New Roman" w:cs="Times New Roman"/>
        </w:rPr>
        <w:t>For what is the meaning of the adjective “Ottoman”?</w:t>
      </w:r>
    </w:p>
    <w:p w14:paraId="27FE5299" w14:textId="2CCA09BA" w:rsidR="00A120B8" w:rsidRDefault="00A120B8" w:rsidP="00A120B8">
      <w:pPr>
        <w:spacing w:line="360" w:lineRule="auto"/>
        <w:ind w:left="720" w:right="720"/>
        <w:rPr>
          <w:rFonts w:ascii="Times New Roman" w:eastAsia="Times New Roman" w:hAnsi="Times New Roman" w:cs="Times New Roman"/>
        </w:rPr>
      </w:pPr>
      <w:r>
        <w:rPr>
          <w:rFonts w:ascii="Times New Roman" w:eastAsia="Times New Roman" w:hAnsi="Times New Roman" w:cs="Times New Roman"/>
        </w:rPr>
        <w:t>[…]</w:t>
      </w:r>
    </w:p>
    <w:p w14:paraId="5DE3F471" w14:textId="5FFF4624" w:rsidR="00A120B8" w:rsidRDefault="00A120B8" w:rsidP="00A120B8">
      <w:pPr>
        <w:spacing w:line="360" w:lineRule="auto"/>
        <w:ind w:left="720" w:right="720"/>
        <w:rPr>
          <w:rFonts w:ascii="Times New Roman" w:eastAsia="Times New Roman" w:hAnsi="Times New Roman" w:cs="Times New Roman"/>
        </w:rPr>
      </w:pPr>
      <w:r>
        <w:rPr>
          <w:rFonts w:ascii="Times New Roman" w:eastAsia="Times New Roman" w:hAnsi="Times New Roman" w:cs="Times New Roman"/>
        </w:rPr>
        <w:t>This is not the name of a nation [</w:t>
      </w:r>
      <w:proofErr w:type="spellStart"/>
      <w:r>
        <w:rPr>
          <w:rFonts w:ascii="Times New Roman" w:eastAsia="Times New Roman" w:hAnsi="Times New Roman" w:cs="Times New Roman"/>
          <w:i/>
          <w:iCs/>
        </w:rPr>
        <w:t>le’om</w:t>
      </w:r>
      <w:proofErr w:type="spellEnd"/>
      <w:r>
        <w:rPr>
          <w:rFonts w:ascii="Times New Roman" w:eastAsia="Times New Roman" w:hAnsi="Times New Roman" w:cs="Times New Roman"/>
        </w:rPr>
        <w:t xml:space="preserve">], nor or a race, nor of an </w:t>
      </w:r>
      <w:proofErr w:type="spellStart"/>
      <w:r>
        <w:rPr>
          <w:rFonts w:ascii="Times New Roman" w:eastAsia="Times New Roman" w:hAnsi="Times New Roman" w:cs="Times New Roman"/>
          <w:i/>
          <w:iCs/>
        </w:rPr>
        <w:t>umah</w:t>
      </w:r>
      <w:proofErr w:type="spellEnd"/>
      <w:r>
        <w:rPr>
          <w:rFonts w:ascii="Times New Roman" w:eastAsia="Times New Roman" w:hAnsi="Times New Roman" w:cs="Times New Roman"/>
        </w:rPr>
        <w:t xml:space="preserve"> [ethnic group] in the natural sense of the word. “Ottoman” is not a synonym for “Turkish.” No! Heaven </w:t>
      </w:r>
      <w:proofErr w:type="gramStart"/>
      <w:r>
        <w:rPr>
          <w:rFonts w:ascii="Times New Roman" w:eastAsia="Times New Roman" w:hAnsi="Times New Roman" w:cs="Times New Roman"/>
        </w:rPr>
        <w:t>forfend</w:t>
      </w:r>
      <w:proofErr w:type="gramEnd"/>
      <w:r>
        <w:rPr>
          <w:rFonts w:ascii="Times New Roman" w:eastAsia="Times New Roman" w:hAnsi="Times New Roman" w:cs="Times New Roman"/>
        </w:rPr>
        <w:t>! It is a political term, and no more than that.</w:t>
      </w:r>
    </w:p>
    <w:p w14:paraId="5F32B276" w14:textId="399EE7FF" w:rsidR="00A120B8" w:rsidRDefault="00A120B8" w:rsidP="00A120B8">
      <w:pPr>
        <w:spacing w:line="360" w:lineRule="auto"/>
        <w:ind w:left="720" w:right="720"/>
        <w:rPr>
          <w:rFonts w:ascii="Times New Roman" w:eastAsia="Times New Roman" w:hAnsi="Times New Roman" w:cs="Times New Roman"/>
        </w:rPr>
      </w:pPr>
      <w:r>
        <w:rPr>
          <w:rFonts w:ascii="Times New Roman" w:eastAsia="Times New Roman" w:hAnsi="Times New Roman" w:cs="Times New Roman"/>
        </w:rPr>
        <w:t>[…]</w:t>
      </w:r>
    </w:p>
    <w:p w14:paraId="2036EC6B" w14:textId="5CA38B6C" w:rsidR="00A120B8" w:rsidRDefault="00A120B8" w:rsidP="00A120B8">
      <w:pPr>
        <w:spacing w:line="360" w:lineRule="auto"/>
        <w:ind w:left="720" w:right="720"/>
        <w:rPr>
          <w:rFonts w:ascii="Times New Roman" w:eastAsia="Times New Roman" w:hAnsi="Times New Roman" w:cs="Times New Roman"/>
        </w:rPr>
      </w:pPr>
      <w:r>
        <w:rPr>
          <w:rFonts w:ascii="Times New Roman" w:eastAsia="Times New Roman" w:hAnsi="Times New Roman" w:cs="Times New Roman"/>
        </w:rPr>
        <w:t>The call: “Jews, be Ottomans!”</w:t>
      </w:r>
    </w:p>
    <w:p w14:paraId="0928A2C0" w14:textId="28C271A3" w:rsidR="00A120B8" w:rsidRDefault="00A120B8" w:rsidP="00A120B8">
      <w:pPr>
        <w:spacing w:line="360" w:lineRule="auto"/>
        <w:ind w:left="720" w:right="720"/>
        <w:rPr>
          <w:rFonts w:ascii="Times New Roman" w:eastAsia="Times New Roman" w:hAnsi="Times New Roman" w:cs="Times New Roman"/>
        </w:rPr>
      </w:pPr>
      <w:r>
        <w:rPr>
          <w:rFonts w:ascii="Times New Roman" w:eastAsia="Times New Roman" w:hAnsi="Times New Roman" w:cs="Times New Roman"/>
        </w:rPr>
        <w:lastRenderedPageBreak/>
        <w:t>does not mean: “Jews, be Turks! Jews, be Arabs! […]”</w:t>
      </w:r>
    </w:p>
    <w:p w14:paraId="468E510F" w14:textId="78432240" w:rsidR="00A120B8" w:rsidRDefault="00A120B8" w:rsidP="00A120B8">
      <w:pPr>
        <w:spacing w:line="360" w:lineRule="auto"/>
        <w:ind w:left="720" w:right="720"/>
        <w:rPr>
          <w:rFonts w:ascii="Times New Roman" w:eastAsia="Times New Roman" w:hAnsi="Times New Roman" w:cs="Times New Roman"/>
        </w:rPr>
      </w:pPr>
      <w:proofErr w:type="spellStart"/>
      <w:r>
        <w:rPr>
          <w:rFonts w:ascii="Times New Roman" w:eastAsia="Times New Roman" w:hAnsi="Times New Roman" w:cs="Times New Roman"/>
        </w:rPr>
        <w:t>Its</w:t>
      </w:r>
      <w:proofErr w:type="spellEnd"/>
      <w:r>
        <w:rPr>
          <w:rFonts w:ascii="Times New Roman" w:eastAsia="Times New Roman" w:hAnsi="Times New Roman" w:cs="Times New Roman"/>
        </w:rPr>
        <w:t xml:space="preserve"> simple meaning in Hebrew is:</w:t>
      </w:r>
    </w:p>
    <w:p w14:paraId="4285E5C3" w14:textId="1BF86BE7" w:rsidR="00A120B8" w:rsidRDefault="00A120B8" w:rsidP="00A120B8">
      <w:pPr>
        <w:spacing w:line="360" w:lineRule="auto"/>
        <w:ind w:left="720" w:right="720"/>
        <w:rPr>
          <w:rFonts w:ascii="Times New Roman" w:eastAsia="Times New Roman" w:hAnsi="Times New Roman" w:cs="Times New Roman"/>
        </w:rPr>
      </w:pPr>
      <w:r>
        <w:rPr>
          <w:rFonts w:ascii="Times New Roman" w:eastAsia="Times New Roman" w:hAnsi="Times New Roman" w:cs="Times New Roman"/>
        </w:rPr>
        <w:t xml:space="preserve">Jews, be citizens of the state in which you live! Jews, prepare yourselves to enjoy the political rights of a free country in which you reside and in which you want to a live a national Jewish life, without giving </w:t>
      </w:r>
      <w:r w:rsidR="00B92437">
        <w:rPr>
          <w:rFonts w:ascii="Times New Roman" w:eastAsia="Times New Roman" w:hAnsi="Times New Roman" w:cs="Times New Roman"/>
        </w:rPr>
        <w:t xml:space="preserve">up </w:t>
      </w:r>
      <w:r>
        <w:rPr>
          <w:rFonts w:ascii="Times New Roman" w:eastAsia="Times New Roman" w:hAnsi="Times New Roman" w:cs="Times New Roman"/>
        </w:rPr>
        <w:t>any of your nationhood!</w:t>
      </w:r>
    </w:p>
    <w:p w14:paraId="3150BE83" w14:textId="37F7EF57" w:rsidR="00A120B8" w:rsidRDefault="00A120B8" w:rsidP="00A120B8">
      <w:pPr>
        <w:spacing w:line="360" w:lineRule="auto"/>
        <w:ind w:left="720" w:right="720"/>
        <w:rPr>
          <w:rFonts w:ascii="Times New Roman" w:eastAsia="Times New Roman" w:hAnsi="Times New Roman" w:cs="Times New Roman"/>
        </w:rPr>
      </w:pPr>
      <w:r>
        <w:rPr>
          <w:rFonts w:ascii="Times New Roman" w:eastAsia="Times New Roman" w:hAnsi="Times New Roman" w:cs="Times New Roman"/>
        </w:rPr>
        <w:t>For here, in this country, no one asks of you, no one can ask of you, that you erase even a single jot or tittle o</w:t>
      </w:r>
      <w:r w:rsidR="00B92437">
        <w:rPr>
          <w:rFonts w:ascii="Times New Roman" w:eastAsia="Times New Roman" w:hAnsi="Times New Roman" w:cs="Times New Roman"/>
        </w:rPr>
        <w:t>f</w:t>
      </w:r>
      <w:r>
        <w:rPr>
          <w:rFonts w:ascii="Times New Roman" w:eastAsia="Times New Roman" w:hAnsi="Times New Roman" w:cs="Times New Roman"/>
        </w:rPr>
        <w:t xml:space="preserve"> your national being […]</w:t>
      </w:r>
    </w:p>
    <w:p w14:paraId="321C381D" w14:textId="5710EA9E" w:rsidR="00A120B8" w:rsidRDefault="00A120B8" w:rsidP="00A120B8">
      <w:pPr>
        <w:spacing w:line="360" w:lineRule="auto"/>
        <w:ind w:left="720" w:right="720"/>
        <w:rPr>
          <w:rFonts w:ascii="Times New Roman" w:eastAsia="Times New Roman" w:hAnsi="Times New Roman" w:cs="Times New Roman"/>
        </w:rPr>
      </w:pPr>
      <w:r>
        <w:rPr>
          <w:rFonts w:ascii="Times New Roman" w:eastAsia="Times New Roman" w:hAnsi="Times New Roman" w:cs="Times New Roman"/>
        </w:rPr>
        <w:t>The meaning of the call:</w:t>
      </w:r>
    </w:p>
    <w:p w14:paraId="3F059BE5" w14:textId="35190D96" w:rsidR="00A120B8" w:rsidRDefault="00A120B8" w:rsidP="00A120B8">
      <w:pPr>
        <w:spacing w:line="360" w:lineRule="auto"/>
        <w:ind w:left="720" w:right="720"/>
        <w:rPr>
          <w:rFonts w:ascii="Times New Roman" w:eastAsia="Times New Roman" w:hAnsi="Times New Roman" w:cs="Times New Roman"/>
        </w:rPr>
      </w:pPr>
      <w:r>
        <w:rPr>
          <w:rFonts w:ascii="Times New Roman" w:eastAsia="Times New Roman" w:hAnsi="Times New Roman" w:cs="Times New Roman"/>
        </w:rPr>
        <w:t>“Jews, be Ottomans” is:</w:t>
      </w:r>
    </w:p>
    <w:p w14:paraId="1D2B0BD6" w14:textId="32153B45" w:rsidR="00A120B8" w:rsidRDefault="00A120B8" w:rsidP="00A120B8">
      <w:pPr>
        <w:spacing w:line="360" w:lineRule="auto"/>
        <w:ind w:left="720" w:right="720"/>
        <w:rPr>
          <w:rFonts w:ascii="Times New Roman" w:eastAsia="Times New Roman" w:hAnsi="Times New Roman" w:cs="Times New Roman"/>
        </w:rPr>
      </w:pPr>
      <w:r>
        <w:rPr>
          <w:rFonts w:ascii="Times New Roman" w:eastAsia="Times New Roman" w:hAnsi="Times New Roman" w:cs="Times New Roman"/>
        </w:rPr>
        <w:t xml:space="preserve">Jews, be like the Arabs, like the Greeks, like the Armenians in the Ottoman </w:t>
      </w:r>
      <w:r w:rsidR="00775D50">
        <w:rPr>
          <w:rFonts w:ascii="Times New Roman" w:eastAsia="Times New Roman" w:hAnsi="Times New Roman" w:cs="Times New Roman"/>
        </w:rPr>
        <w:t>realm!</w:t>
      </w:r>
    </w:p>
    <w:p w14:paraId="738F811B" w14:textId="57E1E694" w:rsidR="00775D50" w:rsidRDefault="00775D50" w:rsidP="00A120B8">
      <w:pPr>
        <w:spacing w:line="360" w:lineRule="auto"/>
        <w:ind w:left="720" w:right="720"/>
        <w:rPr>
          <w:rFonts w:ascii="Times New Roman" w:eastAsia="Times New Roman" w:hAnsi="Times New Roman" w:cs="Times New Roman"/>
        </w:rPr>
      </w:pPr>
      <w:r>
        <w:rPr>
          <w:rFonts w:ascii="Times New Roman" w:eastAsia="Times New Roman" w:hAnsi="Times New Roman" w:cs="Times New Roman"/>
        </w:rPr>
        <w:t>[…]</w:t>
      </w:r>
    </w:p>
    <w:p w14:paraId="10578E7D" w14:textId="21248143" w:rsidR="00775D50" w:rsidRDefault="00775D50" w:rsidP="00A120B8">
      <w:pPr>
        <w:spacing w:line="360" w:lineRule="auto"/>
        <w:ind w:left="720" w:right="720"/>
        <w:rPr>
          <w:rFonts w:ascii="Times New Roman" w:eastAsia="Times New Roman" w:hAnsi="Times New Roman" w:cs="Times New Roman"/>
        </w:rPr>
      </w:pPr>
      <w:r>
        <w:rPr>
          <w:rFonts w:ascii="Times New Roman" w:eastAsia="Times New Roman" w:hAnsi="Times New Roman" w:cs="Times New Roman"/>
        </w:rPr>
        <w:t>Jews, be Ottomans! Be subjects of the Ottoman domain, so that you continue to be Jews in the land of your fathers.”</w:t>
      </w:r>
      <w:r>
        <w:rPr>
          <w:rStyle w:val="FootnoteReference"/>
          <w:rFonts w:ascii="Times New Roman" w:eastAsia="Times New Roman" w:hAnsi="Times New Roman" w:cs="Times New Roman"/>
        </w:rPr>
        <w:footnoteReference w:id="32"/>
      </w:r>
    </w:p>
    <w:p w14:paraId="107FAA67" w14:textId="0CB8FAB4" w:rsidR="00775D50" w:rsidRDefault="00775D50" w:rsidP="00A120B8">
      <w:pPr>
        <w:spacing w:line="360" w:lineRule="auto"/>
        <w:ind w:left="720" w:right="720"/>
        <w:rPr>
          <w:rFonts w:ascii="Times New Roman" w:eastAsia="Times New Roman" w:hAnsi="Times New Roman" w:cs="Times New Roman"/>
        </w:rPr>
      </w:pPr>
    </w:p>
    <w:p w14:paraId="2F76713B" w14:textId="5C901626" w:rsidR="00775D50" w:rsidRDefault="00775D50" w:rsidP="00633EAE">
      <w:pPr>
        <w:spacing w:line="360" w:lineRule="auto"/>
        <w:ind w:firstLine="720"/>
        <w:rPr>
          <w:rFonts w:ascii="Times New Roman" w:eastAsia="Times New Roman" w:hAnsi="Times New Roman" w:cs="Times New Roman"/>
        </w:rPr>
      </w:pPr>
      <w:r>
        <w:rPr>
          <w:rFonts w:ascii="Times New Roman" w:eastAsia="Times New Roman" w:hAnsi="Times New Roman" w:cs="Times New Roman"/>
        </w:rPr>
        <w:t>Ottomanization is not, then, a contradiction of the Zionist national project in Palestine, but rather it grants the Jews a framework for their national expression.</w:t>
      </w:r>
      <w:r w:rsidR="00AD207B">
        <w:rPr>
          <w:rFonts w:ascii="Times New Roman" w:eastAsia="Times New Roman" w:hAnsi="Times New Roman" w:cs="Times New Roman"/>
        </w:rPr>
        <w:t xml:space="preserve"> Ben-Yehuda imagined the multi-ethnic, multi-national Empire as </w:t>
      </w:r>
      <w:r w:rsidR="00B92437">
        <w:rPr>
          <w:rFonts w:ascii="Times New Roman" w:eastAsia="Times New Roman" w:hAnsi="Times New Roman" w:cs="Times New Roman"/>
        </w:rPr>
        <w:t xml:space="preserve">the </w:t>
      </w:r>
      <w:r w:rsidR="00AD207B">
        <w:rPr>
          <w:rFonts w:ascii="Times New Roman" w:eastAsia="Times New Roman" w:hAnsi="Times New Roman" w:cs="Times New Roman"/>
        </w:rPr>
        <w:t>protector of Jewish nationhood in the Jews’ historical homeland. It could be that the inspiration for that model came from the Austro-Hungarian Empire, which comprised several national groups who conducted their affairs with a high degree of autonomy and preserved their identity and uniqueness within the imperial framework.</w:t>
      </w:r>
      <w:r w:rsidR="00AD207B">
        <w:rPr>
          <w:rStyle w:val="FootnoteReference"/>
          <w:rFonts w:ascii="Times New Roman" w:eastAsia="Times New Roman" w:hAnsi="Times New Roman" w:cs="Times New Roman"/>
        </w:rPr>
        <w:footnoteReference w:id="33"/>
      </w:r>
      <w:r w:rsidR="00AD207B">
        <w:rPr>
          <w:rFonts w:ascii="Times New Roman" w:eastAsia="Times New Roman" w:hAnsi="Times New Roman" w:cs="Times New Roman"/>
        </w:rPr>
        <w:t xml:space="preserve"> </w:t>
      </w:r>
      <w:r w:rsidR="000C4975">
        <w:rPr>
          <w:rFonts w:ascii="Times New Roman" w:eastAsia="Times New Roman" w:hAnsi="Times New Roman" w:cs="Times New Roman"/>
        </w:rPr>
        <w:t xml:space="preserve">Relating to the gathering strength of the Arab national movement and the rise in criticism of the Zionist movement, Ben-Yehuda argued that in this context too, Imperial citizenship was vital, </w:t>
      </w:r>
      <w:r w:rsidR="000C4975">
        <w:rPr>
          <w:rFonts w:ascii="Times New Roman" w:eastAsia="Times New Roman" w:hAnsi="Times New Roman" w:cs="Times New Roman"/>
        </w:rPr>
        <w:lastRenderedPageBreak/>
        <w:t>since the Empire could serve as a mediator among the nations within it and could foster compromise in times of friction among the various national groups.</w:t>
      </w:r>
      <w:r w:rsidR="00633EAE">
        <w:rPr>
          <w:rFonts w:ascii="Times New Roman" w:eastAsia="Times New Roman" w:hAnsi="Times New Roman" w:cs="Times New Roman"/>
        </w:rPr>
        <w:tab/>
      </w:r>
      <w:r w:rsidR="000C4975">
        <w:rPr>
          <w:rStyle w:val="FootnoteReference"/>
          <w:rFonts w:ascii="Times New Roman" w:eastAsia="Times New Roman" w:hAnsi="Times New Roman" w:cs="Times New Roman"/>
        </w:rPr>
        <w:footnoteReference w:id="34"/>
      </w:r>
      <w:r w:rsidR="000C4975">
        <w:rPr>
          <w:rFonts w:ascii="Times New Roman" w:eastAsia="Times New Roman" w:hAnsi="Times New Roman" w:cs="Times New Roman"/>
        </w:rPr>
        <w:t xml:space="preserve"> The Jews’ Ottoman loyalty would even set them apart, in Ben-Yehuda’s view, from the Arabs and their separatist notions.</w:t>
      </w:r>
      <w:r w:rsidR="000C4975">
        <w:rPr>
          <w:rStyle w:val="FootnoteReference"/>
          <w:rFonts w:ascii="Times New Roman" w:eastAsia="Times New Roman" w:hAnsi="Times New Roman" w:cs="Times New Roman"/>
        </w:rPr>
        <w:footnoteReference w:id="35"/>
      </w:r>
    </w:p>
    <w:p w14:paraId="5BA8C719" w14:textId="769ECDD9" w:rsidR="000C4975" w:rsidRDefault="000C4975" w:rsidP="00633EAE">
      <w:pPr>
        <w:spacing w:line="360" w:lineRule="auto"/>
        <w:ind w:firstLine="720"/>
        <w:rPr>
          <w:rFonts w:ascii="Times New Roman" w:eastAsia="Times New Roman" w:hAnsi="Times New Roman" w:cs="Times New Roman"/>
        </w:rPr>
      </w:pPr>
      <w:r>
        <w:rPr>
          <w:rFonts w:ascii="Times New Roman" w:eastAsia="Times New Roman" w:hAnsi="Times New Roman" w:cs="Times New Roman"/>
        </w:rPr>
        <w:t xml:space="preserve">What were the goals of the Zionist movement and Zionist activity, according to Ben-Yehuda? </w:t>
      </w:r>
      <w:r w:rsidR="007B114F">
        <w:rPr>
          <w:rFonts w:ascii="Times New Roman" w:eastAsia="Times New Roman" w:hAnsi="Times New Roman" w:cs="Times New Roman"/>
        </w:rPr>
        <w:t xml:space="preserve">According to his claim, one could not speak about the Yishuv in political terms, and one should not demand of the Ottoman parliament to recognize it as a separate political entity. He sought to limit the discussion in Parliament about the Jewish community, since any such open discussion would arouse suspicion regarding Zionist activity. The goal of the Zionist movement, he thought, was to assist the Jews of Palestine in making desolate land </w:t>
      </w:r>
      <w:r w:rsidR="00B92437">
        <w:rPr>
          <w:rFonts w:ascii="Times New Roman" w:eastAsia="Times New Roman" w:hAnsi="Times New Roman" w:cs="Times New Roman"/>
        </w:rPr>
        <w:t>bloom</w:t>
      </w:r>
      <w:r w:rsidR="007B114F">
        <w:rPr>
          <w:rFonts w:ascii="Times New Roman" w:eastAsia="Times New Roman" w:hAnsi="Times New Roman" w:cs="Times New Roman"/>
        </w:rPr>
        <w:t xml:space="preserve"> and develop</w:t>
      </w:r>
      <w:r w:rsidR="00B92437">
        <w:rPr>
          <w:rFonts w:ascii="Times New Roman" w:eastAsia="Times New Roman" w:hAnsi="Times New Roman" w:cs="Times New Roman"/>
        </w:rPr>
        <w:t>ing</w:t>
      </w:r>
      <w:r w:rsidR="007B114F">
        <w:rPr>
          <w:rFonts w:ascii="Times New Roman" w:eastAsia="Times New Roman" w:hAnsi="Times New Roman" w:cs="Times New Roman"/>
        </w:rPr>
        <w:t xml:space="preserve"> the country for the benefit of the Ottoman Empire, under whose protection they lived. As an extension of this idea, </w:t>
      </w:r>
      <w:r w:rsidR="001649D7">
        <w:rPr>
          <w:rFonts w:ascii="Times New Roman" w:eastAsia="Times New Roman" w:hAnsi="Times New Roman" w:cs="Times New Roman"/>
        </w:rPr>
        <w:t xml:space="preserve">calling on the Yishuv’s leadership to </w:t>
      </w:r>
      <w:r w:rsidR="009A5CE7">
        <w:rPr>
          <w:rFonts w:ascii="Times New Roman" w:eastAsia="Times New Roman" w:hAnsi="Times New Roman" w:cs="Times New Roman"/>
        </w:rPr>
        <w:t xml:space="preserve">take action for Ottomanization, the writer Yehoshua </w:t>
      </w:r>
      <w:proofErr w:type="spellStart"/>
      <w:r w:rsidR="009A5CE7">
        <w:rPr>
          <w:rFonts w:ascii="Times New Roman" w:eastAsia="Times New Roman" w:hAnsi="Times New Roman" w:cs="Times New Roman"/>
        </w:rPr>
        <w:t>Barlizai</w:t>
      </w:r>
      <w:proofErr w:type="spellEnd"/>
      <w:r w:rsidR="009A5CE7">
        <w:rPr>
          <w:rFonts w:ascii="Times New Roman" w:eastAsia="Times New Roman" w:hAnsi="Times New Roman" w:cs="Times New Roman"/>
        </w:rPr>
        <w:t xml:space="preserve"> described the Ottoman Zionist vision well:</w:t>
      </w:r>
    </w:p>
    <w:p w14:paraId="2E36AFA5" w14:textId="77777777" w:rsidR="00D210DA" w:rsidRDefault="00D210DA" w:rsidP="00633EAE">
      <w:pPr>
        <w:spacing w:line="360" w:lineRule="auto"/>
        <w:ind w:firstLine="720"/>
        <w:rPr>
          <w:rFonts w:ascii="Times New Roman" w:eastAsia="Times New Roman" w:hAnsi="Times New Roman" w:cs="Times New Roman"/>
        </w:rPr>
      </w:pPr>
    </w:p>
    <w:p w14:paraId="6F29F911" w14:textId="02FD2BCE" w:rsidR="009A5CE7" w:rsidRDefault="009A5CE7" w:rsidP="009A5CE7">
      <w:pPr>
        <w:spacing w:line="360" w:lineRule="auto"/>
        <w:ind w:left="720" w:right="720"/>
        <w:rPr>
          <w:rFonts w:ascii="Times New Roman" w:eastAsia="Times New Roman" w:hAnsi="Times New Roman" w:cs="Times New Roman"/>
        </w:rPr>
      </w:pPr>
      <w:r>
        <w:rPr>
          <w:rFonts w:ascii="Times New Roman" w:eastAsia="Times New Roman" w:hAnsi="Times New Roman" w:cs="Times New Roman"/>
        </w:rPr>
        <w:t>This [i.e., Ottomanization] is in and of itself</w:t>
      </w:r>
      <w:r w:rsidR="00D210DA">
        <w:rPr>
          <w:rFonts w:ascii="Times New Roman" w:eastAsia="Times New Roman" w:hAnsi="Times New Roman" w:cs="Times New Roman"/>
        </w:rPr>
        <w:t xml:space="preserve"> positive, since one cannot </w:t>
      </w:r>
      <w:commentRangeStart w:id="32"/>
      <w:r w:rsidR="00D210DA">
        <w:rPr>
          <w:rFonts w:ascii="Times New Roman" w:eastAsia="Times New Roman" w:hAnsi="Times New Roman" w:cs="Times New Roman"/>
        </w:rPr>
        <w:t>become at home</w:t>
      </w:r>
      <w:commentRangeEnd w:id="32"/>
      <w:r w:rsidR="00D210DA">
        <w:rPr>
          <w:rStyle w:val="CommentReference"/>
        </w:rPr>
        <w:commentReference w:id="32"/>
      </w:r>
      <w:r w:rsidR="00D210DA">
        <w:rPr>
          <w:rFonts w:ascii="Times New Roman" w:eastAsia="Times New Roman" w:hAnsi="Times New Roman" w:cs="Times New Roman"/>
        </w:rPr>
        <w:t xml:space="preserve"> in Palestine and become a permanent resident without being a national of its government. – True, we have national hopes for the land of our fathers, and we hope for the fulfillment of the Zionist idea in our generation, in our own time, but even then, won’t we be Ottoman subjects? A Jewish state will stand entirely under the general Ottoman government, and we will have only approved and established local rule. And </w:t>
      </w:r>
      <w:proofErr w:type="gramStart"/>
      <w:r w:rsidR="00D210DA">
        <w:rPr>
          <w:rFonts w:ascii="Times New Roman" w:eastAsia="Times New Roman" w:hAnsi="Times New Roman" w:cs="Times New Roman"/>
        </w:rPr>
        <w:t>so</w:t>
      </w:r>
      <w:proofErr w:type="gramEnd"/>
      <w:r w:rsidR="00D210DA">
        <w:rPr>
          <w:rFonts w:ascii="Times New Roman" w:eastAsia="Times New Roman" w:hAnsi="Times New Roman" w:cs="Times New Roman"/>
        </w:rPr>
        <w:t xml:space="preserve"> we should, we must, desire as well to be Ottoman subjects.</w:t>
      </w:r>
      <w:r w:rsidR="00D210DA">
        <w:rPr>
          <w:rStyle w:val="FootnoteReference"/>
          <w:rFonts w:ascii="Times New Roman" w:eastAsia="Times New Roman" w:hAnsi="Times New Roman" w:cs="Times New Roman"/>
        </w:rPr>
        <w:footnoteReference w:id="36"/>
      </w:r>
    </w:p>
    <w:p w14:paraId="45862FAA" w14:textId="47DF5E95" w:rsidR="00D210DA" w:rsidRDefault="00D210DA" w:rsidP="009A5CE7">
      <w:pPr>
        <w:spacing w:line="360" w:lineRule="auto"/>
        <w:ind w:left="720" w:right="720"/>
        <w:rPr>
          <w:rFonts w:ascii="Times New Roman" w:eastAsia="Times New Roman" w:hAnsi="Times New Roman" w:cs="Times New Roman"/>
        </w:rPr>
      </w:pPr>
    </w:p>
    <w:p w14:paraId="5F3C5218" w14:textId="73C68406" w:rsidR="00D210DA" w:rsidRDefault="00D210DA" w:rsidP="00D210DA">
      <w:pPr>
        <w:spacing w:line="360" w:lineRule="auto"/>
        <w:rPr>
          <w:rFonts w:ascii="Times New Roman" w:eastAsia="Times New Roman" w:hAnsi="Times New Roman" w:cs="Times New Roman"/>
        </w:rPr>
      </w:pPr>
      <w:r>
        <w:rPr>
          <w:rFonts w:ascii="Times New Roman" w:eastAsia="Times New Roman" w:hAnsi="Times New Roman" w:cs="Times New Roman"/>
        </w:rPr>
        <w:tab/>
        <w:t xml:space="preserve">Let us return to the crisis of World War I and the urgent call for Ottomanization. It is interesting to note that just then, at the beginning of the war, Ben-Yehuda left Palestine because of his ill health and emigrated to the United States, </w:t>
      </w:r>
      <w:r w:rsidR="00C1612E">
        <w:rPr>
          <w:rFonts w:ascii="Times New Roman" w:eastAsia="Times New Roman" w:hAnsi="Times New Roman" w:cs="Times New Roman"/>
        </w:rPr>
        <w:t xml:space="preserve">due among other reasons to fear that the authorities would deport him because of his Zionist activity. </w:t>
      </w:r>
      <w:r w:rsidR="00D17FFC">
        <w:rPr>
          <w:rFonts w:ascii="Times New Roman" w:eastAsia="Times New Roman" w:hAnsi="Times New Roman" w:cs="Times New Roman"/>
        </w:rPr>
        <w:t xml:space="preserve">His departure garnered attention in the newspaper </w:t>
      </w:r>
      <w:r w:rsidR="00D17FFC">
        <w:rPr>
          <w:rFonts w:ascii="Times New Roman" w:eastAsia="Times New Roman" w:hAnsi="Times New Roman" w:cs="Times New Roman"/>
          <w:i/>
          <w:iCs/>
        </w:rPr>
        <w:t>Ha-</w:t>
      </w:r>
      <w:proofErr w:type="spellStart"/>
      <w:r w:rsidR="00D17FFC">
        <w:rPr>
          <w:rFonts w:ascii="Times New Roman" w:eastAsia="Times New Roman" w:hAnsi="Times New Roman" w:cs="Times New Roman"/>
          <w:i/>
          <w:iCs/>
        </w:rPr>
        <w:t>Aḥdut</w:t>
      </w:r>
      <w:proofErr w:type="spellEnd"/>
      <w:r w:rsidR="00D17FFC">
        <w:rPr>
          <w:rFonts w:ascii="Times New Roman" w:eastAsia="Times New Roman" w:hAnsi="Times New Roman" w:cs="Times New Roman"/>
        </w:rPr>
        <w:t xml:space="preserve">, in the context of criticism levelled against “the Jerusalem community </w:t>
      </w:r>
      <w:r w:rsidR="00291465">
        <w:rPr>
          <w:rFonts w:ascii="Times New Roman" w:eastAsia="Times New Roman" w:hAnsi="Times New Roman" w:cs="Times New Roman"/>
        </w:rPr>
        <w:t>functionaries</w:t>
      </w:r>
      <w:r w:rsidR="00D17FFC">
        <w:rPr>
          <w:rFonts w:ascii="Times New Roman" w:eastAsia="Times New Roman" w:hAnsi="Times New Roman" w:cs="Times New Roman"/>
        </w:rPr>
        <w:t xml:space="preserve">, </w:t>
      </w:r>
      <w:r w:rsidR="00291465">
        <w:rPr>
          <w:rFonts w:ascii="Times New Roman" w:eastAsia="Times New Roman" w:hAnsi="Times New Roman" w:cs="Times New Roman"/>
        </w:rPr>
        <w:t>who</w:t>
      </w:r>
      <w:r w:rsidR="00D17FFC">
        <w:rPr>
          <w:rFonts w:ascii="Times New Roman" w:eastAsia="Times New Roman" w:hAnsi="Times New Roman" w:cs="Times New Roman"/>
        </w:rPr>
        <w:t xml:space="preserve"> arrive with hues and cries and depart in secrecy,” and against its functioning </w:t>
      </w:r>
      <w:r w:rsidR="00D17FFC">
        <w:rPr>
          <w:rFonts w:ascii="Times New Roman" w:eastAsia="Times New Roman" w:hAnsi="Times New Roman" w:cs="Times New Roman"/>
        </w:rPr>
        <w:lastRenderedPageBreak/>
        <w:t xml:space="preserve">during the crisis of war. Ben-Yehuda, first among those who called for Ottomanization, was thus regarded by the newspaper almost as a traitor against the Yishuv in its hour of difficulty and against the Zionist project </w:t>
      </w:r>
      <w:r w:rsidR="00B92437">
        <w:rPr>
          <w:rFonts w:ascii="Times New Roman" w:eastAsia="Times New Roman" w:hAnsi="Times New Roman" w:cs="Times New Roman"/>
        </w:rPr>
        <w:t>on behalf of</w:t>
      </w:r>
      <w:r w:rsidR="00D17FFC">
        <w:rPr>
          <w:rFonts w:ascii="Times New Roman" w:eastAsia="Times New Roman" w:hAnsi="Times New Roman" w:cs="Times New Roman"/>
        </w:rPr>
        <w:t xml:space="preserve"> which he had been active for many years:</w:t>
      </w:r>
    </w:p>
    <w:p w14:paraId="60619381" w14:textId="1A649628" w:rsidR="00D17FFC" w:rsidRDefault="00D17FFC" w:rsidP="00D210DA">
      <w:pPr>
        <w:spacing w:line="360" w:lineRule="auto"/>
        <w:rPr>
          <w:rFonts w:ascii="Times New Roman" w:eastAsia="Times New Roman" w:hAnsi="Times New Roman" w:cs="Times New Roman"/>
        </w:rPr>
      </w:pPr>
    </w:p>
    <w:p w14:paraId="1FE12B4A" w14:textId="78C0C4E4" w:rsidR="00D17FFC" w:rsidRDefault="00D17FFC" w:rsidP="00D17FFC">
      <w:pPr>
        <w:spacing w:line="360" w:lineRule="auto"/>
        <w:ind w:left="720" w:right="720"/>
        <w:rPr>
          <w:rFonts w:ascii="Times New Roman" w:eastAsia="Times New Roman" w:hAnsi="Times New Roman" w:cs="Times New Roman"/>
        </w:rPr>
      </w:pPr>
      <w:r>
        <w:rPr>
          <w:rFonts w:ascii="Times New Roman" w:eastAsia="Times New Roman" w:hAnsi="Times New Roman" w:cs="Times New Roman"/>
        </w:rPr>
        <w:t xml:space="preserve">Typical and characteristic, in this sense, of the Jerusalem communal </w:t>
      </w:r>
      <w:r w:rsidR="00291465">
        <w:rPr>
          <w:rFonts w:ascii="Times New Roman" w:eastAsia="Times New Roman" w:hAnsi="Times New Roman" w:cs="Times New Roman"/>
        </w:rPr>
        <w:t>functionaries</w:t>
      </w:r>
      <w:r>
        <w:rPr>
          <w:rFonts w:ascii="Times New Roman" w:eastAsia="Times New Roman" w:hAnsi="Times New Roman" w:cs="Times New Roman"/>
        </w:rPr>
        <w:t xml:space="preserve"> is Eliezer Ben-Yehuda’s sudden departure for America. That man, who years ago issued the cry, “Jews, be Ottomans,” the head of the Ottomanization Committee, who would go and speak with the government in these difficult hours, which </w:t>
      </w:r>
      <w:r w:rsidR="004F74B1">
        <w:rPr>
          <w:rFonts w:ascii="Times New Roman" w:eastAsia="Times New Roman" w:hAnsi="Times New Roman" w:cs="Times New Roman"/>
        </w:rPr>
        <w:t>regarded</w:t>
      </w:r>
      <w:r>
        <w:rPr>
          <w:rFonts w:ascii="Times New Roman" w:eastAsia="Times New Roman" w:hAnsi="Times New Roman" w:cs="Times New Roman"/>
        </w:rPr>
        <w:t xml:space="preserve"> him as </w:t>
      </w:r>
      <w:r w:rsidR="004F74B1">
        <w:rPr>
          <w:rFonts w:ascii="Times New Roman" w:eastAsia="Times New Roman" w:hAnsi="Times New Roman" w:cs="Times New Roman"/>
        </w:rPr>
        <w:t xml:space="preserve">the designated representative of the Jewish community in Jerusalem, who stood each day and portrayed, in </w:t>
      </w:r>
      <w:r w:rsidR="00B92437">
        <w:rPr>
          <w:rFonts w:ascii="Times New Roman" w:eastAsia="Times New Roman" w:hAnsi="Times New Roman" w:cs="Times New Roman"/>
        </w:rPr>
        <w:t>bold</w:t>
      </w:r>
      <w:r w:rsidR="004F74B1">
        <w:rPr>
          <w:rFonts w:ascii="Times New Roman" w:eastAsia="Times New Roman" w:hAnsi="Times New Roman" w:cs="Times New Roman"/>
        </w:rPr>
        <w:t xml:space="preserve"> colors, all the misfortunes and tribulations that were, in truth, bound up with foreign nationality—the chief of the Jerusalem communal activists and eldest of the Ottomans suddenly takes up his bags and flees to America with his Turkish fez on his head!</w:t>
      </w:r>
      <w:r w:rsidR="004F74B1">
        <w:rPr>
          <w:rStyle w:val="FootnoteReference"/>
          <w:rFonts w:ascii="Times New Roman" w:eastAsia="Times New Roman" w:hAnsi="Times New Roman" w:cs="Times New Roman"/>
        </w:rPr>
        <w:footnoteReference w:id="37"/>
      </w:r>
    </w:p>
    <w:p w14:paraId="0576D80E" w14:textId="3B4B3A26" w:rsidR="004F74B1" w:rsidRDefault="004F74B1" w:rsidP="00D17FFC">
      <w:pPr>
        <w:spacing w:line="360" w:lineRule="auto"/>
        <w:ind w:left="720" w:right="720"/>
        <w:rPr>
          <w:rFonts w:ascii="Times New Roman" w:eastAsia="Times New Roman" w:hAnsi="Times New Roman" w:cs="Times New Roman"/>
        </w:rPr>
      </w:pPr>
    </w:p>
    <w:p w14:paraId="50028BF6" w14:textId="72A8C78D" w:rsidR="004F74B1" w:rsidRDefault="004F74B1" w:rsidP="004F74B1">
      <w:pPr>
        <w:spacing w:line="360" w:lineRule="auto"/>
        <w:rPr>
          <w:rFonts w:ascii="Times New Roman" w:eastAsia="Times New Roman" w:hAnsi="Times New Roman" w:cs="Times New Roman"/>
        </w:rPr>
      </w:pPr>
      <w:r>
        <w:rPr>
          <w:rFonts w:ascii="Times New Roman" w:eastAsia="Times New Roman" w:hAnsi="Times New Roman" w:cs="Times New Roman"/>
        </w:rPr>
        <w:t xml:space="preserve">For Eliezer Ben-Yehuda, the Arab question and the attacks on Zionism in the Arabic press became a central </w:t>
      </w:r>
      <w:r w:rsidR="00B92437">
        <w:rPr>
          <w:rFonts w:ascii="Times New Roman" w:eastAsia="Times New Roman" w:hAnsi="Times New Roman" w:cs="Times New Roman"/>
        </w:rPr>
        <w:t>concern,</w:t>
      </w:r>
      <w:r>
        <w:rPr>
          <w:rFonts w:ascii="Times New Roman" w:eastAsia="Times New Roman" w:hAnsi="Times New Roman" w:cs="Times New Roman"/>
        </w:rPr>
        <w:t xml:space="preserve"> especially after the 1908 revolution. For him, the nationalist tension, as it found expression in the Arabic </w:t>
      </w:r>
      <w:r w:rsidR="00B92437">
        <w:rPr>
          <w:rFonts w:ascii="Times New Roman" w:eastAsia="Times New Roman" w:hAnsi="Times New Roman" w:cs="Times New Roman"/>
        </w:rPr>
        <w:t>news</w:t>
      </w:r>
      <w:r>
        <w:rPr>
          <w:rFonts w:ascii="Times New Roman" w:eastAsia="Times New Roman" w:hAnsi="Times New Roman" w:cs="Times New Roman"/>
        </w:rPr>
        <w:t xml:space="preserve">papers </w:t>
      </w:r>
      <w:proofErr w:type="spellStart"/>
      <w:r>
        <w:rPr>
          <w:rFonts w:ascii="Times New Roman" w:eastAsia="Times New Roman" w:hAnsi="Times New Roman" w:cs="Times New Roman"/>
          <w:i/>
          <w:iCs/>
        </w:rPr>
        <w:t>Falastin</w:t>
      </w:r>
      <w:proofErr w:type="spellEnd"/>
      <w:r>
        <w:rPr>
          <w:rFonts w:ascii="Times New Roman" w:eastAsia="Times New Roman" w:hAnsi="Times New Roman" w:cs="Times New Roman"/>
        </w:rPr>
        <w:t xml:space="preserve"> and </w:t>
      </w:r>
      <w:r>
        <w:rPr>
          <w:rFonts w:ascii="Times New Roman" w:eastAsia="Times New Roman" w:hAnsi="Times New Roman" w:cs="Times New Roman"/>
          <w:i/>
          <w:iCs/>
        </w:rPr>
        <w:t>al-</w:t>
      </w:r>
      <w:proofErr w:type="spellStart"/>
      <w:r>
        <w:rPr>
          <w:rFonts w:ascii="Times New Roman" w:eastAsia="Times New Roman" w:hAnsi="Times New Roman" w:cs="Times New Roman"/>
          <w:i/>
          <w:iCs/>
        </w:rPr>
        <w:t>Karmel</w:t>
      </w:r>
      <w:proofErr w:type="spellEnd"/>
      <w:r>
        <w:rPr>
          <w:rFonts w:ascii="Times New Roman" w:eastAsia="Times New Roman" w:hAnsi="Times New Roman" w:cs="Times New Roman"/>
        </w:rPr>
        <w:t xml:space="preserve">, relegated the Yishuv’s other struggles, including the </w:t>
      </w:r>
      <w:commentRangeStart w:id="33"/>
      <w:r>
        <w:rPr>
          <w:rFonts w:ascii="Times New Roman" w:eastAsia="Times New Roman" w:hAnsi="Times New Roman" w:cs="Times New Roman"/>
        </w:rPr>
        <w:t>struggle between the “Old Yishuv” and the “New Yishuv,”</w:t>
      </w:r>
      <w:commentRangeEnd w:id="33"/>
      <w:r>
        <w:rPr>
          <w:rFonts w:ascii="Times New Roman" w:eastAsia="Times New Roman" w:hAnsi="Times New Roman" w:cs="Times New Roman"/>
        </w:rPr>
        <w:t xml:space="preserve"> to the shadows.</w:t>
      </w:r>
      <w:r>
        <w:rPr>
          <w:rStyle w:val="FootnoteReference"/>
          <w:rFonts w:ascii="Times New Roman" w:eastAsia="Times New Roman" w:hAnsi="Times New Roman" w:cs="Times New Roman"/>
        </w:rPr>
        <w:footnoteReference w:id="38"/>
      </w:r>
      <w:r>
        <w:rPr>
          <w:rStyle w:val="CommentReference"/>
        </w:rPr>
        <w:commentReference w:id="33"/>
      </w:r>
      <w:r w:rsidR="005821EC">
        <w:rPr>
          <w:rFonts w:ascii="Times New Roman" w:eastAsia="Times New Roman" w:hAnsi="Times New Roman" w:cs="Times New Roman"/>
        </w:rPr>
        <w:t xml:space="preserve"> In this conceptual reality, in which the Arabs, he claim</w:t>
      </w:r>
      <w:r w:rsidR="00F76FC0">
        <w:rPr>
          <w:rFonts w:ascii="Times New Roman" w:eastAsia="Times New Roman" w:hAnsi="Times New Roman" w:cs="Times New Roman"/>
        </w:rPr>
        <w:t>ed</w:t>
      </w:r>
      <w:r w:rsidR="005821EC">
        <w:rPr>
          <w:rFonts w:ascii="Times New Roman" w:eastAsia="Times New Roman" w:hAnsi="Times New Roman" w:cs="Times New Roman"/>
        </w:rPr>
        <w:t xml:space="preserve">, </w:t>
      </w:r>
      <w:r w:rsidR="00F76FC0">
        <w:rPr>
          <w:rFonts w:ascii="Times New Roman" w:eastAsia="Times New Roman" w:hAnsi="Times New Roman" w:cs="Times New Roman"/>
        </w:rPr>
        <w:t>took</w:t>
      </w:r>
      <w:r w:rsidR="005821EC">
        <w:rPr>
          <w:rFonts w:ascii="Times New Roman" w:eastAsia="Times New Roman" w:hAnsi="Times New Roman" w:cs="Times New Roman"/>
        </w:rPr>
        <w:t xml:space="preserve"> advantage of every opportunity to attack the Jews under the guide of attacks on the Zionist movement, it </w:t>
      </w:r>
      <w:r w:rsidR="00F76FC0">
        <w:rPr>
          <w:rFonts w:ascii="Times New Roman" w:eastAsia="Times New Roman" w:hAnsi="Times New Roman" w:cs="Times New Roman"/>
        </w:rPr>
        <w:t>was</w:t>
      </w:r>
      <w:r w:rsidR="005821EC">
        <w:rPr>
          <w:rFonts w:ascii="Times New Roman" w:eastAsia="Times New Roman" w:hAnsi="Times New Roman" w:cs="Times New Roman"/>
        </w:rPr>
        <w:t xml:space="preserve"> the Ottoman Empire that ha</w:t>
      </w:r>
      <w:r w:rsidR="00F76FC0">
        <w:rPr>
          <w:rFonts w:ascii="Times New Roman" w:eastAsia="Times New Roman" w:hAnsi="Times New Roman" w:cs="Times New Roman"/>
        </w:rPr>
        <w:t>d</w:t>
      </w:r>
      <w:r w:rsidR="005821EC">
        <w:rPr>
          <w:rFonts w:ascii="Times New Roman" w:eastAsia="Times New Roman" w:hAnsi="Times New Roman" w:cs="Times New Roman"/>
        </w:rPr>
        <w:t xml:space="preserve"> to be the mediator among the nations under its aegis. Ben-Yehuda </w:t>
      </w:r>
      <w:r w:rsidR="00882D4A">
        <w:rPr>
          <w:rFonts w:ascii="Times New Roman" w:eastAsia="Times New Roman" w:hAnsi="Times New Roman" w:cs="Times New Roman"/>
        </w:rPr>
        <w:t>tried</w:t>
      </w:r>
      <w:r w:rsidR="005821EC">
        <w:rPr>
          <w:rFonts w:ascii="Times New Roman" w:eastAsia="Times New Roman" w:hAnsi="Times New Roman" w:cs="Times New Roman"/>
        </w:rPr>
        <w:t xml:space="preserve"> to present Arab activism as separati</w:t>
      </w:r>
      <w:r w:rsidR="00882D4A">
        <w:rPr>
          <w:rFonts w:ascii="Times New Roman" w:eastAsia="Times New Roman" w:hAnsi="Times New Roman" w:cs="Times New Roman"/>
        </w:rPr>
        <w:t>st</w:t>
      </w:r>
      <w:r w:rsidR="005821EC">
        <w:rPr>
          <w:rFonts w:ascii="Times New Roman" w:eastAsia="Times New Roman" w:hAnsi="Times New Roman" w:cs="Times New Roman"/>
        </w:rPr>
        <w:t xml:space="preserve"> activity that endangered the </w:t>
      </w:r>
      <w:r w:rsidR="00882D4A">
        <w:rPr>
          <w:rFonts w:ascii="Times New Roman" w:eastAsia="Times New Roman" w:hAnsi="Times New Roman" w:cs="Times New Roman"/>
        </w:rPr>
        <w:t>integrity</w:t>
      </w:r>
      <w:r w:rsidR="005821EC">
        <w:rPr>
          <w:rFonts w:ascii="Times New Roman" w:eastAsia="Times New Roman" w:hAnsi="Times New Roman" w:cs="Times New Roman"/>
        </w:rPr>
        <w:t xml:space="preserve"> of the Empire, and he argued</w:t>
      </w:r>
      <w:r w:rsidR="00882D4A">
        <w:rPr>
          <w:rFonts w:ascii="Times New Roman" w:eastAsia="Times New Roman" w:hAnsi="Times New Roman" w:cs="Times New Roman"/>
        </w:rPr>
        <w:t xml:space="preserve">, as we have seen, that only by demonstrating the Jews’ loyalty to the Empire can the suspicions that Zionists harbor separatist intent be dissipated. He argued that despite the expressions of hostility from the Arabs, and perhaps precisely because of them, there was a need to arrange for good relations with the country’s Arabs and to strive for understanding and compromise with them. He too, like the Sephardim, distinguished between Muslims and Christians and argued that the Muslims were not really enemies of the Jews. </w:t>
      </w:r>
      <w:r w:rsidR="00F76FC0">
        <w:rPr>
          <w:rFonts w:ascii="Times New Roman" w:eastAsia="Times New Roman" w:hAnsi="Times New Roman" w:cs="Times New Roman"/>
        </w:rPr>
        <w:t xml:space="preserve">Furthermore, he </w:t>
      </w:r>
      <w:r w:rsidR="00882D4A">
        <w:rPr>
          <w:rFonts w:ascii="Times New Roman" w:eastAsia="Times New Roman" w:hAnsi="Times New Roman" w:cs="Times New Roman"/>
        </w:rPr>
        <w:lastRenderedPageBreak/>
        <w:t>initiated some meetings of Jews and Arabs and took part in them himself. Those encounters even matured into a public meeting between representatives of the two communities in November 1914, but that unusual meeting, which included discussion of Jewish</w:t>
      </w:r>
      <w:r w:rsidR="00882D4A">
        <w:rPr>
          <w:rFonts w:ascii="Times New Roman" w:eastAsia="Times New Roman" w:hAnsi="Times New Roman" w:cs="Times New Roman"/>
        </w:rPr>
        <w:softHyphen/>
        <w:t>-Arab relations and the importance of Ottomanization as a key to rapprochement, had no continuation because of the outbreak of war.</w:t>
      </w:r>
      <w:r w:rsidR="00882D4A">
        <w:rPr>
          <w:rStyle w:val="FootnoteReference"/>
          <w:rFonts w:ascii="Times New Roman" w:eastAsia="Times New Roman" w:hAnsi="Times New Roman" w:cs="Times New Roman"/>
        </w:rPr>
        <w:footnoteReference w:id="39"/>
      </w:r>
    </w:p>
    <w:p w14:paraId="10B6C5A4" w14:textId="2A98C978" w:rsidR="00882D4A" w:rsidRDefault="00882D4A" w:rsidP="004F74B1">
      <w:pPr>
        <w:spacing w:line="360" w:lineRule="auto"/>
        <w:rPr>
          <w:rFonts w:ascii="Times New Roman" w:eastAsia="Times New Roman" w:hAnsi="Times New Roman" w:cs="Times New Roman"/>
        </w:rPr>
      </w:pPr>
      <w:r>
        <w:rPr>
          <w:rFonts w:ascii="Times New Roman" w:eastAsia="Times New Roman" w:hAnsi="Times New Roman" w:cs="Times New Roman"/>
        </w:rPr>
        <w:tab/>
        <w:t xml:space="preserve">In this context, we should take note of Ben-Yehuda’s critique of the policy of the Zionist movement and the people of the Second Aliyah, who, in his view, </w:t>
      </w:r>
      <w:r w:rsidR="00612DA1">
        <w:rPr>
          <w:rFonts w:ascii="Times New Roman" w:eastAsia="Times New Roman" w:hAnsi="Times New Roman" w:cs="Times New Roman"/>
        </w:rPr>
        <w:t xml:space="preserve">disparaged the importance of Ottomanization and military service, thus feeding the Arabs’ arguments about the Zionist movement’s anti-patriotism. Like the Sephardi leadership, Ben-Yehuda </w:t>
      </w:r>
      <w:r w:rsidR="00F76FC0">
        <w:rPr>
          <w:rFonts w:ascii="Times New Roman" w:eastAsia="Times New Roman" w:hAnsi="Times New Roman" w:cs="Times New Roman"/>
        </w:rPr>
        <w:t>argued t</w:t>
      </w:r>
      <w:r w:rsidR="00612DA1">
        <w:rPr>
          <w:rFonts w:ascii="Times New Roman" w:eastAsia="Times New Roman" w:hAnsi="Times New Roman" w:cs="Times New Roman"/>
        </w:rPr>
        <w:t>hat the centrality of the principle of the “conquest of labor”—granting preference to Jewish workers—also contributed to heightening the national tension between Jews and Arabs in Palestine.</w:t>
      </w:r>
      <w:r w:rsidR="00612DA1">
        <w:rPr>
          <w:rStyle w:val="FootnoteReference"/>
          <w:rFonts w:ascii="Times New Roman" w:eastAsia="Times New Roman" w:hAnsi="Times New Roman" w:cs="Times New Roman"/>
        </w:rPr>
        <w:footnoteReference w:id="40"/>
      </w:r>
      <w:r w:rsidR="00612DA1">
        <w:rPr>
          <w:rFonts w:ascii="Times New Roman" w:eastAsia="Times New Roman" w:hAnsi="Times New Roman" w:cs="Times New Roman"/>
        </w:rPr>
        <w:t xml:space="preserve"> The arrows of Ben-Yehuda’s criticism were also aimed at parts of the Sephardic leadership, however, especially regarding the question of the establishment of a Jewish-Arab newspaper and </w:t>
      </w:r>
      <w:commentRangeStart w:id="34"/>
      <w:r w:rsidR="00612DA1">
        <w:rPr>
          <w:rFonts w:ascii="Times New Roman" w:eastAsia="Times New Roman" w:hAnsi="Times New Roman" w:cs="Times New Roman"/>
        </w:rPr>
        <w:t>the establishment of the “Ha-</w:t>
      </w:r>
      <w:proofErr w:type="spellStart"/>
      <w:r w:rsidR="00612DA1">
        <w:rPr>
          <w:rFonts w:ascii="Times New Roman" w:eastAsia="Times New Roman" w:hAnsi="Times New Roman" w:cs="Times New Roman"/>
        </w:rPr>
        <w:t>magen</w:t>
      </w:r>
      <w:proofErr w:type="spellEnd"/>
      <w:r w:rsidR="00612DA1">
        <w:rPr>
          <w:rFonts w:ascii="Times New Roman" w:eastAsia="Times New Roman" w:hAnsi="Times New Roman" w:cs="Times New Roman"/>
        </w:rPr>
        <w:t>” association mentioned above.</w:t>
      </w:r>
      <w:commentRangeEnd w:id="34"/>
      <w:r w:rsidR="00612DA1">
        <w:rPr>
          <w:rStyle w:val="CommentReference"/>
          <w:rtl/>
        </w:rPr>
        <w:commentReference w:id="34"/>
      </w:r>
      <w:r w:rsidR="00612DA1">
        <w:rPr>
          <w:rFonts w:ascii="Times New Roman" w:eastAsia="Times New Roman" w:hAnsi="Times New Roman" w:cs="Times New Roman"/>
        </w:rPr>
        <w:t xml:space="preserve"> Ben-Yehuda claimed that </w:t>
      </w:r>
      <w:commentRangeStart w:id="35"/>
      <w:proofErr w:type="spellStart"/>
      <w:r w:rsidR="00612DA1">
        <w:rPr>
          <w:rFonts w:ascii="Times New Roman" w:eastAsia="Times New Roman" w:hAnsi="Times New Roman" w:cs="Times New Roman"/>
        </w:rPr>
        <w:t>Moyal</w:t>
      </w:r>
      <w:proofErr w:type="spellEnd"/>
      <w:r w:rsidR="00612DA1">
        <w:rPr>
          <w:rFonts w:ascii="Times New Roman" w:eastAsia="Times New Roman" w:hAnsi="Times New Roman" w:cs="Times New Roman"/>
        </w:rPr>
        <w:t xml:space="preserve">, </w:t>
      </w:r>
      <w:proofErr w:type="spellStart"/>
      <w:r w:rsidR="00612DA1">
        <w:rPr>
          <w:rFonts w:ascii="Times New Roman" w:eastAsia="Times New Roman" w:hAnsi="Times New Roman" w:cs="Times New Roman"/>
        </w:rPr>
        <w:t>Melul</w:t>
      </w:r>
      <w:proofErr w:type="spellEnd"/>
      <w:r w:rsidR="00612DA1">
        <w:rPr>
          <w:rFonts w:ascii="Times New Roman" w:eastAsia="Times New Roman" w:hAnsi="Times New Roman" w:cs="Times New Roman"/>
        </w:rPr>
        <w:t>, and their friends</w:t>
      </w:r>
      <w:commentRangeEnd w:id="35"/>
      <w:r w:rsidR="00AA0899">
        <w:rPr>
          <w:rStyle w:val="CommentReference"/>
        </w:rPr>
        <w:commentReference w:id="35"/>
      </w:r>
      <w:r w:rsidR="00612DA1">
        <w:rPr>
          <w:rFonts w:ascii="Times New Roman" w:eastAsia="Times New Roman" w:hAnsi="Times New Roman" w:cs="Times New Roman"/>
        </w:rPr>
        <w:t xml:space="preserve"> </w:t>
      </w:r>
      <w:r w:rsidR="00AA0899">
        <w:rPr>
          <w:rFonts w:ascii="Times New Roman" w:eastAsia="Times New Roman" w:hAnsi="Times New Roman" w:cs="Times New Roman"/>
        </w:rPr>
        <w:t>preached a Sephardi-Jewish romantic nationalism that would contribute to the</w:t>
      </w:r>
      <w:r w:rsidR="00164AA8">
        <w:rPr>
          <w:rFonts w:ascii="Times New Roman" w:eastAsia="Times New Roman" w:hAnsi="Times New Roman" w:cs="Times New Roman"/>
        </w:rPr>
        <w:t xml:space="preserve"> Sephardi</w:t>
      </w:r>
      <w:r w:rsidR="00AA0899">
        <w:rPr>
          <w:rFonts w:ascii="Times New Roman" w:eastAsia="Times New Roman" w:hAnsi="Times New Roman" w:cs="Times New Roman"/>
        </w:rPr>
        <w:t xml:space="preserve"> Jews’ assimilation</w:t>
      </w:r>
      <w:r w:rsidR="00164AA8">
        <w:rPr>
          <w:rFonts w:ascii="Times New Roman" w:eastAsia="Times New Roman" w:hAnsi="Times New Roman" w:cs="Times New Roman"/>
        </w:rPr>
        <w:t xml:space="preserve"> into Arab society.</w:t>
      </w:r>
      <w:r w:rsidR="00164AA8">
        <w:rPr>
          <w:rStyle w:val="FootnoteReference"/>
          <w:rFonts w:ascii="Times New Roman" w:eastAsia="Times New Roman" w:hAnsi="Times New Roman" w:cs="Times New Roman"/>
        </w:rPr>
        <w:footnoteReference w:id="41"/>
      </w:r>
      <w:r w:rsidR="00164AA8">
        <w:rPr>
          <w:rFonts w:ascii="Times New Roman" w:eastAsia="Times New Roman" w:hAnsi="Times New Roman" w:cs="Times New Roman"/>
        </w:rPr>
        <w:t xml:space="preserve"> It is evident, then, how the questions about Ottomanization, Zion</w:t>
      </w:r>
      <w:r w:rsidR="00F76FC0">
        <w:rPr>
          <w:rFonts w:ascii="Times New Roman" w:eastAsia="Times New Roman" w:hAnsi="Times New Roman" w:cs="Times New Roman"/>
        </w:rPr>
        <w:t>i</w:t>
      </w:r>
      <w:r w:rsidR="00164AA8">
        <w:rPr>
          <w:rFonts w:ascii="Times New Roman" w:eastAsia="Times New Roman" w:hAnsi="Times New Roman" w:cs="Times New Roman"/>
        </w:rPr>
        <w:t>sm, and attitudes toward the Arabs are bound together and reveal the tensions and divisions among various groups in the Yishuv in the last days of the Ottoman period.</w:t>
      </w:r>
    </w:p>
    <w:p w14:paraId="664943E8" w14:textId="23BF13EB" w:rsidR="00164AA8" w:rsidRDefault="00164AA8" w:rsidP="004F74B1">
      <w:pPr>
        <w:spacing w:line="360" w:lineRule="auto"/>
        <w:rPr>
          <w:rFonts w:ascii="Times New Roman" w:eastAsia="Times New Roman" w:hAnsi="Times New Roman" w:cs="Times New Roman"/>
        </w:rPr>
      </w:pPr>
    </w:p>
    <w:p w14:paraId="746BE2C7" w14:textId="74CB8034" w:rsidR="00164AA8" w:rsidRDefault="00164AA8" w:rsidP="004F74B1">
      <w:pPr>
        <w:spacing w:line="360" w:lineRule="auto"/>
        <w:rPr>
          <w:rFonts w:ascii="Times New Roman" w:eastAsia="Times New Roman" w:hAnsi="Times New Roman" w:cs="Times New Roman"/>
          <w:b/>
          <w:bCs/>
        </w:rPr>
      </w:pPr>
      <w:r>
        <w:rPr>
          <w:rFonts w:ascii="Times New Roman" w:eastAsia="Times New Roman" w:hAnsi="Times New Roman" w:cs="Times New Roman"/>
          <w:b/>
          <w:bCs/>
        </w:rPr>
        <w:t>Ottomanization, Zionism, and the Empire</w:t>
      </w:r>
    </w:p>
    <w:p w14:paraId="3E0246BF" w14:textId="64664D43" w:rsidR="00164AA8" w:rsidRDefault="00164AA8" w:rsidP="004F74B1">
      <w:pPr>
        <w:spacing w:line="360" w:lineRule="auto"/>
        <w:rPr>
          <w:rFonts w:ascii="Times New Roman" w:eastAsia="Times New Roman" w:hAnsi="Times New Roman" w:cs="Times New Roman"/>
        </w:rPr>
      </w:pPr>
      <w:r w:rsidRPr="00164AA8">
        <w:rPr>
          <w:rFonts w:ascii="Times New Roman" w:eastAsia="Times New Roman" w:hAnsi="Times New Roman" w:cs="Times New Roman"/>
        </w:rPr>
        <w:t xml:space="preserve">The three </w:t>
      </w:r>
      <w:r>
        <w:rPr>
          <w:rFonts w:ascii="Times New Roman" w:eastAsia="Times New Roman" w:hAnsi="Times New Roman" w:cs="Times New Roman"/>
        </w:rPr>
        <w:t xml:space="preserve">Ottomanization trends surveyed above, with all their similarities and differences, emerged from an assumption </w:t>
      </w:r>
      <w:r w:rsidR="00291465">
        <w:rPr>
          <w:rFonts w:ascii="Times New Roman" w:eastAsia="Times New Roman" w:hAnsi="Times New Roman" w:cs="Times New Roman"/>
        </w:rPr>
        <w:t xml:space="preserve">that in the historical conditions created after the 1908 revolution, </w:t>
      </w:r>
      <w:r w:rsidR="00291465">
        <w:rPr>
          <w:rFonts w:ascii="Times New Roman" w:eastAsia="Times New Roman" w:hAnsi="Times New Roman" w:cs="Times New Roman"/>
        </w:rPr>
        <w:lastRenderedPageBreak/>
        <w:t>the Ottoman Empire was the best organizing framework for fulfilling the national aspirations of the Jewish community in Palestine. The calls for Ottomanization, which resulted from different motives and different historical moments (urgent naturalization with the outbreak of war versus the early calls for Ottomanization by Ben-Yehuda and the Sephardi leadership), emphasized the vital importance of Ottoman citizenship for creat</w:t>
      </w:r>
      <w:r w:rsidR="00F76FC0">
        <w:rPr>
          <w:rFonts w:ascii="Times New Roman" w:eastAsia="Times New Roman" w:hAnsi="Times New Roman" w:cs="Times New Roman"/>
        </w:rPr>
        <w:t>ing</w:t>
      </w:r>
      <w:r w:rsidR="00291465">
        <w:rPr>
          <w:rFonts w:ascii="Times New Roman" w:eastAsia="Times New Roman" w:hAnsi="Times New Roman" w:cs="Times New Roman"/>
        </w:rPr>
        <w:t xml:space="preserve"> a solid basis for the Yishuv. However, not all of these trends offered a precise plan for actualizing Jewish nationalism in Palestine. Ben-Gurion and Ben-</w:t>
      </w:r>
      <w:proofErr w:type="spellStart"/>
      <w:r w:rsidR="00291465">
        <w:rPr>
          <w:rFonts w:ascii="Times New Roman" w:eastAsia="Times New Roman" w:hAnsi="Times New Roman" w:cs="Times New Roman"/>
        </w:rPr>
        <w:t>Zvi</w:t>
      </w:r>
      <w:proofErr w:type="spellEnd"/>
      <w:r w:rsidR="00291465">
        <w:rPr>
          <w:rFonts w:ascii="Times New Roman" w:eastAsia="Times New Roman" w:hAnsi="Times New Roman" w:cs="Times New Roman"/>
        </w:rPr>
        <w:t xml:space="preserve"> </w:t>
      </w:r>
      <w:r w:rsidR="00645080">
        <w:rPr>
          <w:rFonts w:ascii="Times New Roman" w:eastAsia="Times New Roman" w:hAnsi="Times New Roman" w:cs="Times New Roman"/>
        </w:rPr>
        <w:t xml:space="preserve">perceived the Yishuv </w:t>
      </w:r>
      <w:r w:rsidR="00F76FC0">
        <w:rPr>
          <w:rFonts w:ascii="Times New Roman" w:eastAsia="Times New Roman" w:hAnsi="Times New Roman" w:cs="Times New Roman"/>
        </w:rPr>
        <w:t>as</w:t>
      </w:r>
      <w:r w:rsidR="00645080">
        <w:rPr>
          <w:rFonts w:ascii="Times New Roman" w:eastAsia="Times New Roman" w:hAnsi="Times New Roman" w:cs="Times New Roman"/>
        </w:rPr>
        <w:t xml:space="preserve"> part of the Ottoman Empire, a loyal part that fulfilled its civil obligations in a multi-national empire. The essence of Palestine’s Jewish community was indeed Jewish national activity</w:t>
      </w:r>
      <w:r w:rsidR="00F76FC0">
        <w:rPr>
          <w:rFonts w:ascii="Times New Roman" w:eastAsia="Times New Roman" w:hAnsi="Times New Roman" w:cs="Times New Roman"/>
        </w:rPr>
        <w:t>,</w:t>
      </w:r>
      <w:r w:rsidR="00645080">
        <w:rPr>
          <w:rFonts w:ascii="Times New Roman" w:eastAsia="Times New Roman" w:hAnsi="Times New Roman" w:cs="Times New Roman"/>
        </w:rPr>
        <w:t xml:space="preserve"> and all Jewish settlement in Palestine bore a national stamp, but, Ben-Gurion argued, that does not conflict with </w:t>
      </w:r>
      <w:r w:rsidR="00F76FC0">
        <w:rPr>
          <w:rFonts w:ascii="Times New Roman" w:eastAsia="Times New Roman" w:hAnsi="Times New Roman" w:cs="Times New Roman"/>
        </w:rPr>
        <w:t>I</w:t>
      </w:r>
      <w:r w:rsidR="00645080">
        <w:rPr>
          <w:rFonts w:ascii="Times New Roman" w:eastAsia="Times New Roman" w:hAnsi="Times New Roman" w:cs="Times New Roman"/>
        </w:rPr>
        <w:t>mperial interests, because from a political perspective, the Yishuv was an Ottoman civilian collective and an integral part of Turkey.</w:t>
      </w:r>
      <w:r w:rsidR="00645080">
        <w:rPr>
          <w:rStyle w:val="FootnoteReference"/>
          <w:rFonts w:ascii="Times New Roman" w:eastAsia="Times New Roman" w:hAnsi="Times New Roman" w:cs="Times New Roman"/>
        </w:rPr>
        <w:footnoteReference w:id="42"/>
      </w:r>
      <w:r w:rsidR="00645080">
        <w:rPr>
          <w:rFonts w:ascii="Times New Roman" w:eastAsia="Times New Roman" w:hAnsi="Times New Roman" w:cs="Times New Roman"/>
        </w:rPr>
        <w:t xml:space="preserve"> As </w:t>
      </w:r>
      <w:proofErr w:type="spellStart"/>
      <w:r w:rsidR="00645080">
        <w:rPr>
          <w:rFonts w:ascii="Times New Roman" w:eastAsia="Times New Roman" w:hAnsi="Times New Roman" w:cs="Times New Roman"/>
        </w:rPr>
        <w:t>Yisrael</w:t>
      </w:r>
      <w:proofErr w:type="spellEnd"/>
      <w:r w:rsidR="00645080">
        <w:rPr>
          <w:rFonts w:ascii="Times New Roman" w:eastAsia="Times New Roman" w:hAnsi="Times New Roman" w:cs="Times New Roman"/>
        </w:rPr>
        <w:t xml:space="preserve"> </w:t>
      </w:r>
      <w:proofErr w:type="spellStart"/>
      <w:r w:rsidR="00645080">
        <w:rPr>
          <w:rFonts w:ascii="Times New Roman" w:eastAsia="Times New Roman" w:hAnsi="Times New Roman" w:cs="Times New Roman"/>
        </w:rPr>
        <w:t>Bartal</w:t>
      </w:r>
      <w:proofErr w:type="spellEnd"/>
      <w:r w:rsidR="00645080">
        <w:rPr>
          <w:rFonts w:ascii="Times New Roman" w:eastAsia="Times New Roman" w:hAnsi="Times New Roman" w:cs="Times New Roman"/>
        </w:rPr>
        <w:t xml:space="preserve"> has maintained, for Ben-Gurion and Ben-</w:t>
      </w:r>
      <w:proofErr w:type="spellStart"/>
      <w:r w:rsidR="00645080">
        <w:rPr>
          <w:rFonts w:ascii="Times New Roman" w:eastAsia="Times New Roman" w:hAnsi="Times New Roman" w:cs="Times New Roman"/>
        </w:rPr>
        <w:t>Zvi</w:t>
      </w:r>
      <w:proofErr w:type="spellEnd"/>
      <w:r w:rsidR="00645080">
        <w:rPr>
          <w:rFonts w:ascii="Times New Roman" w:eastAsia="Times New Roman" w:hAnsi="Times New Roman" w:cs="Times New Roman"/>
        </w:rPr>
        <w:t>, the future of the Yishuv was tied to the existence of a multi-national state.</w:t>
      </w:r>
      <w:r w:rsidR="008248E7">
        <w:rPr>
          <w:rFonts w:ascii="Times New Roman" w:eastAsia="Times New Roman" w:hAnsi="Times New Roman" w:cs="Times New Roman"/>
        </w:rPr>
        <w:t xml:space="preserve"> Their concept of the Yishuv as essentially a national entity striving for territorial autonomy within the context of the Empire integrates the </w:t>
      </w:r>
      <w:proofErr w:type="spellStart"/>
      <w:r w:rsidR="008248E7">
        <w:rPr>
          <w:rFonts w:ascii="Times New Roman" w:eastAsia="Times New Roman" w:hAnsi="Times New Roman" w:cs="Times New Roman"/>
        </w:rPr>
        <w:t>autonomistic</w:t>
      </w:r>
      <w:proofErr w:type="spellEnd"/>
      <w:r w:rsidR="008248E7">
        <w:rPr>
          <w:rFonts w:ascii="Times New Roman" w:eastAsia="Times New Roman" w:hAnsi="Times New Roman" w:cs="Times New Roman"/>
        </w:rPr>
        <w:t xml:space="preserve"> Zionist idea with the </w:t>
      </w:r>
      <w:proofErr w:type="spellStart"/>
      <w:r w:rsidR="008248E7">
        <w:rPr>
          <w:rFonts w:ascii="Times New Roman" w:eastAsia="Times New Roman" w:hAnsi="Times New Roman" w:cs="Times New Roman"/>
        </w:rPr>
        <w:t>Territorialist</w:t>
      </w:r>
      <w:proofErr w:type="spellEnd"/>
      <w:r w:rsidR="008248E7">
        <w:rPr>
          <w:rFonts w:ascii="Times New Roman" w:eastAsia="Times New Roman" w:hAnsi="Times New Roman" w:cs="Times New Roman"/>
        </w:rPr>
        <w:t xml:space="preserve"> idea.</w:t>
      </w:r>
      <w:r w:rsidR="008248E7">
        <w:rPr>
          <w:rStyle w:val="FootnoteReference"/>
          <w:rFonts w:ascii="Times New Roman" w:eastAsia="Times New Roman" w:hAnsi="Times New Roman" w:cs="Times New Roman"/>
        </w:rPr>
        <w:footnoteReference w:id="43"/>
      </w:r>
      <w:r w:rsidR="008248E7">
        <w:rPr>
          <w:rFonts w:ascii="Times New Roman" w:eastAsia="Times New Roman" w:hAnsi="Times New Roman" w:cs="Times New Roman"/>
        </w:rPr>
        <w:t xml:space="preserve"> The Ottoman </w:t>
      </w:r>
      <w:r w:rsidR="007807B7">
        <w:rPr>
          <w:rFonts w:ascii="Times New Roman" w:eastAsia="Times New Roman" w:hAnsi="Times New Roman" w:cs="Times New Roman"/>
        </w:rPr>
        <w:t>Empire was central, of course, in the view of the Sephardim as well, but they did not present an elaborated plan and vision for the political future of Palestine.</w:t>
      </w:r>
      <w:r w:rsidR="007807B7">
        <w:rPr>
          <w:rStyle w:val="FootnoteReference"/>
          <w:rFonts w:ascii="Times New Roman" w:eastAsia="Times New Roman" w:hAnsi="Times New Roman" w:cs="Times New Roman"/>
        </w:rPr>
        <w:footnoteReference w:id="44"/>
      </w:r>
      <w:r w:rsidR="001926F7">
        <w:rPr>
          <w:rFonts w:ascii="Times New Roman" w:eastAsia="Times New Roman" w:hAnsi="Times New Roman" w:cs="Times New Roman"/>
        </w:rPr>
        <w:t xml:space="preserve"> It is almost certain that they too regarded the imperial regime as a</w:t>
      </w:r>
      <w:r w:rsidR="00F76FC0">
        <w:rPr>
          <w:rFonts w:ascii="Times New Roman" w:eastAsia="Times New Roman" w:hAnsi="Times New Roman" w:cs="Times New Roman"/>
        </w:rPr>
        <w:t>n</w:t>
      </w:r>
      <w:r w:rsidR="001926F7">
        <w:rPr>
          <w:rFonts w:ascii="Times New Roman" w:eastAsia="Times New Roman" w:hAnsi="Times New Roman" w:cs="Times New Roman"/>
        </w:rPr>
        <w:t xml:space="preserve"> overall framework that would make it possible to sustain the Jewish community in Palestine. Ben-Yehuda thought that the Yishuv (the Jewish entity) must integrate politically within the Arab sphere and live there alongside similar entities under imperial dominance, with protection for its national rights.</w:t>
      </w:r>
      <w:r w:rsidR="001926F7">
        <w:rPr>
          <w:rStyle w:val="FootnoteReference"/>
          <w:rFonts w:ascii="Times New Roman" w:eastAsia="Times New Roman" w:hAnsi="Times New Roman" w:cs="Times New Roman"/>
        </w:rPr>
        <w:footnoteReference w:id="45"/>
      </w:r>
    </w:p>
    <w:p w14:paraId="56BEEB9A" w14:textId="06C5519D" w:rsidR="009327BD" w:rsidRDefault="001926F7" w:rsidP="004F74B1">
      <w:pPr>
        <w:spacing w:line="360" w:lineRule="auto"/>
        <w:rPr>
          <w:rFonts w:ascii="Times New Roman" w:eastAsia="Times New Roman" w:hAnsi="Times New Roman" w:cs="Times New Roman"/>
        </w:rPr>
      </w:pPr>
      <w:r>
        <w:rPr>
          <w:rFonts w:ascii="Times New Roman" w:eastAsia="Times New Roman" w:hAnsi="Times New Roman" w:cs="Times New Roman"/>
        </w:rPr>
        <w:lastRenderedPageBreak/>
        <w:tab/>
      </w:r>
      <w:r w:rsidR="001B4046">
        <w:rPr>
          <w:rFonts w:ascii="Times New Roman" w:eastAsia="Times New Roman" w:hAnsi="Times New Roman" w:cs="Times New Roman"/>
        </w:rPr>
        <w:t>What, then, would become of the Arab inhabitants of Palestine, who were the majority of the country’s population, according to these approaches? In Ben-Gurion’s conception, even though the Arabs were a majority of the country’s inhabitants (according to Ben-Gurion, in 1915 500,000 Muslims lived in Palestine, 100,000 Christians, and 90,000 Jews), “Palestine is at present is</w:t>
      </w:r>
      <w:r w:rsidR="001D501A">
        <w:rPr>
          <w:rFonts w:ascii="Times New Roman" w:eastAsia="Times New Roman" w:hAnsi="Times New Roman" w:cs="Times New Roman"/>
        </w:rPr>
        <w:t xml:space="preserve"> semi-desolate and in ruins, and the small Arab element is unable to revive the country and raise it from its destruction. […] The Arab is not trained for proper labor and does not know how to produce from his work the full possible advantage. […] The country still awaits a cultured</w:t>
      </w:r>
      <w:r w:rsidR="00142266">
        <w:rPr>
          <w:rFonts w:ascii="Times New Roman" w:eastAsia="Times New Roman" w:hAnsi="Times New Roman" w:cs="Times New Roman"/>
        </w:rPr>
        <w:t xml:space="preserve"> people</w:t>
      </w:r>
      <w:r w:rsidR="001D501A">
        <w:rPr>
          <w:rFonts w:ascii="Times New Roman" w:eastAsia="Times New Roman" w:hAnsi="Times New Roman" w:cs="Times New Roman"/>
        </w:rPr>
        <w:t xml:space="preserve">, </w:t>
      </w:r>
      <w:r w:rsidR="00142266">
        <w:rPr>
          <w:rFonts w:ascii="Times New Roman" w:eastAsia="Times New Roman" w:hAnsi="Times New Roman" w:cs="Times New Roman"/>
        </w:rPr>
        <w:t>hardworking, rich in material and spiritual strengths, armed with science and modern technology</w:t>
      </w:r>
      <w:r w:rsidR="00F76FC0">
        <w:rPr>
          <w:rFonts w:ascii="Times New Roman" w:eastAsia="Times New Roman" w:hAnsi="Times New Roman" w:cs="Times New Roman"/>
        </w:rPr>
        <w:t>,</w:t>
      </w:r>
      <w:r w:rsidR="00142266">
        <w:rPr>
          <w:rFonts w:ascii="Times New Roman" w:eastAsia="Times New Roman" w:hAnsi="Times New Roman" w:cs="Times New Roman"/>
        </w:rPr>
        <w:t xml:space="preserve"> to come take hold of it.”</w:t>
      </w:r>
      <w:r w:rsidR="00142266">
        <w:rPr>
          <w:rStyle w:val="FootnoteReference"/>
          <w:rFonts w:ascii="Times New Roman" w:eastAsia="Times New Roman" w:hAnsi="Times New Roman" w:cs="Times New Roman"/>
        </w:rPr>
        <w:footnoteReference w:id="46"/>
      </w:r>
      <w:r w:rsidR="00142266">
        <w:rPr>
          <w:rFonts w:ascii="Times New Roman" w:eastAsia="Times New Roman" w:hAnsi="Times New Roman" w:cs="Times New Roman"/>
        </w:rPr>
        <w:t xml:space="preserve"> The Jewish community’s intentions and goals were not opposed to those of the Arab community. The Jewish community did not intend to wrest the Arabs’</w:t>
      </w:r>
      <w:r w:rsidR="00F76FC0">
        <w:rPr>
          <w:rFonts w:ascii="Times New Roman" w:eastAsia="Times New Roman" w:hAnsi="Times New Roman" w:cs="Times New Roman" w:hint="cs"/>
          <w:rtl/>
        </w:rPr>
        <w:t xml:space="preserve"> </w:t>
      </w:r>
      <w:r w:rsidR="00F76FC0">
        <w:rPr>
          <w:rFonts w:ascii="Times New Roman" w:eastAsia="Times New Roman" w:hAnsi="Times New Roman" w:cs="Times New Roman"/>
        </w:rPr>
        <w:t xml:space="preserve">land from them or force them off it, but rather to revive the country, to realize its potential for habitation and produce a maximum of economic benefit from it. Jewish settlement would thus revive the land and its inhabitants, Jews and Arabs as one, and “rescue the Arab community from economic hardship, lift it up from its low social level, and free it from its bodily and moral degeneracy.” </w:t>
      </w:r>
      <w:r w:rsidR="009327BD">
        <w:rPr>
          <w:rStyle w:val="FootnoteReference"/>
          <w:rFonts w:ascii="Times New Roman" w:eastAsia="Times New Roman" w:hAnsi="Times New Roman" w:cs="Times New Roman"/>
        </w:rPr>
        <w:footnoteReference w:id="47"/>
      </w:r>
      <w:r w:rsidR="00142266">
        <w:rPr>
          <w:rFonts w:ascii="Times New Roman" w:eastAsia="Times New Roman" w:hAnsi="Times New Roman" w:cs="Times New Roman"/>
        </w:rPr>
        <w:t xml:space="preserve"> </w:t>
      </w:r>
      <w:r w:rsidR="009327BD">
        <w:rPr>
          <w:rFonts w:ascii="Times New Roman" w:eastAsia="Times New Roman" w:hAnsi="Times New Roman" w:cs="Times New Roman"/>
        </w:rPr>
        <w:t>The land would be conquered by building it, says Ben-Gurion in conclusion.</w:t>
      </w:r>
      <w:r w:rsidR="009327BD">
        <w:rPr>
          <w:rStyle w:val="FootnoteReference"/>
          <w:rFonts w:ascii="Times New Roman" w:eastAsia="Times New Roman" w:hAnsi="Times New Roman" w:cs="Times New Roman"/>
        </w:rPr>
        <w:footnoteReference w:id="48"/>
      </w:r>
      <w:r w:rsidR="009327BD">
        <w:rPr>
          <w:rFonts w:ascii="Times New Roman" w:eastAsia="Times New Roman" w:hAnsi="Times New Roman" w:cs="Times New Roman"/>
        </w:rPr>
        <w:t xml:space="preserve"> Despite his denial of the dispossession entailed by the Zionist project, the colonialist tone in his words is blatant. The Sephardim, as noted above, presented a more conciliatory and inclusive </w:t>
      </w:r>
      <w:r w:rsidR="00F76FC0">
        <w:rPr>
          <w:rFonts w:ascii="Times New Roman" w:eastAsia="Times New Roman" w:hAnsi="Times New Roman" w:cs="Times New Roman"/>
        </w:rPr>
        <w:t>perception of</w:t>
      </w:r>
      <w:r w:rsidR="009327BD">
        <w:rPr>
          <w:rFonts w:ascii="Times New Roman" w:eastAsia="Times New Roman" w:hAnsi="Times New Roman" w:cs="Times New Roman"/>
        </w:rPr>
        <w:t xml:space="preserve"> the Arabs. The haughty, condescending tone th</w:t>
      </w:r>
      <w:r w:rsidR="00F76FC0">
        <w:rPr>
          <w:rFonts w:ascii="Times New Roman" w:eastAsia="Times New Roman" w:hAnsi="Times New Roman" w:cs="Times New Roman"/>
        </w:rPr>
        <w:t>at</w:t>
      </w:r>
      <w:r w:rsidR="009327BD">
        <w:rPr>
          <w:rFonts w:ascii="Times New Roman" w:eastAsia="Times New Roman" w:hAnsi="Times New Roman" w:cs="Times New Roman"/>
        </w:rPr>
        <w:t xml:space="preserve"> characterizes Ben-Gurion’s writing did not pass them by, as we have stated, but in my </w:t>
      </w:r>
      <w:proofErr w:type="gramStart"/>
      <w:r w:rsidR="009327BD">
        <w:rPr>
          <w:rFonts w:ascii="Times New Roman" w:eastAsia="Times New Roman" w:hAnsi="Times New Roman" w:cs="Times New Roman"/>
        </w:rPr>
        <w:t>opinion</w:t>
      </w:r>
      <w:proofErr w:type="gramEnd"/>
      <w:r w:rsidR="009327BD">
        <w:rPr>
          <w:rFonts w:ascii="Times New Roman" w:eastAsia="Times New Roman" w:hAnsi="Times New Roman" w:cs="Times New Roman"/>
        </w:rPr>
        <w:t xml:space="preserve"> they still attributed greater valence to the centrality of the question of relations between Jews and Arabs in Palestine and to the urgent need to set them in order. The same conciliatory tone can be found in Ben-Yehuda as well.</w:t>
      </w:r>
    </w:p>
    <w:p w14:paraId="059999BB" w14:textId="6567868D" w:rsidR="00B23F57" w:rsidRDefault="00B23F57" w:rsidP="004F74B1">
      <w:pPr>
        <w:spacing w:line="360" w:lineRule="auto"/>
        <w:rPr>
          <w:rFonts w:ascii="Times New Roman" w:eastAsia="Times New Roman" w:hAnsi="Times New Roman" w:cs="Times New Roman"/>
          <w:rtl/>
        </w:rPr>
      </w:pPr>
      <w:r>
        <w:rPr>
          <w:rFonts w:ascii="Times New Roman" w:eastAsia="Times New Roman" w:hAnsi="Times New Roman" w:cs="Times New Roman"/>
        </w:rPr>
        <w:tab/>
        <w:t>The question of Ottomanization and loyalty to the Empire opens up a window to a wider discussion, which extends beyond the bounds of the Palestinian test case. It is interesting to note in this context that in the same period, the question of naturalization was on the agenda in other national contexts as well.</w:t>
      </w:r>
      <w:r w:rsidR="00EE7918">
        <w:rPr>
          <w:rFonts w:ascii="Times New Roman" w:eastAsia="Times New Roman" w:hAnsi="Times New Roman" w:cs="Times New Roman"/>
        </w:rPr>
        <w:t xml:space="preserve"> In 1912, in the wake of the war between the Ottoman Empire and Italy, “the Italian question” came to the fore in the Empire, and residents who were Italian nationals, </w:t>
      </w:r>
      <w:r w:rsidR="00EE7918">
        <w:rPr>
          <w:rFonts w:ascii="Times New Roman" w:eastAsia="Times New Roman" w:hAnsi="Times New Roman" w:cs="Times New Roman"/>
        </w:rPr>
        <w:lastRenderedPageBreak/>
        <w:t>many of them Jews, were expelled. The way to avoid expulsion was to adopt Ottoman nationality, a solution that could have been relevant to Italian Jews in particular.</w:t>
      </w:r>
      <w:r w:rsidR="00EE7918">
        <w:rPr>
          <w:rStyle w:val="FootnoteReference"/>
          <w:rFonts w:ascii="Times New Roman" w:eastAsia="Times New Roman" w:hAnsi="Times New Roman" w:cs="Times New Roman"/>
        </w:rPr>
        <w:footnoteReference w:id="49"/>
      </w:r>
      <w:r w:rsidR="00EE7918">
        <w:rPr>
          <w:rFonts w:ascii="Times New Roman" w:eastAsia="Times New Roman" w:hAnsi="Times New Roman" w:cs="Times New Roman"/>
        </w:rPr>
        <w:t xml:space="preserve"> A very different instance is that of the Levantines, Catholics of several nations (among them Italians, French, Greeks, Germans, and Britons) who had lived for centuries in Istanbul and Izmir. They were not Ottoman nationals, but enjoyed the Capitulation privileges and the protection of various states </w:t>
      </w:r>
      <w:r w:rsidR="00D06DC1">
        <w:rPr>
          <w:rFonts w:ascii="Times New Roman" w:eastAsia="Times New Roman" w:hAnsi="Times New Roman" w:cs="Times New Roman"/>
        </w:rPr>
        <w:t>even though they were not their citizens. With the abrogation of the Capitulations in 1914, they were given the choice of becoming Ottomans or leaving the Empire. Few chose the former option</w:t>
      </w:r>
      <w:r w:rsidR="00AF7417">
        <w:rPr>
          <w:rFonts w:ascii="Times New Roman" w:eastAsia="Times New Roman" w:hAnsi="Times New Roman" w:cs="Times New Roman"/>
        </w:rPr>
        <w:t>; most</w:t>
      </w:r>
      <w:r w:rsidR="00D06DC1">
        <w:rPr>
          <w:rFonts w:ascii="Times New Roman" w:eastAsia="Times New Roman" w:hAnsi="Times New Roman" w:cs="Times New Roman"/>
        </w:rPr>
        <w:t xml:space="preserve"> adopted French or Italian citizenship and left the Imperial realm.</w:t>
      </w:r>
      <w:r w:rsidR="00D06DC1">
        <w:rPr>
          <w:rStyle w:val="FootnoteReference"/>
          <w:rFonts w:ascii="Times New Roman" w:eastAsia="Times New Roman" w:hAnsi="Times New Roman" w:cs="Times New Roman"/>
        </w:rPr>
        <w:footnoteReference w:id="50"/>
      </w:r>
    </w:p>
    <w:p w14:paraId="2AD8854D" w14:textId="763A886D" w:rsidR="00D06DC1" w:rsidRDefault="00D06DC1" w:rsidP="004F74B1">
      <w:pPr>
        <w:spacing w:line="360" w:lineRule="auto"/>
        <w:rPr>
          <w:rFonts w:ascii="Times New Roman" w:eastAsia="Times New Roman" w:hAnsi="Times New Roman" w:cs="Times New Roman"/>
        </w:rPr>
      </w:pPr>
      <w:r>
        <w:rPr>
          <w:rFonts w:ascii="Times New Roman" w:eastAsia="Times New Roman" w:hAnsi="Times New Roman" w:cs="Times New Roman"/>
          <w:rtl/>
        </w:rPr>
        <w:tab/>
      </w:r>
      <w:r>
        <w:rPr>
          <w:rFonts w:ascii="Times New Roman" w:eastAsia="Times New Roman" w:hAnsi="Times New Roman" w:cs="Times New Roman"/>
        </w:rPr>
        <w:t xml:space="preserve">In the context of Palestine, the question of Ottomanization serves as a concrete example of the complexity </w:t>
      </w:r>
      <w:r w:rsidR="00FE5B49">
        <w:rPr>
          <w:rFonts w:ascii="Times New Roman" w:eastAsia="Times New Roman" w:hAnsi="Times New Roman" w:cs="Times New Roman"/>
        </w:rPr>
        <w:t xml:space="preserve">of relations between the Empire and the Zionist movement and the multiple Zionist concepts that were current in the Yishuv at that time. This question connects the topic of imperial citizenship to the question of national existence in the framework of a multi-national empire, distinguishes between citizenship and national identity, and sharpens the distinctions between different parts of the Jewish community in regard to the future of relations between Jews and Arabs in Palestine. In addition, through the discussion of this question one can locate additional tensions in the matrix of the complex relations among the groups </w:t>
      </w:r>
      <w:r w:rsidR="00AF7417">
        <w:rPr>
          <w:rFonts w:ascii="Times New Roman" w:eastAsia="Times New Roman" w:hAnsi="Times New Roman" w:cs="Times New Roman"/>
        </w:rPr>
        <w:t>that</w:t>
      </w:r>
      <w:r w:rsidR="00FE5B49">
        <w:rPr>
          <w:rFonts w:ascii="Times New Roman" w:eastAsia="Times New Roman" w:hAnsi="Times New Roman" w:cs="Times New Roman"/>
        </w:rPr>
        <w:t xml:space="preserve"> lived and were active in Palestine, as they were expressed in the critical writing of some of the Sephardic authors and of Ben-Yehuda about the Zionist leadership, the “communal functionaries of Jaffa,” and their stance on the question of Ottomanization and relations with the local Arabs.</w:t>
      </w:r>
    </w:p>
    <w:p w14:paraId="30E8C3B1" w14:textId="2578F0CF" w:rsidR="00FE5B49" w:rsidRDefault="00FE5B49" w:rsidP="004F74B1">
      <w:pPr>
        <w:spacing w:line="360" w:lineRule="auto"/>
        <w:rPr>
          <w:rFonts w:ascii="Times New Roman" w:eastAsia="Times New Roman" w:hAnsi="Times New Roman" w:cs="Times New Roman"/>
        </w:rPr>
      </w:pPr>
      <w:r>
        <w:rPr>
          <w:rFonts w:ascii="Times New Roman" w:eastAsia="Times New Roman" w:hAnsi="Times New Roman" w:cs="Times New Roman"/>
        </w:rPr>
        <w:tab/>
        <w:t xml:space="preserve">In summary, despite the appearance of total loyalty to the Ottoman Empire, in the crisis period of World War I as well, it is interesting to see even then the first buds of another imperial involvement, that of the United States, in events in Palestine. That involvement began to be noticeable as early as the war years, in aid efforts led by the American consul, </w:t>
      </w:r>
      <w:commentRangeStart w:id="36"/>
      <w:r>
        <w:rPr>
          <w:rFonts w:ascii="Times New Roman" w:eastAsia="Times New Roman" w:hAnsi="Times New Roman" w:cs="Times New Roman"/>
        </w:rPr>
        <w:t xml:space="preserve">Dr. Otis </w:t>
      </w:r>
      <w:commentRangeEnd w:id="36"/>
      <w:r w:rsidR="00AF7417">
        <w:rPr>
          <w:rStyle w:val="CommentReference"/>
        </w:rPr>
        <w:commentReference w:id="36"/>
      </w:r>
      <w:proofErr w:type="spellStart"/>
      <w:r>
        <w:rPr>
          <w:rFonts w:ascii="Times New Roman" w:eastAsia="Times New Roman" w:hAnsi="Times New Roman" w:cs="Times New Roman"/>
        </w:rPr>
        <w:t>Glazebrook</w:t>
      </w:r>
      <w:proofErr w:type="spellEnd"/>
      <w:r>
        <w:rPr>
          <w:rFonts w:ascii="Times New Roman" w:eastAsia="Times New Roman" w:hAnsi="Times New Roman" w:cs="Times New Roman"/>
        </w:rPr>
        <w:t xml:space="preserve">, and others (mentioned above), aid that was </w:t>
      </w:r>
      <w:r w:rsidR="006F1C3C">
        <w:rPr>
          <w:rFonts w:ascii="Times New Roman" w:eastAsia="Times New Roman" w:hAnsi="Times New Roman" w:cs="Times New Roman"/>
        </w:rPr>
        <w:t xml:space="preserve">intended in part for the Jewish community and in part for the general population of Palestine. American involvement in the </w:t>
      </w:r>
      <w:r w:rsidR="006F1C3C">
        <w:rPr>
          <w:rFonts w:ascii="Times New Roman" w:eastAsia="Times New Roman" w:hAnsi="Times New Roman" w:cs="Times New Roman"/>
        </w:rPr>
        <w:lastRenderedPageBreak/>
        <w:t>realm of politics and diplomacy finds expression immediately after the end of the war in the form of the King-Crane Committee, which came to the region in the summer of 1919 at the behest of President Wilson and sought to examine the alternatives and the various political ambitions of the variety of communities in the former Ottoman Arab provinces.</w:t>
      </w:r>
      <w:r w:rsidR="006F1C3C">
        <w:rPr>
          <w:rStyle w:val="FootnoteReference"/>
          <w:rFonts w:ascii="Times New Roman" w:eastAsia="Times New Roman" w:hAnsi="Times New Roman" w:cs="Times New Roman"/>
        </w:rPr>
        <w:footnoteReference w:id="51"/>
      </w:r>
      <w:r w:rsidR="006F1C3C">
        <w:rPr>
          <w:rFonts w:ascii="Times New Roman" w:eastAsia="Times New Roman" w:hAnsi="Times New Roman" w:cs="Times New Roman"/>
        </w:rPr>
        <w:t xml:space="preserve"> This </w:t>
      </w:r>
      <w:r w:rsidR="00AF7417">
        <w:rPr>
          <w:rFonts w:ascii="Times New Roman" w:eastAsia="Times New Roman" w:hAnsi="Times New Roman" w:cs="Times New Roman"/>
        </w:rPr>
        <w:t>juncture</w:t>
      </w:r>
      <w:r w:rsidR="006F1C3C">
        <w:rPr>
          <w:rFonts w:ascii="Times New Roman" w:eastAsia="Times New Roman" w:hAnsi="Times New Roman" w:cs="Times New Roman"/>
        </w:rPr>
        <w:t xml:space="preserve"> </w:t>
      </w:r>
      <w:r w:rsidR="00B514B7">
        <w:rPr>
          <w:rFonts w:ascii="Times New Roman" w:eastAsia="Times New Roman" w:hAnsi="Times New Roman" w:cs="Times New Roman"/>
        </w:rPr>
        <w:t>at</w:t>
      </w:r>
      <w:r w:rsidR="006F1C3C">
        <w:rPr>
          <w:rFonts w:ascii="Times New Roman" w:eastAsia="Times New Roman" w:hAnsi="Times New Roman" w:cs="Times New Roman"/>
        </w:rPr>
        <w:t xml:space="preserve"> the end of the Ottoman era, before the beginning of British colonial involvement in our region, affords us a more complex look at this range of questions.</w:t>
      </w:r>
    </w:p>
    <w:p w14:paraId="4FB9E3B3" w14:textId="75614B0F" w:rsidR="001926F7" w:rsidRPr="00164AA8" w:rsidRDefault="009327BD" w:rsidP="004F74B1">
      <w:pPr>
        <w:spacing w:line="360" w:lineRule="auto"/>
        <w:rPr>
          <w:rFonts w:ascii="Times New Roman" w:eastAsia="Times New Roman" w:hAnsi="Times New Roman" w:cs="Times New Roman"/>
        </w:rPr>
      </w:pPr>
      <w:r>
        <w:rPr>
          <w:rFonts w:ascii="Times New Roman" w:eastAsia="Times New Roman" w:hAnsi="Times New Roman" w:cs="Times New Roman"/>
        </w:rPr>
        <w:tab/>
        <w:t xml:space="preserve"> </w:t>
      </w:r>
    </w:p>
    <w:p w14:paraId="2D0D5D92" w14:textId="77777777" w:rsidR="00164AA8" w:rsidRPr="00164AA8" w:rsidRDefault="00164AA8" w:rsidP="004F74B1">
      <w:pPr>
        <w:spacing w:line="360" w:lineRule="auto"/>
        <w:rPr>
          <w:rFonts w:ascii="Times New Roman" w:eastAsia="Times New Roman" w:hAnsi="Times New Roman" w:cs="Times New Roman"/>
        </w:rPr>
      </w:pPr>
    </w:p>
    <w:p w14:paraId="33B7A2DB" w14:textId="77777777" w:rsidR="00164AA8" w:rsidRPr="00882D4A" w:rsidRDefault="00164AA8" w:rsidP="004F74B1">
      <w:pPr>
        <w:spacing w:line="360" w:lineRule="auto"/>
        <w:rPr>
          <w:rFonts w:ascii="Times New Roman" w:eastAsia="Times New Roman" w:hAnsi="Times New Roman" w:cs="Times New Roman"/>
        </w:rPr>
      </w:pPr>
    </w:p>
    <w:p w14:paraId="315ACED0" w14:textId="77777777" w:rsidR="00A120B8" w:rsidRPr="00EC41C9" w:rsidRDefault="00A120B8" w:rsidP="00A120B8">
      <w:pPr>
        <w:spacing w:line="360" w:lineRule="auto"/>
        <w:ind w:right="720"/>
        <w:rPr>
          <w:rFonts w:ascii="Times New Roman" w:eastAsia="Times New Roman" w:hAnsi="Times New Roman" w:cs="Times New Roman"/>
        </w:rPr>
      </w:pPr>
    </w:p>
    <w:p w14:paraId="3DB05B80" w14:textId="31B322BB" w:rsidR="001D46EB" w:rsidRPr="004661BF" w:rsidRDefault="001D46EB" w:rsidP="000772CD">
      <w:pPr>
        <w:spacing w:line="360" w:lineRule="auto"/>
        <w:ind w:right="720"/>
        <w:rPr>
          <w:rFonts w:ascii="Times New Roman" w:hAnsi="Times New Roman" w:cs="Times New Roman"/>
        </w:rPr>
      </w:pPr>
    </w:p>
    <w:p w14:paraId="4048229F" w14:textId="77777777" w:rsidR="001D46EB" w:rsidRDefault="001D46EB" w:rsidP="000772CD">
      <w:pPr>
        <w:spacing w:line="360" w:lineRule="auto"/>
        <w:ind w:right="720"/>
        <w:rPr>
          <w:rFonts w:asciiTheme="majorBidi" w:hAnsiTheme="majorBidi" w:cstheme="majorBidi"/>
          <w:rtl/>
        </w:rPr>
      </w:pPr>
    </w:p>
    <w:p w14:paraId="3DC36C74" w14:textId="0D246F97" w:rsidR="00585E7A" w:rsidRDefault="00585E7A" w:rsidP="000772CD">
      <w:pPr>
        <w:spacing w:line="360" w:lineRule="auto"/>
        <w:ind w:right="720"/>
        <w:rPr>
          <w:rFonts w:asciiTheme="majorBidi" w:hAnsiTheme="majorBidi" w:cstheme="majorBidi"/>
          <w:rtl/>
        </w:rPr>
      </w:pPr>
      <w:r>
        <w:rPr>
          <w:rFonts w:asciiTheme="majorBidi" w:hAnsiTheme="majorBidi" w:cstheme="majorBidi"/>
        </w:rPr>
        <w:tab/>
      </w:r>
    </w:p>
    <w:p w14:paraId="2B1AB8FA" w14:textId="3B370631" w:rsidR="00B23E47" w:rsidRDefault="00B23E47" w:rsidP="000772CD">
      <w:pPr>
        <w:spacing w:line="360" w:lineRule="auto"/>
        <w:ind w:right="720"/>
        <w:rPr>
          <w:rFonts w:asciiTheme="majorBidi" w:hAnsiTheme="majorBidi" w:cstheme="majorBidi"/>
        </w:rPr>
      </w:pPr>
      <w:r>
        <w:rPr>
          <w:rFonts w:asciiTheme="majorBidi" w:hAnsiTheme="majorBidi" w:cstheme="majorBidi"/>
          <w:rtl/>
        </w:rPr>
        <w:tab/>
      </w:r>
    </w:p>
    <w:p w14:paraId="14716600" w14:textId="5D62DB40" w:rsidR="00B23E47" w:rsidRPr="00B23E47" w:rsidRDefault="00B23E47" w:rsidP="000772CD">
      <w:pPr>
        <w:spacing w:line="360" w:lineRule="auto"/>
        <w:ind w:right="720"/>
        <w:rPr>
          <w:rFonts w:asciiTheme="majorBidi" w:hAnsiTheme="majorBidi" w:cstheme="majorBidi"/>
          <w:u w:val="single"/>
        </w:rPr>
      </w:pPr>
      <w:r>
        <w:rPr>
          <w:rFonts w:asciiTheme="majorBidi" w:hAnsiTheme="majorBidi" w:cstheme="majorBidi"/>
        </w:rPr>
        <w:tab/>
      </w:r>
    </w:p>
    <w:p w14:paraId="593927DC" w14:textId="00BB02AF" w:rsidR="003D68C0" w:rsidRPr="00C4373A" w:rsidRDefault="003D68C0" w:rsidP="00C4373A">
      <w:pPr>
        <w:spacing w:line="360" w:lineRule="auto"/>
        <w:ind w:firstLine="720"/>
        <w:rPr>
          <w:rFonts w:asciiTheme="majorBidi" w:hAnsiTheme="majorBidi" w:cstheme="majorBidi"/>
        </w:rPr>
      </w:pPr>
      <w:r>
        <w:rPr>
          <w:rFonts w:asciiTheme="majorBidi" w:hAnsiTheme="majorBidi" w:cstheme="majorBidi"/>
        </w:rPr>
        <w:tab/>
      </w:r>
    </w:p>
    <w:p w14:paraId="690D61EF" w14:textId="4172EDCF" w:rsidR="00421A3D" w:rsidRPr="007326A2" w:rsidRDefault="00421A3D" w:rsidP="00711B85">
      <w:pPr>
        <w:spacing w:line="360" w:lineRule="auto"/>
        <w:jc w:val="both"/>
        <w:rPr>
          <w:rFonts w:asciiTheme="majorBidi" w:hAnsiTheme="majorBidi" w:cstheme="majorBidi"/>
          <w:rtl/>
        </w:rPr>
      </w:pPr>
      <w:r>
        <w:rPr>
          <w:rFonts w:asciiTheme="majorBidi" w:hAnsiTheme="majorBidi" w:cstheme="majorBidi"/>
          <w:rtl/>
        </w:rPr>
        <w:tab/>
      </w:r>
    </w:p>
    <w:sectPr w:rsidR="00421A3D" w:rsidRPr="007326A2" w:rsidSect="00AD207B">
      <w:footerReference w:type="even" r:id="rId11"/>
      <w:footerReference w:type="default" r:id="rId12"/>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Peretz Rodman" w:date="2020-04-12T11:48:00Z" w:initials="PR">
    <w:p w14:paraId="0AA087B9" w14:textId="66313BB9" w:rsidR="009327BD" w:rsidRDefault="009327BD">
      <w:pPr>
        <w:pStyle w:val="CommentText"/>
      </w:pPr>
      <w:r>
        <w:rPr>
          <w:rStyle w:val="CommentReference"/>
        </w:rPr>
        <w:annotationRef/>
      </w:r>
      <w:r>
        <w:t xml:space="preserve">I have not carefully distinguished between those terms until this point, because there is not a good single term for </w:t>
      </w:r>
      <w:r>
        <w:rPr>
          <w:rFonts w:hint="cs"/>
          <w:rtl/>
        </w:rPr>
        <w:t>נתינות</w:t>
      </w:r>
      <w:r>
        <w:t>. Now that you have made this distinction, you may want me to revise terms above.</w:t>
      </w:r>
    </w:p>
  </w:comment>
  <w:comment w:id="1" w:author="Peretz Rodman" w:date="2020-04-12T11:38:00Z" w:initials="PR">
    <w:p w14:paraId="458B3777" w14:textId="6E1CD29C" w:rsidR="009327BD" w:rsidRDefault="009327BD">
      <w:pPr>
        <w:pStyle w:val="CommentText"/>
      </w:pPr>
      <w:r>
        <w:rPr>
          <w:rStyle w:val="CommentReference"/>
        </w:rPr>
        <w:annotationRef/>
      </w:r>
      <w:r>
        <w:t>If this is another contrasting pair, “</w:t>
      </w:r>
      <w:r w:rsidRPr="003243FD">
        <w:rPr>
          <w:b/>
          <w:bCs/>
        </w:rPr>
        <w:t>between</w:t>
      </w:r>
      <w:r>
        <w:t>.” If what is meant is “the complex relations” among several or many such minorities, then “</w:t>
      </w:r>
      <w:r w:rsidRPr="003243FD">
        <w:rPr>
          <w:b/>
          <w:bCs/>
        </w:rPr>
        <w:t>among</w:t>
      </w:r>
      <w:r>
        <w:t>.”</w:t>
      </w:r>
    </w:p>
  </w:comment>
  <w:comment w:id="2" w:author="Peretz Rodman" w:date="2020-04-22T12:16:00Z" w:initials="PR">
    <w:p w14:paraId="26DB7275" w14:textId="2506BCB2" w:rsidR="00282473" w:rsidRDefault="00282473">
      <w:pPr>
        <w:pStyle w:val="CommentText"/>
      </w:pPr>
      <w:r>
        <w:rPr>
          <w:rStyle w:val="CommentReference"/>
        </w:rPr>
        <w:annotationRef/>
      </w:r>
      <w:r>
        <w:t>Isn’t this his title rather than his surname? That is now he was referred to?</w:t>
      </w:r>
    </w:p>
  </w:comment>
  <w:comment w:id="3" w:author="Peretz Rodman" w:date="2020-04-13T13:13:00Z" w:initials="PR">
    <w:p w14:paraId="71B670F8" w14:textId="68F63533" w:rsidR="009327BD" w:rsidRDefault="009327BD">
      <w:pPr>
        <w:pStyle w:val="CommentText"/>
      </w:pPr>
      <w:r>
        <w:rPr>
          <w:rStyle w:val="CommentReference"/>
        </w:rPr>
        <w:annotationRef/>
      </w:r>
      <w:r>
        <w:t>Should this title be capitalized?</w:t>
      </w:r>
    </w:p>
  </w:comment>
  <w:comment w:id="4" w:author="Peretz Rodman" w:date="2020-04-13T13:25:00Z" w:initials="PR">
    <w:p w14:paraId="0FCBC699" w14:textId="65A6B4DB" w:rsidR="009327BD" w:rsidRDefault="009327BD">
      <w:pPr>
        <w:pStyle w:val="CommentText"/>
      </w:pPr>
      <w:r>
        <w:rPr>
          <w:rStyle w:val="CommentReference"/>
        </w:rPr>
        <w:annotationRef/>
      </w:r>
      <w:r>
        <w:t>What is this word? Is its use necessary?</w:t>
      </w:r>
    </w:p>
  </w:comment>
  <w:comment w:id="5" w:author="Peretz Rodman" w:date="2020-04-22T17:44:00Z" w:initials="PR">
    <w:p w14:paraId="781F562C" w14:textId="6B012C0C" w:rsidR="00ED065C" w:rsidRDefault="00ED065C">
      <w:pPr>
        <w:pStyle w:val="CommentText"/>
      </w:pPr>
      <w:r>
        <w:rPr>
          <w:rStyle w:val="CommentReference"/>
        </w:rPr>
        <w:annotationRef/>
      </w:r>
      <w:r>
        <w:t>Was this formally organized under that name – and therefore deserving of a capital “C” on the 2</w:t>
      </w:r>
      <w:r w:rsidRPr="00ED065C">
        <w:rPr>
          <w:vertAlign w:val="superscript"/>
        </w:rPr>
        <w:t>nd</w:t>
      </w:r>
      <w:r>
        <w:t xml:space="preserve"> word (here and elsewhere)?</w:t>
      </w:r>
    </w:p>
  </w:comment>
  <w:comment w:id="6" w:author="Peretz Rodman" w:date="2020-04-16T19:25:00Z" w:initials="PR">
    <w:p w14:paraId="203B74BB" w14:textId="6FD761C7" w:rsidR="009327BD" w:rsidRDefault="009327BD">
      <w:pPr>
        <w:pStyle w:val="CommentText"/>
        <w:rPr>
          <w:rtl/>
        </w:rPr>
      </w:pPr>
      <w:r>
        <w:rPr>
          <w:rStyle w:val="CommentReference"/>
        </w:rPr>
        <w:annotationRef/>
      </w:r>
      <w:r>
        <w:rPr>
          <w:rFonts w:hint="cs"/>
          <w:rtl/>
        </w:rPr>
        <w:t>אני מפרש ״עולמי״ בהקשר זה כמילה נרדפת ל-״לעולם״.</w:t>
      </w:r>
    </w:p>
  </w:comment>
  <w:comment w:id="7" w:author="Peretz Rodman" w:date="2020-04-16T21:03:00Z" w:initials="PR">
    <w:p w14:paraId="5EFA5D30" w14:textId="3DFF89AE" w:rsidR="009327BD" w:rsidRDefault="009327BD">
      <w:pPr>
        <w:pStyle w:val="CommentText"/>
        <w:rPr>
          <w:rtl/>
        </w:rPr>
      </w:pPr>
      <w:r>
        <w:rPr>
          <w:rStyle w:val="CommentReference"/>
        </w:rPr>
        <w:annotationRef/>
      </w:r>
      <w:r>
        <w:rPr>
          <w:rFonts w:hint="cs"/>
          <w:rtl/>
        </w:rPr>
        <w:t xml:space="preserve">״גורשו ... לארה״ב״? </w:t>
      </w:r>
      <w:r>
        <w:rPr>
          <w:rtl/>
        </w:rPr>
        <w:t>–</w:t>
      </w:r>
      <w:r>
        <w:rPr>
          <w:rFonts w:hint="cs"/>
          <w:rtl/>
        </w:rPr>
        <w:t xml:space="preserve"> או שמא גורשו מן הארץ והתגלגלו לארה״ב?</w:t>
      </w:r>
    </w:p>
  </w:comment>
  <w:comment w:id="8" w:author="Peretz Rodman" w:date="2020-04-22T17:49:00Z" w:initials="PR">
    <w:p w14:paraId="1DFAE645" w14:textId="4143F614" w:rsidR="00ED065C" w:rsidRDefault="00ED065C">
      <w:pPr>
        <w:pStyle w:val="CommentText"/>
      </w:pPr>
      <w:r>
        <w:rPr>
          <w:rStyle w:val="CommentReference"/>
        </w:rPr>
        <w:annotationRef/>
      </w:r>
      <w:r>
        <w:t>?</w:t>
      </w:r>
    </w:p>
  </w:comment>
  <w:comment w:id="9" w:author="Peretz Rodman" w:date="2020-04-22T20:29:00Z" w:initials="PR">
    <w:p w14:paraId="6AFA9290" w14:textId="5E6D1264" w:rsidR="0047051D" w:rsidRDefault="0047051D">
      <w:pPr>
        <w:pStyle w:val="CommentText"/>
      </w:pPr>
      <w:r>
        <w:rPr>
          <w:rStyle w:val="CommentReference"/>
        </w:rPr>
        <w:annotationRef/>
      </w:r>
      <w:r>
        <w:t>This point is repeated later, where it is explained a little bit more fully</w:t>
      </w:r>
    </w:p>
  </w:comment>
  <w:comment w:id="10" w:author="Peretz Rodman" w:date="2020-04-22T20:30:00Z" w:initials="PR">
    <w:p w14:paraId="196763C4" w14:textId="1B7DFC66" w:rsidR="0047051D" w:rsidRDefault="0047051D">
      <w:pPr>
        <w:pStyle w:val="CommentText"/>
      </w:pPr>
      <w:r>
        <w:rPr>
          <w:rStyle w:val="CommentReference"/>
        </w:rPr>
        <w:annotationRef/>
      </w:r>
      <w:r>
        <w:t xml:space="preserve">This does not make sense in light of what is stated immediately afterward—that the notion of a multinational empire became *less* widely accepted. </w:t>
      </w:r>
      <w:proofErr w:type="gramStart"/>
      <w:r>
        <w:t>So</w:t>
      </w:r>
      <w:proofErr w:type="gramEnd"/>
      <w:r>
        <w:t xml:space="preserve"> the idea wasn’t too early; it was just not where history led.</w:t>
      </w:r>
    </w:p>
  </w:comment>
  <w:comment w:id="11" w:author="Peretz Rodman" w:date="2020-04-18T23:40:00Z" w:initials="PR">
    <w:p w14:paraId="1EAE5DE8" w14:textId="052E23CD" w:rsidR="009327BD" w:rsidRDefault="009327BD">
      <w:pPr>
        <w:pStyle w:val="CommentText"/>
      </w:pPr>
      <w:r>
        <w:rPr>
          <w:rStyle w:val="CommentReference"/>
        </w:rPr>
        <w:annotationRef/>
      </w:r>
      <w:r>
        <w:t>??</w:t>
      </w:r>
    </w:p>
  </w:comment>
  <w:comment w:id="12" w:author="Peretz Rodman" w:date="2020-04-18T23:46:00Z" w:initials="PR">
    <w:p w14:paraId="4CE20ED7" w14:textId="5B1F4DE3" w:rsidR="009327BD" w:rsidRDefault="009327BD">
      <w:pPr>
        <w:pStyle w:val="CommentText"/>
        <w:rPr>
          <w:rtl/>
        </w:rPr>
      </w:pPr>
      <w:r>
        <w:rPr>
          <w:rStyle w:val="CommentReference"/>
        </w:rPr>
        <w:annotationRef/>
      </w:r>
      <w:r>
        <w:t xml:space="preserve">Seeking a better term for </w:t>
      </w:r>
      <w:r>
        <w:rPr>
          <w:rFonts w:hint="cs"/>
          <w:rtl/>
        </w:rPr>
        <w:t>אפוטרופסות</w:t>
      </w:r>
    </w:p>
  </w:comment>
  <w:comment w:id="13" w:author="Peretz Rodman" w:date="2020-04-22T20:32:00Z" w:initials="PR">
    <w:p w14:paraId="2E0D6EA6" w14:textId="5D2C4D1B" w:rsidR="0047051D" w:rsidRDefault="0047051D">
      <w:pPr>
        <w:pStyle w:val="CommentText"/>
      </w:pPr>
      <w:r>
        <w:rPr>
          <w:rStyle w:val="CommentReference"/>
        </w:rPr>
        <w:annotationRef/>
      </w:r>
      <w:r>
        <w:t>(capitalize?)</w:t>
      </w:r>
    </w:p>
  </w:comment>
  <w:comment w:id="14" w:author="Peretz Rodman" w:date="2020-04-22T20:33:00Z" w:initials="PR">
    <w:p w14:paraId="74F7E758" w14:textId="0C7E91CE" w:rsidR="0047051D" w:rsidRDefault="0047051D">
      <w:pPr>
        <w:pStyle w:val="CommentText"/>
      </w:pPr>
      <w:r>
        <w:rPr>
          <w:rStyle w:val="CommentReference"/>
        </w:rPr>
        <w:annotationRef/>
      </w:r>
      <w:r>
        <w:t>?</w:t>
      </w:r>
    </w:p>
  </w:comment>
  <w:comment w:id="15" w:author="Peretz Rodman" w:date="2020-04-19T06:57:00Z" w:initials="PR">
    <w:p w14:paraId="0E1DB59A" w14:textId="46F9175A" w:rsidR="009327BD" w:rsidRDefault="009327BD">
      <w:pPr>
        <w:pStyle w:val="CommentText"/>
        <w:rPr>
          <w:rtl/>
        </w:rPr>
      </w:pPr>
      <w:r>
        <w:rPr>
          <w:rStyle w:val="CommentReference"/>
        </w:rPr>
        <w:annotationRef/>
      </w:r>
      <w:r>
        <w:rPr>
          <w:rFonts w:hint="cs"/>
          <w:rtl/>
        </w:rPr>
        <w:t xml:space="preserve">יש גוון משמעות אחר </w:t>
      </w:r>
      <w:proofErr w:type="spellStart"/>
      <w:r>
        <w:rPr>
          <w:rFonts w:hint="cs"/>
          <w:rtl/>
        </w:rPr>
        <w:t>ל״משא</w:t>
      </w:r>
      <w:proofErr w:type="spellEnd"/>
      <w:r>
        <w:rPr>
          <w:rFonts w:hint="cs"/>
          <w:rtl/>
        </w:rPr>
        <w:t xml:space="preserve"> ומתן״ כאן?</w:t>
      </w:r>
    </w:p>
  </w:comment>
  <w:comment w:id="16" w:author="Peretz Rodman" w:date="2020-04-19T07:03:00Z" w:initials="PR">
    <w:p w14:paraId="1AFC899C" w14:textId="628A633C" w:rsidR="009327BD" w:rsidRDefault="009327BD">
      <w:pPr>
        <w:pStyle w:val="CommentText"/>
        <w:rPr>
          <w:rtl/>
        </w:rPr>
      </w:pPr>
      <w:r>
        <w:rPr>
          <w:rStyle w:val="CommentReference"/>
        </w:rPr>
        <w:annotationRef/>
      </w:r>
      <w:r>
        <w:rPr>
          <w:rFonts w:hint="cs"/>
          <w:rtl/>
        </w:rPr>
        <w:t>ויתרתי על הכפילות של ״שפת הארץ, לשון המדינה...״.</w:t>
      </w:r>
    </w:p>
  </w:comment>
  <w:comment w:id="17" w:author="Peretz Rodman" w:date="2020-04-19T07:14:00Z" w:initials="PR">
    <w:p w14:paraId="1B0702BD" w14:textId="6AB3E365" w:rsidR="009327BD" w:rsidRDefault="009327BD">
      <w:pPr>
        <w:pStyle w:val="CommentText"/>
        <w:rPr>
          <w:rtl/>
        </w:rPr>
      </w:pPr>
      <w:r>
        <w:rPr>
          <w:rStyle w:val="CommentReference"/>
        </w:rPr>
        <w:annotationRef/>
      </w:r>
      <w:r>
        <w:rPr>
          <w:rFonts w:hint="cs"/>
          <w:rtl/>
        </w:rPr>
        <w:t xml:space="preserve">״ומשא״ </w:t>
      </w:r>
      <w:r>
        <w:rPr>
          <w:rtl/>
        </w:rPr>
        <w:t>–</w:t>
      </w:r>
      <w:r>
        <w:rPr>
          <w:rFonts w:hint="cs"/>
          <w:rtl/>
        </w:rPr>
        <w:t xml:space="preserve"> שוב אינני בטוח בניסוח שלי באנגלית</w:t>
      </w:r>
    </w:p>
  </w:comment>
  <w:comment w:id="18" w:author="Peretz Rodman" w:date="2020-04-19T07:17:00Z" w:initials="PR">
    <w:p w14:paraId="79429D36" w14:textId="1F9C602E" w:rsidR="009327BD" w:rsidRDefault="009327BD">
      <w:pPr>
        <w:pStyle w:val="CommentText"/>
        <w:rPr>
          <w:rtl/>
        </w:rPr>
      </w:pPr>
      <w:r>
        <w:rPr>
          <w:rStyle w:val="CommentReference"/>
        </w:rPr>
        <w:annotationRef/>
      </w:r>
      <w:r>
        <w:rPr>
          <w:rFonts w:hint="cs"/>
        </w:rPr>
        <w:t>I</w:t>
      </w:r>
      <w:r>
        <w:t xml:space="preserve"> have skipped over</w:t>
      </w:r>
      <w:r>
        <w:rPr>
          <w:rFonts w:hint="cs"/>
        </w:rPr>
        <w:t xml:space="preserve"> </w:t>
      </w:r>
      <w:r>
        <w:rPr>
          <w:rFonts w:hint="cs"/>
          <w:rtl/>
        </w:rPr>
        <w:t>״ומשא״</w:t>
      </w:r>
      <w:r>
        <w:t xml:space="preserve"> here.</w:t>
      </w:r>
    </w:p>
  </w:comment>
  <w:comment w:id="19" w:author="Peretz Rodman" w:date="2020-04-19T07:18:00Z" w:initials="PR">
    <w:p w14:paraId="3DDDEE63" w14:textId="355A8C6D" w:rsidR="009327BD" w:rsidRDefault="009327BD">
      <w:pPr>
        <w:pStyle w:val="CommentText"/>
      </w:pPr>
      <w:r>
        <w:rPr>
          <w:rStyle w:val="CommentReference"/>
        </w:rPr>
        <w:annotationRef/>
      </w:r>
      <w:r>
        <w:t>Labor?</w:t>
      </w:r>
    </w:p>
  </w:comment>
  <w:comment w:id="20" w:author="Peretz Rodman" w:date="2020-04-19T07:31:00Z" w:initials="PR">
    <w:p w14:paraId="34820A81" w14:textId="0877B8F6" w:rsidR="009327BD" w:rsidRDefault="009327BD">
      <w:pPr>
        <w:pStyle w:val="CommentText"/>
      </w:pPr>
      <w:r>
        <w:rPr>
          <w:rStyle w:val="CommentReference"/>
        </w:rPr>
        <w:annotationRef/>
      </w:r>
      <w:r>
        <w:t>Is this a good enough rendition of “</w:t>
      </w:r>
      <w:r>
        <w:rPr>
          <w:rFonts w:hint="cs"/>
          <w:rtl/>
        </w:rPr>
        <w:t>קירוב לבבות</w:t>
      </w:r>
      <w:r>
        <w:t>” (here and at the end of the following paragraph)?</w:t>
      </w:r>
    </w:p>
  </w:comment>
  <w:comment w:id="21" w:author="Peretz Rodman" w:date="2020-04-19T07:44:00Z" w:initials="PR">
    <w:p w14:paraId="635242DB" w14:textId="3D26F924" w:rsidR="009327BD" w:rsidRPr="00353C17" w:rsidRDefault="009327BD">
      <w:pPr>
        <w:pStyle w:val="CommentText"/>
      </w:pPr>
      <w:r>
        <w:rPr>
          <w:rStyle w:val="CommentReference"/>
        </w:rPr>
        <w:annotationRef/>
      </w:r>
      <w:r>
        <w:t xml:space="preserve">In the material marked in yellow after this paragraph, footnotes 10 and 11 were left without yellow background. If that was not an oversight—and I don’t think it was—then where should this material be integrated? Perhaps with the first footnote citing </w:t>
      </w:r>
      <w:r>
        <w:rPr>
          <w:rFonts w:hint="cs"/>
          <w:rtl/>
        </w:rPr>
        <w:t>החרות</w:t>
      </w:r>
      <w:r>
        <w:t>? It might be best to weave it into the body of the article before the next paragraph.</w:t>
      </w:r>
    </w:p>
  </w:comment>
  <w:comment w:id="22" w:author="Peretz Rodman" w:date="2020-04-19T07:46:00Z" w:initials="PR">
    <w:p w14:paraId="50D4F86A" w14:textId="528015D3" w:rsidR="009327BD" w:rsidRDefault="009327BD">
      <w:pPr>
        <w:pStyle w:val="CommentText"/>
      </w:pPr>
      <w:r>
        <w:rPr>
          <w:rStyle w:val="CommentReference"/>
        </w:rPr>
        <w:annotationRef/>
      </w:r>
      <w:r>
        <w:t xml:space="preserve">After the </w:t>
      </w:r>
      <w:proofErr w:type="gramStart"/>
      <w:r>
        <w:t>long deleted</w:t>
      </w:r>
      <w:proofErr w:type="gramEnd"/>
      <w:r>
        <w:t xml:space="preserve"> passages, this lacks some context. Who perceives the Zionist movement in this way? Should it read “perceives itself”?</w:t>
      </w:r>
    </w:p>
  </w:comment>
  <w:comment w:id="23" w:author="Peretz Rodman" w:date="2020-04-19T07:58:00Z" w:initials="PR">
    <w:p w14:paraId="2B64CAED" w14:textId="29E065B2" w:rsidR="009327BD" w:rsidRDefault="009327BD">
      <w:pPr>
        <w:pStyle w:val="CommentText"/>
      </w:pPr>
      <w:r>
        <w:rPr>
          <w:rStyle w:val="CommentReference"/>
        </w:rPr>
        <w:annotationRef/>
      </w:r>
      <w:r>
        <w:t xml:space="preserve">Again, context has been lost. Is this the Sephardi voice heard through </w:t>
      </w:r>
      <w:r>
        <w:rPr>
          <w:rFonts w:hint="cs"/>
          <w:rtl/>
        </w:rPr>
        <w:t>החרות</w:t>
      </w:r>
      <w:r>
        <w:t>?</w:t>
      </w:r>
    </w:p>
  </w:comment>
  <w:comment w:id="24" w:author="Peretz Rodman" w:date="2020-04-19T09:14:00Z" w:initials="PR">
    <w:p w14:paraId="0AFA1302" w14:textId="1E731111" w:rsidR="009327BD" w:rsidRDefault="009327BD">
      <w:pPr>
        <w:pStyle w:val="CommentText"/>
      </w:pPr>
      <w:r>
        <w:rPr>
          <w:rStyle w:val="CommentReference"/>
        </w:rPr>
        <w:annotationRef/>
      </w:r>
      <w:r>
        <w:t>Did he mean “tolerant” (</w:t>
      </w:r>
      <w:r>
        <w:rPr>
          <w:rFonts w:hint="cs"/>
          <w:rtl/>
        </w:rPr>
        <w:t>סובלנית</w:t>
      </w:r>
      <w:r>
        <w:t>)?</w:t>
      </w:r>
    </w:p>
  </w:comment>
  <w:comment w:id="25" w:author="Peretz Rodman" w:date="2020-04-19T09:19:00Z" w:initials="PR">
    <w:p w14:paraId="2527713C" w14:textId="6E530783" w:rsidR="009327BD" w:rsidRDefault="009327BD">
      <w:pPr>
        <w:pStyle w:val="CommentText"/>
      </w:pPr>
      <w:r>
        <w:rPr>
          <w:rStyle w:val="CommentReference"/>
        </w:rPr>
        <w:annotationRef/>
      </w:r>
      <w:r>
        <w:t>Preferable in this context to “Judaism,” I think.</w:t>
      </w:r>
    </w:p>
  </w:comment>
  <w:comment w:id="26" w:author="Peretz Rodman" w:date="2020-04-19T11:43:00Z" w:initials="PR">
    <w:p w14:paraId="5109F2C9" w14:textId="26E093CA" w:rsidR="009327BD" w:rsidRDefault="009327BD">
      <w:pPr>
        <w:pStyle w:val="CommentText"/>
      </w:pPr>
      <w:r>
        <w:rPr>
          <w:rStyle w:val="CommentReference"/>
        </w:rPr>
        <w:annotationRef/>
      </w:r>
      <w:r>
        <w:t>These terms need introduction and explanation, which were deleted above.</w:t>
      </w:r>
    </w:p>
  </w:comment>
  <w:comment w:id="27" w:author="Peretz Rodman" w:date="2020-04-19T22:09:00Z" w:initials="PR">
    <w:p w14:paraId="6F371BAF" w14:textId="49C802F6" w:rsidR="009327BD" w:rsidRDefault="009327BD">
      <w:pPr>
        <w:pStyle w:val="CommentText"/>
      </w:pPr>
      <w:r>
        <w:rPr>
          <w:rStyle w:val="CommentReference"/>
        </w:rPr>
        <w:annotationRef/>
      </w:r>
      <w:r>
        <w:t>Have I understood “</w:t>
      </w:r>
      <w:r>
        <w:rPr>
          <w:rFonts w:hint="cs"/>
          <w:rtl/>
        </w:rPr>
        <w:t>דלות</w:t>
      </w:r>
      <w:r>
        <w:t>” correctly?</w:t>
      </w:r>
    </w:p>
  </w:comment>
  <w:comment w:id="28" w:author="Peretz Rodman" w:date="2020-04-22T20:47:00Z" w:initials="PR">
    <w:p w14:paraId="367F4CA8" w14:textId="101AB820" w:rsidR="0002056E" w:rsidRDefault="0002056E">
      <w:pPr>
        <w:pStyle w:val="CommentText"/>
      </w:pPr>
      <w:r>
        <w:rPr>
          <w:rStyle w:val="CommentReference"/>
        </w:rPr>
        <w:annotationRef/>
      </w:r>
      <w:r>
        <w:t>Better: “as later among”?</w:t>
      </w:r>
    </w:p>
  </w:comment>
  <w:comment w:id="29" w:author="Peretz Rodman" w:date="2020-04-20T08:39:00Z" w:initials="PR">
    <w:p w14:paraId="1E15F9AA" w14:textId="4827B49D" w:rsidR="009327BD" w:rsidRDefault="009327BD">
      <w:pPr>
        <w:pStyle w:val="CommentText"/>
      </w:pPr>
      <w:r>
        <w:rPr>
          <w:rStyle w:val="CommentReference"/>
        </w:rPr>
        <w:annotationRef/>
      </w:r>
      <w:r>
        <w:t>Is there a point to translating the footnote about Ben-Yehuda’s neologism for “constitution” (n. 15 in the original)?</w:t>
      </w:r>
    </w:p>
  </w:comment>
  <w:comment w:id="30" w:author="Peretz Rodman" w:date="2020-04-20T22:40:00Z" w:initials="PR">
    <w:p w14:paraId="52BF0FF2" w14:textId="10727041" w:rsidR="009327BD" w:rsidRDefault="009327BD">
      <w:pPr>
        <w:pStyle w:val="CommentText"/>
      </w:pPr>
      <w:r>
        <w:rPr>
          <w:rStyle w:val="CommentReference"/>
        </w:rPr>
        <w:annotationRef/>
      </w:r>
      <w:r>
        <w:t>The Hebrew word order makes this notion murky. Is this correct, in your reading?</w:t>
      </w:r>
    </w:p>
  </w:comment>
  <w:comment w:id="31" w:author="Peretz Rodman" w:date="2020-04-20T23:03:00Z" w:initials="PR">
    <w:p w14:paraId="4AE6F9F4" w14:textId="2EAD8A80" w:rsidR="009327BD" w:rsidRDefault="009327BD">
      <w:pPr>
        <w:pStyle w:val="CommentText"/>
      </w:pPr>
      <w:r>
        <w:rPr>
          <w:rStyle w:val="CommentReference"/>
        </w:rPr>
        <w:annotationRef/>
      </w:r>
      <w:r>
        <w:t>Or: …of the Sanjak of Jerusalem</w:t>
      </w:r>
    </w:p>
  </w:comment>
  <w:comment w:id="32" w:author="Peretz Rodman" w:date="2020-04-21T10:38:00Z" w:initials="PR">
    <w:p w14:paraId="757844E9" w14:textId="5797626B" w:rsidR="009327BD" w:rsidRDefault="009327BD">
      <w:pPr>
        <w:pStyle w:val="CommentText"/>
      </w:pPr>
      <w:r>
        <w:rPr>
          <w:rStyle w:val="CommentReference"/>
        </w:rPr>
        <w:annotationRef/>
      </w:r>
      <w:r>
        <w:t xml:space="preserve">The term </w:t>
      </w:r>
      <w:r>
        <w:rPr>
          <w:rFonts w:hint="cs"/>
          <w:rtl/>
        </w:rPr>
        <w:t>להתאזרח</w:t>
      </w:r>
      <w:r>
        <w:t xml:space="preserve"> is hard to pin down here.</w:t>
      </w:r>
    </w:p>
  </w:comment>
  <w:comment w:id="33" w:author="Peretz Rodman" w:date="2020-04-21T15:40:00Z" w:initials="PR">
    <w:p w14:paraId="02088726" w14:textId="0C74E536" w:rsidR="009327BD" w:rsidRDefault="009327BD">
      <w:pPr>
        <w:pStyle w:val="CommentText"/>
      </w:pPr>
      <w:r>
        <w:rPr>
          <w:rStyle w:val="CommentReference"/>
        </w:rPr>
        <w:annotationRef/>
      </w:r>
      <w:r>
        <w:t>Needs some introduction/explanation here.</w:t>
      </w:r>
    </w:p>
  </w:comment>
  <w:comment w:id="34" w:author="Peretz Rodman" w:date="2020-04-21T16:54:00Z" w:initials="PR">
    <w:p w14:paraId="1D48CCEE" w14:textId="3C15FC9D" w:rsidR="009327BD" w:rsidRDefault="009327BD">
      <w:pPr>
        <w:pStyle w:val="CommentText"/>
      </w:pPr>
      <w:r>
        <w:rPr>
          <w:rStyle w:val="CommentReference"/>
        </w:rPr>
        <w:annotationRef/>
      </w:r>
      <w:r>
        <w:t>“Ha-</w:t>
      </w:r>
      <w:proofErr w:type="spellStart"/>
      <w:r>
        <w:t>magen</w:t>
      </w:r>
      <w:proofErr w:type="spellEnd"/>
      <w:r>
        <w:t>” needs to be introduced here; the earlier reference was excised from this English version.</w:t>
      </w:r>
    </w:p>
  </w:comment>
  <w:comment w:id="35" w:author="Peretz Rodman" w:date="2020-04-21T17:01:00Z" w:initials="PR">
    <w:p w14:paraId="02B94726" w14:textId="39EA4E8E" w:rsidR="009327BD" w:rsidRDefault="009327BD" w:rsidP="00AA0899">
      <w:pPr>
        <w:pStyle w:val="CommentText"/>
      </w:pPr>
      <w:r>
        <w:rPr>
          <w:rStyle w:val="CommentReference"/>
        </w:rPr>
        <w:annotationRef/>
      </w:r>
      <w:r>
        <w:t>Mentioned in Hebrew footnote 11, not marked in yellow but not anchored in a section of the text translated here – and so it has not been translated either.</w:t>
      </w:r>
    </w:p>
  </w:comment>
  <w:comment w:id="36" w:author="Peretz Rodman" w:date="2020-04-22T21:31:00Z" w:initials="PR">
    <w:p w14:paraId="3E90C6F1" w14:textId="3B2B8848" w:rsidR="00AF7417" w:rsidRDefault="00AF7417">
      <w:pPr>
        <w:pStyle w:val="CommentText"/>
      </w:pPr>
      <w:r>
        <w:rPr>
          <w:rStyle w:val="CommentReference"/>
        </w:rPr>
        <w:annotationRef/>
      </w:r>
      <w:r>
        <w:t>These words can be deleted.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AA087B9" w15:done="0"/>
  <w15:commentEx w15:paraId="458B3777" w15:done="0"/>
  <w15:commentEx w15:paraId="26DB7275" w15:done="0"/>
  <w15:commentEx w15:paraId="71B670F8" w15:done="0"/>
  <w15:commentEx w15:paraId="0FCBC699" w15:done="0"/>
  <w15:commentEx w15:paraId="781F562C" w15:done="0"/>
  <w15:commentEx w15:paraId="203B74BB" w15:done="0"/>
  <w15:commentEx w15:paraId="5EFA5D30" w15:done="0"/>
  <w15:commentEx w15:paraId="1DFAE645" w15:done="0"/>
  <w15:commentEx w15:paraId="6AFA9290" w15:done="0"/>
  <w15:commentEx w15:paraId="196763C4" w15:done="0"/>
  <w15:commentEx w15:paraId="1EAE5DE8" w15:done="0"/>
  <w15:commentEx w15:paraId="4CE20ED7" w15:done="0"/>
  <w15:commentEx w15:paraId="2E0D6EA6" w15:done="0"/>
  <w15:commentEx w15:paraId="74F7E758" w15:done="0"/>
  <w15:commentEx w15:paraId="0E1DB59A" w15:done="0"/>
  <w15:commentEx w15:paraId="1AFC899C" w15:done="0"/>
  <w15:commentEx w15:paraId="1B0702BD" w15:done="0"/>
  <w15:commentEx w15:paraId="79429D36" w15:done="0"/>
  <w15:commentEx w15:paraId="3DDDEE63" w15:done="0"/>
  <w15:commentEx w15:paraId="34820A81" w15:done="0"/>
  <w15:commentEx w15:paraId="635242DB" w15:done="0"/>
  <w15:commentEx w15:paraId="50D4F86A" w15:done="0"/>
  <w15:commentEx w15:paraId="2B64CAED" w15:done="0"/>
  <w15:commentEx w15:paraId="0AFA1302" w15:done="0"/>
  <w15:commentEx w15:paraId="2527713C" w15:done="0"/>
  <w15:commentEx w15:paraId="5109F2C9" w15:done="0"/>
  <w15:commentEx w15:paraId="6F371BAF" w15:done="0"/>
  <w15:commentEx w15:paraId="367F4CA8" w15:done="0"/>
  <w15:commentEx w15:paraId="1E15F9AA" w15:done="0"/>
  <w15:commentEx w15:paraId="52BF0FF2" w15:done="0"/>
  <w15:commentEx w15:paraId="4AE6F9F4" w15:done="0"/>
  <w15:commentEx w15:paraId="757844E9" w15:done="0"/>
  <w15:commentEx w15:paraId="02088726" w15:done="0"/>
  <w15:commentEx w15:paraId="1D48CCEE" w15:done="0"/>
  <w15:commentEx w15:paraId="02B94726" w15:done="0"/>
  <w15:commentEx w15:paraId="3E90C6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D7E7E" w16cex:dateUtc="2020-04-12T08:48:00Z"/>
  <w16cex:commentExtensible w16cex:durableId="223D7C4C" w16cex:dateUtc="2020-04-12T08:38:00Z"/>
  <w16cex:commentExtensible w16cex:durableId="224AB40D" w16cex:dateUtc="2020-04-22T09:16:00Z"/>
  <w16cex:commentExtensible w16cex:durableId="223EE3F6" w16cex:dateUtc="2020-04-13T10:13:00Z"/>
  <w16cex:commentExtensible w16cex:durableId="223EE6DE" w16cex:dateUtc="2020-04-13T10:25:00Z"/>
  <w16cex:commentExtensible w16cex:durableId="224B0103" w16cex:dateUtc="2020-04-22T14:44:00Z"/>
  <w16cex:commentExtensible w16cex:durableId="22432FA3" w16cex:dateUtc="2020-04-16T16:25:00Z"/>
  <w16cex:commentExtensible w16cex:durableId="22434699" w16cex:dateUtc="2020-04-16T18:03:00Z"/>
  <w16cex:commentExtensible w16cex:durableId="224B023A" w16cex:dateUtc="2020-04-22T14:49:00Z"/>
  <w16cex:commentExtensible w16cex:durableId="224B27AF" w16cex:dateUtc="2020-04-22T17:29:00Z"/>
  <w16cex:commentExtensible w16cex:durableId="224B27E3" w16cex:dateUtc="2020-04-22T17:30:00Z"/>
  <w16cex:commentExtensible w16cex:durableId="22460E87" w16cex:dateUtc="2020-04-18T20:40:00Z"/>
  <w16cex:commentExtensible w16cex:durableId="22460FE5" w16cex:dateUtc="2020-04-18T20:46:00Z"/>
  <w16cex:commentExtensible w16cex:durableId="224B286B" w16cex:dateUtc="2020-04-22T17:32:00Z"/>
  <w16cex:commentExtensible w16cex:durableId="224B288C" w16cex:dateUtc="2020-04-22T17:33:00Z"/>
  <w16cex:commentExtensible w16cex:durableId="224674D3" w16cex:dateUtc="2020-04-19T03:57:00Z"/>
  <w16cex:commentExtensible w16cex:durableId="2246762F" w16cex:dateUtc="2020-04-19T04:03:00Z"/>
  <w16cex:commentExtensible w16cex:durableId="224678BA" w16cex:dateUtc="2020-04-19T04:14:00Z"/>
  <w16cex:commentExtensible w16cex:durableId="2246796C" w16cex:dateUtc="2020-04-19T04:17:00Z"/>
  <w16cex:commentExtensible w16cex:durableId="224679BD" w16cex:dateUtc="2020-04-19T04:18:00Z"/>
  <w16cex:commentExtensible w16cex:durableId="22467CBF" w16cex:dateUtc="2020-04-19T04:31:00Z"/>
  <w16cex:commentExtensible w16cex:durableId="22467FEC" w16cex:dateUtc="2020-04-19T04:44:00Z"/>
  <w16cex:commentExtensible w16cex:durableId="22468058" w16cex:dateUtc="2020-04-19T04:46:00Z"/>
  <w16cex:commentExtensible w16cex:durableId="22468319" w16cex:dateUtc="2020-04-19T04:58:00Z"/>
  <w16cex:commentExtensible w16cex:durableId="224694D8" w16cex:dateUtc="2020-04-19T06:14:00Z"/>
  <w16cex:commentExtensible w16cex:durableId="22469620" w16cex:dateUtc="2020-04-19T06:19:00Z"/>
  <w16cex:commentExtensible w16cex:durableId="2246B7E0" w16cex:dateUtc="2020-04-19T08:43:00Z"/>
  <w16cex:commentExtensible w16cex:durableId="22474A85" w16cex:dateUtc="2020-04-19T19:09:00Z"/>
  <w16cex:commentExtensible w16cex:durableId="224B2BF5" w16cex:dateUtc="2020-04-22T17:47:00Z"/>
  <w16cex:commentExtensible w16cex:durableId="2247DE2A" w16cex:dateUtc="2020-04-20T05:39:00Z"/>
  <w16cex:commentExtensible w16cex:durableId="2248A355" w16cex:dateUtc="2020-04-20T19:40:00Z"/>
  <w16cex:commentExtensible w16cex:durableId="2248A8C6" w16cex:dateUtc="2020-04-20T20:03:00Z"/>
  <w16cex:commentExtensible w16cex:durableId="22494B8E" w16cex:dateUtc="2020-04-21T07:38:00Z"/>
  <w16cex:commentExtensible w16cex:durableId="22499285" w16cex:dateUtc="2020-04-21T12:40:00Z"/>
  <w16cex:commentExtensible w16cex:durableId="2249A3CC" w16cex:dateUtc="2020-04-21T13:54:00Z"/>
  <w16cex:commentExtensible w16cex:durableId="2249A55A" w16cex:dateUtc="2020-04-21T14:01:00Z"/>
  <w16cex:commentExtensible w16cex:durableId="224B3630" w16cex:dateUtc="2020-04-22T1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AA087B9" w16cid:durableId="223D7E7E"/>
  <w16cid:commentId w16cid:paraId="458B3777" w16cid:durableId="223D7C4C"/>
  <w16cid:commentId w16cid:paraId="26DB7275" w16cid:durableId="224AB40D"/>
  <w16cid:commentId w16cid:paraId="71B670F8" w16cid:durableId="223EE3F6"/>
  <w16cid:commentId w16cid:paraId="0FCBC699" w16cid:durableId="223EE6DE"/>
  <w16cid:commentId w16cid:paraId="781F562C" w16cid:durableId="224B0103"/>
  <w16cid:commentId w16cid:paraId="203B74BB" w16cid:durableId="22432FA3"/>
  <w16cid:commentId w16cid:paraId="5EFA5D30" w16cid:durableId="22434699"/>
  <w16cid:commentId w16cid:paraId="1DFAE645" w16cid:durableId="224B023A"/>
  <w16cid:commentId w16cid:paraId="6AFA9290" w16cid:durableId="224B27AF"/>
  <w16cid:commentId w16cid:paraId="196763C4" w16cid:durableId="224B27E3"/>
  <w16cid:commentId w16cid:paraId="1EAE5DE8" w16cid:durableId="22460E87"/>
  <w16cid:commentId w16cid:paraId="4CE20ED7" w16cid:durableId="22460FE5"/>
  <w16cid:commentId w16cid:paraId="2E0D6EA6" w16cid:durableId="224B286B"/>
  <w16cid:commentId w16cid:paraId="74F7E758" w16cid:durableId="224B288C"/>
  <w16cid:commentId w16cid:paraId="0E1DB59A" w16cid:durableId="224674D3"/>
  <w16cid:commentId w16cid:paraId="1AFC899C" w16cid:durableId="2246762F"/>
  <w16cid:commentId w16cid:paraId="1B0702BD" w16cid:durableId="224678BA"/>
  <w16cid:commentId w16cid:paraId="79429D36" w16cid:durableId="2246796C"/>
  <w16cid:commentId w16cid:paraId="3DDDEE63" w16cid:durableId="224679BD"/>
  <w16cid:commentId w16cid:paraId="34820A81" w16cid:durableId="22467CBF"/>
  <w16cid:commentId w16cid:paraId="635242DB" w16cid:durableId="22467FEC"/>
  <w16cid:commentId w16cid:paraId="50D4F86A" w16cid:durableId="22468058"/>
  <w16cid:commentId w16cid:paraId="2B64CAED" w16cid:durableId="22468319"/>
  <w16cid:commentId w16cid:paraId="0AFA1302" w16cid:durableId="224694D8"/>
  <w16cid:commentId w16cid:paraId="2527713C" w16cid:durableId="22469620"/>
  <w16cid:commentId w16cid:paraId="5109F2C9" w16cid:durableId="2246B7E0"/>
  <w16cid:commentId w16cid:paraId="6F371BAF" w16cid:durableId="22474A85"/>
  <w16cid:commentId w16cid:paraId="367F4CA8" w16cid:durableId="224B2BF5"/>
  <w16cid:commentId w16cid:paraId="1E15F9AA" w16cid:durableId="2247DE2A"/>
  <w16cid:commentId w16cid:paraId="52BF0FF2" w16cid:durableId="2248A355"/>
  <w16cid:commentId w16cid:paraId="4AE6F9F4" w16cid:durableId="2248A8C6"/>
  <w16cid:commentId w16cid:paraId="757844E9" w16cid:durableId="22494B8E"/>
  <w16cid:commentId w16cid:paraId="02088726" w16cid:durableId="22499285"/>
  <w16cid:commentId w16cid:paraId="1D48CCEE" w16cid:durableId="2249A3CC"/>
  <w16cid:commentId w16cid:paraId="02B94726" w16cid:durableId="2249A55A"/>
  <w16cid:commentId w16cid:paraId="3E90C6F1" w16cid:durableId="224B36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51291" w14:textId="77777777" w:rsidR="009B21E5" w:rsidRDefault="009B21E5" w:rsidP="00D8267F">
      <w:r>
        <w:separator/>
      </w:r>
    </w:p>
  </w:endnote>
  <w:endnote w:type="continuationSeparator" w:id="0">
    <w:p w14:paraId="1297244D" w14:textId="77777777" w:rsidR="009B21E5" w:rsidRDefault="009B21E5" w:rsidP="00D82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Hebrew">
    <w:panose1 w:val="00000000000000000000"/>
    <w:charset w:val="B1"/>
    <w:family w:val="auto"/>
    <w:pitch w:val="variable"/>
    <w:sig w:usb0="80000843" w:usb1="40000002" w:usb2="00000000" w:usb3="00000000" w:csb0="0000002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79017285"/>
      <w:docPartObj>
        <w:docPartGallery w:val="Page Numbers (Bottom of Page)"/>
        <w:docPartUnique/>
      </w:docPartObj>
    </w:sdtPr>
    <w:sdtEndPr>
      <w:rPr>
        <w:rStyle w:val="PageNumber"/>
      </w:rPr>
    </w:sdtEndPr>
    <w:sdtContent>
      <w:p w14:paraId="2107FE13" w14:textId="1AFBAF5F" w:rsidR="009327BD" w:rsidRDefault="009327BD" w:rsidP="007B114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188379" w14:textId="77777777" w:rsidR="009327BD" w:rsidRDefault="009327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6493574"/>
      <w:docPartObj>
        <w:docPartGallery w:val="Page Numbers (Bottom of Page)"/>
        <w:docPartUnique/>
      </w:docPartObj>
    </w:sdtPr>
    <w:sdtEndPr>
      <w:rPr>
        <w:rStyle w:val="PageNumber"/>
      </w:rPr>
    </w:sdtEndPr>
    <w:sdtContent>
      <w:p w14:paraId="71742AB0" w14:textId="65611A1E" w:rsidR="009327BD" w:rsidRDefault="009327BD" w:rsidP="007B114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005D25E" w14:textId="61E096E5" w:rsidR="009327BD" w:rsidRDefault="009327BD" w:rsidP="00AD2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97DA1" w14:textId="77777777" w:rsidR="009B21E5" w:rsidRDefault="009B21E5" w:rsidP="00D8267F">
      <w:r>
        <w:separator/>
      </w:r>
    </w:p>
  </w:footnote>
  <w:footnote w:type="continuationSeparator" w:id="0">
    <w:p w14:paraId="629096FF" w14:textId="77777777" w:rsidR="009B21E5" w:rsidRDefault="009B21E5" w:rsidP="00D8267F">
      <w:r>
        <w:continuationSeparator/>
      </w:r>
    </w:p>
  </w:footnote>
  <w:footnote w:id="1">
    <w:p w14:paraId="41E95406" w14:textId="6F8A2C37" w:rsidR="009327BD" w:rsidRPr="00D8267F" w:rsidRDefault="009327BD" w:rsidP="00F2764B">
      <w:pPr>
        <w:pStyle w:val="FootnoteText"/>
        <w:spacing w:line="360" w:lineRule="auto"/>
        <w:rPr>
          <w:rFonts w:ascii="Times New Roman" w:hAnsi="Times New Roman" w:cs="Times New Roman"/>
          <w:sz w:val="24"/>
          <w:szCs w:val="24"/>
        </w:rPr>
      </w:pPr>
      <w:r w:rsidRPr="00D8267F">
        <w:rPr>
          <w:rStyle w:val="FootnoteReference"/>
          <w:rFonts w:ascii="Times New Roman" w:hAnsi="Times New Roman" w:cs="Times New Roman"/>
          <w:sz w:val="24"/>
          <w:szCs w:val="24"/>
        </w:rPr>
        <w:footnoteRef/>
      </w:r>
      <w:r w:rsidRPr="00D8267F">
        <w:rPr>
          <w:rFonts w:ascii="Times New Roman" w:hAnsi="Times New Roman" w:cs="Times New Roman"/>
          <w:sz w:val="24"/>
          <w:szCs w:val="24"/>
        </w:rPr>
        <w:t xml:space="preserve"> </w:t>
      </w:r>
      <w:r>
        <w:rPr>
          <w:rFonts w:ascii="Times New Roman" w:hAnsi="Times New Roman" w:cs="Times New Roman"/>
          <w:i/>
          <w:iCs/>
          <w:sz w:val="24"/>
          <w:szCs w:val="24"/>
        </w:rPr>
        <w:t>Ha-</w:t>
      </w:r>
      <w:proofErr w:type="spellStart"/>
      <w:r>
        <w:rPr>
          <w:rFonts w:ascii="Times New Roman" w:hAnsi="Times New Roman" w:cs="Times New Roman"/>
          <w:i/>
          <w:iCs/>
          <w:sz w:val="24"/>
          <w:szCs w:val="24"/>
        </w:rPr>
        <w:t>A</w:t>
      </w:r>
      <w:r w:rsidR="006F1C3C">
        <w:rPr>
          <w:rFonts w:ascii="Times New Roman" w:hAnsi="Times New Roman" w:cs="Times New Roman"/>
          <w:i/>
          <w:iCs/>
          <w:sz w:val="24"/>
          <w:szCs w:val="24"/>
        </w:rPr>
        <w:t>ḥ</w:t>
      </w:r>
      <w:r>
        <w:rPr>
          <w:rFonts w:ascii="Times New Roman" w:hAnsi="Times New Roman" w:cs="Times New Roman"/>
          <w:i/>
          <w:iCs/>
          <w:sz w:val="24"/>
          <w:szCs w:val="24"/>
        </w:rPr>
        <w:t>dut</w:t>
      </w:r>
      <w:proofErr w:type="spellEnd"/>
      <w:r>
        <w:rPr>
          <w:rFonts w:ascii="Times New Roman" w:hAnsi="Times New Roman" w:cs="Times New Roman"/>
          <w:sz w:val="24"/>
          <w:szCs w:val="24"/>
        </w:rPr>
        <w:t xml:space="preserve"> was the newspaper of the </w:t>
      </w:r>
      <w:proofErr w:type="spellStart"/>
      <w:proofErr w:type="gramStart"/>
      <w:r>
        <w:rPr>
          <w:rFonts w:ascii="Times New Roman" w:hAnsi="Times New Roman" w:cs="Times New Roman"/>
          <w:i/>
          <w:iCs/>
          <w:sz w:val="24"/>
          <w:szCs w:val="24"/>
        </w:rPr>
        <w:t>Po‘</w:t>
      </w:r>
      <w:proofErr w:type="gramEnd"/>
      <w:r>
        <w:rPr>
          <w:rFonts w:ascii="Times New Roman" w:hAnsi="Times New Roman" w:cs="Times New Roman"/>
          <w:i/>
          <w:iCs/>
          <w:sz w:val="24"/>
          <w:szCs w:val="24"/>
        </w:rPr>
        <w:t>alei</w:t>
      </w:r>
      <w:proofErr w:type="spellEnd"/>
      <w:r>
        <w:rPr>
          <w:rFonts w:ascii="Times New Roman" w:hAnsi="Times New Roman" w:cs="Times New Roman"/>
          <w:i/>
          <w:iCs/>
          <w:sz w:val="24"/>
          <w:szCs w:val="24"/>
        </w:rPr>
        <w:t xml:space="preserve"> Zion</w:t>
      </w:r>
      <w:r>
        <w:rPr>
          <w:rFonts w:ascii="Times New Roman" w:hAnsi="Times New Roman" w:cs="Times New Roman"/>
          <w:sz w:val="24"/>
          <w:szCs w:val="24"/>
        </w:rPr>
        <w:t xml:space="preserve"> party. It was published in Jerusalem from 1910 until December 1914, when it was closed by order of the Ottoman authorities. Among its writers and editorial board members were David Ben-Gurion, Itzhak Ben-</w:t>
      </w:r>
      <w:proofErr w:type="spellStart"/>
      <w:r>
        <w:rPr>
          <w:rFonts w:ascii="Times New Roman" w:hAnsi="Times New Roman" w:cs="Times New Roman"/>
          <w:sz w:val="24"/>
          <w:szCs w:val="24"/>
        </w:rPr>
        <w:t>Zvi</w:t>
      </w:r>
      <w:proofErr w:type="spellEnd"/>
      <w:r>
        <w:rPr>
          <w:rFonts w:ascii="Times New Roman" w:hAnsi="Times New Roman" w:cs="Times New Roman"/>
          <w:sz w:val="24"/>
          <w:szCs w:val="24"/>
        </w:rPr>
        <w:t xml:space="preserve">, Rachel </w:t>
      </w:r>
      <w:proofErr w:type="spellStart"/>
      <w:r>
        <w:rPr>
          <w:rFonts w:ascii="Times New Roman" w:hAnsi="Times New Roman" w:cs="Times New Roman"/>
          <w:sz w:val="24"/>
          <w:szCs w:val="24"/>
        </w:rPr>
        <w:t>Yanait</w:t>
      </w:r>
      <w:proofErr w:type="spellEnd"/>
      <w:r>
        <w:rPr>
          <w:rFonts w:ascii="Times New Roman" w:hAnsi="Times New Roman" w:cs="Times New Roman"/>
          <w:sz w:val="24"/>
          <w:szCs w:val="24"/>
        </w:rPr>
        <w:t xml:space="preserve"> Ben-</w:t>
      </w:r>
      <w:proofErr w:type="spellStart"/>
      <w:r>
        <w:rPr>
          <w:rFonts w:ascii="Times New Roman" w:hAnsi="Times New Roman" w:cs="Times New Roman"/>
          <w:sz w:val="24"/>
          <w:szCs w:val="24"/>
        </w:rPr>
        <w:t>Zvi</w:t>
      </w:r>
      <w:proofErr w:type="spellEnd"/>
      <w:r>
        <w:rPr>
          <w:rFonts w:ascii="Times New Roman" w:hAnsi="Times New Roman" w:cs="Times New Roman"/>
          <w:sz w:val="24"/>
          <w:szCs w:val="24"/>
        </w:rPr>
        <w:t xml:space="preserve">, and Yaakov </w:t>
      </w:r>
      <w:proofErr w:type="spellStart"/>
      <w:r>
        <w:rPr>
          <w:rFonts w:ascii="Times New Roman" w:hAnsi="Times New Roman" w:cs="Times New Roman"/>
          <w:sz w:val="24"/>
          <w:szCs w:val="24"/>
        </w:rPr>
        <w:t>Zerubavel</w:t>
      </w:r>
      <w:proofErr w:type="spellEnd"/>
      <w:r>
        <w:rPr>
          <w:rFonts w:ascii="Times New Roman" w:hAnsi="Times New Roman" w:cs="Times New Roman"/>
          <w:sz w:val="24"/>
          <w:szCs w:val="24"/>
        </w:rPr>
        <w:t>.</w:t>
      </w:r>
    </w:p>
  </w:footnote>
  <w:footnote w:id="2">
    <w:p w14:paraId="7BE494CF" w14:textId="032422FA" w:rsidR="009327BD" w:rsidRPr="00B0314F" w:rsidRDefault="009327BD" w:rsidP="00F2764B">
      <w:pPr>
        <w:pStyle w:val="NormalWeb"/>
        <w:spacing w:line="360" w:lineRule="auto"/>
        <w:rPr>
          <w:color w:val="FF0000"/>
        </w:rPr>
      </w:pPr>
      <w:r>
        <w:rPr>
          <w:rStyle w:val="FootnoteReference"/>
        </w:rPr>
        <w:footnoteRef/>
      </w:r>
      <w:r w:rsidRPr="00B80D3A">
        <w:t xml:space="preserve"> </w:t>
      </w:r>
      <w:r w:rsidRPr="00B80D3A">
        <w:rPr>
          <w:rFonts w:asciiTheme="majorBidi" w:hAnsiTheme="majorBidi" w:cstheme="majorBidi"/>
        </w:rPr>
        <w:t>Ben-Gurion, “</w:t>
      </w:r>
      <w:proofErr w:type="spellStart"/>
      <w:r w:rsidRPr="00B80D3A">
        <w:rPr>
          <w:rFonts w:asciiTheme="majorBidi" w:hAnsiTheme="majorBidi" w:cstheme="majorBidi"/>
          <w:i/>
          <w:iCs/>
        </w:rPr>
        <w:t>Hakhshara</w:t>
      </w:r>
      <w:proofErr w:type="spellEnd"/>
      <w:r w:rsidRPr="00B80D3A">
        <w:rPr>
          <w:rFonts w:asciiTheme="majorBidi" w:hAnsiTheme="majorBidi" w:cstheme="majorBidi"/>
          <w:i/>
          <w:iCs/>
        </w:rPr>
        <w:t xml:space="preserve"> </w:t>
      </w:r>
      <w:proofErr w:type="spellStart"/>
      <w:r w:rsidRPr="00B80D3A">
        <w:rPr>
          <w:rFonts w:asciiTheme="majorBidi" w:hAnsiTheme="majorBidi" w:cstheme="majorBidi"/>
          <w:i/>
          <w:iCs/>
        </w:rPr>
        <w:t>Ezra</w:t>
      </w:r>
      <w:r>
        <w:rPr>
          <w:rFonts w:asciiTheme="majorBidi" w:hAnsiTheme="majorBidi" w:cstheme="majorBidi"/>
          <w:i/>
          <w:iCs/>
        </w:rPr>
        <w:t>ḥ</w:t>
      </w:r>
      <w:r w:rsidRPr="00B80D3A">
        <w:rPr>
          <w:rFonts w:asciiTheme="majorBidi" w:hAnsiTheme="majorBidi" w:cstheme="majorBidi"/>
          <w:i/>
          <w:iCs/>
        </w:rPr>
        <w:t>it</w:t>
      </w:r>
      <w:proofErr w:type="spellEnd"/>
      <w:r w:rsidRPr="00B80D3A">
        <w:rPr>
          <w:rFonts w:asciiTheme="majorBidi" w:hAnsiTheme="majorBidi" w:cstheme="majorBidi"/>
        </w:rPr>
        <w:t xml:space="preserve">,” </w:t>
      </w:r>
      <w:r w:rsidRPr="00B80D3A">
        <w:rPr>
          <w:rFonts w:asciiTheme="majorBidi" w:hAnsiTheme="majorBidi" w:cstheme="majorBidi"/>
          <w:i/>
          <w:iCs/>
        </w:rPr>
        <w:t>Ha-</w:t>
      </w:r>
      <w:proofErr w:type="spellStart"/>
      <w:r w:rsidRPr="00B80D3A">
        <w:rPr>
          <w:rFonts w:asciiTheme="majorBidi" w:hAnsiTheme="majorBidi" w:cstheme="majorBidi"/>
          <w:i/>
          <w:iCs/>
        </w:rPr>
        <w:t>Aḥdut</w:t>
      </w:r>
      <w:proofErr w:type="spellEnd"/>
      <w:r>
        <w:rPr>
          <w:rFonts w:asciiTheme="majorBidi" w:hAnsiTheme="majorBidi" w:cstheme="majorBidi"/>
        </w:rPr>
        <w:t xml:space="preserve"> 8–9</w:t>
      </w:r>
      <w:r w:rsidRPr="00B80D3A">
        <w:rPr>
          <w:rFonts w:asciiTheme="majorBidi" w:hAnsiTheme="majorBidi" w:cstheme="majorBidi"/>
        </w:rPr>
        <w:t>, Septe</w:t>
      </w:r>
      <w:r>
        <w:rPr>
          <w:rFonts w:asciiTheme="majorBidi" w:hAnsiTheme="majorBidi" w:cstheme="majorBidi"/>
        </w:rPr>
        <w:t>m</w:t>
      </w:r>
      <w:r w:rsidRPr="00B80D3A">
        <w:rPr>
          <w:rFonts w:asciiTheme="majorBidi" w:hAnsiTheme="majorBidi" w:cstheme="majorBidi"/>
        </w:rPr>
        <w:t>be</w:t>
      </w:r>
      <w:r>
        <w:rPr>
          <w:rFonts w:asciiTheme="majorBidi" w:hAnsiTheme="majorBidi" w:cstheme="majorBidi"/>
        </w:rPr>
        <w:t>r 20,</w:t>
      </w:r>
      <w:r w:rsidR="00D0036F">
        <w:rPr>
          <w:rFonts w:asciiTheme="majorBidi" w:hAnsiTheme="majorBidi" w:cstheme="majorBidi"/>
        </w:rPr>
        <w:t xml:space="preserve"> </w:t>
      </w:r>
      <w:r w:rsidRPr="00B80D3A">
        <w:rPr>
          <w:rFonts w:asciiTheme="majorBidi" w:hAnsiTheme="majorBidi" w:cstheme="majorBidi"/>
        </w:rPr>
        <w:t>1914,</w:t>
      </w:r>
      <w:r>
        <w:rPr>
          <w:rFonts w:asciiTheme="majorBidi" w:hAnsiTheme="majorBidi" w:cstheme="majorBidi"/>
        </w:rPr>
        <w:t xml:space="preserve"> 1, 3–4.</w:t>
      </w:r>
    </w:p>
  </w:footnote>
  <w:footnote w:id="3">
    <w:p w14:paraId="20F9E625" w14:textId="5C8391B8" w:rsidR="009327BD" w:rsidRPr="00EB7BBD" w:rsidRDefault="009327BD" w:rsidP="00F2764B">
      <w:pPr>
        <w:pStyle w:val="FootnoteText"/>
        <w:spacing w:line="360" w:lineRule="auto"/>
        <w:rPr>
          <w:rFonts w:ascii="Times New Roman" w:hAnsi="Times New Roman" w:cs="Times New Roman"/>
        </w:rPr>
      </w:pPr>
      <w:r w:rsidRPr="00EB7BBD">
        <w:rPr>
          <w:rStyle w:val="FootnoteReference"/>
          <w:rFonts w:ascii="Times New Roman" w:hAnsi="Times New Roman" w:cs="Times New Roman"/>
        </w:rPr>
        <w:footnoteRef/>
      </w:r>
      <w:r w:rsidRPr="00EB7BBD">
        <w:rPr>
          <w:rFonts w:ascii="Times New Roman" w:hAnsi="Times New Roman" w:cs="Times New Roman"/>
        </w:rPr>
        <w:t xml:space="preserve"> </w:t>
      </w:r>
      <w:r>
        <w:rPr>
          <w:rFonts w:ascii="Times New Roman" w:hAnsi="Times New Roman" w:cs="Times New Roman"/>
          <w:sz w:val="24"/>
          <w:szCs w:val="24"/>
        </w:rPr>
        <w:t xml:space="preserve">Eliezer Ben-Yehuda, “Jews, Be Ottomans!”, </w:t>
      </w:r>
      <w:r w:rsidRPr="00EB7BBD">
        <w:rPr>
          <w:rFonts w:ascii="Times New Roman" w:hAnsi="Times New Roman" w:cs="Times New Roman"/>
          <w:i/>
          <w:iCs/>
          <w:sz w:val="24"/>
          <w:szCs w:val="24"/>
        </w:rPr>
        <w:t>Ha-</w:t>
      </w:r>
      <w:proofErr w:type="spellStart"/>
      <w:r w:rsidRPr="00EB7BBD">
        <w:rPr>
          <w:rFonts w:ascii="Times New Roman" w:hAnsi="Times New Roman" w:cs="Times New Roman"/>
          <w:i/>
          <w:iCs/>
          <w:sz w:val="24"/>
          <w:szCs w:val="24"/>
        </w:rPr>
        <w:t>Zvi</w:t>
      </w:r>
      <w:proofErr w:type="spellEnd"/>
      <w:r>
        <w:rPr>
          <w:rFonts w:ascii="Times New Roman" w:hAnsi="Times New Roman" w:cs="Times New Roman"/>
          <w:sz w:val="24"/>
          <w:szCs w:val="24"/>
        </w:rPr>
        <w:t>, January 12, 1909, 1–2 [Heb.].</w:t>
      </w:r>
    </w:p>
  </w:footnote>
  <w:footnote w:id="4">
    <w:p w14:paraId="0960EAA0" w14:textId="4B4B67D7" w:rsidR="009327BD" w:rsidRPr="00575CFB" w:rsidRDefault="009327BD" w:rsidP="00F2764B">
      <w:pPr>
        <w:pStyle w:val="NormalWeb"/>
        <w:spacing w:line="360" w:lineRule="auto"/>
        <w:contextualSpacing/>
      </w:pPr>
      <w:r>
        <w:rPr>
          <w:rStyle w:val="FootnoteReference"/>
        </w:rPr>
        <w:footnoteRef/>
      </w:r>
      <w:r>
        <w:t xml:space="preserve"> </w:t>
      </w:r>
      <w:r w:rsidRPr="00C11222">
        <w:t>His journal of those years has been published: A</w:t>
      </w:r>
      <w:r w:rsidR="00282473">
        <w:t>n</w:t>
      </w:r>
      <w:r w:rsidRPr="00C11222">
        <w:t xml:space="preserve">tonio de la </w:t>
      </w:r>
      <w:proofErr w:type="spellStart"/>
      <w:r w:rsidRPr="00C11222">
        <w:t>Cierva</w:t>
      </w:r>
      <w:proofErr w:type="spellEnd"/>
      <w:r w:rsidRPr="00C11222">
        <w:t xml:space="preserve"> </w:t>
      </w:r>
      <w:proofErr w:type="spellStart"/>
      <w:r w:rsidRPr="00C11222">
        <w:t>Lewita</w:t>
      </w:r>
      <w:proofErr w:type="spellEnd"/>
      <w:r w:rsidRPr="00C11222">
        <w:t xml:space="preserve">, </w:t>
      </w:r>
      <w:r w:rsidR="00282473">
        <w:t>c</w:t>
      </w:r>
      <w:r w:rsidRPr="00C11222">
        <w:t xml:space="preserve">onde de </w:t>
      </w:r>
      <w:proofErr w:type="spellStart"/>
      <w:r w:rsidRPr="00C11222">
        <w:t>Ballobar</w:t>
      </w:r>
      <w:proofErr w:type="spellEnd"/>
      <w:r w:rsidRPr="00C11222">
        <w:t xml:space="preserve">, </w:t>
      </w:r>
      <w:r w:rsidRPr="00C11222">
        <w:rPr>
          <w:i/>
          <w:iCs/>
        </w:rPr>
        <w:t>Jerusalem in World War I: The Palestine Diary of a European Diplomat</w:t>
      </w:r>
      <w:r w:rsidRPr="00C11222">
        <w:t xml:space="preserve">, ed. Eduardo Manzano </w:t>
      </w:r>
      <w:r w:rsidRPr="00575CFB">
        <w:t>Moreno and Roberto Mazza (London: IB Tauris, 2011).</w:t>
      </w:r>
    </w:p>
  </w:footnote>
  <w:footnote w:id="5">
    <w:p w14:paraId="29D3632C" w14:textId="763B9BE5" w:rsidR="009327BD" w:rsidRPr="00575CFB" w:rsidRDefault="009327BD" w:rsidP="00F2764B">
      <w:pPr>
        <w:pStyle w:val="FootnoteText"/>
        <w:spacing w:line="360" w:lineRule="auto"/>
        <w:rPr>
          <w:rFonts w:ascii="Times New Roman" w:hAnsi="Times New Roman" w:cs="Times New Roman"/>
          <w:sz w:val="24"/>
          <w:szCs w:val="24"/>
        </w:rPr>
      </w:pPr>
      <w:r w:rsidRPr="00575CFB">
        <w:rPr>
          <w:rStyle w:val="FootnoteReference"/>
          <w:rFonts w:ascii="Times New Roman" w:hAnsi="Times New Roman" w:cs="Times New Roman"/>
          <w:sz w:val="24"/>
          <w:szCs w:val="24"/>
        </w:rPr>
        <w:footnoteRef/>
      </w:r>
      <w:r w:rsidRPr="00575CFB">
        <w:rPr>
          <w:rFonts w:ascii="Times New Roman" w:hAnsi="Times New Roman" w:cs="Times New Roman"/>
          <w:sz w:val="24"/>
          <w:szCs w:val="24"/>
        </w:rPr>
        <w:t xml:space="preserve"> “Announcement to Those Accepting Ottoman Nationality,” Central Zionist Archive [CZA], L2/170.</w:t>
      </w:r>
    </w:p>
  </w:footnote>
  <w:footnote w:id="6">
    <w:p w14:paraId="33CDB5CB" w14:textId="57CEE667" w:rsidR="009327BD" w:rsidRPr="00575CFB" w:rsidRDefault="009327BD" w:rsidP="00F2764B">
      <w:pPr>
        <w:pStyle w:val="FootnoteText"/>
        <w:spacing w:line="360" w:lineRule="auto"/>
        <w:contextualSpacing/>
        <w:rPr>
          <w:rFonts w:ascii="Times New Roman" w:hAnsi="Times New Roman" w:cs="Times New Roman"/>
          <w:sz w:val="24"/>
          <w:szCs w:val="24"/>
        </w:rPr>
      </w:pPr>
      <w:r w:rsidRPr="00575CFB">
        <w:rPr>
          <w:rStyle w:val="FootnoteReference"/>
          <w:rFonts w:ascii="Times New Roman" w:hAnsi="Times New Roman" w:cs="Times New Roman"/>
          <w:sz w:val="24"/>
          <w:szCs w:val="24"/>
        </w:rPr>
        <w:footnoteRef/>
      </w:r>
      <w:r w:rsidRPr="00575CFB">
        <w:rPr>
          <w:rFonts w:ascii="Times New Roman" w:hAnsi="Times New Roman" w:cs="Times New Roman"/>
          <w:sz w:val="24"/>
          <w:szCs w:val="24"/>
        </w:rPr>
        <w:t xml:space="preserve"> Ottomanization Order, 24 </w:t>
      </w:r>
      <w:proofErr w:type="spellStart"/>
      <w:r w:rsidRPr="00575CFB">
        <w:rPr>
          <w:rFonts w:ascii="Times New Roman" w:hAnsi="Times New Roman" w:cs="Times New Roman"/>
          <w:sz w:val="24"/>
          <w:szCs w:val="24"/>
          <w:highlight w:val="cyan"/>
        </w:rPr>
        <w:t>Tishrin</w:t>
      </w:r>
      <w:proofErr w:type="spellEnd"/>
      <w:r w:rsidRPr="00575CFB">
        <w:rPr>
          <w:rFonts w:ascii="Times New Roman" w:hAnsi="Times New Roman" w:cs="Times New Roman"/>
          <w:sz w:val="24"/>
          <w:szCs w:val="24"/>
          <w:highlight w:val="cyan"/>
        </w:rPr>
        <w:t xml:space="preserve"> Sani</w:t>
      </w:r>
      <w:r>
        <w:rPr>
          <w:rFonts w:ascii="Times New Roman" w:hAnsi="Times New Roman" w:cs="Times New Roman"/>
          <w:sz w:val="24"/>
          <w:szCs w:val="24"/>
        </w:rPr>
        <w:t xml:space="preserve"> </w:t>
      </w:r>
      <w:r w:rsidRPr="00575CFB">
        <w:rPr>
          <w:rFonts w:ascii="Times New Roman" w:hAnsi="Times New Roman" w:cs="Times New Roman"/>
          <w:i/>
          <w:iCs/>
          <w:color w:val="FF0000"/>
          <w:sz w:val="24"/>
          <w:szCs w:val="24"/>
          <w:highlight w:val="cyan"/>
        </w:rPr>
        <w:t>[??]</w:t>
      </w:r>
      <w:r w:rsidRPr="00575CFB">
        <w:rPr>
          <w:rFonts w:ascii="Times New Roman" w:hAnsi="Times New Roman" w:cs="Times New Roman"/>
          <w:sz w:val="24"/>
          <w:szCs w:val="24"/>
        </w:rPr>
        <w:t xml:space="preserve"> 1330 (December 7, 1914), CZA L2/120.</w:t>
      </w:r>
    </w:p>
  </w:footnote>
  <w:footnote w:id="7">
    <w:p w14:paraId="711DCE84" w14:textId="1BAD076F" w:rsidR="009327BD" w:rsidRPr="00A05E9B" w:rsidRDefault="009327BD" w:rsidP="00F2764B">
      <w:pPr>
        <w:pStyle w:val="FootnoteText"/>
        <w:spacing w:line="360" w:lineRule="auto"/>
        <w:rPr>
          <w:rFonts w:ascii="Times New Roman" w:hAnsi="Times New Roman" w:cs="Times New Roman"/>
          <w:sz w:val="24"/>
          <w:szCs w:val="24"/>
        </w:rPr>
      </w:pPr>
      <w:r w:rsidRPr="00A05E9B">
        <w:rPr>
          <w:rStyle w:val="FootnoteReference"/>
          <w:rFonts w:ascii="Times New Roman" w:hAnsi="Times New Roman" w:cs="Times New Roman"/>
          <w:sz w:val="24"/>
          <w:szCs w:val="24"/>
        </w:rPr>
        <w:footnoteRef/>
      </w:r>
      <w:r w:rsidRPr="00A05E9B">
        <w:rPr>
          <w:rFonts w:ascii="Times New Roman" w:hAnsi="Times New Roman" w:cs="Times New Roman"/>
          <w:sz w:val="24"/>
          <w:szCs w:val="24"/>
        </w:rPr>
        <w:t xml:space="preserve"> Letter to the U.S. ambassador in Istanbul, Henry Morgenthau, November 27, 1914, CZA, L2/48-225.</w:t>
      </w:r>
    </w:p>
  </w:footnote>
  <w:footnote w:id="8">
    <w:p w14:paraId="4B58FE08" w14:textId="5073C62F" w:rsidR="009327BD" w:rsidRPr="00FD5081" w:rsidRDefault="009327BD" w:rsidP="00F2764B">
      <w:pPr>
        <w:pStyle w:val="FootnoteText"/>
        <w:spacing w:line="360" w:lineRule="auto"/>
        <w:rPr>
          <w:rFonts w:ascii="Times New Roman" w:hAnsi="Times New Roman" w:cs="Times New Roman"/>
        </w:rPr>
      </w:pPr>
      <w:r w:rsidRPr="00FD5081">
        <w:rPr>
          <w:rStyle w:val="FootnoteReference"/>
          <w:rFonts w:ascii="Times New Roman" w:hAnsi="Times New Roman" w:cs="Times New Roman"/>
        </w:rPr>
        <w:footnoteRef/>
      </w:r>
      <w:r w:rsidRPr="00FD5081">
        <w:rPr>
          <w:rFonts w:ascii="Times New Roman" w:hAnsi="Times New Roman" w:cs="Times New Roman"/>
        </w:rPr>
        <w:t xml:space="preserve"> </w:t>
      </w:r>
      <w:r w:rsidRPr="00F2764B">
        <w:rPr>
          <w:rFonts w:ascii="Times New Roman" w:hAnsi="Times New Roman" w:cs="Times New Roman"/>
          <w:sz w:val="24"/>
          <w:szCs w:val="24"/>
        </w:rPr>
        <w:t>“On Ottomanization,” Protocol of the Meeting of the Palestine Office in Jaffa, June 11, 1914, CZA, L2/170.</w:t>
      </w:r>
    </w:p>
  </w:footnote>
  <w:footnote w:id="9">
    <w:p w14:paraId="504B7BB9" w14:textId="28A4E6A8" w:rsidR="009327BD" w:rsidRPr="00DE067B" w:rsidRDefault="009327BD" w:rsidP="00F2764B">
      <w:pPr>
        <w:pStyle w:val="FootnoteText"/>
        <w:spacing w:line="360" w:lineRule="auto"/>
        <w:rPr>
          <w:rFonts w:ascii="Times New Roman" w:hAnsi="Times New Roman" w:cs="Times New Roman"/>
          <w:i/>
          <w:iCs/>
        </w:rPr>
      </w:pPr>
      <w:r w:rsidRPr="00FD5081">
        <w:rPr>
          <w:rStyle w:val="FootnoteReference"/>
          <w:rFonts w:ascii="Times New Roman" w:hAnsi="Times New Roman" w:cs="Times New Roman"/>
        </w:rPr>
        <w:footnoteRef/>
      </w:r>
      <w:r w:rsidRPr="00FD5081">
        <w:rPr>
          <w:rFonts w:ascii="Times New Roman" w:hAnsi="Times New Roman" w:cs="Times New Roman"/>
        </w:rPr>
        <w:t xml:space="preserve"> </w:t>
      </w:r>
      <w:r w:rsidRPr="00F2764B">
        <w:rPr>
          <w:rFonts w:ascii="Times New Roman" w:hAnsi="Times New Roman" w:cs="Times New Roman"/>
          <w:sz w:val="24"/>
          <w:szCs w:val="24"/>
        </w:rPr>
        <w:t xml:space="preserve">The next wave of expulsion, more severe, occurred in April 1917, on the eve of Passover, when five </w:t>
      </w:r>
      <w:r w:rsidR="00DE067B">
        <w:rPr>
          <w:rFonts w:ascii="Times New Roman" w:hAnsi="Times New Roman" w:cs="Times New Roman"/>
          <w:sz w:val="24"/>
          <w:szCs w:val="24"/>
        </w:rPr>
        <w:t>to</w:t>
      </w:r>
      <w:r w:rsidRPr="00F2764B">
        <w:rPr>
          <w:rFonts w:ascii="Times New Roman" w:hAnsi="Times New Roman" w:cs="Times New Roman"/>
          <w:sz w:val="24"/>
          <w:szCs w:val="24"/>
        </w:rPr>
        <w:t xml:space="preserve"> ten thousand Jews who were foreign nationals were expelled, mostly from Jaffa, to Jerusalem, the center of the country, and the Galilee.</w:t>
      </w:r>
      <w:r w:rsidR="00DE067B">
        <w:rPr>
          <w:rFonts w:ascii="Times New Roman" w:hAnsi="Times New Roman" w:cs="Times New Roman"/>
          <w:sz w:val="24"/>
          <w:szCs w:val="24"/>
        </w:rPr>
        <w:t xml:space="preserve"> </w:t>
      </w:r>
      <w:r w:rsidR="00DE067B" w:rsidRPr="00DE067B">
        <w:rPr>
          <w:rFonts w:ascii="Arial" w:hAnsi="Arial" w:cs="Arial"/>
          <w:i/>
          <w:iCs/>
          <w:color w:val="C00000"/>
          <w:sz w:val="22"/>
          <w:szCs w:val="22"/>
          <w:highlight w:val="cyan"/>
        </w:rPr>
        <w:t>[Since this is internal expulsion, it would be good to rebuild the sentence to place “from Jaffa” or “mostly from Jaffa” right after “the next wave of expulsion.”]</w:t>
      </w:r>
    </w:p>
  </w:footnote>
  <w:footnote w:id="10">
    <w:p w14:paraId="1E922261" w14:textId="7CFC3B23" w:rsidR="009327BD" w:rsidRDefault="009327BD" w:rsidP="00F2764B">
      <w:pPr>
        <w:pStyle w:val="FootnoteText"/>
        <w:spacing w:line="360" w:lineRule="auto"/>
      </w:pPr>
      <w:r w:rsidRPr="00F2764B">
        <w:rPr>
          <w:rStyle w:val="FootnoteReference"/>
          <w:rFonts w:ascii="Times New Roman" w:hAnsi="Times New Roman" w:cs="Times New Roman"/>
        </w:rPr>
        <w:footnoteRef/>
      </w:r>
      <w:r w:rsidRPr="00F2764B">
        <w:rPr>
          <w:rFonts w:ascii="Times New Roman" w:hAnsi="Times New Roman" w:cs="Times New Roman"/>
        </w:rPr>
        <w:t xml:space="preserve"> </w:t>
      </w:r>
      <w:r w:rsidRPr="00F2764B">
        <w:rPr>
          <w:rFonts w:ascii="Times New Roman" w:hAnsi="Times New Roman" w:cs="Times New Roman"/>
          <w:sz w:val="24"/>
          <w:szCs w:val="24"/>
        </w:rPr>
        <w:t xml:space="preserve">“Announcement of the Ottomanization Committee” published in </w:t>
      </w:r>
      <w:r w:rsidRPr="00914F92">
        <w:rPr>
          <w:rFonts w:ascii="Times New Roman" w:hAnsi="Times New Roman" w:cs="Times New Roman"/>
          <w:i/>
          <w:iCs/>
          <w:sz w:val="24"/>
          <w:szCs w:val="24"/>
        </w:rPr>
        <w:t>Ha-</w:t>
      </w:r>
      <w:proofErr w:type="spellStart"/>
      <w:r w:rsidRPr="00914F92">
        <w:rPr>
          <w:rFonts w:ascii="Times New Roman" w:hAnsi="Times New Roman" w:cs="Times New Roman"/>
          <w:i/>
          <w:iCs/>
          <w:sz w:val="24"/>
          <w:szCs w:val="24"/>
        </w:rPr>
        <w:t>Aḥdut</w:t>
      </w:r>
      <w:proofErr w:type="spellEnd"/>
      <w:r w:rsidRPr="00F2764B">
        <w:rPr>
          <w:rFonts w:ascii="Times New Roman" w:hAnsi="Times New Roman" w:cs="Times New Roman"/>
          <w:sz w:val="24"/>
          <w:szCs w:val="24"/>
        </w:rPr>
        <w:t>, January 3, 1915, CZA L2/48-140.</w:t>
      </w:r>
    </w:p>
  </w:footnote>
  <w:footnote w:id="11">
    <w:p w14:paraId="63E8BCB0" w14:textId="77BA95BA" w:rsidR="009327BD" w:rsidRPr="00B91504" w:rsidRDefault="009327BD" w:rsidP="00B91504">
      <w:pPr>
        <w:pStyle w:val="NormalWeb"/>
        <w:spacing w:line="360" w:lineRule="auto"/>
      </w:pPr>
      <w:r w:rsidRPr="00B91504">
        <w:rPr>
          <w:rStyle w:val="FootnoteReference"/>
        </w:rPr>
        <w:footnoteRef/>
      </w:r>
      <w:r w:rsidRPr="00B91504">
        <w:t xml:space="preserve"> Itzhak Ben-</w:t>
      </w:r>
      <w:proofErr w:type="spellStart"/>
      <w:r w:rsidRPr="00B91504">
        <w:t>Zvi</w:t>
      </w:r>
      <w:proofErr w:type="spellEnd"/>
      <w:r w:rsidRPr="00B91504">
        <w:t xml:space="preserve">, </w:t>
      </w:r>
      <w:proofErr w:type="spellStart"/>
      <w:proofErr w:type="gramStart"/>
      <w:r w:rsidRPr="00B91504">
        <w:rPr>
          <w:i/>
          <w:iCs/>
        </w:rPr>
        <w:t>Po‘</w:t>
      </w:r>
      <w:proofErr w:type="gramEnd"/>
      <w:r w:rsidRPr="00B91504">
        <w:rPr>
          <w:i/>
          <w:iCs/>
        </w:rPr>
        <w:t>alei</w:t>
      </w:r>
      <w:proofErr w:type="spellEnd"/>
      <w:r w:rsidRPr="00B91504">
        <w:rPr>
          <w:i/>
          <w:iCs/>
        </w:rPr>
        <w:t xml:space="preserve"> </w:t>
      </w:r>
      <w:proofErr w:type="spellStart"/>
      <w:r w:rsidRPr="00B91504">
        <w:rPr>
          <w:i/>
          <w:iCs/>
        </w:rPr>
        <w:t>Tziyyon</w:t>
      </w:r>
      <w:proofErr w:type="spellEnd"/>
      <w:r w:rsidRPr="00B91504">
        <w:rPr>
          <w:i/>
          <w:iCs/>
        </w:rPr>
        <w:t xml:space="preserve"> Ba-‘</w:t>
      </w:r>
      <w:proofErr w:type="spellStart"/>
      <w:r w:rsidRPr="00B91504">
        <w:rPr>
          <w:i/>
          <w:iCs/>
        </w:rPr>
        <w:t>aliyah</w:t>
      </w:r>
      <w:proofErr w:type="spellEnd"/>
      <w:r w:rsidRPr="00B91504">
        <w:rPr>
          <w:i/>
          <w:iCs/>
        </w:rPr>
        <w:t xml:space="preserve"> Ha-</w:t>
      </w:r>
      <w:proofErr w:type="spellStart"/>
      <w:r w:rsidRPr="00B91504">
        <w:rPr>
          <w:i/>
          <w:iCs/>
        </w:rPr>
        <w:t>sheniyah</w:t>
      </w:r>
      <w:proofErr w:type="spellEnd"/>
      <w:r w:rsidRPr="00B91504">
        <w:t xml:space="preserve"> (Tel Aviv: </w:t>
      </w:r>
      <w:proofErr w:type="spellStart"/>
      <w:r w:rsidRPr="00B91504">
        <w:t>Mifleget</w:t>
      </w:r>
      <w:proofErr w:type="spellEnd"/>
      <w:r w:rsidRPr="00B91504">
        <w:t xml:space="preserve"> </w:t>
      </w:r>
      <w:proofErr w:type="spellStart"/>
      <w:r w:rsidRPr="00B91504">
        <w:t>Po‘alei</w:t>
      </w:r>
      <w:proofErr w:type="spellEnd"/>
      <w:r w:rsidRPr="00B91504">
        <w:t xml:space="preserve"> Eretz </w:t>
      </w:r>
      <w:proofErr w:type="spellStart"/>
      <w:r w:rsidRPr="00B91504">
        <w:t>Yisrael</w:t>
      </w:r>
      <w:proofErr w:type="spellEnd"/>
      <w:r w:rsidRPr="00B91504">
        <w:t>, 1950), 154</w:t>
      </w:r>
      <w:r>
        <w:t>.</w:t>
      </w:r>
    </w:p>
  </w:footnote>
  <w:footnote w:id="12">
    <w:p w14:paraId="15E0DF87" w14:textId="004DFACA" w:rsidR="009327BD" w:rsidRDefault="009327BD" w:rsidP="00B91504">
      <w:pPr>
        <w:pStyle w:val="FootnoteText"/>
        <w:spacing w:line="360" w:lineRule="auto"/>
      </w:pPr>
      <w:r w:rsidRPr="00B91504">
        <w:rPr>
          <w:rStyle w:val="FootnoteReference"/>
          <w:rFonts w:ascii="Times New Roman" w:hAnsi="Times New Roman" w:cs="Times New Roman"/>
          <w:sz w:val="24"/>
          <w:szCs w:val="24"/>
        </w:rPr>
        <w:footnoteRef/>
      </w:r>
      <w:r w:rsidRPr="00B91504">
        <w:rPr>
          <w:rFonts w:ascii="Times New Roman" w:hAnsi="Times New Roman" w:cs="Times New Roman"/>
          <w:sz w:val="24"/>
          <w:szCs w:val="24"/>
        </w:rPr>
        <w:t xml:space="preserve"> Shabtai </w:t>
      </w:r>
      <w:proofErr w:type="spellStart"/>
      <w:r w:rsidRPr="00B91504">
        <w:rPr>
          <w:rFonts w:ascii="Times New Roman" w:hAnsi="Times New Roman" w:cs="Times New Roman"/>
          <w:sz w:val="24"/>
          <w:szCs w:val="24"/>
        </w:rPr>
        <w:t>Tevet</w:t>
      </w:r>
      <w:r>
        <w:rPr>
          <w:rFonts w:ascii="Times New Roman" w:hAnsi="Times New Roman" w:cs="Times New Roman"/>
          <w:sz w:val="24"/>
          <w:szCs w:val="24"/>
        </w:rPr>
        <w:t>h</w:t>
      </w:r>
      <w:proofErr w:type="spellEnd"/>
      <w:r w:rsidRPr="00B91504">
        <w:rPr>
          <w:rFonts w:ascii="Times New Roman" w:hAnsi="Times New Roman" w:cs="Times New Roman"/>
          <w:sz w:val="24"/>
          <w:szCs w:val="24"/>
        </w:rPr>
        <w:t xml:space="preserve">, </w:t>
      </w:r>
      <w:proofErr w:type="spellStart"/>
      <w:r w:rsidRPr="00B91504">
        <w:rPr>
          <w:rFonts w:ascii="Times New Roman" w:hAnsi="Times New Roman" w:cs="Times New Roman"/>
          <w:i/>
          <w:iCs/>
          <w:sz w:val="24"/>
          <w:szCs w:val="24"/>
        </w:rPr>
        <w:t>Kin’at</w:t>
      </w:r>
      <w:proofErr w:type="spellEnd"/>
      <w:r w:rsidRPr="00B91504">
        <w:rPr>
          <w:rFonts w:ascii="Times New Roman" w:hAnsi="Times New Roman" w:cs="Times New Roman"/>
          <w:i/>
          <w:iCs/>
          <w:sz w:val="24"/>
          <w:szCs w:val="24"/>
        </w:rPr>
        <w:t xml:space="preserve"> David: </w:t>
      </w:r>
      <w:proofErr w:type="spellStart"/>
      <w:r w:rsidRPr="00B91504">
        <w:rPr>
          <w:rFonts w:ascii="Times New Roman" w:hAnsi="Times New Roman" w:cs="Times New Roman"/>
          <w:i/>
          <w:iCs/>
          <w:sz w:val="24"/>
          <w:szCs w:val="24"/>
        </w:rPr>
        <w:t>Hayyei</w:t>
      </w:r>
      <w:proofErr w:type="spellEnd"/>
      <w:r w:rsidRPr="00B91504">
        <w:rPr>
          <w:rFonts w:ascii="Times New Roman" w:hAnsi="Times New Roman" w:cs="Times New Roman"/>
          <w:i/>
          <w:iCs/>
          <w:sz w:val="24"/>
          <w:szCs w:val="24"/>
        </w:rPr>
        <w:t xml:space="preserve"> David Ben-Gurion</w:t>
      </w:r>
      <w:r w:rsidRPr="00B91504">
        <w:rPr>
          <w:rFonts w:ascii="Times New Roman" w:hAnsi="Times New Roman" w:cs="Times New Roman"/>
          <w:sz w:val="24"/>
          <w:szCs w:val="24"/>
        </w:rPr>
        <w:t xml:space="preserve"> (Tel Aviv: </w:t>
      </w:r>
      <w:proofErr w:type="spellStart"/>
      <w:r w:rsidRPr="00B91504">
        <w:rPr>
          <w:rFonts w:ascii="Times New Roman" w:hAnsi="Times New Roman" w:cs="Times New Roman"/>
          <w:sz w:val="24"/>
          <w:szCs w:val="24"/>
        </w:rPr>
        <w:t>Schocken</w:t>
      </w:r>
      <w:proofErr w:type="spellEnd"/>
      <w:r w:rsidRPr="00B91504">
        <w:rPr>
          <w:rFonts w:ascii="Times New Roman" w:hAnsi="Times New Roman" w:cs="Times New Roman"/>
          <w:sz w:val="24"/>
          <w:szCs w:val="24"/>
        </w:rPr>
        <w:t>, 1977</w:t>
      </w:r>
      <w:r>
        <w:rPr>
          <w:rFonts w:ascii="Times New Roman" w:hAnsi="Times New Roman" w:cs="Times New Roman"/>
          <w:sz w:val="24"/>
          <w:szCs w:val="24"/>
        </w:rPr>
        <w:t>), 271–288.</w:t>
      </w:r>
    </w:p>
  </w:footnote>
  <w:footnote w:id="13">
    <w:p w14:paraId="00D84464" w14:textId="66FFFB54" w:rsidR="009327BD" w:rsidRPr="000B232F" w:rsidRDefault="009327BD" w:rsidP="009D7806">
      <w:pPr>
        <w:pStyle w:val="FootnoteText"/>
        <w:spacing w:line="360" w:lineRule="auto"/>
        <w:rPr>
          <w:rFonts w:ascii="Times New Roman" w:hAnsi="Times New Roman" w:cs="Times New Roman"/>
          <w:color w:val="000000" w:themeColor="text1"/>
          <w:sz w:val="24"/>
          <w:szCs w:val="24"/>
        </w:rPr>
      </w:pPr>
      <w:r w:rsidRPr="009D7806">
        <w:rPr>
          <w:rStyle w:val="FootnoteReference"/>
          <w:rFonts w:ascii="Times New Roman" w:hAnsi="Times New Roman" w:cs="Times New Roman"/>
          <w:sz w:val="24"/>
          <w:szCs w:val="24"/>
        </w:rPr>
        <w:footnoteRef/>
      </w:r>
      <w:r w:rsidRPr="009D7806">
        <w:rPr>
          <w:rFonts w:ascii="Times New Roman" w:hAnsi="Times New Roman" w:cs="Times New Roman"/>
          <w:sz w:val="24"/>
          <w:szCs w:val="24"/>
        </w:rPr>
        <w:t xml:space="preserve"> </w:t>
      </w:r>
      <w:r>
        <w:rPr>
          <w:rFonts w:ascii="Times New Roman" w:hAnsi="Times New Roman" w:cs="Times New Roman"/>
          <w:sz w:val="24"/>
          <w:szCs w:val="24"/>
        </w:rPr>
        <w:t>Cited in Michael Bar-Zohar</w:t>
      </w:r>
      <w:r>
        <w:rPr>
          <w:rFonts w:ascii="Times New Roman" w:hAnsi="Times New Roman" w:cs="Times New Roman"/>
          <w:i/>
          <w:iCs/>
          <w:sz w:val="24"/>
          <w:szCs w:val="24"/>
        </w:rPr>
        <w:t xml:space="preserve">, Ben-Gurion: </w:t>
      </w:r>
      <w:proofErr w:type="spellStart"/>
      <w:r>
        <w:rPr>
          <w:rFonts w:ascii="Times New Roman" w:hAnsi="Times New Roman" w:cs="Times New Roman"/>
          <w:i/>
          <w:iCs/>
          <w:sz w:val="24"/>
          <w:szCs w:val="24"/>
        </w:rPr>
        <w:t>Biografiyah</w:t>
      </w:r>
      <w:proofErr w:type="spellEnd"/>
      <w:r>
        <w:rPr>
          <w:rFonts w:ascii="Times New Roman" w:hAnsi="Times New Roman" w:cs="Times New Roman"/>
          <w:sz w:val="24"/>
          <w:szCs w:val="24"/>
        </w:rPr>
        <w:t xml:space="preserve"> (Jerusalem: </w:t>
      </w:r>
      <w:proofErr w:type="spellStart"/>
      <w:r>
        <w:rPr>
          <w:rFonts w:ascii="Times New Roman" w:hAnsi="Times New Roman" w:cs="Times New Roman"/>
          <w:sz w:val="24"/>
          <w:szCs w:val="24"/>
        </w:rPr>
        <w:t>Keter</w:t>
      </w:r>
      <w:proofErr w:type="spellEnd"/>
      <w:r>
        <w:rPr>
          <w:rFonts w:ascii="Times New Roman" w:hAnsi="Times New Roman" w:cs="Times New Roman"/>
          <w:sz w:val="24"/>
          <w:szCs w:val="24"/>
        </w:rPr>
        <w:t xml:space="preserve">, 1975), 54–55. </w:t>
      </w:r>
      <w:proofErr w:type="spellStart"/>
      <w:r w:rsidRPr="000B232F">
        <w:rPr>
          <w:rFonts w:ascii="Times New Roman" w:hAnsi="Times New Roman" w:cs="Times New Roman" w:hint="cs"/>
          <w:i/>
          <w:iCs/>
          <w:color w:val="FF0000"/>
          <w:sz w:val="24"/>
          <w:szCs w:val="24"/>
          <w:highlight w:val="cyan"/>
          <w:rtl/>
        </w:rPr>
        <w:t>הציט</w:t>
      </w:r>
      <w:proofErr w:type="spellEnd"/>
      <w:r>
        <w:rPr>
          <w:rFonts w:ascii="Times New Roman" w:hAnsi="Times New Roman" w:cs="Times New Roman"/>
          <w:i/>
          <w:iCs/>
          <w:color w:val="FF0000"/>
          <w:sz w:val="24"/>
          <w:szCs w:val="24"/>
          <w:highlight w:val="cyan"/>
        </w:rPr>
        <w:t>U</w:t>
      </w:r>
      <w:r w:rsidRPr="000B232F">
        <w:rPr>
          <w:rFonts w:ascii="Times New Roman" w:hAnsi="Times New Roman" w:cs="Times New Roman" w:hint="cs"/>
          <w:i/>
          <w:iCs/>
          <w:color w:val="FF0000"/>
          <w:sz w:val="24"/>
          <w:szCs w:val="24"/>
          <w:highlight w:val="cyan"/>
          <w:rtl/>
        </w:rPr>
        <w:t>ט אינו מופיע במהדורה באנגלית. (בדקתי רק במהדורת 2000.)</w:t>
      </w:r>
      <w:r>
        <w:rPr>
          <w:rFonts w:ascii="Times New Roman" w:hAnsi="Times New Roman" w:cs="Times New Roman"/>
          <w:i/>
          <w:iCs/>
          <w:color w:val="FF0000"/>
          <w:sz w:val="24"/>
          <w:szCs w:val="24"/>
        </w:rPr>
        <w:t xml:space="preserve"> </w:t>
      </w:r>
      <w:r>
        <w:rPr>
          <w:rFonts w:ascii="Times New Roman" w:hAnsi="Times New Roman" w:cs="Times New Roman"/>
          <w:color w:val="000000" w:themeColor="text1"/>
          <w:sz w:val="24"/>
          <w:szCs w:val="24"/>
        </w:rPr>
        <w:t xml:space="preserve">Shabtai </w:t>
      </w:r>
      <w:proofErr w:type="spellStart"/>
      <w:r>
        <w:rPr>
          <w:rFonts w:ascii="Times New Roman" w:hAnsi="Times New Roman" w:cs="Times New Roman"/>
          <w:color w:val="000000" w:themeColor="text1"/>
          <w:sz w:val="24"/>
          <w:szCs w:val="24"/>
        </w:rPr>
        <w:t>Teveth</w:t>
      </w:r>
      <w:proofErr w:type="spellEnd"/>
      <w:r>
        <w:rPr>
          <w:rFonts w:ascii="Times New Roman" w:hAnsi="Times New Roman" w:cs="Times New Roman"/>
          <w:color w:val="000000" w:themeColor="text1"/>
          <w:sz w:val="24"/>
          <w:szCs w:val="24"/>
        </w:rPr>
        <w:t xml:space="preserve"> makes it clear that Ben-Gurion’s aspiration was impossible, because of the composition of the Yishuv, the division of Palestine into three electoral districts, and the fact that most Jews in the Jerusalem district were foreign nationals and thus ineligible to vote </w:t>
      </w:r>
      <w:r w:rsidR="0047051D">
        <w:rPr>
          <w:rFonts w:ascii="Times New Roman" w:hAnsi="Times New Roman" w:cs="Times New Roman"/>
          <w:color w:val="000000" w:themeColor="text1"/>
          <w:sz w:val="24"/>
          <w:szCs w:val="24"/>
        </w:rPr>
        <w:t xml:space="preserve">for </w:t>
      </w:r>
      <w:r>
        <w:rPr>
          <w:rFonts w:ascii="Times New Roman" w:hAnsi="Times New Roman" w:cs="Times New Roman"/>
          <w:color w:val="000000" w:themeColor="text1"/>
          <w:sz w:val="24"/>
          <w:szCs w:val="24"/>
        </w:rPr>
        <w:t xml:space="preserve">or be elected to the parliament. Ben-Gurion’s chances of being elected to the centers of decision-making were very slight, and indeed it was representatives of the central Arab families who were elected. See </w:t>
      </w:r>
      <w:proofErr w:type="spellStart"/>
      <w:r>
        <w:rPr>
          <w:rFonts w:ascii="Times New Roman" w:hAnsi="Times New Roman" w:cs="Times New Roman"/>
          <w:color w:val="000000" w:themeColor="text1"/>
          <w:sz w:val="24"/>
          <w:szCs w:val="24"/>
        </w:rPr>
        <w:t>Teveth</w:t>
      </w:r>
      <w:proofErr w:type="spellEnd"/>
      <w:r>
        <w:rPr>
          <w:rFonts w:ascii="Times New Roman" w:hAnsi="Times New Roman" w:cs="Times New Roman"/>
          <w:color w:val="000000" w:themeColor="text1"/>
          <w:sz w:val="24"/>
          <w:szCs w:val="24"/>
        </w:rPr>
        <w:t xml:space="preserve">, </w:t>
      </w:r>
      <w:proofErr w:type="spellStart"/>
      <w:r w:rsidRPr="00B91504">
        <w:rPr>
          <w:rFonts w:ascii="Times New Roman" w:hAnsi="Times New Roman" w:cs="Times New Roman"/>
          <w:i/>
          <w:iCs/>
          <w:sz w:val="24"/>
          <w:szCs w:val="24"/>
        </w:rPr>
        <w:t>Kin’at</w:t>
      </w:r>
      <w:proofErr w:type="spellEnd"/>
      <w:r w:rsidRPr="00B91504">
        <w:rPr>
          <w:rFonts w:ascii="Times New Roman" w:hAnsi="Times New Roman" w:cs="Times New Roman"/>
          <w:i/>
          <w:iCs/>
          <w:sz w:val="24"/>
          <w:szCs w:val="24"/>
        </w:rPr>
        <w:t xml:space="preserve"> David</w:t>
      </w:r>
      <w:r>
        <w:rPr>
          <w:rFonts w:ascii="Times New Roman" w:hAnsi="Times New Roman" w:cs="Times New Roman"/>
          <w:color w:val="000000" w:themeColor="text1"/>
          <w:sz w:val="24"/>
          <w:szCs w:val="24"/>
        </w:rPr>
        <w:t>, 237.</w:t>
      </w:r>
    </w:p>
  </w:footnote>
  <w:footnote w:id="14">
    <w:p w14:paraId="05D6EADA" w14:textId="64EB9679" w:rsidR="009327BD" w:rsidRPr="00C23A15" w:rsidRDefault="009327BD">
      <w:pPr>
        <w:pStyle w:val="FootnoteText"/>
      </w:pPr>
      <w:r>
        <w:rPr>
          <w:rStyle w:val="FootnoteReference"/>
        </w:rPr>
        <w:footnoteRef/>
      </w:r>
      <w:r>
        <w:t xml:space="preserve"> </w:t>
      </w:r>
      <w:r w:rsidRPr="00B91504">
        <w:rPr>
          <w:rFonts w:ascii="Times New Roman" w:hAnsi="Times New Roman" w:cs="Times New Roman"/>
          <w:sz w:val="24"/>
          <w:szCs w:val="24"/>
        </w:rPr>
        <w:t>Ben-</w:t>
      </w:r>
      <w:proofErr w:type="spellStart"/>
      <w:r w:rsidRPr="00B91504">
        <w:rPr>
          <w:rFonts w:ascii="Times New Roman" w:hAnsi="Times New Roman" w:cs="Times New Roman"/>
          <w:sz w:val="24"/>
          <w:szCs w:val="24"/>
        </w:rPr>
        <w:t>Zvi</w:t>
      </w:r>
      <w:proofErr w:type="spellEnd"/>
      <w:r w:rsidRPr="00B91504">
        <w:rPr>
          <w:rFonts w:ascii="Times New Roman" w:hAnsi="Times New Roman" w:cs="Times New Roman"/>
          <w:sz w:val="24"/>
          <w:szCs w:val="24"/>
        </w:rPr>
        <w:t xml:space="preserve">, </w:t>
      </w:r>
      <w:proofErr w:type="spellStart"/>
      <w:proofErr w:type="gramStart"/>
      <w:r w:rsidRPr="00B91504">
        <w:rPr>
          <w:rFonts w:ascii="Times New Roman" w:hAnsi="Times New Roman" w:cs="Times New Roman"/>
          <w:i/>
          <w:iCs/>
          <w:sz w:val="24"/>
          <w:szCs w:val="24"/>
        </w:rPr>
        <w:t>Po‘</w:t>
      </w:r>
      <w:proofErr w:type="gramEnd"/>
      <w:r w:rsidRPr="00B91504">
        <w:rPr>
          <w:rFonts w:ascii="Times New Roman" w:hAnsi="Times New Roman" w:cs="Times New Roman"/>
          <w:i/>
          <w:iCs/>
          <w:sz w:val="24"/>
          <w:szCs w:val="24"/>
        </w:rPr>
        <w:t>alei</w:t>
      </w:r>
      <w:proofErr w:type="spellEnd"/>
      <w:r w:rsidRPr="00B91504">
        <w:rPr>
          <w:rFonts w:ascii="Times New Roman" w:hAnsi="Times New Roman" w:cs="Times New Roman"/>
          <w:i/>
          <w:iCs/>
          <w:sz w:val="24"/>
          <w:szCs w:val="24"/>
        </w:rPr>
        <w:t xml:space="preserve"> </w:t>
      </w:r>
      <w:proofErr w:type="spellStart"/>
      <w:r w:rsidRPr="00B91504">
        <w:rPr>
          <w:rFonts w:ascii="Times New Roman" w:hAnsi="Times New Roman" w:cs="Times New Roman"/>
          <w:i/>
          <w:iCs/>
          <w:sz w:val="24"/>
          <w:szCs w:val="24"/>
        </w:rPr>
        <w:t>Tziyyon</w:t>
      </w:r>
      <w:proofErr w:type="spellEnd"/>
      <w:r w:rsidRPr="00B91504">
        <w:rPr>
          <w:rFonts w:ascii="Times New Roman" w:hAnsi="Times New Roman" w:cs="Times New Roman"/>
          <w:i/>
          <w:iCs/>
          <w:sz w:val="24"/>
          <w:szCs w:val="24"/>
        </w:rPr>
        <w:t xml:space="preserve"> Ba-‘</w:t>
      </w:r>
      <w:proofErr w:type="spellStart"/>
      <w:r w:rsidRPr="00B91504">
        <w:rPr>
          <w:rFonts w:ascii="Times New Roman" w:hAnsi="Times New Roman" w:cs="Times New Roman"/>
          <w:i/>
          <w:iCs/>
          <w:sz w:val="24"/>
          <w:szCs w:val="24"/>
        </w:rPr>
        <w:t>aliyah</w:t>
      </w:r>
      <w:proofErr w:type="spellEnd"/>
      <w:r w:rsidRPr="00B91504">
        <w:rPr>
          <w:rFonts w:ascii="Times New Roman" w:hAnsi="Times New Roman" w:cs="Times New Roman"/>
          <w:i/>
          <w:iCs/>
          <w:sz w:val="24"/>
          <w:szCs w:val="24"/>
        </w:rPr>
        <w:t xml:space="preserve"> Ha-</w:t>
      </w:r>
      <w:proofErr w:type="spellStart"/>
      <w:r w:rsidRPr="00B91504">
        <w:rPr>
          <w:rFonts w:ascii="Times New Roman" w:hAnsi="Times New Roman" w:cs="Times New Roman"/>
          <w:i/>
          <w:iCs/>
          <w:sz w:val="24"/>
          <w:szCs w:val="24"/>
        </w:rPr>
        <w:t>sheniyah</w:t>
      </w:r>
      <w:proofErr w:type="spellEnd"/>
      <w:r>
        <w:rPr>
          <w:rFonts w:ascii="Times New Roman" w:hAnsi="Times New Roman" w:cs="Times New Roman"/>
          <w:sz w:val="24"/>
          <w:szCs w:val="24"/>
        </w:rPr>
        <w:t>, 142.</w:t>
      </w:r>
    </w:p>
  </w:footnote>
  <w:footnote w:id="15">
    <w:p w14:paraId="3D9C06AE" w14:textId="052421DD" w:rsidR="009327BD" w:rsidRPr="00C4373A" w:rsidRDefault="009327BD" w:rsidP="00C4373A">
      <w:pPr>
        <w:pStyle w:val="FootnoteText"/>
        <w:spacing w:line="360" w:lineRule="auto"/>
        <w:rPr>
          <w:rFonts w:ascii="Times New Roman" w:hAnsi="Times New Roman" w:cs="Times New Roman"/>
          <w:color w:val="C00000"/>
          <w:sz w:val="24"/>
          <w:szCs w:val="24"/>
        </w:rPr>
      </w:pPr>
      <w:r w:rsidRPr="00C4373A">
        <w:rPr>
          <w:rStyle w:val="FootnoteReference"/>
          <w:rFonts w:ascii="Times New Roman" w:hAnsi="Times New Roman" w:cs="Times New Roman"/>
          <w:sz w:val="24"/>
          <w:szCs w:val="24"/>
        </w:rPr>
        <w:footnoteRef/>
      </w:r>
      <w:r w:rsidRPr="00C4373A">
        <w:rPr>
          <w:rFonts w:ascii="Times New Roman" w:hAnsi="Times New Roman" w:cs="Times New Roman"/>
          <w:sz w:val="24"/>
          <w:szCs w:val="24"/>
        </w:rPr>
        <w:t xml:space="preserve"> Israel </w:t>
      </w:r>
      <w:proofErr w:type="spellStart"/>
      <w:r w:rsidRPr="00C4373A">
        <w:rPr>
          <w:rFonts w:ascii="Times New Roman" w:hAnsi="Times New Roman" w:cs="Times New Roman"/>
          <w:sz w:val="24"/>
          <w:szCs w:val="24"/>
        </w:rPr>
        <w:t>Bartal</w:t>
      </w:r>
      <w:proofErr w:type="spellEnd"/>
      <w:r w:rsidRPr="00C4373A">
        <w:rPr>
          <w:rFonts w:ascii="Times New Roman" w:hAnsi="Times New Roman" w:cs="Times New Roman"/>
          <w:sz w:val="24"/>
          <w:szCs w:val="24"/>
        </w:rPr>
        <w:t xml:space="preserve">, </w:t>
      </w:r>
      <w:r w:rsidRPr="00C4373A">
        <w:rPr>
          <w:rFonts w:ascii="Times New Roman" w:hAnsi="Times New Roman" w:cs="Times New Roman"/>
          <w:i/>
          <w:iCs/>
          <w:sz w:val="24"/>
          <w:szCs w:val="24"/>
        </w:rPr>
        <w:t>Kozak U-</w:t>
      </w:r>
      <w:proofErr w:type="spellStart"/>
      <w:r w:rsidRPr="00C4373A">
        <w:rPr>
          <w:rFonts w:ascii="Times New Roman" w:hAnsi="Times New Roman" w:cs="Times New Roman"/>
          <w:i/>
          <w:iCs/>
          <w:sz w:val="24"/>
          <w:szCs w:val="24"/>
        </w:rPr>
        <w:t>bedwi</w:t>
      </w:r>
      <w:proofErr w:type="spellEnd"/>
      <w:r w:rsidRPr="00C4373A">
        <w:rPr>
          <w:rFonts w:ascii="Times New Roman" w:hAnsi="Times New Roman" w:cs="Times New Roman"/>
          <w:i/>
          <w:iCs/>
          <w:sz w:val="24"/>
          <w:szCs w:val="24"/>
        </w:rPr>
        <w:t xml:space="preserve">: “‘Am” </w:t>
      </w:r>
      <w:proofErr w:type="spellStart"/>
      <w:r w:rsidRPr="00C4373A">
        <w:rPr>
          <w:rFonts w:ascii="Times New Roman" w:hAnsi="Times New Roman" w:cs="Times New Roman"/>
          <w:i/>
          <w:iCs/>
          <w:sz w:val="24"/>
          <w:szCs w:val="24"/>
        </w:rPr>
        <w:t>Va</w:t>
      </w:r>
      <w:proofErr w:type="spellEnd"/>
      <w:proofErr w:type="gramStart"/>
      <w:r w:rsidRPr="00C4373A">
        <w:rPr>
          <w:rFonts w:ascii="Times New Roman" w:hAnsi="Times New Roman" w:cs="Times New Roman"/>
          <w:i/>
          <w:iCs/>
          <w:sz w:val="24"/>
          <w:szCs w:val="24"/>
        </w:rPr>
        <w:t>-“</w:t>
      </w:r>
      <w:proofErr w:type="spellStart"/>
      <w:proofErr w:type="gramEnd"/>
      <w:r w:rsidRPr="00C4373A">
        <w:rPr>
          <w:rFonts w:ascii="Times New Roman" w:hAnsi="Times New Roman" w:cs="Times New Roman"/>
          <w:i/>
          <w:iCs/>
          <w:sz w:val="24"/>
          <w:szCs w:val="24"/>
        </w:rPr>
        <w:t>Aretz</w:t>
      </w:r>
      <w:proofErr w:type="spellEnd"/>
      <w:r w:rsidRPr="00C4373A">
        <w:rPr>
          <w:rFonts w:ascii="Times New Roman" w:hAnsi="Times New Roman" w:cs="Times New Roman"/>
          <w:i/>
          <w:iCs/>
          <w:sz w:val="24"/>
          <w:szCs w:val="24"/>
        </w:rPr>
        <w:t>” Ba-</w:t>
      </w:r>
      <w:proofErr w:type="spellStart"/>
      <w:r w:rsidRPr="00C4373A">
        <w:rPr>
          <w:rFonts w:ascii="Times New Roman" w:hAnsi="Times New Roman" w:cs="Times New Roman"/>
          <w:i/>
          <w:iCs/>
          <w:sz w:val="24"/>
          <w:szCs w:val="24"/>
        </w:rPr>
        <w:t>le’umiyut</w:t>
      </w:r>
      <w:proofErr w:type="spellEnd"/>
      <w:r w:rsidRPr="00C4373A">
        <w:rPr>
          <w:rFonts w:ascii="Times New Roman" w:hAnsi="Times New Roman" w:cs="Times New Roman"/>
          <w:i/>
          <w:iCs/>
          <w:sz w:val="24"/>
          <w:szCs w:val="24"/>
        </w:rPr>
        <w:t xml:space="preserve"> Ha-</w:t>
      </w:r>
      <w:proofErr w:type="spellStart"/>
      <w:r w:rsidRPr="00C4373A">
        <w:rPr>
          <w:rFonts w:ascii="Times New Roman" w:hAnsi="Times New Roman" w:cs="Times New Roman"/>
          <w:i/>
          <w:iCs/>
          <w:sz w:val="24"/>
          <w:szCs w:val="24"/>
        </w:rPr>
        <w:t>yehudit</w:t>
      </w:r>
      <w:proofErr w:type="spellEnd"/>
      <w:r w:rsidRPr="00C4373A">
        <w:rPr>
          <w:rFonts w:ascii="Times New Roman" w:hAnsi="Times New Roman" w:cs="Times New Roman"/>
          <w:i/>
          <w:iCs/>
          <w:sz w:val="24"/>
          <w:szCs w:val="24"/>
        </w:rPr>
        <w:t xml:space="preserve"> </w:t>
      </w:r>
      <w:r w:rsidRPr="00C4373A">
        <w:rPr>
          <w:rFonts w:ascii="Times New Roman" w:hAnsi="Times New Roman" w:cs="Times New Roman"/>
          <w:sz w:val="24"/>
          <w:szCs w:val="24"/>
        </w:rPr>
        <w:t>[</w:t>
      </w:r>
      <w:r w:rsidRPr="00C4373A">
        <w:rPr>
          <w:rFonts w:ascii="Times New Roman" w:hAnsi="Times New Roman" w:cs="Times New Roman"/>
          <w:i/>
          <w:iCs/>
          <w:sz w:val="24"/>
          <w:szCs w:val="24"/>
        </w:rPr>
        <w:t xml:space="preserve">Cossack and </w:t>
      </w:r>
      <w:proofErr w:type="spellStart"/>
      <w:r w:rsidRPr="00C4373A">
        <w:rPr>
          <w:rFonts w:ascii="Times New Roman" w:hAnsi="Times New Roman" w:cs="Times New Roman"/>
          <w:i/>
          <w:iCs/>
          <w:sz w:val="24"/>
          <w:szCs w:val="24"/>
        </w:rPr>
        <w:t>Beduin</w:t>
      </w:r>
      <w:proofErr w:type="spellEnd"/>
      <w:r w:rsidRPr="00C4373A">
        <w:rPr>
          <w:rFonts w:ascii="Times New Roman" w:hAnsi="Times New Roman" w:cs="Times New Roman"/>
          <w:i/>
          <w:iCs/>
          <w:sz w:val="24"/>
          <w:szCs w:val="24"/>
        </w:rPr>
        <w:t>: Land and People in Jewish Nationalism</w:t>
      </w:r>
      <w:r w:rsidRPr="00C4373A">
        <w:rPr>
          <w:rFonts w:ascii="Times New Roman" w:hAnsi="Times New Roman" w:cs="Times New Roman"/>
          <w:sz w:val="24"/>
          <w:szCs w:val="24"/>
        </w:rPr>
        <w:t>] (Tel Aviv: Am Oved, 2007).</w:t>
      </w:r>
      <w:r>
        <w:rPr>
          <w:rFonts w:ascii="Times New Roman" w:hAnsi="Times New Roman" w:cs="Times New Roman"/>
          <w:sz w:val="24"/>
          <w:szCs w:val="24"/>
        </w:rPr>
        <w:t xml:space="preserve"> </w:t>
      </w:r>
      <w:r w:rsidRPr="00C4373A">
        <w:rPr>
          <w:rFonts w:ascii="Arial Hebrew" w:hAnsi="Arial Hebrew" w:cs="Arial Hebrew" w:hint="cs"/>
          <w:color w:val="FF0000"/>
          <w:sz w:val="24"/>
          <w:szCs w:val="24"/>
          <w:highlight w:val="cyan"/>
        </w:rPr>
        <w:t>[</w:t>
      </w:r>
      <w:r w:rsidRPr="00C4373A">
        <w:rPr>
          <w:rFonts w:ascii="Arial Hebrew" w:hAnsi="Arial Hebrew" w:cs="Arial Hebrew" w:hint="cs"/>
          <w:color w:val="FF0000"/>
          <w:sz w:val="24"/>
          <w:szCs w:val="24"/>
          <w:highlight w:val="cyan"/>
          <w:rtl/>
        </w:rPr>
        <w:t>הלא מן הראוי לציין מספר/י עמוד/ים לרעיון הזה?</w:t>
      </w:r>
      <w:r w:rsidRPr="00C4373A">
        <w:rPr>
          <w:rFonts w:ascii="Arial Hebrew" w:hAnsi="Arial Hebrew" w:cs="Arial Hebrew" w:hint="cs"/>
          <w:color w:val="FF0000"/>
          <w:sz w:val="24"/>
          <w:szCs w:val="24"/>
          <w:highlight w:val="cyan"/>
        </w:rPr>
        <w:t>]</w:t>
      </w:r>
    </w:p>
  </w:footnote>
  <w:footnote w:id="16">
    <w:p w14:paraId="4EE047C9" w14:textId="6CB5ACB6" w:rsidR="009327BD" w:rsidRPr="005E4B82" w:rsidRDefault="009327BD" w:rsidP="005E4B82">
      <w:pPr>
        <w:pStyle w:val="FootnoteText"/>
        <w:spacing w:line="360" w:lineRule="auto"/>
        <w:rPr>
          <w:rFonts w:ascii="Times New Roman" w:hAnsi="Times New Roman" w:cs="Times New Roman"/>
          <w:sz w:val="24"/>
          <w:szCs w:val="24"/>
        </w:rPr>
      </w:pPr>
      <w:r w:rsidRPr="005E4B82">
        <w:rPr>
          <w:rStyle w:val="FootnoteReference"/>
          <w:rFonts w:ascii="Times New Roman" w:hAnsi="Times New Roman" w:cs="Times New Roman"/>
          <w:sz w:val="24"/>
          <w:szCs w:val="24"/>
        </w:rPr>
        <w:footnoteRef/>
      </w:r>
      <w:r w:rsidRPr="005E4B82">
        <w:rPr>
          <w:rFonts w:ascii="Times New Roman" w:hAnsi="Times New Roman" w:cs="Times New Roman"/>
          <w:sz w:val="24"/>
          <w:szCs w:val="24"/>
        </w:rPr>
        <w:t xml:space="preserve"> </w:t>
      </w:r>
      <w:r>
        <w:rPr>
          <w:rFonts w:ascii="Times New Roman" w:hAnsi="Times New Roman" w:cs="Times New Roman"/>
          <w:sz w:val="24"/>
          <w:szCs w:val="24"/>
        </w:rPr>
        <w:t xml:space="preserve">David Ben-Gurion, “The Cancellation of the Capitulations” [Heb.], </w:t>
      </w:r>
      <w:r w:rsidRPr="005E4B82">
        <w:rPr>
          <w:rFonts w:ascii="Times New Roman" w:hAnsi="Times New Roman" w:cs="Times New Roman"/>
          <w:i/>
          <w:iCs/>
          <w:sz w:val="24"/>
          <w:szCs w:val="24"/>
        </w:rPr>
        <w:t>Ha-</w:t>
      </w:r>
      <w:proofErr w:type="spellStart"/>
      <w:r w:rsidRPr="005E4B82">
        <w:rPr>
          <w:rFonts w:ascii="Times New Roman" w:hAnsi="Times New Roman" w:cs="Times New Roman"/>
          <w:i/>
          <w:iCs/>
          <w:sz w:val="24"/>
          <w:szCs w:val="24"/>
        </w:rPr>
        <w:t>aḥdut</w:t>
      </w:r>
      <w:proofErr w:type="spellEnd"/>
      <w:r>
        <w:rPr>
          <w:rFonts w:ascii="Times New Roman" w:hAnsi="Times New Roman" w:cs="Times New Roman"/>
          <w:sz w:val="24"/>
          <w:szCs w:val="24"/>
        </w:rPr>
        <w:t xml:space="preserve"> 44–45, September 20, 1914, 12.</w:t>
      </w:r>
    </w:p>
  </w:footnote>
  <w:footnote w:id="17">
    <w:p w14:paraId="6419F6BE" w14:textId="5BCC2069" w:rsidR="009327BD" w:rsidRPr="000772CD" w:rsidRDefault="009327BD" w:rsidP="000772CD">
      <w:pPr>
        <w:pStyle w:val="FootnoteText"/>
        <w:spacing w:line="360" w:lineRule="auto"/>
        <w:rPr>
          <w:rFonts w:ascii="Times New Roman" w:hAnsi="Times New Roman" w:cs="Times New Roman"/>
          <w:sz w:val="24"/>
          <w:szCs w:val="24"/>
        </w:rPr>
      </w:pPr>
      <w:r w:rsidRPr="000772CD">
        <w:rPr>
          <w:rStyle w:val="FootnoteReference"/>
          <w:rFonts w:ascii="Times New Roman" w:hAnsi="Times New Roman" w:cs="Times New Roman"/>
          <w:sz w:val="24"/>
          <w:szCs w:val="24"/>
        </w:rPr>
        <w:footnoteRef/>
      </w:r>
      <w:r w:rsidRPr="000772CD">
        <w:rPr>
          <w:rFonts w:ascii="Times New Roman" w:hAnsi="Times New Roman" w:cs="Times New Roman"/>
          <w:sz w:val="24"/>
          <w:szCs w:val="24"/>
        </w:rPr>
        <w:t xml:space="preserve"> Ben-Gurion, “</w:t>
      </w:r>
      <w:proofErr w:type="spellStart"/>
      <w:r w:rsidRPr="000772CD">
        <w:rPr>
          <w:rFonts w:ascii="Times New Roman" w:hAnsi="Times New Roman" w:cs="Times New Roman"/>
          <w:i/>
          <w:iCs/>
          <w:sz w:val="24"/>
          <w:szCs w:val="24"/>
        </w:rPr>
        <w:t>Hakhshara</w:t>
      </w:r>
      <w:proofErr w:type="spellEnd"/>
      <w:r w:rsidRPr="000772CD">
        <w:rPr>
          <w:rFonts w:ascii="Times New Roman" w:hAnsi="Times New Roman" w:cs="Times New Roman"/>
          <w:i/>
          <w:iCs/>
          <w:sz w:val="24"/>
          <w:szCs w:val="24"/>
        </w:rPr>
        <w:t xml:space="preserve"> </w:t>
      </w:r>
      <w:proofErr w:type="spellStart"/>
      <w:r w:rsidRPr="000772CD">
        <w:rPr>
          <w:rFonts w:ascii="Times New Roman" w:hAnsi="Times New Roman" w:cs="Times New Roman"/>
          <w:i/>
          <w:iCs/>
          <w:sz w:val="24"/>
          <w:szCs w:val="24"/>
        </w:rPr>
        <w:t>Ezraḥit</w:t>
      </w:r>
      <w:proofErr w:type="spellEnd"/>
      <w:r w:rsidRPr="000772CD">
        <w:rPr>
          <w:rFonts w:ascii="Times New Roman" w:hAnsi="Times New Roman" w:cs="Times New Roman"/>
          <w:sz w:val="24"/>
          <w:szCs w:val="24"/>
        </w:rPr>
        <w:t>,” 3.</w:t>
      </w:r>
    </w:p>
  </w:footnote>
  <w:footnote w:id="18">
    <w:p w14:paraId="0F2A692C" w14:textId="2BA0FE5F" w:rsidR="009327BD" w:rsidRPr="00353C17" w:rsidRDefault="009327BD" w:rsidP="00353C17">
      <w:pPr>
        <w:pStyle w:val="FootnoteText"/>
        <w:spacing w:line="360" w:lineRule="auto"/>
        <w:rPr>
          <w:rFonts w:ascii="Times New Roman" w:hAnsi="Times New Roman" w:cs="Times New Roman"/>
          <w:sz w:val="24"/>
          <w:szCs w:val="24"/>
        </w:rPr>
      </w:pPr>
      <w:r w:rsidRPr="00353C17">
        <w:rPr>
          <w:rStyle w:val="FootnoteReference"/>
          <w:rFonts w:ascii="Times New Roman" w:hAnsi="Times New Roman" w:cs="Times New Roman"/>
          <w:sz w:val="24"/>
          <w:szCs w:val="24"/>
        </w:rPr>
        <w:footnoteRef/>
      </w:r>
      <w:r w:rsidRPr="00353C17">
        <w:rPr>
          <w:rFonts w:ascii="Times New Roman" w:hAnsi="Times New Roman" w:cs="Times New Roman"/>
          <w:sz w:val="24"/>
          <w:szCs w:val="24"/>
        </w:rPr>
        <w:t xml:space="preserve"> </w:t>
      </w:r>
      <w:r>
        <w:rPr>
          <w:rFonts w:ascii="Times New Roman" w:hAnsi="Times New Roman" w:cs="Times New Roman"/>
          <w:sz w:val="24"/>
          <w:szCs w:val="24"/>
        </w:rPr>
        <w:t xml:space="preserve">“The Jewish Community in Palestine” [Heb.], </w:t>
      </w:r>
      <w:r w:rsidRPr="00353C17">
        <w:rPr>
          <w:rFonts w:ascii="Times New Roman" w:hAnsi="Times New Roman" w:cs="Times New Roman"/>
          <w:i/>
          <w:iCs/>
          <w:sz w:val="24"/>
          <w:szCs w:val="24"/>
        </w:rPr>
        <w:t>Ha-</w:t>
      </w:r>
      <w:proofErr w:type="spellStart"/>
      <w:r w:rsidRPr="00353C17">
        <w:rPr>
          <w:rFonts w:ascii="Times New Roman" w:hAnsi="Times New Roman" w:cs="Times New Roman"/>
          <w:i/>
          <w:iCs/>
          <w:sz w:val="24"/>
          <w:szCs w:val="24"/>
        </w:rPr>
        <w:t>Ḥerut</w:t>
      </w:r>
      <w:proofErr w:type="spellEnd"/>
      <w:r>
        <w:rPr>
          <w:rFonts w:ascii="Times New Roman" w:hAnsi="Times New Roman" w:cs="Times New Roman"/>
          <w:sz w:val="24"/>
          <w:szCs w:val="24"/>
        </w:rPr>
        <w:t xml:space="preserve">, September 17–19, 1913. </w:t>
      </w:r>
      <w:r w:rsidRPr="00353C17">
        <w:rPr>
          <w:rFonts w:ascii="Helvetica" w:hAnsi="Helvetica" w:cs="Times New Roman"/>
          <w:i/>
          <w:iCs/>
          <w:color w:val="FF0000"/>
          <w:sz w:val="22"/>
          <w:szCs w:val="22"/>
        </w:rPr>
        <w:t>[Anonymous opinion piece? Editorial?]</w:t>
      </w:r>
    </w:p>
  </w:footnote>
  <w:footnote w:id="19">
    <w:p w14:paraId="0B31C716" w14:textId="2F6767CA" w:rsidR="009327BD" w:rsidRPr="00443C97" w:rsidRDefault="009327BD" w:rsidP="00443C97">
      <w:pPr>
        <w:pStyle w:val="FootnoteText"/>
        <w:spacing w:line="360" w:lineRule="auto"/>
        <w:rPr>
          <w:rFonts w:ascii="Times New Roman" w:hAnsi="Times New Roman" w:cs="Times New Roman"/>
          <w:sz w:val="24"/>
          <w:szCs w:val="24"/>
        </w:rPr>
      </w:pPr>
      <w:r w:rsidRPr="00443C97">
        <w:rPr>
          <w:rStyle w:val="FootnoteReference"/>
          <w:rFonts w:ascii="Times New Roman" w:hAnsi="Times New Roman" w:cs="Times New Roman"/>
          <w:sz w:val="24"/>
          <w:szCs w:val="24"/>
        </w:rPr>
        <w:footnoteRef/>
      </w:r>
      <w:r w:rsidRPr="00443C97">
        <w:rPr>
          <w:rFonts w:ascii="Times New Roman" w:hAnsi="Times New Roman" w:cs="Times New Roman"/>
          <w:sz w:val="24"/>
          <w:szCs w:val="24"/>
        </w:rPr>
        <w:t xml:space="preserve"> Albert Antébi and David Yellin, “To Our Jewish Brethren!” </w:t>
      </w:r>
      <w:r w:rsidRPr="00443C97">
        <w:rPr>
          <w:rFonts w:ascii="Times New Roman" w:hAnsi="Times New Roman" w:cs="Times New Roman"/>
          <w:i/>
          <w:iCs/>
          <w:sz w:val="24"/>
          <w:szCs w:val="24"/>
        </w:rPr>
        <w:t>Ha-</w:t>
      </w:r>
      <w:proofErr w:type="spellStart"/>
      <w:r w:rsidRPr="00443C97">
        <w:rPr>
          <w:rFonts w:ascii="Times New Roman" w:hAnsi="Times New Roman" w:cs="Times New Roman"/>
          <w:i/>
          <w:iCs/>
          <w:sz w:val="24"/>
          <w:szCs w:val="24"/>
        </w:rPr>
        <w:t>ḥerut</w:t>
      </w:r>
      <w:proofErr w:type="spellEnd"/>
      <w:r w:rsidRPr="00443C97">
        <w:rPr>
          <w:rFonts w:ascii="Times New Roman" w:hAnsi="Times New Roman" w:cs="Times New Roman"/>
          <w:sz w:val="24"/>
          <w:szCs w:val="24"/>
        </w:rPr>
        <w:t>, May 3, 1915, 1.</w:t>
      </w:r>
    </w:p>
  </w:footnote>
  <w:footnote w:id="20">
    <w:p w14:paraId="0292DEFD" w14:textId="41D1BC74" w:rsidR="009327BD" w:rsidRPr="00AC7462" w:rsidRDefault="009327BD" w:rsidP="00FE49CA">
      <w:pPr>
        <w:pStyle w:val="FootnoteText"/>
        <w:spacing w:line="360" w:lineRule="auto"/>
        <w:rPr>
          <w:rFonts w:ascii="Times New Roman" w:hAnsi="Times New Roman" w:cs="Times New Roman"/>
          <w:i/>
          <w:iCs/>
          <w:sz w:val="24"/>
          <w:szCs w:val="24"/>
        </w:rPr>
      </w:pPr>
      <w:r w:rsidRPr="00AC7462">
        <w:rPr>
          <w:rStyle w:val="FootnoteReference"/>
          <w:rFonts w:ascii="Times New Roman" w:hAnsi="Times New Roman" w:cs="Times New Roman"/>
          <w:sz w:val="24"/>
          <w:szCs w:val="24"/>
        </w:rPr>
        <w:footnoteRef/>
      </w:r>
      <w:r w:rsidRPr="00AC7462">
        <w:rPr>
          <w:rFonts w:ascii="Times New Roman" w:hAnsi="Times New Roman" w:cs="Times New Roman"/>
          <w:sz w:val="24"/>
          <w:szCs w:val="24"/>
        </w:rPr>
        <w:t xml:space="preserve"> See, for example, the articles</w:t>
      </w:r>
      <w:r>
        <w:t xml:space="preserve"> </w:t>
      </w:r>
      <w:r w:rsidRPr="00AC7462">
        <w:rPr>
          <w:i/>
          <w:iCs/>
          <w:color w:val="FF0000"/>
          <w:highlight w:val="cyan"/>
        </w:rPr>
        <w:t>[editorials?]</w:t>
      </w:r>
      <w:r w:rsidRPr="00AC7462">
        <w:rPr>
          <w:color w:val="FF0000"/>
        </w:rPr>
        <w:t xml:space="preserve"> </w:t>
      </w:r>
      <w:r>
        <w:rPr>
          <w:rFonts w:ascii="Times New Roman" w:hAnsi="Times New Roman" w:cs="Times New Roman"/>
          <w:color w:val="000000" w:themeColor="text1"/>
          <w:sz w:val="24"/>
          <w:szCs w:val="24"/>
        </w:rPr>
        <w:t xml:space="preserve">“We Are Ashamed at Having Left the Country” [Heb.], </w:t>
      </w:r>
      <w:r w:rsidRPr="00443C97">
        <w:rPr>
          <w:rFonts w:ascii="Times New Roman" w:hAnsi="Times New Roman" w:cs="Times New Roman"/>
          <w:i/>
          <w:iCs/>
          <w:sz w:val="24"/>
          <w:szCs w:val="24"/>
        </w:rPr>
        <w:t>Ha-</w:t>
      </w:r>
      <w:proofErr w:type="spellStart"/>
      <w:r w:rsidRPr="00443C97">
        <w:rPr>
          <w:rFonts w:ascii="Times New Roman" w:hAnsi="Times New Roman" w:cs="Times New Roman"/>
          <w:i/>
          <w:iCs/>
          <w:sz w:val="24"/>
          <w:szCs w:val="24"/>
        </w:rPr>
        <w:t>ḥerut</w:t>
      </w:r>
      <w:proofErr w:type="spellEnd"/>
      <w:r w:rsidRPr="00443C97">
        <w:rPr>
          <w:rFonts w:ascii="Times New Roman" w:hAnsi="Times New Roman" w:cs="Times New Roman"/>
          <w:sz w:val="24"/>
          <w:szCs w:val="24"/>
        </w:rPr>
        <w:t>,</w:t>
      </w:r>
      <w:r>
        <w:rPr>
          <w:rFonts w:ascii="Times New Roman" w:hAnsi="Times New Roman" w:cs="Times New Roman"/>
          <w:sz w:val="24"/>
          <w:szCs w:val="24"/>
        </w:rPr>
        <w:t xml:space="preserve"> January 3, 1915, and</w:t>
      </w:r>
      <w:r>
        <w:rPr>
          <w:rFonts w:ascii="Times New Roman" w:hAnsi="Times New Roman" w:cs="Times New Roman"/>
          <w:color w:val="000000" w:themeColor="text1"/>
          <w:sz w:val="24"/>
          <w:szCs w:val="24"/>
        </w:rPr>
        <w:t xml:space="preserve"> “Don’t Miss the Moment” [Heb.], </w:t>
      </w:r>
      <w:r w:rsidRPr="00443C97">
        <w:rPr>
          <w:rFonts w:ascii="Times New Roman" w:hAnsi="Times New Roman" w:cs="Times New Roman"/>
          <w:i/>
          <w:iCs/>
          <w:sz w:val="24"/>
          <w:szCs w:val="24"/>
        </w:rPr>
        <w:t>Ha-</w:t>
      </w:r>
      <w:proofErr w:type="spellStart"/>
      <w:r w:rsidRPr="00443C97">
        <w:rPr>
          <w:rFonts w:ascii="Times New Roman" w:hAnsi="Times New Roman" w:cs="Times New Roman"/>
          <w:i/>
          <w:iCs/>
          <w:sz w:val="24"/>
          <w:szCs w:val="24"/>
        </w:rPr>
        <w:t>ḥerut</w:t>
      </w:r>
      <w:proofErr w:type="spellEnd"/>
      <w:r w:rsidRPr="00443C97">
        <w:rPr>
          <w:rFonts w:ascii="Times New Roman" w:hAnsi="Times New Roman" w:cs="Times New Roman"/>
          <w:sz w:val="24"/>
          <w:szCs w:val="24"/>
        </w:rPr>
        <w:t xml:space="preserve">, </w:t>
      </w:r>
      <w:r>
        <w:rPr>
          <w:rFonts w:ascii="Times New Roman" w:hAnsi="Times New Roman" w:cs="Times New Roman"/>
          <w:sz w:val="24"/>
          <w:szCs w:val="24"/>
        </w:rPr>
        <w:t>May 17, 1915.</w:t>
      </w:r>
      <w:r>
        <w:rPr>
          <w:rFonts w:ascii="Times New Roman" w:hAnsi="Times New Roman" w:cs="Times New Roman"/>
          <w:color w:val="000000" w:themeColor="text1"/>
          <w:sz w:val="24"/>
          <w:szCs w:val="24"/>
        </w:rPr>
        <w:t xml:space="preserve"> </w:t>
      </w:r>
    </w:p>
  </w:footnote>
  <w:footnote w:id="21">
    <w:p w14:paraId="73EB464F" w14:textId="63BBCDA5" w:rsidR="009327BD" w:rsidRDefault="009327BD" w:rsidP="00FE49CA">
      <w:pPr>
        <w:pStyle w:val="FootnoteText"/>
        <w:spacing w:line="360" w:lineRule="auto"/>
      </w:pPr>
      <w:r>
        <w:rPr>
          <w:rStyle w:val="FootnoteReference"/>
        </w:rPr>
        <w:footnoteRef/>
      </w:r>
      <w:r>
        <w:t xml:space="preserve"> </w:t>
      </w:r>
      <w:r w:rsidRPr="00FE49CA">
        <w:rPr>
          <w:rFonts w:ascii="Times New Roman" w:hAnsi="Times New Roman" w:cs="Times New Roman"/>
          <w:sz w:val="24"/>
          <w:szCs w:val="24"/>
        </w:rPr>
        <w:t xml:space="preserve">Eliezer Ben-Yehuda, “Jews, Be Ottomans!” [Heb.], </w:t>
      </w:r>
      <w:r w:rsidRPr="00FE49CA">
        <w:rPr>
          <w:rFonts w:ascii="Times New Roman" w:hAnsi="Times New Roman" w:cs="Times New Roman"/>
          <w:i/>
          <w:iCs/>
          <w:sz w:val="24"/>
          <w:szCs w:val="24"/>
        </w:rPr>
        <w:t>Ha-</w:t>
      </w:r>
      <w:proofErr w:type="spellStart"/>
      <w:r w:rsidRPr="00FE49CA">
        <w:rPr>
          <w:rFonts w:ascii="Times New Roman" w:hAnsi="Times New Roman" w:cs="Times New Roman"/>
          <w:i/>
          <w:iCs/>
          <w:sz w:val="24"/>
          <w:szCs w:val="24"/>
        </w:rPr>
        <w:t>zvi</w:t>
      </w:r>
      <w:proofErr w:type="spellEnd"/>
      <w:r w:rsidRPr="00FE49CA">
        <w:rPr>
          <w:rFonts w:ascii="Times New Roman" w:hAnsi="Times New Roman" w:cs="Times New Roman"/>
          <w:sz w:val="24"/>
          <w:szCs w:val="24"/>
        </w:rPr>
        <w:t xml:space="preserve"> January </w:t>
      </w:r>
      <w:r>
        <w:rPr>
          <w:rFonts w:ascii="Times New Roman" w:hAnsi="Times New Roman" w:cs="Times New Roman"/>
          <w:sz w:val="24"/>
          <w:szCs w:val="24"/>
        </w:rPr>
        <w:t>12</w:t>
      </w:r>
      <w:r w:rsidRPr="00FE49CA">
        <w:rPr>
          <w:rFonts w:ascii="Times New Roman" w:hAnsi="Times New Roman" w:cs="Times New Roman"/>
          <w:sz w:val="24"/>
          <w:szCs w:val="24"/>
        </w:rPr>
        <w:t>, 1909, 1–2.</w:t>
      </w:r>
    </w:p>
  </w:footnote>
  <w:footnote w:id="22">
    <w:p w14:paraId="14C00FA0" w14:textId="0B80542C" w:rsidR="009327BD" w:rsidRPr="002B7C4E" w:rsidRDefault="009327BD" w:rsidP="002B7C4E">
      <w:pPr>
        <w:pStyle w:val="FootnoteText"/>
        <w:spacing w:line="360" w:lineRule="auto"/>
        <w:rPr>
          <w:rFonts w:ascii="Times New Roman" w:hAnsi="Times New Roman" w:cs="Times New Roman"/>
        </w:rPr>
      </w:pPr>
      <w:r w:rsidRPr="00121C11">
        <w:rPr>
          <w:rStyle w:val="FootnoteReference"/>
          <w:rFonts w:ascii="Times New Roman" w:hAnsi="Times New Roman" w:cs="Times New Roman"/>
          <w:sz w:val="24"/>
          <w:szCs w:val="24"/>
        </w:rPr>
        <w:footnoteRef/>
      </w:r>
      <w:r w:rsidRPr="00121C11">
        <w:rPr>
          <w:rFonts w:ascii="Times New Roman" w:hAnsi="Times New Roman" w:cs="Times New Roman"/>
          <w:sz w:val="24"/>
          <w:szCs w:val="24"/>
        </w:rPr>
        <w:t xml:space="preserve"> </w:t>
      </w:r>
      <w:r w:rsidRPr="002B7C4E">
        <w:rPr>
          <w:rFonts w:ascii="Times New Roman" w:hAnsi="Times New Roman" w:cs="Times New Roman"/>
          <w:sz w:val="24"/>
          <w:szCs w:val="24"/>
        </w:rPr>
        <w:t>Ben-Yehuda, “Jews, Be Ottomans!”</w:t>
      </w:r>
    </w:p>
  </w:footnote>
  <w:footnote w:id="23">
    <w:p w14:paraId="05C0D31E" w14:textId="18A568C5" w:rsidR="009327BD" w:rsidRPr="00AE7239" w:rsidRDefault="009327BD" w:rsidP="00A86132">
      <w:pPr>
        <w:spacing w:line="360" w:lineRule="auto"/>
        <w:rPr>
          <w:rFonts w:ascii="Times New Roman" w:eastAsia="Times New Roman" w:hAnsi="Times New Roman" w:cs="Times New Roman"/>
          <w:color w:val="C00000"/>
          <w:sz w:val="22"/>
          <w:szCs w:val="22"/>
        </w:rPr>
      </w:pPr>
      <w:r w:rsidRPr="00A86132">
        <w:rPr>
          <w:rStyle w:val="FootnoteReference"/>
          <w:rFonts w:ascii="Times New Roman" w:hAnsi="Times New Roman" w:cs="Times New Roman"/>
        </w:rPr>
        <w:footnoteRef/>
      </w:r>
      <w:r w:rsidRPr="00A86132">
        <w:rPr>
          <w:rFonts w:ascii="Times New Roman" w:hAnsi="Times New Roman" w:cs="Times New Roman"/>
        </w:rPr>
        <w:t xml:space="preserve"> </w:t>
      </w:r>
      <w:r>
        <w:rPr>
          <w:rFonts w:ascii="Times New Roman" w:hAnsi="Times New Roman" w:cs="Times New Roman"/>
        </w:rPr>
        <w:t xml:space="preserve">Eliezer </w:t>
      </w:r>
      <w:r w:rsidRPr="00A86132">
        <w:rPr>
          <w:rFonts w:ascii="Times New Roman" w:hAnsi="Times New Roman" w:cs="Times New Roman"/>
        </w:rPr>
        <w:t xml:space="preserve">Ben-Yehuda, </w:t>
      </w:r>
      <w:r w:rsidRPr="00121C11">
        <w:rPr>
          <w:rFonts w:ascii="Times New Roman" w:hAnsi="Times New Roman" w:cs="Times New Roman"/>
          <w:i/>
          <w:iCs/>
        </w:rPr>
        <w:t>Ha-</w:t>
      </w:r>
      <w:proofErr w:type="spellStart"/>
      <w:r w:rsidRPr="00121C11">
        <w:rPr>
          <w:rFonts w:ascii="Times New Roman" w:hAnsi="Times New Roman" w:cs="Times New Roman"/>
          <w:i/>
          <w:iCs/>
        </w:rPr>
        <w:t>ḥalom</w:t>
      </w:r>
      <w:proofErr w:type="spellEnd"/>
      <w:r w:rsidRPr="00121C11">
        <w:rPr>
          <w:rFonts w:ascii="Times New Roman" w:hAnsi="Times New Roman" w:cs="Times New Roman"/>
          <w:i/>
          <w:iCs/>
        </w:rPr>
        <w:t xml:space="preserve"> </w:t>
      </w:r>
      <w:proofErr w:type="spellStart"/>
      <w:r w:rsidRPr="00121C11">
        <w:rPr>
          <w:rFonts w:ascii="Times New Roman" w:hAnsi="Times New Roman" w:cs="Times New Roman"/>
          <w:i/>
          <w:iCs/>
        </w:rPr>
        <w:t>Ve-shivro</w:t>
      </w:r>
      <w:proofErr w:type="spellEnd"/>
      <w:r>
        <w:rPr>
          <w:rFonts w:ascii="Times New Roman" w:hAnsi="Times New Roman" w:cs="Times New Roman"/>
        </w:rPr>
        <w:t xml:space="preserve"> [</w:t>
      </w:r>
      <w:r w:rsidRPr="00A86132">
        <w:rPr>
          <w:rFonts w:ascii="Times New Roman" w:hAnsi="Times New Roman" w:cs="Times New Roman"/>
        </w:rPr>
        <w:t xml:space="preserve">A Dream </w:t>
      </w:r>
      <w:r>
        <w:rPr>
          <w:rFonts w:ascii="Times New Roman" w:hAnsi="Times New Roman" w:cs="Times New Roman"/>
        </w:rPr>
        <w:t>and Its Fulfillment] [</w:t>
      </w:r>
      <w:proofErr w:type="spellStart"/>
      <w:r>
        <w:rPr>
          <w:rFonts w:ascii="Times New Roman" w:hAnsi="Times New Roman" w:cs="Times New Roman"/>
        </w:rPr>
        <w:t>Kol</w:t>
      </w:r>
      <w:proofErr w:type="spellEnd"/>
      <w:r>
        <w:rPr>
          <w:rFonts w:ascii="Times New Roman" w:hAnsi="Times New Roman" w:cs="Times New Roman"/>
        </w:rPr>
        <w:t xml:space="preserve"> </w:t>
      </w:r>
      <w:proofErr w:type="spellStart"/>
      <w:r>
        <w:rPr>
          <w:rFonts w:ascii="Times New Roman" w:hAnsi="Times New Roman" w:cs="Times New Roman"/>
        </w:rPr>
        <w:t>Kitvei</w:t>
      </w:r>
      <w:proofErr w:type="spellEnd"/>
      <w:r>
        <w:rPr>
          <w:rFonts w:ascii="Times New Roman" w:hAnsi="Times New Roman" w:cs="Times New Roman"/>
        </w:rPr>
        <w:t xml:space="preserve"> Eliezer Ben-Yehuda, vol.1] (Jerusalem: Ben-Yehuda,</w:t>
      </w:r>
      <w:r w:rsidRPr="00A86132">
        <w:rPr>
          <w:rFonts w:ascii="Times New Roman" w:hAnsi="Times New Roman" w:cs="Times New Roman"/>
        </w:rPr>
        <w:t xml:space="preserve"> 1943</w:t>
      </w:r>
      <w:r>
        <w:rPr>
          <w:rFonts w:ascii="Times New Roman" w:hAnsi="Times New Roman" w:cs="Times New Roman"/>
        </w:rPr>
        <w:t>)</w:t>
      </w:r>
      <w:r w:rsidRPr="00A86132">
        <w:rPr>
          <w:rFonts w:ascii="Times New Roman" w:hAnsi="Times New Roman" w:cs="Times New Roman"/>
        </w:rPr>
        <w:t xml:space="preserve">, 48–56.  </w:t>
      </w:r>
      <w:r w:rsidRPr="00AE7239">
        <w:rPr>
          <w:rFonts w:ascii="Arial" w:hAnsi="Arial" w:cs="Arial"/>
          <w:i/>
          <w:iCs/>
          <w:color w:val="FF0000"/>
          <w:sz w:val="22"/>
          <w:szCs w:val="22"/>
          <w:highlight w:val="cyan"/>
        </w:rPr>
        <w:t xml:space="preserve">[In principle, this should be cited instead: </w:t>
      </w:r>
      <w:r w:rsidRPr="00AE7239">
        <w:rPr>
          <w:rFonts w:ascii="Arial" w:eastAsia="Times New Roman" w:hAnsi="Arial" w:cs="Arial"/>
          <w:color w:val="FF0000"/>
          <w:sz w:val="22"/>
          <w:szCs w:val="22"/>
          <w:highlight w:val="cyan"/>
          <w:shd w:val="clear" w:color="auto" w:fill="FFFFCC"/>
        </w:rPr>
        <w:t xml:space="preserve">Eliezer Ben-Yehuda. </w:t>
      </w:r>
      <w:r w:rsidRPr="00AE7239">
        <w:rPr>
          <w:rFonts w:ascii="Arial" w:eastAsia="Times New Roman" w:hAnsi="Arial" w:cs="Arial"/>
          <w:i/>
          <w:iCs/>
          <w:color w:val="FF0000"/>
          <w:sz w:val="22"/>
          <w:szCs w:val="22"/>
          <w:highlight w:val="cyan"/>
          <w:shd w:val="clear" w:color="auto" w:fill="FFFFCC"/>
        </w:rPr>
        <w:t>A Dream Come True</w:t>
      </w:r>
      <w:r w:rsidRPr="00AE7239">
        <w:rPr>
          <w:rFonts w:ascii="Arial" w:eastAsia="Times New Roman" w:hAnsi="Arial" w:cs="Arial"/>
          <w:color w:val="FF0000"/>
          <w:sz w:val="22"/>
          <w:szCs w:val="22"/>
          <w:highlight w:val="cyan"/>
          <w:shd w:val="clear" w:color="auto" w:fill="FFFFCC"/>
        </w:rPr>
        <w:t>, trans. T. Muraoka, ed. George Mandel (Boulde</w:t>
      </w:r>
      <w:r>
        <w:rPr>
          <w:rFonts w:ascii="Arial" w:eastAsia="Times New Roman" w:hAnsi="Arial" w:cs="Arial"/>
          <w:color w:val="FF0000"/>
          <w:sz w:val="22"/>
          <w:szCs w:val="22"/>
          <w:highlight w:val="cyan"/>
          <w:shd w:val="clear" w:color="auto" w:fill="FFFFCC"/>
        </w:rPr>
        <w:t>r</w:t>
      </w:r>
      <w:r w:rsidRPr="00AE7239">
        <w:rPr>
          <w:rFonts w:ascii="Arial" w:eastAsia="Times New Roman" w:hAnsi="Arial" w:cs="Arial"/>
          <w:color w:val="FF0000"/>
          <w:sz w:val="22"/>
          <w:szCs w:val="22"/>
          <w:highlight w:val="cyan"/>
          <w:shd w:val="clear" w:color="auto" w:fill="FFFFCC"/>
        </w:rPr>
        <w:t>: Westview Press, 1993)</w:t>
      </w:r>
      <w:r w:rsidRPr="00AE7239">
        <w:rPr>
          <w:rFonts w:ascii="Arial" w:eastAsia="Times New Roman" w:hAnsi="Arial" w:cs="Arial"/>
          <w:i/>
          <w:iCs/>
          <w:color w:val="FF0000"/>
          <w:sz w:val="22"/>
          <w:szCs w:val="22"/>
          <w:highlight w:val="cyan"/>
          <w:shd w:val="clear" w:color="auto" w:fill="FFFFCC"/>
        </w:rPr>
        <w:t>,</w:t>
      </w:r>
      <w:r w:rsidRPr="00AE7239">
        <w:rPr>
          <w:rFonts w:ascii="Arial" w:eastAsia="Times New Roman" w:hAnsi="Arial" w:cs="Arial"/>
          <w:color w:val="FF0000"/>
          <w:sz w:val="22"/>
          <w:szCs w:val="22"/>
          <w:highlight w:val="cyan"/>
          <w:shd w:val="clear" w:color="auto" w:fill="FFFFCC"/>
        </w:rPr>
        <w:t xml:space="preserve"> ??–87. </w:t>
      </w:r>
      <w:r w:rsidRPr="00AE7239">
        <w:rPr>
          <w:rFonts w:ascii="Arial" w:eastAsia="Times New Roman" w:hAnsi="Arial" w:cs="Arial"/>
          <w:i/>
          <w:iCs/>
          <w:color w:val="FF0000"/>
          <w:sz w:val="22"/>
          <w:szCs w:val="22"/>
          <w:highlight w:val="cyan"/>
          <w:shd w:val="clear" w:color="auto" w:fill="FFFFCC"/>
        </w:rPr>
        <w:t>(On p. 87 is the statement about being a citizen of Jerusalem, but I was unable to view the preceding pages online.)]</w:t>
      </w:r>
    </w:p>
    <w:p w14:paraId="32FAAA3E" w14:textId="516FDB8C" w:rsidR="009327BD" w:rsidRDefault="009327BD">
      <w:pPr>
        <w:pStyle w:val="FootnoteText"/>
      </w:pPr>
    </w:p>
  </w:footnote>
  <w:footnote w:id="24">
    <w:p w14:paraId="1C16049F" w14:textId="3601E586" w:rsidR="009327BD" w:rsidRPr="004661BF" w:rsidRDefault="009327BD" w:rsidP="004661BF">
      <w:pPr>
        <w:pStyle w:val="NormalWeb"/>
        <w:spacing w:line="360" w:lineRule="auto"/>
      </w:pPr>
      <w:r w:rsidRPr="004661BF">
        <w:rPr>
          <w:rStyle w:val="FootnoteReference"/>
        </w:rPr>
        <w:footnoteRef/>
      </w:r>
      <w:r w:rsidRPr="004661BF">
        <w:t xml:space="preserve"> </w:t>
      </w:r>
      <w:proofErr w:type="spellStart"/>
      <w:r w:rsidRPr="004661BF">
        <w:t>Avshalom</w:t>
      </w:r>
      <w:proofErr w:type="spellEnd"/>
      <w:r w:rsidRPr="004661BF">
        <w:t xml:space="preserve"> Rubin, </w:t>
      </w:r>
      <w:r w:rsidRPr="004661BF">
        <w:rPr>
          <w:i/>
          <w:iCs/>
        </w:rPr>
        <w:t xml:space="preserve">Jewish Nationalist, Ottoman Citizen: Zionism, </w:t>
      </w:r>
      <w:proofErr w:type="spellStart"/>
      <w:r w:rsidRPr="004661BF">
        <w:rPr>
          <w:i/>
          <w:iCs/>
        </w:rPr>
        <w:t>Ottomanism</w:t>
      </w:r>
      <w:proofErr w:type="spellEnd"/>
      <w:r w:rsidRPr="004661BF">
        <w:rPr>
          <w:i/>
          <w:iCs/>
        </w:rPr>
        <w:t>, and Modernity in the Writings of Eliezer Ben-</w:t>
      </w:r>
      <w:proofErr w:type="spellStart"/>
      <w:r w:rsidRPr="004661BF">
        <w:rPr>
          <w:i/>
          <w:iCs/>
        </w:rPr>
        <w:t>Yehudah</w:t>
      </w:r>
      <w:proofErr w:type="spellEnd"/>
      <w:r w:rsidRPr="004661BF">
        <w:rPr>
          <w:i/>
          <w:iCs/>
        </w:rPr>
        <w:t>, 1881</w:t>
      </w:r>
      <w:r>
        <w:rPr>
          <w:i/>
          <w:iCs/>
        </w:rPr>
        <w:t>–</w:t>
      </w:r>
      <w:r w:rsidRPr="004661BF">
        <w:rPr>
          <w:i/>
          <w:iCs/>
        </w:rPr>
        <w:t>1914</w:t>
      </w:r>
      <w:r w:rsidRPr="004661BF">
        <w:t>, (M.A. thesis, University of Chicago, 2005), 25–31.</w:t>
      </w:r>
    </w:p>
  </w:footnote>
  <w:footnote w:id="25">
    <w:p w14:paraId="6798A876" w14:textId="34C604EF" w:rsidR="009327BD" w:rsidRPr="00956EE4" w:rsidRDefault="009327BD" w:rsidP="00956EE4">
      <w:pPr>
        <w:pStyle w:val="FootnoteText"/>
        <w:spacing w:line="360" w:lineRule="auto"/>
        <w:rPr>
          <w:rFonts w:ascii="Times New Roman" w:hAnsi="Times New Roman" w:cs="Times New Roman"/>
          <w:sz w:val="24"/>
          <w:szCs w:val="24"/>
        </w:rPr>
      </w:pPr>
      <w:r w:rsidRPr="00956EE4">
        <w:rPr>
          <w:rStyle w:val="FootnoteReference"/>
          <w:rFonts w:ascii="Times New Roman" w:hAnsi="Times New Roman" w:cs="Times New Roman"/>
          <w:sz w:val="24"/>
          <w:szCs w:val="24"/>
        </w:rPr>
        <w:footnoteRef/>
      </w:r>
      <w:r w:rsidRPr="00956EE4">
        <w:rPr>
          <w:rFonts w:ascii="Times New Roman" w:hAnsi="Times New Roman" w:cs="Times New Roman"/>
          <w:sz w:val="24"/>
          <w:szCs w:val="24"/>
        </w:rPr>
        <w:t xml:space="preserve"> Rubin, </w:t>
      </w:r>
      <w:r w:rsidRPr="00956EE4">
        <w:rPr>
          <w:rFonts w:ascii="Times New Roman" w:hAnsi="Times New Roman" w:cs="Times New Roman"/>
          <w:i/>
          <w:iCs/>
          <w:sz w:val="24"/>
          <w:szCs w:val="24"/>
        </w:rPr>
        <w:t>Jewish Nationalist, Ottoman Citizen</w:t>
      </w:r>
      <w:r w:rsidRPr="00956EE4">
        <w:rPr>
          <w:rFonts w:ascii="Times New Roman" w:hAnsi="Times New Roman" w:cs="Times New Roman"/>
          <w:sz w:val="24"/>
          <w:szCs w:val="24"/>
        </w:rPr>
        <w:t>, 28–29</w:t>
      </w:r>
      <w:r>
        <w:rPr>
          <w:rFonts w:ascii="Times New Roman" w:hAnsi="Times New Roman" w:cs="Times New Roman"/>
          <w:sz w:val="24"/>
          <w:szCs w:val="24"/>
        </w:rPr>
        <w:t>.</w:t>
      </w:r>
    </w:p>
  </w:footnote>
  <w:footnote w:id="26">
    <w:p w14:paraId="62BFCC08" w14:textId="4A7959B9" w:rsidR="009327BD" w:rsidRPr="00EC41C9" w:rsidRDefault="009327BD" w:rsidP="00EC41C9">
      <w:pPr>
        <w:pStyle w:val="FootnoteText"/>
        <w:spacing w:line="360" w:lineRule="auto"/>
        <w:rPr>
          <w:rFonts w:asciiTheme="majorBidi" w:hAnsiTheme="majorBidi" w:cstheme="majorBidi"/>
          <w:sz w:val="24"/>
          <w:szCs w:val="24"/>
        </w:rPr>
      </w:pPr>
      <w:r w:rsidRPr="00EC41C9">
        <w:rPr>
          <w:rStyle w:val="FootnoteReference"/>
          <w:rFonts w:asciiTheme="majorBidi" w:hAnsiTheme="majorBidi" w:cstheme="majorBidi"/>
          <w:sz w:val="24"/>
          <w:szCs w:val="24"/>
        </w:rPr>
        <w:footnoteRef/>
      </w:r>
      <w:r w:rsidRPr="00EC41C9">
        <w:rPr>
          <w:rFonts w:asciiTheme="majorBidi" w:hAnsiTheme="majorBidi" w:cstheme="majorBidi"/>
          <w:sz w:val="24"/>
          <w:szCs w:val="24"/>
        </w:rPr>
        <w:t xml:space="preserve"> Y. Freeman, “The Question of Elections to the Parliament” [Heb.], </w:t>
      </w:r>
      <w:r w:rsidRPr="00EC41C9">
        <w:rPr>
          <w:rFonts w:asciiTheme="majorBidi" w:hAnsiTheme="majorBidi" w:cstheme="majorBidi"/>
          <w:i/>
          <w:iCs/>
          <w:sz w:val="24"/>
          <w:szCs w:val="24"/>
        </w:rPr>
        <w:t>Ha-</w:t>
      </w:r>
      <w:proofErr w:type="spellStart"/>
      <w:r w:rsidRPr="00EC41C9">
        <w:rPr>
          <w:rFonts w:asciiTheme="majorBidi" w:hAnsiTheme="majorBidi" w:cstheme="majorBidi"/>
          <w:i/>
          <w:iCs/>
          <w:sz w:val="24"/>
          <w:szCs w:val="24"/>
        </w:rPr>
        <w:t>Zvi</w:t>
      </w:r>
      <w:proofErr w:type="spellEnd"/>
      <w:r w:rsidRPr="00EC41C9">
        <w:rPr>
          <w:rFonts w:asciiTheme="majorBidi" w:hAnsiTheme="majorBidi" w:cstheme="majorBidi"/>
          <w:sz w:val="24"/>
          <w:szCs w:val="24"/>
        </w:rPr>
        <w:t>, October 2, 1908, 2.</w:t>
      </w:r>
    </w:p>
  </w:footnote>
  <w:footnote w:id="27">
    <w:p w14:paraId="778EC1A3" w14:textId="14CC320F" w:rsidR="009327BD" w:rsidRPr="00EC41C9" w:rsidRDefault="009327BD" w:rsidP="00EC41C9">
      <w:pPr>
        <w:pStyle w:val="FootnoteText"/>
        <w:spacing w:line="360" w:lineRule="auto"/>
      </w:pPr>
      <w:r w:rsidRPr="00EC41C9">
        <w:rPr>
          <w:rStyle w:val="FootnoteReference"/>
          <w:rFonts w:asciiTheme="majorBidi" w:hAnsiTheme="majorBidi" w:cstheme="majorBidi"/>
          <w:sz w:val="24"/>
          <w:szCs w:val="24"/>
        </w:rPr>
        <w:footnoteRef/>
      </w:r>
      <w:r w:rsidRPr="00EC41C9">
        <w:rPr>
          <w:rFonts w:asciiTheme="majorBidi" w:hAnsiTheme="majorBidi" w:cstheme="majorBidi"/>
          <w:sz w:val="24"/>
          <w:szCs w:val="24"/>
        </w:rPr>
        <w:t xml:space="preserve"> Yosef Lang, </w:t>
      </w:r>
      <w:r w:rsidRPr="00EC41C9">
        <w:rPr>
          <w:rFonts w:asciiTheme="majorBidi" w:hAnsiTheme="majorBidi" w:cstheme="majorBidi"/>
          <w:i/>
          <w:iCs/>
          <w:sz w:val="24"/>
          <w:szCs w:val="24"/>
        </w:rPr>
        <w:t>Dabber ‘</w:t>
      </w:r>
      <w:proofErr w:type="spellStart"/>
      <w:r w:rsidRPr="00EC41C9">
        <w:rPr>
          <w:rFonts w:asciiTheme="majorBidi" w:hAnsiTheme="majorBidi" w:cstheme="majorBidi"/>
          <w:i/>
          <w:iCs/>
          <w:sz w:val="24"/>
          <w:szCs w:val="24"/>
        </w:rPr>
        <w:t>Ivrit</w:t>
      </w:r>
      <w:proofErr w:type="spellEnd"/>
      <w:r w:rsidRPr="00EC41C9">
        <w:rPr>
          <w:rFonts w:asciiTheme="majorBidi" w:hAnsiTheme="majorBidi" w:cstheme="majorBidi"/>
          <w:i/>
          <w:iCs/>
          <w:sz w:val="24"/>
          <w:szCs w:val="24"/>
        </w:rPr>
        <w:t xml:space="preserve">! </w:t>
      </w:r>
      <w:proofErr w:type="spellStart"/>
      <w:r w:rsidRPr="00EC41C9">
        <w:rPr>
          <w:rFonts w:asciiTheme="majorBidi" w:hAnsiTheme="majorBidi" w:cstheme="majorBidi"/>
          <w:i/>
          <w:iCs/>
          <w:sz w:val="24"/>
          <w:szCs w:val="24"/>
        </w:rPr>
        <w:t>Ḥayyei</w:t>
      </w:r>
      <w:proofErr w:type="spellEnd"/>
      <w:r w:rsidRPr="00EC41C9">
        <w:rPr>
          <w:rFonts w:asciiTheme="majorBidi" w:hAnsiTheme="majorBidi" w:cstheme="majorBidi"/>
          <w:i/>
          <w:iCs/>
          <w:sz w:val="24"/>
          <w:szCs w:val="24"/>
        </w:rPr>
        <w:t xml:space="preserve"> </w:t>
      </w:r>
      <w:proofErr w:type="spellStart"/>
      <w:proofErr w:type="gramStart"/>
      <w:r w:rsidRPr="00EC41C9">
        <w:rPr>
          <w:rFonts w:asciiTheme="majorBidi" w:hAnsiTheme="majorBidi" w:cstheme="majorBidi"/>
          <w:i/>
          <w:iCs/>
          <w:sz w:val="24"/>
          <w:szCs w:val="24"/>
        </w:rPr>
        <w:t>Eli‘</w:t>
      </w:r>
      <w:proofErr w:type="gramEnd"/>
      <w:r w:rsidRPr="00EC41C9">
        <w:rPr>
          <w:rFonts w:asciiTheme="majorBidi" w:hAnsiTheme="majorBidi" w:cstheme="majorBidi"/>
          <w:i/>
          <w:iCs/>
          <w:sz w:val="24"/>
          <w:szCs w:val="24"/>
        </w:rPr>
        <w:t>ezer</w:t>
      </w:r>
      <w:proofErr w:type="spellEnd"/>
      <w:r w:rsidRPr="00EC41C9">
        <w:rPr>
          <w:rFonts w:asciiTheme="majorBidi" w:hAnsiTheme="majorBidi" w:cstheme="majorBidi"/>
          <w:i/>
          <w:iCs/>
          <w:sz w:val="24"/>
          <w:szCs w:val="24"/>
        </w:rPr>
        <w:t xml:space="preserve"> Ben-Yehuda </w:t>
      </w:r>
      <w:r w:rsidRPr="00EC41C9">
        <w:rPr>
          <w:rFonts w:asciiTheme="majorBidi" w:hAnsiTheme="majorBidi" w:cstheme="majorBidi"/>
          <w:sz w:val="24"/>
          <w:szCs w:val="24"/>
        </w:rPr>
        <w:t xml:space="preserve">[Speak Hebrew! The Life of Eliezer Ben-Yehuda], vol. 2 (Jerusalem: </w:t>
      </w:r>
      <w:proofErr w:type="spellStart"/>
      <w:r w:rsidRPr="00EC41C9">
        <w:rPr>
          <w:rFonts w:asciiTheme="majorBidi" w:hAnsiTheme="majorBidi" w:cstheme="majorBidi"/>
          <w:sz w:val="24"/>
          <w:szCs w:val="24"/>
        </w:rPr>
        <w:t>Yad</w:t>
      </w:r>
      <w:proofErr w:type="spellEnd"/>
      <w:r w:rsidRPr="00EC41C9">
        <w:rPr>
          <w:rFonts w:asciiTheme="majorBidi" w:hAnsiTheme="majorBidi" w:cstheme="majorBidi"/>
          <w:sz w:val="24"/>
          <w:szCs w:val="24"/>
        </w:rPr>
        <w:t xml:space="preserve"> </w:t>
      </w:r>
      <w:proofErr w:type="spellStart"/>
      <w:r w:rsidRPr="00EC41C9">
        <w:rPr>
          <w:rFonts w:asciiTheme="majorBidi" w:hAnsiTheme="majorBidi" w:cstheme="majorBidi"/>
          <w:sz w:val="24"/>
          <w:szCs w:val="24"/>
        </w:rPr>
        <w:t>Izhak</w:t>
      </w:r>
      <w:proofErr w:type="spellEnd"/>
      <w:r w:rsidRPr="00EC41C9">
        <w:rPr>
          <w:rFonts w:asciiTheme="majorBidi" w:hAnsiTheme="majorBidi" w:cstheme="majorBidi"/>
          <w:sz w:val="24"/>
          <w:szCs w:val="24"/>
        </w:rPr>
        <w:t xml:space="preserve"> Ben-</w:t>
      </w:r>
      <w:proofErr w:type="spellStart"/>
      <w:r w:rsidRPr="00EC41C9">
        <w:rPr>
          <w:rFonts w:asciiTheme="majorBidi" w:hAnsiTheme="majorBidi" w:cstheme="majorBidi"/>
          <w:sz w:val="24"/>
          <w:szCs w:val="24"/>
        </w:rPr>
        <w:t>Zvi</w:t>
      </w:r>
      <w:proofErr w:type="spellEnd"/>
      <w:r w:rsidRPr="00EC41C9">
        <w:rPr>
          <w:rFonts w:asciiTheme="majorBidi" w:hAnsiTheme="majorBidi" w:cstheme="majorBidi"/>
          <w:sz w:val="24"/>
          <w:szCs w:val="24"/>
        </w:rPr>
        <w:t>, 2008)</w:t>
      </w:r>
      <w:r>
        <w:rPr>
          <w:rFonts w:asciiTheme="majorBidi" w:hAnsiTheme="majorBidi" w:cstheme="majorBidi"/>
          <w:sz w:val="24"/>
          <w:szCs w:val="24"/>
        </w:rPr>
        <w:t>, 614–617</w:t>
      </w:r>
      <w:r w:rsidRPr="00EC41C9">
        <w:rPr>
          <w:rFonts w:asciiTheme="majorBidi" w:hAnsiTheme="majorBidi" w:cstheme="majorBidi"/>
          <w:sz w:val="24"/>
          <w:szCs w:val="24"/>
        </w:rPr>
        <w:t>.</w:t>
      </w:r>
    </w:p>
  </w:footnote>
  <w:footnote w:id="28">
    <w:p w14:paraId="28ADDE36" w14:textId="6068C557" w:rsidR="009327BD" w:rsidRPr="002F2F76" w:rsidRDefault="009327BD" w:rsidP="002F2F76">
      <w:pPr>
        <w:pStyle w:val="FootnoteText"/>
        <w:spacing w:line="360" w:lineRule="auto"/>
        <w:rPr>
          <w:rFonts w:ascii="Times New Roman" w:hAnsi="Times New Roman" w:cs="Times New Roman"/>
          <w:sz w:val="24"/>
          <w:szCs w:val="24"/>
        </w:rPr>
      </w:pPr>
      <w:r w:rsidRPr="002F2F76">
        <w:rPr>
          <w:rStyle w:val="FootnoteReference"/>
          <w:rFonts w:ascii="Times New Roman" w:hAnsi="Times New Roman" w:cs="Times New Roman"/>
          <w:sz w:val="24"/>
          <w:szCs w:val="24"/>
        </w:rPr>
        <w:footnoteRef/>
      </w:r>
      <w:r w:rsidRPr="002F2F76">
        <w:rPr>
          <w:rFonts w:ascii="Times New Roman" w:hAnsi="Times New Roman" w:cs="Times New Roman"/>
          <w:sz w:val="24"/>
          <w:szCs w:val="24"/>
        </w:rPr>
        <w:t xml:space="preserve"> “The Great Day” [Heb.], </w:t>
      </w:r>
      <w:r w:rsidRPr="002F2F76">
        <w:rPr>
          <w:rFonts w:ascii="Times New Roman" w:hAnsi="Times New Roman" w:cs="Times New Roman"/>
          <w:i/>
          <w:iCs/>
          <w:sz w:val="24"/>
          <w:szCs w:val="24"/>
        </w:rPr>
        <w:t>Ha-</w:t>
      </w:r>
      <w:proofErr w:type="spellStart"/>
      <w:r w:rsidRPr="002F2F76">
        <w:rPr>
          <w:rFonts w:ascii="Times New Roman" w:hAnsi="Times New Roman" w:cs="Times New Roman"/>
          <w:i/>
          <w:iCs/>
          <w:sz w:val="24"/>
          <w:szCs w:val="24"/>
        </w:rPr>
        <w:t>Zvi</w:t>
      </w:r>
      <w:proofErr w:type="spellEnd"/>
      <w:r w:rsidRPr="002F2F76">
        <w:rPr>
          <w:rFonts w:ascii="Times New Roman" w:hAnsi="Times New Roman" w:cs="Times New Roman"/>
          <w:sz w:val="24"/>
          <w:szCs w:val="24"/>
        </w:rPr>
        <w:t>, December 17, 1908.</w:t>
      </w:r>
    </w:p>
  </w:footnote>
  <w:footnote w:id="29">
    <w:p w14:paraId="6E988FC5" w14:textId="76E965B7" w:rsidR="009327BD" w:rsidRPr="002C16C1" w:rsidRDefault="009327BD" w:rsidP="002C16C1">
      <w:pPr>
        <w:pStyle w:val="FootnoteText"/>
        <w:spacing w:line="360" w:lineRule="auto"/>
        <w:rPr>
          <w:rFonts w:ascii="Times New Roman" w:hAnsi="Times New Roman" w:cs="Times New Roman"/>
          <w:sz w:val="24"/>
          <w:szCs w:val="24"/>
        </w:rPr>
      </w:pPr>
      <w:r w:rsidRPr="002F2F76">
        <w:rPr>
          <w:rStyle w:val="FootnoteReference"/>
          <w:rFonts w:ascii="Times New Roman" w:hAnsi="Times New Roman" w:cs="Times New Roman"/>
          <w:sz w:val="24"/>
          <w:szCs w:val="24"/>
        </w:rPr>
        <w:footnoteRef/>
      </w:r>
      <w:r w:rsidRPr="002F2F76">
        <w:rPr>
          <w:rFonts w:ascii="Times New Roman" w:hAnsi="Times New Roman" w:cs="Times New Roman"/>
          <w:sz w:val="24"/>
          <w:szCs w:val="24"/>
        </w:rPr>
        <w:t xml:space="preserve"> “</w:t>
      </w:r>
      <w:r w:rsidRPr="002C16C1">
        <w:rPr>
          <w:rFonts w:ascii="Times New Roman" w:hAnsi="Times New Roman" w:cs="Times New Roman"/>
          <w:sz w:val="24"/>
          <w:szCs w:val="24"/>
        </w:rPr>
        <w:t>Day by Day: The Great Day” [Heb.], Ha-</w:t>
      </w:r>
      <w:proofErr w:type="spellStart"/>
      <w:r w:rsidRPr="002C16C1">
        <w:rPr>
          <w:rFonts w:ascii="Times New Roman" w:hAnsi="Times New Roman" w:cs="Times New Roman"/>
          <w:sz w:val="24"/>
          <w:szCs w:val="24"/>
        </w:rPr>
        <w:t>Zvi</w:t>
      </w:r>
      <w:proofErr w:type="spellEnd"/>
      <w:r w:rsidRPr="002C16C1">
        <w:rPr>
          <w:rFonts w:ascii="Times New Roman" w:hAnsi="Times New Roman" w:cs="Times New Roman"/>
          <w:sz w:val="24"/>
          <w:szCs w:val="24"/>
        </w:rPr>
        <w:t>, December 18, 1908.</w:t>
      </w:r>
    </w:p>
  </w:footnote>
  <w:footnote w:id="30">
    <w:p w14:paraId="30A897B7" w14:textId="7C9FD89A" w:rsidR="009327BD" w:rsidRDefault="009327BD" w:rsidP="002C16C1">
      <w:pPr>
        <w:pStyle w:val="FootnoteText"/>
        <w:spacing w:line="360" w:lineRule="auto"/>
      </w:pPr>
      <w:r w:rsidRPr="002C16C1">
        <w:rPr>
          <w:rStyle w:val="FootnoteReference"/>
          <w:rFonts w:ascii="Times New Roman" w:hAnsi="Times New Roman" w:cs="Times New Roman"/>
          <w:sz w:val="24"/>
          <w:szCs w:val="24"/>
        </w:rPr>
        <w:footnoteRef/>
      </w:r>
      <w:r w:rsidRPr="002C16C1">
        <w:rPr>
          <w:rFonts w:ascii="Times New Roman" w:hAnsi="Times New Roman" w:cs="Times New Roman"/>
          <w:sz w:val="24"/>
          <w:szCs w:val="24"/>
        </w:rPr>
        <w:t xml:space="preserve">  “Before the Opening” [Heb.], Ha-</w:t>
      </w:r>
      <w:proofErr w:type="spellStart"/>
      <w:r w:rsidRPr="002C16C1">
        <w:rPr>
          <w:rFonts w:ascii="Times New Roman" w:hAnsi="Times New Roman" w:cs="Times New Roman"/>
          <w:sz w:val="24"/>
          <w:szCs w:val="24"/>
        </w:rPr>
        <w:t>Zvi</w:t>
      </w:r>
      <w:proofErr w:type="spellEnd"/>
      <w:r w:rsidRPr="002C16C1">
        <w:rPr>
          <w:rFonts w:ascii="Times New Roman" w:hAnsi="Times New Roman" w:cs="Times New Roman"/>
          <w:sz w:val="24"/>
          <w:szCs w:val="24"/>
        </w:rPr>
        <w:t>, December 23, 1908.</w:t>
      </w:r>
    </w:p>
  </w:footnote>
  <w:footnote w:id="31">
    <w:p w14:paraId="3E90008D" w14:textId="1CF22C32" w:rsidR="009327BD" w:rsidRPr="0026507F" w:rsidRDefault="009327BD" w:rsidP="0026507F">
      <w:pPr>
        <w:pStyle w:val="FootnoteText"/>
        <w:spacing w:line="360" w:lineRule="auto"/>
        <w:rPr>
          <w:rFonts w:ascii="Times New Roman" w:hAnsi="Times New Roman" w:cs="Times New Roman"/>
          <w:sz w:val="24"/>
          <w:szCs w:val="24"/>
        </w:rPr>
      </w:pPr>
      <w:r w:rsidRPr="0026507F">
        <w:rPr>
          <w:rStyle w:val="FootnoteReference"/>
          <w:rFonts w:ascii="Times New Roman" w:hAnsi="Times New Roman" w:cs="Times New Roman"/>
          <w:sz w:val="24"/>
          <w:szCs w:val="24"/>
        </w:rPr>
        <w:footnoteRef/>
      </w:r>
      <w:r w:rsidRPr="0026507F">
        <w:rPr>
          <w:rFonts w:ascii="Times New Roman" w:hAnsi="Times New Roman" w:cs="Times New Roman"/>
          <w:sz w:val="24"/>
          <w:szCs w:val="24"/>
        </w:rPr>
        <w:t xml:space="preserve"> Eliezer Ben-Yehuda, “In Theory and in Practice” [Heb.], </w:t>
      </w:r>
      <w:r w:rsidRPr="0026507F">
        <w:rPr>
          <w:rFonts w:ascii="Times New Roman" w:hAnsi="Times New Roman" w:cs="Times New Roman"/>
          <w:i/>
          <w:iCs/>
          <w:sz w:val="24"/>
          <w:szCs w:val="24"/>
        </w:rPr>
        <w:t>Ha-</w:t>
      </w:r>
      <w:proofErr w:type="spellStart"/>
      <w:r w:rsidRPr="0026507F">
        <w:rPr>
          <w:rFonts w:ascii="Times New Roman" w:hAnsi="Times New Roman" w:cs="Times New Roman"/>
          <w:i/>
          <w:iCs/>
          <w:sz w:val="24"/>
          <w:szCs w:val="24"/>
        </w:rPr>
        <w:t>Zvi</w:t>
      </w:r>
      <w:proofErr w:type="spellEnd"/>
      <w:r w:rsidRPr="0026507F">
        <w:rPr>
          <w:rFonts w:ascii="Times New Roman" w:hAnsi="Times New Roman" w:cs="Times New Roman"/>
          <w:sz w:val="24"/>
          <w:szCs w:val="24"/>
        </w:rPr>
        <w:t>, January, 5 1909, 1-2 (here, 2).</w:t>
      </w:r>
    </w:p>
  </w:footnote>
  <w:footnote w:id="32">
    <w:p w14:paraId="429E8CC0" w14:textId="1CF738D8" w:rsidR="009327BD" w:rsidRPr="00775D50" w:rsidRDefault="009327BD" w:rsidP="00775D50">
      <w:pPr>
        <w:pStyle w:val="FootnoteText"/>
        <w:spacing w:line="360" w:lineRule="auto"/>
        <w:rPr>
          <w:rFonts w:ascii="Times New Roman" w:hAnsi="Times New Roman" w:cs="Times New Roman"/>
          <w:sz w:val="24"/>
          <w:szCs w:val="24"/>
        </w:rPr>
      </w:pPr>
      <w:r w:rsidRPr="00775D50">
        <w:rPr>
          <w:rStyle w:val="FootnoteReference"/>
          <w:rFonts w:ascii="Times New Roman" w:hAnsi="Times New Roman" w:cs="Times New Roman"/>
          <w:sz w:val="24"/>
          <w:szCs w:val="24"/>
        </w:rPr>
        <w:footnoteRef/>
      </w:r>
      <w:r w:rsidRPr="00775D50">
        <w:rPr>
          <w:rFonts w:ascii="Times New Roman" w:hAnsi="Times New Roman" w:cs="Times New Roman"/>
          <w:sz w:val="24"/>
          <w:szCs w:val="24"/>
        </w:rPr>
        <w:t xml:space="preserve"> Eliezer Ben-Yehuda, “Ottomans” (“Three Things”) [Heb.], </w:t>
      </w:r>
      <w:r w:rsidRPr="00775D50">
        <w:rPr>
          <w:rFonts w:ascii="Times New Roman" w:hAnsi="Times New Roman" w:cs="Times New Roman"/>
          <w:i/>
          <w:iCs/>
          <w:sz w:val="24"/>
          <w:szCs w:val="24"/>
        </w:rPr>
        <w:t>Ha-</w:t>
      </w:r>
      <w:proofErr w:type="spellStart"/>
      <w:r w:rsidRPr="00775D50">
        <w:rPr>
          <w:rFonts w:ascii="Times New Roman" w:hAnsi="Times New Roman" w:cs="Times New Roman"/>
          <w:i/>
          <w:iCs/>
          <w:sz w:val="24"/>
          <w:szCs w:val="24"/>
        </w:rPr>
        <w:t>Zvi</w:t>
      </w:r>
      <w:proofErr w:type="spellEnd"/>
      <w:r w:rsidRPr="00775D50">
        <w:rPr>
          <w:rFonts w:ascii="Times New Roman" w:hAnsi="Times New Roman" w:cs="Times New Roman"/>
          <w:sz w:val="24"/>
          <w:szCs w:val="24"/>
        </w:rPr>
        <w:t>, January 21, 1909, 1–2.</w:t>
      </w:r>
    </w:p>
  </w:footnote>
  <w:footnote w:id="33">
    <w:p w14:paraId="57E0C5F7" w14:textId="6B1F6896" w:rsidR="009327BD" w:rsidRPr="00AD207B" w:rsidRDefault="009327BD" w:rsidP="00AD207B">
      <w:pPr>
        <w:pStyle w:val="NormalWeb"/>
        <w:spacing w:line="360" w:lineRule="auto"/>
      </w:pPr>
      <w:r>
        <w:rPr>
          <w:rStyle w:val="FootnoteReference"/>
        </w:rPr>
        <w:footnoteRef/>
      </w:r>
      <w:r>
        <w:t xml:space="preserve"> In the view of Yuval Ben-</w:t>
      </w:r>
      <w:proofErr w:type="spellStart"/>
      <w:r>
        <w:t>Bassat</w:t>
      </w:r>
      <w:proofErr w:type="spellEnd"/>
      <w:r>
        <w:t xml:space="preserve">, the </w:t>
      </w:r>
      <w:r w:rsidRPr="00AD207B">
        <w:t>Empire itself gains as well from the protection it gives to various national groups within it, since doing so strengthens the connection between it and its citizens: Yuval Ben-</w:t>
      </w:r>
      <w:proofErr w:type="spellStart"/>
      <w:r w:rsidRPr="00AD207B">
        <w:t>Bassat</w:t>
      </w:r>
      <w:proofErr w:type="spellEnd"/>
      <w:r w:rsidRPr="00AD207B">
        <w:t xml:space="preserve">, “Rethinking the Concept of Ottomanization: The Yishuv in the Aftermath of the Young Turk Revolution of 1908,” Middle Eastern Studies 45 (2009), 461–475. </w:t>
      </w:r>
    </w:p>
    <w:p w14:paraId="67C63AD1" w14:textId="651783C6" w:rsidR="009327BD" w:rsidRDefault="009327BD">
      <w:pPr>
        <w:pStyle w:val="FootnoteText"/>
      </w:pPr>
    </w:p>
  </w:footnote>
  <w:footnote w:id="34">
    <w:p w14:paraId="17ECA77C" w14:textId="7A9725CD" w:rsidR="009327BD" w:rsidRPr="000C4975" w:rsidRDefault="009327BD" w:rsidP="000C4975">
      <w:pPr>
        <w:pStyle w:val="FootnoteText"/>
        <w:spacing w:line="360" w:lineRule="auto"/>
        <w:rPr>
          <w:rFonts w:ascii="Times New Roman" w:hAnsi="Times New Roman" w:cs="Times New Roman"/>
          <w:sz w:val="24"/>
          <w:szCs w:val="24"/>
        </w:rPr>
      </w:pPr>
      <w:r w:rsidRPr="000C4975">
        <w:rPr>
          <w:rStyle w:val="FootnoteReference"/>
          <w:rFonts w:ascii="Times New Roman" w:hAnsi="Times New Roman" w:cs="Times New Roman"/>
          <w:sz w:val="24"/>
          <w:szCs w:val="24"/>
        </w:rPr>
        <w:footnoteRef/>
      </w:r>
      <w:r w:rsidRPr="000C4975">
        <w:rPr>
          <w:rFonts w:ascii="Times New Roman" w:hAnsi="Times New Roman" w:cs="Times New Roman"/>
          <w:sz w:val="24"/>
          <w:szCs w:val="24"/>
        </w:rPr>
        <w:t xml:space="preserve"> Rubin, </w:t>
      </w:r>
      <w:r w:rsidRPr="000C4975">
        <w:rPr>
          <w:rFonts w:ascii="Times New Roman" w:hAnsi="Times New Roman" w:cs="Times New Roman"/>
          <w:i/>
          <w:iCs/>
          <w:sz w:val="24"/>
          <w:szCs w:val="24"/>
        </w:rPr>
        <w:t>Jewish Nationalist, Ottoman Citizen</w:t>
      </w:r>
      <w:r w:rsidRPr="000C4975">
        <w:rPr>
          <w:rFonts w:ascii="Times New Roman" w:hAnsi="Times New Roman" w:cs="Times New Roman"/>
          <w:sz w:val="24"/>
          <w:szCs w:val="24"/>
        </w:rPr>
        <w:t>, 54–59.</w:t>
      </w:r>
    </w:p>
  </w:footnote>
  <w:footnote w:id="35">
    <w:p w14:paraId="1CB67ED0" w14:textId="0F8191C6" w:rsidR="009327BD" w:rsidRPr="00D210DA" w:rsidRDefault="009327BD" w:rsidP="00D210DA">
      <w:pPr>
        <w:pStyle w:val="FootnoteText"/>
        <w:spacing w:line="360" w:lineRule="auto"/>
        <w:rPr>
          <w:rFonts w:ascii="Times New Roman" w:hAnsi="Times New Roman" w:cs="Times New Roman"/>
          <w:sz w:val="24"/>
          <w:szCs w:val="24"/>
          <w:lang w:val="de-DE"/>
        </w:rPr>
      </w:pPr>
      <w:r w:rsidRPr="000C4975">
        <w:rPr>
          <w:rStyle w:val="FootnoteReference"/>
          <w:rFonts w:ascii="Times New Roman" w:hAnsi="Times New Roman" w:cs="Times New Roman"/>
          <w:sz w:val="24"/>
          <w:szCs w:val="24"/>
        </w:rPr>
        <w:footnoteRef/>
      </w:r>
      <w:r w:rsidRPr="000C4975">
        <w:rPr>
          <w:rFonts w:ascii="Times New Roman" w:hAnsi="Times New Roman" w:cs="Times New Roman"/>
          <w:sz w:val="24"/>
          <w:szCs w:val="24"/>
          <w:lang w:val="de-DE"/>
        </w:rPr>
        <w:t xml:space="preserve"> Lang, </w:t>
      </w:r>
      <w:proofErr w:type="spellStart"/>
      <w:r w:rsidRPr="000C4975">
        <w:rPr>
          <w:rFonts w:ascii="Times New Roman" w:hAnsi="Times New Roman" w:cs="Times New Roman"/>
          <w:i/>
          <w:iCs/>
          <w:sz w:val="24"/>
          <w:szCs w:val="24"/>
          <w:lang w:val="de-DE"/>
        </w:rPr>
        <w:t>Dabber</w:t>
      </w:r>
      <w:proofErr w:type="spellEnd"/>
      <w:r w:rsidRPr="000C4975">
        <w:rPr>
          <w:rFonts w:ascii="Times New Roman" w:hAnsi="Times New Roman" w:cs="Times New Roman"/>
          <w:i/>
          <w:iCs/>
          <w:sz w:val="24"/>
          <w:szCs w:val="24"/>
          <w:lang w:val="de-DE"/>
        </w:rPr>
        <w:t xml:space="preserve"> ‘</w:t>
      </w:r>
      <w:proofErr w:type="spellStart"/>
      <w:r w:rsidRPr="000C4975">
        <w:rPr>
          <w:rFonts w:ascii="Times New Roman" w:hAnsi="Times New Roman" w:cs="Times New Roman"/>
          <w:i/>
          <w:iCs/>
          <w:sz w:val="24"/>
          <w:szCs w:val="24"/>
          <w:lang w:val="de-DE"/>
        </w:rPr>
        <w:t>Ivrit</w:t>
      </w:r>
      <w:proofErr w:type="spellEnd"/>
      <w:r w:rsidRPr="000C4975">
        <w:rPr>
          <w:rFonts w:ascii="Times New Roman" w:hAnsi="Times New Roman" w:cs="Times New Roman"/>
          <w:i/>
          <w:iCs/>
          <w:sz w:val="24"/>
          <w:szCs w:val="24"/>
          <w:lang w:val="de-DE"/>
        </w:rPr>
        <w:t xml:space="preserve">! </w:t>
      </w:r>
      <w:proofErr w:type="spellStart"/>
      <w:r w:rsidRPr="00D210DA">
        <w:rPr>
          <w:rFonts w:ascii="Times New Roman" w:hAnsi="Times New Roman" w:cs="Times New Roman"/>
          <w:i/>
          <w:iCs/>
          <w:sz w:val="24"/>
          <w:szCs w:val="24"/>
          <w:lang w:val="de-DE"/>
        </w:rPr>
        <w:t>Ḥayyei</w:t>
      </w:r>
      <w:proofErr w:type="spellEnd"/>
      <w:r w:rsidRPr="00D210DA">
        <w:rPr>
          <w:rFonts w:ascii="Times New Roman" w:hAnsi="Times New Roman" w:cs="Times New Roman"/>
          <w:i/>
          <w:iCs/>
          <w:sz w:val="24"/>
          <w:szCs w:val="24"/>
          <w:lang w:val="de-DE"/>
        </w:rPr>
        <w:t xml:space="preserve"> </w:t>
      </w:r>
      <w:proofErr w:type="spellStart"/>
      <w:r w:rsidRPr="00D210DA">
        <w:rPr>
          <w:rFonts w:ascii="Times New Roman" w:hAnsi="Times New Roman" w:cs="Times New Roman"/>
          <w:i/>
          <w:iCs/>
          <w:sz w:val="24"/>
          <w:szCs w:val="24"/>
          <w:lang w:val="de-DE"/>
        </w:rPr>
        <w:t>Eli‘ezer</w:t>
      </w:r>
      <w:proofErr w:type="spellEnd"/>
      <w:r w:rsidRPr="00D210DA">
        <w:rPr>
          <w:rFonts w:ascii="Times New Roman" w:hAnsi="Times New Roman" w:cs="Times New Roman"/>
          <w:i/>
          <w:iCs/>
          <w:sz w:val="24"/>
          <w:szCs w:val="24"/>
          <w:lang w:val="de-DE"/>
        </w:rPr>
        <w:t xml:space="preserve"> Ben-Yehuda</w:t>
      </w:r>
      <w:r w:rsidRPr="00D210DA">
        <w:rPr>
          <w:rFonts w:ascii="Times New Roman" w:hAnsi="Times New Roman" w:cs="Times New Roman"/>
          <w:sz w:val="24"/>
          <w:szCs w:val="24"/>
          <w:lang w:val="de-DE"/>
        </w:rPr>
        <w:t>, 609.</w:t>
      </w:r>
    </w:p>
  </w:footnote>
  <w:footnote w:id="36">
    <w:p w14:paraId="3C0A5294" w14:textId="48719CB6" w:rsidR="009327BD" w:rsidRDefault="009327BD" w:rsidP="00D210DA">
      <w:pPr>
        <w:pStyle w:val="FootnoteText"/>
        <w:spacing w:line="360" w:lineRule="auto"/>
      </w:pPr>
      <w:r w:rsidRPr="00D210DA">
        <w:rPr>
          <w:rStyle w:val="FootnoteReference"/>
          <w:rFonts w:ascii="Times New Roman" w:hAnsi="Times New Roman" w:cs="Times New Roman"/>
          <w:sz w:val="24"/>
          <w:szCs w:val="24"/>
        </w:rPr>
        <w:footnoteRef/>
      </w:r>
      <w:r w:rsidRPr="00D210DA">
        <w:rPr>
          <w:rFonts w:ascii="Times New Roman" w:hAnsi="Times New Roman" w:cs="Times New Roman"/>
          <w:sz w:val="24"/>
          <w:szCs w:val="24"/>
        </w:rPr>
        <w:t xml:space="preserve"> [Yehoshua] Barzilai, “A Little Moderation” [Heb.], </w:t>
      </w:r>
      <w:r w:rsidRPr="00D210DA">
        <w:rPr>
          <w:rFonts w:ascii="Times New Roman" w:hAnsi="Times New Roman" w:cs="Times New Roman"/>
          <w:i/>
          <w:iCs/>
          <w:sz w:val="24"/>
          <w:szCs w:val="24"/>
        </w:rPr>
        <w:t>Ha-</w:t>
      </w:r>
      <w:proofErr w:type="spellStart"/>
      <w:r w:rsidRPr="00D210DA">
        <w:rPr>
          <w:rFonts w:ascii="Times New Roman" w:hAnsi="Times New Roman" w:cs="Times New Roman"/>
          <w:i/>
          <w:iCs/>
          <w:sz w:val="24"/>
          <w:szCs w:val="24"/>
        </w:rPr>
        <w:t>Zvi</w:t>
      </w:r>
      <w:proofErr w:type="spellEnd"/>
      <w:r w:rsidRPr="00D210DA">
        <w:rPr>
          <w:rFonts w:ascii="Times New Roman" w:hAnsi="Times New Roman" w:cs="Times New Roman"/>
          <w:sz w:val="24"/>
          <w:szCs w:val="24"/>
        </w:rPr>
        <w:t>, January 27, 1909, 1.</w:t>
      </w:r>
    </w:p>
  </w:footnote>
  <w:footnote w:id="37">
    <w:p w14:paraId="3E371085" w14:textId="499F021E" w:rsidR="009327BD" w:rsidRPr="004F74B1" w:rsidRDefault="009327BD" w:rsidP="004F74B1">
      <w:pPr>
        <w:pStyle w:val="FootnoteText"/>
        <w:spacing w:line="360" w:lineRule="auto"/>
        <w:rPr>
          <w:rFonts w:ascii="Times New Roman" w:hAnsi="Times New Roman" w:cs="Times New Roman"/>
          <w:i/>
          <w:iCs/>
          <w:sz w:val="24"/>
          <w:szCs w:val="24"/>
        </w:rPr>
      </w:pPr>
      <w:r w:rsidRPr="004F74B1">
        <w:rPr>
          <w:rStyle w:val="FootnoteReference"/>
          <w:rFonts w:ascii="Times New Roman" w:hAnsi="Times New Roman" w:cs="Times New Roman"/>
          <w:sz w:val="24"/>
          <w:szCs w:val="24"/>
        </w:rPr>
        <w:footnoteRef/>
      </w:r>
      <w:r w:rsidRPr="004F74B1">
        <w:rPr>
          <w:rFonts w:ascii="Times New Roman" w:hAnsi="Times New Roman" w:cs="Times New Roman"/>
          <w:sz w:val="24"/>
          <w:szCs w:val="24"/>
        </w:rPr>
        <w:t xml:space="preserve"> “Local Outlook” [Heb.], Ha-</w:t>
      </w:r>
      <w:proofErr w:type="spellStart"/>
      <w:r w:rsidRPr="004F74B1">
        <w:rPr>
          <w:rFonts w:ascii="Times New Roman" w:eastAsia="Times New Roman" w:hAnsi="Times New Roman" w:cs="Times New Roman"/>
          <w:i/>
          <w:iCs/>
          <w:sz w:val="24"/>
          <w:szCs w:val="24"/>
        </w:rPr>
        <w:t>Aḥdut</w:t>
      </w:r>
      <w:proofErr w:type="spellEnd"/>
      <w:r w:rsidRPr="004F74B1">
        <w:rPr>
          <w:rFonts w:ascii="Times New Roman" w:hAnsi="Times New Roman" w:cs="Times New Roman"/>
          <w:sz w:val="24"/>
          <w:szCs w:val="24"/>
        </w:rPr>
        <w:t xml:space="preserve">, December 7, 1914. </w:t>
      </w:r>
    </w:p>
  </w:footnote>
  <w:footnote w:id="38">
    <w:p w14:paraId="767F58ED" w14:textId="4F9D3FAA" w:rsidR="009327BD" w:rsidRPr="004F74B1" w:rsidRDefault="009327BD">
      <w:pPr>
        <w:pStyle w:val="FootnoteText"/>
        <w:rPr>
          <w:rFonts w:ascii="Times New Roman" w:hAnsi="Times New Roman" w:cs="Times New Roman"/>
          <w:sz w:val="24"/>
          <w:szCs w:val="24"/>
        </w:rPr>
      </w:pPr>
      <w:r w:rsidRPr="004F74B1">
        <w:rPr>
          <w:rStyle w:val="FootnoteReference"/>
          <w:rFonts w:ascii="Times New Roman" w:hAnsi="Times New Roman" w:cs="Times New Roman"/>
          <w:sz w:val="24"/>
          <w:szCs w:val="24"/>
        </w:rPr>
        <w:footnoteRef/>
      </w:r>
      <w:r w:rsidRPr="004F74B1">
        <w:rPr>
          <w:rFonts w:ascii="Times New Roman" w:hAnsi="Times New Roman" w:cs="Times New Roman"/>
          <w:sz w:val="24"/>
          <w:szCs w:val="24"/>
        </w:rPr>
        <w:t xml:space="preserve"> Rubin, </w:t>
      </w:r>
      <w:r w:rsidRPr="004F74B1">
        <w:rPr>
          <w:rFonts w:ascii="Times New Roman" w:hAnsi="Times New Roman" w:cs="Times New Roman"/>
          <w:i/>
          <w:iCs/>
          <w:sz w:val="24"/>
          <w:szCs w:val="24"/>
        </w:rPr>
        <w:t>Jewish Nationalist, Ottoman Citizen</w:t>
      </w:r>
      <w:r w:rsidRPr="004F74B1">
        <w:rPr>
          <w:rFonts w:ascii="Times New Roman" w:hAnsi="Times New Roman" w:cs="Times New Roman"/>
          <w:sz w:val="24"/>
          <w:szCs w:val="24"/>
        </w:rPr>
        <w:t>, 57–58.</w:t>
      </w:r>
    </w:p>
  </w:footnote>
  <w:footnote w:id="39">
    <w:p w14:paraId="0CBC8BDE" w14:textId="7DBC31E1" w:rsidR="009327BD" w:rsidRPr="00882D4A" w:rsidRDefault="009327BD" w:rsidP="00882D4A">
      <w:pPr>
        <w:pStyle w:val="FootnoteText"/>
        <w:spacing w:line="360" w:lineRule="auto"/>
        <w:rPr>
          <w:rFonts w:ascii="Times New Roman" w:hAnsi="Times New Roman" w:cs="Times New Roman"/>
          <w:sz w:val="24"/>
          <w:szCs w:val="24"/>
          <w:lang w:val="de-DE"/>
        </w:rPr>
      </w:pPr>
      <w:r w:rsidRPr="00882D4A">
        <w:rPr>
          <w:rStyle w:val="FootnoteReference"/>
          <w:rFonts w:ascii="Times New Roman" w:hAnsi="Times New Roman" w:cs="Times New Roman"/>
          <w:sz w:val="24"/>
          <w:szCs w:val="24"/>
        </w:rPr>
        <w:footnoteRef/>
      </w:r>
      <w:r w:rsidRPr="00882D4A">
        <w:rPr>
          <w:rFonts w:ascii="Times New Roman" w:hAnsi="Times New Roman" w:cs="Times New Roman"/>
          <w:sz w:val="24"/>
          <w:szCs w:val="24"/>
          <w:lang w:val="de-DE"/>
        </w:rPr>
        <w:t xml:space="preserve"> Lang, </w:t>
      </w:r>
      <w:proofErr w:type="spellStart"/>
      <w:r w:rsidRPr="00882D4A">
        <w:rPr>
          <w:rFonts w:ascii="Times New Roman" w:hAnsi="Times New Roman" w:cs="Times New Roman"/>
          <w:i/>
          <w:iCs/>
          <w:sz w:val="24"/>
          <w:szCs w:val="24"/>
          <w:lang w:val="de-DE"/>
        </w:rPr>
        <w:t>Dabber</w:t>
      </w:r>
      <w:proofErr w:type="spellEnd"/>
      <w:r w:rsidRPr="00882D4A">
        <w:rPr>
          <w:rFonts w:ascii="Times New Roman" w:hAnsi="Times New Roman" w:cs="Times New Roman"/>
          <w:i/>
          <w:iCs/>
          <w:sz w:val="24"/>
          <w:szCs w:val="24"/>
          <w:lang w:val="de-DE"/>
        </w:rPr>
        <w:t xml:space="preserve"> ‘</w:t>
      </w:r>
      <w:proofErr w:type="spellStart"/>
      <w:r w:rsidRPr="00882D4A">
        <w:rPr>
          <w:rFonts w:ascii="Times New Roman" w:hAnsi="Times New Roman" w:cs="Times New Roman"/>
          <w:i/>
          <w:iCs/>
          <w:sz w:val="24"/>
          <w:szCs w:val="24"/>
          <w:lang w:val="de-DE"/>
        </w:rPr>
        <w:t>Ivrit</w:t>
      </w:r>
      <w:proofErr w:type="spellEnd"/>
      <w:r w:rsidRPr="00882D4A">
        <w:rPr>
          <w:rFonts w:ascii="Times New Roman" w:hAnsi="Times New Roman" w:cs="Times New Roman"/>
          <w:i/>
          <w:iCs/>
          <w:sz w:val="24"/>
          <w:szCs w:val="24"/>
          <w:lang w:val="de-DE"/>
        </w:rPr>
        <w:t xml:space="preserve">! </w:t>
      </w:r>
      <w:proofErr w:type="spellStart"/>
      <w:r w:rsidRPr="00882D4A">
        <w:rPr>
          <w:rFonts w:ascii="Times New Roman" w:hAnsi="Times New Roman" w:cs="Times New Roman"/>
          <w:i/>
          <w:iCs/>
          <w:sz w:val="24"/>
          <w:szCs w:val="24"/>
          <w:lang w:val="de-DE"/>
        </w:rPr>
        <w:t>Ḥayyei</w:t>
      </w:r>
      <w:proofErr w:type="spellEnd"/>
      <w:r w:rsidRPr="00882D4A">
        <w:rPr>
          <w:rFonts w:ascii="Times New Roman" w:hAnsi="Times New Roman" w:cs="Times New Roman"/>
          <w:i/>
          <w:iCs/>
          <w:sz w:val="24"/>
          <w:szCs w:val="24"/>
          <w:lang w:val="de-DE"/>
        </w:rPr>
        <w:t xml:space="preserve"> </w:t>
      </w:r>
      <w:proofErr w:type="spellStart"/>
      <w:r w:rsidRPr="00882D4A">
        <w:rPr>
          <w:rFonts w:ascii="Times New Roman" w:hAnsi="Times New Roman" w:cs="Times New Roman"/>
          <w:i/>
          <w:iCs/>
          <w:sz w:val="24"/>
          <w:szCs w:val="24"/>
          <w:lang w:val="de-DE"/>
        </w:rPr>
        <w:t>Eli‘ezer</w:t>
      </w:r>
      <w:proofErr w:type="spellEnd"/>
      <w:r w:rsidRPr="00882D4A">
        <w:rPr>
          <w:rFonts w:ascii="Times New Roman" w:hAnsi="Times New Roman" w:cs="Times New Roman"/>
          <w:i/>
          <w:iCs/>
          <w:sz w:val="24"/>
          <w:szCs w:val="24"/>
          <w:lang w:val="de-DE"/>
        </w:rPr>
        <w:t xml:space="preserve"> Ben-Yehuda</w:t>
      </w:r>
      <w:r>
        <w:rPr>
          <w:rFonts w:ascii="Times New Roman" w:hAnsi="Times New Roman" w:cs="Times New Roman"/>
          <w:sz w:val="24"/>
          <w:szCs w:val="24"/>
          <w:lang w:val="de-DE"/>
        </w:rPr>
        <w:t xml:space="preserve">, </w:t>
      </w:r>
      <w:r w:rsidRPr="00882D4A">
        <w:rPr>
          <w:rFonts w:ascii="Times New Roman" w:hAnsi="Times New Roman" w:cs="Times New Roman"/>
          <w:sz w:val="24"/>
          <w:szCs w:val="24"/>
          <w:lang w:val="de-DE"/>
        </w:rPr>
        <w:t>626–629.</w:t>
      </w:r>
    </w:p>
  </w:footnote>
  <w:footnote w:id="40">
    <w:p w14:paraId="6846B6B5" w14:textId="2BCAB315" w:rsidR="009327BD" w:rsidRPr="00164AA8" w:rsidRDefault="009327BD" w:rsidP="00164AA8">
      <w:pPr>
        <w:pStyle w:val="FootnoteText"/>
        <w:spacing w:line="360" w:lineRule="auto"/>
        <w:rPr>
          <w:rFonts w:ascii="Times New Roman" w:hAnsi="Times New Roman" w:cs="Times New Roman"/>
        </w:rPr>
      </w:pPr>
      <w:r w:rsidRPr="00164AA8">
        <w:rPr>
          <w:rStyle w:val="FootnoteReference"/>
          <w:rFonts w:ascii="Times New Roman" w:hAnsi="Times New Roman" w:cs="Times New Roman"/>
          <w:sz w:val="24"/>
          <w:szCs w:val="24"/>
        </w:rPr>
        <w:footnoteRef/>
      </w:r>
      <w:r w:rsidRPr="00164AA8">
        <w:rPr>
          <w:rFonts w:ascii="Times New Roman" w:hAnsi="Times New Roman" w:cs="Times New Roman"/>
          <w:sz w:val="24"/>
          <w:szCs w:val="24"/>
          <w:lang w:val="de-DE"/>
        </w:rPr>
        <w:t xml:space="preserve"> Lang, </w:t>
      </w:r>
      <w:proofErr w:type="spellStart"/>
      <w:r w:rsidRPr="00164AA8">
        <w:rPr>
          <w:rFonts w:ascii="Times New Roman" w:hAnsi="Times New Roman" w:cs="Times New Roman"/>
          <w:i/>
          <w:iCs/>
          <w:sz w:val="24"/>
          <w:szCs w:val="24"/>
          <w:lang w:val="de-DE"/>
        </w:rPr>
        <w:t>Dabber</w:t>
      </w:r>
      <w:proofErr w:type="spellEnd"/>
      <w:r w:rsidRPr="00164AA8">
        <w:rPr>
          <w:rFonts w:ascii="Times New Roman" w:hAnsi="Times New Roman" w:cs="Times New Roman"/>
          <w:i/>
          <w:iCs/>
          <w:sz w:val="24"/>
          <w:szCs w:val="24"/>
          <w:lang w:val="de-DE"/>
        </w:rPr>
        <w:t xml:space="preserve"> ‘</w:t>
      </w:r>
      <w:proofErr w:type="spellStart"/>
      <w:r w:rsidRPr="00164AA8">
        <w:rPr>
          <w:rFonts w:ascii="Times New Roman" w:hAnsi="Times New Roman" w:cs="Times New Roman"/>
          <w:i/>
          <w:iCs/>
          <w:sz w:val="24"/>
          <w:szCs w:val="24"/>
          <w:lang w:val="de-DE"/>
        </w:rPr>
        <w:t>Ivrit</w:t>
      </w:r>
      <w:proofErr w:type="spellEnd"/>
      <w:r w:rsidRPr="00164AA8">
        <w:rPr>
          <w:rFonts w:ascii="Times New Roman" w:hAnsi="Times New Roman" w:cs="Times New Roman"/>
          <w:i/>
          <w:iCs/>
          <w:sz w:val="24"/>
          <w:szCs w:val="24"/>
          <w:lang w:val="de-DE"/>
        </w:rPr>
        <w:t>!</w:t>
      </w:r>
      <w:r w:rsidRPr="00164AA8">
        <w:rPr>
          <w:rFonts w:ascii="Times New Roman" w:hAnsi="Times New Roman" w:cs="Times New Roman"/>
          <w:sz w:val="24"/>
          <w:szCs w:val="24"/>
          <w:lang w:val="de-DE"/>
        </w:rPr>
        <w:t xml:space="preserve"> </w:t>
      </w:r>
      <w:proofErr w:type="spellStart"/>
      <w:r w:rsidRPr="00B514B7">
        <w:rPr>
          <w:rFonts w:ascii="Times New Roman" w:hAnsi="Times New Roman" w:cs="Times New Roman"/>
          <w:i/>
          <w:iCs/>
          <w:sz w:val="24"/>
          <w:szCs w:val="24"/>
          <w:lang w:val="de-DE"/>
        </w:rPr>
        <w:t>Ḥayyei</w:t>
      </w:r>
      <w:proofErr w:type="spellEnd"/>
      <w:r w:rsidRPr="00B514B7">
        <w:rPr>
          <w:rFonts w:ascii="Times New Roman" w:hAnsi="Times New Roman" w:cs="Times New Roman"/>
          <w:i/>
          <w:iCs/>
          <w:sz w:val="24"/>
          <w:szCs w:val="24"/>
          <w:lang w:val="de-DE"/>
        </w:rPr>
        <w:t xml:space="preserve"> </w:t>
      </w:r>
      <w:proofErr w:type="spellStart"/>
      <w:r w:rsidRPr="00B514B7">
        <w:rPr>
          <w:rFonts w:ascii="Times New Roman" w:hAnsi="Times New Roman" w:cs="Times New Roman"/>
          <w:i/>
          <w:iCs/>
          <w:sz w:val="24"/>
          <w:szCs w:val="24"/>
          <w:lang w:val="de-DE"/>
        </w:rPr>
        <w:t>Eli‘ezer</w:t>
      </w:r>
      <w:proofErr w:type="spellEnd"/>
      <w:r w:rsidRPr="00B514B7">
        <w:rPr>
          <w:rFonts w:ascii="Times New Roman" w:hAnsi="Times New Roman" w:cs="Times New Roman"/>
          <w:i/>
          <w:iCs/>
          <w:sz w:val="24"/>
          <w:szCs w:val="24"/>
          <w:lang w:val="de-DE"/>
        </w:rPr>
        <w:t xml:space="preserve"> Ben-Yehuda</w:t>
      </w:r>
      <w:r w:rsidRPr="00B514B7">
        <w:rPr>
          <w:rFonts w:ascii="Times New Roman" w:hAnsi="Times New Roman" w:cs="Times New Roman"/>
          <w:sz w:val="24"/>
          <w:szCs w:val="24"/>
          <w:lang w:val="de-DE"/>
        </w:rPr>
        <w:t xml:space="preserve">, 623–624, 659–668. </w:t>
      </w:r>
      <w:r w:rsidRPr="00164AA8">
        <w:rPr>
          <w:rFonts w:ascii="Times New Roman" w:hAnsi="Times New Roman" w:cs="Times New Roman"/>
          <w:sz w:val="24"/>
          <w:szCs w:val="24"/>
        </w:rPr>
        <w:t xml:space="preserve">The “conquest of labor” </w:t>
      </w:r>
      <w:r w:rsidRPr="00164AA8">
        <w:rPr>
          <w:rFonts w:ascii="Times New Roman" w:eastAsia="Times New Roman" w:hAnsi="Times New Roman" w:cs="Times New Roman"/>
          <w:sz w:val="24"/>
          <w:szCs w:val="24"/>
        </w:rPr>
        <w:t xml:space="preserve">principle also contributed, of course, to antagonism between the workers of the Second Aliyah and the people in the </w:t>
      </w:r>
      <w:proofErr w:type="spellStart"/>
      <w:r w:rsidRPr="00164AA8">
        <w:rPr>
          <w:rFonts w:ascii="Times New Roman" w:eastAsia="Times New Roman" w:hAnsi="Times New Roman" w:cs="Times New Roman"/>
          <w:i/>
          <w:iCs/>
          <w:sz w:val="24"/>
          <w:szCs w:val="24"/>
        </w:rPr>
        <w:t>moshavot</w:t>
      </w:r>
      <w:proofErr w:type="spellEnd"/>
      <w:r w:rsidRPr="00164AA8">
        <w:rPr>
          <w:rFonts w:ascii="Times New Roman" w:eastAsia="Times New Roman" w:hAnsi="Times New Roman" w:cs="Times New Roman"/>
          <w:sz w:val="24"/>
          <w:szCs w:val="24"/>
        </w:rPr>
        <w:t>, the towns established earlier by First Aliyah arrivals.</w:t>
      </w:r>
    </w:p>
  </w:footnote>
  <w:footnote w:id="41">
    <w:p w14:paraId="3C024E78" w14:textId="1AD0A632" w:rsidR="009327BD" w:rsidRPr="00164AA8" w:rsidRDefault="009327BD" w:rsidP="00164AA8">
      <w:pPr>
        <w:pStyle w:val="FootnoteText"/>
        <w:spacing w:line="360" w:lineRule="auto"/>
      </w:pPr>
      <w:r w:rsidRPr="00164AA8">
        <w:rPr>
          <w:rStyle w:val="FootnoteReference"/>
          <w:rFonts w:ascii="Times New Roman" w:hAnsi="Times New Roman" w:cs="Times New Roman"/>
        </w:rPr>
        <w:footnoteRef/>
      </w:r>
      <w:r w:rsidRPr="00164AA8">
        <w:rPr>
          <w:rFonts w:ascii="Times New Roman" w:hAnsi="Times New Roman" w:cs="Times New Roman"/>
          <w:lang w:val="de-DE"/>
        </w:rPr>
        <w:t xml:space="preserve"> </w:t>
      </w:r>
      <w:r w:rsidRPr="00164AA8">
        <w:rPr>
          <w:rFonts w:ascii="Times New Roman" w:hAnsi="Times New Roman" w:cs="Times New Roman"/>
          <w:sz w:val="24"/>
          <w:szCs w:val="24"/>
          <w:lang w:val="de-DE"/>
        </w:rPr>
        <w:t xml:space="preserve">Lang, </w:t>
      </w:r>
      <w:proofErr w:type="spellStart"/>
      <w:r w:rsidRPr="00164AA8">
        <w:rPr>
          <w:rFonts w:ascii="Times New Roman" w:hAnsi="Times New Roman" w:cs="Times New Roman"/>
          <w:i/>
          <w:iCs/>
          <w:sz w:val="24"/>
          <w:szCs w:val="24"/>
          <w:lang w:val="de-DE"/>
        </w:rPr>
        <w:t>Dabber</w:t>
      </w:r>
      <w:proofErr w:type="spellEnd"/>
      <w:r w:rsidRPr="00164AA8">
        <w:rPr>
          <w:rFonts w:ascii="Times New Roman" w:hAnsi="Times New Roman" w:cs="Times New Roman"/>
          <w:i/>
          <w:iCs/>
          <w:sz w:val="24"/>
          <w:szCs w:val="24"/>
          <w:lang w:val="de-DE"/>
        </w:rPr>
        <w:t xml:space="preserve"> ‘</w:t>
      </w:r>
      <w:proofErr w:type="spellStart"/>
      <w:r w:rsidRPr="00164AA8">
        <w:rPr>
          <w:rFonts w:ascii="Times New Roman" w:hAnsi="Times New Roman" w:cs="Times New Roman"/>
          <w:i/>
          <w:iCs/>
          <w:sz w:val="24"/>
          <w:szCs w:val="24"/>
          <w:lang w:val="de-DE"/>
        </w:rPr>
        <w:t>Ivrit</w:t>
      </w:r>
      <w:proofErr w:type="spellEnd"/>
      <w:r w:rsidRPr="00164AA8">
        <w:rPr>
          <w:rFonts w:ascii="Times New Roman" w:hAnsi="Times New Roman" w:cs="Times New Roman"/>
          <w:i/>
          <w:iCs/>
          <w:sz w:val="24"/>
          <w:szCs w:val="24"/>
          <w:lang w:val="de-DE"/>
        </w:rPr>
        <w:t>!</w:t>
      </w:r>
      <w:r w:rsidRPr="00164AA8">
        <w:rPr>
          <w:rFonts w:ascii="Times New Roman" w:hAnsi="Times New Roman" w:cs="Times New Roman"/>
          <w:sz w:val="24"/>
          <w:szCs w:val="24"/>
          <w:lang w:val="de-DE"/>
        </w:rPr>
        <w:t xml:space="preserve"> </w:t>
      </w:r>
      <w:proofErr w:type="spellStart"/>
      <w:r w:rsidRPr="00164AA8">
        <w:rPr>
          <w:rFonts w:ascii="Times New Roman" w:hAnsi="Times New Roman" w:cs="Times New Roman"/>
          <w:i/>
          <w:iCs/>
          <w:sz w:val="24"/>
          <w:szCs w:val="24"/>
          <w:lang w:val="de-DE"/>
        </w:rPr>
        <w:t>Ḥayyei</w:t>
      </w:r>
      <w:proofErr w:type="spellEnd"/>
      <w:r w:rsidRPr="00164AA8">
        <w:rPr>
          <w:rFonts w:ascii="Times New Roman" w:hAnsi="Times New Roman" w:cs="Times New Roman"/>
          <w:i/>
          <w:iCs/>
          <w:sz w:val="24"/>
          <w:szCs w:val="24"/>
          <w:lang w:val="de-DE"/>
        </w:rPr>
        <w:t xml:space="preserve"> </w:t>
      </w:r>
      <w:proofErr w:type="spellStart"/>
      <w:r w:rsidRPr="00164AA8">
        <w:rPr>
          <w:rFonts w:ascii="Times New Roman" w:hAnsi="Times New Roman" w:cs="Times New Roman"/>
          <w:i/>
          <w:iCs/>
          <w:sz w:val="24"/>
          <w:szCs w:val="24"/>
          <w:lang w:val="de-DE"/>
        </w:rPr>
        <w:t>Eli‘ezer</w:t>
      </w:r>
      <w:proofErr w:type="spellEnd"/>
      <w:r w:rsidRPr="00164AA8">
        <w:rPr>
          <w:rFonts w:ascii="Times New Roman" w:hAnsi="Times New Roman" w:cs="Times New Roman"/>
          <w:i/>
          <w:iCs/>
          <w:sz w:val="24"/>
          <w:szCs w:val="24"/>
          <w:lang w:val="de-DE"/>
        </w:rPr>
        <w:t xml:space="preserve"> Ben-Yehuda</w:t>
      </w:r>
      <w:r w:rsidRPr="00164AA8">
        <w:rPr>
          <w:rFonts w:ascii="Times New Roman" w:hAnsi="Times New Roman" w:cs="Times New Roman"/>
          <w:sz w:val="24"/>
          <w:szCs w:val="24"/>
          <w:lang w:val="de-DE"/>
        </w:rPr>
        <w:t>, 624–625.</w:t>
      </w:r>
      <w:r>
        <w:rPr>
          <w:rFonts w:ascii="Times New Roman" w:hAnsi="Times New Roman" w:cs="Times New Roman"/>
          <w:sz w:val="24"/>
          <w:szCs w:val="24"/>
          <w:lang w:val="de-DE"/>
        </w:rPr>
        <w:t xml:space="preserve"> </w:t>
      </w:r>
      <w:r w:rsidRPr="00164AA8">
        <w:rPr>
          <w:rFonts w:ascii="Times New Roman" w:hAnsi="Times New Roman" w:cs="Times New Roman"/>
          <w:sz w:val="24"/>
          <w:szCs w:val="24"/>
        </w:rPr>
        <w:t xml:space="preserve">Note in this regard that despite </w:t>
      </w:r>
      <w:r>
        <w:rPr>
          <w:rFonts w:ascii="Times New Roman" w:hAnsi="Times New Roman" w:cs="Times New Roman"/>
          <w:sz w:val="24"/>
          <w:szCs w:val="24"/>
        </w:rPr>
        <w:t xml:space="preserve">his criticism of </w:t>
      </w:r>
      <w:proofErr w:type="spellStart"/>
      <w:r>
        <w:rPr>
          <w:rFonts w:ascii="Times New Roman" w:hAnsi="Times New Roman" w:cs="Times New Roman"/>
          <w:sz w:val="24"/>
          <w:szCs w:val="24"/>
        </w:rPr>
        <w:t>Moyal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Melul</w:t>
      </w:r>
      <w:proofErr w:type="spellEnd"/>
      <w:r>
        <w:rPr>
          <w:rFonts w:ascii="Times New Roman" w:hAnsi="Times New Roman" w:cs="Times New Roman"/>
          <w:sz w:val="24"/>
          <w:szCs w:val="24"/>
        </w:rPr>
        <w:t>, Ben-Yehuda himself supported the establishment of a Jewish newspaper in Arabic.</w:t>
      </w:r>
    </w:p>
  </w:footnote>
  <w:footnote w:id="42">
    <w:p w14:paraId="66DF9538" w14:textId="0247A6F5" w:rsidR="009327BD" w:rsidRPr="00645080" w:rsidRDefault="009327BD" w:rsidP="00645080">
      <w:pPr>
        <w:pStyle w:val="FootnoteText"/>
        <w:spacing w:line="360" w:lineRule="auto"/>
        <w:rPr>
          <w:rFonts w:ascii="Times New Roman" w:hAnsi="Times New Roman" w:cs="Times New Roman"/>
          <w:sz w:val="24"/>
          <w:szCs w:val="24"/>
        </w:rPr>
      </w:pPr>
      <w:r w:rsidRPr="00645080">
        <w:rPr>
          <w:rStyle w:val="FootnoteReference"/>
          <w:rFonts w:ascii="Times New Roman" w:hAnsi="Times New Roman" w:cs="Times New Roman"/>
          <w:sz w:val="24"/>
          <w:szCs w:val="24"/>
        </w:rPr>
        <w:footnoteRef/>
      </w:r>
      <w:r w:rsidRPr="00645080">
        <w:rPr>
          <w:rFonts w:ascii="Times New Roman" w:hAnsi="Times New Roman" w:cs="Times New Roman"/>
          <w:sz w:val="24"/>
          <w:szCs w:val="24"/>
        </w:rPr>
        <w:t xml:space="preserve"> David Ben-Gurion, </w:t>
      </w:r>
      <w:proofErr w:type="spellStart"/>
      <w:r w:rsidRPr="00645080">
        <w:rPr>
          <w:rFonts w:ascii="Times New Roman" w:hAnsi="Times New Roman" w:cs="Times New Roman"/>
          <w:i/>
          <w:iCs/>
          <w:sz w:val="24"/>
          <w:szCs w:val="24"/>
        </w:rPr>
        <w:t>Anaḥnu</w:t>
      </w:r>
      <w:proofErr w:type="spellEnd"/>
      <w:r w:rsidRPr="00645080">
        <w:rPr>
          <w:rFonts w:ascii="Times New Roman" w:hAnsi="Times New Roman" w:cs="Times New Roman"/>
          <w:i/>
          <w:iCs/>
          <w:sz w:val="24"/>
          <w:szCs w:val="24"/>
        </w:rPr>
        <w:t xml:space="preserve"> U-</w:t>
      </w:r>
      <w:proofErr w:type="spellStart"/>
      <w:r w:rsidRPr="00645080">
        <w:rPr>
          <w:rFonts w:ascii="Times New Roman" w:hAnsi="Times New Roman" w:cs="Times New Roman"/>
          <w:i/>
          <w:iCs/>
          <w:sz w:val="24"/>
          <w:szCs w:val="24"/>
        </w:rPr>
        <w:t>shekhenenu</w:t>
      </w:r>
      <w:proofErr w:type="spellEnd"/>
      <w:r w:rsidRPr="00645080">
        <w:rPr>
          <w:rFonts w:ascii="Times New Roman" w:hAnsi="Times New Roman" w:cs="Times New Roman"/>
          <w:sz w:val="24"/>
          <w:szCs w:val="24"/>
        </w:rPr>
        <w:t xml:space="preserve"> [We and Our Neighbors] (Tel Aviv: </w:t>
      </w:r>
      <w:proofErr w:type="spellStart"/>
      <w:r w:rsidRPr="00645080">
        <w:rPr>
          <w:rFonts w:ascii="Times New Roman" w:hAnsi="Times New Roman" w:cs="Times New Roman"/>
          <w:sz w:val="24"/>
          <w:szCs w:val="24"/>
        </w:rPr>
        <w:t>Davar</w:t>
      </w:r>
      <w:proofErr w:type="spellEnd"/>
      <w:r w:rsidRPr="00645080">
        <w:rPr>
          <w:rFonts w:ascii="Times New Roman" w:hAnsi="Times New Roman" w:cs="Times New Roman"/>
          <w:sz w:val="24"/>
          <w:szCs w:val="24"/>
        </w:rPr>
        <w:t>, 1931), 6–7.</w:t>
      </w:r>
    </w:p>
  </w:footnote>
  <w:footnote w:id="43">
    <w:p w14:paraId="69D18E5E" w14:textId="1F9F1D3B" w:rsidR="009327BD" w:rsidRDefault="009327BD" w:rsidP="008248E7">
      <w:pPr>
        <w:pStyle w:val="FootnoteText"/>
        <w:spacing w:line="360" w:lineRule="auto"/>
        <w:rPr>
          <w:rtl/>
        </w:rPr>
      </w:pPr>
      <w:r w:rsidRPr="008248E7">
        <w:rPr>
          <w:rStyle w:val="FootnoteReference"/>
          <w:rFonts w:ascii="Times New Roman" w:hAnsi="Times New Roman" w:cs="Times New Roman"/>
          <w:sz w:val="24"/>
          <w:szCs w:val="24"/>
        </w:rPr>
        <w:footnoteRef/>
      </w:r>
      <w:r w:rsidRPr="008248E7">
        <w:rPr>
          <w:rFonts w:ascii="Times New Roman" w:hAnsi="Times New Roman" w:cs="Times New Roman"/>
          <w:sz w:val="24"/>
          <w:szCs w:val="24"/>
        </w:rPr>
        <w:t xml:space="preserve"> </w:t>
      </w:r>
      <w:proofErr w:type="spellStart"/>
      <w:r w:rsidRPr="008248E7">
        <w:rPr>
          <w:rFonts w:ascii="Times New Roman" w:hAnsi="Times New Roman" w:cs="Times New Roman"/>
          <w:sz w:val="24"/>
          <w:szCs w:val="24"/>
        </w:rPr>
        <w:t>Bartal</w:t>
      </w:r>
      <w:proofErr w:type="spellEnd"/>
      <w:r w:rsidRPr="00C4373A">
        <w:rPr>
          <w:rFonts w:ascii="Times New Roman" w:hAnsi="Times New Roman" w:cs="Times New Roman"/>
          <w:sz w:val="24"/>
          <w:szCs w:val="24"/>
        </w:rPr>
        <w:t xml:space="preserve">, </w:t>
      </w:r>
      <w:r w:rsidRPr="00C4373A">
        <w:rPr>
          <w:rFonts w:ascii="Times New Roman" w:hAnsi="Times New Roman" w:cs="Times New Roman"/>
          <w:i/>
          <w:iCs/>
          <w:sz w:val="24"/>
          <w:szCs w:val="24"/>
        </w:rPr>
        <w:t>Kozak U-</w:t>
      </w:r>
      <w:proofErr w:type="spellStart"/>
      <w:r w:rsidRPr="00C4373A">
        <w:rPr>
          <w:rFonts w:ascii="Times New Roman" w:hAnsi="Times New Roman" w:cs="Times New Roman"/>
          <w:i/>
          <w:iCs/>
          <w:sz w:val="24"/>
          <w:szCs w:val="24"/>
        </w:rPr>
        <w:t>bedwi</w:t>
      </w:r>
      <w:proofErr w:type="spellEnd"/>
      <w:r>
        <w:rPr>
          <w:rFonts w:ascii="Times New Roman" w:hAnsi="Times New Roman" w:cs="Times New Roman"/>
          <w:sz w:val="24"/>
          <w:szCs w:val="24"/>
        </w:rPr>
        <w:t>, 165–169.</w:t>
      </w:r>
    </w:p>
  </w:footnote>
  <w:footnote w:id="44">
    <w:p w14:paraId="695D4F3E" w14:textId="619F3E7C" w:rsidR="009327BD" w:rsidRPr="001926F7" w:rsidRDefault="009327BD" w:rsidP="001926F7">
      <w:pPr>
        <w:spacing w:line="360" w:lineRule="auto"/>
        <w:rPr>
          <w:rFonts w:ascii="Times New Roman" w:hAnsi="Times New Roman" w:cs="Times New Roman"/>
          <w:i/>
          <w:iCs/>
        </w:rPr>
      </w:pPr>
      <w:r w:rsidRPr="007807B7">
        <w:rPr>
          <w:rStyle w:val="FootnoteReference"/>
          <w:rFonts w:ascii="Times New Roman" w:hAnsi="Times New Roman" w:cs="Times New Roman"/>
        </w:rPr>
        <w:footnoteRef/>
      </w:r>
      <w:r w:rsidRPr="007807B7">
        <w:rPr>
          <w:rFonts w:ascii="Times New Roman" w:hAnsi="Times New Roman" w:cs="Times New Roman"/>
        </w:rPr>
        <w:t xml:space="preserve"> </w:t>
      </w:r>
      <w:r>
        <w:rPr>
          <w:rFonts w:ascii="Times New Roman" w:hAnsi="Times New Roman" w:cs="Times New Roman"/>
        </w:rPr>
        <w:t>I</w:t>
      </w:r>
      <w:r w:rsidRPr="007807B7">
        <w:rPr>
          <w:rFonts w:ascii="Times New Roman" w:hAnsi="Times New Roman" w:cs="Times New Roman"/>
        </w:rPr>
        <w:t>tz</w:t>
      </w:r>
      <w:r>
        <w:rPr>
          <w:rFonts w:ascii="Times New Roman" w:hAnsi="Times New Roman" w:cs="Times New Roman"/>
        </w:rPr>
        <w:t>h</w:t>
      </w:r>
      <w:r w:rsidRPr="007807B7">
        <w:rPr>
          <w:rFonts w:ascii="Times New Roman" w:hAnsi="Times New Roman" w:cs="Times New Roman"/>
        </w:rPr>
        <w:t xml:space="preserve">ak Bezalel, </w:t>
      </w:r>
      <w:proofErr w:type="spellStart"/>
      <w:r>
        <w:rPr>
          <w:rFonts w:ascii="Times New Roman" w:hAnsi="Times New Roman" w:cs="Times New Roman"/>
          <w:i/>
          <w:iCs/>
        </w:rPr>
        <w:t>N</w:t>
      </w:r>
      <w:r w:rsidRPr="007807B7">
        <w:rPr>
          <w:rFonts w:ascii="Times New Roman" w:hAnsi="Times New Roman" w:cs="Times New Roman"/>
          <w:i/>
          <w:iCs/>
        </w:rPr>
        <w:t>oladtem</w:t>
      </w:r>
      <w:proofErr w:type="spellEnd"/>
      <w:r w:rsidRPr="007807B7">
        <w:rPr>
          <w:rFonts w:ascii="Times New Roman" w:hAnsi="Times New Roman" w:cs="Times New Roman"/>
          <w:i/>
          <w:iCs/>
        </w:rPr>
        <w:t xml:space="preserve"> </w:t>
      </w:r>
      <w:proofErr w:type="spellStart"/>
      <w:r w:rsidRPr="007807B7">
        <w:rPr>
          <w:rFonts w:ascii="Times New Roman" w:hAnsi="Times New Roman" w:cs="Times New Roman"/>
          <w:i/>
          <w:iCs/>
        </w:rPr>
        <w:t>Tziyyonim</w:t>
      </w:r>
      <w:proofErr w:type="spellEnd"/>
      <w:r w:rsidRPr="007807B7">
        <w:rPr>
          <w:rFonts w:ascii="Times New Roman" w:hAnsi="Times New Roman" w:cs="Times New Roman"/>
          <w:i/>
          <w:iCs/>
        </w:rPr>
        <w:t xml:space="preserve">: Ha-Sephardim Be-Eretz </w:t>
      </w:r>
      <w:proofErr w:type="spellStart"/>
      <w:r w:rsidRPr="007807B7">
        <w:rPr>
          <w:rFonts w:ascii="Times New Roman" w:hAnsi="Times New Roman" w:cs="Times New Roman"/>
          <w:i/>
          <w:iCs/>
        </w:rPr>
        <w:t>Yisra</w:t>
      </w:r>
      <w:r>
        <w:rPr>
          <w:rFonts w:ascii="Times New Roman" w:hAnsi="Times New Roman" w:cs="Times New Roman"/>
          <w:i/>
          <w:iCs/>
        </w:rPr>
        <w:t>’</w:t>
      </w:r>
      <w:r w:rsidRPr="007807B7">
        <w:rPr>
          <w:rFonts w:ascii="Times New Roman" w:hAnsi="Times New Roman" w:cs="Times New Roman"/>
          <w:i/>
          <w:iCs/>
        </w:rPr>
        <w:t>el</w:t>
      </w:r>
      <w:proofErr w:type="spellEnd"/>
      <w:r w:rsidRPr="007807B7">
        <w:rPr>
          <w:rFonts w:ascii="Times New Roman" w:hAnsi="Times New Roman" w:cs="Times New Roman"/>
          <w:i/>
          <w:iCs/>
        </w:rPr>
        <w:t xml:space="preserve"> Ba-</w:t>
      </w:r>
      <w:proofErr w:type="spellStart"/>
      <w:r w:rsidRPr="007807B7">
        <w:rPr>
          <w:rFonts w:ascii="Times New Roman" w:hAnsi="Times New Roman" w:cs="Times New Roman"/>
          <w:i/>
          <w:iCs/>
        </w:rPr>
        <w:t>Tziyyonut</w:t>
      </w:r>
      <w:proofErr w:type="spellEnd"/>
      <w:r w:rsidRPr="007807B7">
        <w:rPr>
          <w:rFonts w:ascii="Times New Roman" w:hAnsi="Times New Roman" w:cs="Times New Roman"/>
          <w:i/>
          <w:iCs/>
        </w:rPr>
        <w:t xml:space="preserve"> U-</w:t>
      </w:r>
      <w:proofErr w:type="spellStart"/>
      <w:r w:rsidRPr="007807B7">
        <w:rPr>
          <w:rFonts w:ascii="Times New Roman" w:hAnsi="Times New Roman" w:cs="Times New Roman"/>
          <w:i/>
          <w:iCs/>
        </w:rPr>
        <w:t>va</w:t>
      </w:r>
      <w:proofErr w:type="spellEnd"/>
      <w:r w:rsidRPr="007807B7">
        <w:rPr>
          <w:rFonts w:ascii="Times New Roman" w:hAnsi="Times New Roman" w:cs="Times New Roman"/>
          <w:i/>
          <w:iCs/>
        </w:rPr>
        <w:t>-</w:t>
      </w:r>
      <w:proofErr w:type="spellStart"/>
      <w:r w:rsidRPr="007807B7">
        <w:rPr>
          <w:rFonts w:ascii="Times New Roman" w:hAnsi="Times New Roman" w:cs="Times New Roman"/>
          <w:i/>
          <w:iCs/>
        </w:rPr>
        <w:t>teḥiyyah</w:t>
      </w:r>
      <w:proofErr w:type="spellEnd"/>
      <w:r w:rsidRPr="007807B7">
        <w:rPr>
          <w:rFonts w:ascii="Times New Roman" w:hAnsi="Times New Roman" w:cs="Times New Roman"/>
          <w:i/>
          <w:iCs/>
        </w:rPr>
        <w:t xml:space="preserve"> Ha</w:t>
      </w:r>
      <w:proofErr w:type="gramStart"/>
      <w:r w:rsidRPr="007807B7">
        <w:rPr>
          <w:rFonts w:ascii="Times New Roman" w:hAnsi="Times New Roman" w:cs="Times New Roman"/>
          <w:i/>
          <w:iCs/>
        </w:rPr>
        <w:t>-‘</w:t>
      </w:r>
      <w:proofErr w:type="spellStart"/>
      <w:proofErr w:type="gramEnd"/>
      <w:r w:rsidRPr="007807B7">
        <w:rPr>
          <w:rFonts w:ascii="Times New Roman" w:hAnsi="Times New Roman" w:cs="Times New Roman"/>
          <w:i/>
          <w:iCs/>
        </w:rPr>
        <w:t>Ivr</w:t>
      </w:r>
      <w:r w:rsidRPr="001926F7">
        <w:rPr>
          <w:rFonts w:ascii="Times New Roman" w:hAnsi="Times New Roman" w:cs="Times New Roman"/>
          <w:i/>
          <w:iCs/>
          <w:color w:val="000000" w:themeColor="text1"/>
        </w:rPr>
        <w:t>it</w:t>
      </w:r>
      <w:proofErr w:type="spellEnd"/>
      <w:r w:rsidRPr="001926F7">
        <w:rPr>
          <w:rFonts w:ascii="Times New Roman" w:hAnsi="Times New Roman" w:cs="Times New Roman"/>
          <w:i/>
          <w:iCs/>
          <w:color w:val="000000" w:themeColor="text1"/>
        </w:rPr>
        <w:t xml:space="preserve"> Ba-</w:t>
      </w:r>
      <w:proofErr w:type="spellStart"/>
      <w:r w:rsidRPr="001926F7">
        <w:rPr>
          <w:rFonts w:ascii="Times New Roman" w:hAnsi="Times New Roman" w:cs="Times New Roman"/>
          <w:i/>
          <w:iCs/>
          <w:color w:val="000000" w:themeColor="text1"/>
        </w:rPr>
        <w:t>tekufah</w:t>
      </w:r>
      <w:proofErr w:type="spellEnd"/>
      <w:r w:rsidRPr="001926F7">
        <w:rPr>
          <w:rFonts w:ascii="Times New Roman" w:hAnsi="Times New Roman" w:cs="Times New Roman"/>
          <w:i/>
          <w:iCs/>
          <w:color w:val="000000" w:themeColor="text1"/>
        </w:rPr>
        <w:t xml:space="preserve"> Ha-‘</w:t>
      </w:r>
      <w:proofErr w:type="spellStart"/>
      <w:r w:rsidRPr="001926F7">
        <w:rPr>
          <w:rFonts w:ascii="Times New Roman" w:hAnsi="Times New Roman" w:cs="Times New Roman"/>
          <w:i/>
          <w:iCs/>
          <w:color w:val="000000" w:themeColor="text1"/>
        </w:rPr>
        <w:t>Othmanit</w:t>
      </w:r>
      <w:proofErr w:type="spellEnd"/>
      <w:r w:rsidRPr="001926F7">
        <w:rPr>
          <w:rFonts w:ascii="Times New Roman" w:hAnsi="Times New Roman" w:cs="Times New Roman" w:hint="cs"/>
          <w:i/>
          <w:iCs/>
          <w:color w:val="000000" w:themeColor="text1"/>
          <w:rtl/>
        </w:rPr>
        <w:t xml:space="preserve"> </w:t>
      </w:r>
      <w:r w:rsidRPr="001926F7">
        <w:rPr>
          <w:rFonts w:ascii="Times New Roman" w:hAnsi="Times New Roman" w:cs="Times New Roman"/>
          <w:color w:val="000000" w:themeColor="text1"/>
        </w:rPr>
        <w:t xml:space="preserve"> [</w:t>
      </w:r>
      <w:r w:rsidRPr="001926F7">
        <w:rPr>
          <w:rFonts w:ascii="Times New Roman" w:eastAsia="Times New Roman" w:hAnsi="Times New Roman" w:cs="Times New Roman"/>
          <w:color w:val="000000" w:themeColor="text1"/>
          <w:shd w:val="clear" w:color="auto" w:fill="FFFFFF"/>
        </w:rPr>
        <w:t xml:space="preserve">You Were Born </w:t>
      </w:r>
      <w:r>
        <w:rPr>
          <w:rFonts w:ascii="Times New Roman" w:eastAsia="Times New Roman" w:hAnsi="Times New Roman" w:cs="Times New Roman"/>
          <w:color w:val="000000" w:themeColor="text1"/>
          <w:shd w:val="clear" w:color="auto" w:fill="FFFFFF"/>
        </w:rPr>
        <w:t>Z</w:t>
      </w:r>
      <w:r w:rsidRPr="001926F7">
        <w:rPr>
          <w:rFonts w:ascii="Times New Roman" w:eastAsia="Times New Roman" w:hAnsi="Times New Roman" w:cs="Times New Roman"/>
          <w:color w:val="000000" w:themeColor="text1"/>
          <w:shd w:val="clear" w:color="auto" w:fill="FFFFFF"/>
        </w:rPr>
        <w:t>ionists: The Sephardim in Eretz Israel in Zionism and the Hebrew Revival during the Ottoman Period</w:t>
      </w:r>
      <w:r w:rsidRPr="001926F7">
        <w:rPr>
          <w:rFonts w:ascii="Times New Roman" w:hAnsi="Times New Roman" w:cs="Times New Roman"/>
          <w:color w:val="000000" w:themeColor="text1"/>
        </w:rPr>
        <w:t xml:space="preserve">] (Jerusalem: </w:t>
      </w:r>
      <w:proofErr w:type="spellStart"/>
      <w:r w:rsidRPr="001926F7">
        <w:rPr>
          <w:rFonts w:ascii="Times New Roman" w:hAnsi="Times New Roman" w:cs="Times New Roman"/>
          <w:color w:val="000000" w:themeColor="text1"/>
        </w:rPr>
        <w:t>Yad</w:t>
      </w:r>
      <w:proofErr w:type="spellEnd"/>
      <w:r w:rsidRPr="001926F7">
        <w:rPr>
          <w:rFonts w:ascii="Times New Roman" w:hAnsi="Times New Roman" w:cs="Times New Roman"/>
          <w:color w:val="000000" w:themeColor="text1"/>
        </w:rPr>
        <w:t xml:space="preserve"> Ishak Ben-</w:t>
      </w:r>
      <w:proofErr w:type="spellStart"/>
      <w:r w:rsidRPr="001926F7">
        <w:rPr>
          <w:rFonts w:ascii="Times New Roman" w:hAnsi="Times New Roman" w:cs="Times New Roman"/>
          <w:color w:val="000000" w:themeColor="text1"/>
        </w:rPr>
        <w:t>Zvi</w:t>
      </w:r>
      <w:proofErr w:type="spellEnd"/>
      <w:r w:rsidRPr="001926F7">
        <w:rPr>
          <w:rFonts w:ascii="Times New Roman" w:hAnsi="Times New Roman" w:cs="Times New Roman"/>
          <w:color w:val="000000" w:themeColor="text1"/>
        </w:rPr>
        <w:t>, 2007), 400.</w:t>
      </w:r>
    </w:p>
  </w:footnote>
  <w:footnote w:id="45">
    <w:p w14:paraId="3F9FF825" w14:textId="328BEB3B" w:rsidR="009327BD" w:rsidRPr="001926F7" w:rsidRDefault="009327BD" w:rsidP="001926F7">
      <w:pPr>
        <w:pStyle w:val="FootnoteText"/>
        <w:spacing w:line="360" w:lineRule="auto"/>
        <w:rPr>
          <w:lang w:val="de-DE"/>
        </w:rPr>
      </w:pPr>
      <w:r w:rsidRPr="001926F7">
        <w:rPr>
          <w:rStyle w:val="FootnoteReference"/>
          <w:rFonts w:ascii="Times New Roman" w:hAnsi="Times New Roman" w:cs="Times New Roman"/>
          <w:sz w:val="24"/>
          <w:szCs w:val="24"/>
        </w:rPr>
        <w:footnoteRef/>
      </w:r>
      <w:r w:rsidRPr="001926F7">
        <w:rPr>
          <w:rFonts w:ascii="Times New Roman" w:hAnsi="Times New Roman" w:cs="Times New Roman"/>
          <w:sz w:val="24"/>
          <w:szCs w:val="24"/>
          <w:lang w:val="de-DE"/>
        </w:rPr>
        <w:t xml:space="preserve"> </w:t>
      </w:r>
      <w:r w:rsidRPr="001926F7">
        <w:rPr>
          <w:rFonts w:asciiTheme="majorBidi" w:hAnsiTheme="majorBidi" w:cstheme="majorBidi"/>
          <w:sz w:val="24"/>
          <w:szCs w:val="24"/>
          <w:lang w:val="de-DE"/>
        </w:rPr>
        <w:t xml:space="preserve">Lang, </w:t>
      </w:r>
      <w:proofErr w:type="spellStart"/>
      <w:r w:rsidRPr="001926F7">
        <w:rPr>
          <w:rFonts w:asciiTheme="majorBidi" w:hAnsiTheme="majorBidi" w:cstheme="majorBidi"/>
          <w:i/>
          <w:iCs/>
          <w:sz w:val="24"/>
          <w:szCs w:val="24"/>
          <w:lang w:val="de-DE"/>
        </w:rPr>
        <w:t>Dabber</w:t>
      </w:r>
      <w:proofErr w:type="spellEnd"/>
      <w:r w:rsidRPr="001926F7">
        <w:rPr>
          <w:rFonts w:asciiTheme="majorBidi" w:hAnsiTheme="majorBidi" w:cstheme="majorBidi"/>
          <w:i/>
          <w:iCs/>
          <w:sz w:val="24"/>
          <w:szCs w:val="24"/>
          <w:lang w:val="de-DE"/>
        </w:rPr>
        <w:t xml:space="preserve"> ‘</w:t>
      </w:r>
      <w:proofErr w:type="spellStart"/>
      <w:r w:rsidRPr="001926F7">
        <w:rPr>
          <w:rFonts w:asciiTheme="majorBidi" w:hAnsiTheme="majorBidi" w:cstheme="majorBidi"/>
          <w:i/>
          <w:iCs/>
          <w:sz w:val="24"/>
          <w:szCs w:val="24"/>
          <w:lang w:val="de-DE"/>
        </w:rPr>
        <w:t>Ivrit</w:t>
      </w:r>
      <w:proofErr w:type="spellEnd"/>
      <w:r w:rsidRPr="001926F7">
        <w:rPr>
          <w:rFonts w:asciiTheme="majorBidi" w:hAnsiTheme="majorBidi" w:cstheme="majorBidi"/>
          <w:i/>
          <w:iCs/>
          <w:sz w:val="24"/>
          <w:szCs w:val="24"/>
          <w:lang w:val="de-DE"/>
        </w:rPr>
        <w:t xml:space="preserve">! </w:t>
      </w:r>
      <w:proofErr w:type="spellStart"/>
      <w:r w:rsidRPr="001926F7">
        <w:rPr>
          <w:rFonts w:asciiTheme="majorBidi" w:hAnsiTheme="majorBidi" w:cstheme="majorBidi"/>
          <w:i/>
          <w:iCs/>
          <w:sz w:val="24"/>
          <w:szCs w:val="24"/>
          <w:lang w:val="de-DE"/>
        </w:rPr>
        <w:t>Ḥayyei</w:t>
      </w:r>
      <w:proofErr w:type="spellEnd"/>
      <w:r w:rsidRPr="001926F7">
        <w:rPr>
          <w:rFonts w:asciiTheme="majorBidi" w:hAnsiTheme="majorBidi" w:cstheme="majorBidi"/>
          <w:i/>
          <w:iCs/>
          <w:sz w:val="24"/>
          <w:szCs w:val="24"/>
          <w:lang w:val="de-DE"/>
        </w:rPr>
        <w:t xml:space="preserve"> </w:t>
      </w:r>
      <w:proofErr w:type="spellStart"/>
      <w:r w:rsidRPr="001926F7">
        <w:rPr>
          <w:rFonts w:asciiTheme="majorBidi" w:hAnsiTheme="majorBidi" w:cstheme="majorBidi"/>
          <w:i/>
          <w:iCs/>
          <w:sz w:val="24"/>
          <w:szCs w:val="24"/>
          <w:lang w:val="de-DE"/>
        </w:rPr>
        <w:t>Eli‘ezer</w:t>
      </w:r>
      <w:proofErr w:type="spellEnd"/>
      <w:r w:rsidRPr="001926F7">
        <w:rPr>
          <w:rFonts w:asciiTheme="majorBidi" w:hAnsiTheme="majorBidi" w:cstheme="majorBidi"/>
          <w:i/>
          <w:iCs/>
          <w:sz w:val="24"/>
          <w:szCs w:val="24"/>
          <w:lang w:val="de-DE"/>
        </w:rPr>
        <w:t xml:space="preserve"> </w:t>
      </w:r>
      <w:r w:rsidRPr="001926F7">
        <w:rPr>
          <w:rFonts w:ascii="Times New Roman" w:hAnsi="Times New Roman" w:cs="Times New Roman"/>
          <w:i/>
          <w:iCs/>
          <w:sz w:val="24"/>
          <w:szCs w:val="24"/>
          <w:lang w:val="de-DE"/>
        </w:rPr>
        <w:t>Ben-Yehuda</w:t>
      </w:r>
      <w:r w:rsidRPr="001926F7">
        <w:rPr>
          <w:rFonts w:ascii="Times New Roman" w:hAnsi="Times New Roman" w:cs="Times New Roman"/>
          <w:sz w:val="24"/>
          <w:szCs w:val="24"/>
          <w:lang w:val="de-DE"/>
        </w:rPr>
        <w:t>, 626.</w:t>
      </w:r>
    </w:p>
  </w:footnote>
  <w:footnote w:id="46">
    <w:p w14:paraId="14170BE1" w14:textId="5A9BBEBB" w:rsidR="009327BD" w:rsidRPr="00142266" w:rsidRDefault="009327BD" w:rsidP="00142266">
      <w:pPr>
        <w:pStyle w:val="FootnoteText"/>
        <w:spacing w:line="360" w:lineRule="auto"/>
        <w:rPr>
          <w:rFonts w:ascii="Times New Roman" w:hAnsi="Times New Roman" w:cs="Times New Roman"/>
          <w:sz w:val="24"/>
          <w:szCs w:val="24"/>
          <w:lang w:val="de-DE"/>
        </w:rPr>
      </w:pPr>
      <w:r w:rsidRPr="00142266">
        <w:rPr>
          <w:rStyle w:val="FootnoteReference"/>
          <w:rFonts w:ascii="Times New Roman" w:hAnsi="Times New Roman" w:cs="Times New Roman"/>
          <w:sz w:val="24"/>
          <w:szCs w:val="24"/>
        </w:rPr>
        <w:footnoteRef/>
      </w:r>
      <w:r w:rsidRPr="00142266">
        <w:rPr>
          <w:rFonts w:ascii="Times New Roman" w:hAnsi="Times New Roman" w:cs="Times New Roman"/>
          <w:sz w:val="24"/>
          <w:szCs w:val="24"/>
          <w:lang w:val="de-DE"/>
        </w:rPr>
        <w:t xml:space="preserve"> Ben-Gurion, </w:t>
      </w:r>
      <w:proofErr w:type="spellStart"/>
      <w:r w:rsidRPr="00142266">
        <w:rPr>
          <w:rFonts w:ascii="Times New Roman" w:hAnsi="Times New Roman" w:cs="Times New Roman"/>
          <w:i/>
          <w:iCs/>
          <w:sz w:val="24"/>
          <w:szCs w:val="24"/>
          <w:lang w:val="de-DE"/>
        </w:rPr>
        <w:t>Anaḥnu</w:t>
      </w:r>
      <w:proofErr w:type="spellEnd"/>
      <w:r w:rsidRPr="00142266">
        <w:rPr>
          <w:rFonts w:ascii="Times New Roman" w:hAnsi="Times New Roman" w:cs="Times New Roman"/>
          <w:i/>
          <w:iCs/>
          <w:sz w:val="24"/>
          <w:szCs w:val="24"/>
          <w:lang w:val="de-DE"/>
        </w:rPr>
        <w:t xml:space="preserve"> U-</w:t>
      </w:r>
      <w:proofErr w:type="spellStart"/>
      <w:r w:rsidRPr="00142266">
        <w:rPr>
          <w:rFonts w:ascii="Times New Roman" w:hAnsi="Times New Roman" w:cs="Times New Roman"/>
          <w:i/>
          <w:iCs/>
          <w:sz w:val="24"/>
          <w:szCs w:val="24"/>
          <w:lang w:val="de-DE"/>
        </w:rPr>
        <w:t>shekhenenu</w:t>
      </w:r>
      <w:proofErr w:type="spellEnd"/>
      <w:r w:rsidRPr="00142266">
        <w:rPr>
          <w:rFonts w:ascii="Times New Roman" w:hAnsi="Times New Roman" w:cs="Times New Roman"/>
          <w:sz w:val="24"/>
          <w:szCs w:val="24"/>
          <w:lang w:val="de-DE"/>
        </w:rPr>
        <w:t>, 7–8.</w:t>
      </w:r>
    </w:p>
  </w:footnote>
  <w:footnote w:id="47">
    <w:p w14:paraId="1E9FA191" w14:textId="586D29AF" w:rsidR="009327BD" w:rsidRPr="009327BD" w:rsidRDefault="009327BD" w:rsidP="009327BD">
      <w:pPr>
        <w:pStyle w:val="FootnoteText"/>
        <w:spacing w:line="360" w:lineRule="auto"/>
        <w:rPr>
          <w:lang w:val="de-DE"/>
        </w:rPr>
      </w:pPr>
      <w:r w:rsidRPr="009327BD">
        <w:rPr>
          <w:rStyle w:val="FootnoteReference"/>
          <w:rFonts w:ascii="Times New Roman" w:hAnsi="Times New Roman" w:cs="Times New Roman"/>
          <w:sz w:val="24"/>
          <w:szCs w:val="24"/>
        </w:rPr>
        <w:footnoteRef/>
      </w:r>
      <w:r w:rsidRPr="009327BD">
        <w:rPr>
          <w:rFonts w:ascii="Times New Roman" w:hAnsi="Times New Roman" w:cs="Times New Roman"/>
          <w:sz w:val="24"/>
          <w:szCs w:val="24"/>
          <w:lang w:val="de-DE"/>
        </w:rPr>
        <w:t xml:space="preserve"> </w:t>
      </w:r>
      <w:r w:rsidRPr="00142266">
        <w:rPr>
          <w:rFonts w:ascii="Times New Roman" w:hAnsi="Times New Roman" w:cs="Times New Roman"/>
          <w:sz w:val="24"/>
          <w:szCs w:val="24"/>
          <w:lang w:val="de-DE"/>
        </w:rPr>
        <w:t xml:space="preserve">Ben-Gurion, </w:t>
      </w:r>
      <w:proofErr w:type="spellStart"/>
      <w:r w:rsidRPr="00142266">
        <w:rPr>
          <w:rFonts w:ascii="Times New Roman" w:hAnsi="Times New Roman" w:cs="Times New Roman"/>
          <w:i/>
          <w:iCs/>
          <w:sz w:val="24"/>
          <w:szCs w:val="24"/>
          <w:lang w:val="de-DE"/>
        </w:rPr>
        <w:t>Anaḥnu</w:t>
      </w:r>
      <w:proofErr w:type="spellEnd"/>
      <w:r w:rsidRPr="00142266">
        <w:rPr>
          <w:rFonts w:ascii="Times New Roman" w:hAnsi="Times New Roman" w:cs="Times New Roman"/>
          <w:i/>
          <w:iCs/>
          <w:sz w:val="24"/>
          <w:szCs w:val="24"/>
          <w:lang w:val="de-DE"/>
        </w:rPr>
        <w:t xml:space="preserve"> U-</w:t>
      </w:r>
      <w:proofErr w:type="spellStart"/>
      <w:r w:rsidRPr="00142266">
        <w:rPr>
          <w:rFonts w:ascii="Times New Roman" w:hAnsi="Times New Roman" w:cs="Times New Roman"/>
          <w:i/>
          <w:iCs/>
          <w:sz w:val="24"/>
          <w:szCs w:val="24"/>
          <w:lang w:val="de-DE"/>
        </w:rPr>
        <w:t>shekhenenu</w:t>
      </w:r>
      <w:proofErr w:type="spellEnd"/>
      <w:r w:rsidRPr="00142266">
        <w:rPr>
          <w:rFonts w:ascii="Times New Roman" w:hAnsi="Times New Roman" w:cs="Times New Roman"/>
          <w:sz w:val="24"/>
          <w:szCs w:val="24"/>
          <w:lang w:val="de-DE"/>
        </w:rPr>
        <w:t xml:space="preserve">, </w:t>
      </w:r>
      <w:r>
        <w:rPr>
          <w:rFonts w:ascii="Times New Roman" w:hAnsi="Times New Roman" w:cs="Times New Roman"/>
          <w:sz w:val="24"/>
          <w:szCs w:val="24"/>
          <w:lang w:val="de-DE"/>
        </w:rPr>
        <w:t>8–9.</w:t>
      </w:r>
    </w:p>
  </w:footnote>
  <w:footnote w:id="48">
    <w:p w14:paraId="46E9A49B" w14:textId="3D57AB82" w:rsidR="009327BD" w:rsidRPr="009327BD" w:rsidRDefault="009327BD">
      <w:pPr>
        <w:pStyle w:val="FootnoteText"/>
        <w:rPr>
          <w:lang w:val="de-DE"/>
        </w:rPr>
      </w:pPr>
      <w:r w:rsidRPr="009327BD">
        <w:rPr>
          <w:rStyle w:val="FootnoteReference"/>
          <w:rFonts w:ascii="Times New Roman" w:hAnsi="Times New Roman" w:cs="Times New Roman"/>
          <w:sz w:val="24"/>
          <w:szCs w:val="24"/>
        </w:rPr>
        <w:footnoteRef/>
      </w:r>
      <w:r w:rsidRPr="009327BD">
        <w:rPr>
          <w:rFonts w:ascii="Times New Roman" w:hAnsi="Times New Roman" w:cs="Times New Roman"/>
          <w:sz w:val="24"/>
          <w:szCs w:val="24"/>
          <w:lang w:val="de-DE"/>
        </w:rPr>
        <w:t xml:space="preserve"> Ben</w:t>
      </w:r>
      <w:r w:rsidRPr="00142266">
        <w:rPr>
          <w:rFonts w:ascii="Times New Roman" w:hAnsi="Times New Roman" w:cs="Times New Roman"/>
          <w:sz w:val="24"/>
          <w:szCs w:val="24"/>
          <w:lang w:val="de-DE"/>
        </w:rPr>
        <w:t xml:space="preserve">-Gurion, </w:t>
      </w:r>
      <w:proofErr w:type="spellStart"/>
      <w:r w:rsidRPr="00142266">
        <w:rPr>
          <w:rFonts w:ascii="Times New Roman" w:hAnsi="Times New Roman" w:cs="Times New Roman"/>
          <w:i/>
          <w:iCs/>
          <w:sz w:val="24"/>
          <w:szCs w:val="24"/>
          <w:lang w:val="de-DE"/>
        </w:rPr>
        <w:t>Anaḥnu</w:t>
      </w:r>
      <w:proofErr w:type="spellEnd"/>
      <w:r w:rsidRPr="00142266">
        <w:rPr>
          <w:rFonts w:ascii="Times New Roman" w:hAnsi="Times New Roman" w:cs="Times New Roman"/>
          <w:i/>
          <w:iCs/>
          <w:sz w:val="24"/>
          <w:szCs w:val="24"/>
          <w:lang w:val="de-DE"/>
        </w:rPr>
        <w:t xml:space="preserve"> U-</w:t>
      </w:r>
      <w:proofErr w:type="spellStart"/>
      <w:r w:rsidRPr="00142266">
        <w:rPr>
          <w:rFonts w:ascii="Times New Roman" w:hAnsi="Times New Roman" w:cs="Times New Roman"/>
          <w:i/>
          <w:iCs/>
          <w:sz w:val="24"/>
          <w:szCs w:val="24"/>
          <w:lang w:val="de-DE"/>
        </w:rPr>
        <w:t>shekhenenu</w:t>
      </w:r>
      <w:proofErr w:type="spellEnd"/>
      <w:r w:rsidRPr="00142266">
        <w:rPr>
          <w:rFonts w:ascii="Times New Roman" w:hAnsi="Times New Roman" w:cs="Times New Roman"/>
          <w:sz w:val="24"/>
          <w:szCs w:val="24"/>
          <w:lang w:val="de-DE"/>
        </w:rPr>
        <w:t xml:space="preserve">, </w:t>
      </w:r>
      <w:r>
        <w:rPr>
          <w:rFonts w:ascii="Times New Roman" w:hAnsi="Times New Roman" w:cs="Times New Roman"/>
          <w:sz w:val="24"/>
          <w:szCs w:val="24"/>
          <w:lang w:val="de-DE"/>
        </w:rPr>
        <w:t>12.</w:t>
      </w:r>
    </w:p>
  </w:footnote>
  <w:footnote w:id="49">
    <w:p w14:paraId="5383ADE9" w14:textId="455589C8" w:rsidR="00EE7918" w:rsidRPr="00EE7918" w:rsidRDefault="00EE7918" w:rsidP="00EE7918">
      <w:pPr>
        <w:pStyle w:val="FootnoteText"/>
        <w:spacing w:line="360" w:lineRule="auto"/>
        <w:rPr>
          <w:rFonts w:ascii="Times New Roman" w:hAnsi="Times New Roman" w:cs="Times New Roman"/>
          <w:sz w:val="24"/>
          <w:szCs w:val="24"/>
        </w:rPr>
      </w:pPr>
      <w:r w:rsidRPr="00EE7918">
        <w:rPr>
          <w:rStyle w:val="FootnoteReference"/>
          <w:rFonts w:ascii="Times New Roman" w:hAnsi="Times New Roman" w:cs="Times New Roman"/>
          <w:sz w:val="24"/>
          <w:szCs w:val="24"/>
        </w:rPr>
        <w:footnoteRef/>
      </w:r>
      <w:r w:rsidRPr="00EE7918">
        <w:rPr>
          <w:rFonts w:ascii="Times New Roman" w:hAnsi="Times New Roman" w:cs="Times New Roman"/>
          <w:sz w:val="24"/>
          <w:szCs w:val="24"/>
        </w:rPr>
        <w:t xml:space="preserve"> An article in Ha-Ahdut, June 4, 1912, 6–8.</w:t>
      </w:r>
    </w:p>
  </w:footnote>
  <w:footnote w:id="50">
    <w:p w14:paraId="7197430D" w14:textId="754DB4E1" w:rsidR="00D06DC1" w:rsidRPr="00D06DC1" w:rsidRDefault="00D06DC1" w:rsidP="00D06DC1">
      <w:pPr>
        <w:pStyle w:val="NormalWeb"/>
        <w:rPr>
          <w:color w:val="C00000"/>
          <w:lang w:val="de-DE"/>
        </w:rPr>
      </w:pPr>
      <w:r>
        <w:rPr>
          <w:rStyle w:val="FootnoteReference"/>
        </w:rPr>
        <w:footnoteRef/>
      </w:r>
      <w:r w:rsidRPr="00D06DC1">
        <w:rPr>
          <w:lang w:val="de-DE"/>
        </w:rPr>
        <w:t xml:space="preserve"> Oliver Schmitt, Oliver, </w:t>
      </w:r>
      <w:r w:rsidRPr="00D06DC1">
        <w:rPr>
          <w:i/>
          <w:iCs/>
          <w:lang w:val="de-DE"/>
        </w:rPr>
        <w:t xml:space="preserve">Levantiner: Lebenswelten und </w:t>
      </w:r>
      <w:proofErr w:type="spellStart"/>
      <w:r w:rsidRPr="00D06DC1">
        <w:rPr>
          <w:i/>
          <w:iCs/>
          <w:lang w:val="de-DE"/>
        </w:rPr>
        <w:t>Identitäten</w:t>
      </w:r>
      <w:proofErr w:type="spellEnd"/>
      <w:r w:rsidRPr="00D06DC1">
        <w:rPr>
          <w:i/>
          <w:iCs/>
          <w:lang w:val="de-DE"/>
        </w:rPr>
        <w:t xml:space="preserve"> einer ethnokonfessionellen Gruppe im osmanischen Reich im “langen 19. Jahrhundert,”</w:t>
      </w:r>
      <w:r w:rsidRPr="00D06DC1">
        <w:rPr>
          <w:lang w:val="de-DE"/>
        </w:rPr>
        <w:t xml:space="preserve"> (</w:t>
      </w:r>
      <w:proofErr w:type="spellStart"/>
      <w:r w:rsidRPr="00D06DC1">
        <w:rPr>
          <w:lang w:val="de-DE"/>
        </w:rPr>
        <w:t>München</w:t>
      </w:r>
      <w:proofErr w:type="spellEnd"/>
      <w:r w:rsidRPr="00D06DC1">
        <w:rPr>
          <w:lang w:val="de-DE"/>
        </w:rPr>
        <w:t>: Oldenburg, 2005)</w:t>
      </w:r>
      <w:r>
        <w:rPr>
          <w:lang w:val="de-DE"/>
        </w:rPr>
        <w:t xml:space="preserve">. </w:t>
      </w:r>
      <w:r w:rsidRPr="00D06DC1">
        <w:rPr>
          <w:rFonts w:ascii="Arial" w:hAnsi="Arial" w:cs="Arial"/>
          <w:color w:val="C00000"/>
          <w:highlight w:val="cyan"/>
          <w:lang w:val="de-DE"/>
        </w:rPr>
        <w:t>[</w:t>
      </w:r>
      <w:r>
        <w:rPr>
          <w:rFonts w:ascii="Arial" w:hAnsi="Arial" w:cs="Arial" w:hint="cs"/>
          <w:color w:val="C00000"/>
          <w:highlight w:val="cyan"/>
          <w:rtl/>
          <w:lang w:val="de-DE"/>
        </w:rPr>
        <w:t>הלא מן</w:t>
      </w:r>
      <w:r w:rsidRPr="00D06DC1">
        <w:rPr>
          <w:rFonts w:ascii="Arial" w:hAnsi="Arial" w:cs="Arial"/>
          <w:color w:val="C00000"/>
          <w:highlight w:val="cyan"/>
          <w:rtl/>
          <w:lang w:val="de-DE"/>
        </w:rPr>
        <w:t xml:space="preserve"> הראוי לציין מספר(י) עמוד(ים)</w:t>
      </w:r>
      <w:r>
        <w:rPr>
          <w:rFonts w:ascii="Arial" w:hAnsi="Arial" w:cs="Arial" w:hint="cs"/>
          <w:color w:val="C00000"/>
          <w:highlight w:val="cyan"/>
          <w:rtl/>
          <w:lang w:val="de-DE"/>
        </w:rPr>
        <w:t>?</w:t>
      </w:r>
      <w:r w:rsidRPr="00D06DC1">
        <w:rPr>
          <w:rFonts w:ascii="Arial" w:hAnsi="Arial" w:cs="Arial"/>
          <w:color w:val="C00000"/>
          <w:highlight w:val="cyan"/>
          <w:lang w:val="de-DE"/>
        </w:rPr>
        <w:t>]</w:t>
      </w:r>
    </w:p>
    <w:p w14:paraId="59F4061D" w14:textId="52F443A1" w:rsidR="00D06DC1" w:rsidRPr="00D06DC1" w:rsidRDefault="00D06DC1">
      <w:pPr>
        <w:pStyle w:val="FootnoteText"/>
        <w:rPr>
          <w:lang w:val="de-DE"/>
        </w:rPr>
      </w:pPr>
    </w:p>
  </w:footnote>
  <w:footnote w:id="51">
    <w:p w14:paraId="5C0BF395" w14:textId="2E843FC7" w:rsidR="006F1C3C" w:rsidRPr="006F1C3C" w:rsidRDefault="006F1C3C" w:rsidP="006F1C3C">
      <w:pPr>
        <w:pStyle w:val="NormalWeb"/>
        <w:spacing w:line="360" w:lineRule="auto"/>
      </w:pPr>
      <w:r w:rsidRPr="006F1C3C">
        <w:rPr>
          <w:rStyle w:val="FootnoteReference"/>
        </w:rPr>
        <w:footnoteRef/>
      </w:r>
      <w:r w:rsidRPr="006F1C3C">
        <w:t xml:space="preserve"> Abigail Jacobson, “American ‘Welfare </w:t>
      </w:r>
      <w:proofErr w:type="spellStart"/>
      <w:r w:rsidRPr="006F1C3C">
        <w:t>Politicsʼ</w:t>
      </w:r>
      <w:proofErr w:type="spellEnd"/>
      <w:r w:rsidRPr="006F1C3C">
        <w:t xml:space="preserve">: American Involvement in Jerusalem during World War I,” </w:t>
      </w:r>
      <w:r w:rsidRPr="006F1C3C">
        <w:rPr>
          <w:i/>
          <w:iCs/>
        </w:rPr>
        <w:t>Israel Studies</w:t>
      </w:r>
      <w:r w:rsidRPr="006F1C3C">
        <w:t xml:space="preserve"> 18 (Spring 2013), 56–76. </w:t>
      </w:r>
    </w:p>
    <w:p w14:paraId="431F1863" w14:textId="518C7A70" w:rsidR="006F1C3C" w:rsidRDefault="006F1C3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90870"/>
    <w:multiLevelType w:val="hybridMultilevel"/>
    <w:tmpl w:val="AE9ACAEE"/>
    <w:lvl w:ilvl="0" w:tplc="FAE82F58">
      <w:start w:val="1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retz Rodman">
    <w15:presenceInfo w15:providerId="Windows Live" w15:userId="04a78a680ccfba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67F"/>
    <w:rsid w:val="0002056E"/>
    <w:rsid w:val="00021925"/>
    <w:rsid w:val="00030596"/>
    <w:rsid w:val="00042140"/>
    <w:rsid w:val="00042B6A"/>
    <w:rsid w:val="00075CD5"/>
    <w:rsid w:val="000772CD"/>
    <w:rsid w:val="000B232F"/>
    <w:rsid w:val="000C4975"/>
    <w:rsid w:val="00115DD7"/>
    <w:rsid w:val="00121C11"/>
    <w:rsid w:val="00142266"/>
    <w:rsid w:val="001649D7"/>
    <w:rsid w:val="00164AA8"/>
    <w:rsid w:val="00177B93"/>
    <w:rsid w:val="001926F7"/>
    <w:rsid w:val="001B4046"/>
    <w:rsid w:val="001D46EB"/>
    <w:rsid w:val="001D501A"/>
    <w:rsid w:val="0026507F"/>
    <w:rsid w:val="00282473"/>
    <w:rsid w:val="00284643"/>
    <w:rsid w:val="00291465"/>
    <w:rsid w:val="002B27E4"/>
    <w:rsid w:val="002B7C4E"/>
    <w:rsid w:val="002C16C1"/>
    <w:rsid w:val="002E6D37"/>
    <w:rsid w:val="002F2F76"/>
    <w:rsid w:val="00310BF1"/>
    <w:rsid w:val="00314D2B"/>
    <w:rsid w:val="00316220"/>
    <w:rsid w:val="003243FD"/>
    <w:rsid w:val="00353C17"/>
    <w:rsid w:val="00355713"/>
    <w:rsid w:val="0036035F"/>
    <w:rsid w:val="00397984"/>
    <w:rsid w:val="003B7C4B"/>
    <w:rsid w:val="003C6FE8"/>
    <w:rsid w:val="003D68C0"/>
    <w:rsid w:val="003E2749"/>
    <w:rsid w:val="003E7813"/>
    <w:rsid w:val="003F4E1B"/>
    <w:rsid w:val="00412577"/>
    <w:rsid w:val="00421A3D"/>
    <w:rsid w:val="004371CF"/>
    <w:rsid w:val="00443C97"/>
    <w:rsid w:val="004661BF"/>
    <w:rsid w:val="0047051D"/>
    <w:rsid w:val="004B3B85"/>
    <w:rsid w:val="004F74B1"/>
    <w:rsid w:val="005416D8"/>
    <w:rsid w:val="00575CFB"/>
    <w:rsid w:val="005821EC"/>
    <w:rsid w:val="00585E7A"/>
    <w:rsid w:val="005E4B82"/>
    <w:rsid w:val="00603FF5"/>
    <w:rsid w:val="00612BB9"/>
    <w:rsid w:val="00612DA1"/>
    <w:rsid w:val="00633EAE"/>
    <w:rsid w:val="00645080"/>
    <w:rsid w:val="006C3A9E"/>
    <w:rsid w:val="006D241A"/>
    <w:rsid w:val="006F1C3C"/>
    <w:rsid w:val="00711B85"/>
    <w:rsid w:val="00720121"/>
    <w:rsid w:val="00730776"/>
    <w:rsid w:val="007326A2"/>
    <w:rsid w:val="007566BE"/>
    <w:rsid w:val="00775D50"/>
    <w:rsid w:val="00776EA0"/>
    <w:rsid w:val="007807B7"/>
    <w:rsid w:val="00780E95"/>
    <w:rsid w:val="007B114F"/>
    <w:rsid w:val="007D5477"/>
    <w:rsid w:val="008248E7"/>
    <w:rsid w:val="00882D4A"/>
    <w:rsid w:val="009144DC"/>
    <w:rsid w:val="00914F92"/>
    <w:rsid w:val="009327BD"/>
    <w:rsid w:val="009373DC"/>
    <w:rsid w:val="00942AD6"/>
    <w:rsid w:val="00956EE4"/>
    <w:rsid w:val="0097216E"/>
    <w:rsid w:val="00974143"/>
    <w:rsid w:val="009A16DB"/>
    <w:rsid w:val="009A5CE7"/>
    <w:rsid w:val="009B21E5"/>
    <w:rsid w:val="009D7806"/>
    <w:rsid w:val="009F113B"/>
    <w:rsid w:val="00A05E9B"/>
    <w:rsid w:val="00A120B8"/>
    <w:rsid w:val="00A27029"/>
    <w:rsid w:val="00A609D6"/>
    <w:rsid w:val="00A77C92"/>
    <w:rsid w:val="00A86132"/>
    <w:rsid w:val="00A94496"/>
    <w:rsid w:val="00AA0899"/>
    <w:rsid w:val="00AC7462"/>
    <w:rsid w:val="00AD207B"/>
    <w:rsid w:val="00AE7239"/>
    <w:rsid w:val="00AF7417"/>
    <w:rsid w:val="00B0314F"/>
    <w:rsid w:val="00B073BC"/>
    <w:rsid w:val="00B23E47"/>
    <w:rsid w:val="00B23F57"/>
    <w:rsid w:val="00B475FB"/>
    <w:rsid w:val="00B514B7"/>
    <w:rsid w:val="00B80D3A"/>
    <w:rsid w:val="00B83037"/>
    <w:rsid w:val="00B91504"/>
    <w:rsid w:val="00B92437"/>
    <w:rsid w:val="00BE0C41"/>
    <w:rsid w:val="00C11222"/>
    <w:rsid w:val="00C1612E"/>
    <w:rsid w:val="00C23A15"/>
    <w:rsid w:val="00C4373A"/>
    <w:rsid w:val="00CB0152"/>
    <w:rsid w:val="00CF183E"/>
    <w:rsid w:val="00D0036F"/>
    <w:rsid w:val="00D06DC1"/>
    <w:rsid w:val="00D17FFC"/>
    <w:rsid w:val="00D210DA"/>
    <w:rsid w:val="00D8267F"/>
    <w:rsid w:val="00DE067B"/>
    <w:rsid w:val="00DE180A"/>
    <w:rsid w:val="00E32622"/>
    <w:rsid w:val="00E43F5E"/>
    <w:rsid w:val="00E61B5F"/>
    <w:rsid w:val="00E6309E"/>
    <w:rsid w:val="00E77D91"/>
    <w:rsid w:val="00EB7BBD"/>
    <w:rsid w:val="00EC41C9"/>
    <w:rsid w:val="00ED065C"/>
    <w:rsid w:val="00EE376F"/>
    <w:rsid w:val="00EE7918"/>
    <w:rsid w:val="00F2764B"/>
    <w:rsid w:val="00F52197"/>
    <w:rsid w:val="00F5797E"/>
    <w:rsid w:val="00F747F0"/>
    <w:rsid w:val="00F76FC0"/>
    <w:rsid w:val="00F933C9"/>
    <w:rsid w:val="00FB4A56"/>
    <w:rsid w:val="00FC0BD9"/>
    <w:rsid w:val="00FD49FE"/>
    <w:rsid w:val="00FD5081"/>
    <w:rsid w:val="00FE49CA"/>
    <w:rsid w:val="00FE51C5"/>
    <w:rsid w:val="00FE5B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7F5A4F1C"/>
  <w15:chartTrackingRefBased/>
  <w15:docId w15:val="{27A32C05-1657-2D42-8EF4-F0ACE54E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8267F"/>
    <w:rPr>
      <w:sz w:val="20"/>
      <w:szCs w:val="20"/>
    </w:rPr>
  </w:style>
  <w:style w:type="character" w:customStyle="1" w:styleId="FootnoteTextChar">
    <w:name w:val="Footnote Text Char"/>
    <w:basedOn w:val="DefaultParagraphFont"/>
    <w:link w:val="FootnoteText"/>
    <w:uiPriority w:val="99"/>
    <w:semiHidden/>
    <w:rsid w:val="00D8267F"/>
    <w:rPr>
      <w:sz w:val="20"/>
      <w:szCs w:val="20"/>
    </w:rPr>
  </w:style>
  <w:style w:type="character" w:styleId="FootnoteReference">
    <w:name w:val="footnote reference"/>
    <w:basedOn w:val="DefaultParagraphFont"/>
    <w:uiPriority w:val="99"/>
    <w:semiHidden/>
    <w:unhideWhenUsed/>
    <w:rsid w:val="00D8267F"/>
    <w:rPr>
      <w:vertAlign w:val="superscript"/>
    </w:rPr>
  </w:style>
  <w:style w:type="character" w:styleId="CommentReference">
    <w:name w:val="annotation reference"/>
    <w:basedOn w:val="DefaultParagraphFont"/>
    <w:uiPriority w:val="99"/>
    <w:semiHidden/>
    <w:unhideWhenUsed/>
    <w:rsid w:val="00780E95"/>
    <w:rPr>
      <w:sz w:val="16"/>
      <w:szCs w:val="16"/>
    </w:rPr>
  </w:style>
  <w:style w:type="paragraph" w:styleId="CommentText">
    <w:name w:val="annotation text"/>
    <w:basedOn w:val="Normal"/>
    <w:link w:val="CommentTextChar"/>
    <w:uiPriority w:val="99"/>
    <w:semiHidden/>
    <w:unhideWhenUsed/>
    <w:rsid w:val="00780E95"/>
    <w:rPr>
      <w:sz w:val="20"/>
      <w:szCs w:val="20"/>
    </w:rPr>
  </w:style>
  <w:style w:type="character" w:customStyle="1" w:styleId="CommentTextChar">
    <w:name w:val="Comment Text Char"/>
    <w:basedOn w:val="DefaultParagraphFont"/>
    <w:link w:val="CommentText"/>
    <w:uiPriority w:val="99"/>
    <w:semiHidden/>
    <w:rsid w:val="00780E95"/>
    <w:rPr>
      <w:sz w:val="20"/>
      <w:szCs w:val="20"/>
    </w:rPr>
  </w:style>
  <w:style w:type="paragraph" w:styleId="CommentSubject">
    <w:name w:val="annotation subject"/>
    <w:basedOn w:val="CommentText"/>
    <w:next w:val="CommentText"/>
    <w:link w:val="CommentSubjectChar"/>
    <w:uiPriority w:val="99"/>
    <w:semiHidden/>
    <w:unhideWhenUsed/>
    <w:rsid w:val="00780E95"/>
    <w:rPr>
      <w:b/>
      <w:bCs/>
    </w:rPr>
  </w:style>
  <w:style w:type="character" w:customStyle="1" w:styleId="CommentSubjectChar">
    <w:name w:val="Comment Subject Char"/>
    <w:basedOn w:val="CommentTextChar"/>
    <w:link w:val="CommentSubject"/>
    <w:uiPriority w:val="99"/>
    <w:semiHidden/>
    <w:rsid w:val="00780E95"/>
    <w:rPr>
      <w:b/>
      <w:bCs/>
      <w:sz w:val="20"/>
      <w:szCs w:val="20"/>
    </w:rPr>
  </w:style>
  <w:style w:type="paragraph" w:styleId="BalloonText">
    <w:name w:val="Balloon Text"/>
    <w:basedOn w:val="Normal"/>
    <w:link w:val="BalloonTextChar"/>
    <w:uiPriority w:val="99"/>
    <w:semiHidden/>
    <w:unhideWhenUsed/>
    <w:rsid w:val="00780E9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0E95"/>
    <w:rPr>
      <w:rFonts w:ascii="Times New Roman" w:hAnsi="Times New Roman" w:cs="Times New Roman"/>
      <w:sz w:val="18"/>
      <w:szCs w:val="18"/>
    </w:rPr>
  </w:style>
  <w:style w:type="paragraph" w:styleId="NormalWeb">
    <w:name w:val="Normal (Web)"/>
    <w:basedOn w:val="Normal"/>
    <w:uiPriority w:val="99"/>
    <w:unhideWhenUsed/>
    <w:rsid w:val="00B80D3A"/>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AD207B"/>
    <w:pPr>
      <w:tabs>
        <w:tab w:val="center" w:pos="4680"/>
        <w:tab w:val="right" w:pos="9360"/>
      </w:tabs>
    </w:pPr>
  </w:style>
  <w:style w:type="character" w:customStyle="1" w:styleId="HeaderChar">
    <w:name w:val="Header Char"/>
    <w:basedOn w:val="DefaultParagraphFont"/>
    <w:link w:val="Header"/>
    <w:uiPriority w:val="99"/>
    <w:rsid w:val="00AD207B"/>
  </w:style>
  <w:style w:type="paragraph" w:styleId="Footer">
    <w:name w:val="footer"/>
    <w:basedOn w:val="Normal"/>
    <w:link w:val="FooterChar"/>
    <w:uiPriority w:val="99"/>
    <w:unhideWhenUsed/>
    <w:rsid w:val="00AD207B"/>
    <w:pPr>
      <w:tabs>
        <w:tab w:val="center" w:pos="4680"/>
        <w:tab w:val="right" w:pos="9360"/>
      </w:tabs>
    </w:pPr>
  </w:style>
  <w:style w:type="character" w:customStyle="1" w:styleId="FooterChar">
    <w:name w:val="Footer Char"/>
    <w:basedOn w:val="DefaultParagraphFont"/>
    <w:link w:val="Footer"/>
    <w:uiPriority w:val="99"/>
    <w:rsid w:val="00AD207B"/>
  </w:style>
  <w:style w:type="character" w:styleId="PageNumber">
    <w:name w:val="page number"/>
    <w:basedOn w:val="DefaultParagraphFont"/>
    <w:uiPriority w:val="99"/>
    <w:semiHidden/>
    <w:unhideWhenUsed/>
    <w:rsid w:val="00AD2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680170">
      <w:bodyDiv w:val="1"/>
      <w:marLeft w:val="0"/>
      <w:marRight w:val="0"/>
      <w:marTop w:val="0"/>
      <w:marBottom w:val="0"/>
      <w:divBdr>
        <w:top w:val="none" w:sz="0" w:space="0" w:color="auto"/>
        <w:left w:val="none" w:sz="0" w:space="0" w:color="auto"/>
        <w:bottom w:val="none" w:sz="0" w:space="0" w:color="auto"/>
        <w:right w:val="none" w:sz="0" w:space="0" w:color="auto"/>
      </w:divBdr>
      <w:divsChild>
        <w:div w:id="913665319">
          <w:marLeft w:val="0"/>
          <w:marRight w:val="0"/>
          <w:marTop w:val="0"/>
          <w:marBottom w:val="0"/>
          <w:divBdr>
            <w:top w:val="none" w:sz="0" w:space="0" w:color="auto"/>
            <w:left w:val="none" w:sz="0" w:space="0" w:color="auto"/>
            <w:bottom w:val="none" w:sz="0" w:space="0" w:color="auto"/>
            <w:right w:val="none" w:sz="0" w:space="0" w:color="auto"/>
          </w:divBdr>
          <w:divsChild>
            <w:div w:id="920144993">
              <w:marLeft w:val="0"/>
              <w:marRight w:val="0"/>
              <w:marTop w:val="0"/>
              <w:marBottom w:val="0"/>
              <w:divBdr>
                <w:top w:val="none" w:sz="0" w:space="0" w:color="auto"/>
                <w:left w:val="none" w:sz="0" w:space="0" w:color="auto"/>
                <w:bottom w:val="none" w:sz="0" w:space="0" w:color="auto"/>
                <w:right w:val="none" w:sz="0" w:space="0" w:color="auto"/>
              </w:divBdr>
              <w:divsChild>
                <w:div w:id="4882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9437">
      <w:bodyDiv w:val="1"/>
      <w:marLeft w:val="0"/>
      <w:marRight w:val="0"/>
      <w:marTop w:val="0"/>
      <w:marBottom w:val="0"/>
      <w:divBdr>
        <w:top w:val="none" w:sz="0" w:space="0" w:color="auto"/>
        <w:left w:val="none" w:sz="0" w:space="0" w:color="auto"/>
        <w:bottom w:val="none" w:sz="0" w:space="0" w:color="auto"/>
        <w:right w:val="none" w:sz="0" w:space="0" w:color="auto"/>
      </w:divBdr>
      <w:divsChild>
        <w:div w:id="1074473483">
          <w:marLeft w:val="0"/>
          <w:marRight w:val="0"/>
          <w:marTop w:val="0"/>
          <w:marBottom w:val="0"/>
          <w:divBdr>
            <w:top w:val="none" w:sz="0" w:space="0" w:color="auto"/>
            <w:left w:val="none" w:sz="0" w:space="0" w:color="auto"/>
            <w:bottom w:val="none" w:sz="0" w:space="0" w:color="auto"/>
            <w:right w:val="none" w:sz="0" w:space="0" w:color="auto"/>
          </w:divBdr>
          <w:divsChild>
            <w:div w:id="335885497">
              <w:marLeft w:val="0"/>
              <w:marRight w:val="0"/>
              <w:marTop w:val="0"/>
              <w:marBottom w:val="0"/>
              <w:divBdr>
                <w:top w:val="none" w:sz="0" w:space="0" w:color="auto"/>
                <w:left w:val="none" w:sz="0" w:space="0" w:color="auto"/>
                <w:bottom w:val="none" w:sz="0" w:space="0" w:color="auto"/>
                <w:right w:val="none" w:sz="0" w:space="0" w:color="auto"/>
              </w:divBdr>
              <w:divsChild>
                <w:div w:id="73034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809969">
      <w:bodyDiv w:val="1"/>
      <w:marLeft w:val="0"/>
      <w:marRight w:val="0"/>
      <w:marTop w:val="0"/>
      <w:marBottom w:val="0"/>
      <w:divBdr>
        <w:top w:val="none" w:sz="0" w:space="0" w:color="auto"/>
        <w:left w:val="none" w:sz="0" w:space="0" w:color="auto"/>
        <w:bottom w:val="none" w:sz="0" w:space="0" w:color="auto"/>
        <w:right w:val="none" w:sz="0" w:space="0" w:color="auto"/>
      </w:divBdr>
    </w:div>
    <w:div w:id="352150646">
      <w:bodyDiv w:val="1"/>
      <w:marLeft w:val="0"/>
      <w:marRight w:val="0"/>
      <w:marTop w:val="0"/>
      <w:marBottom w:val="0"/>
      <w:divBdr>
        <w:top w:val="none" w:sz="0" w:space="0" w:color="auto"/>
        <w:left w:val="none" w:sz="0" w:space="0" w:color="auto"/>
        <w:bottom w:val="none" w:sz="0" w:space="0" w:color="auto"/>
        <w:right w:val="none" w:sz="0" w:space="0" w:color="auto"/>
      </w:divBdr>
    </w:div>
    <w:div w:id="706836422">
      <w:bodyDiv w:val="1"/>
      <w:marLeft w:val="0"/>
      <w:marRight w:val="0"/>
      <w:marTop w:val="0"/>
      <w:marBottom w:val="0"/>
      <w:divBdr>
        <w:top w:val="none" w:sz="0" w:space="0" w:color="auto"/>
        <w:left w:val="none" w:sz="0" w:space="0" w:color="auto"/>
        <w:bottom w:val="none" w:sz="0" w:space="0" w:color="auto"/>
        <w:right w:val="none" w:sz="0" w:space="0" w:color="auto"/>
      </w:divBdr>
      <w:divsChild>
        <w:div w:id="432019759">
          <w:marLeft w:val="0"/>
          <w:marRight w:val="0"/>
          <w:marTop w:val="0"/>
          <w:marBottom w:val="0"/>
          <w:divBdr>
            <w:top w:val="none" w:sz="0" w:space="0" w:color="auto"/>
            <w:left w:val="none" w:sz="0" w:space="0" w:color="auto"/>
            <w:bottom w:val="none" w:sz="0" w:space="0" w:color="auto"/>
            <w:right w:val="none" w:sz="0" w:space="0" w:color="auto"/>
          </w:divBdr>
          <w:divsChild>
            <w:div w:id="486630684">
              <w:marLeft w:val="0"/>
              <w:marRight w:val="0"/>
              <w:marTop w:val="0"/>
              <w:marBottom w:val="0"/>
              <w:divBdr>
                <w:top w:val="none" w:sz="0" w:space="0" w:color="auto"/>
                <w:left w:val="none" w:sz="0" w:space="0" w:color="auto"/>
                <w:bottom w:val="none" w:sz="0" w:space="0" w:color="auto"/>
                <w:right w:val="none" w:sz="0" w:space="0" w:color="auto"/>
              </w:divBdr>
              <w:divsChild>
                <w:div w:id="48944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510515">
      <w:bodyDiv w:val="1"/>
      <w:marLeft w:val="0"/>
      <w:marRight w:val="0"/>
      <w:marTop w:val="0"/>
      <w:marBottom w:val="0"/>
      <w:divBdr>
        <w:top w:val="none" w:sz="0" w:space="0" w:color="auto"/>
        <w:left w:val="none" w:sz="0" w:space="0" w:color="auto"/>
        <w:bottom w:val="none" w:sz="0" w:space="0" w:color="auto"/>
        <w:right w:val="none" w:sz="0" w:space="0" w:color="auto"/>
      </w:divBdr>
      <w:divsChild>
        <w:div w:id="882592761">
          <w:marLeft w:val="0"/>
          <w:marRight w:val="0"/>
          <w:marTop w:val="0"/>
          <w:marBottom w:val="0"/>
          <w:divBdr>
            <w:top w:val="none" w:sz="0" w:space="0" w:color="auto"/>
            <w:left w:val="none" w:sz="0" w:space="0" w:color="auto"/>
            <w:bottom w:val="none" w:sz="0" w:space="0" w:color="auto"/>
            <w:right w:val="none" w:sz="0" w:space="0" w:color="auto"/>
          </w:divBdr>
          <w:divsChild>
            <w:div w:id="723404523">
              <w:marLeft w:val="0"/>
              <w:marRight w:val="0"/>
              <w:marTop w:val="0"/>
              <w:marBottom w:val="0"/>
              <w:divBdr>
                <w:top w:val="none" w:sz="0" w:space="0" w:color="auto"/>
                <w:left w:val="none" w:sz="0" w:space="0" w:color="auto"/>
                <w:bottom w:val="none" w:sz="0" w:space="0" w:color="auto"/>
                <w:right w:val="none" w:sz="0" w:space="0" w:color="auto"/>
              </w:divBdr>
              <w:divsChild>
                <w:div w:id="569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479595">
      <w:bodyDiv w:val="1"/>
      <w:marLeft w:val="0"/>
      <w:marRight w:val="0"/>
      <w:marTop w:val="0"/>
      <w:marBottom w:val="0"/>
      <w:divBdr>
        <w:top w:val="none" w:sz="0" w:space="0" w:color="auto"/>
        <w:left w:val="none" w:sz="0" w:space="0" w:color="auto"/>
        <w:bottom w:val="none" w:sz="0" w:space="0" w:color="auto"/>
        <w:right w:val="none" w:sz="0" w:space="0" w:color="auto"/>
      </w:divBdr>
    </w:div>
    <w:div w:id="1404909251">
      <w:bodyDiv w:val="1"/>
      <w:marLeft w:val="0"/>
      <w:marRight w:val="0"/>
      <w:marTop w:val="0"/>
      <w:marBottom w:val="0"/>
      <w:divBdr>
        <w:top w:val="none" w:sz="0" w:space="0" w:color="auto"/>
        <w:left w:val="none" w:sz="0" w:space="0" w:color="auto"/>
        <w:bottom w:val="none" w:sz="0" w:space="0" w:color="auto"/>
        <w:right w:val="none" w:sz="0" w:space="0" w:color="auto"/>
      </w:divBdr>
      <w:divsChild>
        <w:div w:id="976297681">
          <w:marLeft w:val="0"/>
          <w:marRight w:val="0"/>
          <w:marTop w:val="0"/>
          <w:marBottom w:val="0"/>
          <w:divBdr>
            <w:top w:val="none" w:sz="0" w:space="0" w:color="auto"/>
            <w:left w:val="none" w:sz="0" w:space="0" w:color="auto"/>
            <w:bottom w:val="none" w:sz="0" w:space="0" w:color="auto"/>
            <w:right w:val="none" w:sz="0" w:space="0" w:color="auto"/>
          </w:divBdr>
          <w:divsChild>
            <w:div w:id="297762429">
              <w:marLeft w:val="0"/>
              <w:marRight w:val="0"/>
              <w:marTop w:val="0"/>
              <w:marBottom w:val="0"/>
              <w:divBdr>
                <w:top w:val="none" w:sz="0" w:space="0" w:color="auto"/>
                <w:left w:val="none" w:sz="0" w:space="0" w:color="auto"/>
                <w:bottom w:val="none" w:sz="0" w:space="0" w:color="auto"/>
                <w:right w:val="none" w:sz="0" w:space="0" w:color="auto"/>
              </w:divBdr>
              <w:divsChild>
                <w:div w:id="46539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624619">
      <w:bodyDiv w:val="1"/>
      <w:marLeft w:val="0"/>
      <w:marRight w:val="0"/>
      <w:marTop w:val="0"/>
      <w:marBottom w:val="0"/>
      <w:divBdr>
        <w:top w:val="none" w:sz="0" w:space="0" w:color="auto"/>
        <w:left w:val="none" w:sz="0" w:space="0" w:color="auto"/>
        <w:bottom w:val="none" w:sz="0" w:space="0" w:color="auto"/>
        <w:right w:val="none" w:sz="0" w:space="0" w:color="auto"/>
      </w:divBdr>
    </w:div>
    <w:div w:id="1783915597">
      <w:bodyDiv w:val="1"/>
      <w:marLeft w:val="0"/>
      <w:marRight w:val="0"/>
      <w:marTop w:val="0"/>
      <w:marBottom w:val="0"/>
      <w:divBdr>
        <w:top w:val="none" w:sz="0" w:space="0" w:color="auto"/>
        <w:left w:val="none" w:sz="0" w:space="0" w:color="auto"/>
        <w:bottom w:val="none" w:sz="0" w:space="0" w:color="auto"/>
        <w:right w:val="none" w:sz="0" w:space="0" w:color="auto"/>
      </w:divBdr>
    </w:div>
    <w:div w:id="1965887857">
      <w:bodyDiv w:val="1"/>
      <w:marLeft w:val="0"/>
      <w:marRight w:val="0"/>
      <w:marTop w:val="0"/>
      <w:marBottom w:val="0"/>
      <w:divBdr>
        <w:top w:val="none" w:sz="0" w:space="0" w:color="auto"/>
        <w:left w:val="none" w:sz="0" w:space="0" w:color="auto"/>
        <w:bottom w:val="none" w:sz="0" w:space="0" w:color="auto"/>
        <w:right w:val="none" w:sz="0" w:space="0" w:color="auto"/>
      </w:divBdr>
      <w:divsChild>
        <w:div w:id="1163474971">
          <w:marLeft w:val="0"/>
          <w:marRight w:val="0"/>
          <w:marTop w:val="0"/>
          <w:marBottom w:val="0"/>
          <w:divBdr>
            <w:top w:val="none" w:sz="0" w:space="0" w:color="auto"/>
            <w:left w:val="none" w:sz="0" w:space="0" w:color="auto"/>
            <w:bottom w:val="none" w:sz="0" w:space="0" w:color="auto"/>
            <w:right w:val="none" w:sz="0" w:space="0" w:color="auto"/>
          </w:divBdr>
          <w:divsChild>
            <w:div w:id="1448115454">
              <w:marLeft w:val="0"/>
              <w:marRight w:val="0"/>
              <w:marTop w:val="0"/>
              <w:marBottom w:val="0"/>
              <w:divBdr>
                <w:top w:val="none" w:sz="0" w:space="0" w:color="auto"/>
                <w:left w:val="none" w:sz="0" w:space="0" w:color="auto"/>
                <w:bottom w:val="none" w:sz="0" w:space="0" w:color="auto"/>
                <w:right w:val="none" w:sz="0" w:space="0" w:color="auto"/>
              </w:divBdr>
              <w:divsChild>
                <w:div w:id="152109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21286">
      <w:bodyDiv w:val="1"/>
      <w:marLeft w:val="0"/>
      <w:marRight w:val="0"/>
      <w:marTop w:val="0"/>
      <w:marBottom w:val="0"/>
      <w:divBdr>
        <w:top w:val="none" w:sz="0" w:space="0" w:color="auto"/>
        <w:left w:val="none" w:sz="0" w:space="0" w:color="auto"/>
        <w:bottom w:val="none" w:sz="0" w:space="0" w:color="auto"/>
        <w:right w:val="none" w:sz="0" w:space="0" w:color="auto"/>
      </w:divBdr>
      <w:divsChild>
        <w:div w:id="1712151878">
          <w:marLeft w:val="0"/>
          <w:marRight w:val="0"/>
          <w:marTop w:val="0"/>
          <w:marBottom w:val="0"/>
          <w:divBdr>
            <w:top w:val="none" w:sz="0" w:space="0" w:color="auto"/>
            <w:left w:val="none" w:sz="0" w:space="0" w:color="auto"/>
            <w:bottom w:val="none" w:sz="0" w:space="0" w:color="auto"/>
            <w:right w:val="none" w:sz="0" w:space="0" w:color="auto"/>
          </w:divBdr>
          <w:divsChild>
            <w:div w:id="982582695">
              <w:marLeft w:val="0"/>
              <w:marRight w:val="0"/>
              <w:marTop w:val="0"/>
              <w:marBottom w:val="0"/>
              <w:divBdr>
                <w:top w:val="none" w:sz="0" w:space="0" w:color="auto"/>
                <w:left w:val="none" w:sz="0" w:space="0" w:color="auto"/>
                <w:bottom w:val="none" w:sz="0" w:space="0" w:color="auto"/>
                <w:right w:val="none" w:sz="0" w:space="0" w:color="auto"/>
              </w:divBdr>
              <w:divsChild>
                <w:div w:id="1041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2901</TotalTime>
  <Pages>26</Pages>
  <Words>8778</Words>
  <Characters>45561</Characters>
  <Application>Microsoft Office Word</Application>
  <DocSecurity>0</DocSecurity>
  <Lines>660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Peretz Rodman</dc:creator>
  <cp:keywords/>
  <dc:description/>
  <cp:lastModifiedBy>Peretz Rodman</cp:lastModifiedBy>
  <cp:revision>18</cp:revision>
  <dcterms:created xsi:type="dcterms:W3CDTF">2020-04-05T08:00:00Z</dcterms:created>
  <dcterms:modified xsi:type="dcterms:W3CDTF">2020-04-22T18:32:00Z</dcterms:modified>
</cp:coreProperties>
</file>