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8F11" w14:textId="435820E8" w:rsidR="00026F93" w:rsidRPr="00FE69DC" w:rsidRDefault="00262626" w:rsidP="007806A2">
      <w:pPr>
        <w:keepLines w:val="0"/>
        <w:widowControl w:val="0"/>
        <w:autoSpaceDE w:val="0"/>
        <w:autoSpaceDN w:val="0"/>
        <w:bidi w:val="0"/>
        <w:adjustRightInd w:val="0"/>
        <w:spacing w:line="360" w:lineRule="auto"/>
        <w:jc w:val="center"/>
        <w:rPr>
          <w:b/>
          <w:bCs/>
          <w:rFonts w:ascii="Hind Siliguri" w:hAnsi="Hind Siliguri" w:cs="Hind Siliguri"/>
        </w:rPr>
      </w:pPr>
      <w:r>
        <w:rPr>
          <w:b/>
          <w:rFonts w:ascii="Hind Siliguri" w:hAnsi="Hind Siliguri"/>
        </w:rPr>
        <w:t xml:space="preserve">Anhang zum Arbeitsvertrag - Verkaufsprovisionen</w:t>
      </w:r>
    </w:p>
    <w:p w14:paraId="250E5F3D" w14:textId="66BE9B05" w:rsidR="007806A2" w:rsidRPr="00FE69DC" w:rsidRDefault="0043197E" w:rsidP="007806A2">
      <w:pPr>
        <w:keepLines w:val="0"/>
        <w:widowControl w:val="0"/>
        <w:autoSpaceDE w:val="0"/>
        <w:autoSpaceDN w:val="0"/>
        <w:bidi w:val="0"/>
        <w:adjustRightInd w:val="0"/>
        <w:spacing w:line="360" w:lineRule="auto"/>
        <w:jc w:val="center"/>
        <w:rPr>
          <w:sz w:val="22"/>
          <w:szCs w:val="22"/>
          <w:rFonts w:ascii="Hind Siliguri" w:hAnsi="Hind Siliguri" w:cs="Hind Siliguri"/>
        </w:rPr>
      </w:pPr>
      <w:r>
        <w:rPr>
          <w:b/>
          <w:rFonts w:ascii="Hind Siliguri" w:hAnsi="Hind Siliguri"/>
        </w:rPr>
        <w:t xml:space="preserve">Gültig ab dem 27. Dezember 2020</w:t>
      </w:r>
    </w:p>
    <w:p w14:paraId="1FAF47C6" w14:textId="59797194" w:rsidR="00262626" w:rsidRPr="00FE69DC" w:rsidRDefault="00262626" w:rsidP="007806A2">
      <w:pPr>
        <w:pStyle w:val="ColorfulShading-Accent31"/>
        <w:tabs>
          <w:tab w:val="left" w:pos="360"/>
        </w:tabs>
        <w:spacing w:after="120"/>
        <w:ind w:left="0"/>
        <w:rPr>
          <w:sz w:val="22"/>
          <w:szCs w:val="22"/>
          <w:rFonts w:ascii="Hind Siliguri" w:hAnsi="Hind Siliguri" w:cs="Hind Siliguri"/>
        </w:rPr>
      </w:pPr>
      <w:r>
        <w:rPr>
          <w:sz w:val="22"/>
          <w:rFonts w:ascii="Hind Siliguri" w:hAnsi="Hind Siliguri"/>
        </w:rPr>
        <w:t xml:space="preserve">Wenn Ihr Arbeitsvertrag mit dem jeweiligen Mobileye-Unternehmen, bei dem Sie beschäftigt sind, die Zahlung einer Provision („</w:t>
      </w:r>
      <w:r>
        <w:rPr>
          <w:sz w:val="22"/>
          <w:b/>
          <w:bCs/>
          <w:rFonts w:ascii="Hind Siliguri" w:hAnsi="Hind Siliguri"/>
        </w:rPr>
        <w:t xml:space="preserve">Provision</w:t>
      </w:r>
      <w:r>
        <w:rPr>
          <w:sz w:val="22"/>
          <w:rFonts w:ascii="Hind Siliguri" w:hAnsi="Hind Siliguri"/>
        </w:rPr>
        <w:t xml:space="preserve">“) vorsieht, gilt Folgendes:</w:t>
      </w:r>
      <w:r>
        <w:rPr>
          <w:sz w:val="22"/>
          <w:rFonts w:ascii="Hind Siliguri" w:hAnsi="Hind Siliguri"/>
        </w:rPr>
        <w:t xml:space="preserve"> </w:t>
      </w:r>
    </w:p>
    <w:p w14:paraId="6614DCAF" w14:textId="6D7BCA89" w:rsidR="004031ED" w:rsidRPr="00FE69DC" w:rsidRDefault="00787655" w:rsidP="4986B4D6">
      <w:pPr>
        <w:pStyle w:val="ColorfulShading-Accent31"/>
        <w:numPr>
          <w:ilvl w:val="0"/>
          <w:numId w:val="5"/>
        </w:numPr>
        <w:tabs>
          <w:tab w:val="left" w:pos="360"/>
        </w:tabs>
        <w:spacing w:after="120"/>
        <w:rPr>
          <w:sz w:val="22"/>
          <w:szCs w:val="18"/>
          <w:rFonts w:ascii="Hind Siliguri" w:hAnsi="Hind Siliguri" w:cs="Hind Siliguri"/>
        </w:rPr>
      </w:pPr>
      <w:r>
        <w:rPr>
          <w:sz w:val="22"/>
          <w:rFonts w:ascii="Hind Siliguri" w:hAnsi="Hind Siliguri"/>
        </w:rPr>
        <w:t xml:space="preserve">Mobileye berechnet die Provision auf vierteljährlicher Basis (gemäß den Intel-Abrechnungsquartalen, wobei die Quartale jeweils am letzten Samstag der Monate März, Juni, September und Dezember enden) für das vorangegangene Kalenderquartal (das „</w:t>
      </w:r>
      <w:r>
        <w:rPr>
          <w:sz w:val="22"/>
          <w:b/>
          <w:bCs/>
          <w:rFonts w:ascii="Hind Siliguri" w:hAnsi="Hind Siliguri"/>
        </w:rPr>
        <w:t xml:space="preserve">Vorquartal</w:t>
      </w:r>
      <w:r>
        <w:rPr>
          <w:sz w:val="22"/>
          <w:rFonts w:ascii="Hind Siliguri" w:hAnsi="Hind Siliguri"/>
        </w:rPr>
        <w:t xml:space="preserve">“) gemäß der folgenden Gleichung:</w:t>
      </w:r>
      <w:r>
        <w:rPr>
          <w:sz w:val="22"/>
          <w:rFonts w:ascii="Hind Siliguri" w:hAnsi="Hind Siliguri"/>
        </w:rPr>
        <w:t xml:space="preserve"> </w:t>
      </w:r>
    </w:p>
    <w:p w14:paraId="0B789765" w14:textId="0CA4A6B0" w:rsidR="00C27577" w:rsidRPr="00C27577" w:rsidRDefault="0003643C" w:rsidP="00C27577">
      <w:pPr>
        <w:pStyle w:val="ColorfulShading-Accent31"/>
        <w:tabs>
          <w:tab w:val="left" w:pos="360"/>
        </w:tabs>
        <w:spacing w:after="120"/>
        <w:rPr>
          <w:b/>
          <w:bCs/>
          <w:i/>
          <w:iCs/>
          <w:szCs w:val="24"/>
          <w:rFonts w:ascii="Hind Siliguri" w:hAnsi="Hind Siliguri" w:cs="Hind Siliguri"/>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053466D" w14:textId="77777777" w:rsidR="007552E2" w:rsidRDefault="00C27577" w:rsidP="007552E2">
      <w:pPr>
        <w:pStyle w:val="ColorfulShading-Accent31"/>
        <w:tabs>
          <w:tab w:val="left" w:pos="360"/>
        </w:tabs>
        <w:ind w:left="360"/>
        <w:rPr>
          <w:sz w:val="22"/>
          <w:szCs w:val="18"/>
          <w:rFonts w:ascii="Hind Siliguri" w:hAnsi="Hind Siliguri" w:cs="Hind Siliguri"/>
        </w:rPr>
      </w:pPr>
      <w:r>
        <w:rPr>
          <w:sz w:val="22"/>
          <w:rFonts w:ascii="Hind Siliguri" w:hAnsi="Hind Siliguri"/>
        </w:rPr>
        <w:t xml:space="preserve">Wobei:</w:t>
      </w:r>
    </w:p>
    <w:p w14:paraId="4219060E" w14:textId="00B6A3E1" w:rsidR="002801FB" w:rsidRDefault="007552E2" w:rsidP="007552E2">
      <w:pPr>
        <w:pStyle w:val="ColorfulShading-Accent31"/>
        <w:tabs>
          <w:tab w:val="left" w:pos="360"/>
        </w:tabs>
        <w:spacing w:after="120"/>
        <w:rPr>
          <w:b/>
          <w:bCs/>
          <w:i/>
          <w:iCs/>
          <w:szCs w:val="24"/>
          <w:rFonts w:ascii="Cambria Math" w:hAnsi="Cambria Math" w:cs="Hind Siliguri"/>
        </w:rPr>
      </w:pPr>
      <m:oMath>
        <m:r>
          <m:rPr>
            <m:sty m:val="bi"/>
          </m:rPr>
          <w:rPr>
            <w:rFonts w:ascii="Cambria Math" w:hAnsi="Cambria Math" w:cs="Hind Siliguri"/>
            <w:szCs w:val="24"/>
            <w:lang w:val="en-GB"/>
          </w:rPr>
          <m:t>Commissionable Revenues = Net Revenues for Hardware + Net Revenues for Services –Refunds</m:t>
        </m:r>
      </m:oMath>
      <w:r>
        <w:rPr>
          <w:b/>
          <w:i/>
          <w:rFonts w:ascii="Cambria Math" w:hAnsi="Cambria Math"/>
        </w:rPr>
        <w:t xml:space="preserve"> </w:t>
      </w:r>
    </w:p>
    <w:p w14:paraId="79B99566" w14:textId="059E0CCB" w:rsidR="008B57A8" w:rsidRPr="008B57A8" w:rsidRDefault="008B57A8" w:rsidP="008B57A8">
      <w:pPr>
        <w:pStyle w:val="ColorfulShading-Accent31"/>
        <w:numPr>
          <w:ilvl w:val="0"/>
          <w:numId w:val="5"/>
        </w:numPr>
        <w:tabs>
          <w:tab w:val="left" w:pos="360"/>
        </w:tabs>
        <w:spacing w:after="120"/>
        <w:rPr>
          <w:sz w:val="22"/>
          <w:szCs w:val="18"/>
          <w:rFonts w:ascii="Hind Siliguri" w:hAnsi="Hind Siliguri" w:cs="Hind Siliguri"/>
        </w:rPr>
      </w:pPr>
      <w:r>
        <w:rPr>
          <w:sz w:val="22"/>
          <w:rFonts w:ascii="Hind Siliguri" w:hAnsi="Hind Siliguri"/>
        </w:rPr>
        <w:t xml:space="preserve">Definitionen:</w:t>
      </w:r>
    </w:p>
    <w:p w14:paraId="348F0DBC" w14:textId="23DC65AB" w:rsidR="00787655" w:rsidRPr="00FE69DC" w:rsidRDefault="00787655"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Nettoumsatzerlöse für Hardware</w:t>
      </w:r>
      <w:r>
        <w:rPr>
          <w:sz w:val="22"/>
          <w:rFonts w:ascii="Hind Siliguri" w:hAnsi="Hind Siliguri"/>
        </w:rPr>
        <w:t xml:space="preserve">“ sind die von Mobileye tatsächlich von einem Relevanten Kunden erhaltenen und im vorangegangenen Quartal ausgewiesenen Umsätze für den Verkauf von Aftermarket-Hardware von Mobileye zum Listenpreis* von Mobileye, basierend auf USGAAP (und auch auf „</w:t>
      </w:r>
      <w:r>
        <w:rPr>
          <w:sz w:val="22"/>
          <w:b/>
          <w:bCs/>
          <w:rFonts w:ascii="Hind Siliguri" w:hAnsi="Hind Siliguri"/>
        </w:rPr>
        <w:t xml:space="preserve">Barabholung</w:t>
      </w:r>
      <w:r>
        <w:rPr>
          <w:sz w:val="22"/>
          <w:rFonts w:ascii="Hind Siliguri" w:hAnsi="Hind Siliguri"/>
        </w:rPr>
        <w:t xml:space="preserve">“), abzüglich aller Gutschriften, Nachlässe, Verrechnungen, Umsatz- oder Mehrwertsteuern, Zölle oder Abgaben, Transport- oder Versicherungskosten oder anderer Abzüge in Bezug auf diese Umsätze.</w:t>
      </w:r>
      <w:r>
        <w:rPr>
          <w:sz w:val="22"/>
          <w:rFonts w:ascii="Hind Siliguri" w:hAnsi="Hind Siliguri"/>
        </w:rPr>
        <w:t xml:space="preserve"> </w:t>
      </w:r>
    </w:p>
    <w:p w14:paraId="79B95D8C" w14:textId="15B07C66" w:rsidR="00B212ED" w:rsidRPr="00FE69DC" w:rsidRDefault="00E91717"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Nettoumsatzerlöse für Dienstleistungen</w:t>
      </w:r>
      <w:r>
        <w:rPr>
          <w:sz w:val="22"/>
          <w:rFonts w:ascii="Hind Siliguri" w:hAnsi="Hind Siliguri"/>
        </w:rPr>
        <w:t xml:space="preserve">“ sind die von Mobileye im vorangegangenen Quartal von einem Relevanten Kunden erhaltenen und anteilig erfassten Erlöse für Verkäufe von Aftermarket-Mobileye-Dienstleistungen zum Listenpreis* von Mobileye, basierend auf USGAAP (und auch auf „</w:t>
      </w:r>
      <w:r>
        <w:rPr>
          <w:sz w:val="22"/>
          <w:b/>
          <w:bCs/>
          <w:rFonts w:ascii="Hind Siliguri" w:hAnsi="Hind Siliguri"/>
        </w:rPr>
        <w:t xml:space="preserve">Bargeldeinzug</w:t>
      </w:r>
      <w:r>
        <w:rPr>
          <w:sz w:val="22"/>
          <w:rFonts w:ascii="Hind Siliguri" w:hAnsi="Hind Siliguri"/>
        </w:rPr>
        <w:t xml:space="preserve">“), abzüglich jeglicher Gutschriften, Nachlässe, Verrechnungen, Umsatz- oder Mehrwertsteuern, Zölle oder Abgaben, Transport- oder Versicherungsgebühren, Erlösbeteiligungen oder anderer Abzüge in Bezug auf diese Erlöse.</w:t>
      </w:r>
      <w:r>
        <w:rPr>
          <w:sz w:val="22"/>
          <w:rFonts w:ascii="Hind Siliguri" w:hAnsi="Hind Siliguri"/>
        </w:rPr>
        <w:t xml:space="preserve"> </w:t>
      </w:r>
    </w:p>
    <w:p w14:paraId="67D4EEDA" w14:textId="372032E9" w:rsidR="00E91717" w:rsidRPr="00FE69DC" w:rsidRDefault="00A4726E" w:rsidP="00B212ED">
      <w:pPr>
        <w:pStyle w:val="ColorfulShading-Accent31"/>
        <w:tabs>
          <w:tab w:val="left" w:pos="360"/>
        </w:tabs>
        <w:spacing w:after="120"/>
        <w:ind w:left="709"/>
        <w:rPr>
          <w:sz w:val="22"/>
          <w:szCs w:val="22"/>
          <w:rFonts w:ascii="Hind Siliguri" w:hAnsi="Hind Siliguri" w:cs="Hind Siliguri"/>
        </w:rPr>
      </w:pPr>
      <w:r>
        <w:rPr>
          <w:sz w:val="22"/>
          <w:rFonts w:ascii="Hind Siliguri" w:hAnsi="Hind Siliguri"/>
        </w:rPr>
        <w:t xml:space="preserve">Aber - wenn ein bestimmter Relevanter Kunde für Dienstleistungen auf wiederkehrender Basis (z.B. monatlich, vierteljährlich) bezahlt, zählen nur die von diesem Relevanten Kunden erhaltenen und in diesem Zeitraum anteilig erfassten Umsätze in Bezug auf die ersten 24 Monate der Erbringung von Dienstleistungen durch Mobileye an diesen Relevanten Kunden für die Berechnung der Nettoumsatzerlöse für Dienstleistungen.</w:t>
      </w:r>
      <w:r>
        <w:rPr>
          <w:sz w:val="22"/>
          <w:rFonts w:ascii="Hind Siliguri" w:hAnsi="Hind Siliguri"/>
        </w:rPr>
        <w:t xml:space="preserve"> </w:t>
      </w:r>
      <w:r>
        <w:rPr>
          <w:sz w:val="22"/>
          <w:rFonts w:ascii="Hind Siliguri" w:hAnsi="Hind Siliguri"/>
        </w:rPr>
        <w:t xml:space="preserve">(Wenn Mobileye z. B. zustimmt, einem bestimmten Kunden 36 Monate lang Daten gegen eine monatliche Zahlung dieses Kunden zur Verfügung zu stellen, dann werden nur die Zahlungen des Kunden für die ersten 24 Monate in die Umsatzberechnung einbezogen).</w:t>
      </w:r>
    </w:p>
    <w:p w14:paraId="583D4B54" w14:textId="228DF881" w:rsidR="00823F53" w:rsidRPr="00FE69DC" w:rsidRDefault="00F65AF3" w:rsidP="200C5F7F">
      <w:pPr>
        <w:pStyle w:val="ColorfulShading-Accent31"/>
        <w:tabs>
          <w:tab w:val="left" w:pos="360"/>
        </w:tabs>
        <w:spacing w:after="120"/>
        <w:ind w:left="709"/>
        <w:rPr>
          <w:i/>
          <w:iCs/>
          <w:sz w:val="22"/>
          <w:szCs w:val="22"/>
          <w:rFonts w:ascii="Hind Siliguri" w:hAnsi="Hind Siliguri" w:cs="Hind Siliguri"/>
        </w:rPr>
      </w:pPr>
      <w:r>
        <w:rPr>
          <w:i/>
          <w:sz w:val="22"/>
          <w:rFonts w:ascii="Hind Siliguri" w:hAnsi="Hind Siliguri"/>
        </w:rPr>
        <w:tab/>
      </w:r>
      <w:r>
        <w:rPr>
          <w:i/>
          <w:sz w:val="22"/>
          <w:rFonts w:ascii="Hind Siliguri" w:hAnsi="Hind Siliguri"/>
        </w:rPr>
        <w:t xml:space="preserve">*Für Verkäufe von Mobileye-Hardware oder -Dienstleistungen zu anderen Preisen als dem Listenpreis von Mobileye wird die zu zahlende Provision von Fall zu Fall festgelegt, und dieser Anhang gilt nicht für solche Verkäufe.</w:t>
      </w:r>
    </w:p>
    <w:p w14:paraId="509409A2" w14:textId="63DBEB2D" w:rsidR="000E6197" w:rsidRPr="00FE69DC" w:rsidRDefault="000E6197" w:rsidP="00F65AF3">
      <w:pPr>
        <w:pStyle w:val="ColorfulShading-Accent31"/>
        <w:numPr>
          <w:ilvl w:val="2"/>
          <w:numId w:val="5"/>
        </w:numPr>
        <w:tabs>
          <w:tab w:val="left" w:pos="360"/>
        </w:tabs>
        <w:spacing w:after="120"/>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Relevanter Kunde</w:t>
      </w:r>
      <w:r>
        <w:rPr>
          <w:sz w:val="22"/>
          <w:rFonts w:ascii="Hind Siliguri" w:hAnsi="Hind Siliguri"/>
        </w:rPr>
        <w:t xml:space="preserve">“ ist ein Kunde, der Ihnen von Ihrem Vorgesetzten schriftlich zugewiesen wurde.</w:t>
      </w:r>
      <w:r>
        <w:rPr>
          <w:sz w:val="22"/>
          <w:rFonts w:ascii="Hind Siliguri" w:hAnsi="Hind Siliguri"/>
        </w:rPr>
        <w:t xml:space="preserve"> </w:t>
      </w:r>
      <w:r>
        <w:rPr>
          <w:sz w:val="22"/>
          <w:rFonts w:ascii="Hind Siliguri" w:hAnsi="Hind Siliguri"/>
        </w:rPr>
        <w:t xml:space="preserve">(Ihr Manager kann Ihnen eine bestimmte Region zuweisen; in diesem Fall ist jeder Kunde aus dieser Region ein „relevanter Kunde“).</w:t>
      </w:r>
      <w:r>
        <w:rPr>
          <w:sz w:val="22"/>
          <w:rFonts w:ascii="Hind Siliguri" w:hAnsi="Hind Siliguri"/>
        </w:rPr>
        <w:t xml:space="preserve"> </w:t>
      </w:r>
      <w:r>
        <w:rPr>
          <w:sz w:val="22"/>
          <w:rFonts w:ascii="Hind Siliguri" w:hAnsi="Hind Siliguri"/>
        </w:rPr>
        <w:t xml:space="preserve">Mobileye kann Ihnen einen Kunden oder eine Region von einem Kollegen neu zuweisen oder umgekehrt.</w:t>
      </w:r>
    </w:p>
    <w:p w14:paraId="02B1F8CD" w14:textId="2E53E0F1" w:rsidR="006F23B3" w:rsidRPr="00FE69DC" w:rsidRDefault="006F23B3"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Rückerstattungen</w:t>
      </w:r>
      <w:r>
        <w:rPr>
          <w:sz w:val="22"/>
          <w:rFonts w:ascii="Hind Siliguri" w:hAnsi="Hind Siliguri"/>
        </w:rPr>
        <w:t xml:space="preserve">“ sind alle von einem Relevanten Kunden erhaltenen Umsätze, die Mobileye, aus welchem Grund auch immer, im Vorquartal zurückerstattet hat (einschliesslich durch Gutschrift oder Verrechnung), selbst wenn die Umsätze vor dem Vorquartal eingegangen sind und selbst wenn Mobileye Ihnen bereits eine Provision für diese Umsätze gezahlt hat.</w:t>
      </w:r>
      <w:r>
        <w:rPr>
          <w:sz w:val="22"/>
          <w:rFonts w:ascii="Hind Siliguri" w:hAnsi="Hind Siliguri"/>
        </w:rPr>
        <w:t xml:space="preserve"> </w:t>
      </w:r>
    </w:p>
    <w:p w14:paraId="1A25648C" w14:textId="3F1F845B" w:rsidR="00E92F61" w:rsidRPr="00FE69DC" w:rsidRDefault="00E92F61"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Anwendbare(r) Prozentsatz(e)</w:t>
      </w:r>
      <w:r>
        <w:rPr>
          <w:sz w:val="22"/>
          <w:rFonts w:ascii="Hind Siliguri" w:hAnsi="Hind Siliguri"/>
        </w:rPr>
        <w:t xml:space="preserve">“ - bezeichnet den/die Prozentsatz(e), der/die in Ihrer individuellen Provisionsstruktur im Anhang festgelegt oder anderweitig schriftlich vereinbart ist/sind.</w:t>
      </w:r>
      <w:r>
        <w:rPr>
          <w:sz w:val="22"/>
          <w:rFonts w:ascii="Hind Siliguri" w:hAnsi="Hind Siliguri"/>
        </w:rPr>
        <w:t xml:space="preserve"> </w:t>
      </w:r>
    </w:p>
    <w:p w14:paraId="5380941D" w14:textId="3F463419" w:rsidR="00CC12BD" w:rsidRDefault="0032318D" w:rsidP="007806A2">
      <w:pPr>
        <w:pStyle w:val="ColorfulShading-Accent31"/>
        <w:numPr>
          <w:ilvl w:val="0"/>
          <w:numId w:val="5"/>
        </w:numPr>
        <w:tabs>
          <w:tab w:val="left" w:pos="360"/>
        </w:tabs>
        <w:spacing w:after="120"/>
        <w:rPr>
          <w:sz w:val="22"/>
          <w:szCs w:val="22"/>
          <w:rFonts w:ascii="Hind Siliguri" w:hAnsi="Hind Siliguri" w:cs="Hind Siliguri"/>
        </w:rPr>
      </w:pPr>
      <w:bookmarkStart w:id="0" w:name="_Ref66799984"/>
      <w:r>
        <w:rPr>
          <w:sz w:val="22"/>
          <w:rFonts w:ascii="Hind Siliguri" w:hAnsi="Hind Siliguri"/>
        </w:rPr>
        <w:t xml:space="preserve">Ihre Gesamtprovision für ein bestimmtes Kalenderjahr darf 500.000 $ nicht überschreiten.</w:t>
      </w:r>
      <w:r>
        <w:rPr>
          <w:sz w:val="22"/>
          <w:rFonts w:ascii="Hind Siliguri" w:hAnsi="Hind Siliguri"/>
        </w:rPr>
        <w:t xml:space="preserve"> </w:t>
      </w:r>
      <w:r>
        <w:rPr>
          <w:sz w:val="22"/>
          <w:rFonts w:ascii="Hind Siliguri" w:hAnsi="Hind Siliguri"/>
        </w:rPr>
        <w:t xml:space="preserve">(Für den Fall, dass Ihr Arbeitsverhältnis im Laufe eines Kalenderjahres begonnen hat, wird die oben genannte Obergrenze proportional zu Ihrer Beschäftigungsdauer in diesem Jahr sein; z. B. wenn Ihr Arbeitsverhältnis am 1. Juli begonnen hat, darf Ihre Gesamtprovision für dieses Jahr 250.000 $ nicht überschreiten).</w:t>
      </w:r>
      <w:bookmarkEnd w:id="0"/>
    </w:p>
    <w:p w14:paraId="21821D2C" w14:textId="36610EDD" w:rsidR="00ED570D" w:rsidRPr="00FE69DC" w:rsidRDefault="00ED570D"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Für den Fall, dass bestimmte Umsätze neben Ihnen auch einer anderen Person/anderen Personen zuzurechnen sind, wird die Aufteilung der zu zahlenden Provision zwischen Ihnen und dieser anderen Person/diesen anderen Personen von Fall zu Fall festgelegt.</w:t>
      </w:r>
    </w:p>
    <w:p w14:paraId="7DE503D0" w14:textId="30FAA6A4" w:rsidR="00B2732E" w:rsidRDefault="005E4024"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Das CRM-System von Mobileye ist die Instanz dafür, (i) ob Ihnen ein Kunde/eine Region zugewiesen wurde und (ii) ob Verkäufe getätigt und Umsätze in Bezug auf diese getätigt wurden.</w:t>
      </w:r>
    </w:p>
    <w:p w14:paraId="1AD7A0F8" w14:textId="02F9DD85" w:rsidR="00D07CBA" w:rsidRPr="00FE69DC" w:rsidRDefault="00D07CBA"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Wenn ein Betrag nicht in US-Dollar angegeben ist, wird er gemäß der Standardpraxis von Mobileye in US-Dollar umgerechnet.</w:t>
      </w:r>
    </w:p>
    <w:p w14:paraId="69450E81" w14:textId="77777777" w:rsidR="005E1DA5" w:rsidRPr="005E1DA5" w:rsidRDefault="00636BD5"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Mobileye sendet Ihnen im ersten ganzen Monat des aktuellen Quartals einen Bericht über die für ein vorheriges Quartal zu zahlende Provision, und Mobileye zahlt die Provision für ein vorheriges Quartal mit dem Gehalt für den ersten ganzen Monat des aktuellen Quartals (z. B. wird die Provision für Q1 mit dem Gehalt für April, den ersten ganzen Monat von Q2, d. h. Anfang Mai, gezahlt).</w:t>
      </w:r>
      <w:r>
        <w:rPr>
          <w:sz w:val="22"/>
          <w:rFonts w:ascii="Hind Siliguri" w:hAnsi="Hind Siliguri"/>
        </w:rPr>
        <w:t xml:space="preserve"> </w:t>
      </w:r>
    </w:p>
    <w:p w14:paraId="0620569F" w14:textId="417CF886" w:rsidR="00C2610F" w:rsidRDefault="0062539F"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Bei Beendigung Ihres Arbeitsverhältnisses, aus welchem Grund auch immer, sind Sie berechtigt, Provisionen gemäß diesem Anhang ausschließlich für provisionsfähige Umsätze zu erhalten, die von Mobileye vor dem Datum einer solchen Beendigung erhalten und (anteilig) anerkannt wurden.</w:t>
      </w:r>
    </w:p>
    <w:p w14:paraId="58427D02" w14:textId="3EF5B754" w:rsidR="00DD46B0" w:rsidRPr="00FE69DC" w:rsidRDefault="00260AF2"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Sie können das Recht, Provisionen zu erhalten, nicht von sich auf einen anderen Mobileye-Mitarbeiter übertragen.</w:t>
      </w:r>
      <w:r>
        <w:rPr>
          <w:sz w:val="22"/>
          <w:rFonts w:ascii="Hind Siliguri" w:hAnsi="Hind Siliguri"/>
        </w:rPr>
        <w:t xml:space="preserve"> </w:t>
      </w:r>
    </w:p>
    <w:p w14:paraId="0CDA4688" w14:textId="1129132E" w:rsidR="00AA06F9" w:rsidRPr="00AA06F9" w:rsidRDefault="00AA06F9" w:rsidP="00854665">
      <w:pPr>
        <w:pStyle w:val="ColorfulShading-Accent31"/>
        <w:numPr>
          <w:ilvl w:val="0"/>
          <w:numId w:val="5"/>
        </w:numPr>
        <w:tabs>
          <w:tab w:val="left" w:pos="360"/>
        </w:tabs>
        <w:spacing w:after="120"/>
        <w:rPr>
          <w:sz w:val="22"/>
          <w:szCs w:val="22"/>
          <w:rtl/>
          <w:rFonts w:ascii="Hind Siliguri" w:hAnsi="Hind Siliguri" w:cs="Hind Siliguri"/>
        </w:rPr>
      </w:pPr>
      <w:r>
        <w:rPr>
          <w:sz w:val="22"/>
          <w:rFonts w:ascii="Hind Siliguri" w:hAnsi="Hind Siliguri"/>
        </w:rPr>
        <w:t xml:space="preserve">Mobileye wird von der Kommission alles abziehen, was es laut Gesetz von Zahlungen an Mitarbeiter abziehen muss, wie z. B. Einkommenssteuer und Sozialversicherung.</w:t>
      </w:r>
    </w:p>
    <w:p w14:paraId="6376D51F" w14:textId="500AF2D2" w:rsidR="00703BB4" w:rsidRPr="00C51FD6" w:rsidRDefault="00262626" w:rsidP="00C51FD6">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Mobileye kann diesen Anhang in regelmäßigen Abständen überarbeiten, aber eine solche Überarbeitung tritt erst zu Beginn des nächsten Kalenderquartals in Kraft und gilt somit nur für die ab diesem Quartal tatsächlich realisierten Umsätze.</w:t>
      </w:r>
    </w:p>
    <w:p w14:paraId="0B99F877" w14:textId="2C9227D5" w:rsidR="00262626" w:rsidRPr="00FE69DC" w:rsidRDefault="009930E4" w:rsidP="009024BD">
      <w:pPr>
        <w:pStyle w:val="ColorfulShading-Accent31"/>
        <w:tabs>
          <w:tab w:val="left" w:pos="360"/>
        </w:tabs>
        <w:spacing w:after="120"/>
        <w:ind w:left="0"/>
        <w:rPr>
          <w:sz w:val="18"/>
          <w:szCs w:val="18"/>
          <w:rFonts w:ascii="Hind Siliguri" w:hAnsi="Hind Siliguri" w:cs="Hind Siliguri"/>
        </w:rPr>
      </w:pPr>
      <w:r>
        <w:rPr>
          <w:b/>
          <w:sz w:val="22"/>
          <w:rFonts w:ascii="Hind Siliguri" w:hAnsi="Hind Siliguri"/>
        </w:rPr>
        <w:t xml:space="preserve">MIT IHRER UNTERSCHRIFT GEBEN SIE AN, DASS SIE DIESEN ANHANG SORGFÄLTIG GELESEN UND SEINE BEDINGUNGEN VERSTANDEN HABEN.</w:t>
      </w:r>
      <w:r>
        <w:rPr>
          <w:sz w:val="18"/>
          <w:rFonts w:ascii="Hind Siliguri" w:hAnsi="Hind Siliguri"/>
        </w:rPr>
        <w:tab/>
      </w:r>
      <w:r>
        <w:rPr>
          <w:sz w:val="18"/>
          <w:rFonts w:ascii="Hind Siliguri" w:hAnsi="Hind Siliguri"/>
        </w:rPr>
        <w:tab/>
      </w:r>
      <w:r>
        <w:rPr>
          <w:sz w:val="18"/>
          <w:rFonts w:ascii="Hind Siliguri" w:hAnsi="Hind Siliguri"/>
        </w:rPr>
        <w:tab/>
      </w:r>
      <w:r>
        <w:rPr>
          <w:sz w:val="18"/>
          <w:rFonts w:ascii="Hind Siliguri" w:hAnsi="Hind Siliguri"/>
        </w:rPr>
        <w:tab/>
      </w:r>
      <w:r>
        <w:rPr>
          <w:sz w:val="18"/>
          <w:rFonts w:ascii="Hind Siliguri" w:hAnsi="Hind Siliguri"/>
        </w:rPr>
        <w:tab/>
      </w:r>
    </w:p>
    <w:p w14:paraId="046B45A7" w14:textId="73A95E2A" w:rsidR="004867A2" w:rsidRPr="00FE69DC" w:rsidRDefault="00262626" w:rsidP="00BD4B34">
      <w:pPr>
        <w:keepLines w:val="0"/>
        <w:widowControl w:val="0"/>
        <w:autoSpaceDE w:val="0"/>
        <w:autoSpaceDN w:val="0"/>
        <w:bidi w:val="0"/>
        <w:adjustRightInd w:val="0"/>
        <w:jc w:val="left"/>
        <w:rPr>
          <w:b/>
          <w:bCs/>
          <w:sz w:val="18"/>
          <w:szCs w:val="18"/>
          <w:rFonts w:ascii="Hind Siliguri" w:hAnsi="Hind Siliguri" w:cs="Hind Siliguri"/>
        </w:rPr>
      </w:pPr>
      <w:r>
        <w:rPr>
          <w:b/>
          <w:sz w:val="18"/>
          <w:rFonts w:ascii="Hind Siliguri" w:hAnsi="Hind Siliguri"/>
        </w:rPr>
        <w:t xml:space="preserve">Name:</w:t>
      </w:r>
      <w:r>
        <w:rPr>
          <w:b/>
          <w:sz w:val="18"/>
          <w:rFonts w:ascii="Hind Siliguri" w:hAnsi="Hind Siliguri"/>
        </w:rPr>
        <w:t xml:space="preserve"> </w:t>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 xml:space="preserve">Unterschrift:</w:t>
      </w:r>
      <w:r>
        <w:rPr>
          <w:b/>
          <w:sz w:val="18"/>
          <w:rFonts w:ascii="Hind Siliguri" w:hAnsi="Hind Siliguri"/>
        </w:rPr>
        <w:t xml:space="preserve"> </w:t>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 xml:space="preserve">Datum:</w:t>
      </w:r>
      <w:r>
        <w:rPr>
          <w:b/>
          <w:sz w:val="18"/>
          <w:rFonts w:ascii="Hind Siliguri" w:hAnsi="Hind Siliguri"/>
        </w:rPr>
        <w:t xml:space="preserve"> </w:t>
      </w:r>
      <w:r>
        <w:rPr>
          <w:b/>
          <w:sz w:val="18"/>
          <w:rFonts w:ascii="Hind Siliguri" w:hAnsi="Hind Siliguri"/>
        </w:rPr>
        <w:br w:type="page"/>
      </w:r>
    </w:p>
    <w:p w14:paraId="3F15EE1F" w14:textId="46DD53D9" w:rsidR="00FE69DC" w:rsidRDefault="00FE69DC" w:rsidP="00FE69DC">
      <w:pPr>
        <w:autoSpaceDE w:val="0"/>
        <w:autoSpaceDN w:val="0"/>
        <w:bidi w:val="0"/>
        <w:adjustRightInd w:val="0"/>
        <w:spacing w:line="360" w:lineRule="auto"/>
        <w:jc w:val="center"/>
        <w:rPr>
          <w:b/>
          <w:bCs/>
          <w:sz w:val="22"/>
          <w:szCs w:val="22"/>
          <w:rFonts w:ascii="Hind Siliguri" w:hAnsi="Hind Siliguri" w:cs="Hind Siliguri"/>
        </w:rPr>
      </w:pPr>
      <w:r>
        <w:rPr>
          <w:b/>
          <w:sz w:val="22"/>
          <w:rFonts w:ascii="Hind Siliguri" w:hAnsi="Hind Siliguri"/>
        </w:rPr>
        <w:t xml:space="preserve">INDIVIDUELLE KOMMISSIONSSTRUKTUR FÜR Anatoliy Reinhardt</w:t>
      </w:r>
    </w:p>
    <w:p w14:paraId="50170A17" w14:textId="77777777" w:rsidR="006F26D7" w:rsidRDefault="00DB4BCB" w:rsidP="006F26D7">
      <w:pPr>
        <w:keepLines w:val="0"/>
        <w:widowControl w:val="0"/>
        <w:autoSpaceDE w:val="0"/>
        <w:autoSpaceDN w:val="0"/>
        <w:bidi w:val="0"/>
        <w:adjustRightInd w:val="0"/>
        <w:spacing w:line="360" w:lineRule="auto"/>
        <w:jc w:val="center"/>
        <w:rPr>
          <w:b/>
          <w:bCs/>
          <w:rtl/>
          <w:rFonts w:ascii="Hind Siliguri" w:hAnsi="Hind Siliguri" w:cs="Hind Siliguri"/>
        </w:rPr>
      </w:pPr>
      <w:r>
        <w:rPr>
          <w:b/>
          <w:sz w:val="22"/>
          <w:rFonts w:ascii="Hind Siliguri" w:hAnsi="Hind Siliguri"/>
        </w:rPr>
        <w:t xml:space="preserve">Relevante Mobileye-Einheit:</w:t>
      </w:r>
      <w:r>
        <w:rPr>
          <w:b/>
          <w:sz w:val="22"/>
          <w:rFonts w:ascii="Hind Siliguri" w:hAnsi="Hind Siliguri"/>
        </w:rPr>
        <w:t xml:space="preserve"> </w:t>
      </w:r>
      <w:r>
        <w:rPr>
          <w:b/>
          <w:rFonts w:ascii="Hind Siliguri" w:hAnsi="Hind Siliguri"/>
        </w:rPr>
        <w:t xml:space="preserve">Mobileye Germany GmbH</w:t>
      </w:r>
    </w:p>
    <w:p w14:paraId="7FB79361" w14:textId="1EEAFB9C" w:rsidR="00DB4BCB" w:rsidRPr="00111A31" w:rsidRDefault="00DB4BCB" w:rsidP="006F26D7">
      <w:pPr>
        <w:autoSpaceDE w:val="0"/>
        <w:autoSpaceDN w:val="0"/>
        <w:bidi w:val="0"/>
        <w:adjustRightInd w:val="0"/>
        <w:spacing w:line="360" w:lineRule="auto"/>
        <w:rPr>
          <w:rFonts w:ascii="Hind Siliguri" w:hAnsi="Hind Siliguri" w:cs="Hind Siliguri"/>
          <w:b/>
          <w:bCs/>
          <w:sz w:val="22"/>
          <w:szCs w:val="22"/>
        </w:rPr>
      </w:pPr>
    </w:p>
    <w:p w14:paraId="32003B0D" w14:textId="2001A835" w:rsidR="00D07CBA" w:rsidRPr="007C1274" w:rsidRDefault="00C66FEC"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Mobileye und Sie vereinbaren vierteljährliche Ziele für vier Quartale eines bestimmten Jahres (Hinweis: Es handelt sich um ein "Intel"-Buchhaltungsjahr, das am letzten Sonntag eines zivilen Jahres beginnt und am letzten Samstag des nächsten Jahres endet, z. B. 28. Dezember 2020 - 25. Dezember 2021) um den Beginn dieses Jahres.</w:t>
      </w:r>
    </w:p>
    <w:p w14:paraId="3E4371E8" w14:textId="29FBD687" w:rsidR="00606912" w:rsidRPr="007C1274" w:rsidRDefault="00A35868"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Ihr Jahresziel ist die Summe Ihrer vier Quartalsziele für ein bestimmtes Jahr.</w:t>
      </w:r>
    </w:p>
    <w:p w14:paraId="21C36FB5" w14:textId="4C333F60" w:rsidR="006F4C0C" w:rsidRPr="007C1274" w:rsidRDefault="00A35868" w:rsidP="00E74F83">
      <w:pPr>
        <w:pStyle w:val="ListParagraph"/>
        <w:numPr>
          <w:ilvl w:val="0"/>
          <w:numId w:val="12"/>
        </w:numPr>
        <w:bidi w:val="0"/>
        <w:spacing w:after="120"/>
        <w:ind w:left="357" w:hanging="357"/>
        <w:contextualSpacing w:val="0"/>
        <w:rPr>
          <w:sz w:val="21"/>
          <w:szCs w:val="21"/>
          <w:rFonts w:ascii="Hind Siliguri" w:hAnsi="Hind Siliguri" w:cs="Hind Siliguri"/>
        </w:rPr>
      </w:pPr>
      <w:bookmarkStart w:id="1" w:name="_Ref66356694"/>
      <w:r>
        <w:rPr>
          <w:sz w:val="21"/>
          <w:rFonts w:ascii="Hind Siliguri" w:hAnsi="Hind Siliguri"/>
        </w:rPr>
        <w:t xml:space="preserve">Die Provision wird gemäß der unten stehenden Tabelle berechnet:</w:t>
      </w:r>
      <w:bookmarkEnd w:id="1"/>
    </w:p>
    <w:tbl>
      <w:tblPr>
        <w:tblW w:w="0" w:type="auto"/>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881"/>
      </w:tblGrid>
      <w:tr w:rsidR="00906C18" w:rsidRPr="007C1274" w14:paraId="4594539F" w14:textId="77777777" w:rsidTr="00446F31">
        <w:trPr>
          <w:trHeight w:val="290"/>
        </w:trPr>
        <w:tc>
          <w:tcPr>
            <w:tcW w:w="0" w:type="auto"/>
            <w:shd w:val="clear" w:color="auto" w:fill="auto"/>
            <w:noWrap/>
            <w:vAlign w:val="bottom"/>
          </w:tcPr>
          <w:p w14:paraId="35EC9417" w14:textId="645FDEF9" w:rsidR="00906C18" w:rsidRPr="007C1274" w:rsidRDefault="00906C18" w:rsidP="00906C18">
            <w:pPr>
              <w:bidi w:val="0"/>
              <w:rPr>
                <w:b/>
                <w:bCs/>
                <w:color w:val="000000"/>
              </w:rPr>
            </w:pPr>
            <w:r>
              <w:rPr>
                <w:b/>
                <w:color w:val="000000"/>
                <w:sz w:val="21"/>
                <w:rFonts w:ascii="Hind Siliguri" w:hAnsi="Hind Siliguri"/>
              </w:rPr>
              <w:t xml:space="preserve">Kommssionierbare Umsätze (für das relevante Quartal)</w:t>
            </w:r>
          </w:p>
        </w:tc>
        <w:tc>
          <w:tcPr>
            <w:tcW w:w="0" w:type="auto"/>
            <w:shd w:val="clear" w:color="auto" w:fill="auto"/>
            <w:noWrap/>
            <w:vAlign w:val="bottom"/>
            <w:hideMark/>
          </w:tcPr>
          <w:p w14:paraId="4FFA04BB" w14:textId="2756DE2C" w:rsidR="00906C18" w:rsidRPr="007C1274" w:rsidRDefault="00906C18" w:rsidP="00906C18">
            <w:pPr>
              <w:bidi w:val="0"/>
              <w:jc w:val="center"/>
              <w:rPr>
                <w:b/>
                <w:bCs/>
                <w:color w:val="000000"/>
                <w:sz w:val="21"/>
                <w:szCs w:val="21"/>
                <w:rFonts w:ascii="Hind Siliguri" w:hAnsi="Hind Siliguri" w:cs="Hind Siliguri"/>
              </w:rPr>
            </w:pPr>
            <w:r>
              <w:rPr>
                <w:b/>
                <w:color w:val="000000"/>
                <w:sz w:val="21"/>
                <w:rFonts w:ascii="Hind Siliguri" w:hAnsi="Hind Siliguri"/>
              </w:rPr>
              <w:t xml:space="preserve">Anwendbarer Prozentsatz</w:t>
            </w:r>
          </w:p>
        </w:tc>
      </w:tr>
      <w:tr w:rsidR="00D40705" w:rsidRPr="007C1274" w14:paraId="611EEE0F" w14:textId="77777777" w:rsidTr="00446F31">
        <w:trPr>
          <w:trHeight w:val="290"/>
        </w:trPr>
        <w:tc>
          <w:tcPr>
            <w:tcW w:w="0" w:type="auto"/>
            <w:shd w:val="clear" w:color="auto" w:fill="auto"/>
            <w:noWrap/>
            <w:hideMark/>
          </w:tcPr>
          <w:p w14:paraId="6658E4DC" w14:textId="3D8976CA" w:rsidR="00FE69DC" w:rsidRPr="007C1274" w:rsidRDefault="7FBDB955" w:rsidP="00D639C4">
            <w:pPr>
              <w:bidi w:val="0"/>
              <w:jc w:val="center"/>
              <w:rPr>
                <w:sz w:val="21"/>
                <w:szCs w:val="21"/>
                <w:rFonts w:ascii="Hind Siliguri" w:hAnsi="Hind Siliguri" w:cs="Hind Siliguri"/>
              </w:rPr>
            </w:pPr>
            <w:r>
              <w:rPr>
                <w:sz w:val="21"/>
                <w:rFonts w:ascii="Hind Siliguri" w:hAnsi="Hind Siliguri"/>
              </w:rPr>
              <w:t xml:space="preserve"> </w:t>
            </w:r>
            <w:r>
              <w:rPr>
                <w:sz w:val="21"/>
                <w:rFonts w:ascii="Hind Siliguri" w:hAnsi="Hind Siliguri"/>
              </w:rPr>
              <w:t xml:space="preserve">DACH-Teamverkäufe (ab dem ersten Dollar)</w:t>
            </w:r>
          </w:p>
        </w:tc>
        <w:tc>
          <w:tcPr>
            <w:tcW w:w="0" w:type="auto"/>
            <w:shd w:val="clear" w:color="auto" w:fill="auto"/>
            <w:noWrap/>
            <w:hideMark/>
          </w:tcPr>
          <w:p w14:paraId="7B50AD8D" w14:textId="5DC817C4"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0,5 %</w:t>
            </w:r>
          </w:p>
        </w:tc>
      </w:tr>
    </w:tbl>
    <w:p w14:paraId="6F52D752" w14:textId="12B5EE2D" w:rsidR="00D70C1D" w:rsidRPr="007C1274" w:rsidRDefault="00D70C1D" w:rsidP="200C5F7F">
      <w:pPr>
        <w:pStyle w:val="ColorfulShading-Accent31"/>
        <w:tabs>
          <w:tab w:val="left" w:pos="360"/>
        </w:tabs>
        <w:spacing w:before="120" w:after="120"/>
        <w:ind w:left="0"/>
        <w:jc w:val="both"/>
        <w:rPr>
          <w:i/>
          <w:iCs/>
          <w:sz w:val="21"/>
          <w:szCs w:val="21"/>
          <w:rFonts w:ascii="Hind Siliguri" w:hAnsi="Hind Siliguri" w:cs="Hind Siliguri"/>
        </w:rPr>
      </w:pPr>
      <w:r>
        <w:rPr>
          <w:i/>
          <w:sz w:val="21"/>
          <w:rFonts w:ascii="Hind Siliguri" w:hAnsi="Hind Siliguri"/>
        </w:rPr>
        <w:t xml:space="preserve">*Provision zahlbar vorbehaltlich des Höchstbetrags, gemäß Absatz </w:t>
      </w:r>
      <w:r w:rsidRPr="007C1274">
        <w:rPr>
          <w:i/>
          <w:sz w:val="21"/>
          <w:rFonts w:ascii="Hind Siliguri" w:hAnsi="Hind Siliguri" w:cs="Hind Siliguri"/>
        </w:rPr>
        <w:fldChar w:fldCharType="begin" w:dirty="true"/>
      </w:r>
      <w:r w:rsidRPr="007C1274">
        <w:rPr>
          <w:i/>
          <w:sz w:val="21"/>
          <w:rFonts w:ascii="Hind Siliguri" w:hAnsi="Hind Siliguri" w:cs="Hind Siliguri"/>
        </w:rPr>
        <w:instrText xml:space="preserve"> REF _Ref66799984 \r \h </w:instrText>
      </w:r>
      <w:r w:rsidR="007C1274" w:rsidRPr="007C1274">
        <w:rPr>
          <w:i/>
          <w:sz w:val="21"/>
          <w:rFonts w:ascii="Hind Siliguri" w:hAnsi="Hind Siliguri" w:cs="Hind Siliguri"/>
        </w:rPr>
        <w:instrText xml:space="preserve"> \* MERGEFORMAT </w:instrText>
      </w:r>
      <w:r w:rsidRPr="007C1274">
        <w:rPr>
          <w:i/>
          <w:sz w:val="21"/>
          <w:rFonts w:ascii="Hind Siliguri" w:hAnsi="Hind Siliguri" w:cs="Hind Siliguri"/>
        </w:rPr>
      </w:r>
      <w:r w:rsidRPr="007C1274">
        <w:rPr>
          <w:i/>
          <w:sz w:val="21"/>
          <w:rFonts w:ascii="Hind Siliguri" w:hAnsi="Hind Siliguri" w:cs="Hind Siliguri"/>
        </w:rPr>
        <w:fldChar w:fldCharType="separate"/>
      </w:r>
      <w:r w:rsidR="009C5526" w:rsidRPr="007C1274">
        <w:rPr>
          <w:i/>
          <w:sz w:val="21"/>
          <w:rFonts w:ascii="Arial" w:hAnsi="Arial" w:cs="Arial"/>
        </w:rPr>
        <w:t>‎</w:t>
      </w:r>
      <w:r w:rsidR="009C5526" w:rsidRPr="007C1274">
        <w:rPr>
          <w:i/>
          <w:sz w:val="21"/>
          <w:rFonts w:ascii="Hind Siliguri" w:hAnsi="Hind Siliguri" w:cs="Hind Siliguri"/>
        </w:rPr>
        <w:t>3</w:t>
      </w:r>
      <w:r w:rsidRPr="007C1274">
        <w:rPr>
          <w:i/>
          <w:sz w:val="21"/>
          <w:rFonts w:ascii="Hind Siliguri" w:hAnsi="Hind Siliguri" w:cs="Hind Siliguri"/>
        </w:rPr>
        <w:fldChar w:fldCharType="end"/>
      </w:r>
      <w:r>
        <w:rPr>
          <w:i/>
          <w:sz w:val="21"/>
          <w:rFonts w:ascii="Hind Siliguri" w:hAnsi="Hind Siliguri"/>
        </w:rPr>
        <w:t xml:space="preserve"> des Anhangs.</w:t>
      </w:r>
      <w:r>
        <w:rPr>
          <w:i/>
          <w:sz w:val="21"/>
          <w:rFonts w:ascii="Hind Siliguri" w:hAnsi="Hind Siliguri"/>
        </w:rPr>
        <w:t xml:space="preserve"> </w:t>
      </w:r>
      <w:r>
        <w:rPr>
          <w:i/>
          <w:sz w:val="21"/>
          <w:rFonts w:ascii="Hind Siliguri" w:hAnsi="Hind Siliguri"/>
        </w:rPr>
        <w:t xml:space="preserve">Prozentsätze werden entsprechend der mathematischen Konvention auf die nächste ganze Zahl auf- oder abgerundet</w:t>
      </w:r>
    </w:p>
    <w:p w14:paraId="6705E3F3" w14:textId="1D2037D4" w:rsidR="00833927" w:rsidRPr="007C1274" w:rsidRDefault="00A3539D"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Zusätzlich:</w:t>
      </w:r>
    </w:p>
    <w:p w14:paraId="1A642678" w14:textId="77777777" w:rsidR="00EA0D65" w:rsidRPr="007C1274" w:rsidRDefault="00EA0D65" w:rsidP="00EA0D65">
      <w:pPr>
        <w:pStyle w:val="ListParagraph"/>
        <w:numPr>
          <w:ilvl w:val="0"/>
          <w:numId w:val="11"/>
        </w:numPr>
        <w:bidi w:val="0"/>
        <w:rPr>
          <w:sz w:val="21"/>
          <w:szCs w:val="21"/>
          <w:rFonts w:ascii="Hind Siliguri" w:hAnsi="Hind Siliguri" w:cs="Hind Siliguri"/>
        </w:rPr>
      </w:pPr>
      <w:r>
        <w:rPr>
          <w:sz w:val="21"/>
          <w:rFonts w:ascii="Hind Siliguri" w:hAnsi="Hind Siliguri"/>
        </w:rPr>
        <w:t xml:space="preserve">Falls zutreffend und vorbehaltlich der ausdrücklichen schriftlichen Bestätigung durch Mobileye im Einzelfall haben Sie Anspruch auf eine zusätzliche Provision von 0,5 % auf provisionspflichtige Umsätze, die (1) dem von Ihnen geleiteten Team und/oder (2) der Region, für die Sie verantwortlich sind, und/oder (3) einem multinationalen Kunden, für dessen Beziehung zu Mobileye Sie generell verantwortlich sind, zuzuordnen sind (ab dem ersten Dollar) (nicht eingeschlossen sind provisionspflichtige Umsätze, für die Sie bereits eine Provision gemäß Abschnitt </w:t>
      </w:r>
      <w:r w:rsidRPr="007C1274">
        <w:rPr>
          <w:sz w:val="21"/>
          <w:rFonts w:ascii="Hind Siliguri" w:hAnsi="Hind Siliguri" w:cs="Hind Siliguri"/>
        </w:rPr>
        <w:fldChar w:fldCharType="begin" w:dirty="true"/>
      </w:r>
      <w:r w:rsidRPr="007C1274">
        <w:rPr>
          <w:sz w:val="21"/>
          <w:rFonts w:ascii="Hind Siliguri" w:hAnsi="Hind Siliguri" w:cs="Hind Siliguri"/>
        </w:rPr>
        <w:instrText xml:space="preserve"> REF _Ref66356694 \w \p \h  \* MERGEFORMAT </w:instrText>
      </w:r>
      <w:r w:rsidRPr="007C1274">
        <w:rPr>
          <w:sz w:val="21"/>
          <w:rFonts w:ascii="Hind Siliguri" w:hAnsi="Hind Siliguri" w:cs="Hind Siliguri"/>
        </w:rPr>
      </w:r>
      <w:r w:rsidRPr="007C1274">
        <w:rPr>
          <w:sz w:val="21"/>
          <w:rFonts w:ascii="Hind Siliguri" w:hAnsi="Hind Siliguri" w:cs="Hind Siliguri"/>
        </w:rPr>
        <w:fldChar w:fldCharType="separate"/>
      </w:r>
      <w:r w:rsidRPr="007C1274">
        <w:rPr>
          <w:sz w:val="21"/>
          <w:rFonts w:ascii="Arial" w:hAnsi="Arial" w:cs="Arial" w:hint="cs"/>
        </w:rPr>
        <w:t>‎</w:t>
      </w:r>
      <w:r w:rsidRPr="007C1274">
        <w:rPr>
          <w:sz w:val="21"/>
          <w:rFonts w:ascii="Hind Siliguri" w:hAnsi="Hind Siliguri" w:cs="Hind Siliguri"/>
        </w:rPr>
        <w:t>C above</w:t>
      </w:r>
      <w:r w:rsidRPr="007C1274">
        <w:rPr>
          <w:sz w:val="21"/>
          <w:rFonts w:ascii="Hind Siliguri" w:hAnsi="Hind Siliguri" w:cs="Hind Siliguri"/>
        </w:rPr>
        <w:fldChar w:fldCharType="end"/>
      </w:r>
      <w:r>
        <w:rPr>
          <w:sz w:val="21"/>
          <w:rFonts w:ascii="Hind Siliguri" w:hAnsi="Hind Siliguri"/>
        </w:rPr>
        <w:t xml:space="preserve"> erhalten, d. h. eine Provision ist nicht auf dieselben provisionspflichtigen Umsätze unter mehr als einem Kopf zu zahlen).</w:t>
      </w:r>
      <w:r>
        <w:rPr>
          <w:sz w:val="21"/>
          <w:rFonts w:ascii="Hind Siliguri" w:hAnsi="Hind Siliguri"/>
        </w:rPr>
        <w:t xml:space="preserve"> </w:t>
      </w:r>
      <w:r>
        <w:rPr>
          <w:sz w:val="21"/>
          <w:rFonts w:ascii="Hind Siliguri" w:hAnsi="Hind Siliguri"/>
        </w:rPr>
        <w:t xml:space="preserve">(Wenn Sie z. B. für die Region x verantwortlich sind und die provisionsfähigen Umsätze für diese Region 100 betragen, von denen 70 direkt Ihnen zurechenbar sind, dann erhalten Sie auf die 70 eine Provision gemäß der obigen Tabelle und auf die restlichen 30 eine Provision von 0,5 %).</w:t>
      </w:r>
    </w:p>
    <w:p w14:paraId="5EDAEE83" w14:textId="3BDB067C" w:rsidR="00B43050" w:rsidRPr="00111A31" w:rsidRDefault="00B43050" w:rsidP="00B43050">
      <w:pPr>
        <w:bidi w:val="0"/>
        <w:rPr>
          <w:rFonts w:ascii="Hind Siliguri" w:hAnsi="Hind Siliguri" w:cs="Hind Siliguri"/>
          <w:sz w:val="22"/>
          <w:szCs w:val="22"/>
        </w:rPr>
      </w:pPr>
    </w:p>
    <w:p w14:paraId="601ED298" w14:textId="64A715E6" w:rsidR="00111A31" w:rsidRPr="00111A31" w:rsidRDefault="00111A31" w:rsidP="00111A31">
      <w:pPr>
        <w:pStyle w:val="ColorfulShading-Accent31"/>
        <w:tabs>
          <w:tab w:val="left" w:pos="360"/>
        </w:tabs>
        <w:spacing w:after="120"/>
        <w:ind w:left="0"/>
        <w:rPr>
          <w:b/>
          <w:bCs/>
          <w:sz w:val="22"/>
          <w:szCs w:val="22"/>
          <w:rFonts w:ascii="Hind Siliguri" w:hAnsi="Hind Siliguri" w:cs="Hind Siliguri"/>
        </w:rPr>
      </w:pPr>
      <w:r>
        <w:rPr>
          <w:b/>
          <w:sz w:val="22"/>
          <w:rFonts w:ascii="Hind Siliguri" w:hAnsi="Hind Siliguri"/>
        </w:rPr>
        <w:t xml:space="preserve">MIT IHRER UNTERSCHRIFT GEBEN SIE AN, DASS SIE DIESES DOKUMENT SORGFÄLTIG GELESEN UND SEINE BEDINGUNGEN VERSTANDEN HABEN.</w:t>
      </w:r>
    </w:p>
    <w:p w14:paraId="1981FD31" w14:textId="77777777" w:rsidR="00111A31" w:rsidRPr="00111A31" w:rsidRDefault="00111A31" w:rsidP="00111A31">
      <w:pPr>
        <w:keepLines w:val="0"/>
        <w:widowControl w:val="0"/>
        <w:autoSpaceDE w:val="0"/>
        <w:autoSpaceDN w:val="0"/>
        <w:bidi w:val="0"/>
        <w:adjustRightInd w:val="0"/>
        <w:jc w:val="left"/>
        <w:rPr>
          <w:sz w:val="22"/>
          <w:szCs w:val="22"/>
          <w:rFonts w:ascii="Hind Siliguri" w:hAnsi="Hind Siliguri" w:cs="Hind Siliguri"/>
        </w:rPr>
      </w:pPr>
      <w:r>
        <w:rPr>
          <w:sz w:val="22"/>
          <w:rFonts w:ascii="Hind Siliguri" w:hAnsi="Hind Siliguri"/>
        </w:rPr>
        <w:tab/>
      </w:r>
      <w:r>
        <w:rPr>
          <w:sz w:val="22"/>
          <w:rFonts w:ascii="Hind Siliguri" w:hAnsi="Hind Siliguri"/>
        </w:rPr>
        <w:tab/>
      </w:r>
      <w:r>
        <w:rPr>
          <w:sz w:val="22"/>
          <w:rFonts w:ascii="Hind Siliguri" w:hAnsi="Hind Siliguri"/>
        </w:rPr>
        <w:tab/>
      </w:r>
      <w:r>
        <w:rPr>
          <w:sz w:val="22"/>
          <w:rFonts w:ascii="Hind Siliguri" w:hAnsi="Hind Siliguri"/>
        </w:rPr>
        <w:tab/>
      </w:r>
      <w:r>
        <w:rPr>
          <w:sz w:val="22"/>
          <w:rFonts w:ascii="Hind Siliguri" w:hAnsi="Hind Siliguri"/>
        </w:rPr>
        <w:tab/>
      </w:r>
    </w:p>
    <w:p w14:paraId="0914055F" w14:textId="25A2C9AB" w:rsidR="00111A31" w:rsidRPr="00111A31" w:rsidRDefault="00111A31" w:rsidP="00111A31">
      <w:pPr>
        <w:keepLines w:val="0"/>
        <w:widowControl w:val="0"/>
        <w:autoSpaceDE w:val="0"/>
        <w:autoSpaceDN w:val="0"/>
        <w:bidi w:val="0"/>
        <w:adjustRightInd w:val="0"/>
        <w:jc w:val="left"/>
        <w:rPr>
          <w:sz w:val="22"/>
          <w:szCs w:val="22"/>
          <w:rFonts w:ascii="Hind Siliguri" w:hAnsi="Hind Siliguri" w:cs="Hind Siliguri"/>
        </w:rPr>
      </w:pPr>
      <w:r>
        <w:rPr>
          <w:b/>
          <w:sz w:val="22"/>
          <w:rFonts w:ascii="Hind Siliguri" w:hAnsi="Hind Siliguri"/>
        </w:rPr>
        <w:t xml:space="preserve">Name:</w:t>
      </w:r>
      <w:r>
        <w:rPr>
          <w:b/>
          <w:sz w:val="22"/>
          <w:rFonts w:ascii="Hind Siliguri" w:hAnsi="Hind Siliguri"/>
        </w:rPr>
        <w:t xml:space="preserve"> </w:t>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 xml:space="preserve">Unterschrift:</w:t>
      </w:r>
      <w:r>
        <w:rPr>
          <w:b/>
          <w:sz w:val="22"/>
          <w:rFonts w:ascii="Hind Siliguri" w:hAnsi="Hind Siliguri"/>
        </w:rPr>
        <w:t xml:space="preserve"> </w:t>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 xml:space="preserve">Datum:</w:t>
      </w:r>
      <w:r>
        <w:rPr>
          <w:b/>
          <w:sz w:val="22"/>
          <w:rFonts w:ascii="Hind Siliguri" w:hAnsi="Hind Siliguri"/>
        </w:rPr>
        <w:t xml:space="preserve">  </w:t>
      </w:r>
    </w:p>
    <w:sectPr w:rsidR="00111A31" w:rsidRPr="00111A31" w:rsidSect="007806A2">
      <w:headerReference w:type="default" r:id="rId8"/>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59F7" w14:textId="77777777" w:rsidR="00257C75" w:rsidRDefault="00257C75" w:rsidP="0017752A">
      <w:r>
        <w:separator/>
      </w:r>
    </w:p>
  </w:endnote>
  <w:endnote w:type="continuationSeparator" w:id="0">
    <w:p w14:paraId="7E1467A1" w14:textId="77777777" w:rsidR="00257C75" w:rsidRDefault="00257C75" w:rsidP="0017752A">
      <w:r>
        <w:continuationSeparator/>
      </w:r>
    </w:p>
  </w:endnote>
  <w:endnote w:type="continuationNotice" w:id="1">
    <w:p w14:paraId="5E745980" w14:textId="77777777" w:rsidR="00257C75" w:rsidRDefault="00257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22D1" w14:textId="77777777" w:rsidR="00257C75" w:rsidRDefault="00257C75" w:rsidP="0017752A">
      <w:r>
        <w:separator/>
      </w:r>
    </w:p>
  </w:footnote>
  <w:footnote w:type="continuationSeparator" w:id="0">
    <w:p w14:paraId="6E99C990" w14:textId="77777777" w:rsidR="00257C75" w:rsidRDefault="00257C75" w:rsidP="0017752A">
      <w:r>
        <w:continuationSeparator/>
      </w:r>
    </w:p>
  </w:footnote>
  <w:footnote w:type="continuationNotice" w:id="1">
    <w:p w14:paraId="6BF7FADF" w14:textId="77777777" w:rsidR="00257C75" w:rsidRDefault="00257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C18B" w14:textId="79C91C3B" w:rsidR="00CF1346" w:rsidRDefault="200C5F7F" w:rsidP="00CF1346">
    <w:pPr>
      <w:pStyle w:val="Header"/>
      <w:jc w:val="center"/>
    </w:pPr>
    <w:r>
      <w:drawing>
        <wp:inline distT="0" distB="0" distL="0" distR="0" wp14:anchorId="334D06DC" wp14:editId="721F0CC6">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6C4C24CE">
      <w:start w:val="1"/>
      <w:numFmt w:val="lowerRoman"/>
      <w:lvlText w:val="%1."/>
      <w:lvlJc w:val="left"/>
      <w:pPr>
        <w:ind w:left="720" w:hanging="360"/>
      </w:pPr>
      <w:rPr>
        <w:rFonts w:ascii="Hind Siliguri" w:eastAsia="Times New Roman" w:hAnsi="Hind Siliguri" w:cs="Hind Siligu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936CFA0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936CFA04">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08AB"/>
    <w:multiLevelType w:val="hybridMultilevel"/>
    <w:tmpl w:val="A55A1DB0"/>
    <w:lvl w:ilvl="0" w:tplc="270C7D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936CFA04">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hybridMultilevel"/>
    <w:tmpl w:val="DC8439F6"/>
    <w:lvl w:ilvl="0" w:tplc="B3904B14">
      <w:start w:val="1"/>
      <w:numFmt w:val="decimal"/>
      <w:lvlText w:val="%1."/>
      <w:lvlJc w:val="left"/>
      <w:pPr>
        <w:ind w:left="360" w:hanging="360"/>
      </w:pPr>
    </w:lvl>
    <w:lvl w:ilvl="1" w:tplc="94701682">
      <w:start w:val="1"/>
      <w:numFmt w:val="decimal"/>
      <w:lvlText w:val="%1.%2."/>
      <w:lvlJc w:val="left"/>
      <w:pPr>
        <w:ind w:left="792" w:hanging="432"/>
      </w:pPr>
      <w:rPr>
        <w:b w:val="0"/>
        <w:bCs/>
      </w:rPr>
    </w:lvl>
    <w:lvl w:ilvl="2" w:tplc="EA4C06C4">
      <w:start w:val="1"/>
      <w:numFmt w:val="decimal"/>
      <w:lvlText w:val="%1.%2.%3."/>
      <w:lvlJc w:val="left"/>
      <w:pPr>
        <w:ind w:left="1224" w:hanging="504"/>
      </w:pPr>
      <w:rPr>
        <w:b w:val="0"/>
        <w:bCs/>
      </w:rPr>
    </w:lvl>
    <w:lvl w:ilvl="3" w:tplc="E15E6902">
      <w:start w:val="1"/>
      <w:numFmt w:val="decimal"/>
      <w:lvlText w:val="%1.%2.%3.%4."/>
      <w:lvlJc w:val="left"/>
      <w:pPr>
        <w:ind w:left="1728" w:hanging="648"/>
      </w:pPr>
    </w:lvl>
    <w:lvl w:ilvl="4" w:tplc="0DC24838">
      <w:start w:val="1"/>
      <w:numFmt w:val="decimal"/>
      <w:lvlText w:val="%1.%2.%3.%4.%5."/>
      <w:lvlJc w:val="left"/>
      <w:pPr>
        <w:ind w:left="2232" w:hanging="792"/>
      </w:pPr>
    </w:lvl>
    <w:lvl w:ilvl="5" w:tplc="0C5098DE">
      <w:start w:val="1"/>
      <w:numFmt w:val="decimal"/>
      <w:lvlText w:val="%1.%2.%3.%4.%5.%6."/>
      <w:lvlJc w:val="left"/>
      <w:pPr>
        <w:ind w:left="2736" w:hanging="936"/>
      </w:pPr>
    </w:lvl>
    <w:lvl w:ilvl="6" w:tplc="F4A05FD4">
      <w:start w:val="1"/>
      <w:numFmt w:val="decimal"/>
      <w:lvlText w:val="%1.%2.%3.%4.%5.%6.%7."/>
      <w:lvlJc w:val="left"/>
      <w:pPr>
        <w:ind w:left="3240" w:hanging="1080"/>
      </w:pPr>
    </w:lvl>
    <w:lvl w:ilvl="7" w:tplc="9B42CAB2">
      <w:start w:val="1"/>
      <w:numFmt w:val="decimal"/>
      <w:lvlText w:val="%1.%2.%3.%4.%5.%6.%7.%8."/>
      <w:lvlJc w:val="left"/>
      <w:pPr>
        <w:ind w:left="3744" w:hanging="1224"/>
      </w:pPr>
    </w:lvl>
    <w:lvl w:ilvl="8" w:tplc="B4549D4C">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27544"/>
    <w:rsid w:val="00236A83"/>
    <w:rsid w:val="00237EDB"/>
    <w:rsid w:val="002425CF"/>
    <w:rsid w:val="0024422A"/>
    <w:rsid w:val="002445FA"/>
    <w:rsid w:val="00245ED0"/>
    <w:rsid w:val="00250686"/>
    <w:rsid w:val="00250D6C"/>
    <w:rsid w:val="00257C75"/>
    <w:rsid w:val="00260AF2"/>
    <w:rsid w:val="00262626"/>
    <w:rsid w:val="002640A8"/>
    <w:rsid w:val="00264126"/>
    <w:rsid w:val="002801FB"/>
    <w:rsid w:val="00292661"/>
    <w:rsid w:val="00294933"/>
    <w:rsid w:val="00294F31"/>
    <w:rsid w:val="00295285"/>
    <w:rsid w:val="002A1E5C"/>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E6ADF"/>
    <w:rsid w:val="003F1608"/>
    <w:rsid w:val="003F1A07"/>
    <w:rsid w:val="004031ED"/>
    <w:rsid w:val="00403723"/>
    <w:rsid w:val="00404229"/>
    <w:rsid w:val="0041107D"/>
    <w:rsid w:val="0041498E"/>
    <w:rsid w:val="00415AF7"/>
    <w:rsid w:val="00416540"/>
    <w:rsid w:val="00425228"/>
    <w:rsid w:val="00426B81"/>
    <w:rsid w:val="0043197E"/>
    <w:rsid w:val="00441DD7"/>
    <w:rsid w:val="00442664"/>
    <w:rsid w:val="00446F31"/>
    <w:rsid w:val="00460769"/>
    <w:rsid w:val="004656C3"/>
    <w:rsid w:val="00465817"/>
    <w:rsid w:val="0046606E"/>
    <w:rsid w:val="004664FA"/>
    <w:rsid w:val="0047060B"/>
    <w:rsid w:val="00471E70"/>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9CA"/>
    <w:rsid w:val="00652B3F"/>
    <w:rsid w:val="006560F0"/>
    <w:rsid w:val="006664E7"/>
    <w:rsid w:val="006703B0"/>
    <w:rsid w:val="00696614"/>
    <w:rsid w:val="006B3732"/>
    <w:rsid w:val="006B4475"/>
    <w:rsid w:val="006C7AAA"/>
    <w:rsid w:val="006F23B3"/>
    <w:rsid w:val="006F26D7"/>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A443B"/>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A2497"/>
    <w:rsid w:val="008A4C30"/>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39EF"/>
    <w:rsid w:val="00905A44"/>
    <w:rsid w:val="00906C18"/>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1C7E"/>
    <w:rsid w:val="00AA2D67"/>
    <w:rsid w:val="00AA35DA"/>
    <w:rsid w:val="00AA4C69"/>
    <w:rsid w:val="00AA77ED"/>
    <w:rsid w:val="00AB0455"/>
    <w:rsid w:val="00AB21FC"/>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A0D5E"/>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5573"/>
    <w:rsid w:val="00D40705"/>
    <w:rsid w:val="00D426D4"/>
    <w:rsid w:val="00D47518"/>
    <w:rsid w:val="00D5178A"/>
    <w:rsid w:val="00D5257B"/>
    <w:rsid w:val="00D53F5A"/>
    <w:rsid w:val="00D6318E"/>
    <w:rsid w:val="00D639C4"/>
    <w:rsid w:val="00D70022"/>
    <w:rsid w:val="00D701C4"/>
    <w:rsid w:val="00D70C1D"/>
    <w:rsid w:val="00D76BCB"/>
    <w:rsid w:val="00D80C75"/>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DF15D2"/>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1E90"/>
    <w:rsid w:val="00FE69DC"/>
    <w:rsid w:val="00FE750B"/>
    <w:rsid w:val="00FF0F2E"/>
    <w:rsid w:val="0ADABF30"/>
    <w:rsid w:val="0B1BF8FB"/>
    <w:rsid w:val="200C5F7F"/>
    <w:rsid w:val="216E9CCE"/>
    <w:rsid w:val="2DE199C2"/>
    <w:rsid w:val="36E5E8D7"/>
    <w:rsid w:val="4986B4D6"/>
    <w:rsid w:val="7BACC6AF"/>
    <w:rsid w:val="7FBDB9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BDEE"/>
  <w15:docId w15:val="{D80A11BD-AB26-46EC-9B14-62449812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784108">
      <w:bodyDiv w:val="1"/>
      <w:marLeft w:val="0"/>
      <w:marRight w:val="0"/>
      <w:marTop w:val="0"/>
      <w:marBottom w:val="0"/>
      <w:divBdr>
        <w:top w:val="none" w:sz="0" w:space="0" w:color="auto"/>
        <w:left w:val="none" w:sz="0" w:space="0" w:color="auto"/>
        <w:bottom w:val="none" w:sz="0" w:space="0" w:color="auto"/>
        <w:right w:val="none" w:sz="0" w:space="0" w:color="auto"/>
      </w:divBdr>
      <w:divsChild>
        <w:div w:id="200440961">
          <w:marLeft w:val="0"/>
          <w:marRight w:val="0"/>
          <w:marTop w:val="0"/>
          <w:marBottom w:val="0"/>
          <w:divBdr>
            <w:top w:val="none" w:sz="0" w:space="0" w:color="auto"/>
            <w:left w:val="none" w:sz="0" w:space="0" w:color="auto"/>
            <w:bottom w:val="none" w:sz="0" w:space="0" w:color="auto"/>
            <w:right w:val="none" w:sz="0" w:space="0" w:color="auto"/>
          </w:divBdr>
          <w:divsChild>
            <w:div w:id="2118795636">
              <w:marLeft w:val="0"/>
              <w:marRight w:val="0"/>
              <w:marTop w:val="0"/>
              <w:marBottom w:val="0"/>
              <w:divBdr>
                <w:top w:val="none" w:sz="0" w:space="0" w:color="auto"/>
                <w:left w:val="none" w:sz="0" w:space="0" w:color="auto"/>
                <w:bottom w:val="none" w:sz="0" w:space="0" w:color="auto"/>
                <w:right w:val="none" w:sz="0" w:space="0" w:color="auto"/>
              </w:divBdr>
              <w:divsChild>
                <w:div w:id="1357076920">
                  <w:marLeft w:val="0"/>
                  <w:marRight w:val="0"/>
                  <w:marTop w:val="0"/>
                  <w:marBottom w:val="0"/>
                  <w:divBdr>
                    <w:top w:val="none" w:sz="0" w:space="0" w:color="auto"/>
                    <w:left w:val="none" w:sz="0" w:space="0" w:color="auto"/>
                    <w:bottom w:val="none" w:sz="0" w:space="0" w:color="auto"/>
                    <w:right w:val="none" w:sz="0" w:space="0" w:color="auto"/>
                  </w:divBdr>
                  <w:divsChild>
                    <w:div w:id="406194656">
                      <w:marLeft w:val="0"/>
                      <w:marRight w:val="0"/>
                      <w:marTop w:val="0"/>
                      <w:marBottom w:val="0"/>
                      <w:divBdr>
                        <w:top w:val="none" w:sz="0" w:space="0" w:color="auto"/>
                        <w:left w:val="none" w:sz="0" w:space="0" w:color="auto"/>
                        <w:bottom w:val="none" w:sz="0" w:space="0" w:color="auto"/>
                        <w:right w:val="none" w:sz="0" w:space="0" w:color="auto"/>
                      </w:divBdr>
                      <w:divsChild>
                        <w:div w:id="1177230322">
                          <w:marLeft w:val="0"/>
                          <w:marRight w:val="0"/>
                          <w:marTop w:val="0"/>
                          <w:marBottom w:val="0"/>
                          <w:divBdr>
                            <w:top w:val="none" w:sz="0" w:space="0" w:color="auto"/>
                            <w:left w:val="none" w:sz="0" w:space="0" w:color="auto"/>
                            <w:bottom w:val="none" w:sz="0" w:space="0" w:color="auto"/>
                            <w:right w:val="none" w:sz="0" w:space="0" w:color="auto"/>
                          </w:divBdr>
                          <w:divsChild>
                            <w:div w:id="1645814731">
                              <w:marLeft w:val="0"/>
                              <w:marRight w:val="0"/>
                              <w:marTop w:val="0"/>
                              <w:marBottom w:val="0"/>
                              <w:divBdr>
                                <w:top w:val="none" w:sz="0" w:space="0" w:color="auto"/>
                                <w:left w:val="none" w:sz="0" w:space="0" w:color="auto"/>
                                <w:bottom w:val="none" w:sz="0" w:space="0" w:color="auto"/>
                                <w:right w:val="none" w:sz="0" w:space="0" w:color="auto"/>
                              </w:divBdr>
                              <w:divsChild>
                                <w:div w:id="1605187410">
                                  <w:marLeft w:val="0"/>
                                  <w:marRight w:val="0"/>
                                  <w:marTop w:val="0"/>
                                  <w:marBottom w:val="0"/>
                                  <w:divBdr>
                                    <w:top w:val="none" w:sz="0" w:space="0" w:color="auto"/>
                                    <w:left w:val="none" w:sz="0" w:space="0" w:color="auto"/>
                                    <w:bottom w:val="none" w:sz="0" w:space="0" w:color="auto"/>
                                    <w:right w:val="none" w:sz="0" w:space="0" w:color="auto"/>
                                  </w:divBdr>
                                  <w:divsChild>
                                    <w:div w:id="1708413336">
                                      <w:marLeft w:val="0"/>
                                      <w:marRight w:val="0"/>
                                      <w:marTop w:val="0"/>
                                      <w:marBottom w:val="0"/>
                                      <w:divBdr>
                                        <w:top w:val="single" w:sz="4" w:space="0" w:color="F5F5F5"/>
                                        <w:left w:val="single" w:sz="4" w:space="0" w:color="F5F5F5"/>
                                        <w:bottom w:val="single" w:sz="4" w:space="0" w:color="F5F5F5"/>
                                        <w:right w:val="single" w:sz="4" w:space="0" w:color="F5F5F5"/>
                                      </w:divBdr>
                                      <w:divsChild>
                                        <w:div w:id="561138773">
                                          <w:marLeft w:val="0"/>
                                          <w:marRight w:val="0"/>
                                          <w:marTop w:val="0"/>
                                          <w:marBottom w:val="0"/>
                                          <w:divBdr>
                                            <w:top w:val="none" w:sz="0" w:space="0" w:color="auto"/>
                                            <w:left w:val="none" w:sz="0" w:space="0" w:color="auto"/>
                                            <w:bottom w:val="none" w:sz="0" w:space="0" w:color="auto"/>
                                            <w:right w:val="none" w:sz="0" w:space="0" w:color="auto"/>
                                          </w:divBdr>
                                          <w:divsChild>
                                            <w:div w:id="983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046286">
      <w:bodyDiv w:val="1"/>
      <w:marLeft w:val="0"/>
      <w:marRight w:val="0"/>
      <w:marTop w:val="0"/>
      <w:marBottom w:val="0"/>
      <w:divBdr>
        <w:top w:val="none" w:sz="0" w:space="0" w:color="auto"/>
        <w:left w:val="none" w:sz="0" w:space="0" w:color="auto"/>
        <w:bottom w:val="none" w:sz="0" w:space="0" w:color="auto"/>
        <w:right w:val="none" w:sz="0" w:space="0" w:color="auto"/>
      </w:divBdr>
    </w:div>
    <w:div w:id="843740907">
      <w:bodyDiv w:val="1"/>
      <w:marLeft w:val="0"/>
      <w:marRight w:val="0"/>
      <w:marTop w:val="0"/>
      <w:marBottom w:val="0"/>
      <w:divBdr>
        <w:top w:val="none" w:sz="0" w:space="0" w:color="auto"/>
        <w:left w:val="none" w:sz="0" w:space="0" w:color="auto"/>
        <w:bottom w:val="none" w:sz="0" w:space="0" w:color="auto"/>
        <w:right w:val="none" w:sz="0" w:space="0" w:color="auto"/>
      </w:divBdr>
      <w:divsChild>
        <w:div w:id="1794909455">
          <w:marLeft w:val="0"/>
          <w:marRight w:val="0"/>
          <w:marTop w:val="0"/>
          <w:marBottom w:val="0"/>
          <w:divBdr>
            <w:top w:val="none" w:sz="0" w:space="0" w:color="auto"/>
            <w:left w:val="none" w:sz="0" w:space="0" w:color="auto"/>
            <w:bottom w:val="none" w:sz="0" w:space="0" w:color="auto"/>
            <w:right w:val="none" w:sz="0" w:space="0" w:color="auto"/>
          </w:divBdr>
          <w:divsChild>
            <w:div w:id="313726757">
              <w:marLeft w:val="0"/>
              <w:marRight w:val="0"/>
              <w:marTop w:val="0"/>
              <w:marBottom w:val="0"/>
              <w:divBdr>
                <w:top w:val="none" w:sz="0" w:space="0" w:color="auto"/>
                <w:left w:val="none" w:sz="0" w:space="0" w:color="auto"/>
                <w:bottom w:val="none" w:sz="0" w:space="0" w:color="auto"/>
                <w:right w:val="none" w:sz="0" w:space="0" w:color="auto"/>
              </w:divBdr>
              <w:divsChild>
                <w:div w:id="734474741">
                  <w:marLeft w:val="0"/>
                  <w:marRight w:val="0"/>
                  <w:marTop w:val="0"/>
                  <w:marBottom w:val="0"/>
                  <w:divBdr>
                    <w:top w:val="none" w:sz="0" w:space="0" w:color="auto"/>
                    <w:left w:val="none" w:sz="0" w:space="0" w:color="auto"/>
                    <w:bottom w:val="none" w:sz="0" w:space="0" w:color="auto"/>
                    <w:right w:val="none" w:sz="0" w:space="0" w:color="auto"/>
                  </w:divBdr>
                  <w:divsChild>
                    <w:div w:id="1400056336">
                      <w:marLeft w:val="0"/>
                      <w:marRight w:val="0"/>
                      <w:marTop w:val="0"/>
                      <w:marBottom w:val="0"/>
                      <w:divBdr>
                        <w:top w:val="none" w:sz="0" w:space="0" w:color="auto"/>
                        <w:left w:val="none" w:sz="0" w:space="0" w:color="auto"/>
                        <w:bottom w:val="none" w:sz="0" w:space="0" w:color="auto"/>
                        <w:right w:val="none" w:sz="0" w:space="0" w:color="auto"/>
                      </w:divBdr>
                      <w:divsChild>
                        <w:div w:id="832600345">
                          <w:marLeft w:val="0"/>
                          <w:marRight w:val="0"/>
                          <w:marTop w:val="0"/>
                          <w:marBottom w:val="0"/>
                          <w:divBdr>
                            <w:top w:val="none" w:sz="0" w:space="0" w:color="auto"/>
                            <w:left w:val="none" w:sz="0" w:space="0" w:color="auto"/>
                            <w:bottom w:val="none" w:sz="0" w:space="0" w:color="auto"/>
                            <w:right w:val="none" w:sz="0" w:space="0" w:color="auto"/>
                          </w:divBdr>
                          <w:divsChild>
                            <w:div w:id="2025934404">
                              <w:marLeft w:val="0"/>
                              <w:marRight w:val="0"/>
                              <w:marTop w:val="0"/>
                              <w:marBottom w:val="0"/>
                              <w:divBdr>
                                <w:top w:val="none" w:sz="0" w:space="0" w:color="auto"/>
                                <w:left w:val="none" w:sz="0" w:space="0" w:color="auto"/>
                                <w:bottom w:val="none" w:sz="0" w:space="0" w:color="auto"/>
                                <w:right w:val="none" w:sz="0" w:space="0" w:color="auto"/>
                              </w:divBdr>
                              <w:divsChild>
                                <w:div w:id="495339825">
                                  <w:marLeft w:val="0"/>
                                  <w:marRight w:val="0"/>
                                  <w:marTop w:val="0"/>
                                  <w:marBottom w:val="0"/>
                                  <w:divBdr>
                                    <w:top w:val="none" w:sz="0" w:space="0" w:color="auto"/>
                                    <w:left w:val="none" w:sz="0" w:space="0" w:color="auto"/>
                                    <w:bottom w:val="none" w:sz="0" w:space="0" w:color="auto"/>
                                    <w:right w:val="none" w:sz="0" w:space="0" w:color="auto"/>
                                  </w:divBdr>
                                  <w:divsChild>
                                    <w:div w:id="1437755186">
                                      <w:marLeft w:val="0"/>
                                      <w:marRight w:val="0"/>
                                      <w:marTop w:val="0"/>
                                      <w:marBottom w:val="0"/>
                                      <w:divBdr>
                                        <w:top w:val="none" w:sz="0" w:space="0" w:color="auto"/>
                                        <w:left w:val="none" w:sz="0" w:space="0" w:color="auto"/>
                                        <w:bottom w:val="none" w:sz="0" w:space="0" w:color="auto"/>
                                        <w:right w:val="none" w:sz="0" w:space="0" w:color="auto"/>
                                      </w:divBdr>
                                      <w:divsChild>
                                        <w:div w:id="522403933">
                                          <w:marLeft w:val="0"/>
                                          <w:marRight w:val="0"/>
                                          <w:marTop w:val="0"/>
                                          <w:marBottom w:val="0"/>
                                          <w:divBdr>
                                            <w:top w:val="none" w:sz="0" w:space="0" w:color="auto"/>
                                            <w:left w:val="none" w:sz="0" w:space="0" w:color="auto"/>
                                            <w:bottom w:val="none" w:sz="0" w:space="0" w:color="auto"/>
                                            <w:right w:val="none" w:sz="0" w:space="0" w:color="auto"/>
                                          </w:divBdr>
                                          <w:divsChild>
                                            <w:div w:id="347294362">
                                              <w:marLeft w:val="0"/>
                                              <w:marRight w:val="0"/>
                                              <w:marTop w:val="0"/>
                                              <w:marBottom w:val="0"/>
                                              <w:divBdr>
                                                <w:top w:val="none" w:sz="0" w:space="0" w:color="auto"/>
                                                <w:left w:val="none" w:sz="0" w:space="0" w:color="auto"/>
                                                <w:bottom w:val="none" w:sz="0" w:space="0" w:color="auto"/>
                                                <w:right w:val="none" w:sz="0" w:space="0" w:color="auto"/>
                                              </w:divBdr>
                                              <w:divsChild>
                                                <w:div w:id="1171137152">
                                                  <w:marLeft w:val="0"/>
                                                  <w:marRight w:val="0"/>
                                                  <w:marTop w:val="0"/>
                                                  <w:marBottom w:val="0"/>
                                                  <w:divBdr>
                                                    <w:top w:val="none" w:sz="0" w:space="0" w:color="auto"/>
                                                    <w:left w:val="none" w:sz="0" w:space="0" w:color="auto"/>
                                                    <w:bottom w:val="none" w:sz="0" w:space="0" w:color="auto"/>
                                                    <w:right w:val="none" w:sz="0" w:space="0" w:color="auto"/>
                                                  </w:divBdr>
                                                  <w:divsChild>
                                                    <w:div w:id="1052271982">
                                                      <w:marLeft w:val="0"/>
                                                      <w:marRight w:val="0"/>
                                                      <w:marTop w:val="0"/>
                                                      <w:marBottom w:val="0"/>
                                                      <w:divBdr>
                                                        <w:top w:val="none" w:sz="0" w:space="0" w:color="auto"/>
                                                        <w:left w:val="none" w:sz="0" w:space="0" w:color="auto"/>
                                                        <w:bottom w:val="none" w:sz="0" w:space="0" w:color="auto"/>
                                                        <w:right w:val="none" w:sz="0" w:space="0" w:color="auto"/>
                                                      </w:divBdr>
                                                      <w:divsChild>
                                                        <w:div w:id="376274744">
                                                          <w:marLeft w:val="0"/>
                                                          <w:marRight w:val="0"/>
                                                          <w:marTop w:val="0"/>
                                                          <w:marBottom w:val="0"/>
                                                          <w:divBdr>
                                                            <w:top w:val="none" w:sz="0" w:space="0" w:color="auto"/>
                                                            <w:left w:val="none" w:sz="0" w:space="0" w:color="auto"/>
                                                            <w:bottom w:val="none" w:sz="0" w:space="0" w:color="auto"/>
                                                            <w:right w:val="none" w:sz="0" w:space="0" w:color="auto"/>
                                                          </w:divBdr>
                                                          <w:divsChild>
                                                            <w:div w:id="96024136">
                                                              <w:marLeft w:val="0"/>
                                                              <w:marRight w:val="0"/>
                                                              <w:marTop w:val="0"/>
                                                              <w:marBottom w:val="0"/>
                                                              <w:divBdr>
                                                                <w:top w:val="none" w:sz="0" w:space="0" w:color="auto"/>
                                                                <w:left w:val="none" w:sz="0" w:space="0" w:color="auto"/>
                                                                <w:bottom w:val="none" w:sz="0" w:space="0" w:color="auto"/>
                                                                <w:right w:val="none" w:sz="0" w:space="0" w:color="auto"/>
                                                              </w:divBdr>
                                                            </w:div>
                                                            <w:div w:id="1107197107">
                                                              <w:marLeft w:val="0"/>
                                                              <w:marRight w:val="0"/>
                                                              <w:marTop w:val="0"/>
                                                              <w:marBottom w:val="0"/>
                                                              <w:divBdr>
                                                                <w:top w:val="none" w:sz="0" w:space="0" w:color="auto"/>
                                                                <w:left w:val="none" w:sz="0" w:space="0" w:color="auto"/>
                                                                <w:bottom w:val="none" w:sz="0" w:space="0" w:color="auto"/>
                                                                <w:right w:val="none" w:sz="0" w:space="0" w:color="auto"/>
                                                              </w:divBdr>
                                                            </w:div>
                                                            <w:div w:id="2060007021">
                                                              <w:marLeft w:val="0"/>
                                                              <w:marRight w:val="0"/>
                                                              <w:marTop w:val="0"/>
                                                              <w:marBottom w:val="0"/>
                                                              <w:divBdr>
                                                                <w:top w:val="none" w:sz="0" w:space="0" w:color="auto"/>
                                                                <w:left w:val="none" w:sz="0" w:space="0" w:color="auto"/>
                                                                <w:bottom w:val="none" w:sz="0" w:space="0" w:color="auto"/>
                                                                <w:right w:val="none" w:sz="0" w:space="0" w:color="auto"/>
                                                              </w:divBdr>
                                                            </w:div>
                                                            <w:div w:id="21217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88486">
      <w:bodyDiv w:val="1"/>
      <w:marLeft w:val="0"/>
      <w:marRight w:val="0"/>
      <w:marTop w:val="0"/>
      <w:marBottom w:val="0"/>
      <w:divBdr>
        <w:top w:val="none" w:sz="0" w:space="0" w:color="auto"/>
        <w:left w:val="none" w:sz="0" w:space="0" w:color="auto"/>
        <w:bottom w:val="none" w:sz="0" w:space="0" w:color="auto"/>
        <w:right w:val="none" w:sz="0" w:space="0" w:color="auto"/>
      </w:divBdr>
      <w:divsChild>
        <w:div w:id="2008971985">
          <w:marLeft w:val="0"/>
          <w:marRight w:val="0"/>
          <w:marTop w:val="0"/>
          <w:marBottom w:val="0"/>
          <w:divBdr>
            <w:top w:val="none" w:sz="0" w:space="0" w:color="auto"/>
            <w:left w:val="none" w:sz="0" w:space="0" w:color="auto"/>
            <w:bottom w:val="none" w:sz="0" w:space="0" w:color="auto"/>
            <w:right w:val="none" w:sz="0" w:space="0" w:color="auto"/>
          </w:divBdr>
          <w:divsChild>
            <w:div w:id="587033177">
              <w:marLeft w:val="0"/>
              <w:marRight w:val="0"/>
              <w:marTop w:val="0"/>
              <w:marBottom w:val="0"/>
              <w:divBdr>
                <w:top w:val="none" w:sz="0" w:space="0" w:color="auto"/>
                <w:left w:val="none" w:sz="0" w:space="0" w:color="auto"/>
                <w:bottom w:val="none" w:sz="0" w:space="0" w:color="auto"/>
                <w:right w:val="none" w:sz="0" w:space="0" w:color="auto"/>
              </w:divBdr>
              <w:divsChild>
                <w:div w:id="1233855381">
                  <w:marLeft w:val="0"/>
                  <w:marRight w:val="0"/>
                  <w:marTop w:val="0"/>
                  <w:marBottom w:val="0"/>
                  <w:divBdr>
                    <w:top w:val="none" w:sz="0" w:space="0" w:color="auto"/>
                    <w:left w:val="none" w:sz="0" w:space="0" w:color="auto"/>
                    <w:bottom w:val="none" w:sz="0" w:space="0" w:color="auto"/>
                    <w:right w:val="none" w:sz="0" w:space="0" w:color="auto"/>
                  </w:divBdr>
                  <w:divsChild>
                    <w:div w:id="1441410713">
                      <w:marLeft w:val="0"/>
                      <w:marRight w:val="0"/>
                      <w:marTop w:val="0"/>
                      <w:marBottom w:val="0"/>
                      <w:divBdr>
                        <w:top w:val="none" w:sz="0" w:space="0" w:color="auto"/>
                        <w:left w:val="none" w:sz="0" w:space="0" w:color="auto"/>
                        <w:bottom w:val="none" w:sz="0" w:space="0" w:color="auto"/>
                        <w:right w:val="none" w:sz="0" w:space="0" w:color="auto"/>
                      </w:divBdr>
                      <w:divsChild>
                        <w:div w:id="1310135870">
                          <w:marLeft w:val="0"/>
                          <w:marRight w:val="0"/>
                          <w:marTop w:val="0"/>
                          <w:marBottom w:val="0"/>
                          <w:divBdr>
                            <w:top w:val="none" w:sz="0" w:space="0" w:color="auto"/>
                            <w:left w:val="none" w:sz="0" w:space="0" w:color="auto"/>
                            <w:bottom w:val="none" w:sz="0" w:space="0" w:color="auto"/>
                            <w:right w:val="none" w:sz="0" w:space="0" w:color="auto"/>
                          </w:divBdr>
                          <w:divsChild>
                            <w:div w:id="104888824">
                              <w:marLeft w:val="0"/>
                              <w:marRight w:val="0"/>
                              <w:marTop w:val="0"/>
                              <w:marBottom w:val="0"/>
                              <w:divBdr>
                                <w:top w:val="none" w:sz="0" w:space="0" w:color="auto"/>
                                <w:left w:val="none" w:sz="0" w:space="0" w:color="auto"/>
                                <w:bottom w:val="none" w:sz="0" w:space="0" w:color="auto"/>
                                <w:right w:val="none" w:sz="0" w:space="0" w:color="auto"/>
                              </w:divBdr>
                              <w:divsChild>
                                <w:div w:id="1986161168">
                                  <w:marLeft w:val="0"/>
                                  <w:marRight w:val="0"/>
                                  <w:marTop w:val="0"/>
                                  <w:marBottom w:val="0"/>
                                  <w:divBdr>
                                    <w:top w:val="none" w:sz="0" w:space="0" w:color="auto"/>
                                    <w:left w:val="none" w:sz="0" w:space="0" w:color="auto"/>
                                    <w:bottom w:val="none" w:sz="0" w:space="0" w:color="auto"/>
                                    <w:right w:val="none" w:sz="0" w:space="0" w:color="auto"/>
                                  </w:divBdr>
                                  <w:divsChild>
                                    <w:div w:id="1494183303">
                                      <w:marLeft w:val="0"/>
                                      <w:marRight w:val="0"/>
                                      <w:marTop w:val="0"/>
                                      <w:marBottom w:val="0"/>
                                      <w:divBdr>
                                        <w:top w:val="none" w:sz="0" w:space="0" w:color="auto"/>
                                        <w:left w:val="none" w:sz="0" w:space="0" w:color="auto"/>
                                        <w:bottom w:val="none" w:sz="0" w:space="0" w:color="auto"/>
                                        <w:right w:val="none" w:sz="0" w:space="0" w:color="auto"/>
                                      </w:divBdr>
                                      <w:divsChild>
                                        <w:div w:id="136845686">
                                          <w:marLeft w:val="0"/>
                                          <w:marRight w:val="0"/>
                                          <w:marTop w:val="0"/>
                                          <w:marBottom w:val="0"/>
                                          <w:divBdr>
                                            <w:top w:val="none" w:sz="0" w:space="0" w:color="auto"/>
                                            <w:left w:val="none" w:sz="0" w:space="0" w:color="auto"/>
                                            <w:bottom w:val="none" w:sz="0" w:space="0" w:color="auto"/>
                                            <w:right w:val="none" w:sz="0" w:space="0" w:color="auto"/>
                                          </w:divBdr>
                                          <w:divsChild>
                                            <w:div w:id="641271772">
                                              <w:marLeft w:val="0"/>
                                              <w:marRight w:val="0"/>
                                              <w:marTop w:val="0"/>
                                              <w:marBottom w:val="0"/>
                                              <w:divBdr>
                                                <w:top w:val="none" w:sz="0" w:space="0" w:color="auto"/>
                                                <w:left w:val="none" w:sz="0" w:space="0" w:color="auto"/>
                                                <w:bottom w:val="none" w:sz="0" w:space="0" w:color="auto"/>
                                                <w:right w:val="none" w:sz="0" w:space="0" w:color="auto"/>
                                              </w:divBdr>
                                              <w:divsChild>
                                                <w:div w:id="92241703">
                                                  <w:marLeft w:val="0"/>
                                                  <w:marRight w:val="0"/>
                                                  <w:marTop w:val="0"/>
                                                  <w:marBottom w:val="0"/>
                                                  <w:divBdr>
                                                    <w:top w:val="none" w:sz="0" w:space="0" w:color="auto"/>
                                                    <w:left w:val="none" w:sz="0" w:space="0" w:color="auto"/>
                                                    <w:bottom w:val="none" w:sz="0" w:space="0" w:color="auto"/>
                                                    <w:right w:val="none" w:sz="0" w:space="0" w:color="auto"/>
                                                  </w:divBdr>
                                                  <w:divsChild>
                                                    <w:div w:id="1598172367">
                                                      <w:marLeft w:val="0"/>
                                                      <w:marRight w:val="0"/>
                                                      <w:marTop w:val="0"/>
                                                      <w:marBottom w:val="0"/>
                                                      <w:divBdr>
                                                        <w:top w:val="none" w:sz="0" w:space="0" w:color="auto"/>
                                                        <w:left w:val="none" w:sz="0" w:space="0" w:color="auto"/>
                                                        <w:bottom w:val="none" w:sz="0" w:space="0" w:color="auto"/>
                                                        <w:right w:val="none" w:sz="0" w:space="0" w:color="auto"/>
                                                      </w:divBdr>
                                                      <w:divsChild>
                                                        <w:div w:id="1624381434">
                                                          <w:marLeft w:val="0"/>
                                                          <w:marRight w:val="0"/>
                                                          <w:marTop w:val="0"/>
                                                          <w:marBottom w:val="0"/>
                                                          <w:divBdr>
                                                            <w:top w:val="none" w:sz="0" w:space="0" w:color="auto"/>
                                                            <w:left w:val="none" w:sz="0" w:space="0" w:color="auto"/>
                                                            <w:bottom w:val="none" w:sz="0" w:space="0" w:color="auto"/>
                                                            <w:right w:val="none" w:sz="0" w:space="0" w:color="auto"/>
                                                          </w:divBdr>
                                                          <w:divsChild>
                                                            <w:div w:id="579101898">
                                                              <w:marLeft w:val="0"/>
                                                              <w:marRight w:val="0"/>
                                                              <w:marTop w:val="0"/>
                                                              <w:marBottom w:val="0"/>
                                                              <w:divBdr>
                                                                <w:top w:val="none" w:sz="0" w:space="0" w:color="auto"/>
                                                                <w:left w:val="none" w:sz="0" w:space="0" w:color="auto"/>
                                                                <w:bottom w:val="none" w:sz="0" w:space="0" w:color="auto"/>
                                                                <w:right w:val="none" w:sz="0" w:space="0" w:color="auto"/>
                                                              </w:divBdr>
                                                            </w:div>
                                                            <w:div w:id="908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065308">
      <w:bodyDiv w:val="1"/>
      <w:marLeft w:val="0"/>
      <w:marRight w:val="0"/>
      <w:marTop w:val="0"/>
      <w:marBottom w:val="0"/>
      <w:divBdr>
        <w:top w:val="none" w:sz="0" w:space="0" w:color="auto"/>
        <w:left w:val="none" w:sz="0" w:space="0" w:color="auto"/>
        <w:bottom w:val="none" w:sz="0" w:space="0" w:color="auto"/>
        <w:right w:val="none" w:sz="0" w:space="0" w:color="auto"/>
      </w:divBdr>
      <w:divsChild>
        <w:div w:id="19989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Lieber</dc:creator>
  <cp:keywords/>
  <cp:lastModifiedBy>Sofia Kizer</cp:lastModifiedBy>
  <cp:revision>33</cp:revision>
  <cp:lastPrinted>2021-03-15T01:03:00Z</cp:lastPrinted>
  <dcterms:created xsi:type="dcterms:W3CDTF">2021-03-16T04:17:00Z</dcterms:created>
  <dcterms:modified xsi:type="dcterms:W3CDTF">2021-04-04T12:54:00Z</dcterms:modified>
</cp:coreProperties>
</file>