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AD64" w14:textId="22B62B07" w:rsidR="00D46FDA" w:rsidRPr="00244B43" w:rsidRDefault="000C32F6" w:rsidP="00FB60C8">
      <w:pPr>
        <w:bidi w:val="0"/>
        <w:jc w:val="left"/>
        <w:rPr>
          <w:rFonts w:asciiTheme="majorBidi" w:hAnsiTheme="majorBidi" w:cstheme="majorBidi"/>
          <w:b/>
          <w:bCs/>
          <w:lang w:val="en-US" w:bidi="he-IL"/>
        </w:rPr>
      </w:pPr>
      <w:r w:rsidRPr="00244B43">
        <w:rPr>
          <w:rFonts w:asciiTheme="majorBidi" w:hAnsiTheme="majorBidi" w:cstheme="majorBidi"/>
          <w:b/>
          <w:bCs/>
          <w:lang w:val="en-US" w:bidi="he-IL"/>
        </w:rPr>
        <w:t>Seth Anziska</w:t>
      </w:r>
      <w:r w:rsidR="00A138E9" w:rsidRPr="00244B43">
        <w:rPr>
          <w:rFonts w:asciiTheme="majorBidi" w:hAnsiTheme="majorBidi" w:cstheme="majorBidi"/>
          <w:b/>
          <w:bCs/>
          <w:lang w:val="en-US" w:bidi="he-IL"/>
        </w:rPr>
        <w:t xml:space="preserve">, </w:t>
      </w:r>
      <w:r w:rsidRPr="00244B43">
        <w:rPr>
          <w:rFonts w:asciiTheme="majorBidi" w:hAnsiTheme="majorBidi" w:cstheme="majorBidi"/>
          <w:b/>
          <w:bCs/>
          <w:i/>
          <w:iCs/>
          <w:lang w:val="en-US" w:bidi="he-IL"/>
        </w:rPr>
        <w:t>Preventing Palestine: A Political History from Camp David to Oslo</w:t>
      </w:r>
      <w:r w:rsidRPr="00244B43">
        <w:rPr>
          <w:rFonts w:asciiTheme="majorBidi" w:hAnsiTheme="majorBidi" w:cstheme="majorBidi"/>
          <w:b/>
          <w:bCs/>
          <w:lang w:val="en-US" w:bidi="he-IL"/>
        </w:rPr>
        <w:t>, Princeton: Princeton University Press, 2018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 xml:space="preserve">, 464 pp, Index. </w:t>
      </w:r>
      <w:r w:rsidR="008A4D4B" w:rsidRPr="00244B43">
        <w:rPr>
          <w:rFonts w:asciiTheme="majorBidi" w:hAnsiTheme="majorBidi" w:cstheme="majorBidi"/>
          <w:b/>
          <w:bCs/>
          <w:lang w:val="en-US" w:bidi="he-IL"/>
        </w:rPr>
        <w:t>$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>35, ISBN:</w:t>
      </w:r>
      <w:r w:rsidR="00FB60C8" w:rsidRPr="00244B43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>9780691177397 </w:t>
      </w:r>
    </w:p>
    <w:p w14:paraId="578E86ED" w14:textId="1B8E6F8A" w:rsidR="000C32F6" w:rsidRPr="00A138E9" w:rsidRDefault="001A34EE" w:rsidP="00512AD9">
      <w:pPr>
        <w:bidi w:val="0"/>
        <w:spacing w:after="0" w:line="360" w:lineRule="auto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The question of the autonomy that Menachem Begin offered the Palestinians within the construct of the Israel–Egypt peace treaty stands at the center of Seth Anziska’s </w:t>
      </w:r>
      <w:r w:rsidRPr="00A138E9">
        <w:rPr>
          <w:rFonts w:asciiTheme="majorBidi" w:hAnsiTheme="majorBidi" w:cstheme="majorBidi"/>
          <w:i/>
          <w:iCs/>
          <w:lang w:val="en-US" w:bidi="he-IL"/>
        </w:rPr>
        <w:t>Preventing Palestine,</w:t>
      </w:r>
      <w:r w:rsidRPr="00A138E9">
        <w:rPr>
          <w:rFonts w:asciiTheme="majorBidi" w:hAnsiTheme="majorBidi" w:cstheme="majorBidi"/>
          <w:lang w:val="en-US" w:bidi="he-IL"/>
        </w:rPr>
        <w:t xml:space="preserve"> which 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deals </w:t>
      </w:r>
      <w:r w:rsidRPr="00A138E9">
        <w:rPr>
          <w:rFonts w:asciiTheme="majorBidi" w:hAnsiTheme="majorBidi" w:cstheme="majorBidi"/>
          <w:lang w:val="en-US" w:bidi="he-IL"/>
        </w:rPr>
        <w:t xml:space="preserve">with the peace process between Israel and the Palestinians from 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1978, the year of </w:t>
      </w:r>
      <w:r w:rsidRPr="00A138E9">
        <w:rPr>
          <w:rFonts w:asciiTheme="majorBidi" w:hAnsiTheme="majorBidi" w:cstheme="majorBidi"/>
          <w:lang w:val="en-US" w:bidi="he-IL"/>
        </w:rPr>
        <w:t xml:space="preserve">the Camp David </w:t>
      </w:r>
      <w:r w:rsidR="00D9631F">
        <w:rPr>
          <w:rFonts w:asciiTheme="majorBidi" w:hAnsiTheme="majorBidi" w:cstheme="majorBidi"/>
          <w:lang w:val="en-US" w:bidi="he-IL"/>
        </w:rPr>
        <w:t>summit</w:t>
      </w:r>
      <w:r w:rsidR="008136A3" w:rsidRPr="00A138E9">
        <w:rPr>
          <w:rFonts w:asciiTheme="majorBidi" w:hAnsiTheme="majorBidi" w:cstheme="majorBidi"/>
          <w:lang w:val="en-US" w:bidi="he-IL"/>
        </w:rPr>
        <w:t>,</w:t>
      </w:r>
      <w:r w:rsidRPr="00A138E9">
        <w:rPr>
          <w:rFonts w:asciiTheme="majorBidi" w:hAnsiTheme="majorBidi" w:cstheme="majorBidi"/>
          <w:lang w:val="en-US" w:bidi="he-IL"/>
        </w:rPr>
        <w:t xml:space="preserve"> to the </w:t>
      </w:r>
      <w:r w:rsidR="008136A3" w:rsidRPr="00A138E9">
        <w:rPr>
          <w:rFonts w:asciiTheme="majorBidi" w:hAnsiTheme="majorBidi" w:cstheme="majorBidi"/>
          <w:lang w:val="en-US" w:bidi="he-IL"/>
        </w:rPr>
        <w:t>1990s, the</w:t>
      </w:r>
      <w:r w:rsidR="00613308">
        <w:rPr>
          <w:rFonts w:asciiTheme="majorBidi" w:hAnsiTheme="majorBidi" w:cstheme="majorBidi"/>
          <w:lang w:val="en-US" w:bidi="he-IL"/>
        </w:rPr>
        <w:t xml:space="preserve"> era of the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 </w:t>
      </w:r>
      <w:r w:rsidRPr="00A138E9">
        <w:rPr>
          <w:rFonts w:asciiTheme="majorBidi" w:hAnsiTheme="majorBidi" w:cstheme="majorBidi"/>
          <w:lang w:val="en-US" w:bidi="he-IL"/>
        </w:rPr>
        <w:t xml:space="preserve">Oslo </w:t>
      </w:r>
      <w:r w:rsidR="008136A3" w:rsidRPr="00A138E9">
        <w:rPr>
          <w:rFonts w:asciiTheme="majorBidi" w:hAnsiTheme="majorBidi" w:cstheme="majorBidi"/>
          <w:lang w:val="en-US" w:bidi="he-IL"/>
        </w:rPr>
        <w:t>a</w:t>
      </w:r>
      <w:r w:rsidRPr="00A138E9">
        <w:rPr>
          <w:rFonts w:asciiTheme="majorBidi" w:hAnsiTheme="majorBidi" w:cstheme="majorBidi"/>
          <w:lang w:val="en-US" w:bidi="he-IL"/>
        </w:rPr>
        <w:t xml:space="preserve">ccords. The book is based on impressive and new research in diverse archives in the Middle East, the United States, and Europe, </w:t>
      </w:r>
      <w:r w:rsidR="00280E42" w:rsidRPr="00A138E9">
        <w:rPr>
          <w:rFonts w:asciiTheme="majorBidi" w:hAnsiTheme="majorBidi" w:cstheme="majorBidi"/>
          <w:lang w:val="en-US" w:bidi="he-IL"/>
        </w:rPr>
        <w:t xml:space="preserve">facilitated </w:t>
      </w:r>
      <w:r w:rsidR="00280E42" w:rsidRPr="00A138E9">
        <w:rPr>
          <w:rFonts w:asciiTheme="majorBidi" w:hAnsiTheme="majorBidi" w:cstheme="majorBidi"/>
          <w:i/>
          <w:iCs/>
          <w:lang w:val="en-US" w:bidi="he-IL"/>
        </w:rPr>
        <w:t xml:space="preserve">inter alia </w:t>
      </w:r>
      <w:r w:rsidRPr="00A138E9">
        <w:rPr>
          <w:rFonts w:asciiTheme="majorBidi" w:hAnsiTheme="majorBidi" w:cstheme="majorBidi"/>
          <w:lang w:val="en-US" w:bidi="he-IL"/>
        </w:rPr>
        <w:t>by the author’s impressive proficiency in Hebrew, Arabic, and English.</w:t>
      </w:r>
    </w:p>
    <w:p w14:paraId="24BCD6C5" w14:textId="4101A870" w:rsidR="001A34EE" w:rsidRPr="00A138E9" w:rsidRDefault="001A34EE" w:rsidP="00F83878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In contrast to the </w:t>
      </w:r>
      <w:r w:rsidR="00F83878">
        <w:rPr>
          <w:rFonts w:asciiTheme="majorBidi" w:hAnsiTheme="majorBidi" w:cstheme="majorBidi"/>
          <w:lang w:val="en-US" w:bidi="he-IL"/>
        </w:rPr>
        <w:t xml:space="preserve">approach which views </w:t>
      </w:r>
      <w:r w:rsidRPr="00A138E9">
        <w:rPr>
          <w:rFonts w:asciiTheme="majorBidi" w:hAnsiTheme="majorBidi" w:cstheme="majorBidi"/>
          <w:lang w:val="en-US" w:bidi="he-IL"/>
        </w:rPr>
        <w:t xml:space="preserve">the autonomy </w:t>
      </w:r>
      <w:r w:rsidR="00F83878">
        <w:rPr>
          <w:rFonts w:asciiTheme="majorBidi" w:hAnsiTheme="majorBidi" w:cstheme="majorBidi"/>
          <w:lang w:val="en-US" w:bidi="he-IL"/>
        </w:rPr>
        <w:t>proposed</w:t>
      </w:r>
      <w:r w:rsidRPr="00A138E9">
        <w:rPr>
          <w:rFonts w:asciiTheme="majorBidi" w:hAnsiTheme="majorBidi" w:cstheme="majorBidi"/>
          <w:lang w:val="en-US" w:bidi="he-IL"/>
        </w:rPr>
        <w:t xml:space="preserve"> by Begin</w:t>
      </w:r>
      <w:r w:rsidR="00CF0D9F">
        <w:rPr>
          <w:rFonts w:asciiTheme="majorBidi" w:hAnsiTheme="majorBidi" w:cstheme="majorBidi"/>
          <w:lang w:val="en-US" w:bidi="he-IL"/>
        </w:rPr>
        <w:t>,</w:t>
      </w:r>
      <w:r w:rsidRPr="00A138E9">
        <w:rPr>
          <w:rFonts w:asciiTheme="majorBidi" w:hAnsiTheme="majorBidi" w:cstheme="majorBidi"/>
          <w:lang w:val="en-US" w:bidi="he-IL"/>
        </w:rPr>
        <w:t xml:space="preserve"> as leader of the Likud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, </w:t>
      </w:r>
      <w:r w:rsidRPr="00A138E9">
        <w:rPr>
          <w:rFonts w:asciiTheme="majorBidi" w:hAnsiTheme="majorBidi" w:cstheme="majorBidi"/>
          <w:lang w:val="en-US" w:bidi="he-IL"/>
        </w:rPr>
        <w:t xml:space="preserve">as the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initial </w:t>
      </w:r>
      <w:r w:rsidRPr="00A138E9">
        <w:rPr>
          <w:rFonts w:asciiTheme="majorBidi" w:hAnsiTheme="majorBidi" w:cstheme="majorBidi"/>
          <w:lang w:val="en-US" w:bidi="he-IL"/>
        </w:rPr>
        <w:t xml:space="preserve">breakthrough </w:t>
      </w:r>
      <w:r w:rsidR="00F83878">
        <w:rPr>
          <w:rFonts w:asciiTheme="majorBidi" w:hAnsiTheme="majorBidi" w:cstheme="majorBidi"/>
          <w:lang w:val="en-US" w:bidi="he-IL"/>
        </w:rPr>
        <w:t>which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 allowed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leaders of the Israel Labor </w:t>
      </w:r>
      <w:r w:rsidR="004A7CC9" w:rsidRPr="00A138E9">
        <w:rPr>
          <w:rFonts w:asciiTheme="majorBidi" w:hAnsiTheme="majorBidi" w:cstheme="majorBidi"/>
          <w:lang w:val="en-US" w:bidi="he-IL"/>
        </w:rPr>
        <w:t>P</w:t>
      </w:r>
      <w:r w:rsidR="00376001" w:rsidRPr="00A138E9">
        <w:rPr>
          <w:rFonts w:asciiTheme="majorBidi" w:hAnsiTheme="majorBidi" w:cstheme="majorBidi"/>
          <w:lang w:val="en-US" w:bidi="he-IL"/>
        </w:rPr>
        <w:t>arty, Yitzhak Rabin and Shimon Peres, to sign the Oslo accord</w:t>
      </w:r>
      <w:r w:rsidR="00FE765A" w:rsidRPr="00A138E9">
        <w:rPr>
          <w:rFonts w:asciiTheme="majorBidi" w:hAnsiTheme="majorBidi" w:cstheme="majorBidi"/>
          <w:lang w:val="en-US" w:bidi="he-IL"/>
        </w:rPr>
        <w:t>s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 with Yasser Arafat in 19</w:t>
      </w:r>
      <w:r w:rsidR="0096495C" w:rsidRPr="00A138E9">
        <w:rPr>
          <w:rFonts w:asciiTheme="majorBidi" w:hAnsiTheme="majorBidi" w:cstheme="majorBidi"/>
          <w:lang w:val="en-US" w:bidi="he-IL"/>
        </w:rPr>
        <w:t>9</w:t>
      </w:r>
      <w:r w:rsidR="00376001" w:rsidRPr="00A138E9">
        <w:rPr>
          <w:rFonts w:asciiTheme="majorBidi" w:hAnsiTheme="majorBidi" w:cstheme="majorBidi"/>
          <w:lang w:val="en-US" w:bidi="he-IL"/>
        </w:rPr>
        <w:t>3 (</w:t>
      </w:r>
      <w:r w:rsidR="00FE765A" w:rsidRPr="00A138E9">
        <w:rPr>
          <w:rFonts w:asciiTheme="majorBidi" w:hAnsiTheme="majorBidi" w:cstheme="majorBidi"/>
          <w:lang w:val="en-US" w:bidi="he-IL"/>
        </w:rPr>
        <w:t>and</w:t>
      </w:r>
      <w:r w:rsidR="00F83878">
        <w:rPr>
          <w:rFonts w:asciiTheme="majorBidi" w:hAnsiTheme="majorBidi" w:cstheme="majorBidi"/>
          <w:lang w:val="en-US" w:bidi="he-IL"/>
        </w:rPr>
        <w:t xml:space="preserve"> which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,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accordingly, </w:t>
      </w:r>
      <w:r w:rsidR="00BA75A6">
        <w:rPr>
          <w:rFonts w:asciiTheme="majorBidi" w:hAnsiTheme="majorBidi" w:cstheme="majorBidi"/>
          <w:lang w:val="en-US" w:bidi="he-IL"/>
        </w:rPr>
        <w:t>traces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subsequent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failure of the process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to </w:t>
      </w:r>
      <w:r w:rsidR="00BA75A6">
        <w:rPr>
          <w:rFonts w:asciiTheme="majorBidi" w:hAnsiTheme="majorBidi" w:cstheme="majorBidi"/>
          <w:lang w:val="en-US" w:bidi="he-IL"/>
        </w:rPr>
        <w:t xml:space="preserve">subsequent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events and not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to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underlying ideas </w:t>
      </w:r>
      <w:r w:rsidR="00376001" w:rsidRPr="00A138E9">
        <w:rPr>
          <w:rFonts w:asciiTheme="majorBidi" w:hAnsiTheme="majorBidi" w:cstheme="majorBidi"/>
          <w:lang w:val="en-US" w:bidi="he-IL"/>
        </w:rPr>
        <w:t>of Oslo)—Anziska’s main argument is the opp</w:t>
      </w:r>
      <w:r w:rsidR="00280E42" w:rsidRPr="00A138E9">
        <w:rPr>
          <w:rFonts w:asciiTheme="majorBidi" w:hAnsiTheme="majorBidi" w:cstheme="majorBidi"/>
          <w:lang w:val="en-US" w:bidi="he-IL"/>
        </w:rPr>
        <w:t>o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site: the Oslo accords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were indeed predicated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on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Begin’s </w:t>
      </w:r>
      <w:r w:rsidR="00376001" w:rsidRPr="00A138E9">
        <w:rPr>
          <w:rFonts w:asciiTheme="majorBidi" w:hAnsiTheme="majorBidi" w:cstheme="majorBidi"/>
          <w:lang w:val="en-US" w:bidi="he-IL"/>
        </w:rPr>
        <w:t>original</w:t>
      </w:r>
      <w:r w:rsidR="002035CD" w:rsidRPr="00A138E9">
        <w:rPr>
          <w:rFonts w:asciiTheme="majorBidi" w:hAnsiTheme="majorBidi" w:cstheme="majorBidi"/>
          <w:lang w:val="en-US" w:bidi="he-IL"/>
        </w:rPr>
        <w:t xml:space="preserve"> </w:t>
      </w:r>
      <w:r w:rsidR="004A7CC9" w:rsidRPr="00A138E9">
        <w:rPr>
          <w:rFonts w:asciiTheme="majorBidi" w:hAnsiTheme="majorBidi" w:cstheme="majorBidi"/>
          <w:lang w:val="en-US" w:bidi="he-IL"/>
        </w:rPr>
        <w:t>consent to autonomy but collapsed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 for that very reason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. </w:t>
      </w:r>
      <w:r w:rsidR="00FE765A" w:rsidRPr="00A138E9">
        <w:rPr>
          <w:rFonts w:asciiTheme="majorBidi" w:hAnsiTheme="majorBidi" w:cstheme="majorBidi"/>
          <w:lang w:val="en-US" w:bidi="he-IL"/>
        </w:rPr>
        <w:t>T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he autonomy that Begin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proposed, the author contends,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like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the version offered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to the Palestinians in the 1990s, was meant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not </w:t>
      </w:r>
      <w:r w:rsidR="004A7CC9" w:rsidRPr="00A138E9">
        <w:rPr>
          <w:rFonts w:asciiTheme="majorBidi" w:hAnsiTheme="majorBidi" w:cstheme="majorBidi"/>
          <w:lang w:val="en-US" w:bidi="he-IL"/>
        </w:rPr>
        <w:t>to evolve but to serve as a sophisticated mechanism for the prevention of Palestinian statehood.</w:t>
      </w:r>
    </w:p>
    <w:p w14:paraId="5BE315DF" w14:textId="4E8502A1" w:rsidR="004A7CC9" w:rsidRPr="00A138E9" w:rsidRDefault="004A7CC9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At the moment of truth, Begin </w:t>
      </w:r>
      <w:r w:rsidR="006E3F14">
        <w:rPr>
          <w:rFonts w:asciiTheme="majorBidi" w:hAnsiTheme="majorBidi" w:cstheme="majorBidi"/>
          <w:lang w:val="en-US" w:bidi="he-IL"/>
        </w:rPr>
        <w:t xml:space="preserve">presenting his </w:t>
      </w:r>
      <w:r w:rsidRPr="00A138E9">
        <w:rPr>
          <w:rFonts w:asciiTheme="majorBidi" w:hAnsiTheme="majorBidi" w:cstheme="majorBidi"/>
          <w:lang w:val="en-US" w:bidi="he-IL"/>
        </w:rPr>
        <w:t xml:space="preserve">autonomy plan as </w:t>
      </w:r>
      <w:r w:rsidR="006E3F14">
        <w:rPr>
          <w:rFonts w:asciiTheme="majorBidi" w:hAnsiTheme="majorBidi" w:cstheme="majorBidi"/>
          <w:lang w:val="en-US" w:bidi="he-IL"/>
        </w:rPr>
        <w:t>drawing from the writings</w:t>
      </w:r>
      <w:r w:rsidRPr="00A138E9">
        <w:rPr>
          <w:rFonts w:asciiTheme="majorBidi" w:hAnsiTheme="majorBidi" w:cstheme="majorBidi"/>
          <w:lang w:val="en-US" w:bidi="he-IL"/>
        </w:rPr>
        <w:t xml:space="preserve"> of Zeev Jabotinsky, founder of the Revisionist Zionist Movement, who, while striving for a Hebrew state with a Jewish majority, 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arguably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envisaged </w:t>
      </w:r>
      <w:r w:rsidR="00492AD5" w:rsidRPr="00A138E9">
        <w:rPr>
          <w:rFonts w:asciiTheme="majorBidi" w:hAnsiTheme="majorBidi" w:cstheme="majorBidi"/>
          <w:lang w:val="en-US" w:bidi="he-IL"/>
        </w:rPr>
        <w:t>a unique model of a Jewish state that would also be a state of all its citizens</w:t>
      </w:r>
      <w:r w:rsidR="006E3F14">
        <w:rPr>
          <w:rFonts w:asciiTheme="majorBidi" w:hAnsiTheme="majorBidi" w:cstheme="majorBidi"/>
          <w:lang w:val="en-US" w:bidi="he-IL"/>
        </w:rPr>
        <w:t>,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 </w:t>
      </w:r>
      <w:r w:rsidR="00251A0D" w:rsidRPr="00A138E9">
        <w:rPr>
          <w:rFonts w:asciiTheme="majorBidi" w:hAnsiTheme="majorBidi" w:cstheme="majorBidi"/>
          <w:lang w:val="en-US" w:bidi="he-IL"/>
        </w:rPr>
        <w:t xml:space="preserve">if not a nearly </w:t>
      </w:r>
      <w:r w:rsidR="00492AD5" w:rsidRPr="00A138E9">
        <w:rPr>
          <w:rFonts w:asciiTheme="majorBidi" w:hAnsiTheme="majorBidi" w:cstheme="majorBidi"/>
          <w:lang w:val="en-US" w:bidi="he-IL"/>
        </w:rPr>
        <w:t>binational</w:t>
      </w:r>
      <w:r w:rsidR="00251A0D" w:rsidRPr="00A138E9">
        <w:rPr>
          <w:rFonts w:asciiTheme="majorBidi" w:hAnsiTheme="majorBidi" w:cstheme="majorBidi"/>
          <w:lang w:val="en-US" w:bidi="he-IL"/>
        </w:rPr>
        <w:t xml:space="preserve"> </w:t>
      </w:r>
      <w:r w:rsidR="006A01FA" w:rsidRPr="00A138E9">
        <w:rPr>
          <w:rFonts w:asciiTheme="majorBidi" w:hAnsiTheme="majorBidi" w:cstheme="majorBidi"/>
          <w:lang w:val="en-US" w:bidi="he-IL"/>
        </w:rPr>
        <w:t>one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. Indeed, the state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that </w:t>
      </w:r>
      <w:r w:rsidR="00492AD5" w:rsidRPr="00A138E9">
        <w:rPr>
          <w:rFonts w:asciiTheme="majorBidi" w:hAnsiTheme="majorBidi" w:cstheme="majorBidi"/>
          <w:lang w:val="en-US" w:bidi="he-IL"/>
        </w:rPr>
        <w:t>Jabotinsky sought during the British Mandate was to be J</w:t>
      </w:r>
      <w:r w:rsidR="00493300" w:rsidRPr="00A138E9">
        <w:rPr>
          <w:rFonts w:asciiTheme="majorBidi" w:hAnsiTheme="majorBidi" w:cstheme="majorBidi"/>
          <w:lang w:val="en-US" w:bidi="he-IL"/>
        </w:rPr>
        <w:t>e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wish only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by dint of the Jewish </w:t>
      </w:r>
      <w:r w:rsidR="00492AD5" w:rsidRPr="00A138E9">
        <w:rPr>
          <w:rFonts w:asciiTheme="majorBidi" w:hAnsiTheme="majorBidi" w:cstheme="majorBidi"/>
          <w:lang w:val="en-US" w:bidi="he-IL"/>
        </w:rPr>
        <w:t>demographic majority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; </w:t>
      </w:r>
      <w:r w:rsidR="00492AD5" w:rsidRPr="00A138E9">
        <w:rPr>
          <w:rFonts w:asciiTheme="majorBidi" w:hAnsiTheme="majorBidi" w:cstheme="majorBidi"/>
          <w:lang w:val="en-US" w:bidi="he-IL"/>
        </w:rPr>
        <w:t>within its frame</w:t>
      </w:r>
      <w:r w:rsidR="006A01FA" w:rsidRPr="00A138E9">
        <w:rPr>
          <w:rFonts w:asciiTheme="majorBidi" w:hAnsiTheme="majorBidi" w:cstheme="majorBidi"/>
          <w:lang w:val="en-US" w:bidi="he-IL"/>
        </w:rPr>
        <w:t>,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 the Arab minority </w:t>
      </w:r>
      <w:r w:rsidR="00704B55">
        <w:rPr>
          <w:rFonts w:asciiTheme="majorBidi" w:hAnsiTheme="majorBidi" w:cstheme="majorBidi"/>
          <w:lang w:val="en-US" w:bidi="he-IL"/>
        </w:rPr>
        <w:t xml:space="preserve">would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be assured </w:t>
      </w:r>
      <w:r w:rsidR="00492AD5" w:rsidRPr="00A138E9">
        <w:rPr>
          <w:rFonts w:asciiTheme="majorBidi" w:hAnsiTheme="majorBidi" w:cstheme="majorBidi"/>
          <w:lang w:val="en-US" w:bidi="he-IL"/>
        </w:rPr>
        <w:t>equal rights and cultural-national autonomy.</w:t>
      </w:r>
      <w:r w:rsidR="00492AD5" w:rsidRPr="00A138E9">
        <w:rPr>
          <w:rStyle w:val="FootnoteReference"/>
          <w:rFonts w:asciiTheme="majorBidi" w:hAnsiTheme="majorBidi" w:cstheme="majorBidi"/>
          <w:lang w:val="en-US" w:bidi="he-IL"/>
        </w:rPr>
        <w:footnoteReference w:id="1"/>
      </w:r>
    </w:p>
    <w:p w14:paraId="0F3F1124" w14:textId="0BCB5A99" w:rsidR="00FE5C62" w:rsidRPr="00A138E9" w:rsidRDefault="00517521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/>
          <w:lang w:val="en-US" w:bidi="he-IL"/>
        </w:rPr>
        <w:lastRenderedPageBreak/>
        <w:t>I</w:t>
      </w:r>
      <w:r w:rsidR="009E12CB">
        <w:rPr>
          <w:rFonts w:asciiTheme="majorBidi" w:hAnsiTheme="majorBidi" w:cstheme="majorBidi"/>
          <w:lang w:val="en-US" w:bidi="he-IL"/>
        </w:rPr>
        <w:t xml:space="preserve">t was </w:t>
      </w:r>
      <w:r w:rsidR="00FE5C62" w:rsidRPr="00A138E9">
        <w:rPr>
          <w:rFonts w:asciiTheme="majorBidi" w:hAnsiTheme="majorBidi" w:cstheme="majorBidi"/>
          <w:lang w:val="en-US" w:bidi="he-IL"/>
        </w:rPr>
        <w:t>not only the development of the Palestinian national movement</w:t>
      </w:r>
      <w:r w:rsidR="006E3F14">
        <w:rPr>
          <w:rFonts w:asciiTheme="majorBidi" w:hAnsiTheme="majorBidi" w:cstheme="majorBidi"/>
          <w:lang w:val="en-US" w:bidi="he-IL"/>
        </w:rPr>
        <w:t xml:space="preserve"> </w:t>
      </w:r>
      <w:r w:rsidR="00FE5C62" w:rsidRPr="00A138E9">
        <w:rPr>
          <w:rFonts w:asciiTheme="majorBidi" w:hAnsiTheme="majorBidi" w:cstheme="majorBidi"/>
          <w:lang w:val="en-US" w:bidi="he-IL"/>
        </w:rPr>
        <w:t xml:space="preserve">from the Mandate era to the late 1970s, </w:t>
      </w:r>
      <w:r>
        <w:rPr>
          <w:rFonts w:asciiTheme="majorBidi" w:hAnsiTheme="majorBidi" w:cstheme="majorBidi"/>
          <w:lang w:val="en-US" w:bidi="he-IL"/>
        </w:rPr>
        <w:t xml:space="preserve">as well as </w:t>
      </w:r>
      <w:r w:rsidR="00FE5C62" w:rsidRPr="00A138E9">
        <w:rPr>
          <w:rFonts w:asciiTheme="majorBidi" w:hAnsiTheme="majorBidi" w:cstheme="majorBidi"/>
          <w:lang w:val="en-US" w:bidi="he-IL"/>
        </w:rPr>
        <w:t xml:space="preserve">the historical circumstances that </w:t>
      </w:r>
      <w:r>
        <w:rPr>
          <w:rFonts w:asciiTheme="majorBidi" w:hAnsiTheme="majorBidi" w:cstheme="majorBidi"/>
          <w:lang w:val="en-US" w:bidi="he-IL"/>
        </w:rPr>
        <w:t>had</w:t>
      </w:r>
      <w:r w:rsidR="00FE5C62" w:rsidRPr="00A138E9">
        <w:rPr>
          <w:rFonts w:asciiTheme="majorBidi" w:hAnsiTheme="majorBidi" w:cstheme="majorBidi"/>
          <w:lang w:val="en-US" w:bidi="he-IL"/>
        </w:rPr>
        <w:t xml:space="preserve"> changed since Jabotinsky’s time</w:t>
      </w:r>
      <w:r>
        <w:rPr>
          <w:rFonts w:asciiTheme="majorBidi" w:hAnsiTheme="majorBidi" w:cstheme="majorBidi"/>
          <w:lang w:val="en-US" w:bidi="he-IL"/>
        </w:rPr>
        <w:t>,</w:t>
      </w:r>
      <w:r w:rsidR="00620A4F">
        <w:rPr>
          <w:rFonts w:asciiTheme="majorBidi" w:hAnsiTheme="majorBidi" w:cstheme="majorBidi"/>
          <w:lang w:val="en-US" w:bidi="he-IL"/>
        </w:rPr>
        <w:t xml:space="preserve"> </w:t>
      </w:r>
      <w:r w:rsidR="009E12CB">
        <w:rPr>
          <w:rFonts w:asciiTheme="majorBidi" w:hAnsiTheme="majorBidi" w:cstheme="majorBidi"/>
          <w:lang w:val="en-US" w:bidi="he-IL"/>
        </w:rPr>
        <w:t xml:space="preserve">that </w:t>
      </w:r>
      <w:r w:rsidR="00FE5C62" w:rsidRPr="00A138E9">
        <w:rPr>
          <w:rFonts w:asciiTheme="majorBidi" w:hAnsiTheme="majorBidi" w:cstheme="majorBidi"/>
          <w:lang w:val="en-US" w:bidi="he-IL"/>
        </w:rPr>
        <w:t xml:space="preserve">made </w:t>
      </w:r>
      <w:proofErr w:type="spellStart"/>
      <w:r w:rsidR="00FE5C62" w:rsidRPr="00A138E9">
        <w:rPr>
          <w:rFonts w:asciiTheme="majorBidi" w:hAnsiTheme="majorBidi" w:cstheme="majorBidi"/>
          <w:lang w:val="en-US" w:bidi="he-IL"/>
        </w:rPr>
        <w:t>Begin’s</w:t>
      </w:r>
      <w:proofErr w:type="spellEnd"/>
      <w:r w:rsidR="00FE5C62" w:rsidRPr="00A138E9">
        <w:rPr>
          <w:rFonts w:asciiTheme="majorBidi" w:hAnsiTheme="majorBidi" w:cstheme="majorBidi"/>
          <w:lang w:val="en-US" w:bidi="he-IL"/>
        </w:rPr>
        <w:t xml:space="preserve"> offer of autonomy inadequate for the Palestinians. In fact, </w:t>
      </w:r>
      <w:r w:rsidR="007059E5">
        <w:rPr>
          <w:rFonts w:asciiTheme="majorBidi" w:hAnsiTheme="majorBidi" w:cstheme="majorBidi"/>
          <w:lang w:val="en-US" w:bidi="he-IL"/>
        </w:rPr>
        <w:t xml:space="preserve">as </w:t>
      </w:r>
      <w:r w:rsidR="00A6095A" w:rsidRPr="00A138E9">
        <w:rPr>
          <w:rFonts w:asciiTheme="majorBidi" w:hAnsiTheme="majorBidi" w:cstheme="majorBidi"/>
          <w:lang w:val="en-US" w:bidi="he-IL"/>
        </w:rPr>
        <w:t>Anziska proves, Begin invoked Jabotinsky</w:t>
      </w:r>
      <w:r w:rsidR="007059E5">
        <w:rPr>
          <w:rFonts w:asciiTheme="majorBidi" w:hAnsiTheme="majorBidi" w:cstheme="majorBidi"/>
          <w:lang w:val="en-US" w:bidi="he-IL"/>
        </w:rPr>
        <w:t xml:space="preserve">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to offer </w:t>
      </w:r>
      <w:r w:rsidR="007059E5" w:rsidRPr="00A138E9">
        <w:rPr>
          <w:rFonts w:asciiTheme="majorBidi" w:hAnsiTheme="majorBidi" w:cstheme="majorBidi"/>
          <w:lang w:val="en-US" w:bidi="he-IL"/>
        </w:rPr>
        <w:t xml:space="preserve">a different kind </w:t>
      </w:r>
      <w:r w:rsidR="007059E5">
        <w:rPr>
          <w:rFonts w:asciiTheme="majorBidi" w:hAnsiTheme="majorBidi" w:cstheme="majorBidi"/>
          <w:lang w:val="en-US" w:bidi="he-IL"/>
        </w:rPr>
        <w:t xml:space="preserve">of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autonomy, </w:t>
      </w:r>
      <w:r w:rsidR="0076314B">
        <w:rPr>
          <w:rFonts w:asciiTheme="majorBidi" w:hAnsiTheme="majorBidi" w:cstheme="majorBidi"/>
          <w:lang w:val="en-US" w:bidi="he-IL"/>
        </w:rPr>
        <w:t xml:space="preserve">a strictly </w:t>
      </w:r>
      <w:r w:rsidR="00A6095A" w:rsidRPr="00A138E9">
        <w:rPr>
          <w:rFonts w:asciiTheme="majorBidi" w:hAnsiTheme="majorBidi" w:cstheme="majorBidi"/>
          <w:lang w:val="en-US" w:bidi="he-IL"/>
        </w:rPr>
        <w:t>administrative</w:t>
      </w:r>
      <w:r w:rsidR="0076314B">
        <w:rPr>
          <w:rFonts w:asciiTheme="majorBidi" w:hAnsiTheme="majorBidi" w:cstheme="majorBidi"/>
          <w:lang w:val="en-US" w:bidi="he-IL"/>
        </w:rPr>
        <w:t xml:space="preserve"> version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that </w:t>
      </w:r>
      <w:r w:rsidR="0076314B">
        <w:rPr>
          <w:rFonts w:asciiTheme="majorBidi" w:hAnsiTheme="majorBidi" w:cstheme="majorBidi"/>
          <w:lang w:val="en-US" w:bidi="he-IL"/>
        </w:rPr>
        <w:t xml:space="preserve">withheld from </w:t>
      </w:r>
      <w:r w:rsidR="00A6095A" w:rsidRPr="00A138E9">
        <w:rPr>
          <w:rFonts w:asciiTheme="majorBidi" w:hAnsiTheme="majorBidi" w:cstheme="majorBidi"/>
          <w:lang w:val="en-US" w:bidi="he-IL"/>
        </w:rPr>
        <w:t>Palest</w:t>
      </w:r>
      <w:r w:rsidR="00070252" w:rsidRPr="00A138E9">
        <w:rPr>
          <w:rFonts w:asciiTheme="majorBidi" w:hAnsiTheme="majorBidi" w:cstheme="majorBidi"/>
          <w:lang w:val="en-US" w:bidi="he-IL"/>
        </w:rPr>
        <w:t>i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nians </w:t>
      </w:r>
      <w:r w:rsidR="0076314B">
        <w:rPr>
          <w:rFonts w:asciiTheme="majorBidi" w:hAnsiTheme="majorBidi" w:cstheme="majorBidi"/>
          <w:lang w:val="en-US" w:bidi="he-IL"/>
        </w:rPr>
        <w:t xml:space="preserve">all recognition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as a distinct </w:t>
      </w:r>
      <w:r w:rsidR="007059E5">
        <w:rPr>
          <w:rFonts w:asciiTheme="majorBidi" w:hAnsiTheme="majorBidi" w:cstheme="majorBidi"/>
          <w:lang w:val="en-US" w:bidi="he-IL"/>
        </w:rPr>
        <w:t>nationality (the accord</w:t>
      </w:r>
      <w:r w:rsidR="0076314B">
        <w:rPr>
          <w:rFonts w:asciiTheme="majorBidi" w:hAnsiTheme="majorBidi" w:cstheme="majorBidi"/>
          <w:lang w:val="en-US" w:bidi="he-IL"/>
        </w:rPr>
        <w:t xml:space="preserve"> refers to them as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“the inhabitants of Judea, Samaria, and the Gaza District”). And even though the autonomy </w:t>
      </w:r>
      <w:r w:rsidR="00DF262E">
        <w:rPr>
          <w:rFonts w:asciiTheme="majorBidi" w:hAnsiTheme="majorBidi" w:cstheme="majorBidi"/>
          <w:lang w:val="en-US" w:bidi="he-IL"/>
        </w:rPr>
        <w:t xml:space="preserve">framework </w:t>
      </w:r>
      <w:r w:rsidR="0076314B">
        <w:rPr>
          <w:rFonts w:asciiTheme="majorBidi" w:hAnsiTheme="majorBidi" w:cstheme="majorBidi"/>
          <w:lang w:val="en-US" w:bidi="he-IL"/>
        </w:rPr>
        <w:t xml:space="preserve">invited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the Palestinians to apply for Israeli citizenship 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and participate in elections for the Israeli parliament, the true intention was to give them Jordanian citizenship under Israeli rule. </w:t>
      </w:r>
      <w:r w:rsidR="009D3825" w:rsidRPr="00A138E9">
        <w:rPr>
          <w:rFonts w:asciiTheme="majorBidi" w:hAnsiTheme="majorBidi" w:cstheme="majorBidi"/>
          <w:lang w:val="en-US" w:bidi="he-IL"/>
        </w:rPr>
        <w:t>Above all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, Anziska </w:t>
      </w:r>
      <w:r w:rsidR="0076314B">
        <w:rPr>
          <w:rFonts w:asciiTheme="majorBidi" w:hAnsiTheme="majorBidi" w:cstheme="majorBidi"/>
          <w:lang w:val="en-US" w:bidi="he-IL"/>
        </w:rPr>
        <w:t>states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, the </w:t>
      </w:r>
      <w:r w:rsidR="0076314B">
        <w:rPr>
          <w:rFonts w:asciiTheme="majorBidi" w:hAnsiTheme="majorBidi" w:cstheme="majorBidi"/>
          <w:lang w:val="en-US" w:bidi="he-IL"/>
        </w:rPr>
        <w:t xml:space="preserve">goal of the </w:t>
      </w:r>
      <w:r w:rsidR="00070252" w:rsidRPr="00A138E9">
        <w:rPr>
          <w:rFonts w:asciiTheme="majorBidi" w:hAnsiTheme="majorBidi" w:cstheme="majorBidi"/>
          <w:lang w:val="en-US" w:bidi="he-IL"/>
        </w:rPr>
        <w:t>autonomy scheme—</w:t>
      </w:r>
      <w:r w:rsidR="009D3825" w:rsidRPr="00A138E9">
        <w:rPr>
          <w:rFonts w:asciiTheme="majorBidi" w:hAnsiTheme="majorBidi" w:cstheme="majorBidi"/>
          <w:lang w:val="en-US" w:bidi="he-IL"/>
        </w:rPr>
        <w:t xml:space="preserve">which assured 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Jews the right to continue “acquiring land and settling in </w:t>
      </w:r>
      <w:r w:rsidR="00230A39" w:rsidRPr="00A138E9">
        <w:rPr>
          <w:rFonts w:asciiTheme="majorBidi" w:hAnsiTheme="majorBidi" w:cstheme="majorBidi"/>
          <w:lang w:val="en-US" w:bidi="he-IL"/>
        </w:rPr>
        <w:t>Judea, Samaria, and the Gaza District”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 (p. 99)—</w:t>
      </w:r>
      <w:r w:rsidR="0076314B">
        <w:rPr>
          <w:rFonts w:asciiTheme="majorBidi" w:hAnsiTheme="majorBidi" w:cstheme="majorBidi"/>
          <w:lang w:val="en-US" w:bidi="he-IL"/>
        </w:rPr>
        <w:t xml:space="preserve">was 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to </w:t>
      </w:r>
      <w:r w:rsidR="0076314B">
        <w:rPr>
          <w:rFonts w:asciiTheme="majorBidi" w:hAnsiTheme="majorBidi" w:cstheme="majorBidi"/>
          <w:lang w:val="en-US" w:bidi="he-IL"/>
        </w:rPr>
        <w:t xml:space="preserve">establish permanent </w:t>
      </w:r>
      <w:r w:rsidR="001409BB" w:rsidRPr="00A138E9">
        <w:rPr>
          <w:rFonts w:asciiTheme="majorBidi" w:hAnsiTheme="majorBidi" w:cstheme="majorBidi"/>
          <w:lang w:val="en-US" w:bidi="he-IL"/>
        </w:rPr>
        <w:t>Israeli rule in the territories</w:t>
      </w:r>
      <w:r w:rsidR="00C858AD">
        <w:rPr>
          <w:rFonts w:asciiTheme="majorBidi" w:hAnsiTheme="majorBidi" w:cstheme="majorBidi"/>
          <w:lang w:val="en-US" w:bidi="he-IL"/>
        </w:rPr>
        <w:t>,</w:t>
      </w:r>
      <w:r w:rsidR="0076314B">
        <w:rPr>
          <w:rFonts w:asciiTheme="majorBidi" w:hAnsiTheme="majorBidi" w:cstheme="majorBidi"/>
          <w:lang w:val="en-US" w:bidi="he-IL"/>
        </w:rPr>
        <w:t xml:space="preserve"> with 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independent Palestinian management of internal affairs. In his epilogue, Ansizka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shows </w:t>
      </w:r>
      <w:r w:rsidR="0076314B">
        <w:rPr>
          <w:rFonts w:asciiTheme="majorBidi" w:hAnsiTheme="majorBidi" w:cstheme="majorBidi"/>
          <w:lang w:val="en-US" w:bidi="he-IL"/>
        </w:rPr>
        <w:t xml:space="preserve">adroitly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how the architects of Oslo </w:t>
      </w:r>
      <w:r w:rsidR="0076314B">
        <w:rPr>
          <w:rFonts w:asciiTheme="majorBidi" w:hAnsiTheme="majorBidi" w:cstheme="majorBidi"/>
          <w:lang w:val="en-US" w:bidi="he-IL"/>
        </w:rPr>
        <w:t xml:space="preserve">aspired to </w:t>
      </w:r>
      <w:r w:rsidR="0012344B" w:rsidRPr="00A138E9">
        <w:rPr>
          <w:rFonts w:asciiTheme="majorBidi" w:hAnsiTheme="majorBidi" w:cstheme="majorBidi"/>
          <w:lang w:val="en-US" w:bidi="he-IL"/>
        </w:rPr>
        <w:t>the same goal</w:t>
      </w:r>
      <w:r w:rsidR="0076314B">
        <w:rPr>
          <w:rFonts w:asciiTheme="majorBidi" w:hAnsiTheme="majorBidi" w:cstheme="majorBidi"/>
          <w:lang w:val="en-US" w:bidi="he-IL"/>
        </w:rPr>
        <w:t xml:space="preserve"> but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 with one difference: </w:t>
      </w:r>
      <w:r w:rsidR="0076314B">
        <w:rPr>
          <w:rFonts w:asciiTheme="majorBidi" w:hAnsiTheme="majorBidi" w:cstheme="majorBidi"/>
          <w:lang w:val="en-US" w:bidi="he-IL"/>
        </w:rPr>
        <w:t xml:space="preserve">they were willing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to </w:t>
      </w:r>
      <w:r w:rsidR="00C858AD">
        <w:rPr>
          <w:rFonts w:asciiTheme="majorBidi" w:hAnsiTheme="majorBidi" w:cstheme="majorBidi"/>
          <w:lang w:val="en-US" w:bidi="he-IL"/>
        </w:rPr>
        <w:t xml:space="preserve">engage in </w:t>
      </w:r>
      <w:r w:rsidR="0012344B" w:rsidRPr="00A138E9">
        <w:rPr>
          <w:rFonts w:asciiTheme="majorBidi" w:hAnsiTheme="majorBidi" w:cstheme="majorBidi"/>
          <w:lang w:val="en-US" w:bidi="he-IL"/>
        </w:rPr>
        <w:t>dialogue with the PLO.</w:t>
      </w:r>
    </w:p>
    <w:p w14:paraId="111124E5" w14:textId="3B722BBD" w:rsidR="00D948E3" w:rsidRPr="00A138E9" w:rsidRDefault="0076314B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/>
          <w:lang w:val="en-US" w:bidi="he-IL"/>
        </w:rPr>
        <w:t xml:space="preserve">Thus, as </w:t>
      </w:r>
      <w:r w:rsidR="0012344B" w:rsidRPr="00A138E9">
        <w:rPr>
          <w:rFonts w:asciiTheme="majorBidi" w:hAnsiTheme="majorBidi" w:cstheme="majorBidi"/>
          <w:lang w:val="en-US" w:bidi="he-IL"/>
        </w:rPr>
        <w:t>Jabotinsky</w:t>
      </w:r>
      <w:r>
        <w:rPr>
          <w:rFonts w:asciiTheme="majorBidi" w:hAnsiTheme="majorBidi" w:cstheme="majorBidi"/>
          <w:lang w:val="en-US" w:bidi="he-IL"/>
        </w:rPr>
        <w:t xml:space="preserve">’s idea </w:t>
      </w:r>
      <w:r w:rsidR="0012344B" w:rsidRPr="00A138E9">
        <w:rPr>
          <w:rFonts w:asciiTheme="majorBidi" w:hAnsiTheme="majorBidi" w:cstheme="majorBidi"/>
          <w:lang w:val="en-US" w:bidi="he-IL"/>
        </w:rPr>
        <w:t>metamorphose</w:t>
      </w:r>
      <w:r>
        <w:rPr>
          <w:rFonts w:asciiTheme="majorBidi" w:hAnsiTheme="majorBidi" w:cstheme="majorBidi"/>
          <w:lang w:val="en-US" w:bidi="he-IL"/>
        </w:rPr>
        <w:t>d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 from the 1950s to the late twentieth century</w:t>
      </w:r>
      <w:r>
        <w:rPr>
          <w:rFonts w:asciiTheme="majorBidi" w:hAnsiTheme="majorBidi" w:cstheme="majorBidi"/>
          <w:lang w:val="en-US" w:bidi="he-IL"/>
        </w:rPr>
        <w:t xml:space="preserve">, it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was </w:t>
      </w:r>
      <w:r>
        <w:rPr>
          <w:rFonts w:asciiTheme="majorBidi" w:hAnsiTheme="majorBidi" w:cstheme="majorBidi"/>
          <w:lang w:val="en-US" w:bidi="he-IL"/>
        </w:rPr>
        <w:t xml:space="preserve">gutted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of its content. Furthermore, since Jabotinsky </w:t>
      </w:r>
      <w:r>
        <w:rPr>
          <w:rFonts w:asciiTheme="majorBidi" w:hAnsiTheme="majorBidi" w:cstheme="majorBidi"/>
          <w:lang w:val="en-US" w:bidi="he-IL"/>
        </w:rPr>
        <w:t xml:space="preserve">deemed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national affiliation a matter of </w:t>
      </w:r>
      <w:r w:rsidRPr="00A138E9">
        <w:rPr>
          <w:rFonts w:asciiTheme="majorBidi" w:hAnsiTheme="majorBidi" w:cstheme="majorBidi"/>
          <w:lang w:val="en-US" w:bidi="he-IL"/>
        </w:rPr>
        <w:t xml:space="preserve">subjective </w:t>
      </w:r>
      <w:r w:rsidR="0012344B" w:rsidRPr="00A138E9">
        <w:rPr>
          <w:rFonts w:asciiTheme="majorBidi" w:hAnsiTheme="majorBidi" w:cstheme="majorBidi"/>
          <w:lang w:val="en-US" w:bidi="he-IL"/>
        </w:rPr>
        <w:t>conscience,</w:t>
      </w:r>
      <w:r w:rsidR="0012344B" w:rsidRPr="00A138E9">
        <w:rPr>
          <w:rStyle w:val="FootnoteReference"/>
          <w:rFonts w:asciiTheme="majorBidi" w:hAnsiTheme="majorBidi" w:cstheme="majorBidi"/>
          <w:lang w:val="en-US" w:bidi="he-IL"/>
        </w:rPr>
        <w:footnoteReference w:id="2"/>
      </w:r>
      <w:r w:rsidR="004257B5" w:rsidRPr="00A138E9">
        <w:rPr>
          <w:rFonts w:asciiTheme="majorBidi" w:hAnsiTheme="majorBidi" w:cstheme="majorBidi"/>
          <w:lang w:val="en-US" w:bidi="he-IL"/>
        </w:rPr>
        <w:t xml:space="preserve"> he was willing to recognize distinct Palestinian nation</w:t>
      </w:r>
      <w:r>
        <w:rPr>
          <w:rFonts w:asciiTheme="majorBidi" w:hAnsiTheme="majorBidi" w:cstheme="majorBidi"/>
          <w:lang w:val="en-US" w:bidi="he-IL"/>
        </w:rPr>
        <w:t>hood</w:t>
      </w:r>
      <w:r w:rsidR="004257B5" w:rsidRPr="00A138E9">
        <w:rPr>
          <w:rFonts w:asciiTheme="majorBidi" w:hAnsiTheme="majorBidi" w:cstheme="majorBidi"/>
          <w:lang w:val="en-US" w:bidi="he-IL"/>
        </w:rPr>
        <w:t xml:space="preserve"> even at a time when many Palestinians considered themselves part of the Arab nation</w:t>
      </w:r>
      <w:r>
        <w:rPr>
          <w:rFonts w:asciiTheme="majorBidi" w:hAnsiTheme="majorBidi" w:cstheme="majorBidi"/>
          <w:lang w:val="en-US" w:bidi="he-IL"/>
        </w:rPr>
        <w:t xml:space="preserve">. </w:t>
      </w:r>
      <w:r w:rsidR="004257B5" w:rsidRPr="00A138E9">
        <w:rPr>
          <w:rFonts w:asciiTheme="majorBidi" w:hAnsiTheme="majorBidi" w:cstheme="majorBidi"/>
          <w:lang w:val="en-US" w:bidi="he-IL"/>
        </w:rPr>
        <w:t>Begin</w:t>
      </w:r>
      <w:r>
        <w:rPr>
          <w:rFonts w:asciiTheme="majorBidi" w:hAnsiTheme="majorBidi" w:cstheme="majorBidi"/>
          <w:lang w:val="en-US" w:bidi="he-IL"/>
        </w:rPr>
        <w:t>, in contrast,</w:t>
      </w:r>
      <w:r w:rsidR="004257B5" w:rsidRPr="00A138E9">
        <w:rPr>
          <w:rFonts w:asciiTheme="majorBidi" w:hAnsiTheme="majorBidi" w:cstheme="majorBidi"/>
          <w:lang w:val="en-US" w:bidi="he-IL"/>
        </w:rPr>
        <w:t xml:space="preserve"> refused to afford them national recognition even at the time of Camp David, decades after the Palestinian national movement </w:t>
      </w:r>
      <w:r w:rsidR="00C31071">
        <w:rPr>
          <w:rFonts w:asciiTheme="majorBidi" w:hAnsiTheme="majorBidi" w:cstheme="majorBidi"/>
          <w:lang w:val="en-US" w:bidi="he-IL"/>
        </w:rPr>
        <w:t xml:space="preserve">had solidified </w:t>
      </w:r>
      <w:r>
        <w:rPr>
          <w:rFonts w:asciiTheme="majorBidi" w:hAnsiTheme="majorBidi" w:cstheme="majorBidi"/>
          <w:lang w:val="en-US" w:bidi="he-IL"/>
        </w:rPr>
        <w:t xml:space="preserve">and received </w:t>
      </w:r>
      <w:r w:rsidR="004257B5" w:rsidRPr="00A138E9">
        <w:rPr>
          <w:rFonts w:asciiTheme="majorBidi" w:hAnsiTheme="majorBidi" w:cstheme="majorBidi"/>
          <w:lang w:val="en-US" w:bidi="he-IL"/>
        </w:rPr>
        <w:t>international legitimation. In Anziska</w:t>
      </w:r>
      <w:r w:rsidR="009D3825" w:rsidRPr="00A138E9">
        <w:rPr>
          <w:rFonts w:asciiTheme="majorBidi" w:hAnsiTheme="majorBidi" w:cstheme="majorBidi"/>
          <w:lang w:val="en-US" w:bidi="he-IL"/>
        </w:rPr>
        <w:t xml:space="preserve">’s opinion,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it is not by chance that </w:t>
      </w:r>
      <w:r w:rsidR="00C31071">
        <w:rPr>
          <w:rFonts w:asciiTheme="majorBidi" w:hAnsiTheme="majorBidi" w:cstheme="majorBidi"/>
          <w:lang w:val="en-US" w:bidi="he-IL"/>
        </w:rPr>
        <w:t xml:space="preserve">Begin’s offer of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autonomy was </w:t>
      </w:r>
      <w:r w:rsidR="00C31071">
        <w:rPr>
          <w:rFonts w:asciiTheme="majorBidi" w:hAnsiTheme="majorBidi" w:cstheme="majorBidi"/>
          <w:lang w:val="en-US" w:bidi="he-IL"/>
        </w:rPr>
        <w:t xml:space="preserve">extended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in the late 1970s, since those were years in which the PLO underwent a process of de-radicalization and </w:t>
      </w:r>
      <w:r w:rsidR="00C31071">
        <w:rPr>
          <w:rFonts w:asciiTheme="majorBidi" w:hAnsiTheme="majorBidi" w:cstheme="majorBidi"/>
          <w:lang w:val="en-US" w:bidi="he-IL"/>
        </w:rPr>
        <w:t xml:space="preserve">entertained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a discourse about the two-state vision (p. 173). </w:t>
      </w:r>
      <w:r w:rsidR="00C31071">
        <w:rPr>
          <w:rFonts w:asciiTheme="majorBidi" w:hAnsiTheme="majorBidi" w:cstheme="majorBidi"/>
          <w:lang w:val="en-US" w:bidi="he-IL"/>
        </w:rPr>
        <w:t>Thus, t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he </w:t>
      </w:r>
      <w:r w:rsidR="001D5160">
        <w:rPr>
          <w:rFonts w:asciiTheme="majorBidi" w:hAnsiTheme="majorBidi" w:cstheme="majorBidi"/>
          <w:lang w:val="en-US" w:bidi="he-IL"/>
        </w:rPr>
        <w:t xml:space="preserve">idea behind the </w:t>
      </w:r>
      <w:r w:rsidR="00541325" w:rsidRPr="00A138E9">
        <w:rPr>
          <w:rFonts w:asciiTheme="majorBidi" w:hAnsiTheme="majorBidi" w:cstheme="majorBidi"/>
          <w:lang w:val="en-US" w:bidi="he-IL"/>
        </w:rPr>
        <w:t>autonomy</w:t>
      </w:r>
      <w:r w:rsidR="00C31071">
        <w:rPr>
          <w:rFonts w:asciiTheme="majorBidi" w:hAnsiTheme="majorBidi" w:cstheme="majorBidi"/>
          <w:lang w:val="en-US" w:bidi="he-IL"/>
        </w:rPr>
        <w:t xml:space="preserve"> offer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was to deprive them of the possibility of developing as an independent state with the </w:t>
      </w:r>
      <w:r w:rsidR="00C31071">
        <w:rPr>
          <w:rFonts w:asciiTheme="majorBidi" w:hAnsiTheme="majorBidi" w:cstheme="majorBidi"/>
          <w:lang w:val="en-US" w:bidi="he-IL"/>
        </w:rPr>
        <w:t xml:space="preserve">support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of </w:t>
      </w:r>
      <w:r w:rsidR="00C31071">
        <w:rPr>
          <w:rFonts w:asciiTheme="majorBidi" w:hAnsiTheme="majorBidi" w:cstheme="majorBidi"/>
          <w:lang w:val="en-US" w:bidi="he-IL"/>
        </w:rPr>
        <w:t>the</w:t>
      </w:r>
      <w:r w:rsidR="00C31071" w:rsidRPr="00C31071">
        <w:rPr>
          <w:rFonts w:asciiTheme="majorBidi" w:hAnsiTheme="majorBidi" w:cstheme="majorBidi"/>
          <w:lang w:val="en-US" w:bidi="he-IL"/>
        </w:rPr>
        <w:t xml:space="preserve"> </w:t>
      </w:r>
      <w:r w:rsidR="00C31071" w:rsidRPr="00A138E9">
        <w:rPr>
          <w:rFonts w:asciiTheme="majorBidi" w:hAnsiTheme="majorBidi" w:cstheme="majorBidi"/>
          <w:lang w:val="en-US" w:bidi="he-IL"/>
        </w:rPr>
        <w:t xml:space="preserve">U.S. administration </w:t>
      </w:r>
      <w:r w:rsidR="00C31071">
        <w:rPr>
          <w:rFonts w:asciiTheme="majorBidi" w:hAnsiTheme="majorBidi" w:cstheme="majorBidi"/>
          <w:lang w:val="en-US" w:bidi="he-IL"/>
        </w:rPr>
        <w:t xml:space="preserve">under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Jimmy Carter, who </w:t>
      </w:r>
      <w:r w:rsidR="001F6DAC">
        <w:rPr>
          <w:rFonts w:asciiTheme="majorBidi" w:hAnsiTheme="majorBidi" w:cstheme="majorBidi"/>
          <w:lang w:val="en-US" w:bidi="he-IL"/>
        </w:rPr>
        <w:t xml:space="preserve">was inclined toward understanding the need to establish a Palestinian state.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Anziska’s </w:t>
      </w:r>
      <w:r w:rsidR="00D948E3" w:rsidRPr="00A138E9">
        <w:rPr>
          <w:rFonts w:asciiTheme="majorBidi" w:hAnsiTheme="majorBidi" w:cstheme="majorBidi"/>
          <w:lang w:val="en-US" w:bidi="he-IL"/>
        </w:rPr>
        <w:t xml:space="preserve">fluency in Arabic </w:t>
      </w:r>
      <w:r w:rsidR="001F01E6">
        <w:rPr>
          <w:rFonts w:asciiTheme="majorBidi" w:hAnsiTheme="majorBidi" w:cstheme="majorBidi"/>
          <w:lang w:val="en-US" w:bidi="he-IL"/>
        </w:rPr>
        <w:t>enables</w:t>
      </w:r>
      <w:r w:rsidR="00D948E3" w:rsidRPr="00A138E9">
        <w:rPr>
          <w:rFonts w:asciiTheme="majorBidi" w:hAnsiTheme="majorBidi" w:cstheme="majorBidi"/>
          <w:lang w:val="en-US" w:bidi="he-IL"/>
        </w:rPr>
        <w:t xml:space="preserve"> him to show how the Egyptians</w:t>
      </w:r>
      <w:r w:rsidR="001F01E6">
        <w:rPr>
          <w:rFonts w:asciiTheme="majorBidi" w:hAnsiTheme="majorBidi" w:cstheme="majorBidi"/>
          <w:lang w:val="en-US" w:bidi="he-IL"/>
        </w:rPr>
        <w:t>,</w:t>
      </w:r>
      <w:r w:rsidR="00EC2E57">
        <w:rPr>
          <w:rFonts w:asciiTheme="majorBidi" w:hAnsiTheme="majorBidi" w:cstheme="majorBidi"/>
          <w:lang w:val="en-US" w:bidi="he-IL"/>
        </w:rPr>
        <w:t xml:space="preserve"> </w:t>
      </w:r>
      <w:r w:rsidR="00D948E3" w:rsidRPr="00A138E9">
        <w:rPr>
          <w:rFonts w:asciiTheme="majorBidi" w:hAnsiTheme="majorBidi" w:cstheme="majorBidi"/>
          <w:lang w:val="en-US" w:bidi="he-IL"/>
        </w:rPr>
        <w:t>who ostensibly represented Palestinian interest</w:t>
      </w:r>
      <w:r w:rsidR="00EC2E57">
        <w:rPr>
          <w:rFonts w:asciiTheme="majorBidi" w:hAnsiTheme="majorBidi" w:cstheme="majorBidi"/>
          <w:lang w:val="en-US" w:bidi="he-IL"/>
        </w:rPr>
        <w:t>s</w:t>
      </w:r>
      <w:r w:rsidR="00D948E3" w:rsidRPr="00A138E9">
        <w:rPr>
          <w:rFonts w:asciiTheme="majorBidi" w:hAnsiTheme="majorBidi" w:cstheme="majorBidi"/>
          <w:lang w:val="en-US" w:bidi="he-IL"/>
        </w:rPr>
        <w:t xml:space="preserve"> at Camp David, shared Begin’s wish to </w:t>
      </w:r>
      <w:r w:rsidR="00EC2E57">
        <w:rPr>
          <w:rFonts w:asciiTheme="majorBidi" w:hAnsiTheme="majorBidi" w:cstheme="majorBidi"/>
          <w:lang w:val="en-US" w:bidi="he-IL"/>
        </w:rPr>
        <w:t xml:space="preserve">thwart </w:t>
      </w:r>
      <w:r w:rsidR="00D948E3" w:rsidRPr="00A138E9">
        <w:rPr>
          <w:rFonts w:asciiTheme="majorBidi" w:hAnsiTheme="majorBidi" w:cstheme="majorBidi"/>
          <w:lang w:val="en-US" w:bidi="he-IL"/>
        </w:rPr>
        <w:t>Palestinian statehood.</w:t>
      </w:r>
    </w:p>
    <w:p w14:paraId="47300E22" w14:textId="6DCE36BA" w:rsidR="006F4BB6" w:rsidRPr="00A138E9" w:rsidRDefault="00D948E3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rtl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lastRenderedPageBreak/>
        <w:t xml:space="preserve">The conclusion of this important book is </w:t>
      </w:r>
      <w:r w:rsidR="00F83A99">
        <w:rPr>
          <w:rFonts w:asciiTheme="majorBidi" w:hAnsiTheme="majorBidi" w:cstheme="majorBidi"/>
          <w:lang w:val="en-US" w:bidi="he-IL"/>
        </w:rPr>
        <w:t>a gloomy one</w:t>
      </w:r>
      <w:r w:rsidRPr="00A138E9">
        <w:rPr>
          <w:rFonts w:asciiTheme="majorBidi" w:hAnsiTheme="majorBidi" w:cstheme="majorBidi"/>
          <w:lang w:val="en-US" w:bidi="he-IL"/>
        </w:rPr>
        <w:t xml:space="preserve">: the </w:t>
      </w:r>
      <w:r w:rsidR="00011392">
        <w:rPr>
          <w:rFonts w:asciiTheme="majorBidi" w:hAnsiTheme="majorBidi" w:cstheme="majorBidi"/>
          <w:lang w:val="en-US" w:bidi="he-IL"/>
        </w:rPr>
        <w:t>g</w:t>
      </w:r>
      <w:r w:rsidRPr="00A138E9">
        <w:rPr>
          <w:rFonts w:asciiTheme="majorBidi" w:hAnsiTheme="majorBidi" w:cstheme="majorBidi"/>
          <w:lang w:val="en-US" w:bidi="he-IL"/>
        </w:rPr>
        <w:t xml:space="preserve">overnments of Israel have managed to </w:t>
      </w:r>
      <w:r w:rsidR="00011392">
        <w:rPr>
          <w:rFonts w:asciiTheme="majorBidi" w:hAnsiTheme="majorBidi" w:cstheme="majorBidi"/>
          <w:lang w:val="en-US" w:bidi="he-IL"/>
        </w:rPr>
        <w:t xml:space="preserve">throttle </w:t>
      </w:r>
      <w:r w:rsidRPr="00A138E9">
        <w:rPr>
          <w:rFonts w:asciiTheme="majorBidi" w:hAnsiTheme="majorBidi" w:cstheme="majorBidi"/>
          <w:lang w:val="en-US" w:bidi="he-IL"/>
        </w:rPr>
        <w:t xml:space="preserve">the two-state vision, but </w:t>
      </w:r>
      <w:r w:rsidR="00CC33FD" w:rsidRPr="00A138E9">
        <w:rPr>
          <w:rFonts w:asciiTheme="majorBidi" w:hAnsiTheme="majorBidi" w:cstheme="majorBidi"/>
          <w:lang w:val="en-US" w:bidi="he-IL"/>
        </w:rPr>
        <w:t xml:space="preserve">the day will come when </w:t>
      </w:r>
      <w:r w:rsidRPr="00A138E9">
        <w:rPr>
          <w:rFonts w:asciiTheme="majorBidi" w:hAnsiTheme="majorBidi" w:cstheme="majorBidi"/>
          <w:lang w:val="en-US" w:bidi="he-IL"/>
        </w:rPr>
        <w:t>Israel</w:t>
      </w:r>
      <w:r w:rsidR="00CC33FD" w:rsidRPr="00A138E9">
        <w:rPr>
          <w:rFonts w:asciiTheme="majorBidi" w:hAnsiTheme="majorBidi" w:cstheme="majorBidi"/>
          <w:lang w:val="en-US" w:bidi="he-IL"/>
        </w:rPr>
        <w:t xml:space="preserve">, too, </w:t>
      </w:r>
      <w:r w:rsidRPr="00A138E9">
        <w:rPr>
          <w:rFonts w:asciiTheme="majorBidi" w:hAnsiTheme="majorBidi" w:cstheme="majorBidi"/>
          <w:lang w:val="en-US" w:bidi="he-IL"/>
        </w:rPr>
        <w:t xml:space="preserve">will pay </w:t>
      </w:r>
      <w:r w:rsidR="00CC33FD" w:rsidRPr="00A138E9">
        <w:rPr>
          <w:rFonts w:asciiTheme="majorBidi" w:hAnsiTheme="majorBidi" w:cstheme="majorBidi"/>
          <w:lang w:val="en-US" w:bidi="he-IL"/>
        </w:rPr>
        <w:t>the price for it</w:t>
      </w:r>
      <w:r w:rsidRPr="00A138E9">
        <w:rPr>
          <w:rFonts w:asciiTheme="majorBidi" w:hAnsiTheme="majorBidi" w:cstheme="majorBidi"/>
          <w:lang w:val="en-US" w:bidi="he-IL"/>
        </w:rPr>
        <w:t>.</w:t>
      </w:r>
      <w:bookmarkStart w:id="0" w:name="_GoBack"/>
      <w:bookmarkEnd w:id="0"/>
    </w:p>
    <w:sectPr w:rsidR="006F4BB6" w:rsidRPr="00A138E9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504C" w14:textId="77777777" w:rsidR="00B10D4F" w:rsidRDefault="00B10D4F" w:rsidP="009F0E60">
      <w:pPr>
        <w:spacing w:after="0" w:line="240" w:lineRule="auto"/>
        <w:rPr>
          <w:rFonts w:cs="Calibri"/>
          <w:rtl/>
          <w:lang w:bidi="he-IL"/>
        </w:rPr>
      </w:pPr>
      <w:r>
        <w:separator/>
      </w:r>
    </w:p>
  </w:endnote>
  <w:endnote w:type="continuationSeparator" w:id="0">
    <w:p w14:paraId="49B13F86" w14:textId="77777777" w:rsidR="00B10D4F" w:rsidRDefault="00B10D4F" w:rsidP="009F0E60">
      <w:pPr>
        <w:spacing w:after="0" w:line="240" w:lineRule="auto"/>
        <w:rPr>
          <w:rFonts w:cs="Calibri"/>
          <w:rtl/>
          <w:lang w:bidi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DD5A" w14:textId="77777777" w:rsidR="00B10D4F" w:rsidRDefault="00B10D4F" w:rsidP="009F0E60">
      <w:pPr>
        <w:spacing w:after="0" w:line="240" w:lineRule="auto"/>
        <w:rPr>
          <w:rFonts w:cs="Calibri"/>
          <w:rtl/>
          <w:lang w:bidi="he-IL"/>
        </w:rPr>
      </w:pPr>
      <w:r>
        <w:separator/>
      </w:r>
    </w:p>
  </w:footnote>
  <w:footnote w:type="continuationSeparator" w:id="0">
    <w:p w14:paraId="5C79E8A7" w14:textId="77777777" w:rsidR="00B10D4F" w:rsidRDefault="00B10D4F" w:rsidP="009F0E60">
      <w:pPr>
        <w:spacing w:after="0" w:line="240" w:lineRule="auto"/>
        <w:rPr>
          <w:rFonts w:cs="Calibri"/>
          <w:rtl/>
          <w:lang w:bidi="he-IL"/>
        </w:rPr>
      </w:pPr>
      <w:r>
        <w:continuationSeparator/>
      </w:r>
    </w:p>
  </w:footnote>
  <w:footnote w:id="1">
    <w:p w14:paraId="4436AE5C" w14:textId="13FABEE3" w:rsidR="00492AD5" w:rsidRDefault="00492AD5" w:rsidP="0063317E">
      <w:pPr>
        <w:pStyle w:val="FootnoteText"/>
      </w:pPr>
      <w:r>
        <w:rPr>
          <w:rStyle w:val="FootnoteReference"/>
        </w:rPr>
        <w:footnoteRef/>
      </w:r>
      <w:r>
        <w:t xml:space="preserve"> Zeev Jabotinsky, </w:t>
      </w:r>
      <w:r w:rsidRPr="003E58CA">
        <w:rPr>
          <w:i/>
          <w:iCs/>
        </w:rPr>
        <w:t>A Hebrew State—A Solution to the Jewish Problem</w:t>
      </w:r>
      <w:r>
        <w:t xml:space="preserve"> (Tel Aviv: Jabotinsky Institute, 1933, in Hebrew), p. 58. </w:t>
      </w:r>
      <w:r w:rsidR="007059E5">
        <w:t>‘</w:t>
      </w:r>
      <w:r>
        <w:t xml:space="preserve">The country can no longer be considered </w:t>
      </w:r>
      <w:r w:rsidR="003E58CA">
        <w:t xml:space="preserve">the sole property of </w:t>
      </w:r>
      <w:r w:rsidR="00906588">
        <w:t xml:space="preserve">its actual inhabitants. It should be seen as </w:t>
      </w:r>
      <w:r w:rsidR="003E58CA">
        <w:t xml:space="preserve">the </w:t>
      </w:r>
      <w:r w:rsidR="00906588">
        <w:t>joint property of two elements: one—the current inhabitants of different confessions and faiths, approximately 700,000</w:t>
      </w:r>
      <w:r w:rsidR="003E58CA">
        <w:t xml:space="preserve"> in number</w:t>
      </w:r>
      <w:r w:rsidR="00906588">
        <w:t>, and the other—the Jewish people, for whom Eretz Israel will be home, roughly twelve million</w:t>
      </w:r>
      <w:r w:rsidR="0063317E">
        <w:t>’</w:t>
      </w:r>
      <w:r w:rsidR="00906588">
        <w:t>.</w:t>
      </w:r>
    </w:p>
  </w:footnote>
  <w:footnote w:id="2">
    <w:p w14:paraId="028364C8" w14:textId="0AE799EA" w:rsidR="0012344B" w:rsidRPr="0012344B" w:rsidRDefault="0012344B" w:rsidP="004257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Zeev Jabotinsky, ‘Self-Rule of a National Minority’, </w:t>
      </w:r>
      <w:r>
        <w:rPr>
          <w:i/>
          <w:iCs/>
        </w:rPr>
        <w:t>Writings: Nation and Society</w:t>
      </w:r>
      <w:r>
        <w:t xml:space="preserve"> (Jerusalem: Eri Jabotinsky, 1959, in Hebrew), p. 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sDA3NTUyMzGysDBX0lEKTi0uzszPAykwrAUAd//csSwAAAA="/>
  </w:docVars>
  <w:rsids>
    <w:rsidRoot w:val="000C32F6"/>
    <w:rsid w:val="00011392"/>
    <w:rsid w:val="00054471"/>
    <w:rsid w:val="00070252"/>
    <w:rsid w:val="000C32F6"/>
    <w:rsid w:val="0012344B"/>
    <w:rsid w:val="001409BB"/>
    <w:rsid w:val="0019065D"/>
    <w:rsid w:val="001A34EE"/>
    <w:rsid w:val="001D5160"/>
    <w:rsid w:val="001F01E6"/>
    <w:rsid w:val="001F0225"/>
    <w:rsid w:val="001F6DAC"/>
    <w:rsid w:val="001F744B"/>
    <w:rsid w:val="002035CD"/>
    <w:rsid w:val="00230306"/>
    <w:rsid w:val="00230A39"/>
    <w:rsid w:val="00244B43"/>
    <w:rsid w:val="00251A0D"/>
    <w:rsid w:val="00280E42"/>
    <w:rsid w:val="002E777D"/>
    <w:rsid w:val="002F0FFB"/>
    <w:rsid w:val="00376001"/>
    <w:rsid w:val="003E58CA"/>
    <w:rsid w:val="004257B5"/>
    <w:rsid w:val="0045391F"/>
    <w:rsid w:val="00492AD5"/>
    <w:rsid w:val="00493300"/>
    <w:rsid w:val="004976B8"/>
    <w:rsid w:val="004A7CC9"/>
    <w:rsid w:val="00512AD9"/>
    <w:rsid w:val="00517521"/>
    <w:rsid w:val="00541325"/>
    <w:rsid w:val="00585366"/>
    <w:rsid w:val="00613308"/>
    <w:rsid w:val="00620A4F"/>
    <w:rsid w:val="0063317E"/>
    <w:rsid w:val="006A01FA"/>
    <w:rsid w:val="006E3F14"/>
    <w:rsid w:val="006F4BB6"/>
    <w:rsid w:val="00704B55"/>
    <w:rsid w:val="007059E5"/>
    <w:rsid w:val="0076314B"/>
    <w:rsid w:val="007C7C3E"/>
    <w:rsid w:val="007F006C"/>
    <w:rsid w:val="008136A3"/>
    <w:rsid w:val="00826EF4"/>
    <w:rsid w:val="008A4D4B"/>
    <w:rsid w:val="00906588"/>
    <w:rsid w:val="00917777"/>
    <w:rsid w:val="00960098"/>
    <w:rsid w:val="0096495C"/>
    <w:rsid w:val="009D3825"/>
    <w:rsid w:val="009E12CB"/>
    <w:rsid w:val="009F0E60"/>
    <w:rsid w:val="00A138E9"/>
    <w:rsid w:val="00A16AD4"/>
    <w:rsid w:val="00A6095A"/>
    <w:rsid w:val="00A74798"/>
    <w:rsid w:val="00AC4370"/>
    <w:rsid w:val="00B10D4F"/>
    <w:rsid w:val="00B344A4"/>
    <w:rsid w:val="00BA75A6"/>
    <w:rsid w:val="00BB4E08"/>
    <w:rsid w:val="00C31071"/>
    <w:rsid w:val="00C52818"/>
    <w:rsid w:val="00C858AD"/>
    <w:rsid w:val="00CB1297"/>
    <w:rsid w:val="00CC33FD"/>
    <w:rsid w:val="00CF0D9F"/>
    <w:rsid w:val="00D46FDA"/>
    <w:rsid w:val="00D948E3"/>
    <w:rsid w:val="00D9631F"/>
    <w:rsid w:val="00DA482A"/>
    <w:rsid w:val="00DB6BFE"/>
    <w:rsid w:val="00DC0699"/>
    <w:rsid w:val="00DF262E"/>
    <w:rsid w:val="00E67AEA"/>
    <w:rsid w:val="00EC2E57"/>
    <w:rsid w:val="00F83878"/>
    <w:rsid w:val="00F83A99"/>
    <w:rsid w:val="00FB60C8"/>
    <w:rsid w:val="00FE5C62"/>
    <w:rsid w:val="00FE754E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57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F6"/>
    <w:pPr>
      <w:bidi/>
    </w:pPr>
    <w:rPr>
      <w:sz w:val="24"/>
      <w:szCs w:val="24"/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autoRedefine/>
    <w:qFormat/>
    <w:rsid w:val="0012344B"/>
    <w:pPr>
      <w:suppressAutoHyphens/>
      <w:bidi w:val="0"/>
      <w:spacing w:after="0" w:line="480" w:lineRule="auto"/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rsid w:val="0012344B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0E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6C"/>
    <w:rPr>
      <w:sz w:val="24"/>
      <w:szCs w:val="24"/>
      <w:lang w:val="he-IL"/>
    </w:rPr>
  </w:style>
  <w:style w:type="paragraph" w:styleId="Footer">
    <w:name w:val="footer"/>
    <w:basedOn w:val="Normal"/>
    <w:link w:val="FooterChar"/>
    <w:uiPriority w:val="99"/>
    <w:unhideWhenUsed/>
    <w:rsid w:val="007F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6C"/>
    <w:rPr>
      <w:sz w:val="24"/>
      <w:szCs w:val="24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2019-11-27T06:48:00Z</dcterms:created>
  <dcterms:modified xsi:type="dcterms:W3CDTF">2019-11-27T06:48:00Z</dcterms:modified>
</cp:coreProperties>
</file>