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B18F" w14:textId="0C6FCCF5" w:rsidR="00135C83" w:rsidRPr="003A6D84" w:rsidRDefault="00000000" w:rsidP="00F73908">
      <w:pPr>
        <w:pStyle w:val="Firstpageinfo"/>
        <w:rPr>
          <w:rFonts w:eastAsia="Calibri" w:cs="Times New Roman"/>
        </w:rPr>
      </w:pPr>
      <w:hyperlink r:id="rId8" w:history="1">
        <w:r w:rsidR="00312FC9" w:rsidRPr="00312FC9">
          <w:rPr>
            <w:rStyle w:val="Hipervnculo"/>
            <w:rFonts w:eastAsia="Calibri" w:cs="Times New Roman"/>
          </w:rPr>
          <w:t>https://doi.org/10.1146/annurev-environ-061322-013248</w:t>
        </w:r>
      </w:hyperlink>
    </w:p>
    <w:p w14:paraId="67B279ED" w14:textId="01E60906" w:rsidR="003A6D84" w:rsidRPr="00C45A97" w:rsidRDefault="008B1803" w:rsidP="00F73908">
      <w:pPr>
        <w:pStyle w:val="Firstpageinfo"/>
        <w:rPr>
          <w:rFonts w:eastAsia="Calibri" w:cs="Times New Roman"/>
          <w:lang w:val="es-AR"/>
        </w:rPr>
      </w:pPr>
      <w:r w:rsidRPr="00C45A97">
        <w:rPr>
          <w:rFonts w:cs="Times New Roman"/>
          <w:bCs/>
          <w:lang w:val="es-AR"/>
        </w:rPr>
        <w:t>Derechos de autor</w:t>
      </w:r>
      <w:r w:rsidR="003A6D84" w:rsidRPr="00C45A97">
        <w:rPr>
          <w:rFonts w:cs="Times New Roman"/>
          <w:bCs/>
          <w:lang w:val="es-AR"/>
        </w:rPr>
        <w:t xml:space="preserve"> © 2022</w:t>
      </w:r>
      <w:r w:rsidR="003A6D84" w:rsidRPr="00C45A97">
        <w:rPr>
          <w:rFonts w:cs="Times New Roman"/>
          <w:lang w:val="es-AR"/>
        </w:rPr>
        <w:t xml:space="preserve"> </w:t>
      </w:r>
      <w:r w:rsidR="00C45A97">
        <w:rPr>
          <w:rFonts w:cs="Times New Roman"/>
          <w:lang w:val="es-AR"/>
        </w:rPr>
        <w:t>por</w:t>
      </w:r>
      <w:r w:rsidR="00C45A97" w:rsidRPr="00C45A97">
        <w:rPr>
          <w:rFonts w:cs="Times New Roman"/>
          <w:lang w:val="es-AR"/>
        </w:rPr>
        <w:t xml:space="preserve"> </w:t>
      </w:r>
      <w:r w:rsidR="003A6D84" w:rsidRPr="00C45A97">
        <w:rPr>
          <w:rFonts w:cs="Times New Roman"/>
          <w:lang w:val="es-AR"/>
        </w:rPr>
        <w:t xml:space="preserve">Annual Reviews. </w:t>
      </w:r>
      <w:r w:rsidRPr="00C45A97">
        <w:rPr>
          <w:rFonts w:cs="Times New Roman"/>
          <w:lang w:val="es-AR"/>
        </w:rPr>
        <w:t>Todos los derechos reservados</w:t>
      </w:r>
    </w:p>
    <w:p w14:paraId="34C2AC5F" w14:textId="77777777" w:rsidR="00F73908" w:rsidRPr="00C45A97" w:rsidRDefault="00F73908" w:rsidP="008A5D4B">
      <w:pPr>
        <w:spacing w:line="240" w:lineRule="auto"/>
        <w:rPr>
          <w:rFonts w:eastAsia="Times New Roman" w:cs="Times New Roman"/>
          <w:bCs/>
          <w:szCs w:val="24"/>
          <w:lang w:val="es-AR" w:eastAsia="en-CA"/>
        </w:rPr>
      </w:pPr>
    </w:p>
    <w:p w14:paraId="2B5B91C1" w14:textId="77777777" w:rsidR="00F73908" w:rsidRPr="00C45A97" w:rsidRDefault="00F73908" w:rsidP="008A5D4B">
      <w:pPr>
        <w:spacing w:line="240" w:lineRule="auto"/>
        <w:rPr>
          <w:rFonts w:eastAsia="Times New Roman" w:cs="Times New Roman"/>
          <w:bCs/>
          <w:szCs w:val="24"/>
          <w:lang w:val="es-AR" w:eastAsia="en-CA"/>
        </w:rPr>
      </w:pPr>
    </w:p>
    <w:p w14:paraId="66EC142B" w14:textId="7C6DABF2" w:rsidR="008B1803" w:rsidRPr="00C45A97" w:rsidRDefault="008B1803" w:rsidP="008B1803">
      <w:pPr>
        <w:spacing w:line="240" w:lineRule="auto"/>
        <w:rPr>
          <w:rFonts w:eastAsia="Times New Roman" w:cs="Times New Roman"/>
          <w:b/>
          <w:bCs/>
          <w:szCs w:val="24"/>
          <w:lang w:val="es-AR" w:eastAsia="en-CA"/>
        </w:rPr>
      </w:pPr>
      <w:r w:rsidRPr="00C45A97">
        <w:rPr>
          <w:rFonts w:eastAsia="Times New Roman" w:cs="Times New Roman"/>
          <w:b/>
          <w:bCs/>
          <w:szCs w:val="24"/>
          <w:lang w:val="es-AR" w:eastAsia="en-CA"/>
        </w:rPr>
        <w:t xml:space="preserve">El gran robo intergeneracional: </w:t>
      </w:r>
      <w:r w:rsidR="00C45A97">
        <w:rPr>
          <w:rFonts w:eastAsia="Times New Roman" w:cs="Times New Roman"/>
          <w:b/>
          <w:bCs/>
          <w:szCs w:val="24"/>
          <w:lang w:val="es-AR" w:eastAsia="en-CA"/>
        </w:rPr>
        <w:t>u</w:t>
      </w:r>
      <w:r w:rsidR="00C45A97" w:rsidRPr="00C45A97">
        <w:rPr>
          <w:rFonts w:eastAsia="Times New Roman" w:cs="Times New Roman"/>
          <w:b/>
          <w:bCs/>
          <w:szCs w:val="24"/>
          <w:lang w:val="es-AR" w:eastAsia="en-CA"/>
        </w:rPr>
        <w:t xml:space="preserve">n </w:t>
      </w:r>
      <w:r w:rsidRPr="00C45A97">
        <w:rPr>
          <w:rFonts w:eastAsia="Times New Roman" w:cs="Times New Roman"/>
          <w:b/>
          <w:bCs/>
          <w:szCs w:val="24"/>
          <w:lang w:val="es-AR" w:eastAsia="en-CA"/>
        </w:rPr>
        <w:t xml:space="preserve">llamado a la acción </w:t>
      </w:r>
      <w:r w:rsidR="00C45A97">
        <w:rPr>
          <w:rFonts w:eastAsia="Times New Roman" w:cs="Times New Roman"/>
          <w:b/>
          <w:bCs/>
          <w:szCs w:val="24"/>
          <w:lang w:val="es-AR" w:eastAsia="en-CA"/>
        </w:rPr>
        <w:t>coordinada</w:t>
      </w:r>
      <w:r w:rsidR="00C45A97" w:rsidRPr="00C45A97">
        <w:rPr>
          <w:rFonts w:eastAsia="Times New Roman" w:cs="Times New Roman"/>
          <w:b/>
          <w:bCs/>
          <w:szCs w:val="24"/>
          <w:lang w:val="es-AR" w:eastAsia="en-CA"/>
        </w:rPr>
        <w:t xml:space="preserve"> </w:t>
      </w:r>
      <w:r w:rsidRPr="00C45A97">
        <w:rPr>
          <w:rFonts w:eastAsia="Times New Roman" w:cs="Times New Roman"/>
          <w:b/>
          <w:bCs/>
          <w:szCs w:val="24"/>
          <w:lang w:val="es-AR" w:eastAsia="en-CA"/>
        </w:rPr>
        <w:t>contra las crisis ambientales</w:t>
      </w:r>
    </w:p>
    <w:p w14:paraId="285F0BC4" w14:textId="2857C71C" w:rsidR="00110DEB" w:rsidRPr="00C45A97" w:rsidRDefault="00110DEB" w:rsidP="00110DEB">
      <w:pPr>
        <w:spacing w:line="240" w:lineRule="auto"/>
        <w:rPr>
          <w:rFonts w:eastAsia="Times New Roman" w:cs="Times New Roman"/>
          <w:szCs w:val="24"/>
          <w:lang w:val="es-AR" w:eastAsia="en-CA"/>
        </w:rPr>
      </w:pPr>
      <w:r w:rsidRPr="00C45A97">
        <w:rPr>
          <w:rFonts w:eastAsia="Times New Roman" w:cs="Times New Roman"/>
          <w:bCs/>
          <w:szCs w:val="24"/>
          <w:lang w:val="es-AR" w:eastAsia="en-CA"/>
        </w:rPr>
        <w:t>Ashok Gadgil</w:t>
      </w:r>
      <w:r w:rsidR="003356ED" w:rsidRPr="00C45A97">
        <w:rPr>
          <w:rFonts w:eastAsia="Times New Roman" w:cs="Times New Roman"/>
          <w:bCs/>
          <w:szCs w:val="24"/>
          <w:lang w:val="es-AR" w:eastAsia="en-CA"/>
        </w:rPr>
        <w:t>,</w:t>
      </w:r>
      <w:r w:rsidR="003356ED" w:rsidRPr="00C45A97">
        <w:rPr>
          <w:rFonts w:eastAsia="Times New Roman" w:cs="Times New Roman"/>
          <w:bCs/>
          <w:szCs w:val="24"/>
          <w:vertAlign w:val="superscript"/>
          <w:lang w:val="es-AR" w:eastAsia="en-CA"/>
        </w:rPr>
        <w:t>1,</w:t>
      </w:r>
      <w:r w:rsidR="003356ED" w:rsidRPr="003356ED">
        <w:rPr>
          <w:rStyle w:val="Refdenotaalpie"/>
          <w:rFonts w:eastAsia="Times New Roman" w:cs="Times New Roman"/>
          <w:bCs/>
          <w:szCs w:val="24"/>
          <w:lang w:eastAsia="en-CA"/>
        </w:rPr>
        <w:footnoteReference w:customMarkFollows="1" w:id="1"/>
        <w:sym w:font="Symbol" w:char="F02A"/>
      </w:r>
      <w:r w:rsidRPr="00C45A97">
        <w:rPr>
          <w:rFonts w:eastAsia="Times New Roman" w:cs="Times New Roman"/>
          <w:bCs/>
          <w:szCs w:val="24"/>
          <w:lang w:val="es-AR" w:eastAsia="en-CA"/>
        </w:rPr>
        <w:t xml:space="preserve"> Thomas P. Tomich</w:t>
      </w:r>
      <w:r w:rsidR="003356ED" w:rsidRPr="00C45A97">
        <w:rPr>
          <w:rFonts w:eastAsia="Times New Roman" w:cs="Times New Roman"/>
          <w:bCs/>
          <w:szCs w:val="24"/>
          <w:lang w:val="es-AR" w:eastAsia="en-CA"/>
        </w:rPr>
        <w:t>,</w:t>
      </w:r>
      <w:r w:rsidR="003356ED" w:rsidRPr="00C45A97">
        <w:rPr>
          <w:rFonts w:eastAsia="Times New Roman" w:cs="Times New Roman"/>
          <w:bCs/>
          <w:szCs w:val="24"/>
          <w:vertAlign w:val="superscript"/>
          <w:lang w:val="es-AR" w:eastAsia="en-CA"/>
        </w:rPr>
        <w:t>2,</w:t>
      </w:r>
      <w:r w:rsidR="003356ED" w:rsidRPr="001F701B">
        <w:rPr>
          <w:rStyle w:val="Refdenotaalpie"/>
          <w:rFonts w:eastAsia="Times New Roman" w:cs="Times New Roman"/>
          <w:bCs/>
          <w:szCs w:val="24"/>
          <w:lang w:eastAsia="en-CA"/>
        </w:rPr>
        <w:footnoteReference w:customMarkFollows="1" w:id="2"/>
        <w:sym w:font="Symbol" w:char="F02A"/>
      </w:r>
      <w:r w:rsidRPr="00C45A97">
        <w:rPr>
          <w:rFonts w:eastAsia="Times New Roman" w:cs="Times New Roman"/>
          <w:bCs/>
          <w:szCs w:val="24"/>
          <w:lang w:val="es-AR" w:eastAsia="en-CA"/>
        </w:rPr>
        <w:t xml:space="preserve"> Arun Agrawal</w:t>
      </w:r>
      <w:r w:rsidRPr="00C45A97">
        <w:rPr>
          <w:rFonts w:eastAsia="Times New Roman" w:cs="Times New Roman"/>
          <w:szCs w:val="24"/>
          <w:lang w:val="es-AR" w:eastAsia="en-CA"/>
        </w:rPr>
        <w:t>,</w:t>
      </w:r>
      <w:r w:rsidR="001F701B" w:rsidRPr="00C45A97">
        <w:rPr>
          <w:rFonts w:eastAsia="Times New Roman" w:cs="Times New Roman"/>
          <w:szCs w:val="24"/>
          <w:vertAlign w:val="superscript"/>
          <w:lang w:val="es-AR" w:eastAsia="en-CA"/>
        </w:rPr>
        <w:t>3</w:t>
      </w:r>
      <w:r w:rsidRPr="00C45A97">
        <w:rPr>
          <w:rFonts w:eastAsia="Times New Roman" w:cs="Times New Roman"/>
          <w:szCs w:val="24"/>
          <w:lang w:val="es-AR" w:eastAsia="en-CA"/>
        </w:rPr>
        <w:t xml:space="preserve"> </w:t>
      </w:r>
      <w:r w:rsidR="001103B1" w:rsidRPr="00C45A97">
        <w:rPr>
          <w:rFonts w:eastAsia="Times New Roman" w:cs="Times New Roman"/>
          <w:bCs/>
          <w:szCs w:val="24"/>
          <w:lang w:val="es-AR" w:eastAsia="en-CA"/>
        </w:rPr>
        <w:t>Jeremy Allouche,</w:t>
      </w:r>
      <w:r w:rsidR="003769D3" w:rsidRPr="00C45A97">
        <w:rPr>
          <w:rFonts w:eastAsia="Times New Roman" w:cs="Times New Roman"/>
          <w:bCs/>
          <w:szCs w:val="24"/>
          <w:vertAlign w:val="superscript"/>
          <w:lang w:val="es-AR" w:eastAsia="en-CA"/>
        </w:rPr>
        <w:t>4</w:t>
      </w:r>
      <w:r w:rsidR="001103B1" w:rsidRPr="00C45A97">
        <w:rPr>
          <w:rFonts w:eastAsia="Times New Roman" w:cs="Times New Roman"/>
          <w:szCs w:val="24"/>
          <w:lang w:val="es-AR" w:eastAsia="en-CA"/>
        </w:rPr>
        <w:t xml:space="preserve"> </w:t>
      </w:r>
      <w:r w:rsidRPr="00C45A97">
        <w:rPr>
          <w:rFonts w:eastAsia="Times New Roman" w:cs="Times New Roman"/>
          <w:bCs/>
          <w:szCs w:val="24"/>
          <w:lang w:val="es-AR" w:eastAsia="en-CA"/>
        </w:rPr>
        <w:t>Inês M.L. Azevedo</w:t>
      </w:r>
      <w:r w:rsidRPr="00C45A97">
        <w:rPr>
          <w:rFonts w:eastAsia="Times New Roman" w:cs="Times New Roman"/>
          <w:szCs w:val="24"/>
          <w:lang w:val="es-AR" w:eastAsia="en-CA"/>
        </w:rPr>
        <w:t>,</w:t>
      </w:r>
      <w:r w:rsidR="003769D3" w:rsidRPr="00C45A97">
        <w:rPr>
          <w:rFonts w:eastAsia="Times New Roman" w:cs="Times New Roman"/>
          <w:szCs w:val="24"/>
          <w:vertAlign w:val="superscript"/>
          <w:lang w:val="es-AR" w:eastAsia="en-CA"/>
        </w:rPr>
        <w:t>5</w:t>
      </w:r>
      <w:r w:rsidRPr="00C45A97">
        <w:rPr>
          <w:rFonts w:eastAsia="Times New Roman" w:cs="Times New Roman"/>
          <w:szCs w:val="24"/>
          <w:lang w:val="es-AR" w:eastAsia="en-CA"/>
        </w:rPr>
        <w:t xml:space="preserve"> </w:t>
      </w:r>
      <w:r w:rsidRPr="00C45A97">
        <w:rPr>
          <w:rFonts w:eastAsia="Times New Roman" w:cs="Times New Roman"/>
          <w:bCs/>
          <w:szCs w:val="24"/>
          <w:lang w:val="es-AR" w:eastAsia="en-CA"/>
        </w:rPr>
        <w:t>Mohamed I. Bakarr,</w:t>
      </w:r>
      <w:r w:rsidR="00605FC7" w:rsidRPr="00C45A97">
        <w:rPr>
          <w:rFonts w:eastAsia="Times New Roman" w:cs="Times New Roman"/>
          <w:bCs/>
          <w:szCs w:val="24"/>
          <w:vertAlign w:val="superscript"/>
          <w:lang w:val="es-AR" w:eastAsia="en-CA"/>
        </w:rPr>
        <w:t>6</w:t>
      </w:r>
      <w:r w:rsidRPr="00C45A97">
        <w:rPr>
          <w:rFonts w:eastAsia="Times New Roman" w:cs="Times New Roman"/>
          <w:bCs/>
          <w:szCs w:val="24"/>
          <w:lang w:val="es-AR" w:eastAsia="en-CA"/>
        </w:rPr>
        <w:t xml:space="preserve"> </w:t>
      </w:r>
      <w:r w:rsidR="001103B1" w:rsidRPr="00C45A97">
        <w:rPr>
          <w:rFonts w:eastAsia="Times New Roman" w:cs="Times New Roman"/>
          <w:bCs/>
          <w:szCs w:val="24"/>
          <w:lang w:val="es-AR" w:eastAsia="en-CA"/>
        </w:rPr>
        <w:t>Gilberto Jannuzzi</w:t>
      </w:r>
      <w:r w:rsidR="001103B1" w:rsidRPr="00C45A97">
        <w:rPr>
          <w:rFonts w:eastAsia="Times New Roman" w:cs="Times New Roman"/>
          <w:szCs w:val="24"/>
          <w:lang w:val="es-AR" w:eastAsia="en-CA"/>
        </w:rPr>
        <w:t>,</w:t>
      </w:r>
      <w:r w:rsidR="00CE38B8" w:rsidRPr="00C45A97">
        <w:rPr>
          <w:rFonts w:eastAsia="Times New Roman" w:cs="Times New Roman"/>
          <w:szCs w:val="24"/>
          <w:vertAlign w:val="superscript"/>
          <w:lang w:val="es-AR" w:eastAsia="en-CA"/>
        </w:rPr>
        <w:t>7</w:t>
      </w:r>
      <w:r w:rsidR="001103B1" w:rsidRPr="00C45A97">
        <w:rPr>
          <w:rFonts w:eastAsia="Times New Roman" w:cs="Times New Roman"/>
          <w:szCs w:val="24"/>
          <w:lang w:val="es-AR" w:eastAsia="en-CA"/>
        </w:rPr>
        <w:t xml:space="preserve"> </w:t>
      </w:r>
      <w:r w:rsidR="001103B1" w:rsidRPr="00C45A97">
        <w:rPr>
          <w:rFonts w:eastAsia="Times New Roman" w:cs="Times New Roman"/>
          <w:bCs/>
          <w:szCs w:val="24"/>
          <w:lang w:val="es-AR" w:eastAsia="en-CA"/>
        </w:rPr>
        <w:t>Diana Liverman,</w:t>
      </w:r>
      <w:r w:rsidR="00CE38B8" w:rsidRPr="00C45A97">
        <w:rPr>
          <w:rFonts w:eastAsia="Times New Roman" w:cs="Times New Roman"/>
          <w:bCs/>
          <w:szCs w:val="24"/>
          <w:vertAlign w:val="superscript"/>
          <w:lang w:val="es-AR" w:eastAsia="en-CA"/>
        </w:rPr>
        <w:t>8</w:t>
      </w:r>
      <w:r w:rsidR="001103B1" w:rsidRPr="00C45A97">
        <w:rPr>
          <w:rFonts w:eastAsia="Times New Roman" w:cs="Times New Roman"/>
          <w:bCs/>
          <w:szCs w:val="24"/>
          <w:lang w:val="es-AR" w:eastAsia="en-CA"/>
        </w:rPr>
        <w:t xml:space="preserve"> </w:t>
      </w:r>
      <w:r w:rsidRPr="00C45A97">
        <w:rPr>
          <w:rFonts w:eastAsia="Times New Roman" w:cs="Times New Roman"/>
          <w:bCs/>
          <w:szCs w:val="24"/>
          <w:lang w:val="es-AR" w:eastAsia="en-CA"/>
        </w:rPr>
        <w:t>Yadvinder Malhi,</w:t>
      </w:r>
      <w:r w:rsidR="0021144E" w:rsidRPr="00C45A97">
        <w:rPr>
          <w:rFonts w:eastAsia="Times New Roman" w:cs="Times New Roman"/>
          <w:bCs/>
          <w:szCs w:val="24"/>
          <w:vertAlign w:val="superscript"/>
          <w:lang w:val="es-AR" w:eastAsia="en-CA"/>
        </w:rPr>
        <w:t>9</w:t>
      </w:r>
      <w:r w:rsidR="001103B1" w:rsidRPr="00C45A97">
        <w:rPr>
          <w:rFonts w:eastAsia="Times New Roman" w:cs="Times New Roman"/>
          <w:bCs/>
          <w:szCs w:val="24"/>
          <w:lang w:val="es-AR" w:eastAsia="en-CA"/>
        </w:rPr>
        <w:t xml:space="preserve"> Ste</w:t>
      </w:r>
      <w:r w:rsidR="00A22817" w:rsidRPr="00C45A97">
        <w:rPr>
          <w:rFonts w:eastAsia="Times New Roman" w:cs="Times New Roman"/>
          <w:bCs/>
          <w:szCs w:val="24"/>
          <w:lang w:val="es-AR" w:eastAsia="en-CA"/>
        </w:rPr>
        <w:t>ph</w:t>
      </w:r>
      <w:r w:rsidR="001103B1" w:rsidRPr="00C45A97">
        <w:rPr>
          <w:rFonts w:eastAsia="Times New Roman" w:cs="Times New Roman"/>
          <w:bCs/>
          <w:szCs w:val="24"/>
          <w:lang w:val="es-AR" w:eastAsia="en-CA"/>
        </w:rPr>
        <w:t>e</w:t>
      </w:r>
      <w:r w:rsidR="00A22817" w:rsidRPr="00C45A97">
        <w:rPr>
          <w:rFonts w:eastAsia="Times New Roman" w:cs="Times New Roman"/>
          <w:bCs/>
          <w:szCs w:val="24"/>
          <w:lang w:val="es-AR" w:eastAsia="en-CA"/>
        </w:rPr>
        <w:t>n</w:t>
      </w:r>
      <w:r w:rsidR="001103B1" w:rsidRPr="00C45A97">
        <w:rPr>
          <w:rFonts w:eastAsia="Times New Roman" w:cs="Times New Roman"/>
          <w:bCs/>
          <w:szCs w:val="24"/>
          <w:lang w:val="es-AR" w:eastAsia="en-CA"/>
        </w:rPr>
        <w:t xml:space="preserve"> Polasky,</w:t>
      </w:r>
      <w:r w:rsidR="00E265E1" w:rsidRPr="00C45A97">
        <w:rPr>
          <w:rFonts w:eastAsia="Times New Roman" w:cs="Times New Roman"/>
          <w:bCs/>
          <w:szCs w:val="24"/>
          <w:vertAlign w:val="superscript"/>
          <w:lang w:val="es-AR" w:eastAsia="en-CA"/>
        </w:rPr>
        <w:t>10</w:t>
      </w:r>
      <w:r w:rsidR="001103B1" w:rsidRPr="00C45A97">
        <w:rPr>
          <w:rFonts w:eastAsia="Times New Roman" w:cs="Times New Roman"/>
          <w:bCs/>
          <w:szCs w:val="24"/>
          <w:lang w:val="es-AR" w:eastAsia="en-CA"/>
        </w:rPr>
        <w:t xml:space="preserve"> </w:t>
      </w:r>
      <w:r w:rsidRPr="00C45A97">
        <w:rPr>
          <w:rFonts w:eastAsia="Times New Roman" w:cs="Times New Roman"/>
          <w:bCs/>
          <w:szCs w:val="24"/>
          <w:lang w:val="es-AR" w:eastAsia="en-CA"/>
        </w:rPr>
        <w:t>Joyashree Roy</w:t>
      </w:r>
      <w:r w:rsidRPr="00C45A97">
        <w:rPr>
          <w:rFonts w:eastAsia="Times New Roman" w:cs="Times New Roman"/>
          <w:szCs w:val="24"/>
          <w:lang w:val="es-AR" w:eastAsia="en-CA"/>
        </w:rPr>
        <w:t>,</w:t>
      </w:r>
      <w:r w:rsidR="001A4B63" w:rsidRPr="00C45A97">
        <w:rPr>
          <w:rFonts w:eastAsia="Times New Roman" w:cs="Times New Roman"/>
          <w:szCs w:val="24"/>
          <w:vertAlign w:val="superscript"/>
          <w:lang w:val="es-AR" w:eastAsia="en-CA"/>
        </w:rPr>
        <w:t>11</w:t>
      </w:r>
      <w:r w:rsidRPr="00C45A97">
        <w:rPr>
          <w:rFonts w:eastAsia="Times New Roman" w:cs="Times New Roman"/>
          <w:szCs w:val="24"/>
          <w:lang w:val="es-AR" w:eastAsia="en-CA"/>
        </w:rPr>
        <w:t xml:space="preserve"> </w:t>
      </w:r>
      <w:r w:rsidRPr="00C45A97">
        <w:rPr>
          <w:rFonts w:eastAsia="Times New Roman" w:cs="Times New Roman"/>
          <w:bCs/>
          <w:szCs w:val="24"/>
          <w:lang w:val="es-AR" w:eastAsia="en-CA"/>
        </w:rPr>
        <w:t>Diana Ürge-Vorsatz</w:t>
      </w:r>
      <w:r w:rsidRPr="00C45A97">
        <w:rPr>
          <w:rFonts w:eastAsia="Times New Roman" w:cs="Times New Roman"/>
          <w:szCs w:val="24"/>
          <w:lang w:val="es-AR" w:eastAsia="en-CA"/>
        </w:rPr>
        <w:t>,</w:t>
      </w:r>
      <w:r w:rsidR="00B42E9E" w:rsidRPr="00C45A97">
        <w:rPr>
          <w:rFonts w:eastAsia="Times New Roman" w:cs="Times New Roman"/>
          <w:szCs w:val="24"/>
          <w:vertAlign w:val="superscript"/>
          <w:lang w:val="es-AR" w:eastAsia="en-CA"/>
        </w:rPr>
        <w:t>12</w:t>
      </w:r>
      <w:r w:rsidRPr="00C45A97">
        <w:rPr>
          <w:rFonts w:eastAsia="Times New Roman" w:cs="Times New Roman"/>
          <w:szCs w:val="24"/>
          <w:lang w:val="es-AR" w:eastAsia="en-CA"/>
        </w:rPr>
        <w:t xml:space="preserve"> </w:t>
      </w:r>
      <w:r w:rsidR="008B1803" w:rsidRPr="00C45A97">
        <w:rPr>
          <w:rFonts w:eastAsia="Times New Roman" w:cs="Times New Roman"/>
          <w:szCs w:val="24"/>
          <w:lang w:val="es-AR" w:eastAsia="en-CA"/>
        </w:rPr>
        <w:t>y</w:t>
      </w:r>
      <w:r w:rsidR="001103B1" w:rsidRPr="00C45A97">
        <w:rPr>
          <w:rFonts w:eastAsia="Times New Roman" w:cs="Times New Roman"/>
          <w:szCs w:val="24"/>
          <w:lang w:val="es-AR" w:eastAsia="en-CA"/>
        </w:rPr>
        <w:t xml:space="preserve"> </w:t>
      </w:r>
      <w:r w:rsidRPr="00C45A97">
        <w:rPr>
          <w:rFonts w:eastAsia="Times New Roman" w:cs="Times New Roman"/>
          <w:bCs/>
          <w:szCs w:val="24"/>
          <w:lang w:val="es-AR" w:eastAsia="en-CA"/>
        </w:rPr>
        <w:t>Yanxin Wang</w:t>
      </w:r>
      <w:r w:rsidR="004711D4" w:rsidRPr="00C45A97">
        <w:rPr>
          <w:rFonts w:eastAsia="Times New Roman" w:cs="Times New Roman"/>
          <w:bCs/>
          <w:szCs w:val="24"/>
          <w:vertAlign w:val="superscript"/>
          <w:lang w:val="es-AR" w:eastAsia="en-CA"/>
        </w:rPr>
        <w:t>13</w:t>
      </w:r>
    </w:p>
    <w:p w14:paraId="61531EDD" w14:textId="77777777" w:rsidR="0009209E" w:rsidRPr="00C45A97" w:rsidRDefault="0009209E" w:rsidP="005B5A5A">
      <w:pPr>
        <w:rPr>
          <w:lang w:val="es-AR"/>
        </w:rPr>
      </w:pPr>
    </w:p>
    <w:p w14:paraId="7B55B13F" w14:textId="6D82308C" w:rsidR="008539EF" w:rsidRPr="00C45A97" w:rsidRDefault="001F701B" w:rsidP="005B5A5A">
      <w:pPr>
        <w:rPr>
          <w:sz w:val="22"/>
          <w:lang w:val="es-AR"/>
        </w:rPr>
      </w:pPr>
      <w:r w:rsidRPr="00C45A97">
        <w:rPr>
          <w:sz w:val="22"/>
          <w:vertAlign w:val="superscript"/>
          <w:lang w:val="es-AR"/>
        </w:rPr>
        <w:t>1</w:t>
      </w:r>
      <w:r w:rsidR="008B1803" w:rsidRPr="00C45A97">
        <w:rPr>
          <w:lang w:val="es-AR"/>
        </w:rPr>
        <w:t xml:space="preserve"> </w:t>
      </w:r>
      <w:r w:rsidR="008B1803" w:rsidRPr="00C45A97">
        <w:rPr>
          <w:sz w:val="22"/>
          <w:lang w:val="es-AR"/>
        </w:rPr>
        <w:t>Departamento de Ingeniería Civil y Medioambiental, Universidad de California, Berkeley, California, EE.</w:t>
      </w:r>
      <w:r w:rsidR="00C45A97">
        <w:rPr>
          <w:sz w:val="22"/>
          <w:lang w:val="es-AR"/>
        </w:rPr>
        <w:t> </w:t>
      </w:r>
      <w:r w:rsidR="008B1803" w:rsidRPr="00C45A97">
        <w:rPr>
          <w:sz w:val="22"/>
          <w:lang w:val="es-AR"/>
        </w:rPr>
        <w:t>UU.</w:t>
      </w:r>
    </w:p>
    <w:p w14:paraId="217DA7B0" w14:textId="05388115" w:rsidR="00C373BB" w:rsidRPr="00C45A97" w:rsidRDefault="001F701B" w:rsidP="005B5A5A">
      <w:pPr>
        <w:rPr>
          <w:sz w:val="22"/>
          <w:lang w:val="es-AR"/>
        </w:rPr>
      </w:pPr>
      <w:r w:rsidRPr="00C45A97">
        <w:rPr>
          <w:sz w:val="22"/>
          <w:vertAlign w:val="superscript"/>
          <w:lang w:val="es-AR"/>
        </w:rPr>
        <w:t>2</w:t>
      </w:r>
      <w:r w:rsidR="008B1803" w:rsidRPr="00C45A97">
        <w:rPr>
          <w:lang w:val="es-AR"/>
        </w:rPr>
        <w:t xml:space="preserve"> </w:t>
      </w:r>
      <w:r w:rsidR="008B1803" w:rsidRPr="00C45A97">
        <w:rPr>
          <w:sz w:val="22"/>
          <w:lang w:val="es-AR"/>
        </w:rPr>
        <w:t>Departamento de Ciencia y Política Medioambiental, Universidad de California, Davis, California, EE.</w:t>
      </w:r>
      <w:r w:rsidR="00C45A97">
        <w:rPr>
          <w:sz w:val="22"/>
          <w:lang w:val="es-AR"/>
        </w:rPr>
        <w:t> </w:t>
      </w:r>
      <w:r w:rsidR="008B1803" w:rsidRPr="00C45A97">
        <w:rPr>
          <w:sz w:val="22"/>
          <w:lang w:val="es-AR"/>
        </w:rPr>
        <w:t>UU.</w:t>
      </w:r>
    </w:p>
    <w:p w14:paraId="6C96D0B1" w14:textId="77777777" w:rsidR="00E311A1" w:rsidRPr="00C45A97" w:rsidRDefault="00E311A1" w:rsidP="005B5A5A">
      <w:pPr>
        <w:rPr>
          <w:sz w:val="22"/>
          <w:lang w:val="es-AR"/>
        </w:rPr>
      </w:pPr>
    </w:p>
    <w:p w14:paraId="70D11A9F" w14:textId="6AC1E430" w:rsidR="00E311A1" w:rsidRPr="00C45A97" w:rsidRDefault="001F701B" w:rsidP="005B5A5A">
      <w:pPr>
        <w:rPr>
          <w:sz w:val="22"/>
          <w:lang w:val="es-AR"/>
        </w:rPr>
      </w:pPr>
      <w:r w:rsidRPr="00C45A97">
        <w:rPr>
          <w:sz w:val="22"/>
          <w:vertAlign w:val="superscript"/>
          <w:lang w:val="es-AR"/>
        </w:rPr>
        <w:t>3</w:t>
      </w:r>
      <w:r w:rsidR="008B1803" w:rsidRPr="00C45A97">
        <w:rPr>
          <w:sz w:val="22"/>
          <w:lang w:val="es-AR"/>
        </w:rPr>
        <w:t>Escuela de Medio Ambiente y Sostenibilidad, Universidad de Michigan, Ann Arbor, Michigan, EE.</w:t>
      </w:r>
      <w:r w:rsidR="00C45A97">
        <w:rPr>
          <w:sz w:val="22"/>
          <w:lang w:val="es-AR"/>
        </w:rPr>
        <w:t> </w:t>
      </w:r>
      <w:r w:rsidR="008B1803" w:rsidRPr="00C45A97">
        <w:rPr>
          <w:sz w:val="22"/>
          <w:lang w:val="es-AR"/>
        </w:rPr>
        <w:t xml:space="preserve">UU. </w:t>
      </w:r>
    </w:p>
    <w:p w14:paraId="20F73D93" w14:textId="77777777" w:rsidR="00E311A1" w:rsidRPr="00C45A97" w:rsidRDefault="00E311A1" w:rsidP="005B5A5A">
      <w:pPr>
        <w:rPr>
          <w:sz w:val="22"/>
          <w:lang w:val="es-AR"/>
        </w:rPr>
      </w:pPr>
    </w:p>
    <w:p w14:paraId="0E1F62ED" w14:textId="37297197" w:rsidR="00E311A1" w:rsidRPr="00C45A97" w:rsidRDefault="003769D3" w:rsidP="005B5A5A">
      <w:pPr>
        <w:rPr>
          <w:sz w:val="22"/>
          <w:lang w:val="es-AR"/>
        </w:rPr>
      </w:pPr>
      <w:r w:rsidRPr="00C45A97">
        <w:rPr>
          <w:sz w:val="22"/>
          <w:vertAlign w:val="superscript"/>
          <w:lang w:val="es-AR"/>
        </w:rPr>
        <w:t>4</w:t>
      </w:r>
      <w:r w:rsidR="008B1803" w:rsidRPr="00C45A97">
        <w:rPr>
          <w:lang w:val="es-AR"/>
        </w:rPr>
        <w:t xml:space="preserve"> </w:t>
      </w:r>
      <w:r w:rsidR="008B1803" w:rsidRPr="00C45A97">
        <w:rPr>
          <w:sz w:val="22"/>
          <w:lang w:val="es-AR"/>
        </w:rPr>
        <w:t>Instituto de Estudios sobre Desarrollo, Universidad de Sussex, Brighton, Reino Unido</w:t>
      </w:r>
    </w:p>
    <w:p w14:paraId="71237496" w14:textId="77777777" w:rsidR="008B1803" w:rsidRPr="00C45A97" w:rsidRDefault="008B1803" w:rsidP="005B5A5A">
      <w:pPr>
        <w:rPr>
          <w:sz w:val="22"/>
          <w:lang w:val="es-AR"/>
        </w:rPr>
      </w:pPr>
    </w:p>
    <w:p w14:paraId="06A8E53B" w14:textId="25F9D6A2" w:rsidR="00E311A1" w:rsidRPr="00C45A97" w:rsidRDefault="003769D3" w:rsidP="005B5A5A">
      <w:pPr>
        <w:rPr>
          <w:sz w:val="22"/>
          <w:lang w:val="es-AR"/>
        </w:rPr>
      </w:pPr>
      <w:r w:rsidRPr="00C45A97">
        <w:rPr>
          <w:sz w:val="22"/>
          <w:vertAlign w:val="superscript"/>
          <w:lang w:val="es-AR"/>
        </w:rPr>
        <w:t>5</w:t>
      </w:r>
      <w:r w:rsidR="008749FE" w:rsidRPr="00C45A97">
        <w:rPr>
          <w:lang w:val="es-AR"/>
        </w:rPr>
        <w:t xml:space="preserve"> </w:t>
      </w:r>
      <w:r w:rsidR="008749FE" w:rsidRPr="00C45A97">
        <w:rPr>
          <w:sz w:val="22"/>
          <w:lang w:val="es-AR"/>
        </w:rPr>
        <w:t xml:space="preserve">Departamento de Ingeniería de Recursos Energéticos, Escuela de Ciencias de la Tierra, la Energía y el Medio Ambiente, Universidad de Stanford, Stanford, California, </w:t>
      </w:r>
      <w:r w:rsidR="00C45A97">
        <w:rPr>
          <w:sz w:val="22"/>
          <w:lang w:val="es-AR"/>
        </w:rPr>
        <w:t>EE. UU.</w:t>
      </w:r>
    </w:p>
    <w:p w14:paraId="3BB6D8A2" w14:textId="77777777" w:rsidR="008749FE" w:rsidRPr="00C45A97" w:rsidRDefault="008749FE" w:rsidP="005B5A5A">
      <w:pPr>
        <w:rPr>
          <w:sz w:val="22"/>
          <w:lang w:val="es-AR"/>
        </w:rPr>
      </w:pPr>
    </w:p>
    <w:p w14:paraId="6976BEF9" w14:textId="7CABDB64" w:rsidR="00E311A1" w:rsidRPr="00C45A97" w:rsidRDefault="00605FC7" w:rsidP="005B5A5A">
      <w:pPr>
        <w:rPr>
          <w:sz w:val="22"/>
          <w:lang w:val="es-AR"/>
        </w:rPr>
      </w:pPr>
      <w:r w:rsidRPr="00C45A97">
        <w:rPr>
          <w:sz w:val="22"/>
          <w:vertAlign w:val="superscript"/>
          <w:lang w:val="es-AR"/>
        </w:rPr>
        <w:t>6</w:t>
      </w:r>
      <w:r w:rsidR="008749FE" w:rsidRPr="00C45A97">
        <w:rPr>
          <w:lang w:val="es-AR"/>
        </w:rPr>
        <w:t xml:space="preserve"> </w:t>
      </w:r>
      <w:r w:rsidR="008749FE" w:rsidRPr="00C45A97">
        <w:rPr>
          <w:sz w:val="22"/>
          <w:lang w:val="es-AR"/>
        </w:rPr>
        <w:t xml:space="preserve">Fondo para el Medio Ambiente Mundial, Washington, DC, </w:t>
      </w:r>
      <w:r w:rsidR="00C45A97">
        <w:rPr>
          <w:sz w:val="22"/>
          <w:lang w:val="es-AR"/>
        </w:rPr>
        <w:t>EE. UU.</w:t>
      </w:r>
    </w:p>
    <w:p w14:paraId="7D107180" w14:textId="77777777" w:rsidR="008749FE" w:rsidRPr="00C45A97" w:rsidRDefault="008749FE" w:rsidP="005B5A5A">
      <w:pPr>
        <w:rPr>
          <w:sz w:val="22"/>
          <w:lang w:val="es-AR"/>
        </w:rPr>
      </w:pPr>
    </w:p>
    <w:p w14:paraId="0B893C70" w14:textId="77C7786A" w:rsidR="00E311A1" w:rsidRPr="00C45A97" w:rsidRDefault="00CE38B8" w:rsidP="005B5A5A">
      <w:pPr>
        <w:rPr>
          <w:sz w:val="22"/>
          <w:lang w:val="es-AR"/>
        </w:rPr>
      </w:pPr>
      <w:r w:rsidRPr="00C45A97">
        <w:rPr>
          <w:sz w:val="22"/>
          <w:vertAlign w:val="superscript"/>
          <w:lang w:val="es-AR"/>
        </w:rPr>
        <w:t>7</w:t>
      </w:r>
      <w:r w:rsidR="008749FE" w:rsidRPr="00C45A97">
        <w:rPr>
          <w:lang w:val="es-AR"/>
        </w:rPr>
        <w:t xml:space="preserve"> </w:t>
      </w:r>
      <w:r w:rsidR="008749FE" w:rsidRPr="00C45A97">
        <w:rPr>
          <w:sz w:val="22"/>
          <w:lang w:val="es-AR"/>
        </w:rPr>
        <w:t>Facultad de Ingeniería Mecánica, Universidad de Campinas, São Paulo, Brasil</w:t>
      </w:r>
    </w:p>
    <w:p w14:paraId="2AE05055" w14:textId="77777777" w:rsidR="00E311A1" w:rsidRPr="00C45A97" w:rsidRDefault="00E311A1" w:rsidP="005B5A5A">
      <w:pPr>
        <w:rPr>
          <w:sz w:val="22"/>
          <w:lang w:val="es-AR"/>
        </w:rPr>
      </w:pPr>
    </w:p>
    <w:p w14:paraId="7A7696D4" w14:textId="680C83A9" w:rsidR="003269AD" w:rsidRPr="00C45A97" w:rsidRDefault="00CE38B8" w:rsidP="005B5A5A">
      <w:pPr>
        <w:rPr>
          <w:sz w:val="22"/>
          <w:lang w:val="es-AR"/>
        </w:rPr>
      </w:pPr>
      <w:r w:rsidRPr="00C45A97">
        <w:rPr>
          <w:sz w:val="22"/>
          <w:vertAlign w:val="superscript"/>
          <w:lang w:val="es-AR"/>
        </w:rPr>
        <w:t>8</w:t>
      </w:r>
      <w:r w:rsidR="008749FE" w:rsidRPr="00C45A97">
        <w:rPr>
          <w:lang w:val="es-AR"/>
        </w:rPr>
        <w:t xml:space="preserve"> </w:t>
      </w:r>
      <w:r w:rsidR="008749FE" w:rsidRPr="00C45A97">
        <w:rPr>
          <w:sz w:val="22"/>
          <w:lang w:val="es-AR"/>
        </w:rPr>
        <w:t xml:space="preserve">Escuela de Geografía, Desarrollo y Medio Ambiente, Universidad de Arizona, Tucson, Arizona, </w:t>
      </w:r>
      <w:r w:rsidR="00C45A97">
        <w:rPr>
          <w:sz w:val="22"/>
          <w:lang w:val="es-AR"/>
        </w:rPr>
        <w:t>EE.</w:t>
      </w:r>
      <w:r w:rsidR="00A90ECC">
        <w:rPr>
          <w:sz w:val="22"/>
          <w:lang w:val="es-AR"/>
        </w:rPr>
        <w:t> </w:t>
      </w:r>
      <w:r w:rsidR="00C45A97">
        <w:rPr>
          <w:sz w:val="22"/>
          <w:lang w:val="es-AR"/>
        </w:rPr>
        <w:t>UU.</w:t>
      </w:r>
    </w:p>
    <w:p w14:paraId="32854DEF" w14:textId="77777777" w:rsidR="008520E5" w:rsidRPr="00C45A97" w:rsidRDefault="008520E5" w:rsidP="008520E5">
      <w:pPr>
        <w:rPr>
          <w:sz w:val="22"/>
          <w:lang w:val="es-AR"/>
        </w:rPr>
      </w:pPr>
    </w:p>
    <w:p w14:paraId="3B3991F3" w14:textId="4441A9F5" w:rsidR="00E311A1" w:rsidRPr="00C45A97" w:rsidRDefault="0021144E" w:rsidP="008520E5">
      <w:pPr>
        <w:rPr>
          <w:sz w:val="22"/>
          <w:lang w:val="es-AR"/>
        </w:rPr>
      </w:pPr>
      <w:r w:rsidRPr="00C45A97">
        <w:rPr>
          <w:sz w:val="22"/>
          <w:vertAlign w:val="superscript"/>
          <w:lang w:val="es-AR"/>
        </w:rPr>
        <w:t>9</w:t>
      </w:r>
      <w:r w:rsidR="008749FE" w:rsidRPr="00C45A97">
        <w:rPr>
          <w:lang w:val="es-AR"/>
        </w:rPr>
        <w:t xml:space="preserve"> </w:t>
      </w:r>
      <w:r w:rsidR="008749FE" w:rsidRPr="00C45A97">
        <w:rPr>
          <w:sz w:val="22"/>
          <w:lang w:val="es-AR"/>
        </w:rPr>
        <w:t>Instituto del Cambio Medioambiental, Escuela de Geografía y Medio Ambiente, y Centro Leverhulme para la Recuperación de la Naturaleza, Universidad de Oxford, Reino Unido</w:t>
      </w:r>
    </w:p>
    <w:p w14:paraId="771A9400" w14:textId="77777777" w:rsidR="008749FE" w:rsidRPr="00C45A97" w:rsidRDefault="008749FE" w:rsidP="008520E5">
      <w:pPr>
        <w:rPr>
          <w:sz w:val="22"/>
          <w:lang w:val="es-AR"/>
        </w:rPr>
      </w:pPr>
    </w:p>
    <w:p w14:paraId="7A9CA596" w14:textId="4323DFCF" w:rsidR="00E311A1" w:rsidRPr="00C45A97" w:rsidRDefault="00E265E1" w:rsidP="008520E5">
      <w:pPr>
        <w:rPr>
          <w:sz w:val="22"/>
          <w:lang w:val="es-AR"/>
        </w:rPr>
      </w:pPr>
      <w:r w:rsidRPr="00C45A97">
        <w:rPr>
          <w:sz w:val="22"/>
          <w:vertAlign w:val="superscript"/>
          <w:lang w:val="es-AR"/>
        </w:rPr>
        <w:t>10</w:t>
      </w:r>
      <w:r w:rsidR="008749FE" w:rsidRPr="00C45A97">
        <w:rPr>
          <w:lang w:val="es-AR"/>
        </w:rPr>
        <w:t xml:space="preserve"> </w:t>
      </w:r>
      <w:r w:rsidR="008749FE" w:rsidRPr="00C45A97">
        <w:rPr>
          <w:sz w:val="22"/>
          <w:lang w:val="es-AR"/>
        </w:rPr>
        <w:t xml:space="preserve">Departamento de Economía Aplicada y Departamento de Ecología, Evolución y Comportamiento, Universidad de Minnesota, St. Paul, Minnesota, </w:t>
      </w:r>
      <w:r w:rsidR="00C45A97">
        <w:rPr>
          <w:sz w:val="22"/>
          <w:lang w:val="es-AR"/>
        </w:rPr>
        <w:t>EE. UU.</w:t>
      </w:r>
    </w:p>
    <w:p w14:paraId="627C1EA7" w14:textId="77777777" w:rsidR="008749FE" w:rsidRPr="00C45A97" w:rsidRDefault="008749FE" w:rsidP="008520E5">
      <w:pPr>
        <w:rPr>
          <w:sz w:val="22"/>
          <w:lang w:val="es-AR"/>
        </w:rPr>
      </w:pPr>
    </w:p>
    <w:p w14:paraId="66895E35" w14:textId="71A0E36C" w:rsidR="00E311A1" w:rsidRPr="00C45A97" w:rsidRDefault="001A4B63" w:rsidP="008520E5">
      <w:pPr>
        <w:rPr>
          <w:sz w:val="22"/>
          <w:lang w:val="es-AR"/>
        </w:rPr>
      </w:pPr>
      <w:r w:rsidRPr="00C45A97">
        <w:rPr>
          <w:sz w:val="22"/>
          <w:vertAlign w:val="superscript"/>
          <w:lang w:val="es-AR"/>
        </w:rPr>
        <w:t>11</w:t>
      </w:r>
      <w:r w:rsidR="008749FE" w:rsidRPr="00C45A97">
        <w:rPr>
          <w:lang w:val="es-AR"/>
        </w:rPr>
        <w:t xml:space="preserve"> </w:t>
      </w:r>
      <w:r w:rsidR="008749FE" w:rsidRPr="00C45A97">
        <w:rPr>
          <w:sz w:val="22"/>
          <w:lang w:val="es-AR"/>
        </w:rPr>
        <w:t>Departamento de Energía, Medio Ambiente y Cambio Climático, Instituto Asiático de Tecnología, Pathum Thani, Tailandia, y Departamento de Economía, Universidad de Jadavpur, Calcuta, India</w:t>
      </w:r>
    </w:p>
    <w:p w14:paraId="3EEFF4B1" w14:textId="77777777" w:rsidR="00BE44AA" w:rsidRPr="00C45A97" w:rsidRDefault="00BE44AA" w:rsidP="005B5A5A">
      <w:pPr>
        <w:rPr>
          <w:sz w:val="22"/>
          <w:lang w:val="es-AR"/>
        </w:rPr>
      </w:pPr>
    </w:p>
    <w:p w14:paraId="6B536B78" w14:textId="12B58E8E" w:rsidR="00E311A1" w:rsidRPr="00C45A97" w:rsidRDefault="00B42E9E" w:rsidP="005B5A5A">
      <w:pPr>
        <w:rPr>
          <w:sz w:val="22"/>
          <w:lang w:val="es-AR"/>
        </w:rPr>
      </w:pPr>
      <w:r w:rsidRPr="00C45A97">
        <w:rPr>
          <w:sz w:val="22"/>
          <w:vertAlign w:val="superscript"/>
          <w:lang w:val="es-AR"/>
        </w:rPr>
        <w:t>12</w:t>
      </w:r>
      <w:r w:rsidR="008749FE" w:rsidRPr="00C45A97">
        <w:rPr>
          <w:lang w:val="es-AR"/>
        </w:rPr>
        <w:t xml:space="preserve"> </w:t>
      </w:r>
      <w:r w:rsidR="008749FE" w:rsidRPr="00C45A97">
        <w:rPr>
          <w:sz w:val="22"/>
          <w:lang w:val="es-AR"/>
        </w:rPr>
        <w:t>Departamento de Ciencias y Políticas Medioambientales, Universidad Centroeuropea, Budapest, Hungría</w:t>
      </w:r>
    </w:p>
    <w:p w14:paraId="3064A975" w14:textId="77777777" w:rsidR="008749FE" w:rsidRPr="00C45A97" w:rsidRDefault="008749FE" w:rsidP="005B5A5A">
      <w:pPr>
        <w:rPr>
          <w:sz w:val="22"/>
          <w:lang w:val="es-AR"/>
        </w:rPr>
      </w:pPr>
    </w:p>
    <w:p w14:paraId="39CA4FF3" w14:textId="42011085" w:rsidR="00CF177A" w:rsidRPr="00C45A97" w:rsidRDefault="004711D4" w:rsidP="005B5A5A">
      <w:pPr>
        <w:rPr>
          <w:lang w:val="es-AR"/>
        </w:rPr>
      </w:pPr>
      <w:r w:rsidRPr="00C45A97">
        <w:rPr>
          <w:sz w:val="22"/>
          <w:vertAlign w:val="superscript"/>
          <w:lang w:val="es-AR"/>
        </w:rPr>
        <w:t>13</w:t>
      </w:r>
      <w:r w:rsidR="008749FE" w:rsidRPr="00C45A97">
        <w:rPr>
          <w:lang w:val="es-AR"/>
        </w:rPr>
        <w:t xml:space="preserve"> </w:t>
      </w:r>
      <w:r w:rsidR="008749FE" w:rsidRPr="00C45A97">
        <w:rPr>
          <w:sz w:val="22"/>
          <w:lang w:val="es-AR"/>
        </w:rPr>
        <w:t>Escuela de Estudios Medioambientales, Universidad China de Geociencias, Wuhan, China</w:t>
      </w:r>
    </w:p>
    <w:p w14:paraId="39612D01" w14:textId="77777777" w:rsidR="00DC272E" w:rsidRPr="00C45A97" w:rsidRDefault="00DC272E" w:rsidP="005B5A5A">
      <w:pPr>
        <w:rPr>
          <w:lang w:val="es-AR"/>
        </w:rPr>
      </w:pPr>
    </w:p>
    <w:p w14:paraId="1B200E00" w14:textId="77777777" w:rsidR="004711D4" w:rsidRPr="00C45A97" w:rsidRDefault="004711D4" w:rsidP="005B5A5A">
      <w:pPr>
        <w:rPr>
          <w:lang w:val="es-AR"/>
        </w:rPr>
      </w:pPr>
    </w:p>
    <w:p w14:paraId="3A83FAE0" w14:textId="0EC623C0" w:rsidR="00A61BEA" w:rsidRPr="00C45A97" w:rsidRDefault="00C92E2C" w:rsidP="005B5A5A">
      <w:pPr>
        <w:rPr>
          <w:lang w:val="es-AR"/>
        </w:rPr>
      </w:pPr>
      <w:r w:rsidRPr="00C45A97">
        <w:rPr>
          <w:lang w:val="es-AR"/>
        </w:rPr>
        <w:lastRenderedPageBreak/>
        <w:t xml:space="preserve">Hace treinta años, en junio de 1992, se celebró en Río de Janeiro la Conferencia de las Naciones Unidas sobre Medio Ambiente y Desarrollo, conocida como la Cumbre de la Tierra. Allí, los delegados crearon la Convención Marco de las Naciones Unidas sobre el Cambio Climático (CMNUCC) y el Convenio sobre la Diversidad Biológica (CDB). Fue, en muchos sentidos, el comienzo de la misión internacional formal para controlar las emisiones de gases de efecto invernadero y reducir </w:t>
      </w:r>
      <w:r w:rsidR="00A5237F">
        <w:rPr>
          <w:lang w:val="es-AR"/>
        </w:rPr>
        <w:t>los</w:t>
      </w:r>
      <w:r w:rsidR="00A5237F" w:rsidRPr="00C45A97">
        <w:rPr>
          <w:lang w:val="es-AR"/>
        </w:rPr>
        <w:t xml:space="preserve"> </w:t>
      </w:r>
      <w:r w:rsidRPr="00C45A97">
        <w:rPr>
          <w:lang w:val="es-AR"/>
        </w:rPr>
        <w:t>impacto</w:t>
      </w:r>
      <w:r w:rsidR="00A5237F">
        <w:rPr>
          <w:lang w:val="es-AR"/>
        </w:rPr>
        <w:t>s</w:t>
      </w:r>
      <w:r w:rsidRPr="00C45A97">
        <w:rPr>
          <w:lang w:val="es-AR"/>
        </w:rPr>
        <w:t xml:space="preserve"> negativo</w:t>
      </w:r>
      <w:r w:rsidR="00A5237F">
        <w:rPr>
          <w:lang w:val="es-AR"/>
        </w:rPr>
        <w:t>s</w:t>
      </w:r>
      <w:r w:rsidRPr="00C45A97">
        <w:rPr>
          <w:lang w:val="es-AR"/>
        </w:rPr>
        <w:t xml:space="preserve"> de la humanidad </w:t>
      </w:r>
      <w:r w:rsidR="00A5237F">
        <w:rPr>
          <w:lang w:val="es-AR"/>
        </w:rPr>
        <w:t>sobre</w:t>
      </w:r>
      <w:r w:rsidR="00A5237F" w:rsidRPr="00C45A97">
        <w:rPr>
          <w:lang w:val="es-AR"/>
        </w:rPr>
        <w:t xml:space="preserve"> </w:t>
      </w:r>
      <w:r w:rsidRPr="00C45A97">
        <w:rPr>
          <w:lang w:val="es-AR"/>
        </w:rPr>
        <w:t>nuestro planeta. Desde entonces, la protección internacional del medio ambiente se ha vinculado a la erradicación de la pobreza y el hambre a través de los Objetivos de Desarrollo del Milenio en 2000, y más tarde los Objetivos de Desarrollo Sostenible.</w:t>
      </w:r>
    </w:p>
    <w:p w14:paraId="44D4B9F2" w14:textId="77777777" w:rsidR="00C92E2C" w:rsidRPr="00C45A97" w:rsidRDefault="00C92E2C" w:rsidP="005B5A5A">
      <w:pPr>
        <w:rPr>
          <w:lang w:val="es-AR"/>
        </w:rPr>
      </w:pPr>
    </w:p>
    <w:p w14:paraId="446D0B04" w14:textId="24EBFEB0" w:rsidR="00F8541E" w:rsidRPr="00C45A97" w:rsidRDefault="00C92E2C" w:rsidP="00F87DC2">
      <w:pPr>
        <w:rPr>
          <w:lang w:val="es-AR"/>
        </w:rPr>
      </w:pPr>
      <w:r w:rsidRPr="00C45A97">
        <w:rPr>
          <w:lang w:val="es-AR"/>
        </w:rPr>
        <w:t xml:space="preserve">Ahora, treinta años después, el mundo se calienta cada vez más rápido, millones de especies están en declive, los ecosistemas están sometidos a un estrés cada vez mayor y cientos de millones de personas siguen sin tener acceso a agua potable, energía y alimentos. Increíblemente, la </w:t>
      </w:r>
      <w:r w:rsidR="00A5237F">
        <w:rPr>
          <w:lang w:val="es-AR"/>
        </w:rPr>
        <w:t>cosmo</w:t>
      </w:r>
      <w:r w:rsidRPr="00C45A97">
        <w:rPr>
          <w:lang w:val="es-AR"/>
        </w:rPr>
        <w:t xml:space="preserve">visión de </w:t>
      </w:r>
      <w:r w:rsidR="00A5237F" w:rsidRPr="003D05F4">
        <w:rPr>
          <w:lang w:val="es-AR"/>
        </w:rPr>
        <w:t>“</w:t>
      </w:r>
      <w:r w:rsidRPr="00C45A97">
        <w:rPr>
          <w:lang w:val="es-AR"/>
        </w:rPr>
        <w:t>búsqueda del crecimiento</w:t>
      </w:r>
      <w:r w:rsidR="00A5237F" w:rsidRPr="003D05F4">
        <w:rPr>
          <w:lang w:val="es-AR"/>
        </w:rPr>
        <w:t>”</w:t>
      </w:r>
      <w:r w:rsidRPr="00C45A97">
        <w:rPr>
          <w:lang w:val="es-AR"/>
        </w:rPr>
        <w:t xml:space="preserve"> sigue predominando, y los líderes continúan actuando como si sus decisiones no tuvieran relación con estas crisis medioambientales en desarrollo. Aunque se habla </w:t>
      </w:r>
      <w:r w:rsidR="00A5237F">
        <w:rPr>
          <w:lang w:val="es-AR"/>
        </w:rPr>
        <w:t>mucho</w:t>
      </w:r>
      <w:r w:rsidRPr="00C45A97">
        <w:rPr>
          <w:lang w:val="es-AR"/>
        </w:rPr>
        <w:t xml:space="preserve">, se </w:t>
      </w:r>
      <w:r w:rsidR="00A5237F">
        <w:rPr>
          <w:lang w:val="es-AR"/>
        </w:rPr>
        <w:t>hace</w:t>
      </w:r>
      <w:r w:rsidR="00A5237F" w:rsidRPr="00C45A97">
        <w:rPr>
          <w:lang w:val="es-AR"/>
        </w:rPr>
        <w:t xml:space="preserve"> </w:t>
      </w:r>
      <w:r w:rsidRPr="00C45A97">
        <w:rPr>
          <w:lang w:val="es-AR"/>
        </w:rPr>
        <w:t xml:space="preserve">demasiado poco. </w:t>
      </w:r>
    </w:p>
    <w:p w14:paraId="591EAEC6" w14:textId="77777777" w:rsidR="00C92E2C" w:rsidRPr="00C45A97" w:rsidRDefault="00C92E2C" w:rsidP="00F87DC2">
      <w:pPr>
        <w:rPr>
          <w:lang w:val="es-AR"/>
        </w:rPr>
      </w:pPr>
    </w:p>
    <w:p w14:paraId="5F2DE8E1" w14:textId="6A027F78" w:rsidR="00987745" w:rsidRPr="00C45A97" w:rsidRDefault="00C92E2C" w:rsidP="00F87DC2">
      <w:pPr>
        <w:rPr>
          <w:lang w:val="es-AR"/>
        </w:rPr>
      </w:pPr>
      <w:r w:rsidRPr="00C45A97">
        <w:rPr>
          <w:lang w:val="es-AR"/>
        </w:rPr>
        <w:t xml:space="preserve">Nuestra generación se ha enriquecido, pero a menudo a costa de las generaciones futuras. No hemos dejado de </w:t>
      </w:r>
      <w:r w:rsidR="007A15B9">
        <w:rPr>
          <w:lang w:val="es-AR"/>
        </w:rPr>
        <w:t>tomar medidas</w:t>
      </w:r>
      <w:r w:rsidRPr="00C45A97">
        <w:rPr>
          <w:lang w:val="es-AR"/>
        </w:rPr>
        <w:t xml:space="preserve">, </w:t>
      </w:r>
      <w:r w:rsidR="007A15B9" w:rsidRPr="007A15B9">
        <w:rPr>
          <w:lang w:val="es-AR"/>
        </w:rPr>
        <w:t>pero las que hemos tomado hasta ahora no son suficiente</w:t>
      </w:r>
      <w:r w:rsidR="007A15B9">
        <w:rPr>
          <w:lang w:val="es-AR"/>
        </w:rPr>
        <w:t>s</w:t>
      </w:r>
      <w:r w:rsidRPr="00C45A97">
        <w:rPr>
          <w:lang w:val="es-AR"/>
        </w:rPr>
        <w:t xml:space="preserve">. La urgencia de hacer frente al cambio climático y a la pérdida de biodiversidad exige que todos nos pongamos manos a la obra. Y, sin embargo, la generación de la Cumbre de la Tierra no ha conseguido formar a los líderes ni mostrar la determinación para emprender acciones adecuadas que protejan el bienestar de las generaciones venideras. Retrasar la adopción de medidas serias para reducir el cambio climático y la pérdida de biodiversidad ha reducido las opciones y aumentado los riesgos, así como la urgencia y los </w:t>
      </w:r>
      <w:r w:rsidR="007A15B9" w:rsidRPr="00C45A97">
        <w:rPr>
          <w:lang w:val="es-AR"/>
        </w:rPr>
        <w:t>cost</w:t>
      </w:r>
      <w:r w:rsidR="007A15B9">
        <w:rPr>
          <w:lang w:val="es-AR"/>
        </w:rPr>
        <w:t>o</w:t>
      </w:r>
      <w:r w:rsidR="007A15B9" w:rsidRPr="00C45A97">
        <w:rPr>
          <w:lang w:val="es-AR"/>
        </w:rPr>
        <w:t xml:space="preserve">s </w:t>
      </w:r>
      <w:r w:rsidRPr="00C45A97">
        <w:rPr>
          <w:lang w:val="es-AR"/>
        </w:rPr>
        <w:t xml:space="preserve">de la acción. Tal y como están las cosas, las generaciones futuras tendrán menos opciones y </w:t>
      </w:r>
      <w:r w:rsidR="007A15B9">
        <w:rPr>
          <w:lang w:val="es-AR"/>
        </w:rPr>
        <w:t xml:space="preserve">serán </w:t>
      </w:r>
      <w:r w:rsidRPr="00C45A97">
        <w:rPr>
          <w:lang w:val="es-AR"/>
        </w:rPr>
        <w:t xml:space="preserve">más </w:t>
      </w:r>
      <w:r w:rsidR="007A15B9">
        <w:rPr>
          <w:lang w:val="es-AR"/>
        </w:rPr>
        <w:t>severas</w:t>
      </w:r>
      <w:r w:rsidRPr="00C45A97">
        <w:rPr>
          <w:lang w:val="es-AR"/>
        </w:rPr>
        <w:t xml:space="preserve">, </w:t>
      </w:r>
      <w:r w:rsidR="007A15B9">
        <w:rPr>
          <w:lang w:val="es-AR"/>
        </w:rPr>
        <w:t>lo que disminuirá</w:t>
      </w:r>
      <w:r w:rsidR="007A15B9" w:rsidRPr="00C45A97">
        <w:rPr>
          <w:lang w:val="es-AR"/>
        </w:rPr>
        <w:t xml:space="preserve"> </w:t>
      </w:r>
      <w:r w:rsidRPr="00C45A97">
        <w:rPr>
          <w:lang w:val="es-AR"/>
        </w:rPr>
        <w:t>sus capacidades</w:t>
      </w:r>
      <w:r w:rsidR="003F7031">
        <w:rPr>
          <w:rStyle w:val="Refdenotaalpie"/>
          <w:lang w:val="es-AR"/>
        </w:rPr>
        <w:footnoteReference w:id="3"/>
      </w:r>
      <w:r w:rsidRPr="00C45A97">
        <w:rPr>
          <w:lang w:val="es-AR"/>
        </w:rPr>
        <w:t xml:space="preserve"> para alcanzar su pleno potencial y, por tanto, </w:t>
      </w:r>
      <w:r w:rsidR="007A15B9">
        <w:rPr>
          <w:lang w:val="es-AR"/>
        </w:rPr>
        <w:t>acabarán</w:t>
      </w:r>
      <w:r w:rsidR="007A15B9" w:rsidRPr="00C45A97">
        <w:rPr>
          <w:lang w:val="es-AR"/>
        </w:rPr>
        <w:t xml:space="preserve"> </w:t>
      </w:r>
      <w:r w:rsidRPr="00C45A97">
        <w:rPr>
          <w:lang w:val="es-AR"/>
        </w:rPr>
        <w:t xml:space="preserve">más pobres de lo que habrían sido. </w:t>
      </w:r>
      <w:r w:rsidR="007A15B9">
        <w:rPr>
          <w:lang w:val="es-AR"/>
        </w:rPr>
        <w:t>La inacción</w:t>
      </w:r>
      <w:r w:rsidRPr="00C45A97">
        <w:rPr>
          <w:lang w:val="es-AR"/>
        </w:rPr>
        <w:t>, cuando la evidencia está a nuestro alrededor, no es ignorancia sino robo.</w:t>
      </w:r>
    </w:p>
    <w:p w14:paraId="391F3029" w14:textId="77777777" w:rsidR="00C92E2C" w:rsidRPr="00C45A97" w:rsidRDefault="00C92E2C" w:rsidP="00F87DC2">
      <w:pPr>
        <w:rPr>
          <w:lang w:val="es-AR"/>
        </w:rPr>
      </w:pPr>
    </w:p>
    <w:p w14:paraId="1FBDE836" w14:textId="4F6AE868" w:rsidR="002B4878" w:rsidRPr="00C45A97" w:rsidRDefault="00C92E2C" w:rsidP="0009209E">
      <w:pPr>
        <w:rPr>
          <w:lang w:val="es-AR"/>
        </w:rPr>
      </w:pPr>
      <w:r w:rsidRPr="00C45A97">
        <w:rPr>
          <w:lang w:val="es-AR"/>
        </w:rPr>
        <w:t>Este robo intergeneracional se está produciendo a una escala enorme, sin precedentes históricos, sin que se preste suficiente atención ni se proteste.</w:t>
      </w:r>
    </w:p>
    <w:p w14:paraId="0D2280D3" w14:textId="77777777" w:rsidR="00C92E2C" w:rsidRPr="00C45A97" w:rsidRDefault="00C92E2C" w:rsidP="0009209E">
      <w:pPr>
        <w:rPr>
          <w:lang w:val="es-AR"/>
        </w:rPr>
      </w:pPr>
    </w:p>
    <w:p w14:paraId="2AC6C763" w14:textId="0D4105B1" w:rsidR="00C73DCB" w:rsidRPr="003F7031" w:rsidRDefault="00C73DCB" w:rsidP="0009209E">
      <w:pPr>
        <w:rPr>
          <w:lang w:val="es-AR"/>
        </w:rPr>
      </w:pPr>
      <w:r w:rsidRPr="00C45A97">
        <w:rPr>
          <w:lang w:val="es-AR"/>
        </w:rPr>
        <w:t xml:space="preserve">Los coautores son investigadores y profesionales de las ciencias naturales, las ciencias sociales y la ingeniería. Nos guste o no, estamos en el lado de los </w:t>
      </w:r>
      <w:r w:rsidR="007A15B9">
        <w:rPr>
          <w:lang w:val="es-AR"/>
        </w:rPr>
        <w:t>“</w:t>
      </w:r>
      <w:r w:rsidRPr="00C45A97">
        <w:rPr>
          <w:lang w:val="es-AR"/>
        </w:rPr>
        <w:t>ladrones</w:t>
      </w:r>
      <w:r w:rsidR="007A15B9">
        <w:rPr>
          <w:lang w:val="es-AR"/>
        </w:rPr>
        <w:t>”</w:t>
      </w:r>
      <w:r w:rsidR="007A15B9" w:rsidRPr="00C45A97">
        <w:rPr>
          <w:lang w:val="es-AR"/>
        </w:rPr>
        <w:t xml:space="preserve"> </w:t>
      </w:r>
      <w:r w:rsidRPr="00C45A97">
        <w:rPr>
          <w:lang w:val="es-AR"/>
        </w:rPr>
        <w:t>de este robo intergeneracional porque no hemos sido capaces de convencer a los responsables políticos para que actúen, y nosotros mismos hemos dependido de los combustibles fósiles, por ejemplo, a través de años de volar a reuniones científicas</w:t>
      </w:r>
      <w:r w:rsidR="002B4878" w:rsidRPr="00C45A97">
        <w:rPr>
          <w:lang w:val="es-AR"/>
        </w:rPr>
        <w:t>.</w:t>
      </w:r>
      <w:r w:rsidR="00977E62">
        <w:rPr>
          <w:rStyle w:val="Refdenotaalpie"/>
          <w:lang w:val="en-US"/>
        </w:rPr>
        <w:footnoteReference w:id="4"/>
      </w:r>
      <w:r w:rsidR="002B4878" w:rsidRPr="00C45A97">
        <w:rPr>
          <w:lang w:val="es-AR"/>
        </w:rPr>
        <w:t xml:space="preserve"> </w:t>
      </w:r>
      <w:r w:rsidRPr="003F7031">
        <w:rPr>
          <w:lang w:val="es-AR"/>
        </w:rPr>
        <w:t xml:space="preserve">En esta coyuntura, sentimos frustración, tristeza y, algunos de </w:t>
      </w:r>
      <w:r w:rsidRPr="003F7031">
        <w:rPr>
          <w:lang w:val="es-AR"/>
        </w:rPr>
        <w:lastRenderedPageBreak/>
        <w:t>nosotros, incluso indignación y rabia ante la disminución de las perspectivas para las generaciones futuras.</w:t>
      </w:r>
    </w:p>
    <w:p w14:paraId="419340D6" w14:textId="77777777" w:rsidR="00AD2B67" w:rsidRPr="003F7031" w:rsidRDefault="00AD2B67" w:rsidP="0009209E">
      <w:pPr>
        <w:rPr>
          <w:lang w:val="es-AR"/>
        </w:rPr>
      </w:pPr>
    </w:p>
    <w:p w14:paraId="19927507" w14:textId="55340DEE" w:rsidR="00F62DED" w:rsidRPr="00C45A97" w:rsidRDefault="00C73DCB" w:rsidP="00082DE2">
      <w:pPr>
        <w:rPr>
          <w:rFonts w:eastAsia="TimesNewRomanPSMT" w:cs="Times New Roman"/>
          <w:szCs w:val="24"/>
          <w:lang w:val="es-AR"/>
        </w:rPr>
      </w:pPr>
      <w:r w:rsidRPr="00C45A97">
        <w:rPr>
          <w:rFonts w:eastAsia="TimesNewRomanPSMT" w:cs="Times New Roman"/>
          <w:szCs w:val="24"/>
          <w:lang w:val="es-AR"/>
        </w:rPr>
        <w:t xml:space="preserve">Nuestros conocimientos y consensos científicos, plasmados en las evaluaciones del Grupo Intergubernamental de Expertos sobre el Cambio Climático (IPCC), el CDB y otros, están </w:t>
      </w:r>
      <w:r w:rsidR="000B61BF" w:rsidRPr="000B61BF">
        <w:rPr>
          <w:rFonts w:eastAsia="TimesNewRomanPSMT" w:cs="Times New Roman"/>
          <w:szCs w:val="24"/>
          <w:lang w:val="es-AR"/>
        </w:rPr>
        <w:t>significativamente más avanzado</w:t>
      </w:r>
      <w:r w:rsidR="000B61BF">
        <w:rPr>
          <w:rFonts w:eastAsia="TimesNewRomanPSMT" w:cs="Times New Roman"/>
          <w:szCs w:val="24"/>
          <w:lang w:val="es-AR"/>
        </w:rPr>
        <w:t>s</w:t>
      </w:r>
      <w:r w:rsidR="000B61BF" w:rsidRPr="000B61BF">
        <w:rPr>
          <w:rFonts w:eastAsia="TimesNewRomanPSMT" w:cs="Times New Roman"/>
          <w:szCs w:val="24"/>
          <w:lang w:val="es-AR"/>
        </w:rPr>
        <w:t xml:space="preserve"> que las prácticas sociales actuales.</w:t>
      </w:r>
      <w:r w:rsidRPr="00C45A97">
        <w:rPr>
          <w:rFonts w:eastAsia="TimesNewRomanPSMT" w:cs="Times New Roman"/>
          <w:szCs w:val="24"/>
          <w:lang w:val="es-AR"/>
        </w:rPr>
        <w:t xml:space="preserve"> La comunidad de estudiosos de las ciencias medioambientales y de los recursos, entre los que nos incluimos, ha realizado una </w:t>
      </w:r>
      <w:r w:rsidR="000B61BF" w:rsidRPr="00C45A97">
        <w:rPr>
          <w:rFonts w:eastAsia="TimesNewRomanPSMT" w:cs="Times New Roman"/>
          <w:szCs w:val="24"/>
          <w:lang w:val="es-AR"/>
        </w:rPr>
        <w:t>inmensa</w:t>
      </w:r>
      <w:r w:rsidRPr="00C45A97">
        <w:rPr>
          <w:rFonts w:eastAsia="TimesNewRomanPSMT" w:cs="Times New Roman"/>
          <w:szCs w:val="24"/>
          <w:lang w:val="es-AR"/>
        </w:rPr>
        <w:t xml:space="preserve"> labor de investigación para </w:t>
      </w:r>
      <w:r w:rsidR="000B61BF">
        <w:rPr>
          <w:rFonts w:eastAsia="TimesNewRomanPSMT" w:cs="Times New Roman"/>
          <w:szCs w:val="24"/>
          <w:lang w:val="es-AR"/>
        </w:rPr>
        <w:t>revelar</w:t>
      </w:r>
      <w:r w:rsidR="000B61BF" w:rsidRPr="00C45A97">
        <w:rPr>
          <w:rFonts w:eastAsia="TimesNewRomanPSMT" w:cs="Times New Roman"/>
          <w:szCs w:val="24"/>
          <w:lang w:val="es-AR"/>
        </w:rPr>
        <w:t xml:space="preserve"> </w:t>
      </w:r>
      <w:r w:rsidRPr="00C45A97">
        <w:rPr>
          <w:rFonts w:eastAsia="TimesNewRomanPSMT" w:cs="Times New Roman"/>
          <w:szCs w:val="24"/>
          <w:lang w:val="es-AR"/>
        </w:rPr>
        <w:t xml:space="preserve">las causas, los </w:t>
      </w:r>
      <w:r w:rsidR="000B61BF">
        <w:rPr>
          <w:rFonts w:eastAsia="TimesNewRomanPSMT" w:cs="Times New Roman"/>
          <w:szCs w:val="24"/>
          <w:lang w:val="es-AR"/>
        </w:rPr>
        <w:t>impulsores</w:t>
      </w:r>
      <w:r w:rsidR="000B61BF" w:rsidRPr="00C45A97">
        <w:rPr>
          <w:rFonts w:eastAsia="TimesNewRomanPSMT" w:cs="Times New Roman"/>
          <w:szCs w:val="24"/>
          <w:lang w:val="es-AR"/>
        </w:rPr>
        <w:t xml:space="preserve"> </w:t>
      </w:r>
      <w:r w:rsidRPr="00C45A97">
        <w:rPr>
          <w:rFonts w:eastAsia="TimesNewRomanPSMT" w:cs="Times New Roman"/>
          <w:szCs w:val="24"/>
          <w:lang w:val="es-AR"/>
        </w:rPr>
        <w:t>y las consecuencias de la degradación medioambiental, el agotamiento de los recursos y el cambio climático, así como para evaluar las posibles respuestas. La investigación sigue siendo importante, pero es evidente que por sí sola no ha bastado para impulsar una acción eficaz y un cambio transformador.</w:t>
      </w:r>
    </w:p>
    <w:p w14:paraId="30EF83DA" w14:textId="77777777" w:rsidR="00C73DCB" w:rsidRPr="00C45A97" w:rsidRDefault="00C73DCB" w:rsidP="00082DE2">
      <w:pPr>
        <w:rPr>
          <w:lang w:val="es-AR"/>
        </w:rPr>
      </w:pPr>
    </w:p>
    <w:p w14:paraId="783EB63F" w14:textId="6A703B2E" w:rsidR="00533BC0" w:rsidRPr="00C45A97" w:rsidRDefault="00C73DCB" w:rsidP="0009209E">
      <w:pPr>
        <w:rPr>
          <w:rFonts w:eastAsia="TimesNewRomanPSMT" w:cs="Times New Roman"/>
          <w:szCs w:val="24"/>
          <w:lang w:val="es-AR"/>
        </w:rPr>
      </w:pPr>
      <w:r w:rsidRPr="00C45A97">
        <w:rPr>
          <w:rFonts w:eastAsia="TimesNewRomanPSMT" w:cs="Times New Roman"/>
          <w:szCs w:val="24"/>
          <w:lang w:val="es-AR"/>
        </w:rPr>
        <w:t>Aunque algunas empresas líderes se han asociado con investigadores y la sociedad civil para adoptar objetivos basados en la ciencia con el fin de reducir su impacto medioambiental, pocas han prestado su influencia para abogar por cambios en las políticas públicas (como un precio a las emisiones de carbono) que creen incentivos para el cambio estructural; otras se muestran desinteresadas o poco dispuestas a abandonar las tecnologías contaminantes.</w:t>
      </w:r>
    </w:p>
    <w:p w14:paraId="56D841B0" w14:textId="77777777" w:rsidR="00C73DCB" w:rsidRPr="00C45A97" w:rsidRDefault="00C73DCB" w:rsidP="0009209E">
      <w:pPr>
        <w:rPr>
          <w:lang w:val="es-AR"/>
        </w:rPr>
      </w:pPr>
    </w:p>
    <w:p w14:paraId="43569C9B" w14:textId="2A6C1178" w:rsidR="004963A0" w:rsidRPr="00C45A97" w:rsidRDefault="00C73DCB" w:rsidP="00F62C14">
      <w:pPr>
        <w:rPr>
          <w:lang w:val="es-AR"/>
        </w:rPr>
      </w:pPr>
      <w:r w:rsidRPr="00C45A97">
        <w:rPr>
          <w:lang w:val="es-AR"/>
        </w:rPr>
        <w:t xml:space="preserve">¿Por qué </w:t>
      </w:r>
      <w:r w:rsidR="00F60969">
        <w:rPr>
          <w:lang w:val="es-AR"/>
        </w:rPr>
        <w:t>medidas</w:t>
      </w:r>
      <w:r w:rsidR="00F60969" w:rsidRPr="00C45A97">
        <w:rPr>
          <w:lang w:val="es-AR"/>
        </w:rPr>
        <w:t xml:space="preserve"> </w:t>
      </w:r>
      <w:r w:rsidRPr="00C45A97">
        <w:rPr>
          <w:lang w:val="es-AR"/>
        </w:rPr>
        <w:t xml:space="preserve">tan débiles? Hay muchas razones. Se trata de problemas realmente complejos y las soluciones tienen repercusiones </w:t>
      </w:r>
      <w:r w:rsidR="00F60969" w:rsidRPr="00C45A97">
        <w:rPr>
          <w:lang w:val="es-AR"/>
        </w:rPr>
        <w:t>heterogéneas</w:t>
      </w:r>
      <w:r w:rsidRPr="00C45A97">
        <w:rPr>
          <w:lang w:val="es-AR"/>
        </w:rPr>
        <w:t xml:space="preserve">, </w:t>
      </w:r>
      <w:r w:rsidR="00F60969">
        <w:rPr>
          <w:lang w:val="es-AR"/>
        </w:rPr>
        <w:t>que crean</w:t>
      </w:r>
      <w:r w:rsidR="00F60969" w:rsidRPr="00C45A97">
        <w:rPr>
          <w:lang w:val="es-AR"/>
        </w:rPr>
        <w:t xml:space="preserve"> </w:t>
      </w:r>
      <w:r w:rsidRPr="00C45A97">
        <w:rPr>
          <w:lang w:val="es-AR"/>
        </w:rPr>
        <w:t>ganadores</w:t>
      </w:r>
      <w:r w:rsidR="007D65B5">
        <w:rPr>
          <w:lang w:val="es-AR"/>
        </w:rPr>
        <w:t xml:space="preserve"> y </w:t>
      </w:r>
      <w:r w:rsidR="007D65B5" w:rsidRPr="00C45A97">
        <w:rPr>
          <w:lang w:val="es-AR"/>
        </w:rPr>
        <w:t>perdedores</w:t>
      </w:r>
      <w:r w:rsidRPr="00C45A97">
        <w:rPr>
          <w:lang w:val="es-AR"/>
        </w:rPr>
        <w:t xml:space="preserve">. </w:t>
      </w:r>
      <w:r w:rsidR="007D65B5" w:rsidRPr="007D65B5">
        <w:rPr>
          <w:lang w:val="es-AR"/>
        </w:rPr>
        <w:t>Esta complejidad permite a los grupos con intereses creados desviar la atención, obstaculizando así la adopción de medidas enérgicas y con visión de futuro</w:t>
      </w:r>
      <w:r w:rsidRPr="00C45A97">
        <w:rPr>
          <w:lang w:val="es-AR"/>
        </w:rPr>
        <w:t xml:space="preserve">. Además, el 10% de las personas más ricas del mundo son responsables de más de la mitad de las emisiones planetarias y tienen </w:t>
      </w:r>
      <w:r w:rsidR="007D65B5">
        <w:rPr>
          <w:lang w:val="es-AR"/>
        </w:rPr>
        <w:t>intereses creados</w:t>
      </w:r>
      <w:r w:rsidRPr="00C45A97">
        <w:rPr>
          <w:lang w:val="es-AR"/>
        </w:rPr>
        <w:t xml:space="preserve"> en continuar con estilos de vida de alto impacto. Para todos nosotros, sobre todo para el 90% </w:t>
      </w:r>
      <w:r w:rsidR="007D65B5">
        <w:rPr>
          <w:lang w:val="es-AR"/>
        </w:rPr>
        <w:t>menos pudiente</w:t>
      </w:r>
      <w:r w:rsidRPr="00C45A97">
        <w:rPr>
          <w:lang w:val="es-AR"/>
        </w:rPr>
        <w:t xml:space="preserve">, las opciones se ven limitadas por la infraestructura y los sistemas </w:t>
      </w:r>
      <w:r w:rsidR="007D65B5">
        <w:rPr>
          <w:lang w:val="es-AR"/>
        </w:rPr>
        <w:t>actuales</w:t>
      </w:r>
      <w:r w:rsidRPr="00C45A97">
        <w:rPr>
          <w:lang w:val="es-AR"/>
        </w:rPr>
        <w:t xml:space="preserve">. Inmensas fuerzas políticas y económicas mantienen el rumbo de nuestro Titanic colectivo, impidiéndole </w:t>
      </w:r>
      <w:r w:rsidR="007D65B5">
        <w:rPr>
          <w:lang w:val="es-AR"/>
        </w:rPr>
        <w:t xml:space="preserve">esquivar el </w:t>
      </w:r>
      <w:r w:rsidRPr="00C45A97">
        <w:rPr>
          <w:lang w:val="es-AR"/>
        </w:rPr>
        <w:t>desastre.</w:t>
      </w:r>
    </w:p>
    <w:p w14:paraId="6521CE33" w14:textId="77777777" w:rsidR="00C73DCB" w:rsidRPr="00C45A97" w:rsidRDefault="00C73DCB" w:rsidP="00F62C14">
      <w:pPr>
        <w:rPr>
          <w:lang w:val="es-AR"/>
        </w:rPr>
      </w:pPr>
    </w:p>
    <w:p w14:paraId="6CC2CC82" w14:textId="310FF3DF" w:rsidR="004963A0" w:rsidRPr="00C45A97" w:rsidRDefault="008D51D1" w:rsidP="004963A0">
      <w:pPr>
        <w:rPr>
          <w:lang w:val="es-AR"/>
        </w:rPr>
      </w:pPr>
      <w:r w:rsidRPr="008D51D1">
        <w:rPr>
          <w:lang w:val="es-AR"/>
        </w:rPr>
        <w:t>Debido a intereses creados, la investigación medioambiental se enfrenta en ocasiones a la oposición de entidades influyentes</w:t>
      </w:r>
      <w:r>
        <w:rPr>
          <w:lang w:val="es-AR"/>
        </w:rPr>
        <w:t>. Esto es similar a como</w:t>
      </w:r>
      <w:r w:rsidR="00C73DCB" w:rsidRPr="00C45A97">
        <w:rPr>
          <w:lang w:val="es-AR"/>
        </w:rPr>
        <w:t xml:space="preserve"> poderosas empresas y algunos políticos </w:t>
      </w:r>
      <w:r>
        <w:rPr>
          <w:lang w:val="es-AR"/>
        </w:rPr>
        <w:t>cuestionaron</w:t>
      </w:r>
      <w:r w:rsidRPr="00C45A97">
        <w:rPr>
          <w:lang w:val="es-AR"/>
        </w:rPr>
        <w:t xml:space="preserve"> </w:t>
      </w:r>
      <w:r w:rsidR="00C73DCB" w:rsidRPr="00C45A97">
        <w:rPr>
          <w:lang w:val="es-AR"/>
        </w:rPr>
        <w:t>la necesidad (e incluso la validez) de la investigación en salud pública sobre las propiedades cancerígenas del tabaco, el amianto, la dioxina, etc. El informe más reciente del IPCC</w:t>
      </w:r>
      <w:r w:rsidR="00EE1EAF">
        <w:rPr>
          <w:rStyle w:val="Refdenotaalpie"/>
          <w:rFonts w:cs="Times New Roman"/>
          <w:szCs w:val="24"/>
          <w:lang w:val="en-US"/>
        </w:rPr>
        <w:footnoteReference w:id="5"/>
      </w:r>
      <w:r w:rsidR="00EE1EAF" w:rsidRPr="00C45A97">
        <w:rPr>
          <w:rFonts w:cs="Times New Roman"/>
          <w:szCs w:val="24"/>
          <w:lang w:val="es-AR"/>
        </w:rPr>
        <w:t xml:space="preserve"> </w:t>
      </w:r>
      <w:r w:rsidR="00C73DCB" w:rsidRPr="00C45A97">
        <w:rPr>
          <w:rFonts w:cs="Times New Roman"/>
          <w:szCs w:val="24"/>
          <w:lang w:val="es-AR"/>
        </w:rPr>
        <w:t xml:space="preserve">afirma explícitamente que </w:t>
      </w:r>
      <w:r w:rsidR="00C05C3A">
        <w:rPr>
          <w:rFonts w:cs="Times New Roman"/>
          <w:szCs w:val="24"/>
          <w:lang w:val="es-AR"/>
        </w:rPr>
        <w:t>“</w:t>
      </w:r>
      <w:r w:rsidR="00C73DCB" w:rsidRPr="003D05F4">
        <w:rPr>
          <w:rFonts w:cs="Times New Roman"/>
          <w:i/>
          <w:iCs/>
          <w:szCs w:val="24"/>
          <w:lang w:val="es-AR"/>
        </w:rPr>
        <w:t>la retórica y la desinformación sobre el cambio climático y el debilitamiento deliberado de la ciencia</w:t>
      </w:r>
      <w:r w:rsidR="004C14CD" w:rsidRPr="003D05F4">
        <w:rPr>
          <w:rFonts w:cs="Times New Roman"/>
          <w:szCs w:val="24"/>
          <w:lang w:val="es-AR"/>
        </w:rPr>
        <w:t>”</w:t>
      </w:r>
      <w:r w:rsidR="004C14CD">
        <w:rPr>
          <w:rFonts w:cs="Times New Roman"/>
          <w:i/>
          <w:iCs/>
          <w:szCs w:val="24"/>
          <w:lang w:val="es-AR"/>
        </w:rPr>
        <w:t xml:space="preserve"> </w:t>
      </w:r>
      <w:r w:rsidR="00C73DCB" w:rsidRPr="00C45A97">
        <w:rPr>
          <w:rFonts w:cs="Times New Roman"/>
          <w:szCs w:val="24"/>
          <w:lang w:val="es-AR"/>
        </w:rPr>
        <w:t>han restado importancia a los riesgos para el planeta. Los críticos también se han apresurado a socavar a los científicos considerados activistas</w:t>
      </w:r>
      <w:r w:rsidR="004963A0" w:rsidRPr="00C45A97">
        <w:rPr>
          <w:lang w:val="es-AR"/>
        </w:rPr>
        <w:t xml:space="preserve">. </w:t>
      </w:r>
    </w:p>
    <w:p w14:paraId="082C8E24" w14:textId="77777777" w:rsidR="0084739D" w:rsidRPr="00C45A97" w:rsidRDefault="0084739D" w:rsidP="00F62C14">
      <w:pPr>
        <w:rPr>
          <w:lang w:val="es-AR"/>
        </w:rPr>
      </w:pPr>
    </w:p>
    <w:p w14:paraId="639D3DAB" w14:textId="3C980B25" w:rsidR="006F680F" w:rsidRPr="00C45A97" w:rsidRDefault="00C27169">
      <w:pPr>
        <w:rPr>
          <w:lang w:val="es-AR"/>
        </w:rPr>
      </w:pPr>
      <w:r w:rsidRPr="00C45A97">
        <w:rPr>
          <w:lang w:val="es-AR"/>
        </w:rPr>
        <w:t xml:space="preserve">Una revisión de 2021 en esta revista titulada </w:t>
      </w:r>
      <w:r w:rsidR="00BA79BC">
        <w:rPr>
          <w:lang w:val="es-AR"/>
        </w:rPr>
        <w:t>“</w:t>
      </w:r>
      <w:r w:rsidR="008D51D1" w:rsidRPr="003D05F4">
        <w:rPr>
          <w:lang w:val="es-AR"/>
        </w:rPr>
        <w:t>Three Decades of Climate Mitigation</w:t>
      </w:r>
      <w:r w:rsidRPr="00C45A97">
        <w:rPr>
          <w:lang w:val="es-AR"/>
        </w:rPr>
        <w:t>: Why Haven't We Bent the Global Emissions Curve</w:t>
      </w:r>
      <w:r w:rsidR="008D51D1" w:rsidRPr="00C45A97">
        <w:rPr>
          <w:lang w:val="es-AR"/>
        </w:rPr>
        <w:t>?</w:t>
      </w:r>
      <w:r w:rsidR="00BA79BC">
        <w:rPr>
          <w:lang w:val="es-AR"/>
        </w:rPr>
        <w:t>”</w:t>
      </w:r>
      <w:r w:rsidR="008A14FE">
        <w:rPr>
          <w:rStyle w:val="Refdenotaalpie"/>
          <w:lang w:val="es-AR"/>
        </w:rPr>
        <w:footnoteReference w:id="6"/>
      </w:r>
      <w:r w:rsidR="008D51D1" w:rsidRPr="00C45A97">
        <w:rPr>
          <w:lang w:val="es-AR"/>
        </w:rPr>
        <w:t xml:space="preserve"> </w:t>
      </w:r>
      <w:r w:rsidRPr="00C45A97">
        <w:rPr>
          <w:lang w:val="es-AR"/>
        </w:rPr>
        <w:t>(</w:t>
      </w:r>
      <w:r w:rsidR="00B1659E">
        <w:rPr>
          <w:lang w:val="es-AR"/>
        </w:rPr>
        <w:t>“</w:t>
      </w:r>
      <w:r w:rsidRPr="00C45A97">
        <w:rPr>
          <w:lang w:val="es-AR"/>
        </w:rPr>
        <w:t xml:space="preserve">Tres décadas de mitigación del cambio climático: ¿por qué no hemos </w:t>
      </w:r>
      <w:r w:rsidR="008D51D1">
        <w:rPr>
          <w:lang w:val="es-AR"/>
        </w:rPr>
        <w:t>modificado</w:t>
      </w:r>
      <w:r w:rsidR="008D51D1" w:rsidRPr="00C45A97">
        <w:rPr>
          <w:lang w:val="es-AR"/>
        </w:rPr>
        <w:t xml:space="preserve"> </w:t>
      </w:r>
      <w:r w:rsidRPr="00C45A97">
        <w:rPr>
          <w:lang w:val="es-AR"/>
        </w:rPr>
        <w:t xml:space="preserve">la curva </w:t>
      </w:r>
      <w:r w:rsidR="008D51D1">
        <w:rPr>
          <w:lang w:val="es-AR"/>
        </w:rPr>
        <w:t xml:space="preserve">mundial </w:t>
      </w:r>
      <w:r w:rsidRPr="00C45A97">
        <w:rPr>
          <w:lang w:val="es-AR"/>
        </w:rPr>
        <w:t>de emisiones?</w:t>
      </w:r>
      <w:r w:rsidR="00B1659E">
        <w:rPr>
          <w:lang w:val="es-AR"/>
        </w:rPr>
        <w:t>”</w:t>
      </w:r>
      <w:r w:rsidR="00BA79BC">
        <w:rPr>
          <w:lang w:val="es-AR"/>
        </w:rPr>
        <w:t>)</w:t>
      </w:r>
      <w:r w:rsidRPr="00C45A97">
        <w:rPr>
          <w:lang w:val="es-AR"/>
        </w:rPr>
        <w:t xml:space="preserve"> </w:t>
      </w:r>
      <w:r w:rsidR="00BA79BC" w:rsidRPr="00BA79BC">
        <w:rPr>
          <w:lang w:val="es-AR"/>
        </w:rPr>
        <w:t xml:space="preserve">enmarca la cuestión de la siguiente manera </w:t>
      </w:r>
      <w:r w:rsidR="00BA79BC">
        <w:rPr>
          <w:lang w:val="es-AR"/>
        </w:rPr>
        <w:t>“</w:t>
      </w:r>
      <w:r w:rsidR="00BA79BC" w:rsidRPr="00C45A97">
        <w:rPr>
          <w:lang w:val="es-AR"/>
        </w:rPr>
        <w:t>...</w:t>
      </w:r>
      <w:r w:rsidRPr="003D05F4">
        <w:rPr>
          <w:i/>
          <w:iCs/>
          <w:lang w:val="es-AR"/>
        </w:rPr>
        <w:t xml:space="preserve">un hilo común que emerge a través de la </w:t>
      </w:r>
      <w:r w:rsidR="00BA79BC" w:rsidRPr="003D05F4">
        <w:rPr>
          <w:i/>
          <w:iCs/>
          <w:lang w:val="es-AR"/>
        </w:rPr>
        <w:t>bibliografía</w:t>
      </w:r>
      <w:r w:rsidRPr="003D05F4">
        <w:rPr>
          <w:i/>
          <w:iCs/>
          <w:lang w:val="es-AR"/>
        </w:rPr>
        <w:t xml:space="preserve"> revisada es el papel central del poder, manifestado de muchas formas, desde una hegemonía político-económica dogmática e influyentes intereses creados hasta mentalidades tecno-económicas</w:t>
      </w:r>
      <w:r w:rsidR="00BA79BC">
        <w:rPr>
          <w:i/>
          <w:iCs/>
          <w:lang w:val="es-AR"/>
        </w:rPr>
        <w:t xml:space="preserve"> </w:t>
      </w:r>
      <w:r w:rsidR="00BA79BC" w:rsidRPr="007516B5">
        <w:rPr>
          <w:i/>
          <w:iCs/>
          <w:lang w:val="es-AR"/>
        </w:rPr>
        <w:t>estrechas</w:t>
      </w:r>
      <w:r w:rsidRPr="003D05F4">
        <w:rPr>
          <w:i/>
          <w:iCs/>
          <w:lang w:val="es-AR"/>
        </w:rPr>
        <w:t xml:space="preserve"> e ideologías de control</w:t>
      </w:r>
      <w:r w:rsidR="00BA79BC">
        <w:rPr>
          <w:lang w:val="es-AR"/>
        </w:rPr>
        <w:t>”</w:t>
      </w:r>
      <w:r w:rsidR="00BA79BC" w:rsidRPr="00C45A97">
        <w:rPr>
          <w:lang w:val="es-AR"/>
        </w:rPr>
        <w:t xml:space="preserve">. </w:t>
      </w:r>
      <w:r w:rsidRPr="00C45A97">
        <w:rPr>
          <w:lang w:val="es-AR"/>
        </w:rPr>
        <w:t xml:space="preserve">Aunque en la comunidad </w:t>
      </w:r>
      <w:r w:rsidR="00BA79BC">
        <w:rPr>
          <w:lang w:val="es-AR"/>
        </w:rPr>
        <w:t>científica</w:t>
      </w:r>
      <w:r w:rsidR="00BA79BC" w:rsidRPr="00C45A97">
        <w:rPr>
          <w:lang w:val="es-AR"/>
        </w:rPr>
        <w:t xml:space="preserve"> </w:t>
      </w:r>
      <w:r w:rsidRPr="00C45A97">
        <w:rPr>
          <w:lang w:val="es-AR"/>
        </w:rPr>
        <w:t>mundial sabemos mucho sobre ciencia, no sabemos lo suficiente sobre cómo romper estas estructuras de poder y promover un cambio transformador.</w:t>
      </w:r>
    </w:p>
    <w:p w14:paraId="2A447B20" w14:textId="77777777" w:rsidR="00C27169" w:rsidRPr="00C45A97" w:rsidRDefault="00C27169">
      <w:pPr>
        <w:rPr>
          <w:lang w:val="es-AR"/>
        </w:rPr>
      </w:pPr>
    </w:p>
    <w:p w14:paraId="0F5C5BCB" w14:textId="34B6EAA8" w:rsidR="00C27169" w:rsidRPr="00C45A97" w:rsidRDefault="00C27169" w:rsidP="00C27169">
      <w:pPr>
        <w:rPr>
          <w:lang w:val="es-AR"/>
        </w:rPr>
      </w:pPr>
      <w:r w:rsidRPr="00C45A97">
        <w:rPr>
          <w:lang w:val="es-AR"/>
        </w:rPr>
        <w:t xml:space="preserve">Aunque una cosa es exponer el problema, ¿qué podemos hacer como editores de una revista científica para </w:t>
      </w:r>
      <w:r w:rsidR="00C05C3A">
        <w:rPr>
          <w:lang w:val="es-AR"/>
        </w:rPr>
        <w:t>facilitar</w:t>
      </w:r>
      <w:r w:rsidR="00C05C3A" w:rsidRPr="00C45A97">
        <w:rPr>
          <w:lang w:val="es-AR"/>
        </w:rPr>
        <w:t xml:space="preserve"> </w:t>
      </w:r>
      <w:r w:rsidRPr="00C45A97">
        <w:rPr>
          <w:lang w:val="es-AR"/>
        </w:rPr>
        <w:t xml:space="preserve">soluciones a estos </w:t>
      </w:r>
      <w:r w:rsidR="00C05C3A">
        <w:rPr>
          <w:lang w:val="es-AR"/>
        </w:rPr>
        <w:t>desafíos</w:t>
      </w:r>
      <w:r w:rsidRPr="00C45A97">
        <w:rPr>
          <w:lang w:val="es-AR"/>
        </w:rPr>
        <w:t xml:space="preserve">? </w:t>
      </w:r>
    </w:p>
    <w:p w14:paraId="653A2933" w14:textId="77777777" w:rsidR="00C27169" w:rsidRPr="00C45A97" w:rsidRDefault="00C27169" w:rsidP="00C27169">
      <w:pPr>
        <w:rPr>
          <w:lang w:val="es-AR"/>
        </w:rPr>
      </w:pPr>
      <w:r w:rsidRPr="00C45A97">
        <w:rPr>
          <w:lang w:val="es-AR"/>
        </w:rPr>
        <w:t xml:space="preserve"> </w:t>
      </w:r>
    </w:p>
    <w:p w14:paraId="31B661D1" w14:textId="1F7BF91F" w:rsidR="00367897" w:rsidRPr="00C45A97" w:rsidRDefault="00C27169" w:rsidP="00C27169">
      <w:pPr>
        <w:rPr>
          <w:lang w:val="es-AR"/>
        </w:rPr>
      </w:pPr>
      <w:r w:rsidRPr="00C45A97">
        <w:rPr>
          <w:lang w:val="es-AR"/>
        </w:rPr>
        <w:t xml:space="preserve">No es demasiado tarde. La comunidad investigadora puede marcar la diferencia, pero no si se limita a hacer más de lo mismo. Necesitamos algo más que una investigación sobresaliente. También necesitamos una reorientación estratégica de la investigación sobresaliente para que </w:t>
      </w:r>
      <w:r w:rsidR="00C05C3A">
        <w:rPr>
          <w:lang w:val="es-AR"/>
        </w:rPr>
        <w:t>sirva de apoyo a</w:t>
      </w:r>
      <w:r w:rsidR="00C05C3A" w:rsidRPr="00C45A97">
        <w:rPr>
          <w:lang w:val="es-AR"/>
        </w:rPr>
        <w:t xml:space="preserve"> </w:t>
      </w:r>
      <w:r w:rsidRPr="00C45A97">
        <w:rPr>
          <w:lang w:val="es-AR"/>
        </w:rPr>
        <w:t xml:space="preserve">la acción. Y lo que es igual de importante, necesitamos colaboraciones y acciones que se resistan activamente al robo intergeneracional y </w:t>
      </w:r>
      <w:r w:rsidR="00C05C3A">
        <w:rPr>
          <w:lang w:val="es-AR"/>
        </w:rPr>
        <w:t>lo reviertan</w:t>
      </w:r>
      <w:r w:rsidRPr="00C45A97">
        <w:rPr>
          <w:lang w:val="es-AR"/>
        </w:rPr>
        <w:t>.</w:t>
      </w:r>
    </w:p>
    <w:p w14:paraId="2C6EAD22" w14:textId="77777777" w:rsidR="00C27169" w:rsidRPr="00C45A97" w:rsidRDefault="00C27169" w:rsidP="00C27169">
      <w:pPr>
        <w:rPr>
          <w:lang w:val="es-AR"/>
        </w:rPr>
      </w:pPr>
    </w:p>
    <w:p w14:paraId="38347F7E" w14:textId="00129F42" w:rsidR="00C27169" w:rsidRPr="00C45A97" w:rsidRDefault="004C14CD" w:rsidP="00C27169">
      <w:pPr>
        <w:rPr>
          <w:lang w:val="es-AR"/>
        </w:rPr>
      </w:pPr>
      <w:r>
        <w:rPr>
          <w:lang w:val="es-AR"/>
        </w:rPr>
        <w:t>L</w:t>
      </w:r>
      <w:r w:rsidR="00C27169" w:rsidRPr="00C45A97">
        <w:rPr>
          <w:lang w:val="es-AR"/>
        </w:rPr>
        <w:t xml:space="preserve">a acción </w:t>
      </w:r>
      <w:r>
        <w:rPr>
          <w:lang w:val="es-AR"/>
        </w:rPr>
        <w:t>basada en</w:t>
      </w:r>
      <w:r w:rsidR="00C27169" w:rsidRPr="00C45A97">
        <w:rPr>
          <w:lang w:val="es-AR"/>
        </w:rPr>
        <w:t xml:space="preserve"> la ciencia </w:t>
      </w:r>
      <w:r>
        <w:rPr>
          <w:lang w:val="es-AR"/>
        </w:rPr>
        <w:t>requiere</w:t>
      </w:r>
      <w:r w:rsidR="00C27169" w:rsidRPr="00C45A97">
        <w:rPr>
          <w:lang w:val="es-AR"/>
        </w:rPr>
        <w:t xml:space="preserve"> la colaboración entre los científicos y los gobiernos, los medios de comunicación, las empresas, la sociedad civil y otros agentes. </w:t>
      </w:r>
      <w:r>
        <w:rPr>
          <w:lang w:val="es-AR"/>
        </w:rPr>
        <w:t>Mantener la</w:t>
      </w:r>
      <w:r w:rsidR="00C27169" w:rsidRPr="00C45A97">
        <w:rPr>
          <w:lang w:val="es-AR"/>
        </w:rPr>
        <w:t xml:space="preserve"> credibilidad en un entorno polarizado y político es sumamente difícil. Esto no debe disuadirnos. </w:t>
      </w:r>
      <w:r w:rsidRPr="004C14CD">
        <w:rPr>
          <w:lang w:val="es-AR"/>
        </w:rPr>
        <w:t>Debemos comprometernos plenamente y compartir nuestros conocimientos de la manera más eficaz posible,</w:t>
      </w:r>
      <w:r w:rsidR="00C27169" w:rsidRPr="00C45A97">
        <w:rPr>
          <w:lang w:val="es-AR"/>
        </w:rPr>
        <w:t xml:space="preserve"> </w:t>
      </w:r>
      <w:r w:rsidR="004707AB" w:rsidRPr="004707AB">
        <w:rPr>
          <w:lang w:val="es-AR"/>
        </w:rPr>
        <w:t>narrando historias convincentes y asegurándonos de que nuestros relatos</w:t>
      </w:r>
      <w:r w:rsidR="004707AB">
        <w:rPr>
          <w:lang w:val="es-AR"/>
        </w:rPr>
        <w:t xml:space="preserve"> </w:t>
      </w:r>
      <w:r w:rsidR="00C27169" w:rsidRPr="00C45A97">
        <w:rPr>
          <w:lang w:val="es-AR"/>
        </w:rPr>
        <w:t xml:space="preserve">estén </w:t>
      </w:r>
      <w:r w:rsidR="004707AB" w:rsidRPr="00C45A97">
        <w:rPr>
          <w:lang w:val="es-AR"/>
        </w:rPr>
        <w:t>basad</w:t>
      </w:r>
      <w:r w:rsidR="004707AB">
        <w:rPr>
          <w:lang w:val="es-AR"/>
        </w:rPr>
        <w:t>o</w:t>
      </w:r>
      <w:r w:rsidR="004707AB" w:rsidRPr="00C45A97">
        <w:rPr>
          <w:lang w:val="es-AR"/>
        </w:rPr>
        <w:t xml:space="preserve">s </w:t>
      </w:r>
      <w:r w:rsidR="00C27169" w:rsidRPr="00C45A97">
        <w:rPr>
          <w:lang w:val="es-AR"/>
        </w:rPr>
        <w:t xml:space="preserve">en pruebas y hechos. </w:t>
      </w:r>
    </w:p>
    <w:p w14:paraId="510BD53F" w14:textId="77777777" w:rsidR="00C27169" w:rsidRPr="00C45A97" w:rsidRDefault="00C27169" w:rsidP="00C27169">
      <w:pPr>
        <w:rPr>
          <w:lang w:val="es-AR"/>
        </w:rPr>
      </w:pPr>
    </w:p>
    <w:p w14:paraId="46E4A83D" w14:textId="65745B59" w:rsidR="00367897" w:rsidRPr="00C45A97" w:rsidRDefault="00C27169" w:rsidP="00C27169">
      <w:pPr>
        <w:rPr>
          <w:lang w:val="es-AR"/>
        </w:rPr>
      </w:pPr>
      <w:r w:rsidRPr="00C45A97">
        <w:rPr>
          <w:lang w:val="es-AR"/>
        </w:rPr>
        <w:t xml:space="preserve">Aquí declaramos nuestra intención de dirigir la revista </w:t>
      </w:r>
      <w:r w:rsidRPr="003D05F4">
        <w:rPr>
          <w:i/>
          <w:iCs/>
          <w:lang w:val="es-AR"/>
        </w:rPr>
        <w:t xml:space="preserve">Annual Review of Environment and Resources </w:t>
      </w:r>
      <w:r w:rsidRPr="00C45A97">
        <w:rPr>
          <w:lang w:val="es-AR"/>
        </w:rPr>
        <w:t>(ARER) de tres maneras que reconozcan y ayuden a abordar los problemas que impiden la</w:t>
      </w:r>
      <w:r w:rsidR="004707AB">
        <w:rPr>
          <w:lang w:val="es-AR"/>
        </w:rPr>
        <w:t>s</w:t>
      </w:r>
      <w:r w:rsidRPr="00C45A97">
        <w:rPr>
          <w:lang w:val="es-AR"/>
        </w:rPr>
        <w:t xml:space="preserve"> </w:t>
      </w:r>
      <w:r w:rsidR="004707AB">
        <w:rPr>
          <w:lang w:val="es-AR"/>
        </w:rPr>
        <w:t>medidas</w:t>
      </w:r>
      <w:r w:rsidR="004707AB" w:rsidRPr="00C45A97">
        <w:rPr>
          <w:lang w:val="es-AR"/>
        </w:rPr>
        <w:t xml:space="preserve"> </w:t>
      </w:r>
      <w:r w:rsidRPr="00C45A97">
        <w:rPr>
          <w:lang w:val="es-AR"/>
        </w:rPr>
        <w:t>necesaria</w:t>
      </w:r>
      <w:r w:rsidR="004707AB">
        <w:rPr>
          <w:lang w:val="es-AR"/>
        </w:rPr>
        <w:t>s</w:t>
      </w:r>
      <w:r w:rsidRPr="00C45A97">
        <w:rPr>
          <w:lang w:val="es-AR"/>
        </w:rPr>
        <w:t>.</w:t>
      </w:r>
    </w:p>
    <w:p w14:paraId="6C771351" w14:textId="77777777" w:rsidR="00C27169" w:rsidRPr="00C45A97" w:rsidRDefault="00C27169" w:rsidP="00C27169">
      <w:pPr>
        <w:rPr>
          <w:b/>
          <w:lang w:val="es-AR"/>
        </w:rPr>
      </w:pPr>
    </w:p>
    <w:p w14:paraId="7A948A44" w14:textId="3BE16443" w:rsidR="00C27169" w:rsidRPr="00C45A97" w:rsidRDefault="00C27169" w:rsidP="00C27169">
      <w:pPr>
        <w:ind w:left="720" w:right="720"/>
        <w:rPr>
          <w:bCs/>
          <w:lang w:val="es-AR"/>
        </w:rPr>
      </w:pPr>
      <w:r w:rsidRPr="003D05F4">
        <w:rPr>
          <w:bCs/>
          <w:lang w:val="es-AR"/>
        </w:rPr>
        <w:t xml:space="preserve">En </w:t>
      </w:r>
      <w:r w:rsidRPr="00C45A97">
        <w:rPr>
          <w:b/>
          <w:lang w:val="es-AR"/>
        </w:rPr>
        <w:t xml:space="preserve">primer </w:t>
      </w:r>
      <w:r w:rsidRPr="00C45A97">
        <w:rPr>
          <w:bCs/>
          <w:lang w:val="es-AR"/>
        </w:rPr>
        <w:t xml:space="preserve">lugar, los investigadores veteranos, incluidos nosotros mismos, debemos hacer un esfuerzo más </w:t>
      </w:r>
      <w:r w:rsidR="004707AB">
        <w:rPr>
          <w:bCs/>
          <w:lang w:val="es-AR"/>
        </w:rPr>
        <w:t>coordinado</w:t>
      </w:r>
      <w:r w:rsidR="004707AB" w:rsidRPr="00C45A97">
        <w:rPr>
          <w:bCs/>
          <w:lang w:val="es-AR"/>
        </w:rPr>
        <w:t xml:space="preserve"> </w:t>
      </w:r>
      <w:r w:rsidRPr="00C45A97">
        <w:rPr>
          <w:bCs/>
          <w:lang w:val="es-AR"/>
        </w:rPr>
        <w:t xml:space="preserve">para trabajar en colaboración con los jóvenes, incluidos los jóvenes científicos </w:t>
      </w:r>
      <w:r w:rsidRPr="003D05F4">
        <w:rPr>
          <w:bCs/>
          <w:i/>
          <w:iCs/>
          <w:lang w:val="es-AR"/>
        </w:rPr>
        <w:t>y</w:t>
      </w:r>
      <w:r w:rsidRPr="00C45A97">
        <w:rPr>
          <w:bCs/>
          <w:lang w:val="es-AR"/>
        </w:rPr>
        <w:t xml:space="preserve"> activistas.</w:t>
      </w:r>
    </w:p>
    <w:p w14:paraId="2F895800" w14:textId="77777777" w:rsidR="00C27169" w:rsidRPr="00C45A97" w:rsidRDefault="00C27169" w:rsidP="00C27169">
      <w:pPr>
        <w:ind w:left="720" w:right="720"/>
        <w:rPr>
          <w:bCs/>
          <w:lang w:val="es-AR"/>
        </w:rPr>
      </w:pPr>
      <w:r w:rsidRPr="00C45A97">
        <w:rPr>
          <w:bCs/>
          <w:lang w:val="es-AR"/>
        </w:rPr>
        <w:t xml:space="preserve"> </w:t>
      </w:r>
    </w:p>
    <w:p w14:paraId="1064D1D0" w14:textId="7ACB3737" w:rsidR="00C27169" w:rsidRPr="00C45A97" w:rsidRDefault="00C27169" w:rsidP="00C27169">
      <w:pPr>
        <w:ind w:left="720" w:right="720"/>
        <w:rPr>
          <w:bCs/>
          <w:lang w:val="es-AR"/>
        </w:rPr>
      </w:pPr>
      <w:r w:rsidRPr="00C45A97">
        <w:rPr>
          <w:bCs/>
          <w:lang w:val="es-AR"/>
        </w:rPr>
        <w:t xml:space="preserve">Las generaciones más jóvenes tienen un futuro más largo, menos </w:t>
      </w:r>
      <w:r w:rsidR="000B762F">
        <w:rPr>
          <w:bCs/>
          <w:lang w:val="es-AR"/>
        </w:rPr>
        <w:t>apego</w:t>
      </w:r>
      <w:r w:rsidR="000B762F" w:rsidRPr="00C45A97">
        <w:rPr>
          <w:bCs/>
          <w:lang w:val="es-AR"/>
        </w:rPr>
        <w:t xml:space="preserve"> </w:t>
      </w:r>
      <w:r w:rsidR="000B762F">
        <w:rPr>
          <w:bCs/>
          <w:lang w:val="es-AR"/>
        </w:rPr>
        <w:t>al</w:t>
      </w:r>
      <w:r w:rsidRPr="00C45A97">
        <w:rPr>
          <w:bCs/>
          <w:lang w:val="es-AR"/>
        </w:rPr>
        <w:t xml:space="preserve"> </w:t>
      </w:r>
      <w:r w:rsidRPr="003D05F4">
        <w:rPr>
          <w:bCs/>
          <w:i/>
          <w:iCs/>
          <w:lang w:val="es-AR"/>
        </w:rPr>
        <w:t>statu quo</w:t>
      </w:r>
      <w:r w:rsidRPr="00C45A97">
        <w:rPr>
          <w:bCs/>
          <w:lang w:val="es-AR"/>
        </w:rPr>
        <w:t xml:space="preserve"> y prioridades diferentes. Debemos </w:t>
      </w:r>
      <w:r w:rsidR="000B762F" w:rsidRPr="00C45A97">
        <w:rPr>
          <w:bCs/>
          <w:lang w:val="es-AR"/>
        </w:rPr>
        <w:t>escucharl</w:t>
      </w:r>
      <w:r w:rsidR="000B762F">
        <w:rPr>
          <w:bCs/>
          <w:lang w:val="es-AR"/>
        </w:rPr>
        <w:t>a</w:t>
      </w:r>
      <w:r w:rsidR="000B762F" w:rsidRPr="00C45A97">
        <w:rPr>
          <w:bCs/>
          <w:lang w:val="es-AR"/>
        </w:rPr>
        <w:t>s</w:t>
      </w:r>
      <w:r w:rsidRPr="00C45A97">
        <w:rPr>
          <w:bCs/>
          <w:lang w:val="es-AR"/>
        </w:rPr>
        <w:t xml:space="preserve"> de forma activa e intencionada, asegurándonos de que la comunicación </w:t>
      </w:r>
      <w:r w:rsidR="000B762F">
        <w:rPr>
          <w:bCs/>
          <w:lang w:val="es-AR"/>
        </w:rPr>
        <w:t>sea recíproca</w:t>
      </w:r>
      <w:r w:rsidRPr="00C45A97">
        <w:rPr>
          <w:bCs/>
          <w:lang w:val="es-AR"/>
        </w:rPr>
        <w:t xml:space="preserve">. Para ello hay que incluir a los más jóvenes en los consejos y comités organizadores y en el diseño de los procesos consultivos, incluida la organización de reuniones en las </w:t>
      </w:r>
      <w:r w:rsidRPr="00C45A97">
        <w:rPr>
          <w:bCs/>
          <w:lang w:val="es-AR"/>
        </w:rPr>
        <w:lastRenderedPageBreak/>
        <w:t xml:space="preserve">que los científicos veteranos estén entre el público y no en el escenario. El Fondo para el Medio Ambiente Mundial (FMAM), por ejemplo, recaba con éxito </w:t>
      </w:r>
      <w:r w:rsidR="004D3F57" w:rsidRPr="00C45A97">
        <w:rPr>
          <w:bCs/>
          <w:lang w:val="es-AR"/>
        </w:rPr>
        <w:t>l</w:t>
      </w:r>
      <w:r w:rsidR="004D3F57">
        <w:rPr>
          <w:bCs/>
          <w:lang w:val="es-AR"/>
        </w:rPr>
        <w:t>o</w:t>
      </w:r>
      <w:r w:rsidR="004D3F57" w:rsidRPr="00C45A97">
        <w:rPr>
          <w:bCs/>
          <w:lang w:val="es-AR"/>
        </w:rPr>
        <w:t xml:space="preserve">s </w:t>
      </w:r>
      <w:r w:rsidR="004D3F57">
        <w:rPr>
          <w:bCs/>
          <w:lang w:val="es-AR"/>
        </w:rPr>
        <w:t>aportes</w:t>
      </w:r>
      <w:r w:rsidR="004D3F57" w:rsidRPr="00C45A97">
        <w:rPr>
          <w:bCs/>
          <w:lang w:val="es-AR"/>
        </w:rPr>
        <w:t xml:space="preserve"> </w:t>
      </w:r>
      <w:r w:rsidRPr="00C45A97">
        <w:rPr>
          <w:bCs/>
          <w:lang w:val="es-AR"/>
        </w:rPr>
        <w:t xml:space="preserve">de grupos específicos como los pueblos indígenas, las comunidades locales, las organizaciones de la sociedad civil y los jóvenes antes de las reuniones de su consejo. La CMNUCC </w:t>
      </w:r>
      <w:r w:rsidR="004D3F57">
        <w:rPr>
          <w:bCs/>
          <w:lang w:val="es-AR"/>
        </w:rPr>
        <w:t>participa</w:t>
      </w:r>
      <w:r w:rsidRPr="00C45A97">
        <w:rPr>
          <w:bCs/>
          <w:lang w:val="es-AR"/>
        </w:rPr>
        <w:t xml:space="preserve"> directamente a través de su grupo de niños y jóvenes, conocido como YOUNGO. </w:t>
      </w:r>
      <w:r w:rsidR="004D3F57">
        <w:rPr>
          <w:bCs/>
          <w:lang w:val="es-AR"/>
        </w:rPr>
        <w:t>La participación</w:t>
      </w:r>
      <w:r w:rsidRPr="00C45A97">
        <w:rPr>
          <w:bCs/>
          <w:lang w:val="es-AR"/>
        </w:rPr>
        <w:t xml:space="preserve"> también implica que los investigadores se </w:t>
      </w:r>
      <w:r w:rsidR="008A14FE">
        <w:rPr>
          <w:bCs/>
          <w:lang w:val="es-AR"/>
        </w:rPr>
        <w:t>familiaricen con</w:t>
      </w:r>
      <w:r w:rsidRPr="00C45A97">
        <w:rPr>
          <w:bCs/>
          <w:lang w:val="es-AR"/>
        </w:rPr>
        <w:t xml:space="preserve"> medios de comunicación alternativos, desde Twitter y TikTok hasta dibujos animados</w:t>
      </w:r>
      <w:r w:rsidR="008A14FE">
        <w:rPr>
          <w:rStyle w:val="Refdenotaalpie"/>
          <w:bCs/>
          <w:lang w:val="es-AR"/>
        </w:rPr>
        <w:footnoteReference w:id="7"/>
      </w:r>
      <w:r w:rsidRPr="00C45A97">
        <w:rPr>
          <w:bCs/>
          <w:lang w:val="es-AR"/>
        </w:rPr>
        <w:t xml:space="preserve"> que fomentan el diálogo entre generaciones. </w:t>
      </w:r>
    </w:p>
    <w:p w14:paraId="3BDAB2CB" w14:textId="77777777" w:rsidR="00C27169" w:rsidRPr="00C45A97" w:rsidRDefault="00C27169" w:rsidP="00C27169">
      <w:pPr>
        <w:ind w:left="720" w:right="720"/>
        <w:rPr>
          <w:bCs/>
          <w:lang w:val="es-AR"/>
        </w:rPr>
      </w:pPr>
    </w:p>
    <w:p w14:paraId="54780FF2" w14:textId="77777777" w:rsidR="00C27169" w:rsidRPr="00C45A97" w:rsidRDefault="00C27169" w:rsidP="00C27169">
      <w:pPr>
        <w:ind w:left="720" w:right="720"/>
        <w:rPr>
          <w:bCs/>
          <w:lang w:val="es-AR"/>
        </w:rPr>
      </w:pPr>
      <w:r w:rsidRPr="003D05F4">
        <w:rPr>
          <w:bCs/>
          <w:lang w:val="es-AR"/>
        </w:rPr>
        <w:t xml:space="preserve">En </w:t>
      </w:r>
      <w:r w:rsidRPr="00C45A97">
        <w:rPr>
          <w:b/>
          <w:lang w:val="es-AR"/>
        </w:rPr>
        <w:t xml:space="preserve">segundo </w:t>
      </w:r>
      <w:r w:rsidRPr="00C45A97">
        <w:rPr>
          <w:bCs/>
          <w:lang w:val="es-AR"/>
        </w:rPr>
        <w:t xml:space="preserve">lugar, nos comprometemos de nuevo a crear estudios científicos convincentes y creíbles de importancia </w:t>
      </w:r>
      <w:r w:rsidRPr="003D05F4">
        <w:rPr>
          <w:bCs/>
          <w:i/>
          <w:iCs/>
          <w:lang w:val="es-AR"/>
        </w:rPr>
        <w:t>táctica</w:t>
      </w:r>
      <w:r w:rsidRPr="00C45A97">
        <w:rPr>
          <w:bCs/>
          <w:lang w:val="es-AR"/>
        </w:rPr>
        <w:t xml:space="preserve"> en la lucha contra el cambio climático y la degradación medioambiental. </w:t>
      </w:r>
    </w:p>
    <w:p w14:paraId="1D0894BA" w14:textId="77777777" w:rsidR="00C27169" w:rsidRPr="00C45A97" w:rsidRDefault="00C27169" w:rsidP="00C27169">
      <w:pPr>
        <w:ind w:left="720" w:right="720"/>
        <w:rPr>
          <w:bCs/>
          <w:lang w:val="es-AR"/>
        </w:rPr>
      </w:pPr>
    </w:p>
    <w:p w14:paraId="280188F3" w14:textId="18BE618F" w:rsidR="003949CA" w:rsidRPr="00C45A97" w:rsidRDefault="00C27169" w:rsidP="00C27169">
      <w:pPr>
        <w:ind w:left="720" w:right="720"/>
        <w:rPr>
          <w:bCs/>
          <w:lang w:val="es-AR"/>
        </w:rPr>
      </w:pPr>
      <w:r w:rsidRPr="00C45A97">
        <w:rPr>
          <w:bCs/>
          <w:lang w:val="es-AR"/>
        </w:rPr>
        <w:t xml:space="preserve">Esto puede incluir, por ejemplo, </w:t>
      </w:r>
      <w:r w:rsidR="00577492">
        <w:rPr>
          <w:bCs/>
          <w:lang w:val="es-AR"/>
        </w:rPr>
        <w:t>análisis</w:t>
      </w:r>
      <w:r w:rsidR="00577492" w:rsidRPr="00C45A97">
        <w:rPr>
          <w:bCs/>
          <w:lang w:val="es-AR"/>
        </w:rPr>
        <w:t xml:space="preserve"> </w:t>
      </w:r>
      <w:r w:rsidRPr="00C45A97">
        <w:rPr>
          <w:bCs/>
          <w:lang w:val="es-AR"/>
        </w:rPr>
        <w:t xml:space="preserve">de las causas de </w:t>
      </w:r>
      <w:r w:rsidR="00577492">
        <w:rPr>
          <w:bCs/>
          <w:lang w:val="es-AR"/>
        </w:rPr>
        <w:t>captación</w:t>
      </w:r>
      <w:r w:rsidRPr="00C45A97">
        <w:rPr>
          <w:bCs/>
          <w:lang w:val="es-AR"/>
        </w:rPr>
        <w:t xml:space="preserve"> de las políticas por intereses creados y cómo contrarrestarla; </w:t>
      </w:r>
      <w:r w:rsidR="00577492">
        <w:rPr>
          <w:bCs/>
          <w:lang w:val="es-AR"/>
        </w:rPr>
        <w:t>estrategias</w:t>
      </w:r>
      <w:r w:rsidR="00577492" w:rsidRPr="00C45A97">
        <w:rPr>
          <w:bCs/>
          <w:lang w:val="es-AR"/>
        </w:rPr>
        <w:t xml:space="preserve"> prometedor</w:t>
      </w:r>
      <w:r w:rsidR="00577492">
        <w:rPr>
          <w:bCs/>
          <w:lang w:val="es-AR"/>
        </w:rPr>
        <w:t>a</w:t>
      </w:r>
      <w:r w:rsidR="00577492" w:rsidRPr="00C45A97">
        <w:rPr>
          <w:bCs/>
          <w:lang w:val="es-AR"/>
        </w:rPr>
        <w:t xml:space="preserve">s </w:t>
      </w:r>
      <w:r w:rsidRPr="00C45A97">
        <w:rPr>
          <w:bCs/>
          <w:lang w:val="es-AR"/>
        </w:rPr>
        <w:t xml:space="preserve">para que las naciones de bajos ingresos mejoren el bienestar de su población, protejan su medio ambiente y prosperen sin depender de los combustibles fósiles; cómo estimular eficazmente el cambio social hacia esta transformación; y estudios de casos que destaquen las voces, los desafíos y los éxitos de quienes más sufren a causa del cambio climático, el agotamiento de los recursos, la degradación ambiental, la destrucción del hábitat y la pérdida de biodiversidad. Entre los autores de estas reseñas debe figurar un amplio abanico de académicos de todo el mundo, incluida la generación emergente de académicos del Sur global. El Comité Editorial de ARER creará una invitación permanente en nuestra página web para que se sugieran temas de revisión </w:t>
      </w:r>
      <w:r w:rsidR="00577492">
        <w:rPr>
          <w:bCs/>
          <w:lang w:val="es-AR"/>
        </w:rPr>
        <w:t>que se ajusten a</w:t>
      </w:r>
      <w:r w:rsidRPr="00C45A97">
        <w:rPr>
          <w:bCs/>
          <w:lang w:val="es-AR"/>
        </w:rPr>
        <w:t xml:space="preserve"> estas nuevas orientaciones, </w:t>
      </w:r>
      <w:r w:rsidR="00577492">
        <w:rPr>
          <w:bCs/>
          <w:lang w:val="es-AR"/>
        </w:rPr>
        <w:t xml:space="preserve">los </w:t>
      </w:r>
      <w:r w:rsidRPr="00C45A97">
        <w:rPr>
          <w:bCs/>
          <w:lang w:val="es-AR"/>
        </w:rPr>
        <w:t>que serán desarrollados por el Comité Editorial de ARER. Se agradecerán las sugerencias que den lugar a artículos de revisión.</w:t>
      </w:r>
    </w:p>
    <w:p w14:paraId="224E7245" w14:textId="77777777" w:rsidR="00C27169" w:rsidRPr="00C45A97" w:rsidRDefault="00C27169" w:rsidP="00C27169">
      <w:pPr>
        <w:ind w:left="720" w:right="720"/>
        <w:rPr>
          <w:bCs/>
          <w:lang w:val="es-AR"/>
        </w:rPr>
      </w:pPr>
    </w:p>
    <w:p w14:paraId="5375110B" w14:textId="77777777" w:rsidR="00C27169" w:rsidRPr="00C45A97" w:rsidRDefault="00C27169" w:rsidP="00C27169">
      <w:pPr>
        <w:ind w:left="720" w:right="720"/>
        <w:rPr>
          <w:bCs/>
          <w:lang w:val="es-AR"/>
        </w:rPr>
      </w:pPr>
      <w:r w:rsidRPr="003D05F4">
        <w:rPr>
          <w:bCs/>
          <w:lang w:val="es-AR"/>
        </w:rPr>
        <w:t xml:space="preserve">En </w:t>
      </w:r>
      <w:r w:rsidRPr="00C45A97">
        <w:rPr>
          <w:b/>
          <w:lang w:val="es-AR"/>
        </w:rPr>
        <w:t xml:space="preserve">tercer </w:t>
      </w:r>
      <w:r w:rsidRPr="00C45A97">
        <w:rPr>
          <w:bCs/>
          <w:lang w:val="es-AR"/>
        </w:rPr>
        <w:t xml:space="preserve">lugar, reconocemos que incluso millones de acciones individuales separadas sólo pueden tener impactos marginales y que </w:t>
      </w:r>
      <w:r w:rsidRPr="003D05F4">
        <w:rPr>
          <w:bCs/>
          <w:i/>
          <w:iCs/>
          <w:lang w:val="es-AR"/>
        </w:rPr>
        <w:t>la acción colectiva para el cambio sistémico es mucho más poderosa</w:t>
      </w:r>
      <w:r w:rsidRPr="00C45A97">
        <w:rPr>
          <w:bCs/>
          <w:lang w:val="es-AR"/>
        </w:rPr>
        <w:t xml:space="preserve">. </w:t>
      </w:r>
    </w:p>
    <w:p w14:paraId="4D1BA27F" w14:textId="77777777" w:rsidR="00C27169" w:rsidRPr="00C45A97" w:rsidRDefault="00C27169" w:rsidP="00C27169">
      <w:pPr>
        <w:ind w:left="720" w:right="720"/>
        <w:rPr>
          <w:bCs/>
          <w:lang w:val="es-AR"/>
        </w:rPr>
      </w:pPr>
    </w:p>
    <w:p w14:paraId="2ABA553F" w14:textId="54A05C89" w:rsidR="001976C7" w:rsidRPr="00C45A97" w:rsidRDefault="00C27169" w:rsidP="00C27169">
      <w:pPr>
        <w:ind w:left="720" w:right="720"/>
        <w:rPr>
          <w:lang w:val="es-AR"/>
        </w:rPr>
      </w:pPr>
      <w:r w:rsidRPr="00C45A97">
        <w:rPr>
          <w:bCs/>
          <w:lang w:val="es-AR"/>
        </w:rPr>
        <w:t xml:space="preserve">Podemos apoyar la acción colectiva garantizando que las revisiones </w:t>
      </w:r>
      <w:r w:rsidR="00186454">
        <w:rPr>
          <w:bCs/>
          <w:lang w:val="es-AR"/>
        </w:rPr>
        <w:t xml:space="preserve">de </w:t>
      </w:r>
      <w:r w:rsidRPr="00C45A97">
        <w:rPr>
          <w:bCs/>
          <w:lang w:val="es-AR"/>
        </w:rPr>
        <w:t xml:space="preserve">ARER sean accesibles </w:t>
      </w:r>
      <w:r w:rsidR="00186454">
        <w:rPr>
          <w:bCs/>
          <w:lang w:val="es-AR"/>
        </w:rPr>
        <w:t xml:space="preserve">de la forma más amplia y libre </w:t>
      </w:r>
      <w:r w:rsidRPr="00C45A97">
        <w:rPr>
          <w:bCs/>
          <w:lang w:val="es-AR"/>
        </w:rPr>
        <w:t xml:space="preserve">posible y </w:t>
      </w:r>
      <w:r w:rsidR="00186454" w:rsidRPr="00186454">
        <w:rPr>
          <w:bCs/>
          <w:lang w:val="es-AR"/>
        </w:rPr>
        <w:t>presentándolas o reempaquetándolas en formatos</w:t>
      </w:r>
      <w:r w:rsidRPr="00C45A97">
        <w:rPr>
          <w:bCs/>
          <w:lang w:val="es-AR"/>
        </w:rPr>
        <w:t xml:space="preserve"> </w:t>
      </w:r>
      <w:r w:rsidR="00186454">
        <w:rPr>
          <w:bCs/>
          <w:lang w:val="es-AR"/>
        </w:rPr>
        <w:t>que sean</w:t>
      </w:r>
      <w:r w:rsidRPr="00C45A97">
        <w:rPr>
          <w:bCs/>
          <w:lang w:val="es-AR"/>
        </w:rPr>
        <w:t xml:space="preserve"> más útil</w:t>
      </w:r>
      <w:r w:rsidR="00186454">
        <w:rPr>
          <w:bCs/>
          <w:lang w:val="es-AR"/>
        </w:rPr>
        <w:t>es</w:t>
      </w:r>
      <w:r w:rsidRPr="00C45A97">
        <w:rPr>
          <w:bCs/>
          <w:lang w:val="es-AR"/>
        </w:rPr>
        <w:t xml:space="preserve"> para </w:t>
      </w:r>
      <w:r w:rsidR="00186454" w:rsidRPr="00C45A97">
        <w:rPr>
          <w:bCs/>
          <w:lang w:val="es-AR"/>
        </w:rPr>
        <w:t>l</w:t>
      </w:r>
      <w:r w:rsidR="00186454">
        <w:rPr>
          <w:bCs/>
          <w:lang w:val="es-AR"/>
        </w:rPr>
        <w:t>o</w:t>
      </w:r>
      <w:r w:rsidR="00186454" w:rsidRPr="00C45A97">
        <w:rPr>
          <w:bCs/>
          <w:lang w:val="es-AR"/>
        </w:rPr>
        <w:t xml:space="preserve">s </w:t>
      </w:r>
      <w:r w:rsidR="00186454">
        <w:rPr>
          <w:bCs/>
          <w:lang w:val="es-AR"/>
        </w:rPr>
        <w:t>individuos</w:t>
      </w:r>
      <w:r w:rsidR="00186454" w:rsidRPr="00C45A97">
        <w:rPr>
          <w:bCs/>
          <w:lang w:val="es-AR"/>
        </w:rPr>
        <w:t xml:space="preserve"> </w:t>
      </w:r>
      <w:r w:rsidRPr="00C45A97">
        <w:rPr>
          <w:bCs/>
          <w:lang w:val="es-AR"/>
        </w:rPr>
        <w:t xml:space="preserve">y sus organizaciones, incluidos jóvenes, activistas, profesores, periodistas y responsables políticos. Para ello, nos aseguraremos de que los resúmenes y las conclusiones estén redactados en un lenguaje sencillo, hagan hincapié en las </w:t>
      </w:r>
      <w:r w:rsidR="000262CB">
        <w:rPr>
          <w:bCs/>
          <w:lang w:val="es-AR"/>
        </w:rPr>
        <w:t>implicancias</w:t>
      </w:r>
      <w:r w:rsidR="000262CB" w:rsidRPr="00C45A97">
        <w:rPr>
          <w:bCs/>
          <w:lang w:val="es-AR"/>
        </w:rPr>
        <w:t xml:space="preserve"> </w:t>
      </w:r>
      <w:r w:rsidRPr="00C45A97">
        <w:rPr>
          <w:bCs/>
          <w:lang w:val="es-AR"/>
        </w:rPr>
        <w:t xml:space="preserve">y presenten vías para encontrar soluciones prácticas. También </w:t>
      </w:r>
      <w:r w:rsidR="000262CB">
        <w:rPr>
          <w:bCs/>
          <w:lang w:val="es-AR"/>
        </w:rPr>
        <w:lastRenderedPageBreak/>
        <w:t>alentaremos</w:t>
      </w:r>
      <w:r w:rsidR="000262CB" w:rsidRPr="00C45A97">
        <w:rPr>
          <w:bCs/>
          <w:lang w:val="es-AR"/>
        </w:rPr>
        <w:t xml:space="preserve"> </w:t>
      </w:r>
      <w:r w:rsidRPr="00C45A97">
        <w:rPr>
          <w:bCs/>
          <w:lang w:val="es-AR"/>
        </w:rPr>
        <w:t xml:space="preserve">a nuestros autores a crear artículos complementarios para publicar en periódicos, redes sociales y otros medios públicos (como la revista </w:t>
      </w:r>
      <w:r w:rsidRPr="003D05F4">
        <w:rPr>
          <w:bCs/>
          <w:i/>
          <w:iCs/>
          <w:lang w:val="es-AR"/>
        </w:rPr>
        <w:t>Knowable</w:t>
      </w:r>
      <w:r w:rsidRPr="00C45A97">
        <w:rPr>
          <w:bCs/>
          <w:lang w:val="es-AR"/>
        </w:rPr>
        <w:t xml:space="preserve"> de Annual Reviews); a participar en actos públicos; o a crear vídeos explicativos que tengan un mayor alcance. Los ejemplos de éxito demuestran que, cuando se comunica bien, una investigación excelente puede cambiar el diálogo y las percepciones. Por ejemplo, el informe especial del IPCC sobre los efectos de un calentamiento global de 1,5 °C</w:t>
      </w:r>
      <w:r w:rsidR="009D3C58">
        <w:rPr>
          <w:bCs/>
          <w:lang w:val="es-AR"/>
        </w:rPr>
        <w:t>,</w:t>
      </w:r>
      <w:r w:rsidR="00D301A4" w:rsidRPr="00C27169">
        <w:rPr>
          <w:rStyle w:val="Refdenotaalpie"/>
          <w:bCs/>
        </w:rPr>
        <w:footnoteReference w:id="8"/>
      </w:r>
      <w:r w:rsidR="009D3C58">
        <w:rPr>
          <w:bCs/>
          <w:lang w:val="es-AR"/>
        </w:rPr>
        <w:t xml:space="preserve"> </w:t>
      </w:r>
      <w:hyperlink r:id="rId9" w:history="1"/>
      <w:r w:rsidR="009D3C58">
        <w:rPr>
          <w:lang w:val="es-AR"/>
        </w:rPr>
        <w:t xml:space="preserve">que fue </w:t>
      </w:r>
      <w:r w:rsidR="009D3C58" w:rsidRPr="00C45A97">
        <w:rPr>
          <w:bCs/>
          <w:lang w:val="es-AR"/>
        </w:rPr>
        <w:t>ampliamente debatido</w:t>
      </w:r>
      <w:r w:rsidR="009D3C58">
        <w:rPr>
          <w:bCs/>
          <w:lang w:val="es-AR"/>
        </w:rPr>
        <w:t xml:space="preserve"> y </w:t>
      </w:r>
      <w:r w:rsidR="009D3C58">
        <w:rPr>
          <w:lang w:val="es-AR"/>
        </w:rPr>
        <w:t>se encargó</w:t>
      </w:r>
      <w:r w:rsidR="009D3C58" w:rsidRPr="00C45A97">
        <w:rPr>
          <w:lang w:val="es-AR"/>
        </w:rPr>
        <w:t xml:space="preserve"> </w:t>
      </w:r>
      <w:r w:rsidRPr="00C45A97">
        <w:rPr>
          <w:lang w:val="es-AR"/>
        </w:rPr>
        <w:t xml:space="preserve">en respuesta a </w:t>
      </w:r>
      <w:r w:rsidR="009D3C58" w:rsidRPr="00C45A97">
        <w:rPr>
          <w:lang w:val="es-AR"/>
        </w:rPr>
        <w:t>l</w:t>
      </w:r>
      <w:r w:rsidR="009D3C58">
        <w:rPr>
          <w:lang w:val="es-AR"/>
        </w:rPr>
        <w:t>o</w:t>
      </w:r>
      <w:r w:rsidR="009D3C58" w:rsidRPr="00C45A97">
        <w:rPr>
          <w:lang w:val="es-AR"/>
        </w:rPr>
        <w:t xml:space="preserve">s </w:t>
      </w:r>
      <w:r w:rsidR="009D3C58">
        <w:rPr>
          <w:lang w:val="es-AR"/>
        </w:rPr>
        <w:t>pedidos</w:t>
      </w:r>
      <w:r w:rsidR="009D3C58" w:rsidRPr="00C45A97">
        <w:rPr>
          <w:lang w:val="es-AR"/>
        </w:rPr>
        <w:t xml:space="preserve"> </w:t>
      </w:r>
      <w:r w:rsidRPr="00C45A97">
        <w:rPr>
          <w:lang w:val="es-AR"/>
        </w:rPr>
        <w:t>de activistas y naciones insulares, y el documento de 2009 sobre los límites planetarios</w:t>
      </w:r>
      <w:r w:rsidR="009D3C58">
        <w:rPr>
          <w:rStyle w:val="Refdenotaalpie"/>
          <w:lang w:val="es-AR"/>
        </w:rPr>
        <w:footnoteReference w:id="9"/>
      </w:r>
      <w:r w:rsidRPr="00C45A97">
        <w:rPr>
          <w:lang w:val="es-AR"/>
        </w:rPr>
        <w:t>. Resulta alentador que la ciencia sirva de base para un cambio transformador en algunos sistemas clave, como reorienta</w:t>
      </w:r>
      <w:r w:rsidR="009D3C58">
        <w:rPr>
          <w:lang w:val="es-AR"/>
        </w:rPr>
        <w:t>r</w:t>
      </w:r>
      <w:r w:rsidRPr="00C45A97">
        <w:rPr>
          <w:lang w:val="es-AR"/>
        </w:rPr>
        <w:t xml:space="preserve"> las cadenas de suministro de materias primas hacia un abastecimiento sin deforestación, </w:t>
      </w:r>
      <w:r w:rsidR="009D3C58">
        <w:rPr>
          <w:lang w:val="es-AR"/>
        </w:rPr>
        <w:t>promover</w:t>
      </w:r>
      <w:r w:rsidRPr="00C45A97">
        <w:rPr>
          <w:lang w:val="es-AR"/>
        </w:rPr>
        <w:t xml:space="preserve"> soluciones integradas para los </w:t>
      </w:r>
      <w:r w:rsidR="009D3C58">
        <w:rPr>
          <w:lang w:val="es-AR"/>
        </w:rPr>
        <w:t>desafíos</w:t>
      </w:r>
      <w:r w:rsidR="009D3C58" w:rsidRPr="00C45A97">
        <w:rPr>
          <w:lang w:val="es-AR"/>
        </w:rPr>
        <w:t xml:space="preserve"> </w:t>
      </w:r>
      <w:r w:rsidRPr="00C45A97">
        <w:rPr>
          <w:lang w:val="es-AR"/>
        </w:rPr>
        <w:t xml:space="preserve">urbanos y </w:t>
      </w:r>
      <w:r w:rsidR="009D3C58">
        <w:rPr>
          <w:lang w:val="es-AR"/>
        </w:rPr>
        <w:t>orientar</w:t>
      </w:r>
      <w:r w:rsidRPr="00C45A97">
        <w:rPr>
          <w:lang w:val="es-AR"/>
        </w:rPr>
        <w:t xml:space="preserve"> la restauración hacia la mejora de los servicios ecosistémicos. Esto también ayuda a demostrar que la acción colectiva puede funcionar.</w:t>
      </w:r>
    </w:p>
    <w:p w14:paraId="21E97251" w14:textId="77777777" w:rsidR="00C27169" w:rsidRPr="00C45A97" w:rsidRDefault="00C27169" w:rsidP="00C27169">
      <w:pPr>
        <w:ind w:left="720" w:right="720"/>
        <w:rPr>
          <w:lang w:val="es-AR"/>
        </w:rPr>
      </w:pPr>
    </w:p>
    <w:p w14:paraId="1F00A864" w14:textId="77777777" w:rsidR="00C27169" w:rsidRPr="00C45A97" w:rsidRDefault="00C27169" w:rsidP="00C27169">
      <w:pPr>
        <w:rPr>
          <w:lang w:val="es-AR"/>
        </w:rPr>
      </w:pPr>
      <w:r w:rsidRPr="00C45A97">
        <w:rPr>
          <w:lang w:val="es-AR"/>
        </w:rPr>
        <w:t xml:space="preserve">Nuestros lectores forman una comunidad numerosa y creciente que cuenta ya con cientos de miles de personas, jóvenes y mayores, de todo el mundo, entre las que se cuentan estudiantes, académicos, periodistas, responsables políticos, activistas, líderes empresariales y muchos más. Hacemos un llamamiento a cada uno de ustedes para que evalúen sus propias capacidades y oportunidades y determinen lo que pueden hacer personal, profesional y colectivamente. </w:t>
      </w:r>
    </w:p>
    <w:p w14:paraId="7748BB19" w14:textId="77777777" w:rsidR="00C27169" w:rsidRPr="00C45A97" w:rsidRDefault="00C27169" w:rsidP="00C27169">
      <w:pPr>
        <w:rPr>
          <w:lang w:val="es-AR"/>
        </w:rPr>
      </w:pPr>
    </w:p>
    <w:p w14:paraId="5D049BA7" w14:textId="0389074C" w:rsidR="0032563E" w:rsidRPr="00C45A97" w:rsidRDefault="00C27169" w:rsidP="00C27169">
      <w:pPr>
        <w:rPr>
          <w:lang w:val="es-AR"/>
        </w:rPr>
      </w:pPr>
      <w:r w:rsidRPr="00C45A97">
        <w:rPr>
          <w:lang w:val="es-AR"/>
        </w:rPr>
        <w:t xml:space="preserve">Los jóvenes de hoy pronto se encontrarán en nuestro lugar, </w:t>
      </w:r>
      <w:r w:rsidR="00D54BD9">
        <w:rPr>
          <w:lang w:val="es-AR"/>
        </w:rPr>
        <w:t xml:space="preserve">siendo </w:t>
      </w:r>
      <w:r w:rsidRPr="00C45A97">
        <w:rPr>
          <w:lang w:val="es-AR"/>
        </w:rPr>
        <w:t xml:space="preserve">responsables de la siguiente generación. Nuestro objetivo debe ser garantizar que cada generación </w:t>
      </w:r>
      <w:r w:rsidR="00D54BD9">
        <w:rPr>
          <w:lang w:val="es-AR"/>
        </w:rPr>
        <w:t>contribuya</w:t>
      </w:r>
      <w:r w:rsidR="00D54BD9" w:rsidRPr="00C45A97">
        <w:rPr>
          <w:lang w:val="es-AR"/>
        </w:rPr>
        <w:t xml:space="preserve"> </w:t>
      </w:r>
      <w:r w:rsidR="00D54BD9">
        <w:rPr>
          <w:lang w:val="es-AR"/>
        </w:rPr>
        <w:t>a</w:t>
      </w:r>
      <w:r w:rsidR="00D54BD9" w:rsidRPr="00C45A97">
        <w:rPr>
          <w:lang w:val="es-AR"/>
        </w:rPr>
        <w:t xml:space="preserve"> </w:t>
      </w:r>
      <w:r w:rsidRPr="00C45A97">
        <w:rPr>
          <w:lang w:val="es-AR"/>
        </w:rPr>
        <w:t>la siguiente, en lugar de robarle su futuro. Y para ello</w:t>
      </w:r>
      <w:r w:rsidR="00D54BD9">
        <w:rPr>
          <w:lang w:val="es-AR"/>
        </w:rPr>
        <w:t>,</w:t>
      </w:r>
      <w:r w:rsidRPr="00C45A97">
        <w:rPr>
          <w:lang w:val="es-AR"/>
        </w:rPr>
        <w:t xml:space="preserve"> </w:t>
      </w:r>
      <w:r w:rsidR="00D54BD9">
        <w:rPr>
          <w:lang w:val="es-AR"/>
        </w:rPr>
        <w:t xml:space="preserve">todos </w:t>
      </w:r>
      <w:r w:rsidRPr="00C45A97">
        <w:rPr>
          <w:lang w:val="es-AR"/>
        </w:rPr>
        <w:t>necesitamos urgentemente trabajar juntos de formas</w:t>
      </w:r>
      <w:r w:rsidR="00D54BD9">
        <w:rPr>
          <w:lang w:val="es-AR"/>
        </w:rPr>
        <w:t xml:space="preserve"> </w:t>
      </w:r>
      <w:r w:rsidR="00D54BD9" w:rsidRPr="00C45A97">
        <w:rPr>
          <w:lang w:val="es-AR"/>
        </w:rPr>
        <w:t>nuevas</w:t>
      </w:r>
      <w:r w:rsidRPr="00C45A97">
        <w:rPr>
          <w:lang w:val="es-AR"/>
        </w:rPr>
        <w:t>.</w:t>
      </w:r>
    </w:p>
    <w:sectPr w:rsidR="0032563E" w:rsidRPr="00C45A9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2BA0A" w14:textId="77777777" w:rsidR="00DB10FE" w:rsidRDefault="00DB10FE" w:rsidP="00702C95">
      <w:pPr>
        <w:spacing w:line="240" w:lineRule="auto"/>
      </w:pPr>
      <w:r>
        <w:separator/>
      </w:r>
    </w:p>
  </w:endnote>
  <w:endnote w:type="continuationSeparator" w:id="0">
    <w:p w14:paraId="02A3E5F6" w14:textId="77777777" w:rsidR="00DB10FE" w:rsidRDefault="00DB10FE" w:rsidP="00702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142711"/>
      <w:docPartObj>
        <w:docPartGallery w:val="Page Numbers (Bottom of Page)"/>
        <w:docPartUnique/>
      </w:docPartObj>
    </w:sdtPr>
    <w:sdtEndPr>
      <w:rPr>
        <w:noProof/>
      </w:rPr>
    </w:sdtEndPr>
    <w:sdtContent>
      <w:p w14:paraId="69C2A7F5" w14:textId="492B5997" w:rsidR="00702C95" w:rsidRDefault="00702C95">
        <w:pPr>
          <w:pStyle w:val="Piedepgina"/>
          <w:jc w:val="center"/>
        </w:pPr>
        <w:r>
          <w:fldChar w:fldCharType="begin"/>
        </w:r>
        <w:r>
          <w:instrText xml:space="preserve"> PAGE   \* MERGEFORMAT </w:instrText>
        </w:r>
        <w:r>
          <w:fldChar w:fldCharType="separate"/>
        </w:r>
        <w:r w:rsidR="00B127CA">
          <w:rPr>
            <w:noProof/>
          </w:rPr>
          <w:t>6</w:t>
        </w:r>
        <w:r>
          <w:rPr>
            <w:noProof/>
          </w:rPr>
          <w:fldChar w:fldCharType="end"/>
        </w:r>
      </w:p>
    </w:sdtContent>
  </w:sdt>
  <w:p w14:paraId="6BB25D42" w14:textId="77777777" w:rsidR="00702C95" w:rsidRDefault="00702C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75E5" w14:textId="77777777" w:rsidR="00DB10FE" w:rsidRDefault="00DB10FE" w:rsidP="00702C95">
      <w:pPr>
        <w:spacing w:line="240" w:lineRule="auto"/>
      </w:pPr>
      <w:r>
        <w:separator/>
      </w:r>
    </w:p>
  </w:footnote>
  <w:footnote w:type="continuationSeparator" w:id="0">
    <w:p w14:paraId="5F4DE93E" w14:textId="77777777" w:rsidR="00DB10FE" w:rsidRDefault="00DB10FE" w:rsidP="00702C95">
      <w:pPr>
        <w:spacing w:line="240" w:lineRule="auto"/>
      </w:pPr>
      <w:r>
        <w:continuationSeparator/>
      </w:r>
    </w:p>
  </w:footnote>
  <w:footnote w:id="1">
    <w:p w14:paraId="6CCF7F4E" w14:textId="3AE9A47C" w:rsidR="003356ED" w:rsidRPr="00511D40" w:rsidRDefault="003356ED" w:rsidP="003356ED">
      <w:pPr>
        <w:pStyle w:val="Textonotapie"/>
        <w:rPr>
          <w:lang w:val="en-US"/>
        </w:rPr>
      </w:pPr>
      <w:r w:rsidRPr="00511D40">
        <w:rPr>
          <w:rStyle w:val="Refdenotaalpie"/>
        </w:rPr>
        <w:sym w:font="Symbol" w:char="F02A"/>
      </w:r>
      <w:r w:rsidRPr="00511D40">
        <w:rPr>
          <w:rStyle w:val="Refdenotaalpie"/>
          <w:vertAlign w:val="baseline"/>
        </w:rPr>
        <w:t xml:space="preserve">Ashok Gadgil </w:t>
      </w:r>
      <w:r w:rsidR="008749FE">
        <w:rPr>
          <w:rStyle w:val="Refdenotaalpie"/>
          <w:vertAlign w:val="baseline"/>
        </w:rPr>
        <w:t>y</w:t>
      </w:r>
      <w:r w:rsidRPr="00511D40">
        <w:rPr>
          <w:rStyle w:val="Refdenotaalpie"/>
          <w:vertAlign w:val="baseline"/>
        </w:rPr>
        <w:t xml:space="preserve"> Thomas P. Tomich </w:t>
      </w:r>
      <w:r w:rsidR="008749FE" w:rsidRPr="008749FE">
        <w:rPr>
          <w:rStyle w:val="Refdenotaalpie"/>
          <w:vertAlign w:val="baseline"/>
        </w:rPr>
        <w:t>contribuyeron a partes iguales como autores principales.</w:t>
      </w:r>
    </w:p>
  </w:footnote>
  <w:footnote w:id="2">
    <w:p w14:paraId="75D80D5E" w14:textId="1B3E9CA9" w:rsidR="003356ED" w:rsidRPr="001A4B63" w:rsidRDefault="003356ED">
      <w:pPr>
        <w:pStyle w:val="Textonotapie"/>
        <w:rPr>
          <w:lang w:val="en-US"/>
        </w:rPr>
      </w:pPr>
    </w:p>
  </w:footnote>
  <w:footnote w:id="3">
    <w:p w14:paraId="5761984E" w14:textId="553C7C05" w:rsidR="003F7031" w:rsidRPr="003D05F4" w:rsidRDefault="003F7031">
      <w:pPr>
        <w:pStyle w:val="Textonotapie"/>
        <w:rPr>
          <w:lang w:val="es-AR"/>
        </w:rPr>
      </w:pPr>
      <w:r>
        <w:rPr>
          <w:rStyle w:val="Refdenotaalpie"/>
        </w:rPr>
        <w:footnoteRef/>
      </w:r>
      <w:r w:rsidRPr="003D05F4">
        <w:rPr>
          <w:lang w:val="es-AR"/>
        </w:rPr>
        <w:t xml:space="preserve"> </w:t>
      </w:r>
      <w:r w:rsidRPr="003F7031">
        <w:rPr>
          <w:lang w:val="es-AR"/>
        </w:rPr>
        <w:t xml:space="preserve">A finales del siglo XX se produjo un gran avance al enmarcar el </w:t>
      </w:r>
      <w:r>
        <w:rPr>
          <w:lang w:val="es-AR"/>
        </w:rPr>
        <w:t>“</w:t>
      </w:r>
      <w:r w:rsidRPr="003F7031">
        <w:rPr>
          <w:lang w:val="es-AR"/>
        </w:rPr>
        <w:t>desarrollo humano</w:t>
      </w:r>
      <w:r>
        <w:rPr>
          <w:lang w:val="es-AR"/>
        </w:rPr>
        <w:t>”</w:t>
      </w:r>
      <w:r w:rsidRPr="003F7031">
        <w:rPr>
          <w:lang w:val="es-AR"/>
        </w:rPr>
        <w:t xml:space="preserve">» en la expansión de las capacidades. </w:t>
      </w:r>
      <w:r w:rsidRPr="003D05F4">
        <w:rPr>
          <w:lang w:val="en-US"/>
        </w:rPr>
        <w:t xml:space="preserve">Véase Sen A. 1999. </w:t>
      </w:r>
      <w:r w:rsidRPr="003D05F4">
        <w:rPr>
          <w:i/>
          <w:iCs/>
          <w:lang w:val="en-US"/>
        </w:rPr>
        <w:t>Development as Freedom</w:t>
      </w:r>
      <w:r w:rsidRPr="003D05F4">
        <w:rPr>
          <w:lang w:val="en-US"/>
        </w:rPr>
        <w:t xml:space="preserve">. Oxford, Reino Unido: Oxford Univ. </w:t>
      </w:r>
      <w:r w:rsidRPr="003F7031">
        <w:rPr>
          <w:lang w:val="es-AR"/>
        </w:rPr>
        <w:t>Press</w:t>
      </w:r>
    </w:p>
  </w:footnote>
  <w:footnote w:id="4">
    <w:p w14:paraId="7A1E9683" w14:textId="59800021" w:rsidR="00977E62" w:rsidRPr="00C45A97" w:rsidRDefault="00977E62">
      <w:pPr>
        <w:pStyle w:val="Textonotapie"/>
        <w:rPr>
          <w:lang w:val="es-AR"/>
        </w:rPr>
      </w:pPr>
      <w:r>
        <w:rPr>
          <w:rStyle w:val="Refdenotaalpie"/>
        </w:rPr>
        <w:footnoteRef/>
      </w:r>
      <w:r w:rsidR="009D3C58">
        <w:rPr>
          <w:lang w:val="es-AR"/>
        </w:rPr>
        <w:t xml:space="preserve"> </w:t>
      </w:r>
      <w:r w:rsidR="00C73DCB" w:rsidRPr="00C45A97">
        <w:rPr>
          <w:lang w:val="es-AR"/>
        </w:rPr>
        <w:t xml:space="preserve">Annual Reviews se convierte en una organización neutra en carbono en 2021 </w:t>
      </w:r>
      <w:r w:rsidRPr="00C45A97">
        <w:rPr>
          <w:lang w:val="es-AR"/>
        </w:rPr>
        <w:t>(</w:t>
      </w:r>
      <w:hyperlink r:id="rId1" w:history="1">
        <w:r w:rsidRPr="00C45A97">
          <w:rPr>
            <w:rStyle w:val="Hipervnculo"/>
            <w:lang w:val="es-AR"/>
          </w:rPr>
          <w:t>https://annualreviewsnews.org/2021/04/14/becoming-carbon-neutral/</w:t>
        </w:r>
      </w:hyperlink>
      <w:r w:rsidRPr="00C45A97">
        <w:rPr>
          <w:lang w:val="es-AR"/>
        </w:rPr>
        <w:t xml:space="preserve">). </w:t>
      </w:r>
      <w:r w:rsidR="00C73DCB" w:rsidRPr="00C45A97">
        <w:rPr>
          <w:lang w:val="es-AR"/>
        </w:rPr>
        <w:t xml:space="preserve">Esto incluye la compensación de los viajes para las reuniones del Comité Editorial y la impresión y distribución de revistas, incluida la </w:t>
      </w:r>
      <w:r w:rsidR="00C73DCB" w:rsidRPr="003D05F4">
        <w:rPr>
          <w:i/>
          <w:iCs/>
          <w:lang w:val="es-AR"/>
        </w:rPr>
        <w:t>Annual Review of Environment and Resources</w:t>
      </w:r>
      <w:r w:rsidR="00C73DCB" w:rsidRPr="00C45A97">
        <w:rPr>
          <w:lang w:val="es-AR"/>
        </w:rPr>
        <w:t>.</w:t>
      </w:r>
    </w:p>
  </w:footnote>
  <w:footnote w:id="5">
    <w:p w14:paraId="2B49678D" w14:textId="7EAB6068" w:rsidR="00EE1EAF" w:rsidRPr="00C45A97" w:rsidRDefault="00EE1EAF" w:rsidP="004868AA">
      <w:pPr>
        <w:pStyle w:val="Footnotet"/>
        <w:rPr>
          <w:sz w:val="20"/>
          <w:szCs w:val="20"/>
          <w:lang w:val="es-AR"/>
        </w:rPr>
      </w:pPr>
      <w:r w:rsidRPr="00FC62F2">
        <w:rPr>
          <w:rStyle w:val="Refdenotaalpie"/>
          <w:sz w:val="20"/>
          <w:szCs w:val="20"/>
        </w:rPr>
        <w:footnoteRef/>
      </w:r>
      <w:r w:rsidR="009D3C58">
        <w:rPr>
          <w:sz w:val="20"/>
          <w:szCs w:val="20"/>
        </w:rPr>
        <w:t xml:space="preserve"> </w:t>
      </w:r>
      <w:r w:rsidR="00DB24E8" w:rsidRPr="00D83B2B">
        <w:rPr>
          <w:sz w:val="20"/>
          <w:szCs w:val="20"/>
        </w:rPr>
        <w:t xml:space="preserve">IPCC (Intergov. Panel Clim. Change). 2022. </w:t>
      </w:r>
      <w:r w:rsidR="00DB24E8" w:rsidRPr="00D83B2B">
        <w:rPr>
          <w:i/>
          <w:iCs/>
          <w:sz w:val="20"/>
          <w:szCs w:val="20"/>
        </w:rPr>
        <w:t>Climate Change 2022: Impacts, Adaptation, and Vulnerability. Contribution of Working Group II to the Sixth Assessment Report of the Intergovernmenta</w:t>
      </w:r>
      <w:r w:rsidR="00DB24E8" w:rsidRPr="00FC62F2">
        <w:rPr>
          <w:i/>
          <w:iCs/>
          <w:sz w:val="20"/>
          <w:szCs w:val="20"/>
        </w:rPr>
        <w:t>l Panel on Climate Change</w:t>
      </w:r>
      <w:r w:rsidR="00DB24E8" w:rsidRPr="00FC62F2">
        <w:rPr>
          <w:sz w:val="20"/>
          <w:szCs w:val="20"/>
        </w:rPr>
        <w:t xml:space="preserve">, ed. </w:t>
      </w:r>
      <w:r w:rsidR="00DB24E8" w:rsidRPr="003D05F4">
        <w:rPr>
          <w:sz w:val="20"/>
          <w:szCs w:val="20"/>
          <w:lang w:val="es-AR"/>
        </w:rPr>
        <w:t xml:space="preserve">Pörtner H-O, Roberts DC, Tignor M, Poloczanska ES, Mintenbeck K, et al. Geneva: IPCC. </w:t>
      </w:r>
      <w:hyperlink r:id="rId2" w:history="1">
        <w:r w:rsidR="00DB24E8" w:rsidRPr="00C45A97">
          <w:rPr>
            <w:rStyle w:val="Hipervnculo"/>
            <w:sz w:val="20"/>
            <w:szCs w:val="20"/>
            <w:lang w:val="es-AR"/>
          </w:rPr>
          <w:t>https://www.ipcc.ch/report/sixth-assessment-report-working-group-ii/</w:t>
        </w:r>
      </w:hyperlink>
      <w:r w:rsidR="00DB24E8" w:rsidRPr="00C45A97">
        <w:rPr>
          <w:sz w:val="20"/>
          <w:szCs w:val="20"/>
          <w:lang w:val="es-AR"/>
        </w:rPr>
        <w:t xml:space="preserve">; </w:t>
      </w:r>
      <w:r w:rsidR="00C27169" w:rsidRPr="00C45A97">
        <w:rPr>
          <w:sz w:val="20"/>
          <w:szCs w:val="20"/>
          <w:lang w:val="es-AR"/>
        </w:rPr>
        <w:t xml:space="preserve">véase, en concreto, el capítulo </w:t>
      </w:r>
      <w:r w:rsidR="00DB24E8" w:rsidRPr="00C45A97">
        <w:rPr>
          <w:sz w:val="20"/>
          <w:szCs w:val="20"/>
          <w:lang w:val="es-AR"/>
        </w:rPr>
        <w:t>14</w:t>
      </w:r>
      <w:r w:rsidR="004C14CD">
        <w:rPr>
          <w:sz w:val="20"/>
          <w:szCs w:val="20"/>
          <w:lang w:val="es-AR"/>
        </w:rPr>
        <w:t>.</w:t>
      </w:r>
    </w:p>
  </w:footnote>
  <w:footnote w:id="6">
    <w:p w14:paraId="4430476A" w14:textId="6B045509" w:rsidR="008A14FE" w:rsidRPr="003D05F4" w:rsidRDefault="008A14FE">
      <w:pPr>
        <w:pStyle w:val="Textonotapie"/>
        <w:rPr>
          <w:lang w:val="es-AR"/>
        </w:rPr>
      </w:pPr>
      <w:r w:rsidRPr="00D83B2B">
        <w:rPr>
          <w:rStyle w:val="Refdenotaalpie"/>
        </w:rPr>
        <w:footnoteRef/>
      </w:r>
      <w:r w:rsidR="009D3C58">
        <w:t xml:space="preserve"> </w:t>
      </w:r>
      <w:r w:rsidRPr="00D83B2B">
        <w:t xml:space="preserve">Stoddard I, Anderson K, Capstick S, Carton W, Depledge J, et al. </w:t>
      </w:r>
      <w:r w:rsidRPr="00AF555B">
        <w:t xml:space="preserve">2021. Three decades of climate mitigation: Why haven’t we bent the global emissions curve? </w:t>
      </w:r>
      <w:r w:rsidRPr="003D05F4">
        <w:rPr>
          <w:i/>
          <w:iCs/>
          <w:lang w:val="es-AR"/>
        </w:rPr>
        <w:t xml:space="preserve">Annu. Rev. Environ. Resour. </w:t>
      </w:r>
      <w:r w:rsidRPr="003D05F4">
        <w:rPr>
          <w:lang w:val="es-AR"/>
        </w:rPr>
        <w:t xml:space="preserve">46:653–89. </w:t>
      </w:r>
      <w:hyperlink r:id="rId3" w:history="1">
        <w:r w:rsidRPr="003D05F4">
          <w:rPr>
            <w:rStyle w:val="Hipervnculo"/>
            <w:lang w:val="es-AR"/>
          </w:rPr>
          <w:t>https://doi.org/10.1146/annurev-environ-012220-011104</w:t>
        </w:r>
      </w:hyperlink>
      <w:r w:rsidRPr="003D05F4">
        <w:rPr>
          <w:lang w:val="es-AR"/>
        </w:rPr>
        <w:t xml:space="preserve"> </w:t>
      </w:r>
    </w:p>
  </w:footnote>
  <w:footnote w:id="7">
    <w:p w14:paraId="04439628" w14:textId="6E83C007" w:rsidR="008A14FE" w:rsidRPr="003D05F4" w:rsidRDefault="008A14FE">
      <w:pPr>
        <w:pStyle w:val="Textonotapie"/>
        <w:rPr>
          <w:lang w:val="es-AR"/>
        </w:rPr>
      </w:pPr>
      <w:r w:rsidRPr="003D05F4">
        <w:rPr>
          <w:rStyle w:val="Refdenotaalpie"/>
          <w:lang w:val="es-AR"/>
        </w:rPr>
        <w:t>5</w:t>
      </w:r>
      <w:r w:rsidR="009D3C58">
        <w:rPr>
          <w:lang w:val="es-AR"/>
        </w:rPr>
        <w:t xml:space="preserve"> </w:t>
      </w:r>
      <w:r w:rsidRPr="003D05F4">
        <w:rPr>
          <w:lang w:val="es-AR"/>
        </w:rPr>
        <w:t>Por ejemplo, véase la serie web de dibujos animados de seis episodios «Kigalinha», creada en portugués (y disponible en varios idiomas en YouTube) para explicar la Enmienda de Kigali al Protocolo de Montreal (</w:t>
      </w:r>
      <w:hyperlink r:id="rId4" w:history="1">
        <w:r w:rsidRPr="003D05F4">
          <w:rPr>
            <w:rStyle w:val="Hipervnculo"/>
            <w:lang w:val="es-AR"/>
          </w:rPr>
          <w:t>https://iei-brasil.org/kigalinha/</w:t>
        </w:r>
      </w:hyperlink>
      <w:r w:rsidRPr="003D05F4">
        <w:rPr>
          <w:lang w:val="es-AR"/>
        </w:rPr>
        <w:t>).</w:t>
      </w:r>
    </w:p>
  </w:footnote>
  <w:footnote w:id="8">
    <w:p w14:paraId="3B16CECD" w14:textId="39264AA6" w:rsidR="00D301A4" w:rsidRPr="00D301A4" w:rsidRDefault="00D301A4">
      <w:pPr>
        <w:pStyle w:val="Textonotapie"/>
        <w:rPr>
          <w:lang w:val="en-US"/>
        </w:rPr>
      </w:pPr>
      <w:r>
        <w:rPr>
          <w:rStyle w:val="Refdenotaalpie"/>
        </w:rPr>
        <w:footnoteRef/>
      </w:r>
      <w:r w:rsidR="009D3C58">
        <w:t xml:space="preserve"> </w:t>
      </w:r>
      <w:r>
        <w:t>IPCC (Intergov. Panel Clim. Change). 2018.</w:t>
      </w:r>
      <w:r w:rsidRPr="0069116E">
        <w:t xml:space="preserve"> </w:t>
      </w:r>
      <w:r w:rsidRPr="0069116E">
        <w:rPr>
          <w:i/>
          <w:iCs/>
        </w:rPr>
        <w:t xml:space="preserve">Global Warming of 1.5°C. An IPCC Special Report on the </w:t>
      </w:r>
      <w:r>
        <w:rPr>
          <w:i/>
          <w:iCs/>
        </w:rPr>
        <w:t>I</w:t>
      </w:r>
      <w:r w:rsidRPr="0069116E">
        <w:rPr>
          <w:i/>
          <w:iCs/>
        </w:rPr>
        <w:t xml:space="preserve">mpacts of </w:t>
      </w:r>
      <w:r>
        <w:rPr>
          <w:i/>
          <w:iCs/>
        </w:rPr>
        <w:t>G</w:t>
      </w:r>
      <w:r w:rsidRPr="0069116E">
        <w:rPr>
          <w:i/>
          <w:iCs/>
        </w:rPr>
        <w:t xml:space="preserve">lobal </w:t>
      </w:r>
      <w:r>
        <w:rPr>
          <w:i/>
          <w:iCs/>
        </w:rPr>
        <w:t>W</w:t>
      </w:r>
      <w:r w:rsidRPr="0069116E">
        <w:rPr>
          <w:i/>
          <w:iCs/>
        </w:rPr>
        <w:t xml:space="preserve">arming of 1.5°C </w:t>
      </w:r>
      <w:r>
        <w:rPr>
          <w:i/>
          <w:iCs/>
        </w:rPr>
        <w:t>A</w:t>
      </w:r>
      <w:r w:rsidRPr="0069116E">
        <w:rPr>
          <w:i/>
          <w:iCs/>
        </w:rPr>
        <w:t xml:space="preserve">bove </w:t>
      </w:r>
      <w:r>
        <w:rPr>
          <w:i/>
          <w:iCs/>
        </w:rPr>
        <w:t>P</w:t>
      </w:r>
      <w:r w:rsidRPr="0069116E">
        <w:rPr>
          <w:i/>
          <w:iCs/>
        </w:rPr>
        <w:t>re-</w:t>
      </w:r>
      <w:r>
        <w:rPr>
          <w:i/>
          <w:iCs/>
        </w:rPr>
        <w:t>I</w:t>
      </w:r>
      <w:r w:rsidRPr="0069116E">
        <w:rPr>
          <w:i/>
          <w:iCs/>
        </w:rPr>
        <w:t xml:space="preserve">ndustrial </w:t>
      </w:r>
      <w:r>
        <w:rPr>
          <w:i/>
          <w:iCs/>
        </w:rPr>
        <w:t>L</w:t>
      </w:r>
      <w:r w:rsidRPr="0069116E">
        <w:rPr>
          <w:i/>
          <w:iCs/>
        </w:rPr>
        <w:t xml:space="preserve">evels and </w:t>
      </w:r>
      <w:r>
        <w:rPr>
          <w:i/>
          <w:iCs/>
        </w:rPr>
        <w:t>R</w:t>
      </w:r>
      <w:r w:rsidRPr="0069116E">
        <w:rPr>
          <w:i/>
          <w:iCs/>
        </w:rPr>
        <w:t xml:space="preserve">elated </w:t>
      </w:r>
      <w:r>
        <w:rPr>
          <w:i/>
          <w:iCs/>
        </w:rPr>
        <w:t>G</w:t>
      </w:r>
      <w:r w:rsidRPr="0069116E">
        <w:rPr>
          <w:i/>
          <w:iCs/>
        </w:rPr>
        <w:t xml:space="preserve">lobal </w:t>
      </w:r>
      <w:r>
        <w:rPr>
          <w:i/>
          <w:iCs/>
        </w:rPr>
        <w:t>G</w:t>
      </w:r>
      <w:r w:rsidRPr="0069116E">
        <w:rPr>
          <w:i/>
          <w:iCs/>
        </w:rPr>
        <w:t xml:space="preserve">reenhouse </w:t>
      </w:r>
      <w:r>
        <w:rPr>
          <w:i/>
          <w:iCs/>
        </w:rPr>
        <w:t>G</w:t>
      </w:r>
      <w:r w:rsidRPr="0069116E">
        <w:rPr>
          <w:i/>
          <w:iCs/>
        </w:rPr>
        <w:t xml:space="preserve">as </w:t>
      </w:r>
      <w:r>
        <w:rPr>
          <w:i/>
          <w:iCs/>
        </w:rPr>
        <w:t>Em</w:t>
      </w:r>
      <w:r w:rsidRPr="0069116E">
        <w:rPr>
          <w:i/>
          <w:iCs/>
        </w:rPr>
        <w:t xml:space="preserve">ission </w:t>
      </w:r>
      <w:r>
        <w:rPr>
          <w:i/>
          <w:iCs/>
        </w:rPr>
        <w:t>P</w:t>
      </w:r>
      <w:r w:rsidRPr="0069116E">
        <w:rPr>
          <w:i/>
          <w:iCs/>
        </w:rPr>
        <w:t xml:space="preserve">athways, in the </w:t>
      </w:r>
      <w:r>
        <w:rPr>
          <w:i/>
          <w:iCs/>
        </w:rPr>
        <w:t>C</w:t>
      </w:r>
      <w:r w:rsidRPr="0069116E">
        <w:rPr>
          <w:i/>
          <w:iCs/>
        </w:rPr>
        <w:t xml:space="preserve">ontext of </w:t>
      </w:r>
      <w:r>
        <w:rPr>
          <w:i/>
          <w:iCs/>
        </w:rPr>
        <w:t>S</w:t>
      </w:r>
      <w:r w:rsidRPr="0069116E">
        <w:rPr>
          <w:i/>
          <w:iCs/>
        </w:rPr>
        <w:t xml:space="preserve">trengthening the </w:t>
      </w:r>
      <w:r>
        <w:rPr>
          <w:i/>
          <w:iCs/>
        </w:rPr>
        <w:t>G</w:t>
      </w:r>
      <w:r w:rsidRPr="0069116E">
        <w:rPr>
          <w:i/>
          <w:iCs/>
        </w:rPr>
        <w:t xml:space="preserve">lobal </w:t>
      </w:r>
      <w:r>
        <w:rPr>
          <w:i/>
          <w:iCs/>
        </w:rPr>
        <w:t>R</w:t>
      </w:r>
      <w:r w:rsidRPr="0069116E">
        <w:rPr>
          <w:i/>
          <w:iCs/>
        </w:rPr>
        <w:t xml:space="preserve">esponse to the </w:t>
      </w:r>
      <w:r>
        <w:rPr>
          <w:i/>
          <w:iCs/>
        </w:rPr>
        <w:t>T</w:t>
      </w:r>
      <w:r w:rsidRPr="0069116E">
        <w:rPr>
          <w:i/>
          <w:iCs/>
        </w:rPr>
        <w:t xml:space="preserve">hreat of </w:t>
      </w:r>
      <w:r>
        <w:rPr>
          <w:i/>
          <w:iCs/>
        </w:rPr>
        <w:t>C</w:t>
      </w:r>
      <w:r w:rsidRPr="0069116E">
        <w:rPr>
          <w:i/>
          <w:iCs/>
        </w:rPr>
        <w:t xml:space="preserve">limate </w:t>
      </w:r>
      <w:r>
        <w:rPr>
          <w:i/>
          <w:iCs/>
        </w:rPr>
        <w:t>C</w:t>
      </w:r>
      <w:r w:rsidRPr="0069116E">
        <w:rPr>
          <w:i/>
          <w:iCs/>
        </w:rPr>
        <w:t xml:space="preserve">hange, </w:t>
      </w:r>
      <w:r>
        <w:rPr>
          <w:i/>
          <w:iCs/>
        </w:rPr>
        <w:t>S</w:t>
      </w:r>
      <w:r w:rsidRPr="0069116E">
        <w:rPr>
          <w:i/>
          <w:iCs/>
        </w:rPr>
        <w:t xml:space="preserve">ustainable </w:t>
      </w:r>
      <w:r>
        <w:rPr>
          <w:i/>
          <w:iCs/>
        </w:rPr>
        <w:t>D</w:t>
      </w:r>
      <w:r w:rsidRPr="0069116E">
        <w:rPr>
          <w:i/>
          <w:iCs/>
        </w:rPr>
        <w:t xml:space="preserve">evelopment, and </w:t>
      </w:r>
      <w:r>
        <w:rPr>
          <w:i/>
          <w:iCs/>
        </w:rPr>
        <w:t>E</w:t>
      </w:r>
      <w:r w:rsidRPr="0069116E">
        <w:rPr>
          <w:i/>
          <w:iCs/>
        </w:rPr>
        <w:t xml:space="preserve">fforts to </w:t>
      </w:r>
      <w:r>
        <w:rPr>
          <w:i/>
          <w:iCs/>
        </w:rPr>
        <w:t>E</w:t>
      </w:r>
      <w:r w:rsidRPr="0069116E">
        <w:rPr>
          <w:i/>
          <w:iCs/>
        </w:rPr>
        <w:t xml:space="preserve">radicate </w:t>
      </w:r>
      <w:r>
        <w:rPr>
          <w:i/>
          <w:iCs/>
        </w:rPr>
        <w:t>P</w:t>
      </w:r>
      <w:r w:rsidRPr="0069116E">
        <w:rPr>
          <w:i/>
          <w:iCs/>
        </w:rPr>
        <w:t>overty</w:t>
      </w:r>
      <w:r>
        <w:t>,</w:t>
      </w:r>
      <w:r w:rsidRPr="0069116E">
        <w:t xml:space="preserve"> ed. V Masson-Delmotte, P Zhai, HO Pörtner, D Roberts, J</w:t>
      </w:r>
      <w:r>
        <w:t xml:space="preserve"> </w:t>
      </w:r>
      <w:r w:rsidRPr="0069116E">
        <w:t>Skea, et al. Geneva: IPCC</w:t>
      </w:r>
      <w:r>
        <w:t xml:space="preserve">. </w:t>
      </w:r>
      <w:hyperlink r:id="rId5" w:history="1">
        <w:r w:rsidR="00CD10AB" w:rsidRPr="00A65A1C">
          <w:rPr>
            <w:rStyle w:val="Hipervnculo"/>
          </w:rPr>
          <w:t>https://www.ipcc.ch/sr15/</w:t>
        </w:r>
      </w:hyperlink>
    </w:p>
  </w:footnote>
  <w:footnote w:id="9">
    <w:p w14:paraId="69D970EC" w14:textId="0CD2C229" w:rsidR="009D3C58" w:rsidRPr="003D05F4" w:rsidRDefault="009D3C58">
      <w:pPr>
        <w:pStyle w:val="Textonotapie"/>
        <w:rPr>
          <w:lang w:val="en-US"/>
        </w:rPr>
      </w:pPr>
      <w:r>
        <w:rPr>
          <w:rStyle w:val="Refdenotaalpie"/>
        </w:rPr>
        <w:footnoteRef/>
      </w:r>
      <w:r>
        <w:t xml:space="preserve"> </w:t>
      </w:r>
      <w:r w:rsidRPr="00775711">
        <w:t>Rockström J, Steffen W, Noone K, Persson Å, Chapin FS III, et al.</w:t>
      </w:r>
      <w:r>
        <w:t xml:space="preserve"> 2009. </w:t>
      </w:r>
      <w:r w:rsidRPr="00775711">
        <w:t>A safe operating space for humanity.</w:t>
      </w:r>
      <w:r>
        <w:t xml:space="preserve"> </w:t>
      </w:r>
      <w:r>
        <w:rPr>
          <w:i/>
          <w:iCs/>
        </w:rPr>
        <w:t xml:space="preserve">Nature </w:t>
      </w:r>
      <w:r>
        <w:t>461:</w:t>
      </w:r>
      <w:r w:rsidRPr="00775711">
        <w:t>472–75</w:t>
      </w:r>
      <w:r>
        <w:t xml:space="preserve">. </w:t>
      </w:r>
      <w:hyperlink r:id="rId6" w:history="1">
        <w:r w:rsidRPr="0039419C">
          <w:rPr>
            <w:rStyle w:val="Hipervnculo"/>
          </w:rPr>
          <w:t>https://www.nature.com/articles/461472a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D45"/>
    <w:multiLevelType w:val="hybridMultilevel"/>
    <w:tmpl w:val="61F466EE"/>
    <w:lvl w:ilvl="0" w:tplc="FC4ED492">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F31202"/>
    <w:multiLevelType w:val="hybridMultilevel"/>
    <w:tmpl w:val="F23A5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1D01FA"/>
    <w:multiLevelType w:val="hybridMultilevel"/>
    <w:tmpl w:val="04881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E33056"/>
    <w:multiLevelType w:val="multilevel"/>
    <w:tmpl w:val="2A86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F02DF"/>
    <w:multiLevelType w:val="hybridMultilevel"/>
    <w:tmpl w:val="B440A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6F12D4"/>
    <w:multiLevelType w:val="hybridMultilevel"/>
    <w:tmpl w:val="261A2F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22623A7"/>
    <w:multiLevelType w:val="hybridMultilevel"/>
    <w:tmpl w:val="1B62C80A"/>
    <w:lvl w:ilvl="0" w:tplc="437A0F3E">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09708B"/>
    <w:multiLevelType w:val="hybridMultilevel"/>
    <w:tmpl w:val="0046C4E6"/>
    <w:lvl w:ilvl="0" w:tplc="320421A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0213914">
    <w:abstractNumId w:val="6"/>
  </w:num>
  <w:num w:numId="2" w16cid:durableId="1756433387">
    <w:abstractNumId w:val="0"/>
  </w:num>
  <w:num w:numId="3" w16cid:durableId="256518735">
    <w:abstractNumId w:val="7"/>
  </w:num>
  <w:num w:numId="4" w16cid:durableId="2068457592">
    <w:abstractNumId w:val="2"/>
  </w:num>
  <w:num w:numId="5" w16cid:durableId="794325301">
    <w:abstractNumId w:val="1"/>
  </w:num>
  <w:num w:numId="6" w16cid:durableId="695693259">
    <w:abstractNumId w:val="3"/>
  </w:num>
  <w:num w:numId="7" w16cid:durableId="340591982">
    <w:abstractNumId w:val="5"/>
  </w:num>
  <w:num w:numId="8" w16cid:durableId="2018461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EA"/>
    <w:rsid w:val="000019FE"/>
    <w:rsid w:val="00006595"/>
    <w:rsid w:val="00017834"/>
    <w:rsid w:val="000262CB"/>
    <w:rsid w:val="000264D4"/>
    <w:rsid w:val="000306AA"/>
    <w:rsid w:val="00031C90"/>
    <w:rsid w:val="0003325F"/>
    <w:rsid w:val="00035EE9"/>
    <w:rsid w:val="00042F7E"/>
    <w:rsid w:val="00044907"/>
    <w:rsid w:val="00045325"/>
    <w:rsid w:val="00047635"/>
    <w:rsid w:val="000521A9"/>
    <w:rsid w:val="00056403"/>
    <w:rsid w:val="000608D4"/>
    <w:rsid w:val="00064406"/>
    <w:rsid w:val="00064A88"/>
    <w:rsid w:val="0006774E"/>
    <w:rsid w:val="00076D61"/>
    <w:rsid w:val="00081F8A"/>
    <w:rsid w:val="00082DE2"/>
    <w:rsid w:val="00084779"/>
    <w:rsid w:val="00085ED3"/>
    <w:rsid w:val="0009209E"/>
    <w:rsid w:val="0009569D"/>
    <w:rsid w:val="0009659C"/>
    <w:rsid w:val="000A04CE"/>
    <w:rsid w:val="000A62E9"/>
    <w:rsid w:val="000B38FA"/>
    <w:rsid w:val="000B4088"/>
    <w:rsid w:val="000B4A23"/>
    <w:rsid w:val="000B5CE3"/>
    <w:rsid w:val="000B61BF"/>
    <w:rsid w:val="000B698A"/>
    <w:rsid w:val="000B762F"/>
    <w:rsid w:val="000C2427"/>
    <w:rsid w:val="000C3722"/>
    <w:rsid w:val="000C71EA"/>
    <w:rsid w:val="000C76D3"/>
    <w:rsid w:val="000C7AB0"/>
    <w:rsid w:val="000D26ED"/>
    <w:rsid w:val="000D2962"/>
    <w:rsid w:val="000D6B4A"/>
    <w:rsid w:val="000D6D13"/>
    <w:rsid w:val="000F0969"/>
    <w:rsid w:val="000F332D"/>
    <w:rsid w:val="000F4606"/>
    <w:rsid w:val="000F4DAB"/>
    <w:rsid w:val="000F70BE"/>
    <w:rsid w:val="000F7C0B"/>
    <w:rsid w:val="001000FF"/>
    <w:rsid w:val="00102E3A"/>
    <w:rsid w:val="00103908"/>
    <w:rsid w:val="00105F57"/>
    <w:rsid w:val="00107B27"/>
    <w:rsid w:val="00107BD1"/>
    <w:rsid w:val="00110193"/>
    <w:rsid w:val="001103B1"/>
    <w:rsid w:val="00110DEB"/>
    <w:rsid w:val="001110F7"/>
    <w:rsid w:val="00116BD6"/>
    <w:rsid w:val="001226C5"/>
    <w:rsid w:val="001236CC"/>
    <w:rsid w:val="00133303"/>
    <w:rsid w:val="001358CC"/>
    <w:rsid w:val="001359BD"/>
    <w:rsid w:val="00135C83"/>
    <w:rsid w:val="00136536"/>
    <w:rsid w:val="00140D9C"/>
    <w:rsid w:val="0014402F"/>
    <w:rsid w:val="00147EAF"/>
    <w:rsid w:val="00151D95"/>
    <w:rsid w:val="00167933"/>
    <w:rsid w:val="00182750"/>
    <w:rsid w:val="001845BD"/>
    <w:rsid w:val="00186454"/>
    <w:rsid w:val="001976C7"/>
    <w:rsid w:val="001A14C9"/>
    <w:rsid w:val="001A2284"/>
    <w:rsid w:val="001A4448"/>
    <w:rsid w:val="001A4B63"/>
    <w:rsid w:val="001B1663"/>
    <w:rsid w:val="001B1E7C"/>
    <w:rsid w:val="001C1573"/>
    <w:rsid w:val="001C3AFE"/>
    <w:rsid w:val="001C4DFD"/>
    <w:rsid w:val="001C5987"/>
    <w:rsid w:val="001C59A5"/>
    <w:rsid w:val="001D05E7"/>
    <w:rsid w:val="001D151D"/>
    <w:rsid w:val="001D2819"/>
    <w:rsid w:val="001D2A92"/>
    <w:rsid w:val="001D5CE1"/>
    <w:rsid w:val="001E7D7D"/>
    <w:rsid w:val="001F701B"/>
    <w:rsid w:val="001F769C"/>
    <w:rsid w:val="00207605"/>
    <w:rsid w:val="0021144E"/>
    <w:rsid w:val="002131CB"/>
    <w:rsid w:val="002132A1"/>
    <w:rsid w:val="00215992"/>
    <w:rsid w:val="002224B1"/>
    <w:rsid w:val="00222B3F"/>
    <w:rsid w:val="0022458F"/>
    <w:rsid w:val="002276D1"/>
    <w:rsid w:val="00233606"/>
    <w:rsid w:val="00234F6C"/>
    <w:rsid w:val="002354B4"/>
    <w:rsid w:val="0023707D"/>
    <w:rsid w:val="00243598"/>
    <w:rsid w:val="0025392D"/>
    <w:rsid w:val="00256ED9"/>
    <w:rsid w:val="00271D29"/>
    <w:rsid w:val="00274C80"/>
    <w:rsid w:val="002754B5"/>
    <w:rsid w:val="0028245F"/>
    <w:rsid w:val="00283356"/>
    <w:rsid w:val="00283933"/>
    <w:rsid w:val="00283C18"/>
    <w:rsid w:val="002847BC"/>
    <w:rsid w:val="002857EA"/>
    <w:rsid w:val="002930D3"/>
    <w:rsid w:val="00294ECD"/>
    <w:rsid w:val="002A070B"/>
    <w:rsid w:val="002A6DF2"/>
    <w:rsid w:val="002B4878"/>
    <w:rsid w:val="002C0B79"/>
    <w:rsid w:val="002D0800"/>
    <w:rsid w:val="002E0FEB"/>
    <w:rsid w:val="002E41FA"/>
    <w:rsid w:val="002E7506"/>
    <w:rsid w:val="002E7E5F"/>
    <w:rsid w:val="002F58ED"/>
    <w:rsid w:val="00300426"/>
    <w:rsid w:val="003072EC"/>
    <w:rsid w:val="00312FC9"/>
    <w:rsid w:val="003139C5"/>
    <w:rsid w:val="00316724"/>
    <w:rsid w:val="00324F65"/>
    <w:rsid w:val="0032563E"/>
    <w:rsid w:val="003269AD"/>
    <w:rsid w:val="003356ED"/>
    <w:rsid w:val="003425FB"/>
    <w:rsid w:val="00344A16"/>
    <w:rsid w:val="00350D50"/>
    <w:rsid w:val="0035546E"/>
    <w:rsid w:val="00366BAF"/>
    <w:rsid w:val="00367897"/>
    <w:rsid w:val="003769D3"/>
    <w:rsid w:val="003917A6"/>
    <w:rsid w:val="003949CA"/>
    <w:rsid w:val="00396908"/>
    <w:rsid w:val="00397D5A"/>
    <w:rsid w:val="003A2C27"/>
    <w:rsid w:val="003A3229"/>
    <w:rsid w:val="003A6D84"/>
    <w:rsid w:val="003B2440"/>
    <w:rsid w:val="003B708C"/>
    <w:rsid w:val="003C0140"/>
    <w:rsid w:val="003C44AE"/>
    <w:rsid w:val="003D05F4"/>
    <w:rsid w:val="003D0E64"/>
    <w:rsid w:val="003E3500"/>
    <w:rsid w:val="003E41A7"/>
    <w:rsid w:val="003E4447"/>
    <w:rsid w:val="003F03FB"/>
    <w:rsid w:val="003F1763"/>
    <w:rsid w:val="003F5F57"/>
    <w:rsid w:val="003F635D"/>
    <w:rsid w:val="003F7031"/>
    <w:rsid w:val="003F712B"/>
    <w:rsid w:val="00400641"/>
    <w:rsid w:val="004049CF"/>
    <w:rsid w:val="00416DA6"/>
    <w:rsid w:val="00423FB9"/>
    <w:rsid w:val="00424799"/>
    <w:rsid w:val="00425A14"/>
    <w:rsid w:val="0042708C"/>
    <w:rsid w:val="00433C5D"/>
    <w:rsid w:val="00434BA3"/>
    <w:rsid w:val="0045169D"/>
    <w:rsid w:val="00454052"/>
    <w:rsid w:val="00466E46"/>
    <w:rsid w:val="004707AB"/>
    <w:rsid w:val="00470BC4"/>
    <w:rsid w:val="004711D4"/>
    <w:rsid w:val="004742F0"/>
    <w:rsid w:val="00474512"/>
    <w:rsid w:val="00476462"/>
    <w:rsid w:val="00477FEB"/>
    <w:rsid w:val="004803BE"/>
    <w:rsid w:val="00480B48"/>
    <w:rsid w:val="00485B4F"/>
    <w:rsid w:val="004868AA"/>
    <w:rsid w:val="00487FEE"/>
    <w:rsid w:val="00491BDD"/>
    <w:rsid w:val="0049596B"/>
    <w:rsid w:val="004963A0"/>
    <w:rsid w:val="004A07ED"/>
    <w:rsid w:val="004A13EE"/>
    <w:rsid w:val="004A4EA6"/>
    <w:rsid w:val="004B0BA4"/>
    <w:rsid w:val="004B5BDA"/>
    <w:rsid w:val="004C14CD"/>
    <w:rsid w:val="004C696C"/>
    <w:rsid w:val="004D0601"/>
    <w:rsid w:val="004D2132"/>
    <w:rsid w:val="004D3F57"/>
    <w:rsid w:val="004E041D"/>
    <w:rsid w:val="004E71E2"/>
    <w:rsid w:val="004E78F8"/>
    <w:rsid w:val="004F28C5"/>
    <w:rsid w:val="004F3E10"/>
    <w:rsid w:val="004F4A24"/>
    <w:rsid w:val="004F5250"/>
    <w:rsid w:val="004F5C7D"/>
    <w:rsid w:val="00502648"/>
    <w:rsid w:val="00502DAE"/>
    <w:rsid w:val="005067CA"/>
    <w:rsid w:val="00507676"/>
    <w:rsid w:val="00522FAA"/>
    <w:rsid w:val="00523010"/>
    <w:rsid w:val="005273A9"/>
    <w:rsid w:val="00533BC0"/>
    <w:rsid w:val="005431E7"/>
    <w:rsid w:val="00544721"/>
    <w:rsid w:val="005515BC"/>
    <w:rsid w:val="005525D8"/>
    <w:rsid w:val="00553100"/>
    <w:rsid w:val="00563F7D"/>
    <w:rsid w:val="00570B63"/>
    <w:rsid w:val="00572DBC"/>
    <w:rsid w:val="0057654B"/>
    <w:rsid w:val="00577492"/>
    <w:rsid w:val="00580344"/>
    <w:rsid w:val="005805D4"/>
    <w:rsid w:val="00583377"/>
    <w:rsid w:val="00584662"/>
    <w:rsid w:val="00586B01"/>
    <w:rsid w:val="00591103"/>
    <w:rsid w:val="005971BB"/>
    <w:rsid w:val="005A19F1"/>
    <w:rsid w:val="005A1A0F"/>
    <w:rsid w:val="005A2130"/>
    <w:rsid w:val="005A5228"/>
    <w:rsid w:val="005A76FD"/>
    <w:rsid w:val="005B1FAA"/>
    <w:rsid w:val="005B5A5A"/>
    <w:rsid w:val="005C186D"/>
    <w:rsid w:val="005D0068"/>
    <w:rsid w:val="005D047C"/>
    <w:rsid w:val="005D1BD2"/>
    <w:rsid w:val="005D1D5A"/>
    <w:rsid w:val="005D548E"/>
    <w:rsid w:val="005F0CF1"/>
    <w:rsid w:val="005F0F7B"/>
    <w:rsid w:val="005F355C"/>
    <w:rsid w:val="005F5430"/>
    <w:rsid w:val="00600A6D"/>
    <w:rsid w:val="00604D23"/>
    <w:rsid w:val="00605FC7"/>
    <w:rsid w:val="00606F47"/>
    <w:rsid w:val="00607C71"/>
    <w:rsid w:val="00615612"/>
    <w:rsid w:val="0061648A"/>
    <w:rsid w:val="00636D66"/>
    <w:rsid w:val="006452D3"/>
    <w:rsid w:val="00647C3C"/>
    <w:rsid w:val="006521F6"/>
    <w:rsid w:val="00655E95"/>
    <w:rsid w:val="00656055"/>
    <w:rsid w:val="00660126"/>
    <w:rsid w:val="00663608"/>
    <w:rsid w:val="006744B5"/>
    <w:rsid w:val="00684D2D"/>
    <w:rsid w:val="00686BCC"/>
    <w:rsid w:val="0069116E"/>
    <w:rsid w:val="006934F4"/>
    <w:rsid w:val="006960CF"/>
    <w:rsid w:val="006A1596"/>
    <w:rsid w:val="006A59F8"/>
    <w:rsid w:val="006B1616"/>
    <w:rsid w:val="006B458B"/>
    <w:rsid w:val="006B6C08"/>
    <w:rsid w:val="006B73FE"/>
    <w:rsid w:val="006C1117"/>
    <w:rsid w:val="006C6C05"/>
    <w:rsid w:val="006D0C9C"/>
    <w:rsid w:val="006D4E39"/>
    <w:rsid w:val="006E4A0F"/>
    <w:rsid w:val="006E5567"/>
    <w:rsid w:val="006E5EF7"/>
    <w:rsid w:val="006F259E"/>
    <w:rsid w:val="006F279B"/>
    <w:rsid w:val="006F3037"/>
    <w:rsid w:val="006F680F"/>
    <w:rsid w:val="0070083B"/>
    <w:rsid w:val="00702C95"/>
    <w:rsid w:val="0070703D"/>
    <w:rsid w:val="0072131C"/>
    <w:rsid w:val="00722009"/>
    <w:rsid w:val="007229AC"/>
    <w:rsid w:val="00726011"/>
    <w:rsid w:val="007264BD"/>
    <w:rsid w:val="00737A7B"/>
    <w:rsid w:val="0074096A"/>
    <w:rsid w:val="00743985"/>
    <w:rsid w:val="00744439"/>
    <w:rsid w:val="00744DE6"/>
    <w:rsid w:val="007475AE"/>
    <w:rsid w:val="00747771"/>
    <w:rsid w:val="0075180D"/>
    <w:rsid w:val="00753E6A"/>
    <w:rsid w:val="00764F38"/>
    <w:rsid w:val="00770BC5"/>
    <w:rsid w:val="00771B5B"/>
    <w:rsid w:val="00772FBC"/>
    <w:rsid w:val="00775711"/>
    <w:rsid w:val="0078427B"/>
    <w:rsid w:val="007848D1"/>
    <w:rsid w:val="0078643A"/>
    <w:rsid w:val="007921F3"/>
    <w:rsid w:val="00793B9E"/>
    <w:rsid w:val="007A15B9"/>
    <w:rsid w:val="007A5CBA"/>
    <w:rsid w:val="007A7F57"/>
    <w:rsid w:val="007B2301"/>
    <w:rsid w:val="007C0355"/>
    <w:rsid w:val="007C2713"/>
    <w:rsid w:val="007C39EC"/>
    <w:rsid w:val="007D04BD"/>
    <w:rsid w:val="007D35E0"/>
    <w:rsid w:val="007D4D7F"/>
    <w:rsid w:val="007D6215"/>
    <w:rsid w:val="007D65B5"/>
    <w:rsid w:val="007D6968"/>
    <w:rsid w:val="007D7476"/>
    <w:rsid w:val="007E411F"/>
    <w:rsid w:val="007E4B02"/>
    <w:rsid w:val="007E511B"/>
    <w:rsid w:val="007F0A19"/>
    <w:rsid w:val="007F11A0"/>
    <w:rsid w:val="007F2ED1"/>
    <w:rsid w:val="007F3E90"/>
    <w:rsid w:val="00800490"/>
    <w:rsid w:val="0080772A"/>
    <w:rsid w:val="00811CE0"/>
    <w:rsid w:val="00812EB1"/>
    <w:rsid w:val="008163C4"/>
    <w:rsid w:val="00821BC0"/>
    <w:rsid w:val="00821C95"/>
    <w:rsid w:val="00826CEA"/>
    <w:rsid w:val="00827130"/>
    <w:rsid w:val="00834E4B"/>
    <w:rsid w:val="00836FE9"/>
    <w:rsid w:val="00840535"/>
    <w:rsid w:val="0084739D"/>
    <w:rsid w:val="008520E5"/>
    <w:rsid w:val="00852395"/>
    <w:rsid w:val="008539EF"/>
    <w:rsid w:val="00862577"/>
    <w:rsid w:val="008636D0"/>
    <w:rsid w:val="00867096"/>
    <w:rsid w:val="008670A9"/>
    <w:rsid w:val="0087156D"/>
    <w:rsid w:val="00871C61"/>
    <w:rsid w:val="008749FE"/>
    <w:rsid w:val="00876F6D"/>
    <w:rsid w:val="00883287"/>
    <w:rsid w:val="00884FC2"/>
    <w:rsid w:val="00885374"/>
    <w:rsid w:val="0088564A"/>
    <w:rsid w:val="008900A8"/>
    <w:rsid w:val="00892164"/>
    <w:rsid w:val="008A14FE"/>
    <w:rsid w:val="008A4056"/>
    <w:rsid w:val="008A5073"/>
    <w:rsid w:val="008A5D4B"/>
    <w:rsid w:val="008B1438"/>
    <w:rsid w:val="008B1803"/>
    <w:rsid w:val="008B3613"/>
    <w:rsid w:val="008B4B75"/>
    <w:rsid w:val="008B61CA"/>
    <w:rsid w:val="008C55A0"/>
    <w:rsid w:val="008D3D0D"/>
    <w:rsid w:val="008D51D1"/>
    <w:rsid w:val="008E057A"/>
    <w:rsid w:val="008F08D6"/>
    <w:rsid w:val="008F15EE"/>
    <w:rsid w:val="009011E0"/>
    <w:rsid w:val="009021C5"/>
    <w:rsid w:val="009038F0"/>
    <w:rsid w:val="009137D1"/>
    <w:rsid w:val="00921475"/>
    <w:rsid w:val="0092169A"/>
    <w:rsid w:val="009236C4"/>
    <w:rsid w:val="0092474E"/>
    <w:rsid w:val="00927086"/>
    <w:rsid w:val="009349D7"/>
    <w:rsid w:val="009374D7"/>
    <w:rsid w:val="00942F54"/>
    <w:rsid w:val="00946862"/>
    <w:rsid w:val="00947DCA"/>
    <w:rsid w:val="00955494"/>
    <w:rsid w:val="009606B0"/>
    <w:rsid w:val="00961D12"/>
    <w:rsid w:val="00962044"/>
    <w:rsid w:val="00965586"/>
    <w:rsid w:val="00973AD7"/>
    <w:rsid w:val="00977E62"/>
    <w:rsid w:val="009821EB"/>
    <w:rsid w:val="00982F2E"/>
    <w:rsid w:val="00984EC2"/>
    <w:rsid w:val="009861FF"/>
    <w:rsid w:val="00987745"/>
    <w:rsid w:val="00996017"/>
    <w:rsid w:val="00997D1D"/>
    <w:rsid w:val="009A55AE"/>
    <w:rsid w:val="009A59E6"/>
    <w:rsid w:val="009B18B8"/>
    <w:rsid w:val="009C1E72"/>
    <w:rsid w:val="009C48EE"/>
    <w:rsid w:val="009D1EEA"/>
    <w:rsid w:val="009D3C58"/>
    <w:rsid w:val="009E700E"/>
    <w:rsid w:val="009F033B"/>
    <w:rsid w:val="009F6BD7"/>
    <w:rsid w:val="00A03AB4"/>
    <w:rsid w:val="00A070D1"/>
    <w:rsid w:val="00A07F15"/>
    <w:rsid w:val="00A10C7A"/>
    <w:rsid w:val="00A15CA6"/>
    <w:rsid w:val="00A160D5"/>
    <w:rsid w:val="00A1759B"/>
    <w:rsid w:val="00A2015A"/>
    <w:rsid w:val="00A2108F"/>
    <w:rsid w:val="00A22817"/>
    <w:rsid w:val="00A24104"/>
    <w:rsid w:val="00A25D25"/>
    <w:rsid w:val="00A36CF6"/>
    <w:rsid w:val="00A3755A"/>
    <w:rsid w:val="00A508E3"/>
    <w:rsid w:val="00A52354"/>
    <w:rsid w:val="00A5237F"/>
    <w:rsid w:val="00A61113"/>
    <w:rsid w:val="00A61BEA"/>
    <w:rsid w:val="00A6643A"/>
    <w:rsid w:val="00A66F4A"/>
    <w:rsid w:val="00A71A67"/>
    <w:rsid w:val="00A73F22"/>
    <w:rsid w:val="00A74EE2"/>
    <w:rsid w:val="00A76DDB"/>
    <w:rsid w:val="00A80618"/>
    <w:rsid w:val="00A810E1"/>
    <w:rsid w:val="00A81C5A"/>
    <w:rsid w:val="00A87463"/>
    <w:rsid w:val="00A9090B"/>
    <w:rsid w:val="00A90ECC"/>
    <w:rsid w:val="00A949DF"/>
    <w:rsid w:val="00AA10B7"/>
    <w:rsid w:val="00AA148F"/>
    <w:rsid w:val="00AA5EFE"/>
    <w:rsid w:val="00AA6669"/>
    <w:rsid w:val="00AA67F2"/>
    <w:rsid w:val="00AA6D17"/>
    <w:rsid w:val="00AB002B"/>
    <w:rsid w:val="00AB2C1F"/>
    <w:rsid w:val="00AB60CA"/>
    <w:rsid w:val="00AB66B9"/>
    <w:rsid w:val="00AB6D8C"/>
    <w:rsid w:val="00AB7554"/>
    <w:rsid w:val="00AC1A4D"/>
    <w:rsid w:val="00AC2ECF"/>
    <w:rsid w:val="00AC6C29"/>
    <w:rsid w:val="00AD2B67"/>
    <w:rsid w:val="00AE5DAC"/>
    <w:rsid w:val="00AE620B"/>
    <w:rsid w:val="00AF3FDF"/>
    <w:rsid w:val="00AF555B"/>
    <w:rsid w:val="00B01AA1"/>
    <w:rsid w:val="00B0216D"/>
    <w:rsid w:val="00B07509"/>
    <w:rsid w:val="00B127CA"/>
    <w:rsid w:val="00B1659E"/>
    <w:rsid w:val="00B2224D"/>
    <w:rsid w:val="00B22D92"/>
    <w:rsid w:val="00B254FE"/>
    <w:rsid w:val="00B25D16"/>
    <w:rsid w:val="00B2626A"/>
    <w:rsid w:val="00B26B8E"/>
    <w:rsid w:val="00B318C6"/>
    <w:rsid w:val="00B32C58"/>
    <w:rsid w:val="00B40AA3"/>
    <w:rsid w:val="00B42E9E"/>
    <w:rsid w:val="00B52588"/>
    <w:rsid w:val="00B54465"/>
    <w:rsid w:val="00B61CE5"/>
    <w:rsid w:val="00B62956"/>
    <w:rsid w:val="00B66ACB"/>
    <w:rsid w:val="00B71BE9"/>
    <w:rsid w:val="00B72A5C"/>
    <w:rsid w:val="00B72E08"/>
    <w:rsid w:val="00B74998"/>
    <w:rsid w:val="00B81C81"/>
    <w:rsid w:val="00B825A0"/>
    <w:rsid w:val="00B82EE6"/>
    <w:rsid w:val="00B84481"/>
    <w:rsid w:val="00B84B04"/>
    <w:rsid w:val="00B923E8"/>
    <w:rsid w:val="00BA0145"/>
    <w:rsid w:val="00BA3A1F"/>
    <w:rsid w:val="00BA4C18"/>
    <w:rsid w:val="00BA6067"/>
    <w:rsid w:val="00BA79BC"/>
    <w:rsid w:val="00BB59BF"/>
    <w:rsid w:val="00BC58FB"/>
    <w:rsid w:val="00BD2661"/>
    <w:rsid w:val="00BD4B12"/>
    <w:rsid w:val="00BD6D1A"/>
    <w:rsid w:val="00BE170E"/>
    <w:rsid w:val="00BE21CB"/>
    <w:rsid w:val="00BE21E7"/>
    <w:rsid w:val="00BE4280"/>
    <w:rsid w:val="00BE44AA"/>
    <w:rsid w:val="00BE7204"/>
    <w:rsid w:val="00BF36E3"/>
    <w:rsid w:val="00BF5E7E"/>
    <w:rsid w:val="00C026A6"/>
    <w:rsid w:val="00C04F1C"/>
    <w:rsid w:val="00C05405"/>
    <w:rsid w:val="00C054C9"/>
    <w:rsid w:val="00C05C3A"/>
    <w:rsid w:val="00C11F5E"/>
    <w:rsid w:val="00C16999"/>
    <w:rsid w:val="00C27169"/>
    <w:rsid w:val="00C30143"/>
    <w:rsid w:val="00C32280"/>
    <w:rsid w:val="00C373BB"/>
    <w:rsid w:val="00C433CA"/>
    <w:rsid w:val="00C45A97"/>
    <w:rsid w:val="00C658C1"/>
    <w:rsid w:val="00C67B00"/>
    <w:rsid w:val="00C70ED9"/>
    <w:rsid w:val="00C72FAF"/>
    <w:rsid w:val="00C72FD7"/>
    <w:rsid w:val="00C73DCB"/>
    <w:rsid w:val="00C76287"/>
    <w:rsid w:val="00C7656D"/>
    <w:rsid w:val="00C84B43"/>
    <w:rsid w:val="00C85093"/>
    <w:rsid w:val="00C91292"/>
    <w:rsid w:val="00C92E2C"/>
    <w:rsid w:val="00CA5741"/>
    <w:rsid w:val="00CB3EF8"/>
    <w:rsid w:val="00CB6E28"/>
    <w:rsid w:val="00CB7C5A"/>
    <w:rsid w:val="00CC11F0"/>
    <w:rsid w:val="00CC51C5"/>
    <w:rsid w:val="00CC68A5"/>
    <w:rsid w:val="00CD07D4"/>
    <w:rsid w:val="00CD10AB"/>
    <w:rsid w:val="00CE38B8"/>
    <w:rsid w:val="00CE4516"/>
    <w:rsid w:val="00CF001F"/>
    <w:rsid w:val="00CF177A"/>
    <w:rsid w:val="00D051C6"/>
    <w:rsid w:val="00D05EBC"/>
    <w:rsid w:val="00D10C33"/>
    <w:rsid w:val="00D13791"/>
    <w:rsid w:val="00D1453B"/>
    <w:rsid w:val="00D23E86"/>
    <w:rsid w:val="00D248E1"/>
    <w:rsid w:val="00D24FC5"/>
    <w:rsid w:val="00D25827"/>
    <w:rsid w:val="00D301A4"/>
    <w:rsid w:val="00D31493"/>
    <w:rsid w:val="00D34F2B"/>
    <w:rsid w:val="00D35837"/>
    <w:rsid w:val="00D35DFF"/>
    <w:rsid w:val="00D44EE1"/>
    <w:rsid w:val="00D454C4"/>
    <w:rsid w:val="00D45C12"/>
    <w:rsid w:val="00D50956"/>
    <w:rsid w:val="00D53048"/>
    <w:rsid w:val="00D54BD9"/>
    <w:rsid w:val="00D616C0"/>
    <w:rsid w:val="00D61A02"/>
    <w:rsid w:val="00D65C10"/>
    <w:rsid w:val="00D66F92"/>
    <w:rsid w:val="00D70F6E"/>
    <w:rsid w:val="00D77BAE"/>
    <w:rsid w:val="00D82082"/>
    <w:rsid w:val="00D83135"/>
    <w:rsid w:val="00D83B2B"/>
    <w:rsid w:val="00D90F28"/>
    <w:rsid w:val="00DA2B4B"/>
    <w:rsid w:val="00DA3C94"/>
    <w:rsid w:val="00DA5E20"/>
    <w:rsid w:val="00DA7ADB"/>
    <w:rsid w:val="00DA7FC5"/>
    <w:rsid w:val="00DB10FE"/>
    <w:rsid w:val="00DB24E8"/>
    <w:rsid w:val="00DB30E4"/>
    <w:rsid w:val="00DC272E"/>
    <w:rsid w:val="00DD2501"/>
    <w:rsid w:val="00DE7005"/>
    <w:rsid w:val="00DF2C44"/>
    <w:rsid w:val="00E00ACF"/>
    <w:rsid w:val="00E03C8E"/>
    <w:rsid w:val="00E0732B"/>
    <w:rsid w:val="00E07477"/>
    <w:rsid w:val="00E12783"/>
    <w:rsid w:val="00E13D3E"/>
    <w:rsid w:val="00E222DB"/>
    <w:rsid w:val="00E26014"/>
    <w:rsid w:val="00E265E1"/>
    <w:rsid w:val="00E311A1"/>
    <w:rsid w:val="00E31FAB"/>
    <w:rsid w:val="00E34EC9"/>
    <w:rsid w:val="00E3586E"/>
    <w:rsid w:val="00E41D95"/>
    <w:rsid w:val="00E4233E"/>
    <w:rsid w:val="00E5495D"/>
    <w:rsid w:val="00E60D5F"/>
    <w:rsid w:val="00E63889"/>
    <w:rsid w:val="00E66DE5"/>
    <w:rsid w:val="00E764C1"/>
    <w:rsid w:val="00E7756D"/>
    <w:rsid w:val="00E9399E"/>
    <w:rsid w:val="00E95433"/>
    <w:rsid w:val="00E9591D"/>
    <w:rsid w:val="00E970C5"/>
    <w:rsid w:val="00EA04B4"/>
    <w:rsid w:val="00EA7520"/>
    <w:rsid w:val="00EA7778"/>
    <w:rsid w:val="00EB1E60"/>
    <w:rsid w:val="00EB20A4"/>
    <w:rsid w:val="00EC40E9"/>
    <w:rsid w:val="00ED06D9"/>
    <w:rsid w:val="00ED09A2"/>
    <w:rsid w:val="00ED3245"/>
    <w:rsid w:val="00ED5F9A"/>
    <w:rsid w:val="00ED6F8C"/>
    <w:rsid w:val="00EE1EAF"/>
    <w:rsid w:val="00EF315E"/>
    <w:rsid w:val="00EF67FE"/>
    <w:rsid w:val="00F0280D"/>
    <w:rsid w:val="00F06531"/>
    <w:rsid w:val="00F236E6"/>
    <w:rsid w:val="00F23A49"/>
    <w:rsid w:val="00F3187B"/>
    <w:rsid w:val="00F42350"/>
    <w:rsid w:val="00F57AC6"/>
    <w:rsid w:val="00F60969"/>
    <w:rsid w:val="00F61DA8"/>
    <w:rsid w:val="00F62C14"/>
    <w:rsid w:val="00F62DED"/>
    <w:rsid w:val="00F633C8"/>
    <w:rsid w:val="00F64FE3"/>
    <w:rsid w:val="00F6749A"/>
    <w:rsid w:val="00F7004F"/>
    <w:rsid w:val="00F708DC"/>
    <w:rsid w:val="00F72BDE"/>
    <w:rsid w:val="00F73908"/>
    <w:rsid w:val="00F75E19"/>
    <w:rsid w:val="00F8111A"/>
    <w:rsid w:val="00F82575"/>
    <w:rsid w:val="00F8541E"/>
    <w:rsid w:val="00F87DC2"/>
    <w:rsid w:val="00F914B9"/>
    <w:rsid w:val="00F94196"/>
    <w:rsid w:val="00FA02D1"/>
    <w:rsid w:val="00FA1356"/>
    <w:rsid w:val="00FB1696"/>
    <w:rsid w:val="00FB3F73"/>
    <w:rsid w:val="00FB613E"/>
    <w:rsid w:val="00FC01F2"/>
    <w:rsid w:val="00FC0E22"/>
    <w:rsid w:val="00FC1CA0"/>
    <w:rsid w:val="00FC275A"/>
    <w:rsid w:val="00FC2870"/>
    <w:rsid w:val="00FC62F2"/>
    <w:rsid w:val="00FD6919"/>
    <w:rsid w:val="00FE2E09"/>
    <w:rsid w:val="00FE5390"/>
    <w:rsid w:val="00FE6A3C"/>
    <w:rsid w:val="00FF2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6C87"/>
  <w15:docId w15:val="{CCEF79CD-1197-4CC2-A36A-939B00A8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475"/>
    <w:pPr>
      <w:spacing w:after="0"/>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834"/>
    <w:pPr>
      <w:ind w:left="720"/>
      <w:contextualSpacing/>
    </w:pPr>
  </w:style>
  <w:style w:type="character" w:styleId="Hipervnculo">
    <w:name w:val="Hyperlink"/>
    <w:basedOn w:val="Fuentedeprrafopredeter"/>
    <w:uiPriority w:val="99"/>
    <w:unhideWhenUsed/>
    <w:rsid w:val="00A1759B"/>
    <w:rPr>
      <w:color w:val="0563C1" w:themeColor="hyperlink"/>
      <w:u w:val="single"/>
    </w:rPr>
  </w:style>
  <w:style w:type="character" w:customStyle="1" w:styleId="UnresolvedMention1">
    <w:name w:val="Unresolved Mention1"/>
    <w:basedOn w:val="Fuentedeprrafopredeter"/>
    <w:uiPriority w:val="99"/>
    <w:semiHidden/>
    <w:unhideWhenUsed/>
    <w:rsid w:val="00A1759B"/>
    <w:rPr>
      <w:color w:val="605E5C"/>
      <w:shd w:val="clear" w:color="auto" w:fill="E1DFDD"/>
    </w:rPr>
  </w:style>
  <w:style w:type="paragraph" w:styleId="Textodeglobo">
    <w:name w:val="Balloon Text"/>
    <w:basedOn w:val="Normal"/>
    <w:link w:val="TextodegloboCar"/>
    <w:uiPriority w:val="99"/>
    <w:semiHidden/>
    <w:unhideWhenUsed/>
    <w:rsid w:val="00C04F1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F1C"/>
    <w:rPr>
      <w:rFonts w:ascii="Segoe UI" w:hAnsi="Segoe UI" w:cs="Segoe UI"/>
      <w:sz w:val="18"/>
      <w:szCs w:val="18"/>
    </w:rPr>
  </w:style>
  <w:style w:type="character" w:styleId="Refdecomentario">
    <w:name w:val="annotation reference"/>
    <w:basedOn w:val="Fuentedeprrafopredeter"/>
    <w:uiPriority w:val="99"/>
    <w:semiHidden/>
    <w:unhideWhenUsed/>
    <w:rsid w:val="00107BD1"/>
    <w:rPr>
      <w:sz w:val="16"/>
      <w:szCs w:val="16"/>
    </w:rPr>
  </w:style>
  <w:style w:type="paragraph" w:styleId="Textocomentario">
    <w:name w:val="annotation text"/>
    <w:basedOn w:val="Normal"/>
    <w:link w:val="TextocomentarioCar"/>
    <w:uiPriority w:val="99"/>
    <w:unhideWhenUsed/>
    <w:rsid w:val="00107BD1"/>
    <w:pPr>
      <w:spacing w:line="240" w:lineRule="auto"/>
    </w:pPr>
    <w:rPr>
      <w:sz w:val="20"/>
      <w:szCs w:val="20"/>
    </w:rPr>
  </w:style>
  <w:style w:type="character" w:customStyle="1" w:styleId="TextocomentarioCar">
    <w:name w:val="Texto comentario Car"/>
    <w:basedOn w:val="Fuentedeprrafopredeter"/>
    <w:link w:val="Textocomentario"/>
    <w:uiPriority w:val="99"/>
    <w:rsid w:val="00107BD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107BD1"/>
    <w:rPr>
      <w:b/>
      <w:bCs/>
    </w:rPr>
  </w:style>
  <w:style w:type="character" w:customStyle="1" w:styleId="AsuntodelcomentarioCar">
    <w:name w:val="Asunto del comentario Car"/>
    <w:basedOn w:val="TextocomentarioCar"/>
    <w:link w:val="Asuntodelcomentario"/>
    <w:uiPriority w:val="99"/>
    <w:semiHidden/>
    <w:rsid w:val="00107BD1"/>
    <w:rPr>
      <w:rFonts w:ascii="Times New Roman" w:hAnsi="Times New Roman"/>
      <w:b/>
      <w:bCs/>
      <w:sz w:val="20"/>
      <w:szCs w:val="20"/>
    </w:rPr>
  </w:style>
  <w:style w:type="character" w:styleId="Hipervnculovisitado">
    <w:name w:val="FollowedHyperlink"/>
    <w:basedOn w:val="Fuentedeprrafopredeter"/>
    <w:uiPriority w:val="99"/>
    <w:semiHidden/>
    <w:unhideWhenUsed/>
    <w:rsid w:val="00107BD1"/>
    <w:rPr>
      <w:color w:val="954F72" w:themeColor="followedHyperlink"/>
      <w:u w:val="single"/>
    </w:rPr>
  </w:style>
  <w:style w:type="paragraph" w:styleId="Revisin">
    <w:name w:val="Revision"/>
    <w:hidden/>
    <w:uiPriority w:val="99"/>
    <w:semiHidden/>
    <w:rsid w:val="00607C71"/>
    <w:pPr>
      <w:spacing w:after="0" w:line="240" w:lineRule="auto"/>
    </w:pPr>
    <w:rPr>
      <w:rFonts w:ascii="Times New Roman" w:hAnsi="Times New Roman"/>
      <w:sz w:val="24"/>
    </w:rPr>
  </w:style>
  <w:style w:type="paragraph" w:styleId="Encabezado">
    <w:name w:val="header"/>
    <w:basedOn w:val="Normal"/>
    <w:link w:val="EncabezadoCar"/>
    <w:uiPriority w:val="99"/>
    <w:unhideWhenUsed/>
    <w:rsid w:val="00702C9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702C95"/>
    <w:rPr>
      <w:rFonts w:ascii="Times New Roman" w:hAnsi="Times New Roman"/>
      <w:sz w:val="24"/>
    </w:rPr>
  </w:style>
  <w:style w:type="paragraph" w:styleId="Piedepgina">
    <w:name w:val="footer"/>
    <w:basedOn w:val="Normal"/>
    <w:link w:val="PiedepginaCar"/>
    <w:uiPriority w:val="99"/>
    <w:unhideWhenUsed/>
    <w:rsid w:val="00702C9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702C95"/>
    <w:rPr>
      <w:rFonts w:ascii="Times New Roman" w:hAnsi="Times New Roman"/>
      <w:sz w:val="24"/>
    </w:rPr>
  </w:style>
  <w:style w:type="character" w:customStyle="1" w:styleId="UnresolvedMention2">
    <w:name w:val="Unresolved Mention2"/>
    <w:basedOn w:val="Fuentedeprrafopredeter"/>
    <w:uiPriority w:val="99"/>
    <w:semiHidden/>
    <w:unhideWhenUsed/>
    <w:rsid w:val="0080772A"/>
    <w:rPr>
      <w:color w:val="605E5C"/>
      <w:shd w:val="clear" w:color="auto" w:fill="E1DFDD"/>
    </w:rPr>
  </w:style>
  <w:style w:type="paragraph" w:styleId="Textonotapie">
    <w:name w:val="footnote text"/>
    <w:basedOn w:val="Normal"/>
    <w:link w:val="TextonotapieCar"/>
    <w:uiPriority w:val="99"/>
    <w:semiHidden/>
    <w:unhideWhenUsed/>
    <w:rsid w:val="0075180D"/>
    <w:pPr>
      <w:spacing w:line="240" w:lineRule="auto"/>
    </w:pPr>
    <w:rPr>
      <w:sz w:val="20"/>
      <w:szCs w:val="20"/>
    </w:rPr>
  </w:style>
  <w:style w:type="character" w:customStyle="1" w:styleId="TextonotapieCar">
    <w:name w:val="Texto nota pie Car"/>
    <w:basedOn w:val="Fuentedeprrafopredeter"/>
    <w:link w:val="Textonotapie"/>
    <w:uiPriority w:val="99"/>
    <w:semiHidden/>
    <w:rsid w:val="0075180D"/>
    <w:rPr>
      <w:rFonts w:ascii="Times New Roman" w:hAnsi="Times New Roman"/>
      <w:sz w:val="20"/>
      <w:szCs w:val="20"/>
    </w:rPr>
  </w:style>
  <w:style w:type="character" w:styleId="Refdenotaalpie">
    <w:name w:val="footnote reference"/>
    <w:basedOn w:val="Fuentedeprrafopredeter"/>
    <w:uiPriority w:val="99"/>
    <w:semiHidden/>
    <w:unhideWhenUsed/>
    <w:rsid w:val="0075180D"/>
    <w:rPr>
      <w:vertAlign w:val="superscript"/>
    </w:rPr>
  </w:style>
  <w:style w:type="character" w:customStyle="1" w:styleId="UnresolvedMention3">
    <w:name w:val="Unresolved Mention3"/>
    <w:basedOn w:val="Fuentedeprrafopredeter"/>
    <w:uiPriority w:val="99"/>
    <w:semiHidden/>
    <w:unhideWhenUsed/>
    <w:rsid w:val="00491BDD"/>
    <w:rPr>
      <w:color w:val="605E5C"/>
      <w:shd w:val="clear" w:color="auto" w:fill="E1DFDD"/>
    </w:rPr>
  </w:style>
  <w:style w:type="paragraph" w:styleId="Textonotaalfinal">
    <w:name w:val="endnote text"/>
    <w:basedOn w:val="Normal"/>
    <w:link w:val="TextonotaalfinalCar"/>
    <w:uiPriority w:val="99"/>
    <w:semiHidden/>
    <w:unhideWhenUsed/>
    <w:rsid w:val="00EE1EAF"/>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EE1EAF"/>
    <w:rPr>
      <w:rFonts w:ascii="Times New Roman" w:hAnsi="Times New Roman"/>
      <w:sz w:val="20"/>
      <w:szCs w:val="20"/>
    </w:rPr>
  </w:style>
  <w:style w:type="character" w:styleId="Refdenotaalfinal">
    <w:name w:val="endnote reference"/>
    <w:basedOn w:val="Fuentedeprrafopredeter"/>
    <w:uiPriority w:val="99"/>
    <w:semiHidden/>
    <w:unhideWhenUsed/>
    <w:rsid w:val="00EE1EAF"/>
    <w:rPr>
      <w:vertAlign w:val="superscript"/>
    </w:rPr>
  </w:style>
  <w:style w:type="paragraph" w:customStyle="1" w:styleId="Firstpageinfo">
    <w:name w:val="First_page_info"/>
    <w:qFormat/>
    <w:rsid w:val="00F73908"/>
    <w:pPr>
      <w:widowControl w:val="0"/>
      <w:spacing w:after="60" w:line="240" w:lineRule="auto"/>
    </w:pPr>
    <w:rPr>
      <w:rFonts w:ascii="Times New Roman" w:eastAsia="Times New Roman" w:hAnsi="Times New Roman"/>
      <w:sz w:val="20"/>
      <w:lang w:val="en-US"/>
    </w:rPr>
  </w:style>
  <w:style w:type="paragraph" w:customStyle="1" w:styleId="Footerleft">
    <w:name w:val="Footer_left"/>
    <w:next w:val="Normal"/>
    <w:qFormat/>
    <w:rsid w:val="00F73908"/>
    <w:pPr>
      <w:widowControl w:val="0"/>
      <w:spacing w:after="0" w:line="360" w:lineRule="auto"/>
    </w:pPr>
    <w:rPr>
      <w:rFonts w:ascii="Times New Roman" w:eastAsia="Times New Roman" w:hAnsi="Times New Roman"/>
      <w:i/>
      <w:sz w:val="20"/>
      <w:lang w:val="en-US"/>
    </w:rPr>
  </w:style>
  <w:style w:type="character" w:customStyle="1" w:styleId="UnresolvedMention4">
    <w:name w:val="Unresolved Mention4"/>
    <w:basedOn w:val="Fuentedeprrafopredeter"/>
    <w:uiPriority w:val="99"/>
    <w:semiHidden/>
    <w:unhideWhenUsed/>
    <w:rsid w:val="00135C83"/>
    <w:rPr>
      <w:color w:val="605E5C"/>
      <w:shd w:val="clear" w:color="auto" w:fill="E1DFDD"/>
    </w:rPr>
  </w:style>
  <w:style w:type="paragraph" w:customStyle="1" w:styleId="Footnotet">
    <w:name w:val="Footnote_t"/>
    <w:basedOn w:val="Normal"/>
    <w:rsid w:val="00AA6669"/>
  </w:style>
  <w:style w:type="character" w:styleId="Mencinsinresolver">
    <w:name w:val="Unresolved Mention"/>
    <w:basedOn w:val="Fuentedeprrafopredeter"/>
    <w:uiPriority w:val="99"/>
    <w:semiHidden/>
    <w:unhideWhenUsed/>
    <w:rsid w:val="003A6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1548">
      <w:bodyDiv w:val="1"/>
      <w:marLeft w:val="0"/>
      <w:marRight w:val="0"/>
      <w:marTop w:val="0"/>
      <w:marBottom w:val="0"/>
      <w:divBdr>
        <w:top w:val="none" w:sz="0" w:space="0" w:color="auto"/>
        <w:left w:val="none" w:sz="0" w:space="0" w:color="auto"/>
        <w:bottom w:val="none" w:sz="0" w:space="0" w:color="auto"/>
        <w:right w:val="none" w:sz="0" w:space="0" w:color="auto"/>
      </w:divBdr>
      <w:divsChild>
        <w:div w:id="787313709">
          <w:marLeft w:val="0"/>
          <w:marRight w:val="0"/>
          <w:marTop w:val="0"/>
          <w:marBottom w:val="0"/>
          <w:divBdr>
            <w:top w:val="none" w:sz="0" w:space="0" w:color="auto"/>
            <w:left w:val="none" w:sz="0" w:space="0" w:color="auto"/>
            <w:bottom w:val="none" w:sz="0" w:space="0" w:color="auto"/>
            <w:right w:val="none" w:sz="0" w:space="0" w:color="auto"/>
          </w:divBdr>
          <w:divsChild>
            <w:div w:id="91441969">
              <w:marLeft w:val="0"/>
              <w:marRight w:val="0"/>
              <w:marTop w:val="0"/>
              <w:marBottom w:val="0"/>
              <w:divBdr>
                <w:top w:val="none" w:sz="0" w:space="0" w:color="auto"/>
                <w:left w:val="none" w:sz="0" w:space="0" w:color="auto"/>
                <w:bottom w:val="none" w:sz="0" w:space="0" w:color="auto"/>
                <w:right w:val="none" w:sz="0" w:space="0" w:color="auto"/>
              </w:divBdr>
              <w:divsChild>
                <w:div w:id="1414232009">
                  <w:marLeft w:val="0"/>
                  <w:marRight w:val="0"/>
                  <w:marTop w:val="0"/>
                  <w:marBottom w:val="0"/>
                  <w:divBdr>
                    <w:top w:val="none" w:sz="0" w:space="0" w:color="auto"/>
                    <w:left w:val="none" w:sz="0" w:space="0" w:color="auto"/>
                    <w:bottom w:val="none" w:sz="0" w:space="0" w:color="auto"/>
                    <w:right w:val="none" w:sz="0" w:space="0" w:color="auto"/>
                  </w:divBdr>
                  <w:divsChild>
                    <w:div w:id="5136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6166">
      <w:bodyDiv w:val="1"/>
      <w:marLeft w:val="0"/>
      <w:marRight w:val="0"/>
      <w:marTop w:val="0"/>
      <w:marBottom w:val="0"/>
      <w:divBdr>
        <w:top w:val="none" w:sz="0" w:space="0" w:color="auto"/>
        <w:left w:val="none" w:sz="0" w:space="0" w:color="auto"/>
        <w:bottom w:val="none" w:sz="0" w:space="0" w:color="auto"/>
        <w:right w:val="none" w:sz="0" w:space="0" w:color="auto"/>
      </w:divBdr>
    </w:div>
    <w:div w:id="1311442893">
      <w:bodyDiv w:val="1"/>
      <w:marLeft w:val="0"/>
      <w:marRight w:val="0"/>
      <w:marTop w:val="0"/>
      <w:marBottom w:val="0"/>
      <w:divBdr>
        <w:top w:val="none" w:sz="0" w:space="0" w:color="auto"/>
        <w:left w:val="none" w:sz="0" w:space="0" w:color="auto"/>
        <w:bottom w:val="none" w:sz="0" w:space="0" w:color="auto"/>
        <w:right w:val="none" w:sz="0" w:space="0" w:color="auto"/>
      </w:divBdr>
      <w:divsChild>
        <w:div w:id="2015303569">
          <w:marLeft w:val="0"/>
          <w:marRight w:val="0"/>
          <w:marTop w:val="0"/>
          <w:marBottom w:val="0"/>
          <w:divBdr>
            <w:top w:val="none" w:sz="0" w:space="0" w:color="auto"/>
            <w:left w:val="none" w:sz="0" w:space="0" w:color="auto"/>
            <w:bottom w:val="none" w:sz="0" w:space="0" w:color="auto"/>
            <w:right w:val="none" w:sz="0" w:space="0" w:color="auto"/>
          </w:divBdr>
        </w:div>
        <w:div w:id="2079553359">
          <w:marLeft w:val="0"/>
          <w:marRight w:val="0"/>
          <w:marTop w:val="0"/>
          <w:marBottom w:val="0"/>
          <w:divBdr>
            <w:top w:val="none" w:sz="0" w:space="0" w:color="auto"/>
            <w:left w:val="none" w:sz="0" w:space="0" w:color="auto"/>
            <w:bottom w:val="none" w:sz="0" w:space="0" w:color="auto"/>
            <w:right w:val="none" w:sz="0" w:space="0" w:color="auto"/>
          </w:divBdr>
          <w:divsChild>
            <w:div w:id="672342665">
              <w:marLeft w:val="0"/>
              <w:marRight w:val="0"/>
              <w:marTop w:val="0"/>
              <w:marBottom w:val="0"/>
              <w:divBdr>
                <w:top w:val="none" w:sz="0" w:space="0" w:color="auto"/>
                <w:left w:val="none" w:sz="0" w:space="0" w:color="auto"/>
                <w:bottom w:val="none" w:sz="0" w:space="0" w:color="auto"/>
                <w:right w:val="none" w:sz="0" w:space="0" w:color="auto"/>
              </w:divBdr>
              <w:divsChild>
                <w:div w:id="7380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5858">
      <w:bodyDiv w:val="1"/>
      <w:marLeft w:val="0"/>
      <w:marRight w:val="0"/>
      <w:marTop w:val="0"/>
      <w:marBottom w:val="0"/>
      <w:divBdr>
        <w:top w:val="none" w:sz="0" w:space="0" w:color="auto"/>
        <w:left w:val="none" w:sz="0" w:space="0" w:color="auto"/>
        <w:bottom w:val="none" w:sz="0" w:space="0" w:color="auto"/>
        <w:right w:val="none" w:sz="0" w:space="0" w:color="auto"/>
      </w:divBdr>
      <w:divsChild>
        <w:div w:id="496769421">
          <w:marLeft w:val="0"/>
          <w:marRight w:val="0"/>
          <w:marTop w:val="0"/>
          <w:marBottom w:val="0"/>
          <w:divBdr>
            <w:top w:val="none" w:sz="0" w:space="0" w:color="auto"/>
            <w:left w:val="none" w:sz="0" w:space="0" w:color="auto"/>
            <w:bottom w:val="none" w:sz="0" w:space="0" w:color="auto"/>
            <w:right w:val="none" w:sz="0" w:space="0" w:color="auto"/>
          </w:divBdr>
          <w:divsChild>
            <w:div w:id="361783053">
              <w:marLeft w:val="0"/>
              <w:marRight w:val="0"/>
              <w:marTop w:val="0"/>
              <w:marBottom w:val="0"/>
              <w:divBdr>
                <w:top w:val="none" w:sz="0" w:space="0" w:color="auto"/>
                <w:left w:val="none" w:sz="0" w:space="0" w:color="auto"/>
                <w:bottom w:val="none" w:sz="0" w:space="0" w:color="auto"/>
                <w:right w:val="none" w:sz="0" w:space="0" w:color="auto"/>
              </w:divBdr>
              <w:divsChild>
                <w:div w:id="135883083">
                  <w:marLeft w:val="0"/>
                  <w:marRight w:val="0"/>
                  <w:marTop w:val="0"/>
                  <w:marBottom w:val="0"/>
                  <w:divBdr>
                    <w:top w:val="none" w:sz="0" w:space="0" w:color="auto"/>
                    <w:left w:val="none" w:sz="0" w:space="0" w:color="auto"/>
                    <w:bottom w:val="none" w:sz="0" w:space="0" w:color="auto"/>
                    <w:right w:val="none" w:sz="0" w:space="0" w:color="auto"/>
                  </w:divBdr>
                  <w:divsChild>
                    <w:div w:id="11944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5283">
      <w:bodyDiv w:val="1"/>
      <w:marLeft w:val="0"/>
      <w:marRight w:val="0"/>
      <w:marTop w:val="0"/>
      <w:marBottom w:val="0"/>
      <w:divBdr>
        <w:top w:val="none" w:sz="0" w:space="0" w:color="auto"/>
        <w:left w:val="none" w:sz="0" w:space="0" w:color="auto"/>
        <w:bottom w:val="none" w:sz="0" w:space="0" w:color="auto"/>
        <w:right w:val="none" w:sz="0" w:space="0" w:color="auto"/>
      </w:divBdr>
    </w:div>
    <w:div w:id="1631353911">
      <w:bodyDiv w:val="1"/>
      <w:marLeft w:val="0"/>
      <w:marRight w:val="0"/>
      <w:marTop w:val="0"/>
      <w:marBottom w:val="0"/>
      <w:divBdr>
        <w:top w:val="none" w:sz="0" w:space="0" w:color="auto"/>
        <w:left w:val="none" w:sz="0" w:space="0" w:color="auto"/>
        <w:bottom w:val="none" w:sz="0" w:space="0" w:color="auto"/>
        <w:right w:val="none" w:sz="0" w:space="0" w:color="auto"/>
      </w:divBdr>
    </w:div>
    <w:div w:id="1810056264">
      <w:bodyDiv w:val="1"/>
      <w:marLeft w:val="0"/>
      <w:marRight w:val="0"/>
      <w:marTop w:val="0"/>
      <w:marBottom w:val="0"/>
      <w:divBdr>
        <w:top w:val="none" w:sz="0" w:space="0" w:color="auto"/>
        <w:left w:val="none" w:sz="0" w:space="0" w:color="auto"/>
        <w:bottom w:val="none" w:sz="0" w:space="0" w:color="auto"/>
        <w:right w:val="none" w:sz="0" w:space="0" w:color="auto"/>
      </w:divBdr>
    </w:div>
    <w:div w:id="203426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46/annurev-environ-061322-0132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pcc.ch/sr1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46/annurev-environ-012220-011104" TargetMode="External"/><Relationship Id="rId2" Type="http://schemas.openxmlformats.org/officeDocument/2006/relationships/hyperlink" Target="https://www.ipcc.ch/report/sixth-assessment-report-working-group-ii/" TargetMode="External"/><Relationship Id="rId1" Type="http://schemas.openxmlformats.org/officeDocument/2006/relationships/hyperlink" Target="https://annualreviewsnews.org/2021/04/14/becoming-carbon-neutral/" TargetMode="External"/><Relationship Id="rId6" Type="http://schemas.openxmlformats.org/officeDocument/2006/relationships/hyperlink" Target="https://www.nature.com/articles/461472a" TargetMode="External"/><Relationship Id="rId5" Type="http://schemas.openxmlformats.org/officeDocument/2006/relationships/hyperlink" Target="https://www.ipcc.ch/sr15/" TargetMode="External"/><Relationship Id="rId4" Type="http://schemas.openxmlformats.org/officeDocument/2006/relationships/hyperlink" Target="https://iei-brasil.org/kigalinh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ight\AppData\Roaming\Microsoft\Templates\AR_Copyediting_Template_10_19_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8EA9B-D21D-4050-A2E3-873D0440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AR_Copyediting_Template_10_19_21</Template>
  <TotalTime>488</TotalTime>
  <Pages>6</Pages>
  <Words>2299</Words>
  <Characters>12646</Characters>
  <Application>Microsoft Office Word</Application>
  <DocSecurity>0</DocSecurity>
  <Lines>105</Lines>
  <Paragraphs>29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Jones</dc:creator>
  <cp:keywords/>
  <dc:description/>
  <cp:lastModifiedBy>Barbara Compañy</cp:lastModifiedBy>
  <cp:revision>12</cp:revision>
  <cp:lastPrinted>2022-06-28T23:44:00Z</cp:lastPrinted>
  <dcterms:created xsi:type="dcterms:W3CDTF">2024-08-26T19:26:00Z</dcterms:created>
  <dcterms:modified xsi:type="dcterms:W3CDTF">2024-08-28T22:41:00Z</dcterms:modified>
</cp:coreProperties>
</file>