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FA80" w14:textId="77777777" w:rsidR="003103D9" w:rsidRPr="0001529F" w:rsidRDefault="003103D9" w:rsidP="003103D9">
      <w:pPr>
        <w:bidi w:val="0"/>
        <w:jc w:val="center"/>
        <w:rPr>
          <w:rFonts w:asciiTheme="majorBidi" w:hAnsiTheme="majorBidi" w:cstheme="majorBidi"/>
          <w:b/>
          <w:bCs/>
          <w:i/>
          <w:iCs/>
        </w:rPr>
      </w:pPr>
      <w:bookmarkStart w:id="0" w:name="_GoBack"/>
      <w:bookmarkEnd w:id="0"/>
      <w:r w:rsidRPr="0001529F">
        <w:rPr>
          <w:rFonts w:asciiTheme="majorBidi" w:hAnsiTheme="majorBidi" w:cstheme="majorBidi"/>
          <w:b/>
          <w:bCs/>
        </w:rPr>
        <w:t xml:space="preserve">The </w:t>
      </w:r>
      <w:commentRangeStart w:id="1"/>
      <w:r w:rsidRPr="0001529F">
        <w:rPr>
          <w:rFonts w:asciiTheme="majorBidi" w:hAnsiTheme="majorBidi" w:cstheme="majorBidi"/>
          <w:b/>
          <w:bCs/>
        </w:rPr>
        <w:t xml:space="preserve">Transmission </w:t>
      </w:r>
      <w:commentRangeEnd w:id="1"/>
      <w:r w:rsidR="007116EE">
        <w:rPr>
          <w:rStyle w:val="a3"/>
        </w:rPr>
        <w:commentReference w:id="1"/>
      </w:r>
      <w:r w:rsidRPr="0001529F">
        <w:rPr>
          <w:rFonts w:asciiTheme="majorBidi" w:hAnsiTheme="majorBidi" w:cstheme="majorBidi"/>
          <w:b/>
          <w:bCs/>
        </w:rPr>
        <w:t>of Medical Practices from Cuneiform Inscriptions to the Babylonian Talmud</w:t>
      </w:r>
      <w:r w:rsidR="0001529F" w:rsidRPr="0001529F">
        <w:rPr>
          <w:rFonts w:asciiTheme="majorBidi" w:hAnsiTheme="majorBidi" w:cstheme="majorBidi"/>
          <w:b/>
          <w:bCs/>
        </w:rPr>
        <w:t xml:space="preserve">: </w:t>
      </w:r>
      <w:commentRangeStart w:id="2"/>
      <w:commentRangeStart w:id="3"/>
      <w:r w:rsidR="0001529F" w:rsidRPr="0001529F">
        <w:rPr>
          <w:rFonts w:asciiTheme="majorBidi" w:hAnsiTheme="majorBidi" w:cstheme="majorBidi"/>
          <w:b/>
          <w:bCs/>
          <w:i/>
          <w:iCs/>
        </w:rPr>
        <w:t>u</w:t>
      </w:r>
      <w:commentRangeEnd w:id="2"/>
      <w:r w:rsidR="0001529F">
        <w:rPr>
          <w:rStyle w:val="a3"/>
        </w:rPr>
        <w:commentReference w:id="2"/>
      </w:r>
      <w:r w:rsidR="0001529F" w:rsidRPr="0001529F">
        <w:rPr>
          <w:rFonts w:asciiTheme="majorBidi" w:hAnsiTheme="majorBidi" w:cstheme="majorBidi"/>
          <w:b/>
          <w:bCs/>
          <w:i/>
          <w:iCs/>
        </w:rPr>
        <w:t>-le-tzayyreih ba-ḥalala</w:t>
      </w:r>
      <w:r w:rsidR="007F6D8A">
        <w:rPr>
          <w:rFonts w:asciiTheme="majorBidi" w:hAnsiTheme="majorBidi" w:cstheme="majorBidi"/>
          <w:b/>
          <w:bCs/>
          <w:i/>
          <w:iCs/>
        </w:rPr>
        <w:t>’</w:t>
      </w:r>
      <w:r w:rsidR="0001529F" w:rsidRPr="0001529F">
        <w:rPr>
          <w:rFonts w:asciiTheme="majorBidi" w:hAnsiTheme="majorBidi" w:cstheme="majorBidi"/>
          <w:b/>
          <w:bCs/>
          <w:i/>
          <w:iCs/>
        </w:rPr>
        <w:t xml:space="preserve"> de-bei tzav</w:t>
      </w:r>
      <w:r w:rsidR="007F6D8A">
        <w:rPr>
          <w:rFonts w:asciiTheme="majorBidi" w:hAnsiTheme="majorBidi" w:cstheme="majorBidi"/>
          <w:b/>
          <w:bCs/>
          <w:i/>
          <w:iCs/>
        </w:rPr>
        <w:t>’</w:t>
      </w:r>
      <w:r w:rsidR="0001529F" w:rsidRPr="0001529F">
        <w:rPr>
          <w:rFonts w:asciiTheme="majorBidi" w:hAnsiTheme="majorBidi" w:cstheme="majorBidi"/>
          <w:b/>
          <w:bCs/>
          <w:i/>
          <w:iCs/>
        </w:rPr>
        <w:t>ar be-nira barqa</w:t>
      </w:r>
      <w:r w:rsidR="007F6D8A">
        <w:rPr>
          <w:rFonts w:asciiTheme="majorBidi" w:hAnsiTheme="majorBidi" w:cstheme="majorBidi"/>
          <w:b/>
          <w:bCs/>
          <w:i/>
          <w:iCs/>
        </w:rPr>
        <w:t>’</w:t>
      </w:r>
      <w:commentRangeEnd w:id="3"/>
      <w:r w:rsidR="007116EE">
        <w:rPr>
          <w:rStyle w:val="a3"/>
        </w:rPr>
        <w:commentReference w:id="3"/>
      </w:r>
    </w:p>
    <w:p w14:paraId="0E0ED53F" w14:textId="77777777" w:rsidR="003103D9" w:rsidRPr="0001529F" w:rsidRDefault="003103D9" w:rsidP="003103D9">
      <w:pPr>
        <w:bidi w:val="0"/>
        <w:jc w:val="center"/>
        <w:rPr>
          <w:rFonts w:asciiTheme="majorBidi" w:hAnsiTheme="majorBidi" w:cstheme="majorBidi"/>
        </w:rPr>
      </w:pPr>
      <w:r w:rsidRPr="0001529F">
        <w:rPr>
          <w:rFonts w:asciiTheme="majorBidi" w:hAnsiTheme="majorBidi" w:cstheme="majorBidi"/>
        </w:rPr>
        <w:t>Aviad Recht</w:t>
      </w:r>
    </w:p>
    <w:p w14:paraId="6A179612" w14:textId="77777777" w:rsidR="00136A6A" w:rsidRPr="0001529F" w:rsidRDefault="003103D9" w:rsidP="003103D9">
      <w:pPr>
        <w:bidi w:val="0"/>
        <w:jc w:val="both"/>
        <w:rPr>
          <w:rFonts w:asciiTheme="majorBidi" w:hAnsiTheme="majorBidi" w:cstheme="majorBidi"/>
        </w:rPr>
      </w:pPr>
      <w:r w:rsidRPr="0001529F">
        <w:rPr>
          <w:rFonts w:asciiTheme="majorBidi" w:hAnsiTheme="majorBidi" w:cstheme="majorBidi"/>
        </w:rPr>
        <w:t>Recent decades have seen the development of</w:t>
      </w:r>
      <w:r w:rsidR="00BD47EA" w:rsidRPr="0001529F">
        <w:rPr>
          <w:rFonts w:asciiTheme="majorBidi" w:hAnsiTheme="majorBidi" w:cstheme="majorBidi"/>
        </w:rPr>
        <w:t xml:space="preserve"> a new avenue of research</w:t>
      </w:r>
      <w:r w:rsidRPr="0001529F">
        <w:rPr>
          <w:rFonts w:asciiTheme="majorBidi" w:hAnsiTheme="majorBidi" w:cstheme="majorBidi"/>
        </w:rPr>
        <w:t>—led by Mark Geller—for the study of</w:t>
      </w:r>
      <w:r w:rsidR="00BD47EA" w:rsidRPr="0001529F">
        <w:rPr>
          <w:rFonts w:asciiTheme="majorBidi" w:hAnsiTheme="majorBidi" w:cstheme="majorBidi"/>
        </w:rPr>
        <w:t xml:space="preserve"> talmudic medicine: </w:t>
      </w:r>
      <w:r w:rsidRPr="0001529F">
        <w:rPr>
          <w:rFonts w:asciiTheme="majorBidi" w:hAnsiTheme="majorBidi" w:cstheme="majorBidi"/>
        </w:rPr>
        <w:t>looking</w:t>
      </w:r>
      <w:r w:rsidR="00BD47EA" w:rsidRPr="0001529F">
        <w:rPr>
          <w:rFonts w:asciiTheme="majorBidi" w:hAnsiTheme="majorBidi" w:cstheme="majorBidi"/>
        </w:rPr>
        <w:t xml:space="preserve"> to cuneiform </w:t>
      </w:r>
      <w:r w:rsidRPr="0001529F">
        <w:rPr>
          <w:rFonts w:asciiTheme="majorBidi" w:hAnsiTheme="majorBidi" w:cstheme="majorBidi"/>
        </w:rPr>
        <w:t>inscriptions</w:t>
      </w:r>
      <w:r w:rsidR="00BD47EA" w:rsidRPr="0001529F">
        <w:rPr>
          <w:rFonts w:asciiTheme="majorBidi" w:hAnsiTheme="majorBidi" w:cstheme="majorBidi"/>
        </w:rPr>
        <w:t xml:space="preserve"> </w:t>
      </w:r>
      <w:r w:rsidRPr="0001529F">
        <w:rPr>
          <w:rFonts w:asciiTheme="majorBidi" w:hAnsiTheme="majorBidi" w:cstheme="majorBidi"/>
        </w:rPr>
        <w:t>for</w:t>
      </w:r>
      <w:r w:rsidR="00BD47EA" w:rsidRPr="0001529F">
        <w:rPr>
          <w:rFonts w:asciiTheme="majorBidi" w:hAnsiTheme="majorBidi" w:cstheme="majorBidi"/>
        </w:rPr>
        <w:t xml:space="preserve"> </w:t>
      </w:r>
      <w:r w:rsidRPr="0001529F">
        <w:rPr>
          <w:rFonts w:asciiTheme="majorBidi" w:hAnsiTheme="majorBidi" w:cstheme="majorBidi"/>
        </w:rPr>
        <w:t>the source</w:t>
      </w:r>
      <w:r w:rsidR="00BD47EA" w:rsidRPr="0001529F">
        <w:rPr>
          <w:rFonts w:asciiTheme="majorBidi" w:hAnsiTheme="majorBidi" w:cstheme="majorBidi"/>
        </w:rPr>
        <w:t xml:space="preserve"> </w:t>
      </w:r>
      <w:r w:rsidRPr="0001529F">
        <w:rPr>
          <w:rFonts w:asciiTheme="majorBidi" w:hAnsiTheme="majorBidi" w:cstheme="majorBidi"/>
        </w:rPr>
        <w:t>of</w:t>
      </w:r>
      <w:r w:rsidR="00BD47EA" w:rsidRPr="0001529F">
        <w:rPr>
          <w:rFonts w:asciiTheme="majorBidi" w:hAnsiTheme="majorBidi" w:cstheme="majorBidi"/>
        </w:rPr>
        <w:t xml:space="preserve"> certain medical texts in the Babylonian Talmud. </w:t>
      </w:r>
      <w:r w:rsidRPr="0001529F">
        <w:rPr>
          <w:rFonts w:asciiTheme="majorBidi" w:hAnsiTheme="majorBidi" w:cstheme="majorBidi"/>
        </w:rPr>
        <w:t>Studies have</w:t>
      </w:r>
      <w:r w:rsidR="00BD47EA" w:rsidRPr="0001529F">
        <w:rPr>
          <w:rFonts w:asciiTheme="majorBidi" w:hAnsiTheme="majorBidi" w:cstheme="majorBidi"/>
        </w:rPr>
        <w:t xml:space="preserve"> demonstrated parallels </w:t>
      </w:r>
      <w:r w:rsidR="0001529F" w:rsidRPr="0001529F">
        <w:rPr>
          <w:rFonts w:asciiTheme="majorBidi" w:hAnsiTheme="majorBidi" w:cstheme="majorBidi"/>
        </w:rPr>
        <w:t xml:space="preserve">between the </w:t>
      </w:r>
      <w:commentRangeStart w:id="4"/>
      <w:commentRangeStart w:id="5"/>
      <w:r w:rsidR="0001529F" w:rsidRPr="0001529F">
        <w:rPr>
          <w:rFonts w:asciiTheme="majorBidi" w:hAnsiTheme="majorBidi" w:cstheme="majorBidi"/>
        </w:rPr>
        <w:t>diverse</w:t>
      </w:r>
      <w:r w:rsidR="00BD47EA" w:rsidRPr="0001529F">
        <w:rPr>
          <w:rFonts w:asciiTheme="majorBidi" w:hAnsiTheme="majorBidi" w:cstheme="majorBidi"/>
        </w:rPr>
        <w:t xml:space="preserve"> </w:t>
      </w:r>
      <w:commentRangeEnd w:id="4"/>
      <w:r w:rsidR="007F6D8A">
        <w:rPr>
          <w:rStyle w:val="a3"/>
        </w:rPr>
        <w:commentReference w:id="4"/>
      </w:r>
      <w:commentRangeEnd w:id="5"/>
      <w:r w:rsidR="00347961">
        <w:rPr>
          <w:rStyle w:val="a3"/>
          <w:rtl/>
        </w:rPr>
        <w:commentReference w:id="5"/>
      </w:r>
      <w:r w:rsidR="00BD47EA" w:rsidRPr="0001529F">
        <w:rPr>
          <w:rFonts w:asciiTheme="majorBidi" w:hAnsiTheme="majorBidi" w:cstheme="majorBidi"/>
        </w:rPr>
        <w:t xml:space="preserve">terminology and medical </w:t>
      </w:r>
      <w:r w:rsidRPr="0001529F">
        <w:rPr>
          <w:rFonts w:asciiTheme="majorBidi" w:hAnsiTheme="majorBidi" w:cstheme="majorBidi"/>
        </w:rPr>
        <w:t>practice</w:t>
      </w:r>
      <w:r w:rsidR="007F6D8A">
        <w:rPr>
          <w:rFonts w:asciiTheme="majorBidi" w:hAnsiTheme="majorBidi" w:cstheme="majorBidi"/>
        </w:rPr>
        <w:t>s</w:t>
      </w:r>
      <w:r w:rsidR="00BD47EA" w:rsidRPr="0001529F">
        <w:rPr>
          <w:rFonts w:asciiTheme="majorBidi" w:hAnsiTheme="majorBidi" w:cstheme="majorBidi"/>
        </w:rPr>
        <w:t xml:space="preserve"> </w:t>
      </w:r>
      <w:r w:rsidR="0001529F" w:rsidRPr="0001529F">
        <w:rPr>
          <w:rFonts w:asciiTheme="majorBidi" w:hAnsiTheme="majorBidi" w:cstheme="majorBidi"/>
        </w:rPr>
        <w:t>appearing in the</w:t>
      </w:r>
      <w:r w:rsidR="00BD47EA" w:rsidRPr="0001529F">
        <w:rPr>
          <w:rFonts w:asciiTheme="majorBidi" w:hAnsiTheme="majorBidi" w:cstheme="majorBidi"/>
        </w:rPr>
        <w:t xml:space="preserve"> </w:t>
      </w:r>
      <w:r w:rsidR="0001529F" w:rsidRPr="0001529F">
        <w:rPr>
          <w:rFonts w:asciiTheme="majorBidi" w:hAnsiTheme="majorBidi" w:cstheme="majorBidi"/>
        </w:rPr>
        <w:t xml:space="preserve">Babylonian Talmud, and those </w:t>
      </w:r>
      <w:r w:rsidR="00BD47EA" w:rsidRPr="0001529F">
        <w:rPr>
          <w:rFonts w:asciiTheme="majorBidi" w:hAnsiTheme="majorBidi" w:cstheme="majorBidi"/>
        </w:rPr>
        <w:t xml:space="preserve">appearing </w:t>
      </w:r>
      <w:r w:rsidR="0001529F" w:rsidRPr="0001529F">
        <w:rPr>
          <w:rFonts w:asciiTheme="majorBidi" w:hAnsiTheme="majorBidi" w:cstheme="majorBidi"/>
        </w:rPr>
        <w:t xml:space="preserve">in </w:t>
      </w:r>
      <w:r w:rsidRPr="0001529F">
        <w:rPr>
          <w:rFonts w:asciiTheme="majorBidi" w:hAnsiTheme="majorBidi" w:cstheme="majorBidi"/>
        </w:rPr>
        <w:t>t</w:t>
      </w:r>
      <w:r w:rsidR="00BD47EA" w:rsidRPr="0001529F">
        <w:rPr>
          <w:rFonts w:asciiTheme="majorBidi" w:hAnsiTheme="majorBidi" w:cstheme="majorBidi"/>
        </w:rPr>
        <w:t xml:space="preserve">he corpus </w:t>
      </w:r>
      <w:r w:rsidRPr="0001529F">
        <w:rPr>
          <w:rFonts w:asciiTheme="majorBidi" w:hAnsiTheme="majorBidi" w:cstheme="majorBidi"/>
        </w:rPr>
        <w:t xml:space="preserve">of </w:t>
      </w:r>
      <w:r w:rsidR="00BD47EA" w:rsidRPr="0001529F">
        <w:rPr>
          <w:rFonts w:asciiTheme="majorBidi" w:hAnsiTheme="majorBidi" w:cstheme="majorBidi"/>
        </w:rPr>
        <w:t>cuneiform medical texts.</w:t>
      </w:r>
    </w:p>
    <w:p w14:paraId="25E5159F" w14:textId="77777777" w:rsidR="00BD47EA" w:rsidRPr="007F6D8A" w:rsidRDefault="00BD47EA" w:rsidP="003103D9">
      <w:pPr>
        <w:bidi w:val="0"/>
        <w:jc w:val="both"/>
        <w:rPr>
          <w:rFonts w:asciiTheme="majorBidi" w:hAnsiTheme="majorBidi" w:cstheme="majorBidi"/>
        </w:rPr>
      </w:pPr>
      <w:r w:rsidRPr="0001529F">
        <w:rPr>
          <w:rFonts w:asciiTheme="majorBidi" w:hAnsiTheme="majorBidi" w:cstheme="majorBidi"/>
        </w:rPr>
        <w:t xml:space="preserve">In this lecture I will </w:t>
      </w:r>
      <w:commentRangeStart w:id="6"/>
      <w:r w:rsidRPr="0001529F">
        <w:rPr>
          <w:rFonts w:asciiTheme="majorBidi" w:hAnsiTheme="majorBidi" w:cstheme="majorBidi"/>
        </w:rPr>
        <w:t xml:space="preserve">focus on the parallels </w:t>
      </w:r>
      <w:commentRangeEnd w:id="6"/>
      <w:r w:rsidR="00726AD5">
        <w:rPr>
          <w:rStyle w:val="a3"/>
          <w:rtl/>
        </w:rPr>
        <w:commentReference w:id="6"/>
      </w:r>
      <w:r w:rsidRPr="0001529F">
        <w:rPr>
          <w:rFonts w:asciiTheme="majorBidi" w:hAnsiTheme="majorBidi" w:cstheme="majorBidi"/>
        </w:rPr>
        <w:t xml:space="preserve">between two collections of prescriptions for fever, one appearing in BT Shabbat 66b and the other in the cuneiform tablet BM 42272. </w:t>
      </w:r>
      <w:r w:rsidR="003103D9" w:rsidRPr="0001529F">
        <w:rPr>
          <w:rFonts w:asciiTheme="majorBidi" w:hAnsiTheme="majorBidi" w:cstheme="majorBidi"/>
        </w:rPr>
        <w:t>While</w:t>
      </w:r>
      <w:r w:rsidRPr="0001529F">
        <w:rPr>
          <w:rFonts w:asciiTheme="majorBidi" w:hAnsiTheme="majorBidi" w:cstheme="majorBidi"/>
        </w:rPr>
        <w:t xml:space="preserve"> not identical</w:t>
      </w:r>
      <w:r w:rsidR="003103D9" w:rsidRPr="0001529F">
        <w:rPr>
          <w:rFonts w:asciiTheme="majorBidi" w:hAnsiTheme="majorBidi" w:cstheme="majorBidi"/>
        </w:rPr>
        <w:t xml:space="preserve">, these two collections contain </w:t>
      </w:r>
      <w:r w:rsidRPr="0001529F">
        <w:rPr>
          <w:rFonts w:asciiTheme="majorBidi" w:hAnsiTheme="majorBidi" w:cstheme="majorBidi"/>
        </w:rPr>
        <w:t xml:space="preserve">very similar </w:t>
      </w:r>
      <w:commentRangeStart w:id="7"/>
      <w:commentRangeStart w:id="8"/>
      <w:r w:rsidRPr="0001529F">
        <w:rPr>
          <w:rFonts w:asciiTheme="majorBidi" w:hAnsiTheme="majorBidi" w:cstheme="majorBidi"/>
        </w:rPr>
        <w:t xml:space="preserve">treatment </w:t>
      </w:r>
      <w:commentRangeEnd w:id="7"/>
      <w:r w:rsidR="0001529F" w:rsidRPr="0001529F">
        <w:rPr>
          <w:rStyle w:val="a3"/>
          <w:rFonts w:asciiTheme="majorBidi" w:hAnsiTheme="majorBidi" w:cstheme="majorBidi"/>
        </w:rPr>
        <w:commentReference w:id="7"/>
      </w:r>
      <w:commentRangeEnd w:id="8"/>
      <w:r w:rsidR="00726AD5">
        <w:rPr>
          <w:rStyle w:val="a3"/>
        </w:rPr>
        <w:commentReference w:id="8"/>
      </w:r>
      <w:r w:rsidRPr="0001529F">
        <w:rPr>
          <w:rFonts w:asciiTheme="majorBidi" w:hAnsiTheme="majorBidi" w:cstheme="majorBidi"/>
        </w:rPr>
        <w:t>motifs. Among the many motifs appear</w:t>
      </w:r>
      <w:r w:rsidR="0001529F" w:rsidRPr="0001529F">
        <w:rPr>
          <w:rFonts w:asciiTheme="majorBidi" w:hAnsiTheme="majorBidi" w:cstheme="majorBidi"/>
        </w:rPr>
        <w:t>ing</w:t>
      </w:r>
      <w:r w:rsidRPr="0001529F">
        <w:rPr>
          <w:rFonts w:asciiTheme="majorBidi" w:hAnsiTheme="majorBidi" w:cstheme="majorBidi"/>
        </w:rPr>
        <w:t xml:space="preserve"> in the tablet is the</w:t>
      </w:r>
      <w:r w:rsidR="003103D9" w:rsidRPr="0001529F">
        <w:rPr>
          <w:rFonts w:asciiTheme="majorBidi" w:hAnsiTheme="majorBidi" w:cstheme="majorBidi"/>
        </w:rPr>
        <w:t xml:space="preserve"> use of an</w:t>
      </w:r>
      <w:r w:rsidRPr="0001529F">
        <w:rPr>
          <w:rFonts w:asciiTheme="majorBidi" w:hAnsiTheme="majorBidi" w:cstheme="majorBidi"/>
        </w:rPr>
        <w:t xml:space="preserve"> </w:t>
      </w:r>
      <w:commentRangeStart w:id="9"/>
      <w:commentRangeStart w:id="10"/>
      <w:r w:rsidRPr="0001529F">
        <w:rPr>
          <w:rFonts w:asciiTheme="majorBidi" w:hAnsiTheme="majorBidi" w:cstheme="majorBidi"/>
        </w:rPr>
        <w:t>artifact</w:t>
      </w:r>
      <w:commentRangeEnd w:id="9"/>
      <w:r w:rsidR="003103D9" w:rsidRPr="0001529F">
        <w:rPr>
          <w:rStyle w:val="a3"/>
          <w:rFonts w:asciiTheme="majorBidi" w:hAnsiTheme="majorBidi" w:cstheme="majorBidi"/>
        </w:rPr>
        <w:commentReference w:id="9"/>
      </w:r>
      <w:commentRangeEnd w:id="10"/>
      <w:r w:rsidR="00726AD5">
        <w:rPr>
          <w:rStyle w:val="a3"/>
        </w:rPr>
        <w:commentReference w:id="10"/>
      </w:r>
      <w:r w:rsidRPr="0001529F">
        <w:rPr>
          <w:rFonts w:asciiTheme="majorBidi" w:hAnsiTheme="majorBidi" w:cstheme="majorBidi"/>
        </w:rPr>
        <w:t xml:space="preserve">. I will show that this </w:t>
      </w:r>
      <w:commentRangeStart w:id="11"/>
      <w:r w:rsidR="003103D9" w:rsidRPr="0001529F">
        <w:rPr>
          <w:rFonts w:asciiTheme="majorBidi" w:hAnsiTheme="majorBidi" w:cstheme="majorBidi"/>
        </w:rPr>
        <w:t>artifact</w:t>
      </w:r>
      <w:r w:rsidRPr="0001529F">
        <w:rPr>
          <w:rFonts w:asciiTheme="majorBidi" w:hAnsiTheme="majorBidi" w:cstheme="majorBidi"/>
        </w:rPr>
        <w:t xml:space="preserve"> </w:t>
      </w:r>
      <w:commentRangeEnd w:id="11"/>
      <w:r w:rsidR="007116EE">
        <w:rPr>
          <w:rStyle w:val="a3"/>
        </w:rPr>
        <w:commentReference w:id="11"/>
      </w:r>
      <w:r w:rsidRPr="0001529F">
        <w:rPr>
          <w:rFonts w:asciiTheme="majorBidi" w:hAnsiTheme="majorBidi" w:cstheme="majorBidi"/>
        </w:rPr>
        <w:t xml:space="preserve">can help </w:t>
      </w:r>
      <w:r w:rsidR="003103D9" w:rsidRPr="0001529F">
        <w:rPr>
          <w:rFonts w:asciiTheme="majorBidi" w:hAnsiTheme="majorBidi" w:cstheme="majorBidi"/>
        </w:rPr>
        <w:t xml:space="preserve">us </w:t>
      </w:r>
      <w:r w:rsidRPr="0001529F">
        <w:rPr>
          <w:rFonts w:asciiTheme="majorBidi" w:hAnsiTheme="majorBidi" w:cstheme="majorBidi"/>
        </w:rPr>
        <w:t xml:space="preserve">understand an </w:t>
      </w:r>
      <w:commentRangeStart w:id="12"/>
      <w:r w:rsidRPr="0001529F">
        <w:rPr>
          <w:rFonts w:asciiTheme="majorBidi" w:hAnsiTheme="majorBidi" w:cstheme="majorBidi"/>
        </w:rPr>
        <w:t xml:space="preserve">unclear talmudic </w:t>
      </w:r>
      <w:r w:rsidR="003103D9" w:rsidRPr="0001529F">
        <w:rPr>
          <w:rFonts w:asciiTheme="majorBidi" w:hAnsiTheme="majorBidi" w:cstheme="majorBidi"/>
        </w:rPr>
        <w:t xml:space="preserve">medical </w:t>
      </w:r>
      <w:r w:rsidRPr="0001529F">
        <w:rPr>
          <w:rFonts w:asciiTheme="majorBidi" w:hAnsiTheme="majorBidi" w:cstheme="majorBidi"/>
        </w:rPr>
        <w:t xml:space="preserve">practice </w:t>
      </w:r>
      <w:commentRangeEnd w:id="12"/>
      <w:r w:rsidR="007116EE">
        <w:rPr>
          <w:rStyle w:val="a3"/>
        </w:rPr>
        <w:commentReference w:id="12"/>
      </w:r>
      <w:r w:rsidRPr="0001529F">
        <w:rPr>
          <w:rFonts w:asciiTheme="majorBidi" w:hAnsiTheme="majorBidi" w:cstheme="majorBidi"/>
        </w:rPr>
        <w:t>“</w:t>
      </w:r>
      <w:r w:rsidR="007F6D8A" w:rsidRPr="007F6D8A">
        <w:rPr>
          <w:rFonts w:asciiTheme="majorBidi" w:hAnsiTheme="majorBidi" w:cstheme="majorBidi"/>
          <w:i/>
          <w:iCs/>
        </w:rPr>
        <w:t>u-le-tzayyreih ba-ḥalala’ de-bei tzav’ar be-nira barqa’</w:t>
      </w:r>
      <w:r w:rsidR="007F6D8A">
        <w:rPr>
          <w:rFonts w:asciiTheme="majorBidi" w:hAnsiTheme="majorBidi" w:cstheme="majorBidi"/>
        </w:rPr>
        <w:t>.”</w:t>
      </w:r>
    </w:p>
    <w:sectPr w:rsidR="00BD47EA" w:rsidRPr="007F6D8A" w:rsidSect="001132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אביעד" w:date="2017-12-14T15:50:00Z" w:initials="א">
    <w:p w14:paraId="2F0A8C23" w14:textId="77777777" w:rsidR="007116EE" w:rsidRDefault="007116EE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שלום אבי, תודה רבה.</w:t>
      </w:r>
    </w:p>
    <w:p w14:paraId="00815E48" w14:textId="77777777" w:rsidR="007116EE" w:rsidRDefault="007116EE">
      <w:pPr>
        <w:pStyle w:val="a4"/>
        <w:rPr>
          <w:rtl/>
        </w:rPr>
      </w:pPr>
      <w:r>
        <w:rPr>
          <w:rFonts w:hint="cs"/>
          <w:rtl/>
        </w:rPr>
        <w:t>הוספתי כמה הערות</w:t>
      </w:r>
    </w:p>
    <w:p w14:paraId="2CD22853" w14:textId="76EBA05D" w:rsidR="007116EE" w:rsidRDefault="007116EE">
      <w:pPr>
        <w:pStyle w:val="a4"/>
        <w:rPr>
          <w:rtl/>
        </w:rPr>
      </w:pPr>
      <w:r>
        <w:rPr>
          <w:rFonts w:hint="cs"/>
          <w:rtl/>
        </w:rPr>
        <w:t xml:space="preserve">בעברית </w:t>
      </w:r>
      <w:r>
        <w:rPr>
          <w:rtl/>
        </w:rPr>
        <w:t>–</w:t>
      </w:r>
      <w:r>
        <w:rPr>
          <w:rFonts w:hint="cs"/>
          <w:rtl/>
        </w:rPr>
        <w:t xml:space="preserve"> "גלגולן" המידע הרפואי לא עבר ישירות, מבדילות בין כתבי היתדות לחומר התלמודי כ -2000 שנה החומר התגלגל והשתנה לא מעט ועדיין מקורו כנראה בכתבי היתדות. יש מילה מתאימה יותר לתהליך זה בדומה ל"גילגול"?</w:t>
      </w:r>
    </w:p>
  </w:comment>
  <w:comment w:id="2" w:author="Avraham Kallenbach" w:date="2017-12-14T14:17:00Z" w:initials="AK">
    <w:p w14:paraId="034440BA" w14:textId="77777777" w:rsidR="0001529F" w:rsidRDefault="0001529F" w:rsidP="0001529F">
      <w:pPr>
        <w:pStyle w:val="a4"/>
        <w:bidi w:val="0"/>
      </w:pPr>
      <w:r>
        <w:rPr>
          <w:rStyle w:val="a3"/>
        </w:rPr>
        <w:annotationRef/>
      </w:r>
      <w:r>
        <w:t xml:space="preserve">Encyclopedia Judaica </w:t>
      </w:r>
      <w:hyperlink r:id="rId1" w:history="1">
        <w:r w:rsidRPr="007F6D8A">
          <w:rPr>
            <w:rStyle w:val="Hyperlink"/>
          </w:rPr>
          <w:t>general transliteration style</w:t>
        </w:r>
      </w:hyperlink>
      <w:r>
        <w:t>.</w:t>
      </w:r>
    </w:p>
  </w:comment>
  <w:comment w:id="3" w:author="אביעד" w:date="2017-12-14T15:52:00Z" w:initials="א">
    <w:p w14:paraId="2CD23D56" w14:textId="23C21ACC" w:rsidR="007116EE" w:rsidRDefault="007116EE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אני מעדיף שזו תהיה הכותרת הראשית, בדומה לנוסח בעברית</w:t>
      </w:r>
    </w:p>
  </w:comment>
  <w:comment w:id="4" w:author="Avraham Kallenbach" w:date="2017-12-14T14:19:00Z" w:initials="AK">
    <w:p w14:paraId="6C73C58F" w14:textId="77777777" w:rsidR="007F6D8A" w:rsidRDefault="007F6D8A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מן המגוון</w:t>
      </w:r>
    </w:p>
    <w:p w14:paraId="306EF34F" w14:textId="77777777" w:rsidR="007F6D8A" w:rsidRDefault="007F6D8A">
      <w:pPr>
        <w:pStyle w:val="a4"/>
        <w:rPr>
          <w:rtl/>
        </w:rPr>
      </w:pPr>
    </w:p>
    <w:p w14:paraId="2B78F358" w14:textId="77777777" w:rsidR="007F6D8A" w:rsidRDefault="007F6D8A">
      <w:pPr>
        <w:pStyle w:val="a4"/>
      </w:pPr>
      <w:r>
        <w:rPr>
          <w:rFonts w:hint="cs"/>
          <w:rtl/>
        </w:rPr>
        <w:t>לא בטוח שהבנתי כוונתך</w:t>
      </w:r>
    </w:p>
  </w:comment>
  <w:comment w:id="5" w:author="אביעד" w:date="2017-12-14T15:32:00Z" w:initials="א">
    <w:p w14:paraId="517B6ACE" w14:textId="364B7DEC" w:rsidR="00347961" w:rsidRPr="00726AD5" w:rsidRDefault="00347961" w:rsidP="00726AD5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כוננתי להדגיש שהמחקר עסק בדוגמאות הפזורות  </w:t>
      </w:r>
      <w:r w:rsidR="00726AD5" w:rsidRPr="00726AD5">
        <w:rPr>
          <w:rFonts w:hint="cs"/>
          <w:b/>
          <w:bCs/>
          <w:rtl/>
        </w:rPr>
        <w:t>ב</w:t>
      </w:r>
      <w:r w:rsidRPr="00726AD5">
        <w:rPr>
          <w:rFonts w:hint="cs"/>
          <w:b/>
          <w:bCs/>
          <w:rtl/>
        </w:rPr>
        <w:t>כל</w:t>
      </w:r>
      <w:r>
        <w:rPr>
          <w:rFonts w:hint="cs"/>
          <w:rtl/>
        </w:rPr>
        <w:t xml:space="preserve"> התלמוד </w:t>
      </w:r>
      <w:r w:rsidR="00726AD5">
        <w:rPr>
          <w:rFonts w:hint="cs"/>
          <w:rtl/>
        </w:rPr>
        <w:t>לבין דוגמאות מ</w:t>
      </w:r>
      <w:r w:rsidR="00726AD5" w:rsidRPr="00726AD5">
        <w:rPr>
          <w:rFonts w:hint="cs"/>
          <w:b/>
          <w:bCs/>
          <w:rtl/>
        </w:rPr>
        <w:t>כלל</w:t>
      </w:r>
      <w:r w:rsidR="00726AD5">
        <w:rPr>
          <w:rFonts w:hint="cs"/>
          <w:b/>
          <w:bCs/>
          <w:rtl/>
        </w:rPr>
        <w:t xml:space="preserve"> </w:t>
      </w:r>
      <w:r w:rsidR="00726AD5" w:rsidRPr="00726AD5">
        <w:rPr>
          <w:rFonts w:hint="cs"/>
          <w:rtl/>
        </w:rPr>
        <w:t>הטקסטים הרפואיים בכתבי היתדות</w:t>
      </w:r>
      <w:r w:rsidR="00726AD5">
        <w:rPr>
          <w:rFonts w:hint="cs"/>
          <w:rtl/>
        </w:rPr>
        <w:t>. (ובהרצאה אציע הקבלה ממוקדת לטיפול המחלה ספציפית)</w:t>
      </w:r>
    </w:p>
  </w:comment>
  <w:comment w:id="6" w:author="אביעד" w:date="2017-12-14T15:40:00Z" w:initials="א">
    <w:p w14:paraId="092A9244" w14:textId="5C841A3B" w:rsidR="00726AD5" w:rsidRDefault="00726AD5" w:rsidP="00726AD5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לא "אתמקד בהקבלה", אלא "אציע הקבלה ממוקדת" (ראה הערה קודמת)</w:t>
      </w:r>
    </w:p>
  </w:comment>
  <w:comment w:id="7" w:author="Avraham Kallenbach" w:date="2017-12-14T14:09:00Z" w:initials="AK">
    <w:p w14:paraId="5A1C420C" w14:textId="77777777" w:rsidR="0001529F" w:rsidRDefault="0001529F">
      <w:pPr>
        <w:pStyle w:val="a4"/>
      </w:pPr>
      <w:r>
        <w:rPr>
          <w:rStyle w:val="a3"/>
        </w:rPr>
        <w:annotationRef/>
      </w:r>
      <w:r>
        <w:t>Perhaps remove in English</w:t>
      </w:r>
    </w:p>
  </w:comment>
  <w:comment w:id="8" w:author="אביעד" w:date="2017-12-14T15:45:00Z" w:initials="א">
    <w:p w14:paraId="3A752882" w14:textId="4493E5AD" w:rsidR="00726AD5" w:rsidRDefault="00726AD5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לא הבנתי את ההערה</w:t>
      </w:r>
    </w:p>
  </w:comment>
  <w:comment w:id="9" w:author="Avraham Kallenbach" w:date="2017-12-14T14:00:00Z" w:initials="AK">
    <w:p w14:paraId="091EA05A" w14:textId="77777777" w:rsidR="003103D9" w:rsidRDefault="003103D9">
      <w:pPr>
        <w:pStyle w:val="a4"/>
      </w:pPr>
      <w:r>
        <w:rPr>
          <w:rStyle w:val="a3"/>
        </w:rPr>
        <w:annotationRef/>
      </w:r>
      <w:r>
        <w:t xml:space="preserve">Not an amulet? </w:t>
      </w:r>
    </w:p>
  </w:comment>
  <w:comment w:id="10" w:author="אביעד" w:date="2017-12-14T15:43:00Z" w:initials="א">
    <w:p w14:paraId="52EF2D76" w14:textId="69B406C8" w:rsidR="00726AD5" w:rsidRDefault="00726AD5" w:rsidP="00726AD5">
      <w:pPr>
        <w:pStyle w:val="a4"/>
        <w:rPr>
          <w:rtl/>
        </w:rPr>
      </w:pPr>
      <w:r>
        <w:rPr>
          <w:rStyle w:val="a3"/>
        </w:rPr>
        <w:annotationRef/>
      </w:r>
      <w:r w:rsidRPr="00726AD5">
        <w:t>Artifact</w:t>
      </w:r>
      <w:r>
        <w:t xml:space="preserve"> </w:t>
      </w:r>
      <w:r w:rsidRPr="00726AD5">
        <w:t>amulet</w:t>
      </w:r>
      <w:r>
        <w:rPr>
          <w:rFonts w:hint="cs"/>
          <w:rtl/>
        </w:rPr>
        <w:t xml:space="preserve"> כוונתי לקמיע חומרי, יש בו צמחים, לא טקסט.</w:t>
      </w:r>
    </w:p>
  </w:comment>
  <w:comment w:id="11" w:author="אביעד" w:date="2017-12-14T15:46:00Z" w:initials="א">
    <w:p w14:paraId="5C82BC99" w14:textId="36C0D23D" w:rsidR="007116EE" w:rsidRDefault="007116EE">
      <w:pPr>
        <w:pStyle w:val="a4"/>
      </w:pPr>
      <w:r>
        <w:rPr>
          <w:rStyle w:val="a3"/>
        </w:rPr>
        <w:annotationRef/>
      </w:r>
      <w:r>
        <w:t>amulet</w:t>
      </w:r>
    </w:p>
  </w:comment>
  <w:comment w:id="12" w:author="אביעד" w:date="2017-12-14T15:47:00Z" w:initials="א">
    <w:p w14:paraId="1E4E314C" w14:textId="3407DDBB" w:rsidR="007116EE" w:rsidRDefault="007116EE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בעברית הדגשתי "שאינה ברורה דיה", כבר פרשו את המונח הזה, גם פרשנים קלאסיים וגם במילון של סוקולוב למשל, אך אני רוצה להציע פרשנות נוספת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D22853" w15:done="0"/>
  <w15:commentEx w15:paraId="034440BA" w15:done="0"/>
  <w15:commentEx w15:paraId="2CD23D56" w15:done="0"/>
  <w15:commentEx w15:paraId="2B78F358" w15:done="0"/>
  <w15:commentEx w15:paraId="517B6ACE" w15:done="0"/>
  <w15:commentEx w15:paraId="092A9244" w15:done="0"/>
  <w15:commentEx w15:paraId="5A1C420C" w15:done="0"/>
  <w15:commentEx w15:paraId="3A752882" w15:paraIdParent="5A1C420C" w15:done="0"/>
  <w15:commentEx w15:paraId="091EA05A" w15:done="0"/>
  <w15:commentEx w15:paraId="52EF2D76" w15:done="0"/>
  <w15:commentEx w15:paraId="5C82BC99" w15:done="0"/>
  <w15:commentEx w15:paraId="1E4E31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4440BA" w16cid:durableId="1DDD0670"/>
  <w16cid:commentId w16cid:paraId="2B78F358" w16cid:durableId="1DDD06D8"/>
  <w16cid:commentId w16cid:paraId="5A1C420C" w16cid:durableId="1DDD049E"/>
  <w16cid:commentId w16cid:paraId="091EA05A" w16cid:durableId="1DDD02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אביעד">
    <w15:presenceInfo w15:providerId="None" w15:userId="אביעד"/>
  </w15:person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4"/>
    <w:rsid w:val="0001529F"/>
    <w:rsid w:val="001132F2"/>
    <w:rsid w:val="00136A6A"/>
    <w:rsid w:val="001D5B6E"/>
    <w:rsid w:val="00254103"/>
    <w:rsid w:val="002B5EFE"/>
    <w:rsid w:val="003103D9"/>
    <w:rsid w:val="00347961"/>
    <w:rsid w:val="007116EE"/>
    <w:rsid w:val="00726AD5"/>
    <w:rsid w:val="007F6D8A"/>
    <w:rsid w:val="00834EB2"/>
    <w:rsid w:val="008B3283"/>
    <w:rsid w:val="00A26B86"/>
    <w:rsid w:val="00BD47EA"/>
    <w:rsid w:val="00D53074"/>
    <w:rsid w:val="00DB4E4E"/>
    <w:rsid w:val="00D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725E"/>
  <w15:chartTrackingRefBased/>
  <w15:docId w15:val="{32911AD5-7E17-4940-8EA0-5FDFABF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B2"/>
    <w:pPr>
      <w:bidi/>
      <w:spacing w:line="240" w:lineRule="auto"/>
    </w:pPr>
    <w:rPr>
      <w:rFonts w:cs="Narkisim"/>
    </w:rPr>
  </w:style>
  <w:style w:type="paragraph" w:styleId="1">
    <w:name w:val="heading 1"/>
    <w:basedOn w:val="a"/>
    <w:next w:val="a"/>
    <w:link w:val="10"/>
    <w:uiPriority w:val="9"/>
    <w:qFormat/>
    <w:rsid w:val="00D53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B5EFE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2B5EFE"/>
    <w:rPr>
      <w:rFonts w:asciiTheme="majorHAnsi" w:eastAsiaTheme="majorEastAsia" w:hAnsiTheme="majorHAnsi" w:cs="Narkisim"/>
      <w:bCs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D530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3103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103D9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103D9"/>
    <w:rPr>
      <w:rFonts w:cs="Narkisim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03D9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103D9"/>
    <w:rPr>
      <w:rFonts w:cs="Narkisim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03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103D9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7F6D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6D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rill.com/downloads/author-guide/0011_hebrew_transliteration_simple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אביעד</dc:creator>
  <cp:keywords/>
  <dc:description/>
  <cp:lastModifiedBy>אביעד</cp:lastModifiedBy>
  <cp:revision>2</cp:revision>
  <dcterms:created xsi:type="dcterms:W3CDTF">2017-12-14T13:55:00Z</dcterms:created>
  <dcterms:modified xsi:type="dcterms:W3CDTF">2017-12-14T13:55:00Z</dcterms:modified>
</cp:coreProperties>
</file>