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220F" w14:textId="77777777" w:rsidR="00896E05" w:rsidRDefault="00896E05" w:rsidP="0013265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Light as Representative of Knowledge in </w:t>
      </w:r>
      <w:r w:rsidR="0013265C">
        <w:rPr>
          <w:rFonts w:asciiTheme="majorBidi" w:hAnsiTheme="majorBidi" w:cstheme="majorBidi"/>
          <w:b/>
          <w:bCs/>
          <w:sz w:val="24"/>
          <w:szCs w:val="24"/>
        </w:rPr>
        <w:t xml:space="preserve">the Foundational Sources of </w:t>
      </w:r>
      <w:r>
        <w:rPr>
          <w:rFonts w:asciiTheme="majorBidi" w:hAnsiTheme="majorBidi" w:cstheme="majorBidi"/>
          <w:b/>
          <w:bCs/>
          <w:sz w:val="24"/>
          <w:szCs w:val="24"/>
        </w:rPr>
        <w:t>Western Culture</w:t>
      </w:r>
    </w:p>
    <w:p w14:paraId="127E4B94" w14:textId="77777777" w:rsidR="00896E05" w:rsidRDefault="00896E05" w:rsidP="00896E05">
      <w:pPr>
        <w:bidi w:val="0"/>
        <w:spacing w:line="360" w:lineRule="auto"/>
        <w:jc w:val="both"/>
        <w:rPr>
          <w:rFonts w:asciiTheme="majorBidi" w:hAnsiTheme="majorBidi" w:cstheme="majorBidi"/>
          <w:sz w:val="24"/>
          <w:szCs w:val="24"/>
        </w:rPr>
      </w:pPr>
      <w:r>
        <w:rPr>
          <w:rFonts w:asciiTheme="majorBidi" w:hAnsiTheme="majorBidi" w:cstheme="majorBidi"/>
          <w:sz w:val="24"/>
          <w:szCs w:val="24"/>
        </w:rPr>
        <w:t>Dr. Bina Nir</w:t>
      </w:r>
    </w:p>
    <w:p w14:paraId="1226341A" w14:textId="77777777" w:rsidR="00896E05" w:rsidRDefault="00896E05" w:rsidP="00896E05">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14:paraId="5EA979EC" w14:textId="0430CB27" w:rsidR="00896E05" w:rsidRDefault="005638B3" w:rsidP="0013265C">
      <w:pPr>
        <w:bidi w:val="0"/>
        <w:spacing w:line="360" w:lineRule="auto"/>
        <w:jc w:val="both"/>
        <w:rPr>
          <w:rFonts w:asciiTheme="majorBidi" w:hAnsiTheme="majorBidi" w:cstheme="majorBidi"/>
          <w:sz w:val="24"/>
          <w:szCs w:val="24"/>
        </w:rPr>
      </w:pPr>
      <w:r>
        <w:rPr>
          <w:rFonts w:asciiTheme="majorBidi" w:hAnsiTheme="majorBidi" w:cstheme="majorBidi"/>
          <w:sz w:val="24"/>
          <w:szCs w:val="24"/>
        </w:rPr>
        <w:t>Light is a distinct physical phenomenon; it is a wave released</w:t>
      </w:r>
      <w:r w:rsidR="00896E05">
        <w:rPr>
          <w:rFonts w:asciiTheme="majorBidi" w:hAnsiTheme="majorBidi" w:cstheme="majorBidi"/>
          <w:sz w:val="24"/>
          <w:szCs w:val="24"/>
        </w:rPr>
        <w:t xml:space="preserve"> </w:t>
      </w:r>
      <w:r>
        <w:rPr>
          <w:rFonts w:asciiTheme="majorBidi" w:hAnsiTheme="majorBidi" w:cstheme="majorBidi"/>
          <w:sz w:val="24"/>
          <w:szCs w:val="24"/>
        </w:rPr>
        <w:t>by</w:t>
      </w:r>
      <w:r w:rsidR="00896E05">
        <w:rPr>
          <w:rFonts w:asciiTheme="majorBidi" w:hAnsiTheme="majorBidi" w:cstheme="majorBidi"/>
          <w:sz w:val="24"/>
          <w:szCs w:val="24"/>
        </w:rPr>
        <w:t xml:space="preserve"> an energy source – a light</w:t>
      </w:r>
      <w:r w:rsidR="00BD2E89">
        <w:rPr>
          <w:rFonts w:asciiTheme="majorBidi" w:hAnsiTheme="majorBidi" w:cstheme="majorBidi"/>
          <w:sz w:val="24"/>
          <w:szCs w:val="24"/>
        </w:rPr>
        <w:t>-</w:t>
      </w:r>
      <w:r w:rsidR="00896E05">
        <w:rPr>
          <w:rFonts w:asciiTheme="majorBidi" w:hAnsiTheme="majorBidi" w:cstheme="majorBidi"/>
          <w:sz w:val="24"/>
          <w:szCs w:val="24"/>
        </w:rPr>
        <w:t>emitting body. However, different cultures in different periods of human history have also attributed meta-physical properties to light. Even today, we often resort to using imagery of light and enlightenment as a metaphor</w:t>
      </w:r>
      <w:r>
        <w:rPr>
          <w:rFonts w:asciiTheme="majorBidi" w:hAnsiTheme="majorBidi" w:cstheme="majorBidi"/>
          <w:sz w:val="24"/>
          <w:szCs w:val="24"/>
        </w:rPr>
        <w:t xml:space="preserve"> for knowledge and wisdom</w:t>
      </w:r>
      <w:r w:rsidR="00896E05">
        <w:rPr>
          <w:rFonts w:asciiTheme="majorBidi" w:hAnsiTheme="majorBidi" w:cstheme="majorBidi"/>
          <w:sz w:val="24"/>
          <w:szCs w:val="24"/>
        </w:rPr>
        <w:t>. In this article we shall use the genealogical method to examine the cultural origins of the popular Western conception of light as representative of high</w:t>
      </w:r>
      <w:r w:rsidR="00BD2E89">
        <w:rPr>
          <w:rFonts w:asciiTheme="majorBidi" w:hAnsiTheme="majorBidi" w:cstheme="majorBidi"/>
          <w:sz w:val="24"/>
          <w:szCs w:val="24"/>
        </w:rPr>
        <w:t>er</w:t>
      </w:r>
      <w:r w:rsidR="00896E05">
        <w:rPr>
          <w:rFonts w:asciiTheme="majorBidi" w:hAnsiTheme="majorBidi" w:cstheme="majorBidi"/>
          <w:sz w:val="24"/>
          <w:szCs w:val="24"/>
        </w:rPr>
        <w:t xml:space="preserve"> knowledge, wisdom and sanctity in the great myths and</w:t>
      </w:r>
      <w:r w:rsidR="00BD2E89">
        <w:rPr>
          <w:rFonts w:asciiTheme="majorBidi" w:hAnsiTheme="majorBidi" w:cstheme="majorBidi"/>
          <w:sz w:val="24"/>
          <w:szCs w:val="24"/>
        </w:rPr>
        <w:t xml:space="preserve"> in</w:t>
      </w:r>
      <w:r w:rsidR="00896E05">
        <w:rPr>
          <w:rFonts w:asciiTheme="majorBidi" w:hAnsiTheme="majorBidi" w:cstheme="majorBidi"/>
          <w:sz w:val="24"/>
          <w:szCs w:val="24"/>
        </w:rPr>
        <w:t xml:space="preserve"> foundational texts of Western culture. The Western</w:t>
      </w:r>
      <w:r w:rsidR="0013265C">
        <w:rPr>
          <w:rFonts w:asciiTheme="majorBidi" w:hAnsiTheme="majorBidi" w:cstheme="majorBidi"/>
          <w:sz w:val="24"/>
          <w:szCs w:val="24"/>
        </w:rPr>
        <w:t xml:space="preserve"> </w:t>
      </w:r>
      <w:r w:rsidR="00896E05">
        <w:rPr>
          <w:rFonts w:asciiTheme="majorBidi" w:hAnsiTheme="majorBidi" w:cstheme="majorBidi"/>
          <w:sz w:val="24"/>
          <w:szCs w:val="24"/>
        </w:rPr>
        <w:t xml:space="preserve">Christian world arose out of the soil laid by two more ancient traditions – that of the Old Testament and that of the Greeks. The two major </w:t>
      </w:r>
      <w:r w:rsidR="00312DB5">
        <w:rPr>
          <w:rFonts w:asciiTheme="majorBidi" w:hAnsiTheme="majorBidi" w:cstheme="majorBidi"/>
          <w:sz w:val="24"/>
          <w:szCs w:val="24"/>
        </w:rPr>
        <w:t>outputs</w:t>
      </w:r>
      <w:r w:rsidR="00896E05">
        <w:rPr>
          <w:rFonts w:asciiTheme="majorBidi" w:hAnsiTheme="majorBidi" w:cstheme="majorBidi"/>
          <w:sz w:val="24"/>
          <w:szCs w:val="24"/>
        </w:rPr>
        <w:t xml:space="preserve"> of Western culture – the Jewish Bible and</w:t>
      </w:r>
      <w:r w:rsidR="00312DB5">
        <w:rPr>
          <w:rFonts w:asciiTheme="majorBidi" w:hAnsiTheme="majorBidi" w:cstheme="majorBidi"/>
          <w:sz w:val="24"/>
          <w:szCs w:val="24"/>
        </w:rPr>
        <w:t xml:space="preserve"> Homer’s epics – </w:t>
      </w:r>
      <w:r w:rsidR="0013265C">
        <w:rPr>
          <w:rFonts w:asciiTheme="majorBidi" w:hAnsiTheme="majorBidi" w:cstheme="majorBidi"/>
          <w:sz w:val="24"/>
          <w:szCs w:val="24"/>
        </w:rPr>
        <w:t>served as</w:t>
      </w:r>
      <w:r w:rsidR="00312DB5">
        <w:rPr>
          <w:rFonts w:asciiTheme="majorBidi" w:hAnsiTheme="majorBidi" w:cstheme="majorBidi"/>
          <w:sz w:val="24"/>
          <w:szCs w:val="24"/>
        </w:rPr>
        <w:t xml:space="preserve"> the foundation upon which the next layers of religious and cultural production could be </w:t>
      </w:r>
      <w:r w:rsidR="0013265C">
        <w:rPr>
          <w:rFonts w:asciiTheme="majorBidi" w:hAnsiTheme="majorBidi" w:cstheme="majorBidi"/>
          <w:sz w:val="24"/>
          <w:szCs w:val="24"/>
        </w:rPr>
        <w:t>built</w:t>
      </w:r>
      <w:r w:rsidR="00312DB5">
        <w:rPr>
          <w:rFonts w:asciiTheme="majorBidi" w:hAnsiTheme="majorBidi" w:cstheme="majorBidi"/>
          <w:sz w:val="24"/>
          <w:szCs w:val="24"/>
        </w:rPr>
        <w:t>.</w:t>
      </w:r>
      <w:r w:rsidR="00312DB5">
        <w:rPr>
          <w:rStyle w:val="FootnoteReference"/>
          <w:rFonts w:asciiTheme="majorBidi" w:hAnsiTheme="majorBidi"/>
          <w:sz w:val="24"/>
          <w:szCs w:val="24"/>
        </w:rPr>
        <w:footnoteReference w:id="1"/>
      </w:r>
      <w:r w:rsidR="00312DB5">
        <w:rPr>
          <w:rFonts w:asciiTheme="majorBidi" w:hAnsiTheme="majorBidi" w:cstheme="majorBidi"/>
          <w:sz w:val="24"/>
          <w:szCs w:val="24"/>
        </w:rPr>
        <w:t xml:space="preserve"> </w:t>
      </w:r>
    </w:p>
    <w:p w14:paraId="26B74095" w14:textId="5FA6F218" w:rsidR="00CB15F1" w:rsidRDefault="00312DB5" w:rsidP="00CB15F1">
      <w:pPr>
        <w:bidi w:val="0"/>
        <w:spacing w:line="360" w:lineRule="auto"/>
        <w:rPr>
          <w:rFonts w:asciiTheme="majorBidi" w:hAnsiTheme="majorBidi" w:cstheme="majorBidi"/>
          <w:sz w:val="24"/>
          <w:szCs w:val="24"/>
        </w:rPr>
      </w:pPr>
      <w:r>
        <w:rPr>
          <w:rFonts w:asciiTheme="majorBidi" w:hAnsiTheme="majorBidi" w:cstheme="majorBidi"/>
          <w:sz w:val="24"/>
          <w:szCs w:val="24"/>
        </w:rPr>
        <w:t>In Genesis, which recounts the seminal myth of the creation of the world, light appears before the creation of the celestial bodies: “</w:t>
      </w:r>
      <w:r w:rsidRPr="00312DB5">
        <w:rPr>
          <w:rFonts w:asciiTheme="majorBidi" w:hAnsiTheme="majorBidi" w:cstheme="majorBidi"/>
          <w:sz w:val="24"/>
          <w:szCs w:val="24"/>
        </w:rPr>
        <w:t>In the beginning God created the heaven and the earth</w:t>
      </w:r>
      <w:r>
        <w:rPr>
          <w:rFonts w:asciiTheme="majorBidi" w:hAnsiTheme="majorBidi" w:cs="Times New Roman" w:hint="cs"/>
          <w:sz w:val="24"/>
          <w:szCs w:val="24"/>
          <w:rtl/>
        </w:rPr>
        <w:t>…</w:t>
      </w:r>
      <w:r>
        <w:rPr>
          <w:rFonts w:asciiTheme="majorBidi" w:hAnsiTheme="majorBidi" w:cstheme="majorBidi"/>
          <w:sz w:val="24"/>
          <w:szCs w:val="24"/>
        </w:rPr>
        <w:t xml:space="preserve"> </w:t>
      </w:r>
      <w:r w:rsidRPr="00312DB5">
        <w:rPr>
          <w:rFonts w:asciiTheme="majorBidi" w:hAnsiTheme="majorBidi" w:cstheme="majorBidi"/>
          <w:sz w:val="24"/>
          <w:szCs w:val="24"/>
        </w:rPr>
        <w:t xml:space="preserve">And God said, Let there be light: </w:t>
      </w:r>
      <w:r w:rsidRPr="00BD2E89">
        <w:rPr>
          <w:rFonts w:asciiTheme="majorBidi" w:hAnsiTheme="majorBidi" w:cstheme="majorBidi"/>
          <w:sz w:val="24"/>
          <w:szCs w:val="24"/>
        </w:rPr>
        <w:t>and there was light</w:t>
      </w:r>
      <w:r w:rsidR="00BD2E89">
        <w:rPr>
          <w:rFonts w:asciiTheme="majorBidi" w:hAnsiTheme="majorBidi" w:cstheme="majorBidi"/>
          <w:sz w:val="24"/>
          <w:szCs w:val="24"/>
        </w:rPr>
        <w:t xml:space="preserve"> </w:t>
      </w:r>
      <w:r w:rsidRPr="00BD2E89">
        <w:rPr>
          <w:rFonts w:asciiTheme="majorBidi" w:hAnsiTheme="majorBidi" w:cstheme="majorBidi"/>
          <w:sz w:val="24"/>
          <w:szCs w:val="24"/>
          <w:rtl/>
        </w:rPr>
        <w:t>.</w:t>
      </w:r>
      <w:r w:rsidRPr="00BD2E89">
        <w:rPr>
          <w:rFonts w:asciiTheme="majorBidi" w:hAnsiTheme="majorBidi" w:cstheme="majorBidi"/>
          <w:sz w:val="24"/>
          <w:szCs w:val="24"/>
        </w:rPr>
        <w:t>And God saw the light, that it was good: and God divided the light from the darkness” (</w:t>
      </w:r>
      <w:r>
        <w:rPr>
          <w:rFonts w:asciiTheme="majorBidi" w:hAnsiTheme="majorBidi" w:cstheme="majorBidi"/>
          <w:sz w:val="24"/>
          <w:szCs w:val="24"/>
        </w:rPr>
        <w:t>Genesis 1:1–4).</w:t>
      </w:r>
      <w:r w:rsidR="00CB15F1">
        <w:rPr>
          <w:rStyle w:val="FootnoteReference"/>
          <w:rFonts w:asciiTheme="majorBidi" w:hAnsiTheme="majorBidi"/>
          <w:sz w:val="24"/>
          <w:szCs w:val="24"/>
        </w:rPr>
        <w:footnoteReference w:id="2"/>
      </w:r>
      <w:r>
        <w:rPr>
          <w:rFonts w:asciiTheme="majorBidi" w:hAnsiTheme="majorBidi" w:cstheme="majorBidi"/>
          <w:sz w:val="24"/>
          <w:szCs w:val="24"/>
        </w:rPr>
        <w:t xml:space="preserve"> As we can see, the differentiation between day and night at this point of the creation myth is </w:t>
      </w:r>
      <w:r w:rsidR="00CB15F1">
        <w:rPr>
          <w:rFonts w:asciiTheme="majorBidi" w:hAnsiTheme="majorBidi" w:cstheme="majorBidi"/>
          <w:sz w:val="24"/>
          <w:szCs w:val="24"/>
        </w:rPr>
        <w:t>also separate from the celestial bodies</w:t>
      </w:r>
      <w:r>
        <w:rPr>
          <w:rFonts w:asciiTheme="majorBidi" w:hAnsiTheme="majorBidi" w:cstheme="majorBidi"/>
          <w:sz w:val="24"/>
          <w:szCs w:val="24"/>
        </w:rPr>
        <w:t>, for only on the fourth day does God create</w:t>
      </w:r>
      <w:r w:rsidR="00CB15F1">
        <w:rPr>
          <w:rFonts w:asciiTheme="majorBidi" w:hAnsiTheme="majorBidi" w:cstheme="majorBidi"/>
          <w:sz w:val="24"/>
          <w:szCs w:val="24"/>
        </w:rPr>
        <w:t xml:space="preserve"> the</w:t>
      </w:r>
      <w:r>
        <w:rPr>
          <w:rFonts w:asciiTheme="majorBidi" w:hAnsiTheme="majorBidi" w:cstheme="majorBidi"/>
          <w:sz w:val="24"/>
          <w:szCs w:val="24"/>
        </w:rPr>
        <w:t xml:space="preserve"> “</w:t>
      </w:r>
      <w:r w:rsidR="00CB15F1" w:rsidRPr="00CB15F1">
        <w:rPr>
          <w:rFonts w:asciiTheme="majorBidi" w:hAnsiTheme="majorBidi" w:cstheme="majorBidi"/>
          <w:sz w:val="24"/>
          <w:szCs w:val="24"/>
        </w:rPr>
        <w:t>two great lights; the greater light to rule the day, and the lesser light to rule th</w:t>
      </w:r>
      <w:r w:rsidR="00CB15F1">
        <w:rPr>
          <w:rFonts w:asciiTheme="majorBidi" w:hAnsiTheme="majorBidi" w:cstheme="majorBidi"/>
          <w:sz w:val="24"/>
          <w:szCs w:val="24"/>
        </w:rPr>
        <w:t>e night: he made the stars also” (Genesis 1:16). This distinction between the creation of light and the creation of the sun as the source of light endows light with metaphysical properties and the sanctity of divinity, knowledge, morality and wisdom. There are hundreds of instances in the Old Testament where light is used to symbolize all of the above, such as: “</w:t>
      </w:r>
      <w:r w:rsidR="00CB15F1" w:rsidRPr="00CB15F1">
        <w:rPr>
          <w:rFonts w:asciiTheme="majorBidi" w:hAnsiTheme="majorBidi" w:cstheme="majorBidi"/>
          <w:sz w:val="24"/>
          <w:szCs w:val="24"/>
        </w:rPr>
        <w:t xml:space="preserve">a man's wisdom </w:t>
      </w:r>
      <w:proofErr w:type="spellStart"/>
      <w:r w:rsidR="00CB15F1" w:rsidRPr="00CB15F1">
        <w:rPr>
          <w:rFonts w:asciiTheme="majorBidi" w:hAnsiTheme="majorBidi" w:cstheme="majorBidi"/>
          <w:sz w:val="24"/>
          <w:szCs w:val="24"/>
        </w:rPr>
        <w:t>maketh</w:t>
      </w:r>
      <w:proofErr w:type="spellEnd"/>
      <w:r w:rsidR="00CB15F1" w:rsidRPr="00CB15F1">
        <w:rPr>
          <w:rFonts w:asciiTheme="majorBidi" w:hAnsiTheme="majorBidi" w:cstheme="majorBidi"/>
          <w:sz w:val="24"/>
          <w:szCs w:val="24"/>
        </w:rPr>
        <w:t xml:space="preserve"> his face to shine</w:t>
      </w:r>
      <w:r w:rsidR="00CB15F1">
        <w:rPr>
          <w:rFonts w:asciiTheme="majorBidi" w:hAnsiTheme="majorBidi" w:cstheme="majorBidi"/>
          <w:sz w:val="24"/>
          <w:szCs w:val="24"/>
        </w:rPr>
        <w:t>” (Ecclesiastes 8:1), “u</w:t>
      </w:r>
      <w:r w:rsidR="00CB15F1" w:rsidRPr="00CB15F1">
        <w:rPr>
          <w:rFonts w:asciiTheme="majorBidi" w:hAnsiTheme="majorBidi" w:cstheme="majorBidi"/>
          <w:sz w:val="24"/>
          <w:szCs w:val="24"/>
        </w:rPr>
        <w:t xml:space="preserve">nto the upright there </w:t>
      </w:r>
      <w:proofErr w:type="spellStart"/>
      <w:r w:rsidR="00CB15F1" w:rsidRPr="00CB15F1">
        <w:rPr>
          <w:rFonts w:asciiTheme="majorBidi" w:hAnsiTheme="majorBidi" w:cstheme="majorBidi"/>
          <w:sz w:val="24"/>
          <w:szCs w:val="24"/>
        </w:rPr>
        <w:t>ariseth</w:t>
      </w:r>
      <w:proofErr w:type="spellEnd"/>
      <w:r w:rsidR="00CB15F1" w:rsidRPr="00CB15F1">
        <w:rPr>
          <w:rFonts w:asciiTheme="majorBidi" w:hAnsiTheme="majorBidi" w:cstheme="majorBidi"/>
          <w:sz w:val="24"/>
          <w:szCs w:val="24"/>
        </w:rPr>
        <w:t xml:space="preserve"> light in the darkness</w:t>
      </w:r>
      <w:r w:rsidR="00CB15F1">
        <w:rPr>
          <w:rFonts w:asciiTheme="majorBidi" w:hAnsiTheme="majorBidi" w:cstheme="majorBidi"/>
          <w:sz w:val="24"/>
          <w:szCs w:val="24"/>
        </w:rPr>
        <w:t>” (Psalms 112:4), “</w:t>
      </w:r>
      <w:r w:rsidR="00CB15F1" w:rsidRPr="00CB15F1">
        <w:rPr>
          <w:rFonts w:asciiTheme="majorBidi" w:hAnsiTheme="majorBidi" w:cstheme="majorBidi"/>
          <w:sz w:val="24"/>
          <w:szCs w:val="24"/>
        </w:rPr>
        <w:t>Lord, lift thou up the light of thy countenance upon us</w:t>
      </w:r>
      <w:r w:rsidR="00CB15F1">
        <w:rPr>
          <w:rFonts w:asciiTheme="majorBidi" w:hAnsiTheme="majorBidi" w:cstheme="majorBidi"/>
          <w:sz w:val="24"/>
          <w:szCs w:val="24"/>
        </w:rPr>
        <w:t>” (Psalms 4:6), “</w:t>
      </w:r>
      <w:r w:rsidR="00CB15F1" w:rsidRPr="00CB15F1">
        <w:rPr>
          <w:rFonts w:asciiTheme="majorBidi" w:hAnsiTheme="majorBidi" w:cstheme="majorBidi"/>
          <w:sz w:val="24"/>
          <w:szCs w:val="24"/>
        </w:rPr>
        <w:t>come ye, and let us walk in the light of the Lord</w:t>
      </w:r>
      <w:r w:rsidR="00CB15F1">
        <w:rPr>
          <w:rFonts w:asciiTheme="majorBidi" w:hAnsiTheme="majorBidi" w:cstheme="majorBidi"/>
          <w:sz w:val="24"/>
          <w:szCs w:val="24"/>
        </w:rPr>
        <w:t xml:space="preserve">” (Isaiah 2:5), to quote but a few. </w:t>
      </w:r>
    </w:p>
    <w:p w14:paraId="5F35528B" w14:textId="0BCAF7B6" w:rsidR="00312DB5" w:rsidRDefault="00CB15F1" w:rsidP="0013265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use of light as a metaphor for knowledge also has roots in the Greek tradition. </w:t>
      </w:r>
      <w:r w:rsidR="002A395F">
        <w:rPr>
          <w:rFonts w:asciiTheme="majorBidi" w:hAnsiTheme="majorBidi" w:cstheme="majorBidi"/>
          <w:sz w:val="24"/>
          <w:szCs w:val="24"/>
        </w:rPr>
        <w:t>In Greek mythology</w:t>
      </w:r>
      <w:r>
        <w:rPr>
          <w:rFonts w:asciiTheme="majorBidi" w:hAnsiTheme="majorBidi" w:cstheme="majorBidi"/>
          <w:sz w:val="24"/>
          <w:szCs w:val="24"/>
        </w:rPr>
        <w:t>, the titan Prometheus</w:t>
      </w:r>
      <w:r w:rsidR="002A395F">
        <w:rPr>
          <w:rFonts w:asciiTheme="majorBidi" w:hAnsiTheme="majorBidi" w:cstheme="majorBidi"/>
          <w:sz w:val="24"/>
          <w:szCs w:val="24"/>
        </w:rPr>
        <w:t xml:space="preserve"> brings the fire that </w:t>
      </w:r>
      <w:r>
        <w:rPr>
          <w:rFonts w:asciiTheme="majorBidi" w:hAnsiTheme="majorBidi" w:cstheme="majorBidi"/>
          <w:sz w:val="24"/>
          <w:szCs w:val="24"/>
        </w:rPr>
        <w:t xml:space="preserve">Zeus withheld </w:t>
      </w:r>
      <w:r w:rsidR="002A395F">
        <w:rPr>
          <w:rFonts w:asciiTheme="majorBidi" w:hAnsiTheme="majorBidi" w:cstheme="majorBidi"/>
          <w:sz w:val="24"/>
          <w:szCs w:val="24"/>
        </w:rPr>
        <w:t xml:space="preserve">from humanity down to </w:t>
      </w:r>
      <w:r w:rsidR="002A395F">
        <w:rPr>
          <w:rFonts w:asciiTheme="majorBidi" w:hAnsiTheme="majorBidi" w:cstheme="majorBidi"/>
          <w:sz w:val="24"/>
          <w:szCs w:val="24"/>
        </w:rPr>
        <w:lastRenderedPageBreak/>
        <w:t>earth and is severely punished for his action. Fire is necessary for survival and human development and is therefore considered a great gift.</w:t>
      </w:r>
      <w:r w:rsidR="002A395F">
        <w:rPr>
          <w:rStyle w:val="FootnoteReference"/>
          <w:rFonts w:asciiTheme="majorBidi" w:hAnsiTheme="majorBidi"/>
          <w:sz w:val="24"/>
          <w:szCs w:val="24"/>
        </w:rPr>
        <w:footnoteReference w:id="3"/>
      </w:r>
      <w:r w:rsidR="002A395F">
        <w:rPr>
          <w:rFonts w:asciiTheme="majorBidi" w:hAnsiTheme="majorBidi" w:cstheme="majorBidi"/>
          <w:sz w:val="24"/>
          <w:szCs w:val="24"/>
        </w:rPr>
        <w:t xml:space="preserve"> </w:t>
      </w:r>
      <w:r w:rsidR="00BD2E89">
        <w:rPr>
          <w:rFonts w:asciiTheme="majorBidi" w:hAnsiTheme="majorBidi" w:cstheme="majorBidi"/>
          <w:sz w:val="24"/>
          <w:szCs w:val="24"/>
        </w:rPr>
        <w:t>For many thinkers and scholars, t</w:t>
      </w:r>
      <w:r w:rsidR="002A395F">
        <w:rPr>
          <w:rFonts w:asciiTheme="majorBidi" w:hAnsiTheme="majorBidi" w:cstheme="majorBidi"/>
          <w:sz w:val="24"/>
          <w:szCs w:val="24"/>
        </w:rPr>
        <w:t xml:space="preserve">he Promethean myth has come to represent an iconic image symbolizing human liberation, not only in the physical sense, but in the sense of the </w:t>
      </w:r>
      <w:r w:rsidR="0013265C">
        <w:rPr>
          <w:rFonts w:asciiTheme="majorBidi" w:hAnsiTheme="majorBidi" w:cstheme="majorBidi"/>
          <w:sz w:val="24"/>
          <w:szCs w:val="24"/>
        </w:rPr>
        <w:t>dissemination</w:t>
      </w:r>
      <w:r w:rsidR="002A395F">
        <w:rPr>
          <w:rFonts w:asciiTheme="majorBidi" w:hAnsiTheme="majorBidi" w:cstheme="majorBidi"/>
          <w:sz w:val="24"/>
          <w:szCs w:val="24"/>
        </w:rPr>
        <w:t xml:space="preserve"> of knowledge and wisdom </w:t>
      </w:r>
      <w:r w:rsidR="002D6ED5">
        <w:rPr>
          <w:rFonts w:asciiTheme="majorBidi" w:hAnsiTheme="majorBidi" w:cstheme="majorBidi"/>
          <w:sz w:val="24"/>
          <w:szCs w:val="24"/>
        </w:rPr>
        <w:t>that illuminates and enlightens</w:t>
      </w:r>
      <w:r w:rsidR="002A395F">
        <w:rPr>
          <w:rFonts w:asciiTheme="majorBidi" w:hAnsiTheme="majorBidi" w:cstheme="majorBidi"/>
          <w:sz w:val="24"/>
          <w:szCs w:val="24"/>
        </w:rPr>
        <w:t>.</w:t>
      </w:r>
      <w:r w:rsidR="006977B4">
        <w:rPr>
          <w:rStyle w:val="FootnoteReference"/>
          <w:rFonts w:asciiTheme="majorBidi" w:hAnsiTheme="majorBidi"/>
          <w:sz w:val="24"/>
          <w:szCs w:val="24"/>
        </w:rPr>
        <w:footnoteReference w:id="4"/>
      </w:r>
      <w:r w:rsidR="002A395F">
        <w:rPr>
          <w:rFonts w:asciiTheme="majorBidi" w:hAnsiTheme="majorBidi" w:cstheme="majorBidi"/>
          <w:sz w:val="24"/>
          <w:szCs w:val="24"/>
        </w:rPr>
        <w:t xml:space="preserve"> </w:t>
      </w:r>
    </w:p>
    <w:p w14:paraId="1BAC841A" w14:textId="77777777" w:rsidR="00575388" w:rsidRPr="00F57E64" w:rsidRDefault="00B776EC" w:rsidP="0013265C">
      <w:pPr>
        <w:bidi w:val="0"/>
        <w:spacing w:line="360" w:lineRule="auto"/>
        <w:rPr>
          <w:rFonts w:asciiTheme="majorBidi" w:hAnsiTheme="majorBidi" w:cstheme="majorBidi"/>
          <w:sz w:val="24"/>
          <w:szCs w:val="24"/>
          <w:rtl/>
        </w:rPr>
      </w:pPr>
      <w:r>
        <w:rPr>
          <w:rFonts w:asciiTheme="majorBidi" w:hAnsiTheme="majorBidi" w:cstheme="majorBidi"/>
          <w:sz w:val="24"/>
          <w:szCs w:val="24"/>
        </w:rPr>
        <w:t xml:space="preserve">Light as a metaphor for knowledge and, conversely, the absences of light or darkness as a metaphor for ignorance, </w:t>
      </w:r>
      <w:r w:rsidR="0013265C">
        <w:rPr>
          <w:rFonts w:asciiTheme="majorBidi" w:hAnsiTheme="majorBidi" w:cstheme="majorBidi"/>
          <w:sz w:val="24"/>
          <w:szCs w:val="24"/>
        </w:rPr>
        <w:t>is</w:t>
      </w:r>
      <w:r>
        <w:rPr>
          <w:rFonts w:asciiTheme="majorBidi" w:hAnsiTheme="majorBidi" w:cstheme="majorBidi"/>
          <w:sz w:val="24"/>
          <w:szCs w:val="24"/>
        </w:rPr>
        <w:t xml:space="preserve"> perhaps most famously and powerfully represented in Plato’s allegory of the cave.</w:t>
      </w:r>
      <w:r>
        <w:rPr>
          <w:rStyle w:val="FootnoteReference"/>
          <w:rFonts w:asciiTheme="majorBidi" w:hAnsiTheme="majorBidi"/>
          <w:sz w:val="24"/>
          <w:szCs w:val="24"/>
        </w:rPr>
        <w:footnoteReference w:id="5"/>
      </w:r>
      <w:r>
        <w:rPr>
          <w:rFonts w:asciiTheme="majorBidi" w:hAnsiTheme="majorBidi" w:cstheme="majorBidi"/>
          <w:sz w:val="24"/>
          <w:szCs w:val="24"/>
        </w:rPr>
        <w:t xml:space="preserve"> </w:t>
      </w:r>
      <w:r w:rsidR="00F57E64">
        <w:rPr>
          <w:rFonts w:asciiTheme="majorBidi" w:hAnsiTheme="majorBidi" w:cstheme="majorBidi"/>
          <w:sz w:val="24"/>
          <w:szCs w:val="24"/>
        </w:rPr>
        <w:t xml:space="preserve">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The prisoner who has been exposed to the light has undergone a process of coming out of ignorance into an understanding of the truth. It is then up to him to stand his ground and try to enlighten his fellow prisoners still shackled in the darkness of the cave. </w:t>
      </w:r>
    </w:p>
    <w:p w14:paraId="4454989C" w14:textId="77777777" w:rsidR="00575388" w:rsidRPr="00575388" w:rsidRDefault="00575388" w:rsidP="00575388">
      <w:pPr>
        <w:spacing w:line="480" w:lineRule="auto"/>
        <w:rPr>
          <w:rFonts w:ascii="David" w:hAnsi="David" w:cs="David"/>
          <w:sz w:val="24"/>
          <w:szCs w:val="24"/>
          <w:rtl/>
        </w:rPr>
      </w:pPr>
    </w:p>
    <w:p w14:paraId="7C6F773A" w14:textId="77777777" w:rsidR="00575388" w:rsidRPr="00575388" w:rsidRDefault="00575388" w:rsidP="00575388">
      <w:pPr>
        <w:spacing w:line="480" w:lineRule="auto"/>
        <w:rPr>
          <w:rFonts w:ascii="David" w:hAnsi="David" w:cs="David"/>
          <w:sz w:val="24"/>
          <w:szCs w:val="24"/>
          <w:rtl/>
        </w:rPr>
      </w:pPr>
    </w:p>
    <w:p w14:paraId="5B3DF51D" w14:textId="77777777" w:rsidR="00AB1DE5" w:rsidRPr="0047021F" w:rsidRDefault="00AB1DE5" w:rsidP="00246EF6">
      <w:pPr>
        <w:spacing w:line="480" w:lineRule="auto"/>
        <w:jc w:val="both"/>
        <w:rPr>
          <w:rFonts w:ascii="David" w:hAnsi="David" w:cs="David"/>
          <w:sz w:val="24"/>
          <w:szCs w:val="24"/>
          <w:rtl/>
        </w:rPr>
      </w:pPr>
    </w:p>
    <w:p w14:paraId="72F13BEA" w14:textId="77777777" w:rsidR="00C53E88" w:rsidRDefault="00C53E88" w:rsidP="00804022">
      <w:pPr>
        <w:spacing w:line="360" w:lineRule="auto"/>
        <w:jc w:val="both"/>
        <w:rPr>
          <w:rFonts w:ascii="David" w:hAnsi="David" w:cs="David"/>
          <w:color w:val="FF0000"/>
          <w:sz w:val="24"/>
          <w:szCs w:val="24"/>
          <w:rtl/>
        </w:rPr>
      </w:pPr>
    </w:p>
    <w:p w14:paraId="2B946CCE" w14:textId="77777777" w:rsidR="00C53E88" w:rsidRPr="00C53E88" w:rsidRDefault="00C53E88" w:rsidP="00C53E88">
      <w:pPr>
        <w:spacing w:after="0" w:line="480" w:lineRule="auto"/>
        <w:ind w:left="-58" w:firstLine="284"/>
        <w:jc w:val="both"/>
        <w:rPr>
          <w:rFonts w:ascii="Times New Roman" w:eastAsia="Times New Roman" w:hAnsi="Times New Roman" w:cs="Times New Roman"/>
          <w:sz w:val="24"/>
          <w:szCs w:val="24"/>
          <w:rtl/>
        </w:rPr>
      </w:pPr>
      <w:r w:rsidRPr="00C53E88">
        <w:rPr>
          <w:rFonts w:ascii="Times New Roman" w:eastAsia="Times New Roman" w:hAnsi="Times New Roman" w:cs="Times New Roman"/>
          <w:i/>
          <w:iCs/>
          <w:sz w:val="24"/>
          <w:szCs w:val="24"/>
          <w:rtl/>
        </w:rPr>
        <w:tab/>
      </w:r>
    </w:p>
    <w:p w14:paraId="781EEAC8" w14:textId="77777777" w:rsidR="00C53E88" w:rsidRPr="009E2544" w:rsidRDefault="00C53E88" w:rsidP="00804022">
      <w:pPr>
        <w:spacing w:line="360" w:lineRule="auto"/>
        <w:jc w:val="both"/>
        <w:rPr>
          <w:rFonts w:ascii="David" w:hAnsi="David" w:cs="David"/>
          <w:color w:val="FF0000"/>
          <w:sz w:val="24"/>
          <w:szCs w:val="24"/>
        </w:rPr>
      </w:pPr>
      <w:bookmarkStart w:id="0" w:name="_GoBack"/>
      <w:bookmarkEnd w:id="0"/>
    </w:p>
    <w:sectPr w:rsidR="00C53E88" w:rsidRPr="009E2544" w:rsidSect="00B460BE">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408E6" w14:textId="77777777" w:rsidR="00D938D7" w:rsidRDefault="00D938D7" w:rsidP="00C53E88">
      <w:pPr>
        <w:spacing w:after="0" w:line="240" w:lineRule="auto"/>
      </w:pPr>
      <w:r>
        <w:separator/>
      </w:r>
    </w:p>
  </w:endnote>
  <w:endnote w:type="continuationSeparator" w:id="0">
    <w:p w14:paraId="570EDAF7" w14:textId="77777777" w:rsidR="00D938D7" w:rsidRDefault="00D938D7" w:rsidP="00C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3E309" w14:textId="77777777" w:rsidR="00D938D7" w:rsidRDefault="00D938D7" w:rsidP="00312DB5">
      <w:pPr>
        <w:bidi w:val="0"/>
        <w:spacing w:after="0" w:line="240" w:lineRule="auto"/>
      </w:pPr>
      <w:r>
        <w:separator/>
      </w:r>
    </w:p>
  </w:footnote>
  <w:footnote w:type="continuationSeparator" w:id="0">
    <w:p w14:paraId="3C081EFD" w14:textId="77777777" w:rsidR="00D938D7" w:rsidRDefault="00D938D7" w:rsidP="00C53E88">
      <w:pPr>
        <w:spacing w:after="0" w:line="240" w:lineRule="auto"/>
      </w:pPr>
      <w:r>
        <w:continuationSeparator/>
      </w:r>
    </w:p>
  </w:footnote>
  <w:footnote w:id="1">
    <w:p w14:paraId="37F4067C" w14:textId="77777777" w:rsidR="00312DB5" w:rsidRDefault="00312DB5" w:rsidP="00312DB5">
      <w:pPr>
        <w:pStyle w:val="FootnoteText"/>
        <w:bidi w:val="0"/>
      </w:pPr>
      <w:r>
        <w:rPr>
          <w:rStyle w:val="FootnoteReference"/>
        </w:rPr>
        <w:footnoteRef/>
      </w:r>
      <w:r>
        <w:rPr>
          <w:rtl/>
        </w:rPr>
        <w:t xml:space="preserve"> </w:t>
      </w:r>
      <w:proofErr w:type="spellStart"/>
      <w:r>
        <w:t>Knohl</w:t>
      </w:r>
      <w:proofErr w:type="spellEnd"/>
      <w:r>
        <w:t xml:space="preserve">, Israel. (2008). </w:t>
      </w:r>
      <w:proofErr w:type="spellStart"/>
      <w:r w:rsidRPr="00312DB5">
        <w:rPr>
          <w:i/>
          <w:iCs/>
        </w:rPr>
        <w:t>Mea’in</w:t>
      </w:r>
      <w:proofErr w:type="spellEnd"/>
      <w:r w:rsidRPr="00312DB5">
        <w:rPr>
          <w:i/>
          <w:iCs/>
        </w:rPr>
        <w:t xml:space="preserve"> Banu? </w:t>
      </w:r>
      <w:proofErr w:type="spellStart"/>
      <w:r w:rsidRPr="00312DB5">
        <w:rPr>
          <w:i/>
          <w:iCs/>
        </w:rPr>
        <w:t>HaKod</w:t>
      </w:r>
      <w:proofErr w:type="spellEnd"/>
      <w:r w:rsidRPr="00312DB5">
        <w:rPr>
          <w:i/>
          <w:iCs/>
        </w:rPr>
        <w:t xml:space="preserve"> </w:t>
      </w:r>
      <w:proofErr w:type="spellStart"/>
      <w:r w:rsidRPr="00312DB5">
        <w:rPr>
          <w:i/>
          <w:iCs/>
        </w:rPr>
        <w:t>HaGeneti</w:t>
      </w:r>
      <w:proofErr w:type="spellEnd"/>
      <w:r w:rsidRPr="00312DB5">
        <w:rPr>
          <w:i/>
          <w:iCs/>
        </w:rPr>
        <w:t xml:space="preserve"> Shel </w:t>
      </w:r>
      <w:proofErr w:type="spellStart"/>
      <w:r w:rsidRPr="00312DB5">
        <w:rPr>
          <w:i/>
          <w:iCs/>
        </w:rPr>
        <w:t>HaTanakh</w:t>
      </w:r>
      <w:proofErr w:type="spellEnd"/>
      <w:r>
        <w:t xml:space="preserve"> [Where Are We From? The Genetic Code of the Bible], p. 15.</w:t>
      </w:r>
    </w:p>
  </w:footnote>
  <w:footnote w:id="2">
    <w:p w14:paraId="27A9A295" w14:textId="77777777" w:rsidR="00CB15F1" w:rsidRDefault="00CB15F1" w:rsidP="00CB15F1">
      <w:pPr>
        <w:pStyle w:val="FootnoteText"/>
        <w:bidi w:val="0"/>
      </w:pPr>
      <w:r>
        <w:rPr>
          <w:rStyle w:val="FootnoteReference"/>
        </w:rPr>
        <w:footnoteRef/>
      </w:r>
      <w:r>
        <w:rPr>
          <w:rtl/>
        </w:rPr>
        <w:t xml:space="preserve"> </w:t>
      </w:r>
      <w:r>
        <w:t xml:space="preserve">All Biblical citations are taken from the original King James translation (KJV). </w:t>
      </w:r>
    </w:p>
  </w:footnote>
  <w:footnote w:id="3">
    <w:p w14:paraId="31CEF84F" w14:textId="77777777" w:rsidR="002A395F" w:rsidRPr="006977B4" w:rsidRDefault="002A395F" w:rsidP="006977B4">
      <w:pPr>
        <w:pStyle w:val="FootnoteText"/>
        <w:bidi w:val="0"/>
      </w:pPr>
      <w:r>
        <w:rPr>
          <w:rStyle w:val="FootnoteReference"/>
        </w:rPr>
        <w:footnoteRef/>
      </w:r>
      <w:r>
        <w:rPr>
          <w:rtl/>
        </w:rPr>
        <w:t xml:space="preserve"> </w:t>
      </w:r>
      <w:r>
        <w:t xml:space="preserve">Schwab, Gustav. </w:t>
      </w:r>
      <w:r w:rsidR="006977B4">
        <w:t>(1946</w:t>
      </w:r>
      <w:r>
        <w:t xml:space="preserve">). </w:t>
      </w:r>
      <w:r>
        <w:rPr>
          <w:i/>
          <w:iCs/>
        </w:rPr>
        <w:t>Gods and Heroes of Ancient Greece</w:t>
      </w:r>
      <w:r w:rsidR="006977B4">
        <w:t xml:space="preserve">. Trans. </w:t>
      </w:r>
      <w:r w:rsidR="006977B4" w:rsidRPr="006977B4">
        <w:t xml:space="preserve">Olga Marx </w:t>
      </w:r>
      <w:r w:rsidR="006977B4">
        <w:t>a</w:t>
      </w:r>
      <w:r w:rsidR="006977B4" w:rsidRPr="006977B4">
        <w:t>nd Ernst Morwitz</w:t>
      </w:r>
      <w:r w:rsidR="006977B4">
        <w:t>.</w:t>
      </w:r>
      <w:r w:rsidR="006977B4" w:rsidRPr="006977B4">
        <w:t xml:space="preserve"> </w:t>
      </w:r>
      <w:r w:rsidR="006977B4">
        <w:t>New York: Pantheon Books, p. 26.</w:t>
      </w:r>
    </w:p>
  </w:footnote>
  <w:footnote w:id="4">
    <w:p w14:paraId="6C18C1CB" w14:textId="77777777" w:rsidR="006977B4" w:rsidRPr="006977B4" w:rsidRDefault="006977B4" w:rsidP="006977B4">
      <w:pPr>
        <w:pStyle w:val="FootnoteText"/>
        <w:bidi w:val="0"/>
      </w:pPr>
      <w:r>
        <w:rPr>
          <w:rStyle w:val="FootnoteReference"/>
        </w:rPr>
        <w:footnoteRef/>
      </w:r>
      <w:r>
        <w:rPr>
          <w:rtl/>
        </w:rPr>
        <w:t xml:space="preserve"> </w:t>
      </w:r>
      <w:proofErr w:type="spellStart"/>
      <w:r>
        <w:t>Ohana</w:t>
      </w:r>
      <w:proofErr w:type="spellEnd"/>
      <w:r>
        <w:t xml:space="preserve">, David. (2001). </w:t>
      </w:r>
      <w:proofErr w:type="spellStart"/>
      <w:r>
        <w:rPr>
          <w:i/>
          <w:iCs/>
        </w:rPr>
        <w:t>HaTshuka</w:t>
      </w:r>
      <w:proofErr w:type="spellEnd"/>
      <w:r>
        <w:rPr>
          <w:i/>
          <w:iCs/>
        </w:rPr>
        <w:t xml:space="preserve"> </w:t>
      </w:r>
      <w:proofErr w:type="spellStart"/>
      <w:r>
        <w:rPr>
          <w:i/>
          <w:iCs/>
        </w:rPr>
        <w:t>HaPrometeit</w:t>
      </w:r>
      <w:proofErr w:type="spellEnd"/>
      <w:r>
        <w:t xml:space="preserve"> [Promethean Passion]. Jerusalem: Mosad Bialik, p</w:t>
      </w:r>
      <w:r w:rsidR="00F57E64">
        <w:t>p</w:t>
      </w:r>
      <w:r>
        <w:t>. 3–11.</w:t>
      </w:r>
    </w:p>
  </w:footnote>
  <w:footnote w:id="5">
    <w:p w14:paraId="0CCF7373" w14:textId="77777777" w:rsidR="00B776EC" w:rsidRPr="00B776EC" w:rsidRDefault="00B776EC" w:rsidP="00B776EC">
      <w:pPr>
        <w:pStyle w:val="FootnoteText"/>
        <w:bidi w:val="0"/>
      </w:pPr>
      <w:r>
        <w:rPr>
          <w:rStyle w:val="FootnoteReference"/>
        </w:rPr>
        <w:footnoteRef/>
      </w:r>
      <w:r>
        <w:rPr>
          <w:rtl/>
        </w:rPr>
        <w:t xml:space="preserve"> </w:t>
      </w:r>
      <w:r>
        <w:t>Plato.</w:t>
      </w:r>
      <w:r w:rsidR="00F57E64">
        <w:t xml:space="preserve"> (2000).</w:t>
      </w:r>
      <w:r>
        <w:t xml:space="preserve"> </w:t>
      </w:r>
      <w:r>
        <w:rPr>
          <w:i/>
          <w:iCs/>
        </w:rPr>
        <w:t>The Republic</w:t>
      </w:r>
      <w:r>
        <w:t xml:space="preserve">. Ed. G. R. F. Ferrari. Trans. Tom Griffith. </w:t>
      </w:r>
      <w:r w:rsidR="00F57E64">
        <w:t>Cambridge, UK: Cambridge University Press, pp. 220–226.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DB8"/>
    <w:rsid w:val="000611A8"/>
    <w:rsid w:val="001144BD"/>
    <w:rsid w:val="00127E8E"/>
    <w:rsid w:val="0013265C"/>
    <w:rsid w:val="00156E27"/>
    <w:rsid w:val="001E63EB"/>
    <w:rsid w:val="0020682A"/>
    <w:rsid w:val="00246EF6"/>
    <w:rsid w:val="002A395F"/>
    <w:rsid w:val="002D6ED5"/>
    <w:rsid w:val="00312DB5"/>
    <w:rsid w:val="00322283"/>
    <w:rsid w:val="0032621D"/>
    <w:rsid w:val="003643AB"/>
    <w:rsid w:val="00411E61"/>
    <w:rsid w:val="0047021F"/>
    <w:rsid w:val="00485F98"/>
    <w:rsid w:val="00513D6D"/>
    <w:rsid w:val="00532136"/>
    <w:rsid w:val="00556E9D"/>
    <w:rsid w:val="005638B3"/>
    <w:rsid w:val="00575388"/>
    <w:rsid w:val="00601CFA"/>
    <w:rsid w:val="006058B7"/>
    <w:rsid w:val="00663AC3"/>
    <w:rsid w:val="006977B4"/>
    <w:rsid w:val="007118D5"/>
    <w:rsid w:val="007608B2"/>
    <w:rsid w:val="00781078"/>
    <w:rsid w:val="007E6ED7"/>
    <w:rsid w:val="00804022"/>
    <w:rsid w:val="0089416B"/>
    <w:rsid w:val="00896E05"/>
    <w:rsid w:val="008A689A"/>
    <w:rsid w:val="00926CC8"/>
    <w:rsid w:val="00954C51"/>
    <w:rsid w:val="009A0C8D"/>
    <w:rsid w:val="009E2544"/>
    <w:rsid w:val="00A65D67"/>
    <w:rsid w:val="00AA63EB"/>
    <w:rsid w:val="00AB1DE5"/>
    <w:rsid w:val="00AB716F"/>
    <w:rsid w:val="00AC1E93"/>
    <w:rsid w:val="00B460BE"/>
    <w:rsid w:val="00B776EC"/>
    <w:rsid w:val="00BA46C7"/>
    <w:rsid w:val="00BA5A1B"/>
    <w:rsid w:val="00BD2E89"/>
    <w:rsid w:val="00C53E88"/>
    <w:rsid w:val="00C754D8"/>
    <w:rsid w:val="00C96851"/>
    <w:rsid w:val="00CA5CDD"/>
    <w:rsid w:val="00CB15F1"/>
    <w:rsid w:val="00CC59CB"/>
    <w:rsid w:val="00CF6E5A"/>
    <w:rsid w:val="00D44312"/>
    <w:rsid w:val="00D938D7"/>
    <w:rsid w:val="00EA2B51"/>
    <w:rsid w:val="00ED48EC"/>
    <w:rsid w:val="00F41D68"/>
    <w:rsid w:val="00F57E64"/>
    <w:rsid w:val="00F960FF"/>
    <w:rsid w:val="00FF5DB8"/>
    <w:rsid w:val="00FF7D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D627"/>
  <w15:docId w15:val="{AA99D7DA-CAB2-47C5-AE71-FC5D169D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53E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A78A-3AD5-4511-92F1-BBAA7F3B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945</Words>
  <Characters>2713</Characters>
  <Application>Microsoft Office Word</Application>
  <DocSecurity>0</DocSecurity>
  <Lines>2713</Lines>
  <Paragraphs>457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Liron</cp:lastModifiedBy>
  <cp:revision>5</cp:revision>
  <dcterms:created xsi:type="dcterms:W3CDTF">2019-09-06T09:54:00Z</dcterms:created>
  <dcterms:modified xsi:type="dcterms:W3CDTF">2019-09-09T10:39:00Z</dcterms:modified>
</cp:coreProperties>
</file>