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6C95" w14:textId="77777777" w:rsidR="00BF5FD7" w:rsidRDefault="00BF5FD7" w:rsidP="00081C14">
      <w:pPr>
        <w:spacing w:line="360" w:lineRule="auto"/>
        <w:jc w:val="both"/>
        <w:rPr>
          <w:sz w:val="24"/>
          <w:rtl/>
        </w:rPr>
      </w:pPr>
      <w:r>
        <w:rPr>
          <w:rFonts w:hint="cs"/>
          <w:sz w:val="24"/>
          <w:rtl/>
        </w:rPr>
        <w:t>הסיפור האמיתי על פטנטים לקנאביס</w:t>
      </w:r>
    </w:p>
    <w:p w14:paraId="3F3D8B89" w14:textId="7408E7EF" w:rsidR="00767A16" w:rsidRPr="00C47530" w:rsidRDefault="0050149C" w:rsidP="00081C14">
      <w:pPr>
        <w:spacing w:line="360" w:lineRule="auto"/>
        <w:jc w:val="both"/>
        <w:rPr>
          <w:sz w:val="24"/>
          <w:u w:val="single"/>
          <w:rtl/>
        </w:rPr>
      </w:pPr>
      <w:r>
        <w:rPr>
          <w:rFonts w:hint="cs"/>
          <w:sz w:val="24"/>
          <w:rtl/>
        </w:rPr>
        <w:t xml:space="preserve">מאת: </w:t>
      </w:r>
      <w:hyperlink r:id="rId7" w:history="1">
        <w:r w:rsidR="009A2DD4" w:rsidRPr="0006061B">
          <w:rPr>
            <w:rStyle w:val="Hyperlink"/>
            <w:rFonts w:hint="cs"/>
            <w:sz w:val="24"/>
            <w:rtl/>
          </w:rPr>
          <w:t>אברהם חרמון</w:t>
        </w:r>
      </w:hyperlink>
    </w:p>
    <w:p w14:paraId="371EE6E7" w14:textId="77777777" w:rsidR="009A2DD4" w:rsidRDefault="009A2DD4" w:rsidP="00081C14">
      <w:pPr>
        <w:spacing w:line="360" w:lineRule="auto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כילד הוזהרתי תכופות לא להאמין לכל דבר שאני רואה בטלוויזיה. </w:t>
      </w:r>
      <w:r w:rsidR="006F1917">
        <w:rPr>
          <w:rFonts w:hint="cs"/>
          <w:sz w:val="24"/>
          <w:rtl/>
        </w:rPr>
        <w:t xml:space="preserve">מאז </w:t>
      </w:r>
      <w:r w:rsidR="002F1FBF">
        <w:rPr>
          <w:rFonts w:hint="cs"/>
          <w:sz w:val="24"/>
          <w:rtl/>
        </w:rPr>
        <w:t>ילדותי</w:t>
      </w:r>
      <w:r w:rsidR="00987B53">
        <w:rPr>
          <w:rFonts w:hint="cs"/>
          <w:sz w:val="24"/>
          <w:rtl/>
        </w:rPr>
        <w:t xml:space="preserve"> </w:t>
      </w:r>
      <w:r w:rsidR="006F1917">
        <w:rPr>
          <w:rFonts w:hint="cs"/>
          <w:sz w:val="24"/>
          <w:rtl/>
        </w:rPr>
        <w:t xml:space="preserve">ירד </w:t>
      </w:r>
      <w:r>
        <w:rPr>
          <w:rFonts w:hint="cs"/>
          <w:sz w:val="24"/>
          <w:rtl/>
        </w:rPr>
        <w:t xml:space="preserve">זמן </w:t>
      </w:r>
      <w:r w:rsidR="006F1917">
        <w:rPr>
          <w:rFonts w:hint="cs"/>
          <w:sz w:val="24"/>
          <w:rtl/>
        </w:rPr>
        <w:t>הצפייה שלי ב</w:t>
      </w:r>
      <w:r>
        <w:rPr>
          <w:rFonts w:hint="cs"/>
          <w:sz w:val="24"/>
          <w:rtl/>
        </w:rPr>
        <w:t xml:space="preserve">טלוויזיה </w:t>
      </w:r>
      <w:r w:rsidR="006F1917">
        <w:rPr>
          <w:rFonts w:hint="cs"/>
          <w:sz w:val="24"/>
          <w:rtl/>
        </w:rPr>
        <w:t>באו</w:t>
      </w:r>
      <w:r>
        <w:rPr>
          <w:rFonts w:hint="cs"/>
          <w:sz w:val="24"/>
          <w:rtl/>
        </w:rPr>
        <w:t>פן משמעותי</w:t>
      </w:r>
      <w:r w:rsidR="0047169B">
        <w:rPr>
          <w:rFonts w:hint="cs"/>
          <w:sz w:val="24"/>
          <w:rtl/>
        </w:rPr>
        <w:t>,</w:t>
      </w:r>
      <w:r>
        <w:rPr>
          <w:rFonts w:hint="cs"/>
          <w:sz w:val="24"/>
          <w:rtl/>
        </w:rPr>
        <w:t xml:space="preserve"> א</w:t>
      </w:r>
      <w:r w:rsidR="006F1917">
        <w:rPr>
          <w:rFonts w:hint="cs"/>
          <w:sz w:val="24"/>
          <w:rtl/>
        </w:rPr>
        <w:t>ך</w:t>
      </w:r>
      <w:r>
        <w:rPr>
          <w:rFonts w:hint="cs"/>
          <w:sz w:val="24"/>
          <w:rtl/>
        </w:rPr>
        <w:t xml:space="preserve"> אני עדיין </w:t>
      </w:r>
      <w:r w:rsidR="0047169B">
        <w:rPr>
          <w:rFonts w:hint="cs"/>
          <w:sz w:val="24"/>
          <w:rtl/>
        </w:rPr>
        <w:t xml:space="preserve">מקפיד </w:t>
      </w:r>
      <w:r>
        <w:rPr>
          <w:rFonts w:hint="cs"/>
          <w:sz w:val="24"/>
          <w:rtl/>
        </w:rPr>
        <w:t xml:space="preserve">על </w:t>
      </w:r>
      <w:r w:rsidR="00987B53">
        <w:rPr>
          <w:rFonts w:hint="cs"/>
          <w:sz w:val="24"/>
          <w:rtl/>
        </w:rPr>
        <w:t>מידה</w:t>
      </w:r>
      <w:r w:rsidR="006F1917">
        <w:rPr>
          <w:rFonts w:hint="cs"/>
          <w:sz w:val="24"/>
          <w:rtl/>
        </w:rPr>
        <w:t xml:space="preserve"> של </w:t>
      </w:r>
      <w:r>
        <w:rPr>
          <w:rFonts w:hint="cs"/>
          <w:sz w:val="24"/>
          <w:rtl/>
        </w:rPr>
        <w:t xml:space="preserve">ספקנות </w:t>
      </w:r>
      <w:r w:rsidR="006F1917">
        <w:rPr>
          <w:rFonts w:hint="cs"/>
          <w:sz w:val="24"/>
          <w:rtl/>
        </w:rPr>
        <w:t xml:space="preserve">בריאה </w:t>
      </w:r>
      <w:r>
        <w:rPr>
          <w:rFonts w:hint="cs"/>
          <w:sz w:val="24"/>
          <w:rtl/>
        </w:rPr>
        <w:t>כשאני קורא או מאזין לאמצעי התקשורת.</w:t>
      </w:r>
    </w:p>
    <w:p w14:paraId="378D077B" w14:textId="77777777" w:rsidR="009A2DD4" w:rsidRDefault="00C47530" w:rsidP="0050149C">
      <w:pPr>
        <w:spacing w:line="360" w:lineRule="auto"/>
        <w:jc w:val="both"/>
        <w:rPr>
          <w:sz w:val="24"/>
          <w:rtl/>
        </w:rPr>
      </w:pPr>
      <w:r>
        <w:rPr>
          <w:rFonts w:hint="cs"/>
          <w:sz w:val="24"/>
          <w:rtl/>
        </w:rPr>
        <w:t>אחדים</w:t>
      </w:r>
      <w:r w:rsidR="009A2DD4">
        <w:rPr>
          <w:rFonts w:hint="cs"/>
          <w:sz w:val="24"/>
          <w:rtl/>
        </w:rPr>
        <w:t xml:space="preserve"> מלקוחות</w:t>
      </w:r>
      <w:r w:rsidR="002F1FBF">
        <w:rPr>
          <w:rFonts w:hint="cs"/>
          <w:sz w:val="24"/>
          <w:rtl/>
        </w:rPr>
        <w:t>יי</w:t>
      </w:r>
      <w:r w:rsidR="009A2DD4">
        <w:rPr>
          <w:rFonts w:hint="cs"/>
          <w:sz w:val="24"/>
          <w:rtl/>
        </w:rPr>
        <w:t xml:space="preserve"> ו</w:t>
      </w:r>
      <w:r w:rsidR="002F1FBF">
        <w:rPr>
          <w:rFonts w:hint="cs"/>
          <w:sz w:val="24"/>
          <w:rtl/>
        </w:rPr>
        <w:t>מ</w:t>
      </w:r>
      <w:r w:rsidR="009A2DD4">
        <w:rPr>
          <w:rFonts w:hint="cs"/>
          <w:sz w:val="24"/>
          <w:rtl/>
        </w:rPr>
        <w:t xml:space="preserve">אנשי הקשר שלי בתחום הקנאביס הרפואי פנו אלי </w:t>
      </w:r>
      <w:r w:rsidR="006F1917">
        <w:rPr>
          <w:rFonts w:hint="cs"/>
          <w:sz w:val="24"/>
          <w:rtl/>
        </w:rPr>
        <w:t>לגבי</w:t>
      </w:r>
      <w:r w:rsidR="009A2DD4">
        <w:rPr>
          <w:rFonts w:hint="cs"/>
          <w:sz w:val="24"/>
          <w:rtl/>
        </w:rPr>
        <w:t xml:space="preserve"> מאמר ש</w:t>
      </w:r>
      <w:r w:rsidR="006F1917">
        <w:rPr>
          <w:rFonts w:hint="cs"/>
          <w:sz w:val="24"/>
          <w:rtl/>
        </w:rPr>
        <w:t>ה</w:t>
      </w:r>
      <w:r>
        <w:rPr>
          <w:rFonts w:hint="cs"/>
          <w:sz w:val="24"/>
          <w:rtl/>
        </w:rPr>
        <w:t>ופיע</w:t>
      </w:r>
      <w:r w:rsidR="006F1917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לאחרונה </w:t>
      </w:r>
      <w:r w:rsidR="006F1917">
        <w:rPr>
          <w:rFonts w:hint="cs"/>
          <w:sz w:val="24"/>
          <w:rtl/>
        </w:rPr>
        <w:t>ב</w:t>
      </w:r>
      <w:r w:rsidR="00D353B3">
        <w:rPr>
          <w:rFonts w:hint="cs"/>
          <w:sz w:val="24"/>
          <w:rtl/>
        </w:rPr>
        <w:t xml:space="preserve">אינטרנט </w:t>
      </w:r>
      <w:r w:rsidR="006F1917">
        <w:rPr>
          <w:rFonts w:hint="cs"/>
          <w:sz w:val="24"/>
          <w:rtl/>
        </w:rPr>
        <w:t>בצורות</w:t>
      </w:r>
      <w:r w:rsidR="009A2DD4">
        <w:rPr>
          <w:rFonts w:hint="cs"/>
          <w:sz w:val="24"/>
          <w:rtl/>
        </w:rPr>
        <w:t xml:space="preserve"> שונות. אחת הכותרות של המאמר היא כדלקמן: "</w:t>
      </w:r>
      <w:r w:rsidR="009A2DD4">
        <w:rPr>
          <w:rFonts w:hint="cs"/>
          <w:sz w:val="24"/>
        </w:rPr>
        <w:t>GW</w:t>
      </w:r>
      <w:r w:rsidR="009A2DD4">
        <w:rPr>
          <w:rFonts w:hint="cs"/>
          <w:sz w:val="24"/>
          <w:rtl/>
        </w:rPr>
        <w:t xml:space="preserve"> ס</w:t>
      </w:r>
      <w:r>
        <w:rPr>
          <w:rFonts w:hint="cs"/>
          <w:sz w:val="24"/>
          <w:rtl/>
        </w:rPr>
        <w:t>ופגת</w:t>
      </w:r>
      <w:r w:rsidR="009A2DD4">
        <w:rPr>
          <w:rFonts w:hint="cs"/>
          <w:sz w:val="24"/>
          <w:rtl/>
        </w:rPr>
        <w:t xml:space="preserve"> מכה קשה כש</w:t>
      </w:r>
      <w:r w:rsidR="003D5085">
        <w:rPr>
          <w:rFonts w:hint="cs"/>
          <w:sz w:val="24"/>
          <w:rtl/>
        </w:rPr>
        <w:t>נדח</w:t>
      </w:r>
      <w:r>
        <w:rPr>
          <w:rFonts w:hint="cs"/>
          <w:sz w:val="24"/>
          <w:rtl/>
        </w:rPr>
        <w:t>ית בארה"ב</w:t>
      </w:r>
      <w:r w:rsidR="003D5085">
        <w:rPr>
          <w:rFonts w:hint="cs"/>
          <w:sz w:val="24"/>
          <w:rtl/>
        </w:rPr>
        <w:t xml:space="preserve"> בקשתה לפטנט</w:t>
      </w:r>
      <w:r w:rsidR="00523521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ע</w:t>
      </w:r>
      <w:r w:rsidR="00523521">
        <w:rPr>
          <w:rFonts w:hint="cs"/>
          <w:sz w:val="24"/>
          <w:rtl/>
        </w:rPr>
        <w:t>ל</w:t>
      </w:r>
      <w:r>
        <w:rPr>
          <w:rFonts w:hint="cs"/>
          <w:sz w:val="24"/>
          <w:rtl/>
        </w:rPr>
        <w:t xml:space="preserve"> </w:t>
      </w:r>
      <w:r w:rsidR="00523521">
        <w:rPr>
          <w:rFonts w:hint="cs"/>
          <w:sz w:val="24"/>
          <w:rtl/>
        </w:rPr>
        <w:t>קנבינו</w:t>
      </w:r>
      <w:r w:rsidR="003D5085">
        <w:rPr>
          <w:rFonts w:hint="cs"/>
          <w:sz w:val="24"/>
          <w:rtl/>
        </w:rPr>
        <w:t>אידים</w:t>
      </w:r>
      <w:r w:rsidR="00523521">
        <w:rPr>
          <w:rFonts w:hint="cs"/>
          <w:sz w:val="24"/>
          <w:rtl/>
        </w:rPr>
        <w:t xml:space="preserve"> לאפילפסיה</w:t>
      </w:r>
      <w:r>
        <w:rPr>
          <w:rStyle w:val="FootnoteReference"/>
          <w:sz w:val="24"/>
          <w:rtl/>
        </w:rPr>
        <w:footnoteReference w:id="1"/>
      </w:r>
      <w:r w:rsidR="00A63FD0">
        <w:rPr>
          <w:rFonts w:hint="cs"/>
          <w:sz w:val="24"/>
          <w:rtl/>
        </w:rPr>
        <w:t>.</w:t>
      </w:r>
      <w:r w:rsidR="002F1FBF">
        <w:rPr>
          <w:rFonts w:hint="cs"/>
          <w:sz w:val="24"/>
          <w:rtl/>
        </w:rPr>
        <w:t>"</w:t>
      </w:r>
      <w:r w:rsidR="00523521">
        <w:rPr>
          <w:rFonts w:hint="cs"/>
          <w:sz w:val="24"/>
          <w:rtl/>
        </w:rPr>
        <w:t xml:space="preserve"> כותרת אחרת: "נמנע מחברת </w:t>
      </w:r>
      <w:r w:rsidR="00523521">
        <w:rPr>
          <w:sz w:val="24"/>
        </w:rPr>
        <w:t>GW Pharma</w:t>
      </w:r>
      <w:r w:rsidR="009A2DD4">
        <w:rPr>
          <w:rFonts w:hint="cs"/>
          <w:sz w:val="24"/>
          <w:rtl/>
        </w:rPr>
        <w:t xml:space="preserve"> </w:t>
      </w:r>
      <w:r w:rsidR="006F2A46">
        <w:rPr>
          <w:rFonts w:hint="cs"/>
          <w:sz w:val="24"/>
          <w:rtl/>
        </w:rPr>
        <w:t>פטנט</w:t>
      </w:r>
      <w:r w:rsidR="00EF5258">
        <w:rPr>
          <w:rFonts w:hint="cs"/>
          <w:sz w:val="24"/>
          <w:rtl/>
        </w:rPr>
        <w:t xml:space="preserve"> כולל</w:t>
      </w:r>
      <w:r>
        <w:rPr>
          <w:rFonts w:hint="cs"/>
          <w:sz w:val="24"/>
          <w:rtl/>
        </w:rPr>
        <w:t xml:space="preserve"> </w:t>
      </w:r>
      <w:r w:rsidR="00EF5258">
        <w:rPr>
          <w:rFonts w:hint="cs"/>
          <w:sz w:val="24"/>
          <w:rtl/>
        </w:rPr>
        <w:t>ל</w:t>
      </w:r>
      <w:r w:rsidR="006F2A46">
        <w:rPr>
          <w:rFonts w:hint="cs"/>
          <w:sz w:val="24"/>
          <w:rtl/>
        </w:rPr>
        <w:t>טיפול באפ</w:t>
      </w:r>
      <w:r w:rsidR="003D5085">
        <w:rPr>
          <w:rFonts w:hint="cs"/>
          <w:sz w:val="24"/>
          <w:rtl/>
        </w:rPr>
        <w:t>י</w:t>
      </w:r>
      <w:r w:rsidR="006F2A46">
        <w:rPr>
          <w:rFonts w:hint="cs"/>
          <w:sz w:val="24"/>
          <w:rtl/>
        </w:rPr>
        <w:t>לפסיה בקנבינואידים</w:t>
      </w:r>
      <w:r>
        <w:rPr>
          <w:rStyle w:val="FootnoteReference"/>
          <w:sz w:val="24"/>
          <w:rtl/>
        </w:rPr>
        <w:footnoteReference w:id="2"/>
      </w:r>
      <w:r w:rsidR="00A63FD0">
        <w:rPr>
          <w:rFonts w:hint="cs"/>
          <w:sz w:val="24"/>
          <w:rtl/>
        </w:rPr>
        <w:t>.</w:t>
      </w:r>
      <w:r w:rsidR="002F1FBF">
        <w:rPr>
          <w:rFonts w:hint="cs"/>
          <w:sz w:val="24"/>
          <w:rtl/>
        </w:rPr>
        <w:t>"</w:t>
      </w:r>
      <w:r w:rsidR="006F2A46">
        <w:rPr>
          <w:rFonts w:hint="cs"/>
          <w:sz w:val="24"/>
          <w:rtl/>
        </w:rPr>
        <w:t xml:space="preserve"> בגוף המאמר השני אף נ</w:t>
      </w:r>
      <w:r w:rsidR="007907E5">
        <w:rPr>
          <w:rFonts w:hint="cs"/>
          <w:sz w:val="24"/>
          <w:rtl/>
        </w:rPr>
        <w:t>כתב:</w:t>
      </w:r>
      <w:r w:rsidR="006F2A46">
        <w:rPr>
          <w:rFonts w:hint="cs"/>
          <w:sz w:val="24"/>
          <w:rtl/>
        </w:rPr>
        <w:t xml:space="preserve"> "פטנט אמריקאי </w:t>
      </w:r>
      <w:r w:rsidR="006F2A46">
        <w:rPr>
          <w:sz w:val="24"/>
        </w:rPr>
        <w:t>9,066,920 B2</w:t>
      </w:r>
      <w:r w:rsidR="006F2A46">
        <w:rPr>
          <w:rFonts w:hint="cs"/>
          <w:sz w:val="24"/>
          <w:rtl/>
        </w:rPr>
        <w:t xml:space="preserve"> היה ב</w:t>
      </w:r>
      <w:r w:rsidR="002F1FBF">
        <w:rPr>
          <w:rFonts w:hint="cs"/>
          <w:sz w:val="24"/>
          <w:rtl/>
        </w:rPr>
        <w:t>הליכים</w:t>
      </w:r>
      <w:r w:rsidR="006F2A46">
        <w:rPr>
          <w:rFonts w:hint="cs"/>
          <w:sz w:val="24"/>
          <w:rtl/>
        </w:rPr>
        <w:t xml:space="preserve"> מאז 2010, א</w:t>
      </w:r>
      <w:r w:rsidR="00BC2DF2">
        <w:rPr>
          <w:rFonts w:hint="cs"/>
          <w:sz w:val="24"/>
          <w:rtl/>
        </w:rPr>
        <w:t>ולם</w:t>
      </w:r>
      <w:r w:rsidR="006F2A46">
        <w:rPr>
          <w:rFonts w:hint="cs"/>
          <w:sz w:val="24"/>
          <w:rtl/>
        </w:rPr>
        <w:t xml:space="preserve"> ב-3 בינואר </w:t>
      </w:r>
      <w:r w:rsidR="0050149C">
        <w:rPr>
          <w:rFonts w:hint="cs"/>
          <w:sz w:val="24"/>
          <w:rtl/>
        </w:rPr>
        <w:t>ה</w:t>
      </w:r>
      <w:r w:rsidR="006F2A46">
        <w:rPr>
          <w:rFonts w:hint="cs"/>
          <w:sz w:val="24"/>
          <w:rtl/>
        </w:rPr>
        <w:t xml:space="preserve">שנה נדחתה </w:t>
      </w:r>
      <w:r w:rsidR="0047169B">
        <w:rPr>
          <w:rFonts w:hint="cs"/>
          <w:sz w:val="24"/>
          <w:rtl/>
        </w:rPr>
        <w:t xml:space="preserve">הבקשה </w:t>
      </w:r>
      <w:r w:rsidR="006F2A46">
        <w:rPr>
          <w:rFonts w:hint="cs"/>
          <w:sz w:val="24"/>
          <w:rtl/>
        </w:rPr>
        <w:t>באופן רשמי</w:t>
      </w:r>
      <w:r w:rsidR="0047169B">
        <w:rPr>
          <w:rFonts w:hint="cs"/>
          <w:sz w:val="24"/>
          <w:rtl/>
        </w:rPr>
        <w:t xml:space="preserve"> ו</w:t>
      </w:r>
      <w:r w:rsidR="006F2A46">
        <w:rPr>
          <w:rFonts w:hint="cs"/>
          <w:sz w:val="24"/>
          <w:rtl/>
        </w:rPr>
        <w:t xml:space="preserve">מוחלט." הכותרת גרמה לאנשים לחשוש מההשפעה של </w:t>
      </w:r>
      <w:r w:rsidR="007907E5">
        <w:rPr>
          <w:rFonts w:hint="cs"/>
          <w:sz w:val="24"/>
          <w:rtl/>
        </w:rPr>
        <w:t>החלטה</w:t>
      </w:r>
      <w:r w:rsidR="006F2A46">
        <w:rPr>
          <w:rFonts w:hint="cs"/>
          <w:sz w:val="24"/>
          <w:rtl/>
        </w:rPr>
        <w:t xml:space="preserve"> זו </w:t>
      </w:r>
      <w:r w:rsidR="00BF5FD7">
        <w:rPr>
          <w:rFonts w:hint="cs"/>
          <w:sz w:val="24"/>
          <w:rtl/>
        </w:rPr>
        <w:t xml:space="preserve">על </w:t>
      </w:r>
      <w:r w:rsidR="00A63FD0">
        <w:rPr>
          <w:rFonts w:hint="cs"/>
          <w:sz w:val="24"/>
          <w:rtl/>
        </w:rPr>
        <w:t>סוגי</w:t>
      </w:r>
      <w:r w:rsidR="006F2A46">
        <w:rPr>
          <w:rFonts w:hint="cs"/>
          <w:sz w:val="24"/>
          <w:rtl/>
        </w:rPr>
        <w:t xml:space="preserve"> קניין </w:t>
      </w:r>
      <w:r w:rsidR="00A63FD0">
        <w:rPr>
          <w:rFonts w:hint="cs"/>
          <w:sz w:val="24"/>
          <w:rtl/>
        </w:rPr>
        <w:t xml:space="preserve">רוחני </w:t>
      </w:r>
      <w:r w:rsidR="006F2A46">
        <w:rPr>
          <w:rFonts w:hint="cs"/>
          <w:sz w:val="24"/>
          <w:rtl/>
        </w:rPr>
        <w:t>אחר</w:t>
      </w:r>
      <w:r w:rsidR="00A63FD0">
        <w:rPr>
          <w:rFonts w:hint="cs"/>
          <w:sz w:val="24"/>
          <w:rtl/>
        </w:rPr>
        <w:t>ים</w:t>
      </w:r>
      <w:r w:rsidR="006F2A46">
        <w:rPr>
          <w:rFonts w:hint="cs"/>
          <w:sz w:val="24"/>
          <w:rtl/>
        </w:rPr>
        <w:t xml:space="preserve"> הקשור</w:t>
      </w:r>
      <w:r w:rsidR="0050149C">
        <w:rPr>
          <w:rFonts w:hint="cs"/>
          <w:sz w:val="24"/>
          <w:rtl/>
        </w:rPr>
        <w:t>ים</w:t>
      </w:r>
      <w:r w:rsidR="006F2A46">
        <w:rPr>
          <w:rFonts w:hint="cs"/>
          <w:sz w:val="24"/>
          <w:rtl/>
        </w:rPr>
        <w:t xml:space="preserve"> לקנאביס רפואי.</w:t>
      </w:r>
    </w:p>
    <w:p w14:paraId="3864D22D" w14:textId="77777777" w:rsidR="006F2A46" w:rsidRDefault="006F2A46" w:rsidP="00081C14">
      <w:pPr>
        <w:spacing w:line="360" w:lineRule="auto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האם זה </w:t>
      </w:r>
      <w:r w:rsidR="00BC2DF2">
        <w:rPr>
          <w:rFonts w:hint="cs"/>
          <w:sz w:val="24"/>
          <w:rtl/>
        </w:rPr>
        <w:t xml:space="preserve">מה שקרה </w:t>
      </w:r>
      <w:r>
        <w:rPr>
          <w:rFonts w:hint="cs"/>
          <w:sz w:val="24"/>
          <w:rtl/>
        </w:rPr>
        <w:t>באמת</w:t>
      </w:r>
      <w:r w:rsidR="00BC2DF2">
        <w:rPr>
          <w:rFonts w:hint="cs"/>
          <w:sz w:val="24"/>
          <w:rtl/>
        </w:rPr>
        <w:t>? כשחוקרי</w:t>
      </w:r>
      <w:r>
        <w:rPr>
          <w:rFonts w:hint="cs"/>
          <w:sz w:val="24"/>
          <w:rtl/>
        </w:rPr>
        <w:t>ם את העניין קצת יותר</w:t>
      </w:r>
      <w:r w:rsidR="0047169B">
        <w:rPr>
          <w:rFonts w:hint="cs"/>
          <w:sz w:val="24"/>
          <w:rtl/>
        </w:rPr>
        <w:t>,</w:t>
      </w:r>
      <w:r>
        <w:rPr>
          <w:rFonts w:hint="cs"/>
          <w:sz w:val="24"/>
          <w:rtl/>
        </w:rPr>
        <w:t xml:space="preserve"> </w:t>
      </w:r>
      <w:r w:rsidR="003D5085">
        <w:rPr>
          <w:rFonts w:hint="cs"/>
          <w:sz w:val="24"/>
          <w:rtl/>
        </w:rPr>
        <w:t>רואים</w:t>
      </w:r>
      <w:r>
        <w:rPr>
          <w:rFonts w:hint="cs"/>
          <w:sz w:val="24"/>
          <w:rtl/>
        </w:rPr>
        <w:t xml:space="preserve"> שהכותרת ל</w:t>
      </w:r>
      <w:r w:rsidR="003D5085">
        <w:rPr>
          <w:rFonts w:hint="cs"/>
          <w:sz w:val="24"/>
          <w:rtl/>
        </w:rPr>
        <w:t>וקה באי דיוקים</w:t>
      </w:r>
      <w:r>
        <w:rPr>
          <w:rFonts w:hint="cs"/>
          <w:sz w:val="24"/>
          <w:rtl/>
        </w:rPr>
        <w:t>.</w:t>
      </w:r>
    </w:p>
    <w:p w14:paraId="0EDFCFAF" w14:textId="69220000" w:rsidR="00D333BC" w:rsidRDefault="0006061B" w:rsidP="00A63FD0">
      <w:pPr>
        <w:spacing w:line="360" w:lineRule="auto"/>
        <w:jc w:val="both"/>
        <w:rPr>
          <w:sz w:val="24"/>
          <w:rtl/>
        </w:rPr>
      </w:pPr>
      <w:hyperlink r:id="rId8" w:history="1">
        <w:r w:rsidR="00D73878" w:rsidRPr="0006061B">
          <w:rPr>
            <w:rStyle w:val="Hyperlink"/>
            <w:sz w:val="24"/>
          </w:rPr>
          <w:t>GW Pharmaceuticals</w:t>
        </w:r>
      </w:hyperlink>
      <w:r w:rsidR="00D73878">
        <w:rPr>
          <w:rFonts w:hint="cs"/>
          <w:sz w:val="24"/>
          <w:rtl/>
        </w:rPr>
        <w:t xml:space="preserve">, </w:t>
      </w:r>
      <w:r w:rsidR="00A63FD0">
        <w:rPr>
          <w:rFonts w:hint="cs"/>
          <w:sz w:val="24"/>
          <w:rtl/>
        </w:rPr>
        <w:t xml:space="preserve">אחת </w:t>
      </w:r>
      <w:r w:rsidR="00D73878">
        <w:rPr>
          <w:rFonts w:hint="cs"/>
          <w:sz w:val="24"/>
          <w:rtl/>
        </w:rPr>
        <w:t>החברות המובילות בפיתוח תרופות המבוססות על קנאביס רפואי</w:t>
      </w:r>
      <w:r w:rsidR="0047169B">
        <w:rPr>
          <w:rFonts w:hint="cs"/>
          <w:sz w:val="24"/>
          <w:rtl/>
        </w:rPr>
        <w:t>,</w:t>
      </w:r>
      <w:r w:rsidR="00D73878">
        <w:rPr>
          <w:rFonts w:hint="cs"/>
          <w:sz w:val="24"/>
          <w:rtl/>
        </w:rPr>
        <w:t xml:space="preserve"> היא היצרנית של סטיבקס</w:t>
      </w:r>
      <w:r w:rsidR="00BC2DF2">
        <w:rPr>
          <w:sz w:val="24"/>
        </w:rPr>
        <w:t xml:space="preserve"> ®</w:t>
      </w:r>
      <w:r w:rsidR="00BC2DF2">
        <w:rPr>
          <w:rFonts w:hint="cs"/>
          <w:sz w:val="24"/>
          <w:rtl/>
        </w:rPr>
        <w:t>ו</w:t>
      </w:r>
      <w:r w:rsidR="00D353B3">
        <w:rPr>
          <w:rFonts w:hint="cs"/>
          <w:sz w:val="24"/>
          <w:rtl/>
        </w:rPr>
        <w:t>א</w:t>
      </w:r>
      <w:r w:rsidR="00D73878">
        <w:rPr>
          <w:rFonts w:hint="cs"/>
          <w:sz w:val="24"/>
          <w:rtl/>
        </w:rPr>
        <w:t>פידיולקס</w:t>
      </w:r>
      <w:r w:rsidR="00BC2DF2">
        <w:rPr>
          <w:sz w:val="24"/>
        </w:rPr>
        <w:t>®</w:t>
      </w:r>
      <w:r w:rsidR="00D73878">
        <w:rPr>
          <w:rFonts w:hint="cs"/>
          <w:sz w:val="24"/>
          <w:rtl/>
        </w:rPr>
        <w:t>, שתי</w:t>
      </w:r>
      <w:r w:rsidR="00D353B3">
        <w:rPr>
          <w:rFonts w:hint="cs"/>
          <w:sz w:val="24"/>
          <w:rtl/>
        </w:rPr>
        <w:t>ים</w:t>
      </w:r>
      <w:r w:rsidR="00D73878">
        <w:rPr>
          <w:rFonts w:hint="cs"/>
          <w:sz w:val="24"/>
          <w:rtl/>
        </w:rPr>
        <w:t xml:space="preserve"> </w:t>
      </w:r>
      <w:r w:rsidR="00D353B3">
        <w:rPr>
          <w:rFonts w:hint="cs"/>
          <w:sz w:val="24"/>
          <w:rtl/>
        </w:rPr>
        <w:t>מה</w:t>
      </w:r>
      <w:r w:rsidR="00D73878">
        <w:rPr>
          <w:rFonts w:hint="cs"/>
          <w:sz w:val="24"/>
          <w:rtl/>
        </w:rPr>
        <w:t xml:space="preserve">תרופות </w:t>
      </w:r>
      <w:r w:rsidR="00D353B3">
        <w:rPr>
          <w:rFonts w:hint="cs"/>
          <w:sz w:val="24"/>
          <w:rtl/>
        </w:rPr>
        <w:t>ה</w:t>
      </w:r>
      <w:r w:rsidR="00D73878">
        <w:rPr>
          <w:rFonts w:hint="cs"/>
          <w:sz w:val="24"/>
          <w:rtl/>
        </w:rPr>
        <w:t xml:space="preserve">מאושרות </w:t>
      </w:r>
      <w:r w:rsidR="00D353B3">
        <w:rPr>
          <w:rFonts w:hint="cs"/>
          <w:sz w:val="24"/>
          <w:rtl/>
        </w:rPr>
        <w:t>ש</w:t>
      </w:r>
      <w:r w:rsidR="00D73878">
        <w:rPr>
          <w:rFonts w:hint="cs"/>
          <w:sz w:val="24"/>
          <w:rtl/>
        </w:rPr>
        <w:t>מבוססות על קנאביס. אפידיולקס</w:t>
      </w:r>
      <w:r w:rsidR="00BC2DF2">
        <w:rPr>
          <w:sz w:val="24"/>
        </w:rPr>
        <w:t>®</w:t>
      </w:r>
      <w:r w:rsidR="00D73878">
        <w:rPr>
          <w:rFonts w:hint="cs"/>
          <w:sz w:val="24"/>
          <w:rtl/>
        </w:rPr>
        <w:t xml:space="preserve"> אושרה בארה"ב</w:t>
      </w:r>
      <w:r w:rsidR="00BC2DF2">
        <w:rPr>
          <w:rStyle w:val="FootnoteReference"/>
          <w:sz w:val="24"/>
          <w:rtl/>
        </w:rPr>
        <w:footnoteReference w:id="3"/>
      </w:r>
      <w:r w:rsidR="00D73878">
        <w:rPr>
          <w:rFonts w:hint="cs"/>
          <w:sz w:val="24"/>
          <w:rtl/>
        </w:rPr>
        <w:t xml:space="preserve"> לטיפול </w:t>
      </w:r>
      <w:r w:rsidR="00A63FD0">
        <w:rPr>
          <w:rFonts w:hint="cs"/>
          <w:sz w:val="24"/>
          <w:rtl/>
        </w:rPr>
        <w:t xml:space="preserve">מותווה </w:t>
      </w:r>
      <w:r w:rsidR="00D73878">
        <w:rPr>
          <w:rFonts w:hint="cs"/>
          <w:sz w:val="24"/>
          <w:rtl/>
        </w:rPr>
        <w:t>בפרכוסים הקשורים לתסמונת לנוקס</w:t>
      </w:r>
      <w:r w:rsidR="00BC2DF2">
        <w:rPr>
          <w:rFonts w:hint="cs"/>
          <w:sz w:val="24"/>
          <w:rtl/>
        </w:rPr>
        <w:t>-</w:t>
      </w:r>
      <w:r w:rsidR="00D73878">
        <w:rPr>
          <w:rFonts w:hint="cs"/>
          <w:sz w:val="24"/>
          <w:rtl/>
        </w:rPr>
        <w:t xml:space="preserve">גסטו או לתסמונת דרווה. </w:t>
      </w:r>
      <w:r w:rsidR="00D73878">
        <w:rPr>
          <w:rFonts w:hint="cs"/>
          <w:sz w:val="24"/>
        </w:rPr>
        <w:t>GW</w:t>
      </w:r>
      <w:r w:rsidR="00D73878">
        <w:rPr>
          <w:rFonts w:hint="cs"/>
          <w:sz w:val="24"/>
          <w:rtl/>
        </w:rPr>
        <w:t xml:space="preserve"> </w:t>
      </w:r>
      <w:r w:rsidR="000D7741">
        <w:rPr>
          <w:rFonts w:hint="cs"/>
          <w:sz w:val="24"/>
          <w:rtl/>
        </w:rPr>
        <w:t>ה</w:t>
      </w:r>
      <w:r w:rsidR="002F1FBF">
        <w:rPr>
          <w:rFonts w:hint="cs"/>
          <w:sz w:val="24"/>
          <w:rtl/>
        </w:rPr>
        <w:t>יא</w:t>
      </w:r>
      <w:r w:rsidR="000D7741">
        <w:rPr>
          <w:rFonts w:hint="cs"/>
          <w:sz w:val="24"/>
          <w:rtl/>
        </w:rPr>
        <w:t xml:space="preserve"> בעלת פטנט אגרסיבית </w:t>
      </w:r>
      <w:r w:rsidR="00D333BC">
        <w:rPr>
          <w:rFonts w:hint="cs"/>
          <w:sz w:val="24"/>
          <w:rtl/>
        </w:rPr>
        <w:t>ה</w:t>
      </w:r>
      <w:r w:rsidR="003D5085">
        <w:rPr>
          <w:rFonts w:hint="cs"/>
          <w:sz w:val="24"/>
          <w:rtl/>
        </w:rPr>
        <w:t xml:space="preserve">עומדת </w:t>
      </w:r>
      <w:r w:rsidR="000D7741">
        <w:rPr>
          <w:rFonts w:hint="cs"/>
          <w:sz w:val="24"/>
          <w:rtl/>
        </w:rPr>
        <w:t xml:space="preserve">מאחורי </w:t>
      </w:r>
      <w:r w:rsidR="003D5085">
        <w:rPr>
          <w:rFonts w:hint="cs"/>
          <w:sz w:val="24"/>
          <w:rtl/>
        </w:rPr>
        <w:t xml:space="preserve">חלק </w:t>
      </w:r>
      <w:r w:rsidR="000D7741">
        <w:rPr>
          <w:rFonts w:hint="cs"/>
          <w:sz w:val="24"/>
          <w:rtl/>
        </w:rPr>
        <w:t>מה</w:t>
      </w:r>
      <w:r w:rsidR="0047169B">
        <w:rPr>
          <w:rFonts w:hint="cs"/>
          <w:sz w:val="24"/>
          <w:rtl/>
        </w:rPr>
        <w:t>גידול</w:t>
      </w:r>
      <w:r w:rsidR="000D7741">
        <w:rPr>
          <w:rFonts w:hint="cs"/>
          <w:sz w:val="24"/>
          <w:rtl/>
        </w:rPr>
        <w:t xml:space="preserve"> </w:t>
      </w:r>
      <w:r w:rsidR="003D5085">
        <w:rPr>
          <w:rFonts w:hint="cs"/>
          <w:sz w:val="24"/>
          <w:rtl/>
        </w:rPr>
        <w:t xml:space="preserve">שחל לאחרונה </w:t>
      </w:r>
      <w:r w:rsidR="000D7741">
        <w:rPr>
          <w:rFonts w:hint="cs"/>
          <w:sz w:val="24"/>
          <w:rtl/>
        </w:rPr>
        <w:t>בקניין רוחני הקשור לקנאביס</w:t>
      </w:r>
      <w:r w:rsidR="003D5085">
        <w:rPr>
          <w:rFonts w:hint="cs"/>
          <w:sz w:val="24"/>
          <w:rtl/>
        </w:rPr>
        <w:t>,</w:t>
      </w:r>
      <w:r w:rsidR="000D7741">
        <w:rPr>
          <w:rFonts w:hint="cs"/>
          <w:sz w:val="24"/>
          <w:rtl/>
        </w:rPr>
        <w:t xml:space="preserve"> אליו התייחסתי </w:t>
      </w:r>
      <w:r w:rsidR="00A63FD0">
        <w:rPr>
          <w:rFonts w:hint="cs"/>
          <w:sz w:val="24"/>
          <w:rtl/>
        </w:rPr>
        <w:t xml:space="preserve">בעבר </w:t>
      </w:r>
      <w:hyperlink r:id="rId9" w:history="1">
        <w:r w:rsidR="002F1FBF" w:rsidRPr="0006061B">
          <w:rPr>
            <w:rStyle w:val="Hyperlink"/>
            <w:rFonts w:hint="cs"/>
            <w:sz w:val="24"/>
            <w:rtl/>
          </w:rPr>
          <w:t>כאן</w:t>
        </w:r>
      </w:hyperlink>
      <w:r w:rsidR="000D7741">
        <w:rPr>
          <w:rFonts w:hint="cs"/>
          <w:sz w:val="24"/>
          <w:rtl/>
        </w:rPr>
        <w:t xml:space="preserve">. </w:t>
      </w:r>
    </w:p>
    <w:p w14:paraId="3B2F1D0E" w14:textId="739AC6E5" w:rsidR="00D73878" w:rsidRDefault="000D7741" w:rsidP="0050149C">
      <w:pPr>
        <w:spacing w:line="360" w:lineRule="auto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פטנט </w:t>
      </w:r>
      <w:hyperlink r:id="rId10" w:history="1">
        <w:r w:rsidRPr="0006061B">
          <w:rPr>
            <w:rStyle w:val="Hyperlink"/>
            <w:rFonts w:hint="cs"/>
            <w:sz w:val="24"/>
            <w:rtl/>
          </w:rPr>
          <w:t>9,066,920</w:t>
        </w:r>
      </w:hyperlink>
      <w:r>
        <w:rPr>
          <w:rFonts w:hint="cs"/>
          <w:sz w:val="24"/>
          <w:rtl/>
        </w:rPr>
        <w:t xml:space="preserve"> </w:t>
      </w:r>
      <w:r w:rsidR="006107B7">
        <w:rPr>
          <w:rFonts w:hint="cs"/>
          <w:sz w:val="24"/>
          <w:rtl/>
        </w:rPr>
        <w:t xml:space="preserve">בארה"ב </w:t>
      </w:r>
      <w:r>
        <w:rPr>
          <w:rFonts w:hint="cs"/>
          <w:sz w:val="24"/>
          <w:rtl/>
        </w:rPr>
        <w:t>של</w:t>
      </w:r>
      <w:r w:rsidR="003D5085">
        <w:rPr>
          <w:rFonts w:hint="cs"/>
          <w:sz w:val="24"/>
          <w:rtl/>
        </w:rPr>
        <w:t xml:space="preserve"> חברת</w:t>
      </w:r>
      <w:r>
        <w:rPr>
          <w:rFonts w:hint="cs"/>
          <w:sz w:val="24"/>
          <w:rtl/>
        </w:rPr>
        <w:t xml:space="preserve"> </w:t>
      </w:r>
      <w:r>
        <w:rPr>
          <w:rFonts w:hint="cs"/>
          <w:sz w:val="24"/>
        </w:rPr>
        <w:t>GW</w:t>
      </w:r>
      <w:r>
        <w:rPr>
          <w:rFonts w:hint="cs"/>
          <w:sz w:val="24"/>
          <w:rtl/>
        </w:rPr>
        <w:t xml:space="preserve"> </w:t>
      </w:r>
      <w:r w:rsidR="00A63FD0">
        <w:rPr>
          <w:rFonts w:hint="cs"/>
          <w:sz w:val="24"/>
          <w:rtl/>
        </w:rPr>
        <w:t>מתייחס</w:t>
      </w:r>
      <w:r>
        <w:rPr>
          <w:rFonts w:hint="cs"/>
          <w:sz w:val="24"/>
          <w:rtl/>
        </w:rPr>
        <w:t xml:space="preserve"> לטיפול בפרכוסים חלקיים ב</w:t>
      </w:r>
      <w:r w:rsidR="003D5085">
        <w:rPr>
          <w:rFonts w:hint="cs"/>
          <w:sz w:val="24"/>
          <w:rtl/>
        </w:rPr>
        <w:t xml:space="preserve">אמצעות </w:t>
      </w:r>
      <w:r>
        <w:rPr>
          <w:rFonts w:hint="cs"/>
          <w:sz w:val="24"/>
          <w:rtl/>
        </w:rPr>
        <w:t xml:space="preserve">קנאבידיול </w:t>
      </w:r>
      <w:r>
        <w:rPr>
          <w:sz w:val="24"/>
        </w:rPr>
        <w:t>(CBD)</w:t>
      </w:r>
      <w:r>
        <w:rPr>
          <w:rFonts w:hint="cs"/>
          <w:sz w:val="24"/>
          <w:rtl/>
        </w:rPr>
        <w:t>. התביעה הרחבה ביותר של פטנט</w:t>
      </w:r>
      <w:r w:rsidR="00D333BC">
        <w:rPr>
          <w:rFonts w:hint="cs"/>
          <w:sz w:val="24"/>
          <w:rtl/>
        </w:rPr>
        <w:t xml:space="preserve"> זה</w:t>
      </w:r>
      <w:r>
        <w:rPr>
          <w:rFonts w:hint="cs"/>
          <w:sz w:val="24"/>
          <w:rtl/>
        </w:rPr>
        <w:t>, תביעה 1, מתייחסת לטיפול בפרכוסים חלקיים במינון יומי של לפחות 400 מ</w:t>
      </w:r>
      <w:r w:rsidR="00A3053A">
        <w:rPr>
          <w:rFonts w:hint="cs"/>
          <w:sz w:val="24"/>
          <w:rtl/>
        </w:rPr>
        <w:t>"ג</w:t>
      </w:r>
      <w:r>
        <w:rPr>
          <w:rFonts w:hint="cs"/>
          <w:sz w:val="24"/>
          <w:rtl/>
        </w:rPr>
        <w:t xml:space="preserve"> קנאבידיול. תביעה </w:t>
      </w:r>
      <w:r w:rsidR="00D333BC">
        <w:rPr>
          <w:rFonts w:hint="cs"/>
          <w:sz w:val="24"/>
          <w:rtl/>
        </w:rPr>
        <w:t>2</w:t>
      </w:r>
      <w:r>
        <w:rPr>
          <w:rFonts w:hint="cs"/>
          <w:sz w:val="24"/>
          <w:rtl/>
        </w:rPr>
        <w:t xml:space="preserve"> מציגה </w:t>
      </w:r>
      <w:r w:rsidR="006107B7">
        <w:rPr>
          <w:rFonts w:hint="cs"/>
          <w:sz w:val="24"/>
          <w:rtl/>
        </w:rPr>
        <w:t xml:space="preserve">גבול עליון למינון </w:t>
      </w:r>
      <w:r>
        <w:rPr>
          <w:rFonts w:hint="cs"/>
          <w:sz w:val="24"/>
          <w:rtl/>
        </w:rPr>
        <w:t>יומי של 800 מ</w:t>
      </w:r>
      <w:r w:rsidR="00A3053A">
        <w:rPr>
          <w:rFonts w:hint="cs"/>
          <w:sz w:val="24"/>
          <w:rtl/>
        </w:rPr>
        <w:t>"ג</w:t>
      </w:r>
      <w:r>
        <w:rPr>
          <w:rFonts w:hint="cs"/>
          <w:sz w:val="24"/>
          <w:rtl/>
        </w:rPr>
        <w:t xml:space="preserve">. הפטנט ניתן ביוני 2015 </w:t>
      </w:r>
      <w:r w:rsidR="00D353B3">
        <w:rPr>
          <w:rFonts w:hint="cs"/>
          <w:sz w:val="24"/>
          <w:rtl/>
        </w:rPr>
        <w:t>עם</w:t>
      </w:r>
      <w:r>
        <w:rPr>
          <w:rFonts w:hint="cs"/>
          <w:sz w:val="24"/>
          <w:rtl/>
        </w:rPr>
        <w:t xml:space="preserve"> 1</w:t>
      </w:r>
      <w:r w:rsidR="00D353B3">
        <w:rPr>
          <w:rFonts w:hint="cs"/>
          <w:sz w:val="24"/>
          <w:rtl/>
        </w:rPr>
        <w:t>3</w:t>
      </w:r>
      <w:r>
        <w:rPr>
          <w:rFonts w:hint="cs"/>
          <w:sz w:val="24"/>
          <w:rtl/>
        </w:rPr>
        <w:t xml:space="preserve"> תביעות בסך הכול.</w:t>
      </w:r>
    </w:p>
    <w:p w14:paraId="197A6992" w14:textId="77777777" w:rsidR="009E30BA" w:rsidRDefault="009E30BA" w:rsidP="006107B7">
      <w:pPr>
        <w:spacing w:line="360" w:lineRule="auto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לאחר </w:t>
      </w:r>
      <w:r w:rsidR="00574450">
        <w:rPr>
          <w:rFonts w:hint="cs"/>
          <w:sz w:val="24"/>
          <w:rtl/>
        </w:rPr>
        <w:t>ש</w:t>
      </w:r>
      <w:r w:rsidR="00A82F0A">
        <w:rPr>
          <w:rFonts w:hint="cs"/>
          <w:sz w:val="24"/>
          <w:rtl/>
        </w:rPr>
        <w:t>הפטנט</w:t>
      </w:r>
      <w:r w:rsidR="00A3053A">
        <w:rPr>
          <w:rFonts w:hint="cs"/>
          <w:sz w:val="24"/>
          <w:rtl/>
        </w:rPr>
        <w:t xml:space="preserve"> ניתן, הוא </w:t>
      </w:r>
      <w:r w:rsidR="002B2881">
        <w:rPr>
          <w:rFonts w:hint="cs"/>
          <w:sz w:val="24"/>
          <w:rtl/>
        </w:rPr>
        <w:t xml:space="preserve">אותגר </w:t>
      </w:r>
      <w:r w:rsidR="00A82F0A">
        <w:rPr>
          <w:rFonts w:hint="cs"/>
          <w:sz w:val="24"/>
          <w:rtl/>
        </w:rPr>
        <w:t xml:space="preserve">על ידי </w:t>
      </w:r>
      <w:r w:rsidR="00574450">
        <w:rPr>
          <w:sz w:val="24"/>
        </w:rPr>
        <w:t>Insys Development Company, Inc</w:t>
      </w:r>
      <w:r w:rsidR="00574450">
        <w:rPr>
          <w:rFonts w:hint="cs"/>
          <w:sz w:val="24"/>
          <w:rtl/>
        </w:rPr>
        <w:t xml:space="preserve"> </w:t>
      </w:r>
      <w:r w:rsidR="00A82F0A">
        <w:rPr>
          <w:rFonts w:hint="cs"/>
          <w:sz w:val="24"/>
          <w:rtl/>
        </w:rPr>
        <w:t xml:space="preserve">בהליך לבחינה מחדש של כשירות פטנט </w:t>
      </w:r>
      <w:r w:rsidR="006107B7">
        <w:rPr>
          <w:rFonts w:hint="cs"/>
          <w:sz w:val="24"/>
          <w:rtl/>
        </w:rPr>
        <w:t xml:space="preserve">במספר </w:t>
      </w:r>
      <w:r w:rsidR="00A82F0A">
        <w:rPr>
          <w:rFonts w:hint="cs"/>
          <w:sz w:val="24"/>
          <w:rtl/>
        </w:rPr>
        <w:t>תביעות</w:t>
      </w:r>
      <w:r w:rsidR="006107B7">
        <w:rPr>
          <w:rFonts w:hint="cs"/>
          <w:sz w:val="24"/>
          <w:rtl/>
        </w:rPr>
        <w:t xml:space="preserve"> </w:t>
      </w:r>
      <w:r w:rsidR="006107B7">
        <w:rPr>
          <w:sz w:val="24"/>
        </w:rPr>
        <w:t>(Inter Partes Review)</w:t>
      </w:r>
      <w:r w:rsidR="007907E5">
        <w:rPr>
          <w:rFonts w:hint="cs"/>
          <w:sz w:val="24"/>
          <w:rtl/>
        </w:rPr>
        <w:t>,</w:t>
      </w:r>
      <w:r w:rsidR="00A82F0A">
        <w:rPr>
          <w:rFonts w:hint="cs"/>
          <w:sz w:val="24"/>
          <w:rtl/>
        </w:rPr>
        <w:t xml:space="preserve"> </w:t>
      </w:r>
      <w:r w:rsidR="007907E5">
        <w:rPr>
          <w:rFonts w:hint="cs"/>
          <w:sz w:val="24"/>
          <w:rtl/>
        </w:rPr>
        <w:t>ב</w:t>
      </w:r>
      <w:r w:rsidR="00574450">
        <w:rPr>
          <w:rFonts w:hint="cs"/>
          <w:sz w:val="24"/>
          <w:rtl/>
        </w:rPr>
        <w:t xml:space="preserve">משרד הפטנטים וסימני המסחר </w:t>
      </w:r>
      <w:r w:rsidR="00571F70">
        <w:rPr>
          <w:rFonts w:hint="cs"/>
          <w:sz w:val="24"/>
          <w:rtl/>
        </w:rPr>
        <w:t>האמריקאי</w:t>
      </w:r>
      <w:r w:rsidR="00A82F0A">
        <w:rPr>
          <w:rFonts w:hint="cs"/>
          <w:sz w:val="24"/>
          <w:rtl/>
        </w:rPr>
        <w:t xml:space="preserve"> </w:t>
      </w:r>
      <w:r w:rsidR="00A82F0A">
        <w:rPr>
          <w:sz w:val="24"/>
        </w:rPr>
        <w:t>(USPTO)</w:t>
      </w:r>
      <w:r w:rsidR="00574450">
        <w:rPr>
          <w:rFonts w:hint="cs"/>
          <w:sz w:val="24"/>
          <w:rtl/>
        </w:rPr>
        <w:t>. בהחלטתה מיום 3 בינואר</w:t>
      </w:r>
      <w:r w:rsidR="006107B7">
        <w:rPr>
          <w:rFonts w:hint="cs"/>
          <w:sz w:val="24"/>
          <w:rtl/>
        </w:rPr>
        <w:t>,</w:t>
      </w:r>
      <w:r w:rsidR="00574450">
        <w:rPr>
          <w:rFonts w:hint="cs"/>
          <w:sz w:val="24"/>
          <w:rtl/>
        </w:rPr>
        <w:t xml:space="preserve"> 2019, החליטה ועדת הערעורים</w:t>
      </w:r>
      <w:r w:rsidR="00571F70">
        <w:rPr>
          <w:rFonts w:hint="cs"/>
          <w:sz w:val="24"/>
          <w:rtl/>
        </w:rPr>
        <w:t xml:space="preserve"> </w:t>
      </w:r>
      <w:r w:rsidR="00571F70">
        <w:rPr>
          <w:sz w:val="24"/>
        </w:rPr>
        <w:t>(</w:t>
      </w:r>
      <w:r w:rsidR="00D333BC">
        <w:rPr>
          <w:sz w:val="24"/>
        </w:rPr>
        <w:t>PTAB</w:t>
      </w:r>
      <w:r w:rsidR="00571F70">
        <w:rPr>
          <w:sz w:val="24"/>
        </w:rPr>
        <w:t>)</w:t>
      </w:r>
      <w:r w:rsidR="00574450">
        <w:rPr>
          <w:rFonts w:hint="cs"/>
          <w:sz w:val="24"/>
          <w:rtl/>
        </w:rPr>
        <w:t xml:space="preserve"> של משרד הפטנטים </w:t>
      </w:r>
      <w:r w:rsidR="00571F70">
        <w:rPr>
          <w:rFonts w:hint="cs"/>
          <w:sz w:val="24"/>
          <w:rtl/>
        </w:rPr>
        <w:t>וסימני המסחר האמריקאי שתביעו</w:t>
      </w:r>
      <w:r w:rsidR="00D353B3">
        <w:rPr>
          <w:rFonts w:hint="cs"/>
          <w:sz w:val="24"/>
          <w:rtl/>
        </w:rPr>
        <w:t>ת 1 ו-2 של הפטנט לא היו כשירות פ</w:t>
      </w:r>
      <w:r w:rsidR="00571F70">
        <w:rPr>
          <w:rFonts w:hint="cs"/>
          <w:sz w:val="24"/>
          <w:rtl/>
        </w:rPr>
        <w:t>טנט</w:t>
      </w:r>
      <w:r w:rsidR="00D333BC">
        <w:rPr>
          <w:rFonts w:hint="cs"/>
          <w:sz w:val="24"/>
          <w:rtl/>
        </w:rPr>
        <w:t xml:space="preserve"> </w:t>
      </w:r>
      <w:r w:rsidR="002B2881">
        <w:rPr>
          <w:rFonts w:hint="cs"/>
          <w:sz w:val="24"/>
          <w:rtl/>
        </w:rPr>
        <w:t xml:space="preserve">עקב </w:t>
      </w:r>
      <w:r w:rsidR="00D333BC">
        <w:rPr>
          <w:rFonts w:hint="cs"/>
          <w:sz w:val="24"/>
          <w:rtl/>
        </w:rPr>
        <w:t>מובנות מאליה</w:t>
      </w:r>
      <w:r w:rsidR="002B2881">
        <w:rPr>
          <w:rFonts w:hint="cs"/>
          <w:sz w:val="24"/>
          <w:rtl/>
        </w:rPr>
        <w:t>,</w:t>
      </w:r>
      <w:r w:rsidR="00571F70">
        <w:rPr>
          <w:rFonts w:hint="cs"/>
          <w:sz w:val="24"/>
          <w:rtl/>
        </w:rPr>
        <w:t xml:space="preserve"> לאור ידע קודם</w:t>
      </w:r>
      <w:r w:rsidR="00D353B3">
        <w:rPr>
          <w:rFonts w:hint="cs"/>
          <w:sz w:val="24"/>
          <w:rtl/>
        </w:rPr>
        <w:t xml:space="preserve"> שאוזכר</w:t>
      </w:r>
      <w:r w:rsidR="00571F70">
        <w:rPr>
          <w:rFonts w:hint="cs"/>
          <w:sz w:val="24"/>
          <w:rtl/>
        </w:rPr>
        <w:t xml:space="preserve">. אולם, למרות החלטה זו, </w:t>
      </w:r>
      <w:r w:rsidR="00571F70" w:rsidRPr="00D333BC">
        <w:rPr>
          <w:rFonts w:hint="cs"/>
          <w:b/>
          <w:bCs/>
          <w:sz w:val="24"/>
          <w:rtl/>
        </w:rPr>
        <w:t xml:space="preserve">הפטנט נשאר תקף ובתוקף, </w:t>
      </w:r>
      <w:r w:rsidR="00571F70" w:rsidRPr="00D353B3">
        <w:rPr>
          <w:rFonts w:hint="cs"/>
          <w:b/>
          <w:bCs/>
          <w:sz w:val="24"/>
          <w:rtl/>
        </w:rPr>
        <w:t>מ</w:t>
      </w:r>
      <w:r w:rsidR="00D353B3" w:rsidRPr="00D353B3">
        <w:rPr>
          <w:rFonts w:hint="cs"/>
          <w:b/>
          <w:bCs/>
          <w:sz w:val="24"/>
          <w:rtl/>
        </w:rPr>
        <w:t>פני</w:t>
      </w:r>
      <w:r w:rsidR="00571F70" w:rsidRPr="00D353B3">
        <w:rPr>
          <w:rFonts w:hint="cs"/>
          <w:b/>
          <w:bCs/>
          <w:sz w:val="24"/>
          <w:rtl/>
        </w:rPr>
        <w:t xml:space="preserve"> </w:t>
      </w:r>
      <w:r w:rsidR="00D353B3" w:rsidRPr="00D353B3">
        <w:rPr>
          <w:rFonts w:hint="cs"/>
          <w:b/>
          <w:bCs/>
          <w:sz w:val="24"/>
          <w:rtl/>
        </w:rPr>
        <w:t>ש</w:t>
      </w:r>
      <w:r w:rsidR="00571F70" w:rsidRPr="00D333BC">
        <w:rPr>
          <w:rFonts w:hint="cs"/>
          <w:b/>
          <w:bCs/>
          <w:sz w:val="24"/>
          <w:rtl/>
        </w:rPr>
        <w:t>וועדת הערעורים לא שללה את תוקפן של תביעות 3-13.</w:t>
      </w:r>
      <w:r w:rsidR="00571F70">
        <w:rPr>
          <w:rFonts w:hint="cs"/>
          <w:sz w:val="24"/>
          <w:rtl/>
        </w:rPr>
        <w:t xml:space="preserve"> מ</w:t>
      </w:r>
      <w:r w:rsidR="0047169B">
        <w:rPr>
          <w:rFonts w:hint="cs"/>
          <w:sz w:val="24"/>
          <w:rtl/>
        </w:rPr>
        <w:t xml:space="preserve">בין </w:t>
      </w:r>
      <w:r w:rsidR="00D333BC">
        <w:rPr>
          <w:rFonts w:hint="cs"/>
          <w:sz w:val="24"/>
          <w:rtl/>
        </w:rPr>
        <w:t xml:space="preserve">שאר </w:t>
      </w:r>
      <w:r w:rsidR="00571F70">
        <w:rPr>
          <w:rFonts w:hint="cs"/>
          <w:sz w:val="24"/>
          <w:rtl/>
        </w:rPr>
        <w:t>התביעות שנותרו בתוקף, חלקן מתייחסות ל</w:t>
      </w:r>
      <w:r w:rsidR="00D353B3">
        <w:rPr>
          <w:rFonts w:hint="cs"/>
          <w:sz w:val="24"/>
          <w:rtl/>
        </w:rPr>
        <w:t>שימוש ב</w:t>
      </w:r>
      <w:r w:rsidR="00571F70">
        <w:rPr>
          <w:rFonts w:hint="cs"/>
          <w:sz w:val="24"/>
          <w:rtl/>
        </w:rPr>
        <w:t xml:space="preserve">שילובים של </w:t>
      </w:r>
      <w:r w:rsidR="00571F70">
        <w:rPr>
          <w:rFonts w:hint="cs"/>
          <w:sz w:val="24"/>
          <w:rtl/>
        </w:rPr>
        <w:lastRenderedPageBreak/>
        <w:t>קנאבידיול עם קנבינואידים אחרים, למקור של הקנאבידיול ולכמו</w:t>
      </w:r>
      <w:r w:rsidR="00D333BC">
        <w:rPr>
          <w:rFonts w:hint="cs"/>
          <w:sz w:val="24"/>
          <w:rtl/>
        </w:rPr>
        <w:t>יו</w:t>
      </w:r>
      <w:r w:rsidR="00571F70">
        <w:rPr>
          <w:rFonts w:hint="cs"/>
          <w:sz w:val="24"/>
          <w:rtl/>
        </w:rPr>
        <w:t xml:space="preserve">ת של טטרה-הידרו-קנבינול </w:t>
      </w:r>
      <w:r w:rsidR="00571F70">
        <w:rPr>
          <w:sz w:val="24"/>
        </w:rPr>
        <w:t>(THC)</w:t>
      </w:r>
      <w:r w:rsidR="0047169B">
        <w:rPr>
          <w:rFonts w:hint="cs"/>
          <w:sz w:val="24"/>
          <w:rtl/>
        </w:rPr>
        <w:t xml:space="preserve"> בתמצית הצמח המשמשת לטיפול.</w:t>
      </w:r>
    </w:p>
    <w:p w14:paraId="0830C475" w14:textId="77777777" w:rsidR="0047169B" w:rsidRDefault="0047169B" w:rsidP="00506A8D">
      <w:pPr>
        <w:spacing w:line="360" w:lineRule="auto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מבלי להיכנס לניתוח מפורט של החלטת ועדת הערעורים </w:t>
      </w:r>
      <w:r w:rsidR="000917A3">
        <w:rPr>
          <w:rFonts w:hint="cs"/>
          <w:sz w:val="24"/>
          <w:rtl/>
        </w:rPr>
        <w:t xml:space="preserve">של משרד הפטנטים וסימני המסחר האמריקאי, </w:t>
      </w:r>
      <w:r>
        <w:rPr>
          <w:rFonts w:hint="cs"/>
          <w:sz w:val="24"/>
          <w:rtl/>
        </w:rPr>
        <w:t xml:space="preserve">או לרלוונטיות של </w:t>
      </w:r>
      <w:r w:rsidR="002F1FBF">
        <w:rPr>
          <w:rFonts w:hint="cs"/>
          <w:sz w:val="24"/>
          <w:rtl/>
        </w:rPr>
        <w:t xml:space="preserve">שאר </w:t>
      </w:r>
      <w:r>
        <w:rPr>
          <w:rFonts w:hint="cs"/>
          <w:sz w:val="24"/>
          <w:rtl/>
        </w:rPr>
        <w:t xml:space="preserve">התביעות למוצר של </w:t>
      </w:r>
      <w:r>
        <w:rPr>
          <w:rFonts w:hint="cs"/>
          <w:sz w:val="24"/>
        </w:rPr>
        <w:t>GW</w:t>
      </w:r>
      <w:r>
        <w:rPr>
          <w:rFonts w:hint="cs"/>
          <w:sz w:val="24"/>
          <w:rtl/>
        </w:rPr>
        <w:t>, ניתן לה</w:t>
      </w:r>
      <w:r w:rsidR="00484F57">
        <w:rPr>
          <w:rFonts w:hint="cs"/>
          <w:sz w:val="24"/>
          <w:rtl/>
        </w:rPr>
        <w:t>פ</w:t>
      </w:r>
      <w:r>
        <w:rPr>
          <w:rFonts w:hint="cs"/>
          <w:sz w:val="24"/>
          <w:rtl/>
        </w:rPr>
        <w:t xml:space="preserve">יק </w:t>
      </w:r>
      <w:r w:rsidR="007907E5">
        <w:rPr>
          <w:rFonts w:hint="cs"/>
          <w:sz w:val="24"/>
          <w:rtl/>
        </w:rPr>
        <w:t>ממקרה</w:t>
      </w:r>
      <w:r w:rsidR="00D353B3">
        <w:rPr>
          <w:rFonts w:hint="cs"/>
          <w:sz w:val="24"/>
          <w:rtl/>
        </w:rPr>
        <w:t xml:space="preserve"> </w:t>
      </w:r>
      <w:r w:rsidR="0050149C">
        <w:rPr>
          <w:rFonts w:hint="cs"/>
          <w:sz w:val="24"/>
          <w:rtl/>
        </w:rPr>
        <w:t xml:space="preserve">זה </w:t>
      </w:r>
      <w:r w:rsidR="00506A8D">
        <w:rPr>
          <w:rFonts w:hint="cs"/>
          <w:sz w:val="24"/>
          <w:rtl/>
        </w:rPr>
        <w:t>מספר</w:t>
      </w:r>
      <w:r w:rsidR="00D353B3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לקחים </w:t>
      </w:r>
      <w:r w:rsidR="00484F57">
        <w:rPr>
          <w:rFonts w:hint="cs"/>
          <w:sz w:val="24"/>
          <w:rtl/>
        </w:rPr>
        <w:t xml:space="preserve">חשובים </w:t>
      </w:r>
      <w:r>
        <w:rPr>
          <w:rFonts w:hint="cs"/>
          <w:sz w:val="24"/>
          <w:rtl/>
        </w:rPr>
        <w:t>עבור הקוראים המ</w:t>
      </w:r>
      <w:r w:rsidR="0042735E">
        <w:rPr>
          <w:rFonts w:hint="cs"/>
          <w:sz w:val="24"/>
          <w:rtl/>
        </w:rPr>
        <w:t>ת</w:t>
      </w:r>
      <w:r>
        <w:rPr>
          <w:rFonts w:hint="cs"/>
          <w:sz w:val="24"/>
          <w:rtl/>
        </w:rPr>
        <w:t>עניינים בפטנטים בתחום הקנאביס הרפואי:</w:t>
      </w:r>
    </w:p>
    <w:p w14:paraId="51ED7BBE" w14:textId="77777777" w:rsidR="00D353B3" w:rsidRDefault="0047169B" w:rsidP="00D353B3">
      <w:pPr>
        <w:spacing w:line="360" w:lineRule="auto"/>
        <w:ind w:left="680" w:hanging="340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1. </w:t>
      </w:r>
      <w:r w:rsidR="00484F57">
        <w:rPr>
          <w:rFonts w:hint="cs"/>
          <w:sz w:val="24"/>
          <w:rtl/>
        </w:rPr>
        <w:t xml:space="preserve"> </w:t>
      </w:r>
      <w:r w:rsidR="0042735E" w:rsidRPr="00484F57">
        <w:rPr>
          <w:rFonts w:hint="cs"/>
          <w:b/>
          <w:bCs/>
          <w:sz w:val="24"/>
          <w:rtl/>
        </w:rPr>
        <w:t xml:space="preserve">הטעייה אפשרית </w:t>
      </w:r>
      <w:r w:rsidR="00484F57" w:rsidRPr="00484F57">
        <w:rPr>
          <w:rFonts w:hint="cs"/>
          <w:b/>
          <w:bCs/>
          <w:sz w:val="24"/>
          <w:rtl/>
        </w:rPr>
        <w:t>ב</w:t>
      </w:r>
      <w:r w:rsidRPr="00484F57">
        <w:rPr>
          <w:rFonts w:hint="cs"/>
          <w:b/>
          <w:bCs/>
          <w:sz w:val="24"/>
          <w:rtl/>
        </w:rPr>
        <w:t>כותרת</w:t>
      </w:r>
      <w:r>
        <w:rPr>
          <w:rFonts w:hint="cs"/>
          <w:sz w:val="24"/>
          <w:rtl/>
        </w:rPr>
        <w:t xml:space="preserve">: הליכים משפטיים הנוגעים לפטנטים עשויים להיות מורכבים. </w:t>
      </w:r>
      <w:r w:rsidR="0042735E">
        <w:rPr>
          <w:rFonts w:hint="cs"/>
          <w:sz w:val="24"/>
          <w:rtl/>
        </w:rPr>
        <w:t xml:space="preserve">העיתונות </w:t>
      </w:r>
      <w:r>
        <w:rPr>
          <w:rFonts w:hint="cs"/>
          <w:sz w:val="24"/>
          <w:rtl/>
        </w:rPr>
        <w:t>לא תמיד כשירה לכסות נושאים כאלה. מאמרים בעיתונות הפופולרית או העסקית עלול</w:t>
      </w:r>
      <w:r w:rsidR="0042735E">
        <w:rPr>
          <w:rFonts w:hint="cs"/>
          <w:sz w:val="24"/>
          <w:rtl/>
        </w:rPr>
        <w:t>ים</w:t>
      </w:r>
      <w:r>
        <w:rPr>
          <w:rFonts w:hint="cs"/>
          <w:sz w:val="24"/>
          <w:rtl/>
        </w:rPr>
        <w:t xml:space="preserve"> לתאר את המציאות המשפטית ב</w:t>
      </w:r>
      <w:r w:rsidR="0042735E">
        <w:rPr>
          <w:rFonts w:hint="cs"/>
          <w:sz w:val="24"/>
          <w:rtl/>
        </w:rPr>
        <w:t>צורה</w:t>
      </w:r>
      <w:r>
        <w:rPr>
          <w:rFonts w:hint="cs"/>
          <w:sz w:val="24"/>
          <w:rtl/>
        </w:rPr>
        <w:t xml:space="preserve"> </w:t>
      </w:r>
      <w:r w:rsidR="002F1FBF">
        <w:rPr>
          <w:rFonts w:hint="cs"/>
          <w:sz w:val="24"/>
          <w:rtl/>
        </w:rPr>
        <w:t>הלוקה באי דיוקים</w:t>
      </w:r>
      <w:r>
        <w:rPr>
          <w:rFonts w:hint="cs"/>
          <w:sz w:val="24"/>
          <w:rtl/>
        </w:rPr>
        <w:t>.</w:t>
      </w:r>
    </w:p>
    <w:p w14:paraId="1EB10D8E" w14:textId="77777777" w:rsidR="00D353B3" w:rsidRDefault="00BA73E6" w:rsidP="00506A8D">
      <w:pPr>
        <w:spacing w:line="360" w:lineRule="auto"/>
        <w:ind w:left="680" w:hanging="340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2. </w:t>
      </w:r>
      <w:r w:rsidR="002F1FBF" w:rsidRPr="00484F57">
        <w:rPr>
          <w:rFonts w:hint="cs"/>
          <w:b/>
          <w:bCs/>
          <w:sz w:val="24"/>
          <w:rtl/>
        </w:rPr>
        <w:t xml:space="preserve">לא הייתה </w:t>
      </w:r>
      <w:r w:rsidRPr="00484F57">
        <w:rPr>
          <w:rFonts w:hint="cs"/>
          <w:b/>
          <w:bCs/>
          <w:sz w:val="24"/>
          <w:rtl/>
        </w:rPr>
        <w:t xml:space="preserve">התייחסות </w:t>
      </w:r>
      <w:r w:rsidR="002F1FBF" w:rsidRPr="00484F57">
        <w:rPr>
          <w:rFonts w:hint="cs"/>
          <w:b/>
          <w:bCs/>
          <w:sz w:val="24"/>
          <w:rtl/>
        </w:rPr>
        <w:t xml:space="preserve">שונה </w:t>
      </w:r>
      <w:r w:rsidRPr="00484F57">
        <w:rPr>
          <w:rFonts w:hint="cs"/>
          <w:b/>
          <w:bCs/>
          <w:sz w:val="24"/>
          <w:rtl/>
        </w:rPr>
        <w:t xml:space="preserve">לפטנטים </w:t>
      </w:r>
      <w:r w:rsidR="002F1FBF" w:rsidRPr="00484F57">
        <w:rPr>
          <w:rFonts w:hint="cs"/>
          <w:b/>
          <w:bCs/>
          <w:sz w:val="24"/>
          <w:rtl/>
        </w:rPr>
        <w:t xml:space="preserve">על </w:t>
      </w:r>
      <w:r w:rsidRPr="00484F57">
        <w:rPr>
          <w:rFonts w:hint="cs"/>
          <w:b/>
          <w:bCs/>
          <w:sz w:val="24"/>
          <w:rtl/>
        </w:rPr>
        <w:t>קנאביס רפואי</w:t>
      </w:r>
      <w:r>
        <w:rPr>
          <w:rFonts w:hint="cs"/>
          <w:sz w:val="24"/>
          <w:rtl/>
        </w:rPr>
        <w:t xml:space="preserve">: </w:t>
      </w:r>
      <w:r w:rsidR="0042735E">
        <w:rPr>
          <w:rFonts w:hint="cs"/>
          <w:sz w:val="24"/>
          <w:rtl/>
        </w:rPr>
        <w:t xml:space="preserve">בהחלטתה התייחסה </w:t>
      </w:r>
      <w:r>
        <w:rPr>
          <w:rFonts w:hint="cs"/>
          <w:sz w:val="24"/>
          <w:rtl/>
        </w:rPr>
        <w:t>ועדת הערעורים ל</w:t>
      </w:r>
      <w:r w:rsidR="00484F57">
        <w:rPr>
          <w:rFonts w:hint="cs"/>
          <w:sz w:val="24"/>
          <w:rtl/>
        </w:rPr>
        <w:t xml:space="preserve">מובנות מאליה של </w:t>
      </w:r>
      <w:r>
        <w:rPr>
          <w:rFonts w:hint="cs"/>
          <w:sz w:val="24"/>
          <w:rtl/>
        </w:rPr>
        <w:t>ה</w:t>
      </w:r>
      <w:r w:rsidR="00484F57">
        <w:rPr>
          <w:rFonts w:hint="cs"/>
          <w:sz w:val="24"/>
          <w:rtl/>
        </w:rPr>
        <w:t>א</w:t>
      </w:r>
      <w:r>
        <w:rPr>
          <w:rFonts w:hint="cs"/>
          <w:sz w:val="24"/>
          <w:rtl/>
        </w:rPr>
        <w:t xml:space="preserve">מצאה הנתבעת לאור ידע קודם. ההתייחסות לפטנט לא הייתה שונה מאופן </w:t>
      </w:r>
      <w:r w:rsidR="007907E5">
        <w:rPr>
          <w:rFonts w:hint="cs"/>
          <w:sz w:val="24"/>
          <w:rtl/>
        </w:rPr>
        <w:t xml:space="preserve">ההתייחסות </w:t>
      </w:r>
      <w:r>
        <w:rPr>
          <w:rFonts w:hint="cs"/>
          <w:sz w:val="24"/>
          <w:rtl/>
        </w:rPr>
        <w:t>לפטנטים אחרים שאינם קשורים לקנאביס, למרות ה</w:t>
      </w:r>
      <w:r w:rsidR="006107B7">
        <w:rPr>
          <w:rFonts w:hint="cs"/>
          <w:sz w:val="24"/>
          <w:rtl/>
        </w:rPr>
        <w:t xml:space="preserve">רגולציה הקפדנית </w:t>
      </w:r>
      <w:r>
        <w:rPr>
          <w:rFonts w:hint="cs"/>
          <w:sz w:val="24"/>
          <w:rtl/>
        </w:rPr>
        <w:t>הקשור</w:t>
      </w:r>
      <w:r w:rsidR="006107B7">
        <w:rPr>
          <w:rFonts w:hint="cs"/>
          <w:sz w:val="24"/>
          <w:rtl/>
        </w:rPr>
        <w:t>ה</w:t>
      </w:r>
      <w:r>
        <w:rPr>
          <w:rFonts w:hint="cs"/>
          <w:sz w:val="24"/>
          <w:rtl/>
        </w:rPr>
        <w:t xml:space="preserve"> </w:t>
      </w:r>
      <w:r w:rsidR="00DE7502">
        <w:rPr>
          <w:rFonts w:hint="cs"/>
          <w:sz w:val="24"/>
          <w:rtl/>
        </w:rPr>
        <w:t xml:space="preserve">בייצור קנאביס ובשימוש בו בארה"ב, </w:t>
      </w:r>
      <w:r>
        <w:rPr>
          <w:rFonts w:hint="cs"/>
          <w:sz w:val="24"/>
          <w:rtl/>
        </w:rPr>
        <w:t>ברמה הפדרלית.</w:t>
      </w:r>
    </w:p>
    <w:p w14:paraId="0961B8C9" w14:textId="77777777" w:rsidR="00BF5FD7" w:rsidRDefault="0042735E" w:rsidP="00506A8D">
      <w:pPr>
        <w:spacing w:line="360" w:lineRule="auto"/>
        <w:ind w:left="680" w:hanging="340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3. </w:t>
      </w:r>
      <w:r w:rsidR="00DE7502">
        <w:rPr>
          <w:rFonts w:hint="cs"/>
          <w:sz w:val="24"/>
          <w:rtl/>
        </w:rPr>
        <w:t xml:space="preserve"> </w:t>
      </w:r>
      <w:r w:rsidR="00BA73E6" w:rsidRPr="00DE7502">
        <w:rPr>
          <w:rFonts w:hint="cs"/>
          <w:b/>
          <w:bCs/>
          <w:sz w:val="24"/>
          <w:rtl/>
        </w:rPr>
        <w:t xml:space="preserve">רמות הגנה </w:t>
      </w:r>
      <w:r w:rsidR="00D353B3">
        <w:rPr>
          <w:rFonts w:hint="cs"/>
          <w:b/>
          <w:bCs/>
          <w:sz w:val="24"/>
          <w:rtl/>
        </w:rPr>
        <w:t>רב</w:t>
      </w:r>
      <w:r w:rsidR="00BA73E6" w:rsidRPr="00DE7502">
        <w:rPr>
          <w:rFonts w:hint="cs"/>
          <w:b/>
          <w:bCs/>
          <w:sz w:val="24"/>
          <w:rtl/>
        </w:rPr>
        <w:t>ות</w:t>
      </w:r>
      <w:r w:rsidR="00BA73E6">
        <w:rPr>
          <w:rFonts w:hint="cs"/>
          <w:sz w:val="24"/>
          <w:rtl/>
        </w:rPr>
        <w:t xml:space="preserve">: הפטנט של </w:t>
      </w:r>
      <w:r w:rsidR="00BA73E6">
        <w:rPr>
          <w:rFonts w:hint="cs"/>
          <w:sz w:val="24"/>
        </w:rPr>
        <w:t>GW</w:t>
      </w:r>
      <w:r w:rsidR="002F1FBF">
        <w:rPr>
          <w:rFonts w:hint="cs"/>
          <w:sz w:val="24"/>
          <w:rtl/>
        </w:rPr>
        <w:t>,</w:t>
      </w:r>
      <w:r w:rsidR="00BA73E6">
        <w:rPr>
          <w:rFonts w:hint="cs"/>
          <w:sz w:val="24"/>
          <w:rtl/>
        </w:rPr>
        <w:t xml:space="preserve"> שנבחן בהליך של ועדת הערעורים</w:t>
      </w:r>
      <w:r w:rsidR="002F1FBF">
        <w:rPr>
          <w:rFonts w:hint="cs"/>
          <w:sz w:val="24"/>
          <w:rtl/>
        </w:rPr>
        <w:t>,</w:t>
      </w:r>
      <w:r w:rsidR="00BA73E6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כלל</w:t>
      </w:r>
      <w:r w:rsidR="00BA73E6">
        <w:rPr>
          <w:rFonts w:hint="cs"/>
          <w:sz w:val="24"/>
          <w:rtl/>
        </w:rPr>
        <w:t xml:space="preserve"> תביעות תלותיות רבות </w:t>
      </w:r>
      <w:r w:rsidR="002F1FBF">
        <w:rPr>
          <w:rFonts w:hint="cs"/>
          <w:sz w:val="24"/>
          <w:rtl/>
        </w:rPr>
        <w:t xml:space="preserve">לצורך כיסוי </w:t>
      </w:r>
      <w:r w:rsidR="00BA73E6">
        <w:rPr>
          <w:rFonts w:hint="cs"/>
          <w:sz w:val="24"/>
          <w:rtl/>
        </w:rPr>
        <w:t xml:space="preserve">רמות </w:t>
      </w:r>
      <w:r w:rsidR="00DE7502">
        <w:rPr>
          <w:rFonts w:hint="cs"/>
          <w:sz w:val="24"/>
          <w:rtl/>
        </w:rPr>
        <w:t xml:space="preserve">שונות של </w:t>
      </w:r>
      <w:r>
        <w:rPr>
          <w:rFonts w:hint="cs"/>
          <w:sz w:val="24"/>
          <w:rtl/>
        </w:rPr>
        <w:t>הגנה</w:t>
      </w:r>
      <w:r w:rsidR="00BA73E6">
        <w:rPr>
          <w:rFonts w:hint="cs"/>
          <w:sz w:val="24"/>
          <w:rtl/>
        </w:rPr>
        <w:t>. דבר זה אפשר לחברה להמשיך להחזיק ב</w:t>
      </w:r>
      <w:r w:rsidR="00DE7502">
        <w:rPr>
          <w:rFonts w:hint="cs"/>
          <w:sz w:val="24"/>
          <w:rtl/>
        </w:rPr>
        <w:t>יותר מ</w:t>
      </w:r>
      <w:r w:rsidR="00BA73E6">
        <w:rPr>
          <w:rFonts w:hint="cs"/>
          <w:sz w:val="24"/>
          <w:rtl/>
        </w:rPr>
        <w:t xml:space="preserve">-80% מתביעות הפטנט </w:t>
      </w:r>
      <w:r w:rsidR="00DE7502">
        <w:rPr>
          <w:rFonts w:hint="cs"/>
          <w:sz w:val="24"/>
          <w:rtl/>
        </w:rPr>
        <w:t xml:space="preserve">שלה </w:t>
      </w:r>
      <w:r w:rsidR="00BA73E6">
        <w:rPr>
          <w:rFonts w:hint="cs"/>
          <w:sz w:val="24"/>
          <w:rtl/>
        </w:rPr>
        <w:t>לאחר הבחינה</w:t>
      </w:r>
      <w:r w:rsidR="006107B7">
        <w:rPr>
          <w:rFonts w:hint="cs"/>
          <w:sz w:val="24"/>
          <w:rtl/>
        </w:rPr>
        <w:t xml:space="preserve"> מחדש</w:t>
      </w:r>
      <w:r w:rsidR="00BA73E6">
        <w:rPr>
          <w:rFonts w:hint="cs"/>
          <w:sz w:val="24"/>
          <w:rtl/>
        </w:rPr>
        <w:t xml:space="preserve">. </w:t>
      </w:r>
      <w:r w:rsidR="00DE7502">
        <w:rPr>
          <w:rFonts w:hint="cs"/>
          <w:sz w:val="24"/>
          <w:rtl/>
        </w:rPr>
        <w:t>מומלץ ל</w:t>
      </w:r>
      <w:r w:rsidR="00BA73E6">
        <w:rPr>
          <w:rFonts w:hint="cs"/>
          <w:sz w:val="24"/>
          <w:rtl/>
        </w:rPr>
        <w:t>בעלי פטנט</w:t>
      </w:r>
      <w:r>
        <w:rPr>
          <w:rFonts w:hint="cs"/>
          <w:sz w:val="24"/>
          <w:rtl/>
        </w:rPr>
        <w:t xml:space="preserve">ים </w:t>
      </w:r>
      <w:r w:rsidR="00BA73E6">
        <w:rPr>
          <w:rFonts w:hint="cs"/>
          <w:sz w:val="24"/>
          <w:rtl/>
        </w:rPr>
        <w:t xml:space="preserve">לוודא שבקשת הפטנט שלהם </w:t>
      </w:r>
      <w:r>
        <w:rPr>
          <w:rFonts w:hint="cs"/>
          <w:sz w:val="24"/>
          <w:rtl/>
        </w:rPr>
        <w:t>כולל</w:t>
      </w:r>
      <w:r w:rsidR="00BA73E6">
        <w:rPr>
          <w:rFonts w:hint="cs"/>
          <w:sz w:val="24"/>
          <w:rtl/>
        </w:rPr>
        <w:t>ת רמות שונות של היקף תביעות</w:t>
      </w:r>
      <w:r w:rsidR="00506A8D">
        <w:rPr>
          <w:rFonts w:hint="cs"/>
          <w:sz w:val="24"/>
          <w:rtl/>
        </w:rPr>
        <w:t>,</w:t>
      </w:r>
      <w:r w:rsidR="00BA73E6">
        <w:rPr>
          <w:rFonts w:hint="cs"/>
          <w:sz w:val="24"/>
          <w:rtl/>
        </w:rPr>
        <w:t xml:space="preserve"> החל מטווח </w:t>
      </w:r>
      <w:r w:rsidR="00DE7502">
        <w:rPr>
          <w:rFonts w:hint="cs"/>
          <w:sz w:val="24"/>
          <w:rtl/>
        </w:rPr>
        <w:t xml:space="preserve">רחב עד טווח </w:t>
      </w:r>
      <w:r w:rsidR="00BA73E6">
        <w:rPr>
          <w:rFonts w:hint="cs"/>
          <w:sz w:val="24"/>
          <w:rtl/>
        </w:rPr>
        <w:t xml:space="preserve">ביניים ועד </w:t>
      </w:r>
      <w:r w:rsidR="006F1917">
        <w:rPr>
          <w:rFonts w:hint="cs"/>
          <w:sz w:val="24"/>
          <w:rtl/>
        </w:rPr>
        <w:t>הטווח הצר, כדי להבטיח שאם יישלל תוקפן של תביעות</w:t>
      </w:r>
      <w:r>
        <w:rPr>
          <w:rFonts w:hint="cs"/>
          <w:sz w:val="24"/>
          <w:rtl/>
        </w:rPr>
        <w:t>יהם</w:t>
      </w:r>
      <w:r w:rsidR="006F1917">
        <w:rPr>
          <w:rFonts w:hint="cs"/>
          <w:sz w:val="24"/>
          <w:rtl/>
        </w:rPr>
        <w:t xml:space="preserve"> הרחבות, </w:t>
      </w:r>
      <w:r>
        <w:rPr>
          <w:rFonts w:hint="cs"/>
          <w:sz w:val="24"/>
          <w:rtl/>
        </w:rPr>
        <w:t xml:space="preserve">עדיין יאושרו </w:t>
      </w:r>
      <w:r w:rsidR="006F1917">
        <w:rPr>
          <w:rFonts w:hint="cs"/>
          <w:sz w:val="24"/>
          <w:rtl/>
        </w:rPr>
        <w:t xml:space="preserve">התביעות בטווח הביניים </w:t>
      </w:r>
      <w:r w:rsidR="00DE7502">
        <w:rPr>
          <w:rFonts w:hint="cs"/>
          <w:sz w:val="24"/>
          <w:rtl/>
        </w:rPr>
        <w:t>או</w:t>
      </w:r>
      <w:r w:rsidR="006F1917">
        <w:rPr>
          <w:rFonts w:hint="cs"/>
          <w:sz w:val="24"/>
          <w:rtl/>
        </w:rPr>
        <w:t xml:space="preserve"> הצר.</w:t>
      </w:r>
    </w:p>
    <w:p w14:paraId="04FAB357" w14:textId="77777777" w:rsidR="006F1917" w:rsidRDefault="006F1917" w:rsidP="0050149C">
      <w:pPr>
        <w:spacing w:line="360" w:lineRule="auto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לסיכום, חשוב </w:t>
      </w:r>
      <w:r w:rsidR="0042735E">
        <w:rPr>
          <w:rFonts w:hint="cs"/>
          <w:sz w:val="24"/>
          <w:rtl/>
        </w:rPr>
        <w:t xml:space="preserve">אמנם </w:t>
      </w:r>
      <w:r>
        <w:rPr>
          <w:rFonts w:hint="cs"/>
          <w:sz w:val="24"/>
          <w:rtl/>
        </w:rPr>
        <w:t>שהחברות בתחום הקנאביס הרפואי י</w:t>
      </w:r>
      <w:r w:rsidR="0042735E">
        <w:rPr>
          <w:rFonts w:hint="cs"/>
          <w:sz w:val="24"/>
          <w:rtl/>
        </w:rPr>
        <w:t>תעדכנו ב</w:t>
      </w:r>
      <w:r>
        <w:rPr>
          <w:rFonts w:hint="cs"/>
          <w:sz w:val="24"/>
          <w:rtl/>
        </w:rPr>
        <w:t xml:space="preserve">חדשות בתחום, </w:t>
      </w:r>
      <w:r w:rsidR="0042735E">
        <w:rPr>
          <w:rFonts w:hint="cs"/>
          <w:sz w:val="24"/>
          <w:rtl/>
        </w:rPr>
        <w:t>א</w:t>
      </w:r>
      <w:r w:rsidR="006107B7">
        <w:rPr>
          <w:rFonts w:hint="cs"/>
          <w:sz w:val="24"/>
          <w:rtl/>
        </w:rPr>
        <w:t xml:space="preserve">ולם הכרחי </w:t>
      </w:r>
      <w:r w:rsidR="0050149C">
        <w:rPr>
          <w:rFonts w:hint="cs"/>
          <w:sz w:val="24"/>
          <w:rtl/>
        </w:rPr>
        <w:t xml:space="preserve">שיחקרו ויאמתו </w:t>
      </w:r>
      <w:r w:rsidR="006107B7">
        <w:rPr>
          <w:rFonts w:hint="cs"/>
          <w:sz w:val="24"/>
          <w:rtl/>
        </w:rPr>
        <w:t xml:space="preserve">את </w:t>
      </w:r>
      <w:r>
        <w:rPr>
          <w:rFonts w:hint="cs"/>
          <w:sz w:val="24"/>
          <w:rtl/>
        </w:rPr>
        <w:t xml:space="preserve">דיווחי החדשות </w:t>
      </w:r>
      <w:r w:rsidR="002F1FBF">
        <w:rPr>
          <w:rFonts w:hint="cs"/>
          <w:sz w:val="24"/>
          <w:rtl/>
        </w:rPr>
        <w:t>הנקרא</w:t>
      </w:r>
      <w:r w:rsidR="00D353B3">
        <w:rPr>
          <w:rFonts w:hint="cs"/>
          <w:sz w:val="24"/>
          <w:rtl/>
        </w:rPr>
        <w:t>ים</w:t>
      </w:r>
      <w:r w:rsidR="002F1FBF">
        <w:rPr>
          <w:rFonts w:hint="cs"/>
          <w:sz w:val="24"/>
          <w:rtl/>
        </w:rPr>
        <w:t xml:space="preserve"> בעיתונות</w:t>
      </w:r>
      <w:r>
        <w:rPr>
          <w:rFonts w:hint="cs"/>
          <w:sz w:val="24"/>
          <w:rtl/>
        </w:rPr>
        <w:t>.</w:t>
      </w:r>
    </w:p>
    <w:p w14:paraId="20BECC8D" w14:textId="6DC81BBA" w:rsidR="006F1917" w:rsidRPr="00276F2F" w:rsidRDefault="00D01143" w:rsidP="006107B7">
      <w:pPr>
        <w:spacing w:line="360" w:lineRule="auto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מאז 1995, </w:t>
      </w:r>
      <w:r w:rsidR="0042735E">
        <w:rPr>
          <w:rFonts w:hint="cs"/>
          <w:sz w:val="24"/>
          <w:rtl/>
        </w:rPr>
        <w:t>חברת</w:t>
      </w:r>
      <w:r w:rsidR="00DE7502">
        <w:rPr>
          <w:rFonts w:hint="cs"/>
          <w:sz w:val="24"/>
          <w:rtl/>
        </w:rPr>
        <w:t xml:space="preserve"> </w:t>
      </w:r>
      <w:r w:rsidR="00DE7502">
        <w:rPr>
          <w:rFonts w:hint="cs"/>
          <w:rtl/>
        </w:rPr>
        <w:t xml:space="preserve">ג'יי אם בי דיוויס בן-דוד </w:t>
      </w:r>
      <w:r w:rsidR="006107B7">
        <w:rPr>
          <w:rFonts w:hint="cs"/>
          <w:rtl/>
        </w:rPr>
        <w:t>מ</w:t>
      </w:r>
      <w:r w:rsidR="00276F2F">
        <w:rPr>
          <w:rFonts w:hint="cs"/>
          <w:rtl/>
        </w:rPr>
        <w:t xml:space="preserve">ציעה </w:t>
      </w:r>
      <w:r w:rsidR="006F1917">
        <w:rPr>
          <w:rFonts w:hint="cs"/>
          <w:sz w:val="24"/>
          <w:rtl/>
        </w:rPr>
        <w:t>לחברות הזנק חדשות ולחברות מבוססות</w:t>
      </w:r>
      <w:r>
        <w:rPr>
          <w:rFonts w:hint="cs"/>
          <w:sz w:val="24"/>
          <w:rtl/>
        </w:rPr>
        <w:t>,</w:t>
      </w:r>
      <w:r w:rsidR="00276F2F">
        <w:rPr>
          <w:rFonts w:hint="cs"/>
          <w:sz w:val="24"/>
          <w:rtl/>
        </w:rPr>
        <w:t xml:space="preserve"> </w:t>
      </w:r>
      <w:r w:rsidR="006F1917">
        <w:rPr>
          <w:rFonts w:hint="cs"/>
          <w:sz w:val="24"/>
          <w:rtl/>
        </w:rPr>
        <w:t>שירותים</w:t>
      </w:r>
      <w:r w:rsidR="00081C14">
        <w:rPr>
          <w:rFonts w:hint="cs"/>
          <w:sz w:val="24"/>
          <w:rtl/>
        </w:rPr>
        <w:t xml:space="preserve"> </w:t>
      </w:r>
      <w:r w:rsidR="00D353B3">
        <w:rPr>
          <w:rFonts w:hint="cs"/>
          <w:sz w:val="24"/>
          <w:rtl/>
        </w:rPr>
        <w:t xml:space="preserve">בתחום הקניין הרוחני </w:t>
      </w:r>
      <w:r w:rsidR="006F1917">
        <w:rPr>
          <w:rFonts w:hint="cs"/>
          <w:sz w:val="24"/>
          <w:rtl/>
        </w:rPr>
        <w:t>המותאמים לה</w:t>
      </w:r>
      <w:r w:rsidR="002F1FBF">
        <w:rPr>
          <w:rFonts w:hint="cs"/>
          <w:sz w:val="24"/>
          <w:rtl/>
        </w:rPr>
        <w:t>ן</w:t>
      </w:r>
      <w:r w:rsidR="006F1917">
        <w:rPr>
          <w:rFonts w:hint="cs"/>
          <w:sz w:val="24"/>
          <w:rtl/>
        </w:rPr>
        <w:t xml:space="preserve"> </w:t>
      </w:r>
      <w:r w:rsidR="00081C14">
        <w:rPr>
          <w:rFonts w:hint="cs"/>
          <w:sz w:val="24"/>
          <w:rtl/>
        </w:rPr>
        <w:t>במיוחד</w:t>
      </w:r>
      <w:r w:rsidR="0050149C">
        <w:rPr>
          <w:rFonts w:hint="cs"/>
          <w:sz w:val="24"/>
          <w:rtl/>
        </w:rPr>
        <w:t>,</w:t>
      </w:r>
      <w:r w:rsidR="006F1917">
        <w:rPr>
          <w:rFonts w:hint="cs"/>
          <w:sz w:val="24"/>
          <w:rtl/>
        </w:rPr>
        <w:t xml:space="preserve"> כדי </w:t>
      </w:r>
      <w:r w:rsidR="0042735E">
        <w:rPr>
          <w:rFonts w:hint="cs"/>
          <w:sz w:val="24"/>
          <w:rtl/>
        </w:rPr>
        <w:t>שיקדימו</w:t>
      </w:r>
      <w:r w:rsidR="006F1917">
        <w:rPr>
          <w:rFonts w:hint="cs"/>
          <w:sz w:val="24"/>
          <w:rtl/>
        </w:rPr>
        <w:t xml:space="preserve"> את מתחריהן. </w:t>
      </w:r>
      <w:r w:rsidR="0042735E">
        <w:rPr>
          <w:rFonts w:hint="cs"/>
          <w:sz w:val="24"/>
          <w:rtl/>
        </w:rPr>
        <w:t xml:space="preserve">אם יש לכם </w:t>
      </w:r>
      <w:r w:rsidR="006F1917">
        <w:rPr>
          <w:rFonts w:hint="cs"/>
          <w:sz w:val="24"/>
          <w:rtl/>
        </w:rPr>
        <w:t>שאלות, הערות ו</w:t>
      </w:r>
      <w:r w:rsidR="0042735E">
        <w:rPr>
          <w:rFonts w:hint="cs"/>
          <w:sz w:val="24"/>
          <w:rtl/>
        </w:rPr>
        <w:t>בקשות ל</w:t>
      </w:r>
      <w:r w:rsidR="006F1917">
        <w:rPr>
          <w:rFonts w:hint="cs"/>
          <w:sz w:val="24"/>
          <w:rtl/>
        </w:rPr>
        <w:t>מידע נוסף הקשור לפטנטים</w:t>
      </w:r>
      <w:r w:rsidR="0042735E">
        <w:rPr>
          <w:rFonts w:hint="cs"/>
          <w:sz w:val="24"/>
          <w:rtl/>
        </w:rPr>
        <w:t>,</w:t>
      </w:r>
      <w:r w:rsidR="006F1917">
        <w:rPr>
          <w:rFonts w:hint="cs"/>
          <w:sz w:val="24"/>
          <w:rtl/>
        </w:rPr>
        <w:t xml:space="preserve"> בייחוד בתחומי הקנאביס הרפואי, </w:t>
      </w:r>
      <w:r w:rsidR="0042735E">
        <w:rPr>
          <w:rFonts w:hint="cs"/>
          <w:sz w:val="24"/>
          <w:rtl/>
        </w:rPr>
        <w:t>ה</w:t>
      </w:r>
      <w:r w:rsidR="006F1917">
        <w:rPr>
          <w:rFonts w:hint="cs"/>
          <w:sz w:val="24"/>
          <w:rtl/>
        </w:rPr>
        <w:t>פארמה ו</w:t>
      </w:r>
      <w:r w:rsidR="0042735E">
        <w:rPr>
          <w:rFonts w:hint="cs"/>
          <w:sz w:val="24"/>
          <w:rtl/>
        </w:rPr>
        <w:t>ה</w:t>
      </w:r>
      <w:r w:rsidR="006F1917">
        <w:rPr>
          <w:rFonts w:hint="cs"/>
          <w:sz w:val="24"/>
          <w:rtl/>
        </w:rPr>
        <w:t xml:space="preserve">ביוטכנולוגיה, </w:t>
      </w:r>
      <w:r w:rsidR="0042735E">
        <w:rPr>
          <w:rFonts w:hint="cs"/>
          <w:sz w:val="24"/>
          <w:rtl/>
        </w:rPr>
        <w:t xml:space="preserve">אנא </w:t>
      </w:r>
      <w:r w:rsidR="006F1917">
        <w:rPr>
          <w:rFonts w:hint="cs"/>
          <w:sz w:val="24"/>
          <w:rtl/>
        </w:rPr>
        <w:t xml:space="preserve">כיתבו למחבר </w:t>
      </w:r>
      <w:r w:rsidR="00E00DBA">
        <w:rPr>
          <w:rFonts w:hint="cs"/>
          <w:sz w:val="24"/>
          <w:rtl/>
        </w:rPr>
        <w:t xml:space="preserve">המאמר </w:t>
      </w:r>
      <w:r w:rsidR="006F1917">
        <w:rPr>
          <w:rFonts w:hint="cs"/>
          <w:sz w:val="24"/>
          <w:rtl/>
        </w:rPr>
        <w:t xml:space="preserve">לכתובת </w:t>
      </w:r>
      <w:hyperlink r:id="rId11" w:history="1">
        <w:r w:rsidR="00276F2F" w:rsidRPr="004A0E6F">
          <w:rPr>
            <w:rStyle w:val="Hyperlink"/>
            <w:sz w:val="24"/>
          </w:rPr>
          <w:t>avraham.hermon@jmbdavis.com</w:t>
        </w:r>
      </w:hyperlink>
      <w:r w:rsidR="00276F2F">
        <w:rPr>
          <w:rFonts w:hint="cs"/>
          <w:sz w:val="24"/>
          <w:rtl/>
        </w:rPr>
        <w:t>.</w:t>
      </w:r>
    </w:p>
    <w:sectPr w:rsidR="006F1917" w:rsidRPr="00276F2F" w:rsidSect="0011189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65A5" w14:textId="77777777" w:rsidR="006E428D" w:rsidRDefault="006E428D" w:rsidP="002B764E">
      <w:pPr>
        <w:spacing w:after="0" w:line="240" w:lineRule="auto"/>
      </w:pPr>
      <w:r>
        <w:separator/>
      </w:r>
    </w:p>
  </w:endnote>
  <w:endnote w:type="continuationSeparator" w:id="0">
    <w:p w14:paraId="643A296F" w14:textId="77777777" w:rsidR="006E428D" w:rsidRDefault="006E428D" w:rsidP="002B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2278752"/>
      <w:docPartObj>
        <w:docPartGallery w:val="Page Numbers (Bottom of Page)"/>
        <w:docPartUnique/>
      </w:docPartObj>
    </w:sdtPr>
    <w:sdtEndPr/>
    <w:sdtContent>
      <w:p w14:paraId="4966D2BF" w14:textId="77777777" w:rsidR="006F1917" w:rsidRDefault="006E428D">
        <w:pPr>
          <w:pStyle w:val="Footer"/>
          <w:jc w:val="center"/>
        </w:pPr>
        <w:r>
          <w:rPr>
            <w:rFonts w:cs="Calibri"/>
            <w:noProof/>
            <w:lang w:val="he-IL"/>
          </w:rPr>
          <w:fldChar w:fldCharType="begin"/>
        </w:r>
        <w:r>
          <w:rPr>
            <w:rFonts w:cs="Calibri"/>
            <w:noProof/>
            <w:lang w:val="he-IL"/>
          </w:rPr>
          <w:instrText xml:space="preserve"> PAGE   \* MERGEFORMAT </w:instrText>
        </w:r>
        <w:r>
          <w:rPr>
            <w:rFonts w:cs="Calibri"/>
            <w:noProof/>
            <w:lang w:val="he-IL"/>
          </w:rPr>
          <w:fldChar w:fldCharType="separate"/>
        </w:r>
        <w:r w:rsidR="00506A8D" w:rsidRPr="00506A8D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08AFC2C8" w14:textId="77777777" w:rsidR="006F1917" w:rsidRDefault="006F1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DE94" w14:textId="77777777" w:rsidR="006E428D" w:rsidRDefault="006E428D" w:rsidP="002B764E">
      <w:pPr>
        <w:spacing w:after="0" w:line="240" w:lineRule="auto"/>
      </w:pPr>
      <w:r>
        <w:separator/>
      </w:r>
    </w:p>
  </w:footnote>
  <w:footnote w:type="continuationSeparator" w:id="0">
    <w:p w14:paraId="5FD3B99A" w14:textId="77777777" w:rsidR="006E428D" w:rsidRDefault="006E428D" w:rsidP="002B764E">
      <w:pPr>
        <w:spacing w:after="0" w:line="240" w:lineRule="auto"/>
      </w:pPr>
      <w:r>
        <w:continuationSeparator/>
      </w:r>
    </w:p>
  </w:footnote>
  <w:footnote w:id="1">
    <w:p w14:paraId="5F257A84" w14:textId="77777777" w:rsidR="00C47530" w:rsidRDefault="00C47530" w:rsidP="004A0E6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AA3397">
          <w:rPr>
            <w:rStyle w:val="Hyperlink"/>
          </w:rPr>
          <w:t>https://www.cannabisbusinesstimes.com/article/gw-pharma-no-patent-cannabinoids-epilepsy/Accessed on January 23</w:t>
        </w:r>
      </w:hyperlink>
      <w:r>
        <w:t>, 2019</w:t>
      </w:r>
    </w:p>
  </w:footnote>
  <w:footnote w:id="2">
    <w:p w14:paraId="3BD9FAD6" w14:textId="44AA87CB" w:rsidR="00C47530" w:rsidRDefault="00C47530" w:rsidP="004A0E6F">
      <w:pPr>
        <w:pStyle w:val="FootnoteText"/>
        <w:bidi w:val="0"/>
      </w:pPr>
      <w:r w:rsidRPr="006107B7">
        <w:rPr>
          <w:rStyle w:val="FootnoteReference"/>
          <w:u w:val="single"/>
        </w:rPr>
        <w:footnoteRef/>
      </w:r>
      <w:r w:rsidRPr="006107B7">
        <w:rPr>
          <w:u w:val="single"/>
          <w:rtl/>
        </w:rPr>
        <w:t xml:space="preserve"> </w:t>
      </w:r>
      <w:hyperlink r:id="rId2" w:history="1">
        <w:r w:rsidR="004A0E6F" w:rsidRPr="003A4E16">
          <w:rPr>
            <w:rStyle w:val="Hyperlink"/>
          </w:rPr>
          <w:t>https://www.beardbrospharms.com/news/2019/1/9/gw-pharma-denied-blanket-patent-on-treating-epilepsy-with-cannabinoids</w:t>
        </w:r>
      </w:hyperlink>
      <w:r w:rsidR="004A0E6F">
        <w:t xml:space="preserve"> Accessed on February 6, 2019. </w:t>
      </w:r>
      <w:bookmarkStart w:id="0" w:name="_GoBack"/>
      <w:bookmarkEnd w:id="0"/>
    </w:p>
  </w:footnote>
  <w:footnote w:id="3">
    <w:p w14:paraId="3478B843" w14:textId="77777777" w:rsidR="00BC2DF2" w:rsidRDefault="00BC2DF2" w:rsidP="004A0E6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3" w:history="1">
        <w:r w:rsidRPr="00AA3397">
          <w:rPr>
            <w:rStyle w:val="Hyperlink"/>
          </w:rPr>
          <w:t>https://www.accessdata.fda.gov/drugsatfda docs/label/2018/210365lbl.pdf</w:t>
        </w:r>
      </w:hyperlink>
      <w:r>
        <w:t xml:space="preserve"> Accessed on February 6, 2019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5269743"/>
      <w:docPartObj>
        <w:docPartGallery w:val="Page Numbers (Top of Page)"/>
        <w:docPartUnique/>
      </w:docPartObj>
    </w:sdtPr>
    <w:sdtEndPr/>
    <w:sdtContent>
      <w:p w14:paraId="6D5CCCA6" w14:textId="77777777" w:rsidR="000D5A2B" w:rsidRDefault="006E428D">
        <w:pPr>
          <w:pStyle w:val="Header"/>
          <w:jc w:val="center"/>
        </w:pPr>
        <w:r>
          <w:rPr>
            <w:rFonts w:cs="Calibri"/>
            <w:noProof/>
            <w:lang w:val="he-IL"/>
          </w:rPr>
          <w:fldChar w:fldCharType="begin"/>
        </w:r>
        <w:r>
          <w:rPr>
            <w:rFonts w:cs="Calibri"/>
            <w:noProof/>
            <w:lang w:val="he-IL"/>
          </w:rPr>
          <w:instrText xml:space="preserve"> PAGE   \* MERGEFORMAT </w:instrText>
        </w:r>
        <w:r>
          <w:rPr>
            <w:rFonts w:cs="Calibri"/>
            <w:noProof/>
            <w:lang w:val="he-IL"/>
          </w:rPr>
          <w:fldChar w:fldCharType="separate"/>
        </w:r>
        <w:r w:rsidR="00506A8D" w:rsidRPr="00506A8D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1C23F039" w14:textId="77777777" w:rsidR="000D5A2B" w:rsidRDefault="000D5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616"/>
    <w:rsid w:val="00012F26"/>
    <w:rsid w:val="000142B5"/>
    <w:rsid w:val="00014B42"/>
    <w:rsid w:val="0001753E"/>
    <w:rsid w:val="00035409"/>
    <w:rsid w:val="000416B5"/>
    <w:rsid w:val="00044933"/>
    <w:rsid w:val="00045BFA"/>
    <w:rsid w:val="0006061B"/>
    <w:rsid w:val="0007784D"/>
    <w:rsid w:val="00081C14"/>
    <w:rsid w:val="000837F1"/>
    <w:rsid w:val="000917A3"/>
    <w:rsid w:val="000A029A"/>
    <w:rsid w:val="000A0779"/>
    <w:rsid w:val="000A0B05"/>
    <w:rsid w:val="000A495C"/>
    <w:rsid w:val="000B351E"/>
    <w:rsid w:val="000B4901"/>
    <w:rsid w:val="000C0C22"/>
    <w:rsid w:val="000C39E5"/>
    <w:rsid w:val="000D5A2B"/>
    <w:rsid w:val="000D7741"/>
    <w:rsid w:val="000E033E"/>
    <w:rsid w:val="000E465E"/>
    <w:rsid w:val="000F7ECC"/>
    <w:rsid w:val="001033F0"/>
    <w:rsid w:val="00104864"/>
    <w:rsid w:val="001078C3"/>
    <w:rsid w:val="00111896"/>
    <w:rsid w:val="00114EE2"/>
    <w:rsid w:val="00123923"/>
    <w:rsid w:val="00154C27"/>
    <w:rsid w:val="00161B02"/>
    <w:rsid w:val="00162600"/>
    <w:rsid w:val="001650B3"/>
    <w:rsid w:val="00167C81"/>
    <w:rsid w:val="0017610C"/>
    <w:rsid w:val="00185616"/>
    <w:rsid w:val="00186EC9"/>
    <w:rsid w:val="00192510"/>
    <w:rsid w:val="00194393"/>
    <w:rsid w:val="001A2264"/>
    <w:rsid w:val="001A27DB"/>
    <w:rsid w:val="001A5A14"/>
    <w:rsid w:val="001A6B70"/>
    <w:rsid w:val="001B00A8"/>
    <w:rsid w:val="001B24F8"/>
    <w:rsid w:val="001C246E"/>
    <w:rsid w:val="001C7B5B"/>
    <w:rsid w:val="001C7F31"/>
    <w:rsid w:val="001D1C2C"/>
    <w:rsid w:val="001D5BC4"/>
    <w:rsid w:val="001D61A0"/>
    <w:rsid w:val="001D704F"/>
    <w:rsid w:val="001D723E"/>
    <w:rsid w:val="001E4FF9"/>
    <w:rsid w:val="001F44B6"/>
    <w:rsid w:val="001F4564"/>
    <w:rsid w:val="001F582F"/>
    <w:rsid w:val="001F6C70"/>
    <w:rsid w:val="002007C2"/>
    <w:rsid w:val="00201D14"/>
    <w:rsid w:val="00202A89"/>
    <w:rsid w:val="00203482"/>
    <w:rsid w:val="00205A4A"/>
    <w:rsid w:val="00233A60"/>
    <w:rsid w:val="00233B40"/>
    <w:rsid w:val="00241D65"/>
    <w:rsid w:val="002434AD"/>
    <w:rsid w:val="002532A6"/>
    <w:rsid w:val="002710E3"/>
    <w:rsid w:val="00271EA2"/>
    <w:rsid w:val="00272BCE"/>
    <w:rsid w:val="00273992"/>
    <w:rsid w:val="00276F2F"/>
    <w:rsid w:val="0028158D"/>
    <w:rsid w:val="00285BB5"/>
    <w:rsid w:val="00290E45"/>
    <w:rsid w:val="002B2881"/>
    <w:rsid w:val="002B764E"/>
    <w:rsid w:val="002C6ED2"/>
    <w:rsid w:val="002E1B4F"/>
    <w:rsid w:val="002F1FBF"/>
    <w:rsid w:val="00306CB5"/>
    <w:rsid w:val="003271D7"/>
    <w:rsid w:val="003328B2"/>
    <w:rsid w:val="00346CE8"/>
    <w:rsid w:val="00351159"/>
    <w:rsid w:val="00367F74"/>
    <w:rsid w:val="00371DF6"/>
    <w:rsid w:val="0037340D"/>
    <w:rsid w:val="00374D82"/>
    <w:rsid w:val="00393640"/>
    <w:rsid w:val="003A50F4"/>
    <w:rsid w:val="003A75AA"/>
    <w:rsid w:val="003B4E85"/>
    <w:rsid w:val="003B6F16"/>
    <w:rsid w:val="003B6F62"/>
    <w:rsid w:val="003B73B0"/>
    <w:rsid w:val="003C2764"/>
    <w:rsid w:val="003C3BC7"/>
    <w:rsid w:val="003D08D4"/>
    <w:rsid w:val="003D5085"/>
    <w:rsid w:val="003F0728"/>
    <w:rsid w:val="003F1DF6"/>
    <w:rsid w:val="00400CBA"/>
    <w:rsid w:val="00402BA1"/>
    <w:rsid w:val="00407FA2"/>
    <w:rsid w:val="00413011"/>
    <w:rsid w:val="00416AE0"/>
    <w:rsid w:val="00426462"/>
    <w:rsid w:val="0042735E"/>
    <w:rsid w:val="004325E7"/>
    <w:rsid w:val="0043325B"/>
    <w:rsid w:val="00453ED7"/>
    <w:rsid w:val="00455F8D"/>
    <w:rsid w:val="00457742"/>
    <w:rsid w:val="004646F3"/>
    <w:rsid w:val="00471288"/>
    <w:rsid w:val="0047169B"/>
    <w:rsid w:val="00484F57"/>
    <w:rsid w:val="00490C95"/>
    <w:rsid w:val="004914F7"/>
    <w:rsid w:val="004A0E6F"/>
    <w:rsid w:val="004A18DE"/>
    <w:rsid w:val="004A5127"/>
    <w:rsid w:val="004A769B"/>
    <w:rsid w:val="004E4E32"/>
    <w:rsid w:val="004E7D56"/>
    <w:rsid w:val="004F34A7"/>
    <w:rsid w:val="0050149C"/>
    <w:rsid w:val="00505A01"/>
    <w:rsid w:val="00505D31"/>
    <w:rsid w:val="00506A8D"/>
    <w:rsid w:val="00511229"/>
    <w:rsid w:val="00520769"/>
    <w:rsid w:val="00523521"/>
    <w:rsid w:val="005262E1"/>
    <w:rsid w:val="005270F3"/>
    <w:rsid w:val="0055023D"/>
    <w:rsid w:val="00571F70"/>
    <w:rsid w:val="0057424F"/>
    <w:rsid w:val="00574450"/>
    <w:rsid w:val="005768AD"/>
    <w:rsid w:val="00576C12"/>
    <w:rsid w:val="00593B17"/>
    <w:rsid w:val="00595CC7"/>
    <w:rsid w:val="005A5F8B"/>
    <w:rsid w:val="005B4B14"/>
    <w:rsid w:val="005C46B2"/>
    <w:rsid w:val="005D315C"/>
    <w:rsid w:val="005D4B24"/>
    <w:rsid w:val="005E2050"/>
    <w:rsid w:val="005E5B0D"/>
    <w:rsid w:val="005F5126"/>
    <w:rsid w:val="005F51AF"/>
    <w:rsid w:val="00605DFC"/>
    <w:rsid w:val="00606EFF"/>
    <w:rsid w:val="006107B7"/>
    <w:rsid w:val="0061754E"/>
    <w:rsid w:val="00617C52"/>
    <w:rsid w:val="00622667"/>
    <w:rsid w:val="0063033C"/>
    <w:rsid w:val="00637D2B"/>
    <w:rsid w:val="006430F9"/>
    <w:rsid w:val="00644C65"/>
    <w:rsid w:val="00645F18"/>
    <w:rsid w:val="006506B5"/>
    <w:rsid w:val="00656149"/>
    <w:rsid w:val="00656D18"/>
    <w:rsid w:val="00661A96"/>
    <w:rsid w:val="0067084A"/>
    <w:rsid w:val="00672418"/>
    <w:rsid w:val="00673033"/>
    <w:rsid w:val="006806B6"/>
    <w:rsid w:val="00683E22"/>
    <w:rsid w:val="006A48D0"/>
    <w:rsid w:val="006B36A6"/>
    <w:rsid w:val="006C73F4"/>
    <w:rsid w:val="006C79E2"/>
    <w:rsid w:val="006D12EB"/>
    <w:rsid w:val="006D5A76"/>
    <w:rsid w:val="006E428D"/>
    <w:rsid w:val="006F0221"/>
    <w:rsid w:val="006F1917"/>
    <w:rsid w:val="006F2A46"/>
    <w:rsid w:val="006F2C5E"/>
    <w:rsid w:val="007009AD"/>
    <w:rsid w:val="007060FA"/>
    <w:rsid w:val="00716064"/>
    <w:rsid w:val="007160EF"/>
    <w:rsid w:val="0072243E"/>
    <w:rsid w:val="00733C62"/>
    <w:rsid w:val="00750275"/>
    <w:rsid w:val="00752AC8"/>
    <w:rsid w:val="00755BEA"/>
    <w:rsid w:val="007578FF"/>
    <w:rsid w:val="007649A2"/>
    <w:rsid w:val="00766C15"/>
    <w:rsid w:val="00767A16"/>
    <w:rsid w:val="007907E5"/>
    <w:rsid w:val="00796793"/>
    <w:rsid w:val="007A08DB"/>
    <w:rsid w:val="007A649C"/>
    <w:rsid w:val="007D3ADF"/>
    <w:rsid w:val="007D6D1C"/>
    <w:rsid w:val="007E1792"/>
    <w:rsid w:val="007E1A92"/>
    <w:rsid w:val="007E354E"/>
    <w:rsid w:val="007F184F"/>
    <w:rsid w:val="007F4CA0"/>
    <w:rsid w:val="007F79FE"/>
    <w:rsid w:val="00804943"/>
    <w:rsid w:val="00832BA1"/>
    <w:rsid w:val="0084020D"/>
    <w:rsid w:val="008456B1"/>
    <w:rsid w:val="008478D8"/>
    <w:rsid w:val="00865322"/>
    <w:rsid w:val="008766D9"/>
    <w:rsid w:val="00876DB7"/>
    <w:rsid w:val="00881E83"/>
    <w:rsid w:val="00891906"/>
    <w:rsid w:val="00893D4C"/>
    <w:rsid w:val="00897690"/>
    <w:rsid w:val="008B3C3F"/>
    <w:rsid w:val="008C00CF"/>
    <w:rsid w:val="008C4016"/>
    <w:rsid w:val="008C5AC4"/>
    <w:rsid w:val="008D06C3"/>
    <w:rsid w:val="008D0B8F"/>
    <w:rsid w:val="008D3FE2"/>
    <w:rsid w:val="008E32F1"/>
    <w:rsid w:val="008E677F"/>
    <w:rsid w:val="0090212B"/>
    <w:rsid w:val="00920DB5"/>
    <w:rsid w:val="00931E17"/>
    <w:rsid w:val="00931F48"/>
    <w:rsid w:val="009806BD"/>
    <w:rsid w:val="009810FA"/>
    <w:rsid w:val="00987B53"/>
    <w:rsid w:val="00987C4B"/>
    <w:rsid w:val="00993F82"/>
    <w:rsid w:val="00994501"/>
    <w:rsid w:val="00995BBE"/>
    <w:rsid w:val="009A2DD4"/>
    <w:rsid w:val="009A4559"/>
    <w:rsid w:val="009C16D2"/>
    <w:rsid w:val="009D0F33"/>
    <w:rsid w:val="009D26BA"/>
    <w:rsid w:val="009E30BA"/>
    <w:rsid w:val="009E6E16"/>
    <w:rsid w:val="009E7C7B"/>
    <w:rsid w:val="00A067AF"/>
    <w:rsid w:val="00A1736B"/>
    <w:rsid w:val="00A27A7E"/>
    <w:rsid w:val="00A3053A"/>
    <w:rsid w:val="00A35A31"/>
    <w:rsid w:val="00A373D5"/>
    <w:rsid w:val="00A413E7"/>
    <w:rsid w:val="00A422DC"/>
    <w:rsid w:val="00A50ECE"/>
    <w:rsid w:val="00A558E4"/>
    <w:rsid w:val="00A620BA"/>
    <w:rsid w:val="00A63FD0"/>
    <w:rsid w:val="00A65AE8"/>
    <w:rsid w:val="00A7121C"/>
    <w:rsid w:val="00A7161B"/>
    <w:rsid w:val="00A72504"/>
    <w:rsid w:val="00A82384"/>
    <w:rsid w:val="00A82E24"/>
    <w:rsid w:val="00A82F0A"/>
    <w:rsid w:val="00A83DE6"/>
    <w:rsid w:val="00A95A15"/>
    <w:rsid w:val="00AB10FA"/>
    <w:rsid w:val="00AB4281"/>
    <w:rsid w:val="00AD420C"/>
    <w:rsid w:val="00AF0067"/>
    <w:rsid w:val="00AF2436"/>
    <w:rsid w:val="00B1337D"/>
    <w:rsid w:val="00B176A6"/>
    <w:rsid w:val="00B235A4"/>
    <w:rsid w:val="00B25125"/>
    <w:rsid w:val="00B42D9F"/>
    <w:rsid w:val="00B60918"/>
    <w:rsid w:val="00B845B6"/>
    <w:rsid w:val="00B92A27"/>
    <w:rsid w:val="00BA053F"/>
    <w:rsid w:val="00BA2AA2"/>
    <w:rsid w:val="00BA5854"/>
    <w:rsid w:val="00BA73E6"/>
    <w:rsid w:val="00BB0586"/>
    <w:rsid w:val="00BB285D"/>
    <w:rsid w:val="00BC2DF2"/>
    <w:rsid w:val="00BC70B8"/>
    <w:rsid w:val="00BF5FD7"/>
    <w:rsid w:val="00C1208B"/>
    <w:rsid w:val="00C13309"/>
    <w:rsid w:val="00C163E9"/>
    <w:rsid w:val="00C32755"/>
    <w:rsid w:val="00C33820"/>
    <w:rsid w:val="00C34182"/>
    <w:rsid w:val="00C34D61"/>
    <w:rsid w:val="00C457EF"/>
    <w:rsid w:val="00C47530"/>
    <w:rsid w:val="00C51DAA"/>
    <w:rsid w:val="00C527B2"/>
    <w:rsid w:val="00C531C4"/>
    <w:rsid w:val="00C552DC"/>
    <w:rsid w:val="00C57B54"/>
    <w:rsid w:val="00C608AD"/>
    <w:rsid w:val="00C61A8F"/>
    <w:rsid w:val="00C72008"/>
    <w:rsid w:val="00C74212"/>
    <w:rsid w:val="00C84823"/>
    <w:rsid w:val="00C86303"/>
    <w:rsid w:val="00C97C78"/>
    <w:rsid w:val="00CA0CCE"/>
    <w:rsid w:val="00CA1C66"/>
    <w:rsid w:val="00CA1D6F"/>
    <w:rsid w:val="00CA553B"/>
    <w:rsid w:val="00CE35D5"/>
    <w:rsid w:val="00CF354D"/>
    <w:rsid w:val="00CF5AEC"/>
    <w:rsid w:val="00CF74EA"/>
    <w:rsid w:val="00D01143"/>
    <w:rsid w:val="00D03B1D"/>
    <w:rsid w:val="00D16B00"/>
    <w:rsid w:val="00D20A5E"/>
    <w:rsid w:val="00D30B9D"/>
    <w:rsid w:val="00D333BC"/>
    <w:rsid w:val="00D353B3"/>
    <w:rsid w:val="00D41CC8"/>
    <w:rsid w:val="00D46112"/>
    <w:rsid w:val="00D53750"/>
    <w:rsid w:val="00D54CF8"/>
    <w:rsid w:val="00D65B20"/>
    <w:rsid w:val="00D73878"/>
    <w:rsid w:val="00D90E6B"/>
    <w:rsid w:val="00DB154F"/>
    <w:rsid w:val="00DB2A16"/>
    <w:rsid w:val="00DB42DC"/>
    <w:rsid w:val="00DB6AFF"/>
    <w:rsid w:val="00DC3A1C"/>
    <w:rsid w:val="00DD6AF6"/>
    <w:rsid w:val="00DE653E"/>
    <w:rsid w:val="00DE7502"/>
    <w:rsid w:val="00DF06FA"/>
    <w:rsid w:val="00DF755C"/>
    <w:rsid w:val="00E00DBA"/>
    <w:rsid w:val="00E076A5"/>
    <w:rsid w:val="00E1772B"/>
    <w:rsid w:val="00E20539"/>
    <w:rsid w:val="00E20D83"/>
    <w:rsid w:val="00E21894"/>
    <w:rsid w:val="00E241D3"/>
    <w:rsid w:val="00E24576"/>
    <w:rsid w:val="00E25696"/>
    <w:rsid w:val="00E464CC"/>
    <w:rsid w:val="00E55204"/>
    <w:rsid w:val="00EA05C9"/>
    <w:rsid w:val="00EA3050"/>
    <w:rsid w:val="00EC3B73"/>
    <w:rsid w:val="00ED13F2"/>
    <w:rsid w:val="00EE1057"/>
    <w:rsid w:val="00EE512E"/>
    <w:rsid w:val="00EF5258"/>
    <w:rsid w:val="00EF7B1E"/>
    <w:rsid w:val="00EF7CC7"/>
    <w:rsid w:val="00F039B8"/>
    <w:rsid w:val="00F05351"/>
    <w:rsid w:val="00F115AD"/>
    <w:rsid w:val="00F137BE"/>
    <w:rsid w:val="00F165B9"/>
    <w:rsid w:val="00F20764"/>
    <w:rsid w:val="00F3210B"/>
    <w:rsid w:val="00F34721"/>
    <w:rsid w:val="00F34A0F"/>
    <w:rsid w:val="00F47328"/>
    <w:rsid w:val="00F52BA4"/>
    <w:rsid w:val="00F56308"/>
    <w:rsid w:val="00F62DEB"/>
    <w:rsid w:val="00F6378C"/>
    <w:rsid w:val="00F86A0B"/>
    <w:rsid w:val="00F86B36"/>
    <w:rsid w:val="00F90774"/>
    <w:rsid w:val="00FA443C"/>
    <w:rsid w:val="00FB693D"/>
    <w:rsid w:val="00FB7EFC"/>
    <w:rsid w:val="00FC0D04"/>
    <w:rsid w:val="00FC3843"/>
    <w:rsid w:val="00FC4971"/>
    <w:rsid w:val="00FF1D76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191E"/>
  <w15:docId w15:val="{7F603505-3406-4C3E-8947-82BCCB76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6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64E"/>
  </w:style>
  <w:style w:type="paragraph" w:styleId="Footer">
    <w:name w:val="footer"/>
    <w:basedOn w:val="Normal"/>
    <w:link w:val="FooterChar"/>
    <w:uiPriority w:val="99"/>
    <w:unhideWhenUsed/>
    <w:rsid w:val="002B7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64E"/>
  </w:style>
  <w:style w:type="paragraph" w:styleId="NormalWeb">
    <w:name w:val="Normal (Web)"/>
    <w:basedOn w:val="Normal"/>
    <w:uiPriority w:val="99"/>
    <w:semiHidden/>
    <w:unhideWhenUsed/>
    <w:rsid w:val="00920D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53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5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5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5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75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75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753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6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pharm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mbdavis.com/professionals/hermon-avraha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vraham.hermon@jmbdav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tft.uspto.gov/netacgi/nph-Parser?Sect1=PTO1&amp;Sect2=HITOFF&amp;d=PALL&amp;p=1&amp;u=%2Fnetahtml%2FPTO%2Fsrchnum.htm&amp;r=1&amp;f=G&amp;l=50&amp;s1=9,066,920.PN.&amp;OS=PN/9,066,920&amp;RS=PN/9,066,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mbdavis.com/ip-in-the-medical-cannabis-industry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ccessdata.fda.gov/drugsatfda%20docs/label/2018/210365lbl.pdf" TargetMode="External"/><Relationship Id="rId2" Type="http://schemas.openxmlformats.org/officeDocument/2006/relationships/hyperlink" Target="https://www.beardbrospharms.com/news/2019/1/9/gw-pharma-denied-blanket-patent-on-treating-epilepsy-with-cannabinoids" TargetMode="External"/><Relationship Id="rId1" Type="http://schemas.openxmlformats.org/officeDocument/2006/relationships/hyperlink" Target="https://www.cannabisbusinesstimes.com/article/gw-pharma-no-patent-cannabinoids-epilepsy/Accessed%20on%20January%202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D8B2-464C-4B4D-8070-7F2F1CFC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Liron</cp:lastModifiedBy>
  <cp:revision>5</cp:revision>
  <cp:lastPrinted>2019-02-21T04:45:00Z</cp:lastPrinted>
  <dcterms:created xsi:type="dcterms:W3CDTF">2019-02-21T06:34:00Z</dcterms:created>
  <dcterms:modified xsi:type="dcterms:W3CDTF">2019-02-21T08:07:00Z</dcterms:modified>
</cp:coreProperties>
</file>