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A5002" w14:textId="303F03C3" w:rsidR="00472D06" w:rsidRPr="00701E56" w:rsidRDefault="001814E0" w:rsidP="00AB7ADD">
      <w:pPr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</w:pPr>
      <w:r w:rsidRPr="00701E56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Net</w:t>
      </w:r>
      <w:r w:rsidR="00AB7ADD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an</w:t>
      </w:r>
      <w:r w:rsidRPr="00701E56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el Flamer</w:t>
      </w:r>
    </w:p>
    <w:p w14:paraId="3C60E9BE" w14:textId="66D786B0" w:rsidR="001814E0" w:rsidRPr="00701E56" w:rsidRDefault="001814E0" w:rsidP="00701E56">
      <w:pPr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</w:pPr>
      <w:r w:rsidRPr="00701E56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Budget Explanation</w:t>
      </w:r>
    </w:p>
    <w:p w14:paraId="63579ACA" w14:textId="77777777" w:rsidR="001814E0" w:rsidRPr="00701E56" w:rsidRDefault="001814E0" w:rsidP="00701E56">
      <w:pPr>
        <w:pStyle w:val="Default"/>
        <w:spacing w:line="360" w:lineRule="auto"/>
        <w:rPr>
          <w:rFonts w:asciiTheme="majorBidi" w:hAnsiTheme="majorBidi" w:cstheme="majorBidi"/>
        </w:rPr>
      </w:pPr>
    </w:p>
    <w:p w14:paraId="32DA1F29" w14:textId="101A2BDD" w:rsidR="001814E0" w:rsidRPr="00701E56" w:rsidRDefault="001814E0" w:rsidP="007010A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 The Requested budget for this research, $</w:t>
      </w:r>
      <w:r w:rsidR="00701E56" w:rsidRPr="00701E56">
        <w:rPr>
          <w:rFonts w:asciiTheme="majorBidi" w:hAnsiTheme="majorBidi" w:cstheme="majorBidi"/>
        </w:rPr>
        <w:t>3</w:t>
      </w:r>
      <w:r w:rsidR="00BE0258">
        <w:rPr>
          <w:rFonts w:asciiTheme="majorBidi" w:hAnsiTheme="majorBidi" w:cstheme="majorBidi"/>
        </w:rPr>
        <w:t>6</w:t>
      </w:r>
      <w:r w:rsidR="00701E56" w:rsidRPr="00701E56">
        <w:rPr>
          <w:rFonts w:asciiTheme="majorBidi" w:hAnsiTheme="majorBidi" w:cstheme="majorBidi"/>
        </w:rPr>
        <w:t>,</w:t>
      </w:r>
      <w:r w:rsidR="00BE0258">
        <w:rPr>
          <w:rFonts w:asciiTheme="majorBidi" w:hAnsiTheme="majorBidi" w:cstheme="majorBidi"/>
        </w:rPr>
        <w:t>558</w:t>
      </w:r>
      <w:r w:rsidRPr="00701E56">
        <w:rPr>
          <w:rFonts w:asciiTheme="majorBidi" w:hAnsiTheme="majorBidi" w:cstheme="majorBidi"/>
        </w:rPr>
        <w:t xml:space="preserve">, covers three main items: </w:t>
      </w:r>
    </w:p>
    <w:p w14:paraId="74EA3152" w14:textId="4F9B2DA1" w:rsidR="001814E0" w:rsidRPr="00701E56" w:rsidRDefault="000A6419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r w:rsidRPr="00701E56">
        <w:rPr>
          <w:rFonts w:asciiTheme="majorBidi" w:hAnsiTheme="majorBidi" w:cstheme="majorBidi"/>
        </w:rPr>
        <w:t>Salary</w:t>
      </w:r>
      <w:r w:rsidR="00701E56" w:rsidRPr="00701E56">
        <w:rPr>
          <w:rFonts w:asciiTheme="majorBidi" w:hAnsiTheme="majorBidi" w:cstheme="majorBidi"/>
        </w:rPr>
        <w:t xml:space="preserve"> for the P</w:t>
      </w:r>
      <w:r w:rsidR="003E1A54">
        <w:rPr>
          <w:rFonts w:asciiTheme="majorBidi" w:hAnsiTheme="majorBidi" w:cstheme="majorBidi"/>
        </w:rPr>
        <w:t xml:space="preserve">rinciple </w:t>
      </w:r>
      <w:r w:rsidR="00701E56" w:rsidRPr="00701E56">
        <w:rPr>
          <w:rFonts w:asciiTheme="majorBidi" w:hAnsiTheme="majorBidi" w:cstheme="majorBidi"/>
        </w:rPr>
        <w:t>I</w:t>
      </w:r>
      <w:r w:rsidR="003E1A54">
        <w:rPr>
          <w:rFonts w:asciiTheme="majorBidi" w:hAnsiTheme="majorBidi" w:cstheme="majorBidi"/>
        </w:rPr>
        <w:t>nvestigator</w:t>
      </w:r>
      <w:r w:rsidR="00701E56" w:rsidRPr="00701E56">
        <w:rPr>
          <w:rFonts w:asciiTheme="majorBidi" w:hAnsiTheme="majorBidi" w:cstheme="majorBidi"/>
        </w:rPr>
        <w:t>.</w:t>
      </w:r>
    </w:p>
    <w:p w14:paraId="5773174A" w14:textId="77777777" w:rsidR="001814E0" w:rsidRPr="00701E56" w:rsidRDefault="001814E0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2. The employment of two research assistants. </w:t>
      </w:r>
    </w:p>
    <w:p w14:paraId="75515F80" w14:textId="3CDB2BD8" w:rsidR="001814E0" w:rsidRPr="00701E56" w:rsidRDefault="001814E0" w:rsidP="007010A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3. Technical supplies such as </w:t>
      </w:r>
      <w:r w:rsidR="00701E56" w:rsidRPr="00701E56">
        <w:rPr>
          <w:rFonts w:asciiTheme="majorBidi" w:hAnsiTheme="majorBidi" w:cstheme="majorBidi"/>
        </w:rPr>
        <w:t>data storing</w:t>
      </w:r>
      <w:r w:rsidRPr="00701E56">
        <w:rPr>
          <w:rFonts w:asciiTheme="majorBidi" w:hAnsiTheme="majorBidi" w:cstheme="majorBidi"/>
        </w:rPr>
        <w:t xml:space="preserve"> and database subscription. </w:t>
      </w:r>
    </w:p>
    <w:p w14:paraId="7556F8DB" w14:textId="77777777" w:rsidR="001814E0" w:rsidRPr="00701E56" w:rsidRDefault="001814E0" w:rsidP="007010AD">
      <w:pPr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65B595EF" w14:textId="77777777" w:rsidR="00701E56" w:rsidRPr="00701E56" w:rsidRDefault="00701E56" w:rsidP="007010A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 </w:t>
      </w:r>
      <w:r w:rsidRPr="00701E56">
        <w:rPr>
          <w:rFonts w:asciiTheme="majorBidi" w:hAnsiTheme="majorBidi" w:cstheme="majorBidi"/>
          <w:u w:val="single"/>
        </w:rPr>
        <w:t>Detailed budget justification</w:t>
      </w:r>
      <w:r w:rsidRPr="00701E56">
        <w:rPr>
          <w:rFonts w:asciiTheme="majorBidi" w:hAnsiTheme="majorBidi" w:cstheme="majorBidi"/>
        </w:rPr>
        <w:t xml:space="preserve">: </w:t>
      </w:r>
    </w:p>
    <w:p w14:paraId="6A59208C" w14:textId="09830C18" w:rsidR="00701E56" w:rsidRDefault="00701E56" w:rsidP="007010A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01E56">
        <w:rPr>
          <w:rFonts w:asciiTheme="majorBidi" w:hAnsiTheme="majorBidi" w:cstheme="majorBidi"/>
          <w:sz w:val="24"/>
          <w:szCs w:val="24"/>
        </w:rPr>
        <w:t xml:space="preserve">A. </w:t>
      </w:r>
      <w:r w:rsidRPr="00701E56">
        <w:rPr>
          <w:rFonts w:asciiTheme="majorBidi" w:hAnsiTheme="majorBidi" w:cstheme="majorBidi"/>
          <w:b/>
          <w:bCs/>
          <w:i/>
          <w:iCs/>
          <w:sz w:val="24"/>
          <w:szCs w:val="24"/>
        </w:rPr>
        <w:t>Salary for principal investigator</w:t>
      </w:r>
      <w:r w:rsidRPr="00701E56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Pr="00701E5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701E56">
        <w:rPr>
          <w:rFonts w:asciiTheme="majorBidi" w:hAnsiTheme="majorBidi" w:cstheme="majorBidi"/>
        </w:rPr>
        <w:t xml:space="preserve"> 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total salary for the PI will be </w:t>
      </w:r>
      <w:r w:rsidRPr="00701E56">
        <w:rPr>
          <w:rFonts w:asciiTheme="majorBidi" w:hAnsiTheme="majorBidi" w:cstheme="majorBidi"/>
          <w:sz w:val="24"/>
          <w:szCs w:val="24"/>
        </w:rPr>
        <w:t>$</w:t>
      </w:r>
      <w:r>
        <w:rPr>
          <w:rFonts w:asciiTheme="majorBidi" w:hAnsiTheme="majorBidi" w:cstheme="majorBidi"/>
          <w:sz w:val="24"/>
          <w:szCs w:val="24"/>
        </w:rPr>
        <w:t>13,258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. This salary was calculated as 33% of the yearly salary of the PI ($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7,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550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with an additional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% Fringe Benefits ($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867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as shown in Table </w:t>
      </w:r>
      <w:r w:rsidR="00494A9E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491"/>
        <w:gridCol w:w="2120"/>
        <w:gridCol w:w="1844"/>
        <w:gridCol w:w="1773"/>
      </w:tblGrid>
      <w:tr w:rsidR="00494A9E" w:rsidRPr="00701E56" w14:paraId="06834B61" w14:textId="77777777" w:rsidTr="00494A9E">
        <w:trPr>
          <w:cantSplit/>
          <w:tblHeader/>
          <w:jc w:val="center"/>
        </w:trPr>
        <w:tc>
          <w:tcPr>
            <w:tcW w:w="2122" w:type="dxa"/>
            <w:shd w:val="clear" w:color="auto" w:fill="CCCCCC"/>
            <w:vAlign w:val="center"/>
          </w:tcPr>
          <w:p w14:paraId="14E88B1F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Role/ Name</w:t>
            </w:r>
          </w:p>
        </w:tc>
        <w:tc>
          <w:tcPr>
            <w:tcW w:w="1491" w:type="dxa"/>
            <w:shd w:val="clear" w:color="auto" w:fill="CCCCCC"/>
            <w:vAlign w:val="center"/>
          </w:tcPr>
          <w:p w14:paraId="382DED8B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Annual Salary/Rate</w:t>
            </w:r>
          </w:p>
        </w:tc>
        <w:tc>
          <w:tcPr>
            <w:tcW w:w="2120" w:type="dxa"/>
            <w:shd w:val="clear" w:color="auto" w:fill="CCCCCC"/>
            <w:vAlign w:val="center"/>
          </w:tcPr>
          <w:p w14:paraId="54FEB9B2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Level of Effort</w:t>
            </w:r>
          </w:p>
        </w:tc>
        <w:tc>
          <w:tcPr>
            <w:tcW w:w="1844" w:type="dxa"/>
            <w:shd w:val="clear" w:color="auto" w:fill="CCCCCC"/>
            <w:vAlign w:val="center"/>
          </w:tcPr>
          <w:p w14:paraId="4B26D773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0" w:name="_Hlk47006920"/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Fringe Benefits</w:t>
            </w:r>
            <w:bookmarkEnd w:id="0"/>
          </w:p>
        </w:tc>
        <w:tc>
          <w:tcPr>
            <w:tcW w:w="1773" w:type="dxa"/>
            <w:shd w:val="clear" w:color="auto" w:fill="CCCCCC"/>
            <w:vAlign w:val="center"/>
          </w:tcPr>
          <w:p w14:paraId="2C24454C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Cost</w:t>
            </w:r>
          </w:p>
        </w:tc>
      </w:tr>
      <w:tr w:rsidR="00494A9E" w:rsidRPr="00701E56" w14:paraId="2F88974B" w14:textId="77777777" w:rsidTr="00494A9E">
        <w:trPr>
          <w:cantSplit/>
          <w:jc w:val="center"/>
        </w:trPr>
        <w:tc>
          <w:tcPr>
            <w:tcW w:w="2122" w:type="dxa"/>
            <w:vAlign w:val="center"/>
          </w:tcPr>
          <w:p w14:paraId="75EF88C0" w14:textId="46D33959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sz w:val="24"/>
                <w:szCs w:val="24"/>
              </w:rPr>
              <w:t xml:space="preserve">PI: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Netanel Flamer</w:t>
            </w:r>
          </w:p>
        </w:tc>
        <w:tc>
          <w:tcPr>
            <w:tcW w:w="1491" w:type="dxa"/>
            <w:vAlign w:val="center"/>
          </w:tcPr>
          <w:p w14:paraId="015E16A7" w14:textId="3716C643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701E56">
              <w:rPr>
                <w:rFonts w:asciiTheme="majorBidi" w:hAnsiTheme="majorBidi" w:cstheme="majorBidi"/>
                <w:sz w:val="24"/>
                <w:szCs w:val="24"/>
              </w:rPr>
              <w:t>7,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550</w:t>
            </w:r>
          </w:p>
        </w:tc>
        <w:tc>
          <w:tcPr>
            <w:tcW w:w="2120" w:type="dxa"/>
            <w:vAlign w:val="center"/>
          </w:tcPr>
          <w:p w14:paraId="1197C389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sz w:val="24"/>
                <w:szCs w:val="24"/>
              </w:rPr>
              <w:t>33%</w:t>
            </w:r>
          </w:p>
        </w:tc>
        <w:tc>
          <w:tcPr>
            <w:tcW w:w="1844" w:type="dxa"/>
            <w:vAlign w:val="center"/>
          </w:tcPr>
          <w:p w14:paraId="06352176" w14:textId="1F2FEFB8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701E5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773" w:type="dxa"/>
            <w:vAlign w:val="center"/>
          </w:tcPr>
          <w:p w14:paraId="3F515DCF" w14:textId="4448A9D5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13,258</w:t>
            </w:r>
          </w:p>
        </w:tc>
      </w:tr>
    </w:tbl>
    <w:p w14:paraId="55AF55CA" w14:textId="4EC2D13C" w:rsidR="00494A9E" w:rsidRPr="00494A9E" w:rsidRDefault="00494A9E" w:rsidP="007010AD">
      <w:pPr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0"/>
          <w:szCs w:val="20"/>
          <w:lang w:val="en-GB"/>
        </w:rPr>
      </w:pPr>
      <w:r w:rsidRPr="00494A9E">
        <w:rPr>
          <w:rFonts w:asciiTheme="majorBidi" w:hAnsiTheme="majorBidi" w:cstheme="majorBidi"/>
          <w:b/>
          <w:color w:val="000000" w:themeColor="text1"/>
          <w:sz w:val="20"/>
          <w:szCs w:val="20"/>
          <w:lang w:val="en-GB"/>
        </w:rPr>
        <w:t>Table</w:t>
      </w:r>
      <w:r>
        <w:rPr>
          <w:rFonts w:asciiTheme="majorBidi" w:hAnsiTheme="majorBidi" w:cstheme="majorBidi"/>
          <w:b/>
          <w:color w:val="000000" w:themeColor="text1"/>
          <w:sz w:val="20"/>
          <w:szCs w:val="20"/>
          <w:lang w:val="en-GB"/>
        </w:rPr>
        <w:t xml:space="preserve"> 1</w:t>
      </w:r>
    </w:p>
    <w:p w14:paraId="054733D7" w14:textId="77777777" w:rsidR="00494A9E" w:rsidRPr="00494A9E" w:rsidRDefault="00494A9E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494A9E">
        <w:rPr>
          <w:rFonts w:asciiTheme="majorBidi" w:hAnsiTheme="majorBidi" w:cstheme="majorBidi"/>
          <w:bCs/>
          <w:i/>
          <w:iCs/>
          <w:color w:val="000000" w:themeColor="text1"/>
          <w:sz w:val="20"/>
          <w:szCs w:val="20"/>
          <w:lang w:val="en-GB"/>
        </w:rPr>
        <w:t>Costs of Principle Investigator Salary</w:t>
      </w:r>
      <w:r w:rsidRPr="00494A9E">
        <w:rPr>
          <w:rFonts w:asciiTheme="majorBidi" w:hAnsiTheme="majorBidi" w:cstheme="majorBidi"/>
          <w:sz w:val="20"/>
          <w:szCs w:val="20"/>
        </w:rPr>
        <w:t xml:space="preserve"> </w:t>
      </w:r>
    </w:p>
    <w:p w14:paraId="66F8DA67" w14:textId="77777777" w:rsidR="00494A9E" w:rsidRDefault="00494A9E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</w:p>
    <w:p w14:paraId="4E494066" w14:textId="54D7D771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B.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co-principal </w:t>
      </w:r>
      <w:r w:rsidR="00F60653" w:rsidRPr="00701E56">
        <w:rPr>
          <w:rFonts w:asciiTheme="majorBidi" w:hAnsiTheme="majorBidi" w:cstheme="majorBidi"/>
          <w:b/>
          <w:bCs/>
          <w:i/>
          <w:iCs/>
        </w:rPr>
        <w:t xml:space="preserve">investigators </w:t>
      </w:r>
      <w:r w:rsidR="003E1A54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</w:t>
      </w:r>
      <w:r w:rsidRPr="00F60653">
        <w:rPr>
          <w:rFonts w:asciiTheme="majorBidi" w:hAnsiTheme="majorBidi" w:cstheme="majorBidi"/>
        </w:rPr>
        <w:t>No co-principal investigators will</w:t>
      </w:r>
      <w:r w:rsidRPr="00701E56">
        <w:rPr>
          <w:rFonts w:asciiTheme="majorBidi" w:hAnsiTheme="majorBidi" w:cstheme="majorBidi"/>
        </w:rPr>
        <w:t xml:space="preserve"> participate in this study </w:t>
      </w:r>
    </w:p>
    <w:p w14:paraId="6B3865D1" w14:textId="71B155C5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C.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Research personnel </w:t>
      </w:r>
      <w:r w:rsidRPr="00701E56">
        <w:rPr>
          <w:rFonts w:asciiTheme="majorBidi" w:hAnsiTheme="majorBidi" w:cstheme="majorBidi"/>
        </w:rPr>
        <w:t>will consist of two research assistants</w:t>
      </w:r>
      <w:r w:rsidR="00F60653">
        <w:rPr>
          <w:rFonts w:asciiTheme="majorBidi" w:hAnsiTheme="majorBidi" w:cstheme="majorBidi"/>
        </w:rPr>
        <w:t xml:space="preserve"> (RA)</w:t>
      </w:r>
      <w:r w:rsidRPr="00701E56">
        <w:rPr>
          <w:rFonts w:asciiTheme="majorBidi" w:hAnsiTheme="majorBidi" w:cstheme="majorBidi"/>
        </w:rPr>
        <w:t xml:space="preserve">, Israeli </w:t>
      </w:r>
      <w:r>
        <w:rPr>
          <w:rFonts w:asciiTheme="majorBidi" w:hAnsiTheme="majorBidi" w:cstheme="majorBidi"/>
        </w:rPr>
        <w:t>M.A.</w:t>
      </w:r>
      <w:r w:rsidR="00F60653">
        <w:rPr>
          <w:rFonts w:asciiTheme="majorBidi" w:hAnsiTheme="majorBidi" w:cstheme="majorBidi"/>
        </w:rPr>
        <w:t xml:space="preserve"> students. Both of them will be at least bilingual in Arabic and Hebrew</w:t>
      </w:r>
      <w:r w:rsidR="006E6128">
        <w:rPr>
          <w:rFonts w:asciiTheme="majorBidi" w:hAnsiTheme="majorBidi" w:cstheme="majorBidi"/>
        </w:rPr>
        <w:t>.</w:t>
      </w:r>
      <w:r w:rsidR="00F60653">
        <w:rPr>
          <w:rFonts w:asciiTheme="majorBidi" w:hAnsiTheme="majorBidi" w:cstheme="majorBidi"/>
        </w:rPr>
        <w:t xml:space="preserve"> </w:t>
      </w:r>
      <w:r w:rsidR="000A6419">
        <w:rPr>
          <w:rFonts w:asciiTheme="majorBidi" w:hAnsiTheme="majorBidi" w:cstheme="majorBidi"/>
        </w:rPr>
        <w:t>O</w:t>
      </w:r>
      <w:r w:rsidR="00F60653">
        <w:rPr>
          <w:rFonts w:asciiTheme="majorBidi" w:hAnsiTheme="majorBidi" w:cstheme="majorBidi"/>
        </w:rPr>
        <w:t xml:space="preserve">ne of them </w:t>
      </w:r>
      <w:r w:rsidR="006E6128">
        <w:rPr>
          <w:rFonts w:asciiTheme="majorBidi" w:hAnsiTheme="majorBidi" w:cstheme="majorBidi"/>
        </w:rPr>
        <w:t xml:space="preserve">will be also </w:t>
      </w:r>
      <w:r w:rsidR="006E6128" w:rsidRPr="00701E56">
        <w:rPr>
          <w:rFonts w:asciiTheme="majorBidi" w:hAnsiTheme="majorBidi" w:cstheme="majorBidi"/>
        </w:rPr>
        <w:t>proficient</w:t>
      </w:r>
      <w:r w:rsidR="006E6128">
        <w:rPr>
          <w:rFonts w:asciiTheme="majorBidi" w:hAnsiTheme="majorBidi" w:cstheme="majorBidi"/>
        </w:rPr>
        <w:t xml:space="preserve"> in</w:t>
      </w:r>
      <w:r w:rsidR="00F60653">
        <w:rPr>
          <w:rFonts w:asciiTheme="majorBidi" w:hAnsiTheme="majorBidi" w:cstheme="majorBidi"/>
        </w:rPr>
        <w:t xml:space="preserve"> Persian </w:t>
      </w:r>
      <w:r w:rsidR="006E6128">
        <w:rPr>
          <w:rFonts w:asciiTheme="majorBidi" w:hAnsiTheme="majorBidi" w:cstheme="majorBidi"/>
        </w:rPr>
        <w:t>and the other in English</w:t>
      </w:r>
      <w:r w:rsidR="00F60653">
        <w:rPr>
          <w:rFonts w:asciiTheme="majorBidi" w:hAnsiTheme="majorBidi" w:cstheme="majorBidi"/>
        </w:rPr>
        <w:t>.  The RAs will</w:t>
      </w:r>
      <w:r w:rsidR="00F60653" w:rsidRPr="00F60653">
        <w:rPr>
          <w:rFonts w:asciiTheme="majorBidi" w:hAnsiTheme="majorBidi" w:cstheme="majorBidi"/>
        </w:rPr>
        <w:t xml:space="preserve"> spend much of </w:t>
      </w:r>
      <w:r w:rsidR="00F60653">
        <w:rPr>
          <w:rFonts w:asciiTheme="majorBidi" w:hAnsiTheme="majorBidi" w:cstheme="majorBidi"/>
        </w:rPr>
        <w:t>their</w:t>
      </w:r>
      <w:r w:rsidR="00F60653" w:rsidRPr="00F60653">
        <w:rPr>
          <w:rFonts w:asciiTheme="majorBidi" w:hAnsiTheme="majorBidi" w:cstheme="majorBidi"/>
        </w:rPr>
        <w:t xml:space="preserve"> time in</w:t>
      </w:r>
      <w:r w:rsidR="00F60653">
        <w:rPr>
          <w:rFonts w:asciiTheme="majorBidi" w:hAnsiTheme="majorBidi" w:cstheme="majorBidi"/>
        </w:rPr>
        <w:t xml:space="preserve"> reading primary sources in Arabic</w:t>
      </w:r>
      <w:r w:rsidR="006E6128">
        <w:rPr>
          <w:rFonts w:asciiTheme="majorBidi" w:hAnsiTheme="majorBidi" w:cstheme="majorBidi"/>
        </w:rPr>
        <w:t xml:space="preserve"> (mainly in the </w:t>
      </w:r>
      <w:r w:rsidR="006E6128" w:rsidRPr="006E6128">
        <w:rPr>
          <w:rFonts w:asciiTheme="majorBidi" w:hAnsiTheme="majorBidi" w:cstheme="majorBidi"/>
        </w:rPr>
        <w:t>Moshe Dayan Arabic Press Archive</w:t>
      </w:r>
      <w:r w:rsidR="006E6128">
        <w:rPr>
          <w:rFonts w:asciiTheme="majorBidi" w:hAnsiTheme="majorBidi" w:cstheme="majorBidi"/>
        </w:rPr>
        <w:t xml:space="preserve"> in Tel Aviv)</w:t>
      </w:r>
      <w:r w:rsidR="00F60653">
        <w:rPr>
          <w:rFonts w:asciiTheme="majorBidi" w:hAnsiTheme="majorBidi" w:cstheme="majorBidi"/>
        </w:rPr>
        <w:t xml:space="preserve"> and </w:t>
      </w:r>
      <w:r w:rsidR="003C5F3E">
        <w:rPr>
          <w:rFonts w:asciiTheme="majorBidi" w:hAnsiTheme="majorBidi" w:cstheme="majorBidi"/>
        </w:rPr>
        <w:t>relevant sources in Hebrew to "separate the wheat from the chaff".</w:t>
      </w:r>
      <w:r w:rsidR="006E6128">
        <w:rPr>
          <w:rFonts w:asciiTheme="majorBidi" w:hAnsiTheme="majorBidi" w:cstheme="majorBidi"/>
        </w:rPr>
        <w:t xml:space="preserve"> </w:t>
      </w:r>
      <w:r w:rsidR="003C5F3E">
        <w:rPr>
          <w:rFonts w:asciiTheme="majorBidi" w:hAnsiTheme="majorBidi" w:cstheme="majorBidi"/>
        </w:rPr>
        <w:t xml:space="preserve"> RA</w:t>
      </w:r>
      <w:r w:rsidR="00F60653">
        <w:rPr>
          <w:rFonts w:asciiTheme="majorBidi" w:hAnsiTheme="majorBidi" w:cstheme="majorBidi"/>
        </w:rPr>
        <w:t xml:space="preserve"> No.1 </w:t>
      </w:r>
      <w:r w:rsidR="003C5F3E">
        <w:rPr>
          <w:rFonts w:asciiTheme="majorBidi" w:hAnsiTheme="majorBidi" w:cstheme="majorBidi"/>
        </w:rPr>
        <w:t xml:space="preserve">will do so </w:t>
      </w:r>
      <w:r w:rsidR="000A6419">
        <w:rPr>
          <w:rFonts w:asciiTheme="majorBidi" w:hAnsiTheme="majorBidi" w:cstheme="majorBidi"/>
        </w:rPr>
        <w:t>regarding</w:t>
      </w:r>
      <w:r w:rsidR="003C5F3E">
        <w:rPr>
          <w:rFonts w:asciiTheme="majorBidi" w:hAnsiTheme="majorBidi" w:cstheme="majorBidi"/>
        </w:rPr>
        <w:t xml:space="preserve"> Persian sources as well</w:t>
      </w:r>
      <w:r w:rsidRPr="00701E56">
        <w:rPr>
          <w:rFonts w:asciiTheme="majorBidi" w:hAnsiTheme="majorBidi" w:cstheme="majorBidi"/>
        </w:rPr>
        <w:t>.</w:t>
      </w:r>
      <w:r w:rsidR="006E6128">
        <w:rPr>
          <w:rFonts w:asciiTheme="majorBidi" w:hAnsiTheme="majorBidi" w:cstheme="majorBidi"/>
        </w:rPr>
        <w:t xml:space="preserve"> RA No.2 will </w:t>
      </w:r>
      <w:r w:rsidR="006E6128" w:rsidRPr="00701E56">
        <w:rPr>
          <w:rFonts w:asciiTheme="majorBidi" w:hAnsiTheme="majorBidi" w:cstheme="majorBidi"/>
        </w:rPr>
        <w:t xml:space="preserve">be responsible for collection of resources in </w:t>
      </w:r>
      <w:r w:rsidR="006E6128">
        <w:rPr>
          <w:rFonts w:asciiTheme="majorBidi" w:hAnsiTheme="majorBidi" w:cstheme="majorBidi"/>
        </w:rPr>
        <w:t>English and</w:t>
      </w:r>
      <w:r w:rsidR="006E6128" w:rsidRPr="00701E56">
        <w:rPr>
          <w:rFonts w:asciiTheme="majorBidi" w:hAnsiTheme="majorBidi" w:cstheme="majorBidi"/>
        </w:rPr>
        <w:t xml:space="preserve"> literature review</w:t>
      </w:r>
      <w:r w:rsidR="006E6128">
        <w:rPr>
          <w:rFonts w:asciiTheme="majorBidi" w:hAnsiTheme="majorBidi" w:cstheme="majorBidi"/>
        </w:rPr>
        <w:t xml:space="preserve">. </w:t>
      </w:r>
      <w:r w:rsidRPr="00701E56">
        <w:rPr>
          <w:rFonts w:asciiTheme="majorBidi" w:hAnsiTheme="majorBidi" w:cstheme="majorBidi"/>
        </w:rPr>
        <w:t>Each research assistant will be employed for one year in 3</w:t>
      </w:r>
      <w:r w:rsidR="006E6128">
        <w:rPr>
          <w:rFonts w:asciiTheme="majorBidi" w:hAnsiTheme="majorBidi" w:cstheme="majorBidi"/>
        </w:rPr>
        <w:t>3</w:t>
      </w:r>
      <w:r w:rsidRPr="00701E56">
        <w:rPr>
          <w:rFonts w:asciiTheme="majorBidi" w:hAnsiTheme="majorBidi" w:cstheme="majorBidi"/>
        </w:rPr>
        <w:t xml:space="preserve">% capacity, earning a $10,000 annual salary. </w:t>
      </w:r>
    </w:p>
    <w:p w14:paraId="6DA6EED2" w14:textId="603594E7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D. </w:t>
      </w:r>
      <w:r w:rsidR="00D25E5B">
        <w:rPr>
          <w:rFonts w:asciiTheme="majorBidi" w:hAnsiTheme="majorBidi" w:cstheme="majorBidi"/>
          <w:b/>
          <w:bCs/>
          <w:i/>
          <w:iCs/>
        </w:rPr>
        <w:t>Travel</w:t>
      </w:r>
      <w:r w:rsidR="003E1A54">
        <w:rPr>
          <w:rFonts w:asciiTheme="majorBidi" w:hAnsiTheme="majorBidi" w:cstheme="majorBidi"/>
          <w:b/>
          <w:bCs/>
          <w:i/>
          <w:iCs/>
        </w:rPr>
        <w:t xml:space="preserve"> –</w:t>
      </w:r>
      <w:r w:rsidR="00D25E5B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A6419">
        <w:rPr>
          <w:rFonts w:asciiTheme="majorBidi" w:hAnsiTheme="majorBidi" w:cstheme="majorBidi"/>
        </w:rPr>
        <w:t>B</w:t>
      </w:r>
      <w:r w:rsidR="00D25E5B">
        <w:rPr>
          <w:rFonts w:asciiTheme="majorBidi" w:hAnsiTheme="majorBidi" w:cstheme="majorBidi"/>
        </w:rPr>
        <w:t>udget</w:t>
      </w:r>
      <w:r w:rsidR="003E1A54">
        <w:rPr>
          <w:rFonts w:asciiTheme="majorBidi" w:hAnsiTheme="majorBidi" w:cstheme="majorBidi"/>
          <w:i/>
          <w:iCs/>
        </w:rPr>
        <w:t xml:space="preserve"> </w:t>
      </w:r>
      <w:r w:rsidR="00D25E5B" w:rsidRPr="00D25E5B">
        <w:rPr>
          <w:rFonts w:asciiTheme="majorBidi" w:hAnsiTheme="majorBidi" w:cstheme="majorBidi"/>
        </w:rPr>
        <w:t>is no</w:t>
      </w:r>
      <w:r w:rsidR="00D25E5B">
        <w:rPr>
          <w:rFonts w:asciiTheme="majorBidi" w:hAnsiTheme="majorBidi" w:cstheme="majorBidi"/>
        </w:rPr>
        <w:t>t</w:t>
      </w:r>
      <w:r w:rsidR="00D25E5B" w:rsidRPr="00D25E5B">
        <w:rPr>
          <w:rFonts w:asciiTheme="majorBidi" w:hAnsiTheme="majorBidi" w:cstheme="majorBidi"/>
        </w:rPr>
        <w:t xml:space="preserve"> required, since all the relevant </w:t>
      </w:r>
      <w:r w:rsidR="00D25E5B">
        <w:rPr>
          <w:rFonts w:asciiTheme="majorBidi" w:hAnsiTheme="majorBidi" w:cstheme="majorBidi"/>
        </w:rPr>
        <w:t>archive and database</w:t>
      </w:r>
      <w:r w:rsidR="00D25E5B" w:rsidRPr="00D25E5B">
        <w:rPr>
          <w:rFonts w:asciiTheme="majorBidi" w:hAnsiTheme="majorBidi" w:cstheme="majorBidi"/>
        </w:rPr>
        <w:t xml:space="preserve"> are located in Israel</w:t>
      </w:r>
      <w:r w:rsidR="00D25E5B">
        <w:rPr>
          <w:rFonts w:asciiTheme="majorBidi" w:hAnsiTheme="majorBidi" w:cstheme="majorBidi"/>
        </w:rPr>
        <w:t xml:space="preserve"> or available online</w:t>
      </w:r>
      <w:r w:rsidR="00D25E5B" w:rsidRPr="00D25E5B">
        <w:rPr>
          <w:rFonts w:asciiTheme="majorBidi" w:hAnsiTheme="majorBidi" w:cstheme="majorBidi"/>
        </w:rPr>
        <w:t>.</w:t>
      </w:r>
    </w:p>
    <w:p w14:paraId="3824DDB5" w14:textId="56BCE06A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E.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Food and lodging </w:t>
      </w:r>
      <w:r w:rsidR="00D25E5B">
        <w:rPr>
          <w:rFonts w:asciiTheme="majorBidi" w:hAnsiTheme="majorBidi" w:cstheme="majorBidi"/>
        </w:rPr>
        <w:t>are not required.</w:t>
      </w:r>
    </w:p>
    <w:p w14:paraId="795A467C" w14:textId="7689D43B" w:rsidR="00701E56" w:rsidRPr="00701E56" w:rsidRDefault="00701E56" w:rsidP="007010AD">
      <w:pPr>
        <w:pStyle w:val="Default"/>
        <w:numPr>
          <w:ilvl w:val="0"/>
          <w:numId w:val="1"/>
        </w:numPr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lastRenderedPageBreak/>
        <w:t xml:space="preserve">F.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Equipment and supplies </w:t>
      </w:r>
      <w:r w:rsidRPr="00701E56">
        <w:rPr>
          <w:rFonts w:asciiTheme="majorBidi" w:hAnsiTheme="majorBidi" w:cstheme="majorBidi"/>
        </w:rPr>
        <w:t>include an external hard disc to store data, professional literature and printing</w:t>
      </w:r>
      <w:r w:rsidR="00D25E5B">
        <w:rPr>
          <w:rFonts w:asciiTheme="majorBidi" w:hAnsiTheme="majorBidi" w:cstheme="majorBidi"/>
        </w:rPr>
        <w:t>/copying</w:t>
      </w:r>
      <w:r w:rsidRPr="00701E56">
        <w:rPr>
          <w:rFonts w:asciiTheme="majorBidi" w:hAnsiTheme="majorBidi" w:cstheme="majorBidi"/>
        </w:rPr>
        <w:t xml:space="preserve"> allowance. </w:t>
      </w:r>
    </w:p>
    <w:p w14:paraId="174F0C2B" w14:textId="343E61A3" w:rsidR="00701E56" w:rsidRPr="00701E56" w:rsidRDefault="00701E56" w:rsidP="007010AD">
      <w:pPr>
        <w:pStyle w:val="Default"/>
        <w:numPr>
          <w:ilvl w:val="0"/>
          <w:numId w:val="1"/>
        </w:numPr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G.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Data acquisition: </w:t>
      </w:r>
      <w:r w:rsidRPr="00701E56">
        <w:rPr>
          <w:rFonts w:asciiTheme="majorBidi" w:hAnsiTheme="majorBidi" w:cstheme="majorBidi"/>
        </w:rPr>
        <w:t>Database fees are required for an annual subscription to</w:t>
      </w:r>
      <w:r w:rsidR="003E1A54">
        <w:rPr>
          <w:rFonts w:asciiTheme="majorBidi" w:hAnsiTheme="majorBidi" w:cstheme="majorBidi"/>
        </w:rPr>
        <w:t xml:space="preserve"> the </w:t>
      </w:r>
      <w:r w:rsidR="003E1A54" w:rsidRPr="006E6128">
        <w:rPr>
          <w:rFonts w:asciiTheme="majorBidi" w:hAnsiTheme="majorBidi" w:cstheme="majorBidi"/>
        </w:rPr>
        <w:t>Moshe Dayan Arabic Press Archive</w:t>
      </w:r>
      <w:r w:rsidR="003E1A54">
        <w:rPr>
          <w:rFonts w:asciiTheme="majorBidi" w:hAnsiTheme="majorBidi" w:cstheme="majorBidi"/>
        </w:rPr>
        <w:t xml:space="preserve"> in Tel Aviv, 1000$ for the PI and 800$ for 2 RAs (only 400$ due to students discount)</w:t>
      </w:r>
      <w:r w:rsidRPr="00701E56">
        <w:rPr>
          <w:rFonts w:asciiTheme="majorBidi" w:hAnsiTheme="majorBidi" w:cstheme="majorBidi"/>
        </w:rPr>
        <w:t xml:space="preserve">. </w:t>
      </w:r>
    </w:p>
    <w:p w14:paraId="4E9290AE" w14:textId="15CFBCE0" w:rsidR="00701E56" w:rsidRDefault="00701E56" w:rsidP="007010AD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H.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Other expenses </w:t>
      </w:r>
      <w:r w:rsidR="00BE0258">
        <w:rPr>
          <w:rFonts w:asciiTheme="majorBidi" w:hAnsiTheme="majorBidi" w:cstheme="majorBidi"/>
        </w:rPr>
        <w:t>include</w:t>
      </w:r>
      <w:r w:rsidRPr="00701E56">
        <w:rPr>
          <w:rFonts w:asciiTheme="majorBidi" w:hAnsiTheme="majorBidi" w:cstheme="majorBidi"/>
        </w:rPr>
        <w:t xml:space="preserve"> professional editing for one journal article in English, based on the research ($1,000). </w:t>
      </w:r>
    </w:p>
    <w:p w14:paraId="56039553" w14:textId="77777777" w:rsidR="00521DF7" w:rsidRDefault="00521DF7" w:rsidP="00521DF7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635FB1EA" w14:textId="7CFC2A63" w:rsidR="00521DF7" w:rsidRPr="00701E56" w:rsidRDefault="00521DF7" w:rsidP="00521DF7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Abstract of Research Plan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(3000 words)</w:t>
      </w:r>
      <w:bookmarkStart w:id="1" w:name="_GoBack"/>
      <w:bookmarkEnd w:id="1"/>
    </w:p>
    <w:p w14:paraId="1B7E27F0" w14:textId="77777777" w:rsidR="00472D06" w:rsidRPr="00701E56" w:rsidRDefault="00472D06" w:rsidP="007010A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1E06EC5" w14:textId="271B1989" w:rsidR="00472D06" w:rsidRPr="00701E56" w:rsidRDefault="00472D06" w:rsidP="00701E56">
      <w:pPr>
        <w:spacing w:after="0" w:line="360" w:lineRule="auto"/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GB"/>
        </w:rPr>
      </w:pPr>
    </w:p>
    <w:p w14:paraId="494729F5" w14:textId="77777777" w:rsidR="00472D06" w:rsidRPr="00701E56" w:rsidRDefault="00472D06" w:rsidP="00701E56">
      <w:pPr>
        <w:spacing w:after="0" w:line="360" w:lineRule="auto"/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en-GB"/>
        </w:rPr>
      </w:pPr>
    </w:p>
    <w:p w14:paraId="0F166775" w14:textId="77777777" w:rsidR="00472D06" w:rsidRPr="00701E56" w:rsidRDefault="00472D06" w:rsidP="00701E56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p w14:paraId="2EED8D35" w14:textId="77777777" w:rsidR="00472D06" w:rsidRPr="00701E56" w:rsidRDefault="00472D06" w:rsidP="00701E56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p w14:paraId="67A8EDFE" w14:textId="1D750E85" w:rsidR="002541D1" w:rsidRPr="00701E56" w:rsidRDefault="002541D1" w:rsidP="00701E56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sectPr w:rsidR="002541D1" w:rsidRPr="0070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3ED0B5"/>
    <w:multiLevelType w:val="hybridMultilevel"/>
    <w:tmpl w:val="9FA6838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F1"/>
    <w:rsid w:val="000A6419"/>
    <w:rsid w:val="001814E0"/>
    <w:rsid w:val="002541D1"/>
    <w:rsid w:val="003C5F3E"/>
    <w:rsid w:val="003E1A54"/>
    <w:rsid w:val="00472D06"/>
    <w:rsid w:val="00494A9E"/>
    <w:rsid w:val="00521DF7"/>
    <w:rsid w:val="006E6128"/>
    <w:rsid w:val="007010AD"/>
    <w:rsid w:val="00701E56"/>
    <w:rsid w:val="00711683"/>
    <w:rsid w:val="007909BA"/>
    <w:rsid w:val="00980F8F"/>
    <w:rsid w:val="00AB7ADD"/>
    <w:rsid w:val="00B85676"/>
    <w:rsid w:val="00BE0258"/>
    <w:rsid w:val="00BE7BF1"/>
    <w:rsid w:val="00D25E5B"/>
    <w:rsid w:val="00EE2B22"/>
    <w:rsid w:val="00F6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3C9A"/>
  <w15:chartTrackingRefBased/>
  <w15:docId w15:val="{A2B1C5EB-831C-4C7E-B62A-DA7E818B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72D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354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</dc:creator>
  <cp:keywords/>
  <dc:description/>
  <cp:lastModifiedBy>Owner</cp:lastModifiedBy>
  <cp:revision>14</cp:revision>
  <dcterms:created xsi:type="dcterms:W3CDTF">2020-07-30T09:25:00Z</dcterms:created>
  <dcterms:modified xsi:type="dcterms:W3CDTF">2021-07-09T10:23:00Z</dcterms:modified>
</cp:coreProperties>
</file>