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54F2A4" w14:textId="77777777" w:rsidR="00576AFE" w:rsidRPr="006F7384" w:rsidRDefault="00576AFE" w:rsidP="009A7DCB">
      <w:pPr>
        <w:bidi w:val="0"/>
        <w:spacing w:line="480" w:lineRule="auto"/>
        <w:jc w:val="both"/>
      </w:pPr>
      <w:r w:rsidRPr="006F7384">
        <w:t>Chapter 7</w:t>
      </w:r>
    </w:p>
    <w:p w14:paraId="05ED7A56" w14:textId="77777777" w:rsidR="00DF233A" w:rsidRPr="006F7384" w:rsidRDefault="00DF233A" w:rsidP="009A7DCB">
      <w:pPr>
        <w:bidi w:val="0"/>
        <w:spacing w:line="480" w:lineRule="auto"/>
        <w:jc w:val="both"/>
        <w:rPr>
          <w:sz w:val="36"/>
          <w:szCs w:val="36"/>
        </w:rPr>
      </w:pPr>
      <w:r w:rsidRPr="006F7384">
        <w:rPr>
          <w:sz w:val="36"/>
          <w:szCs w:val="36"/>
        </w:rPr>
        <w:t>Creative Judiciary:</w:t>
      </w:r>
    </w:p>
    <w:p w14:paraId="027AF95B" w14:textId="77777777" w:rsidR="00DF233A" w:rsidRPr="006F7384" w:rsidRDefault="00DF233A" w:rsidP="009A7DCB">
      <w:pPr>
        <w:bidi w:val="0"/>
        <w:spacing w:line="480" w:lineRule="auto"/>
        <w:jc w:val="both"/>
      </w:pPr>
      <w:r w:rsidRPr="006F7384">
        <w:rPr>
          <w:sz w:val="36"/>
          <w:szCs w:val="36"/>
        </w:rPr>
        <w:t>Equitable</w:t>
      </w:r>
      <w:r w:rsidR="006C698A" w:rsidRPr="006F7384">
        <w:rPr>
          <w:sz w:val="36"/>
          <w:szCs w:val="36"/>
        </w:rPr>
        <w:t xml:space="preserve"> and Constitutional </w:t>
      </w:r>
      <w:r w:rsidRPr="006F7384">
        <w:rPr>
          <w:sz w:val="36"/>
          <w:szCs w:val="36"/>
        </w:rPr>
        <w:t>safeguards to Property</w:t>
      </w:r>
    </w:p>
    <w:p w14:paraId="316FB082" w14:textId="266559DA" w:rsidR="00263E1F" w:rsidRPr="00BD3F61" w:rsidRDefault="00576AFE" w:rsidP="009A7DCB">
      <w:pPr>
        <w:bidi w:val="0"/>
        <w:spacing w:line="480" w:lineRule="auto"/>
        <w:ind w:left="4536"/>
        <w:jc w:val="both"/>
        <w:rPr>
          <w:rFonts w:asciiTheme="majorBidi" w:hAnsiTheme="majorBidi" w:cstheme="majorBidi"/>
          <w:color w:val="000000"/>
          <w:shd w:val="clear" w:color="auto" w:fill="FFFFFF"/>
        </w:rPr>
      </w:pPr>
      <w:r w:rsidRPr="006F7384">
        <w:rPr>
          <w:rFonts w:asciiTheme="majorBidi" w:hAnsiTheme="majorBidi" w:cstheme="majorBidi"/>
          <w:i/>
          <w:iCs/>
          <w:color w:val="000000"/>
          <w:shd w:val="clear" w:color="auto" w:fill="FFFFFF"/>
        </w:rPr>
        <w:t>"</w:t>
      </w:r>
      <w:r w:rsidR="00263E1F" w:rsidRPr="006F7384">
        <w:rPr>
          <w:rFonts w:asciiTheme="majorBidi" w:hAnsiTheme="majorBidi" w:cstheme="majorBidi"/>
          <w:i/>
          <w:iCs/>
          <w:color w:val="000000"/>
          <w:shd w:val="clear" w:color="auto" w:fill="FFFFFF"/>
        </w:rPr>
        <w:t xml:space="preserve">Locally-made equitable </w:t>
      </w:r>
      <w:r w:rsidR="00BD3F61">
        <w:rPr>
          <w:rFonts w:asciiTheme="majorBidi" w:hAnsiTheme="majorBidi" w:cstheme="majorBidi"/>
          <w:i/>
          <w:iCs/>
          <w:color w:val="000000"/>
          <w:shd w:val="clear" w:color="auto" w:fill="FFFFFF"/>
        </w:rPr>
        <w:t xml:space="preserve">rights in </w:t>
      </w:r>
      <w:r w:rsidR="00263E1F" w:rsidRPr="006F7384">
        <w:rPr>
          <w:rFonts w:asciiTheme="majorBidi" w:hAnsiTheme="majorBidi" w:cstheme="majorBidi"/>
          <w:i/>
          <w:iCs/>
          <w:color w:val="000000"/>
          <w:shd w:val="clear" w:color="auto" w:fill="FFFFFF"/>
        </w:rPr>
        <w:t xml:space="preserve">property must be allowed to develop as independent Israeli law…” </w:t>
      </w:r>
      <w:r w:rsidR="00263E1F" w:rsidRPr="00BD3F61">
        <w:rPr>
          <w:rFonts w:asciiTheme="majorBidi" w:hAnsiTheme="majorBidi" w:cstheme="majorBidi"/>
          <w:color w:val="000000"/>
          <w:shd w:val="clear" w:color="auto" w:fill="FFFFFF"/>
        </w:rPr>
        <w:t>Aharon Barak</w:t>
      </w:r>
      <w:r w:rsidR="00263E1F" w:rsidRPr="00BD3F61">
        <w:rPr>
          <w:rStyle w:val="FootnoteReference"/>
          <w:rFonts w:asciiTheme="majorBidi" w:hAnsiTheme="majorBidi" w:cstheme="majorBidi"/>
          <w:color w:val="000000"/>
          <w:shd w:val="clear" w:color="auto" w:fill="FFFFFF"/>
        </w:rPr>
        <w:footnoteReference w:id="1"/>
      </w:r>
    </w:p>
    <w:p w14:paraId="607CF112" w14:textId="139371D9" w:rsidR="006C698A" w:rsidRPr="006F7384" w:rsidRDefault="00263E1F" w:rsidP="009A7DCB">
      <w:pPr>
        <w:bidi w:val="0"/>
        <w:spacing w:line="480" w:lineRule="auto"/>
        <w:ind w:left="4536"/>
        <w:jc w:val="both"/>
        <w:rPr>
          <w:rFonts w:asciiTheme="majorBidi" w:hAnsiTheme="majorBidi" w:cstheme="majorBidi"/>
          <w:color w:val="222222"/>
          <w:shd w:val="clear" w:color="auto" w:fill="FFFFFF"/>
          <w:rtl/>
        </w:rPr>
      </w:pPr>
      <w:r w:rsidRPr="006F7384">
        <w:rPr>
          <w:rFonts w:asciiTheme="majorBidi" w:hAnsiTheme="majorBidi" w:cstheme="majorBidi"/>
          <w:i/>
          <w:iCs/>
          <w:color w:val="000000"/>
        </w:rPr>
        <w:t>“</w:t>
      </w:r>
      <w:r w:rsidR="00921EBA" w:rsidRPr="006F7384">
        <w:rPr>
          <w:rFonts w:asciiTheme="majorBidi" w:hAnsiTheme="majorBidi" w:cstheme="majorBidi"/>
          <w:i/>
          <w:iCs/>
          <w:color w:val="000000"/>
        </w:rPr>
        <w:t>In the balance between the property right</w:t>
      </w:r>
      <w:r w:rsidR="008E6ACE" w:rsidRPr="006F7384">
        <w:rPr>
          <w:rFonts w:asciiTheme="majorBidi" w:hAnsiTheme="majorBidi" w:cstheme="majorBidi"/>
          <w:i/>
          <w:iCs/>
          <w:color w:val="000000"/>
        </w:rPr>
        <w:t>…</w:t>
      </w:r>
      <w:r w:rsidR="00921EBA" w:rsidRPr="006F7384">
        <w:rPr>
          <w:rFonts w:asciiTheme="majorBidi" w:hAnsiTheme="majorBidi" w:cstheme="majorBidi"/>
          <w:i/>
          <w:iCs/>
          <w:color w:val="000000"/>
        </w:rPr>
        <w:t>and the public necessities… is expressed in our new understanding of the purpose of the Expropriation Ordinance</w:t>
      </w:r>
      <w:r w:rsidRPr="006F7384">
        <w:rPr>
          <w:rFonts w:asciiTheme="majorBidi" w:hAnsiTheme="majorBidi" w:cstheme="majorBidi"/>
          <w:i/>
          <w:iCs/>
        </w:rPr>
        <w:t>,”</w:t>
      </w:r>
      <w:r w:rsidR="00921EBA" w:rsidRPr="006F7384">
        <w:rPr>
          <w:rFonts w:asciiTheme="majorBidi" w:hAnsiTheme="majorBidi" w:cstheme="majorBidi"/>
          <w:i/>
          <w:iCs/>
        </w:rPr>
        <w:t xml:space="preserve"> </w:t>
      </w:r>
      <w:r w:rsidR="00EC1919" w:rsidRPr="006F7384">
        <w:rPr>
          <w:rFonts w:asciiTheme="majorBidi" w:hAnsiTheme="majorBidi" w:cstheme="majorBidi"/>
        </w:rPr>
        <w:t>Aharon Barak</w:t>
      </w:r>
      <w:bookmarkStart w:id="0" w:name="_Ref518647705"/>
      <w:r w:rsidR="006C698A" w:rsidRPr="006F7384">
        <w:rPr>
          <w:rStyle w:val="FootnoteReference"/>
          <w:rFonts w:ascii="Arial TUR" w:hAnsi="Arial TUR"/>
          <w:rtl/>
        </w:rPr>
        <w:footnoteReference w:id="2"/>
      </w:r>
      <w:bookmarkEnd w:id="0"/>
    </w:p>
    <w:p w14:paraId="34392B36" w14:textId="286C551D" w:rsidR="00E26F89" w:rsidRPr="006F7384" w:rsidRDefault="00E11F71" w:rsidP="00BD3F61">
      <w:pPr>
        <w:bidi w:val="0"/>
        <w:spacing w:line="480" w:lineRule="auto"/>
        <w:jc w:val="both"/>
      </w:pPr>
      <w:r w:rsidRPr="006F7384">
        <w:rPr>
          <w:rtl/>
        </w:rPr>
        <w:t xml:space="preserve">   </w:t>
      </w:r>
      <w:r w:rsidR="00E26F89" w:rsidRPr="006F7384">
        <w:t xml:space="preserve">One of the most prominent </w:t>
      </w:r>
      <w:r w:rsidR="00464025" w:rsidRPr="006F7384">
        <w:t xml:space="preserve">identifying </w:t>
      </w:r>
      <w:r w:rsidR="00E26F89" w:rsidRPr="006F7384">
        <w:t>characteristics of the State of Israel is the existence of a strong and independent judicia</w:t>
      </w:r>
      <w:r w:rsidR="00263E1F" w:rsidRPr="006F7384">
        <w:t>l</w:t>
      </w:r>
      <w:r w:rsidR="00E26F89" w:rsidRPr="006F7384">
        <w:t xml:space="preserve"> authority.</w:t>
      </w:r>
      <w:r w:rsidR="00464025" w:rsidRPr="006F7384">
        <w:rPr>
          <w:rStyle w:val="FootnoteReference"/>
        </w:rPr>
        <w:footnoteReference w:id="3"/>
      </w:r>
      <w:r w:rsidR="00E26F89" w:rsidRPr="006F7384">
        <w:t xml:space="preserve"> One of the more </w:t>
      </w:r>
      <w:r w:rsidR="00464025" w:rsidRPr="006F7384">
        <w:t>obvious</w:t>
      </w:r>
      <w:r w:rsidR="00E26F89" w:rsidRPr="006F7384">
        <w:t xml:space="preserve"> and controversial aspects of this independence is the phenomenon of judicial activism, that is</w:t>
      </w:r>
      <w:r w:rsidR="00464025" w:rsidRPr="006F7384">
        <w:t>, the tendency of the judiciary</w:t>
      </w:r>
      <w:r w:rsidR="00E26F89" w:rsidRPr="006F7384">
        <w:t xml:space="preserve"> to not merely implement the law, but also to create it. This chapter focuses on two different central channels in which Israel’s judicial creativity has developed: civil law and constitutional law. We present the general background to the development of these channels and demonstrate how they are </w:t>
      </w:r>
      <w:r w:rsidR="00E26F89" w:rsidRPr="006F7384">
        <w:lastRenderedPageBreak/>
        <w:t xml:space="preserve">reflected in two important areas of land law: the protection of </w:t>
      </w:r>
      <w:r w:rsidR="00E26F89" w:rsidRPr="009A7DCB">
        <w:t>rights</w:t>
      </w:r>
      <w:r w:rsidR="00BD3F61">
        <w:t xml:space="preserve"> stemming from equity</w:t>
      </w:r>
      <w:r w:rsidR="00E26F89" w:rsidRPr="009A7DCB">
        <w:t xml:space="preserve"> in </w:t>
      </w:r>
      <w:r w:rsidR="005F3772" w:rsidRPr="009A7DCB">
        <w:t>real</w:t>
      </w:r>
      <w:r w:rsidR="005F3772" w:rsidRPr="006F7384">
        <w:t>-estate</w:t>
      </w:r>
      <w:r w:rsidR="00E26F89" w:rsidRPr="006F7384">
        <w:t xml:space="preserve"> and the constitutional protection of </w:t>
      </w:r>
      <w:r w:rsidR="009A7DCB">
        <w:t>immovable property rights</w:t>
      </w:r>
      <w:r w:rsidR="00E26F89" w:rsidRPr="006F7384">
        <w:t>.</w:t>
      </w:r>
    </w:p>
    <w:p w14:paraId="103B9122" w14:textId="77777777" w:rsidR="00E26F89" w:rsidRPr="006F7384" w:rsidRDefault="00E26F89" w:rsidP="009A7DCB">
      <w:pPr>
        <w:bidi w:val="0"/>
        <w:spacing w:line="480" w:lineRule="auto"/>
        <w:jc w:val="both"/>
      </w:pPr>
    </w:p>
    <w:p w14:paraId="583B8903" w14:textId="77777777" w:rsidR="00E26F89" w:rsidRPr="006F7384" w:rsidRDefault="00E26F89" w:rsidP="009A7DCB">
      <w:pPr>
        <w:bidi w:val="0"/>
        <w:spacing w:line="480" w:lineRule="auto"/>
        <w:jc w:val="both"/>
        <w:rPr>
          <w:b/>
          <w:bCs/>
        </w:rPr>
      </w:pPr>
      <w:r w:rsidRPr="006F7384">
        <w:rPr>
          <w:b/>
          <w:bCs/>
        </w:rPr>
        <w:t xml:space="preserve">Background to the development of judicial activism in </w:t>
      </w:r>
      <w:r w:rsidR="00454BA7" w:rsidRPr="006F7384">
        <w:rPr>
          <w:b/>
          <w:bCs/>
        </w:rPr>
        <w:t>Israel</w:t>
      </w:r>
    </w:p>
    <w:p w14:paraId="7F0412C0" w14:textId="4A0EF316" w:rsidR="00E26F89" w:rsidRPr="006F7384" w:rsidRDefault="00454BA7" w:rsidP="004127CE">
      <w:pPr>
        <w:bidi w:val="0"/>
        <w:spacing w:line="480" w:lineRule="auto"/>
        <w:jc w:val="both"/>
      </w:pPr>
      <w:r w:rsidRPr="006F7384">
        <w:t xml:space="preserve">The creativity of the </w:t>
      </w:r>
      <w:r w:rsidR="005F3772" w:rsidRPr="006F7384">
        <w:t xml:space="preserve">Israeli </w:t>
      </w:r>
      <w:r w:rsidRPr="006F7384">
        <w:t xml:space="preserve">judiciary is an expression of the growing </w:t>
      </w:r>
      <w:r w:rsidR="005F3772" w:rsidRPr="006F7384">
        <w:t>power</w:t>
      </w:r>
      <w:r w:rsidRPr="006F7384">
        <w:t xml:space="preserve"> </w:t>
      </w:r>
      <w:r w:rsidR="005F3772" w:rsidRPr="006F7384">
        <w:t xml:space="preserve">and independence </w:t>
      </w:r>
      <w:r w:rsidRPr="006F7384">
        <w:t xml:space="preserve">of the judicial system in Israel. This independence developed gradually, along two different paths. The first and earlier of the two, is the judiciary's process of disengagement from the legacy of English law left in Israel by the British Mandate government. Article 46 of the Royal Order of 1922, which was constitution </w:t>
      </w:r>
      <w:r w:rsidR="00F46426" w:rsidRPr="006F7384">
        <w:t xml:space="preserve">of sorts </w:t>
      </w:r>
      <w:r w:rsidRPr="006F7384">
        <w:t xml:space="preserve">introduced in Palestine </w:t>
      </w:r>
      <w:r w:rsidR="00F46426" w:rsidRPr="006F7384">
        <w:t xml:space="preserve">by the British </w:t>
      </w:r>
      <w:r w:rsidRPr="006F7384">
        <w:t>prior to the establishment of the State of Israel, stipulated that local courts should interpret laws or supplement them with lacunae “</w:t>
      </w:r>
      <w:r w:rsidRPr="006F7384">
        <w:rPr>
          <w:rFonts w:asciiTheme="majorBidi" w:hAnsiTheme="majorBidi" w:cstheme="majorBidi"/>
          <w:color w:val="222222"/>
          <w:shd w:val="clear" w:color="auto" w:fill="FFFFFF"/>
        </w:rPr>
        <w:t>in conformity with the substance of the common law, and the doctrines of equity in force in England."</w:t>
      </w:r>
      <w:r w:rsidRPr="006F7384">
        <w:rPr>
          <w:rStyle w:val="FootnoteReference"/>
          <w:rtl/>
        </w:rPr>
        <w:footnoteReference w:id="4"/>
      </w:r>
      <w:r w:rsidRPr="006F7384">
        <w:rPr>
          <w:rFonts w:asciiTheme="majorBidi" w:hAnsiTheme="majorBidi" w:cstheme="majorBidi"/>
          <w:color w:val="222222"/>
          <w:shd w:val="clear" w:color="auto" w:fill="FFFFFF"/>
        </w:rPr>
        <w:t xml:space="preserve"> </w:t>
      </w:r>
      <w:r w:rsidRPr="006F7384">
        <w:t xml:space="preserve">The State of Israel did not </w:t>
      </w:r>
      <w:r w:rsidR="000860EB" w:rsidRPr="006F7384">
        <w:t>repeal</w:t>
      </w:r>
      <w:r w:rsidRPr="006F7384">
        <w:t xml:space="preserve"> th</w:t>
      </w:r>
      <w:r w:rsidR="00F46426" w:rsidRPr="006F7384">
        <w:t>is</w:t>
      </w:r>
      <w:r w:rsidRPr="006F7384">
        <w:t xml:space="preserve"> pr</w:t>
      </w:r>
      <w:r w:rsidR="00F46426" w:rsidRPr="006F7384">
        <w:t>ovision</w:t>
      </w:r>
      <w:r w:rsidR="000860EB" w:rsidRPr="006F7384">
        <w:t xml:space="preserve"> upon its establishment</w:t>
      </w:r>
      <w:r w:rsidRPr="006F7384">
        <w:t xml:space="preserve"> and</w:t>
      </w:r>
      <w:r w:rsidR="000860EB" w:rsidRPr="006F7384">
        <w:t>,</w:t>
      </w:r>
      <w:r w:rsidRPr="006F7384">
        <w:t xml:space="preserve"> therefore</w:t>
      </w:r>
      <w:r w:rsidR="000860EB" w:rsidRPr="006F7384">
        <w:t>,</w:t>
      </w:r>
      <w:r w:rsidRPr="006F7384">
        <w:t xml:space="preserve"> </w:t>
      </w:r>
      <w:r w:rsidR="00AB6B86" w:rsidRPr="006F7384">
        <w:t>during Israel’s early years</w:t>
      </w:r>
      <w:r w:rsidR="000860EB" w:rsidRPr="006F7384">
        <w:t>,</w:t>
      </w:r>
      <w:r w:rsidR="00AB6B86" w:rsidRPr="006F7384">
        <w:t xml:space="preserve"> </w:t>
      </w:r>
      <w:r w:rsidRPr="006F7384">
        <w:t xml:space="preserve">the precedents developed by </w:t>
      </w:r>
      <w:r w:rsidR="004127CE">
        <w:t>English</w:t>
      </w:r>
      <w:r w:rsidRPr="006F7384">
        <w:t xml:space="preserve"> courts were legally binding, subject to the process of their "absorption" by the local courts.</w:t>
      </w:r>
      <w:bookmarkStart w:id="1" w:name="_Ref518488721"/>
      <w:r w:rsidR="00AB6B86" w:rsidRPr="006F7384">
        <w:rPr>
          <w:rStyle w:val="FootnoteReference"/>
          <w:rtl/>
        </w:rPr>
        <w:t xml:space="preserve"> </w:t>
      </w:r>
      <w:r w:rsidR="00AB6B86" w:rsidRPr="006F7384">
        <w:rPr>
          <w:rStyle w:val="FootnoteReference"/>
          <w:rtl/>
        </w:rPr>
        <w:footnoteReference w:id="5"/>
      </w:r>
      <w:bookmarkEnd w:id="1"/>
      <w:r w:rsidRPr="006F7384">
        <w:t xml:space="preserve"> </w:t>
      </w:r>
      <w:r w:rsidR="00AB6B86" w:rsidRPr="006F7384">
        <w:t>Starting from</w:t>
      </w:r>
      <w:r w:rsidRPr="006F7384">
        <w:t xml:space="preserve"> </w:t>
      </w:r>
      <w:r w:rsidR="000860EB" w:rsidRPr="006F7384">
        <w:t>its</w:t>
      </w:r>
      <w:r w:rsidRPr="006F7384">
        <w:t xml:space="preserve"> second decade, the State of Israel began a process of disengagement from </w:t>
      </w:r>
      <w:r w:rsidR="00BD3F61" w:rsidRPr="006F7384">
        <w:t>English</w:t>
      </w:r>
      <w:r w:rsidRPr="006F7384">
        <w:t xml:space="preserve"> law. In contemporary terms, the severance of this connection was a sort of an </w:t>
      </w:r>
      <w:r w:rsidR="00AB6B86" w:rsidRPr="006F7384">
        <w:t>‘</w:t>
      </w:r>
      <w:r w:rsidRPr="006F7384">
        <w:t>exit</w:t>
      </w:r>
      <w:r w:rsidR="00AB6B86" w:rsidRPr="006F7384">
        <w:t>’</w:t>
      </w:r>
      <w:r w:rsidRPr="006F7384">
        <w:t xml:space="preserve"> of the Israeli legal system from the influence of the </w:t>
      </w:r>
      <w:r w:rsidR="00BD3F61">
        <w:t>English</w:t>
      </w:r>
      <w:r w:rsidRPr="006F7384">
        <w:t xml:space="preserve"> legal system, similar to </w:t>
      </w:r>
      <w:r w:rsidR="00AB6B86" w:rsidRPr="006F7384">
        <w:t xml:space="preserve">the ‘Brexit’ </w:t>
      </w:r>
      <w:r w:rsidRPr="006F7384">
        <w:t xml:space="preserve">of the </w:t>
      </w:r>
      <w:r w:rsidR="00AB6B86" w:rsidRPr="006F7384">
        <w:t>British</w:t>
      </w:r>
      <w:r w:rsidRPr="006F7384">
        <w:t xml:space="preserve"> legal system </w:t>
      </w:r>
      <w:r w:rsidR="00AB6B86" w:rsidRPr="006F7384">
        <w:t xml:space="preserve">from </w:t>
      </w:r>
      <w:r w:rsidRPr="006F7384">
        <w:t>European Union law.</w:t>
      </w:r>
      <w:r w:rsidR="00AB6B86" w:rsidRPr="006F7384">
        <w:rPr>
          <w:rStyle w:val="FootnoteReference"/>
          <w:rtl/>
        </w:rPr>
        <w:t xml:space="preserve"> </w:t>
      </w:r>
      <w:r w:rsidR="00AB6B86" w:rsidRPr="006F7384">
        <w:rPr>
          <w:rStyle w:val="FootnoteReference"/>
          <w:rtl/>
        </w:rPr>
        <w:footnoteReference w:id="6"/>
      </w:r>
      <w:r w:rsidRPr="006F7384">
        <w:t>Th</w:t>
      </w:r>
      <w:r w:rsidR="00AB6B86" w:rsidRPr="006F7384">
        <w:t>is process of legal ‘exit</w:t>
      </w:r>
      <w:r w:rsidR="00236A75" w:rsidRPr="006F7384">
        <w:t>,</w:t>
      </w:r>
      <w:r w:rsidR="00AB6B86" w:rsidRPr="006F7384">
        <w:t>’</w:t>
      </w:r>
      <w:r w:rsidRPr="006F7384">
        <w:t xml:space="preserve"> </w:t>
      </w:r>
      <w:r w:rsidR="00F46426" w:rsidRPr="006F7384">
        <w:t>initiated by</w:t>
      </w:r>
      <w:r w:rsidR="00236A75" w:rsidRPr="006F7384">
        <w:t xml:space="preserve"> the Israeli legislature</w:t>
      </w:r>
      <w:r w:rsidR="00F46426" w:rsidRPr="006F7384">
        <w:t xml:space="preserve"> </w:t>
      </w:r>
      <w:r w:rsidR="00AB6B86" w:rsidRPr="006F7384">
        <w:t>with the goal of</w:t>
      </w:r>
      <w:r w:rsidRPr="006F7384">
        <w:t xml:space="preserve"> demonstrat</w:t>
      </w:r>
      <w:r w:rsidR="00AB6B86" w:rsidRPr="006F7384">
        <w:t>ing</w:t>
      </w:r>
      <w:r w:rsidRPr="006F7384">
        <w:t xml:space="preserve"> </w:t>
      </w:r>
      <w:r w:rsidR="00AB6B86" w:rsidRPr="006F7384">
        <w:t xml:space="preserve">the State of Israel’s </w:t>
      </w:r>
      <w:r w:rsidRPr="006F7384">
        <w:t>political indep</w:t>
      </w:r>
      <w:r w:rsidR="00AB6B86" w:rsidRPr="006F7384">
        <w:t>endence</w:t>
      </w:r>
      <w:r w:rsidR="00F46426" w:rsidRPr="006F7384">
        <w:t>, unfolded gradually</w:t>
      </w:r>
      <w:r w:rsidRPr="006F7384">
        <w:t xml:space="preserve">. It began in the 1960s </w:t>
      </w:r>
      <w:r w:rsidRPr="006F7384">
        <w:lastRenderedPageBreak/>
        <w:t xml:space="preserve">and 1970s with the enactment of a series of laws that </w:t>
      </w:r>
      <w:r w:rsidR="00236A75" w:rsidRPr="006F7384">
        <w:t>attempted</w:t>
      </w:r>
      <w:r w:rsidRPr="006F7384">
        <w:t xml:space="preserve"> to shape an independent Israeli </w:t>
      </w:r>
      <w:r w:rsidR="00236A75" w:rsidRPr="006F7384">
        <w:t xml:space="preserve">private </w:t>
      </w:r>
      <w:r w:rsidRPr="006F7384">
        <w:t xml:space="preserve">civil </w:t>
      </w:r>
      <w:r w:rsidR="00236A75" w:rsidRPr="006F7384">
        <w:t>law</w:t>
      </w:r>
      <w:r w:rsidRPr="006F7384">
        <w:t>. In some of th</w:t>
      </w:r>
      <w:r w:rsidR="00236A75" w:rsidRPr="006F7384">
        <w:t>o</w:t>
      </w:r>
      <w:r w:rsidRPr="006F7384">
        <w:t>se laws</w:t>
      </w:r>
      <w:r w:rsidR="00F46426" w:rsidRPr="006F7384">
        <w:t xml:space="preserve"> included</w:t>
      </w:r>
      <w:r w:rsidRPr="006F7384">
        <w:t xml:space="preserve"> an explicit provision regarding the "independence of the law</w:t>
      </w:r>
      <w:r w:rsidR="00F46426" w:rsidRPr="006F7384">
        <w:t>,</w:t>
      </w:r>
      <w:r w:rsidRPr="006F7384">
        <w:t>"</w:t>
      </w:r>
      <w:r w:rsidR="00236A75" w:rsidRPr="006F7384">
        <w:t xml:space="preserve"> stipulating that</w:t>
      </w:r>
      <w:r w:rsidRPr="006F7384">
        <w:t xml:space="preserve"> </w:t>
      </w:r>
      <w:r w:rsidR="00236A75" w:rsidRPr="006F7384">
        <w:t xml:space="preserve">English law </w:t>
      </w:r>
      <w:r w:rsidRPr="006F7384">
        <w:t xml:space="preserve">would no longer </w:t>
      </w:r>
      <w:r w:rsidR="00236A75" w:rsidRPr="006F7384">
        <w:t>have</w:t>
      </w:r>
      <w:r w:rsidRPr="006F7384">
        <w:t xml:space="preserve"> any binding force </w:t>
      </w:r>
      <w:r w:rsidR="00236A75" w:rsidRPr="006F7384">
        <w:t>in the areas dealt with by each of those laws</w:t>
      </w:r>
      <w:r w:rsidRPr="006F7384">
        <w:t>.</w:t>
      </w:r>
      <w:bookmarkStart w:id="2" w:name="_Ref518321682"/>
      <w:r w:rsidR="005B110C" w:rsidRPr="006F7384">
        <w:rPr>
          <w:rStyle w:val="FootnoteReference"/>
          <w:rtl/>
        </w:rPr>
        <w:t xml:space="preserve"> </w:t>
      </w:r>
      <w:r w:rsidR="005B110C" w:rsidRPr="006F7384">
        <w:rPr>
          <w:rStyle w:val="FootnoteReference"/>
          <w:rtl/>
        </w:rPr>
        <w:footnoteReference w:id="7"/>
      </w:r>
      <w:bookmarkEnd w:id="2"/>
      <w:r w:rsidRPr="006F7384">
        <w:t xml:space="preserve"> The </w:t>
      </w:r>
      <w:r w:rsidR="00236A75" w:rsidRPr="006F7384">
        <w:t>transformation</w:t>
      </w:r>
      <w:r w:rsidRPr="006F7384">
        <w:t xml:space="preserve"> was completed </w:t>
      </w:r>
      <w:r w:rsidR="00F46426" w:rsidRPr="006F7384">
        <w:t>with</w:t>
      </w:r>
      <w:r w:rsidR="00236A75" w:rsidRPr="006F7384">
        <w:t xml:space="preserve"> the enactment of</w:t>
      </w:r>
      <w:r w:rsidRPr="006F7384">
        <w:t xml:space="preserve"> the Law of </w:t>
      </w:r>
      <w:r w:rsidR="00236A75" w:rsidRPr="006F7384">
        <w:t xml:space="preserve">the </w:t>
      </w:r>
      <w:r w:rsidRPr="006F7384">
        <w:t xml:space="preserve">Foundations of Law, 5740-1980, which finally and definitively </w:t>
      </w:r>
      <w:r w:rsidR="00236A75" w:rsidRPr="006F7384">
        <w:t>voided</w:t>
      </w:r>
      <w:r w:rsidRPr="006F7384">
        <w:t xml:space="preserve"> the </w:t>
      </w:r>
      <w:r w:rsidR="00236A75" w:rsidRPr="006F7384">
        <w:t>authority</w:t>
      </w:r>
      <w:r w:rsidRPr="006F7384">
        <w:t xml:space="preserve"> of reference</w:t>
      </w:r>
      <w:r w:rsidR="00236A75" w:rsidRPr="006F7384">
        <w:t>s</w:t>
      </w:r>
      <w:r w:rsidRPr="006F7384">
        <w:t xml:space="preserve"> to English law, and ruled that from </w:t>
      </w:r>
      <w:r w:rsidR="00F46426" w:rsidRPr="006F7384">
        <w:t>thereon after</w:t>
      </w:r>
      <w:r w:rsidRPr="006F7384">
        <w:t xml:space="preserve"> the court would fill </w:t>
      </w:r>
      <w:r w:rsidR="00236A75" w:rsidRPr="006F7384">
        <w:t xml:space="preserve">lacunae in </w:t>
      </w:r>
      <w:r w:rsidRPr="006F7384">
        <w:t>the law</w:t>
      </w:r>
      <w:r w:rsidR="00236A75" w:rsidRPr="006F7384">
        <w:t xml:space="preserve"> “in the light of the principles of freedom, justice, equity and peace of Israel's heritage</w:t>
      </w:r>
      <w:r w:rsidR="005B110C" w:rsidRPr="006F7384">
        <w:t>.”</w:t>
      </w:r>
      <w:r w:rsidR="005B110C" w:rsidRPr="006F7384">
        <w:rPr>
          <w:rStyle w:val="FootnoteReference"/>
          <w:rtl/>
        </w:rPr>
        <w:t xml:space="preserve"> </w:t>
      </w:r>
      <w:r w:rsidR="005B110C" w:rsidRPr="006F7384">
        <w:rPr>
          <w:rStyle w:val="FootnoteReference"/>
          <w:rtl/>
        </w:rPr>
        <w:footnoteReference w:id="8"/>
      </w:r>
      <w:r w:rsidR="005B110C" w:rsidRPr="006F7384">
        <w:t xml:space="preserve"> </w:t>
      </w:r>
      <w:r w:rsidR="002C1E1B" w:rsidRPr="006F7384">
        <w:t>Nonetheless</w:t>
      </w:r>
      <w:r w:rsidR="005B110C" w:rsidRPr="006F7384">
        <w:t xml:space="preserve">, the gradual abolition of the </w:t>
      </w:r>
      <w:r w:rsidR="002C1E1B" w:rsidRPr="006F7384">
        <w:t>requirement</w:t>
      </w:r>
      <w:r w:rsidR="005B110C" w:rsidRPr="006F7384">
        <w:t xml:space="preserve"> to rely on </w:t>
      </w:r>
      <w:r w:rsidR="00F46426" w:rsidRPr="006F7384">
        <w:t>English</w:t>
      </w:r>
      <w:r w:rsidR="005B110C" w:rsidRPr="006F7384">
        <w:t xml:space="preserve"> </w:t>
      </w:r>
      <w:r w:rsidR="00F46426" w:rsidRPr="00BD3F61">
        <w:t>case</w:t>
      </w:r>
      <w:r w:rsidR="00F46426" w:rsidRPr="006F7384">
        <w:t xml:space="preserve"> </w:t>
      </w:r>
      <w:r w:rsidR="005B110C" w:rsidRPr="006F7384">
        <w:t xml:space="preserve">law did not eliminate the natural tendency of some judges to rely on foreign sources as comparative sources of inspiration. </w:t>
      </w:r>
      <w:r w:rsidR="002C1E1B" w:rsidRPr="006F7384">
        <w:t>R</w:t>
      </w:r>
      <w:r w:rsidR="005B110C" w:rsidRPr="006F7384">
        <w:t>eliance on American sources</w:t>
      </w:r>
      <w:r w:rsidR="002C1E1B" w:rsidRPr="006F7384">
        <w:t>,</w:t>
      </w:r>
      <w:r w:rsidR="005B110C" w:rsidRPr="006F7384">
        <w:t xml:space="preserve"> </w:t>
      </w:r>
      <w:r w:rsidR="002C1E1B" w:rsidRPr="006F7384">
        <w:t xml:space="preserve">in particular, </w:t>
      </w:r>
      <w:r w:rsidR="005B110C" w:rsidRPr="006F7384">
        <w:t xml:space="preserve">increased. The </w:t>
      </w:r>
      <w:r w:rsidR="002C1E1B" w:rsidRPr="006F7384">
        <w:t xml:space="preserve">Israeli </w:t>
      </w:r>
      <w:commentRangeStart w:id="3"/>
      <w:r w:rsidR="005B110C" w:rsidRPr="006F7384">
        <w:t>Supreme</w:t>
      </w:r>
      <w:commentRangeEnd w:id="3"/>
      <w:r w:rsidR="004127CE">
        <w:rPr>
          <w:rStyle w:val="CommentReference"/>
        </w:rPr>
        <w:commentReference w:id="3"/>
      </w:r>
      <w:r w:rsidR="005B110C" w:rsidRPr="006F7384">
        <w:t xml:space="preserve"> Court</w:t>
      </w:r>
      <w:r w:rsidR="00F46426" w:rsidRPr="006F7384">
        <w:t>,</w:t>
      </w:r>
      <w:r w:rsidR="005B110C" w:rsidRPr="006F7384">
        <w:t xml:space="preserve"> </w:t>
      </w:r>
      <w:r w:rsidR="002C1E1B" w:rsidRPr="006F7384">
        <w:t>likewise</w:t>
      </w:r>
      <w:r w:rsidR="00F46426" w:rsidRPr="006F7384">
        <w:t>,</w:t>
      </w:r>
      <w:r w:rsidR="005B110C" w:rsidRPr="006F7384">
        <w:t xml:space="preserve"> did not rush to implement the principles of </w:t>
      </w:r>
      <w:r w:rsidR="005B110C" w:rsidRPr="006F7384">
        <w:rPr>
          <w:highlight w:val="yellow"/>
        </w:rPr>
        <w:t>Jewish</w:t>
      </w:r>
      <w:r w:rsidR="002C1E1B" w:rsidRPr="006F7384">
        <w:rPr>
          <w:highlight w:val="yellow"/>
        </w:rPr>
        <w:t>/Hebrew</w:t>
      </w:r>
      <w:r w:rsidR="005B110C" w:rsidRPr="006F7384">
        <w:t xml:space="preserve"> law and Jewish heritage</w:t>
      </w:r>
      <w:r w:rsidR="002C1E1B" w:rsidRPr="006F7384">
        <w:t xml:space="preserve"> in its rulings</w:t>
      </w:r>
      <w:r w:rsidR="005B110C" w:rsidRPr="006F7384">
        <w:t xml:space="preserve">. </w:t>
      </w:r>
      <w:r w:rsidR="002C1E1B" w:rsidRPr="006F7384">
        <w:t>All the same</w:t>
      </w:r>
      <w:r w:rsidR="005B110C" w:rsidRPr="006F7384">
        <w:t xml:space="preserve">, the judicial process gradually became more independent and the tendency to rely on the </w:t>
      </w:r>
      <w:r w:rsidR="002C1E1B" w:rsidRPr="006F7384">
        <w:t>foreign sources</w:t>
      </w:r>
      <w:r w:rsidR="005B110C" w:rsidRPr="006F7384">
        <w:t xml:space="preserve"> </w:t>
      </w:r>
      <w:r w:rsidR="002C1E1B" w:rsidRPr="006F7384">
        <w:t>declined</w:t>
      </w:r>
      <w:r w:rsidR="005B110C" w:rsidRPr="006F7384">
        <w:t xml:space="preserve"> significantly. The local courts beg</w:t>
      </w:r>
      <w:r w:rsidR="002C1E1B" w:rsidRPr="006F7384">
        <w:t>a</w:t>
      </w:r>
      <w:r w:rsidR="005B110C" w:rsidRPr="006F7384">
        <w:t xml:space="preserve">n to develop an </w:t>
      </w:r>
      <w:r w:rsidR="002C1E1B" w:rsidRPr="006F7384">
        <w:t>autonomous</w:t>
      </w:r>
      <w:r w:rsidR="005B110C" w:rsidRPr="006F7384">
        <w:t xml:space="preserve"> </w:t>
      </w:r>
      <w:r w:rsidR="002C1E1B" w:rsidRPr="006F7384">
        <w:t>normative law</w:t>
      </w:r>
      <w:r w:rsidR="0056483C" w:rsidRPr="006F7384">
        <w:t>,</w:t>
      </w:r>
      <w:r w:rsidR="005B110C" w:rsidRPr="006F7384">
        <w:t xml:space="preserve"> indep</w:t>
      </w:r>
      <w:r w:rsidR="002C1E1B" w:rsidRPr="006F7384">
        <w:t>endent of foreign legal systems</w:t>
      </w:r>
      <w:r w:rsidR="0056483C" w:rsidRPr="006F7384">
        <w:t>.</w:t>
      </w:r>
      <w:r w:rsidR="0056483C" w:rsidRPr="006F7384">
        <w:rPr>
          <w:rStyle w:val="FootnoteReference"/>
        </w:rPr>
        <w:footnoteReference w:id="9"/>
      </w:r>
      <w:r w:rsidR="0056483C" w:rsidRPr="006F7384">
        <w:t xml:space="preserve"> </w:t>
      </w:r>
      <w:r w:rsidR="0056483C" w:rsidRPr="006F7384">
        <w:t xml:space="preserve">Israel </w:t>
      </w:r>
      <w:r w:rsidR="0056483C" w:rsidRPr="006F7384">
        <w:t>land</w:t>
      </w:r>
      <w:r w:rsidR="005B110C" w:rsidRPr="006F7384">
        <w:t xml:space="preserve"> law</w:t>
      </w:r>
      <w:r w:rsidR="0056483C" w:rsidRPr="006F7384">
        <w:t>s</w:t>
      </w:r>
      <w:r w:rsidR="005B110C" w:rsidRPr="006F7384">
        <w:t xml:space="preserve"> </w:t>
      </w:r>
      <w:r w:rsidR="0056483C" w:rsidRPr="006F7384">
        <w:t>hold</w:t>
      </w:r>
      <w:r w:rsidR="005B110C" w:rsidRPr="006F7384">
        <w:t xml:space="preserve"> a place of honor in this </w:t>
      </w:r>
      <w:r w:rsidR="002C1E1B" w:rsidRPr="006F7384">
        <w:t>process</w:t>
      </w:r>
      <w:r w:rsidR="005B110C" w:rsidRPr="006F7384">
        <w:t>.</w:t>
      </w:r>
    </w:p>
    <w:p w14:paraId="5A5047B5" w14:textId="48B7ABD3" w:rsidR="002C1E1B" w:rsidRPr="006F7384" w:rsidRDefault="002C1E1B" w:rsidP="009A7DCB">
      <w:pPr>
        <w:bidi w:val="0"/>
        <w:spacing w:line="480" w:lineRule="auto"/>
        <w:jc w:val="both"/>
      </w:pPr>
      <w:r w:rsidRPr="006F7384">
        <w:t xml:space="preserve">The second channel through which the Israeli judicial system </w:t>
      </w:r>
      <w:r w:rsidR="007441F1" w:rsidRPr="006F7384">
        <w:t xml:space="preserve">has </w:t>
      </w:r>
      <w:r w:rsidRPr="006F7384">
        <w:t xml:space="preserve">accumulated </w:t>
      </w:r>
      <w:r w:rsidR="007441F1" w:rsidRPr="006F7384">
        <w:t xml:space="preserve">a </w:t>
      </w:r>
      <w:r w:rsidRPr="006F7384">
        <w:t xml:space="preserve">great </w:t>
      </w:r>
      <w:r w:rsidR="007441F1" w:rsidRPr="006F7384">
        <w:t xml:space="preserve">deal if </w:t>
      </w:r>
      <w:r w:rsidRPr="006F7384">
        <w:t>power is at the level of internal relations vis-à-vis the other two branches of government in Israel: the legislative and the executive branch</w:t>
      </w:r>
      <w:r w:rsidR="007441F1" w:rsidRPr="006F7384">
        <w:t>es</w:t>
      </w:r>
      <w:r w:rsidRPr="006F7384">
        <w:t>. Israel is a democratic state in which the principle of separation of powers applies</w:t>
      </w:r>
      <w:r w:rsidR="0056483C" w:rsidRPr="006F7384">
        <w:t>, and t</w:t>
      </w:r>
      <w:r w:rsidRPr="006F7384">
        <w:t xml:space="preserve">he relationship between </w:t>
      </w:r>
      <w:r w:rsidR="00C500BD" w:rsidRPr="006F7384">
        <w:t>government branches</w:t>
      </w:r>
      <w:r w:rsidRPr="006F7384">
        <w:t xml:space="preserve"> is based on a system of checks and balances. As the </w:t>
      </w:r>
      <w:r w:rsidRPr="006F7384">
        <w:lastRenderedPageBreak/>
        <w:t xml:space="preserve">American Supreme Court Justice Felix Frankfurter </w:t>
      </w:r>
      <w:r w:rsidR="00C500BD" w:rsidRPr="006F7384">
        <w:t xml:space="preserve">once </w:t>
      </w:r>
      <w:r w:rsidRPr="006F7384">
        <w:t xml:space="preserve">wrote, </w:t>
      </w:r>
      <w:r w:rsidR="00C500BD" w:rsidRPr="006F7384">
        <w:t>the court’s</w:t>
      </w:r>
      <w:r w:rsidRPr="006F7384">
        <w:t xml:space="preserve"> authority is based on </w:t>
      </w:r>
      <w:r w:rsidR="00C500BD" w:rsidRPr="006F7384">
        <w:t>“</w:t>
      </w:r>
      <w:r w:rsidR="00C500BD" w:rsidRPr="006F7384">
        <w:rPr>
          <w:rFonts w:asciiTheme="majorBidi" w:hAnsiTheme="majorBidi" w:cstheme="majorBidi"/>
          <w:color w:val="000000"/>
          <w:shd w:val="clear" w:color="auto" w:fill="FFFFFF"/>
        </w:rPr>
        <w:t>neither the purse nor the sword,” but rather on “sustained public confidence in its moral sanction” and on “the Court's complete detachment… from political entanglements…"</w:t>
      </w:r>
      <w:r w:rsidR="00C500BD" w:rsidRPr="006F7384">
        <w:rPr>
          <w:rStyle w:val="FootnoteReference"/>
          <w:rtl/>
        </w:rPr>
        <w:footnoteReference w:id="10"/>
      </w:r>
      <w:r w:rsidR="00C500BD" w:rsidRPr="006F7384">
        <w:rPr>
          <w:rFonts w:asciiTheme="majorBidi" w:hAnsiTheme="majorBidi" w:cstheme="majorBidi"/>
          <w:color w:val="000000"/>
          <w:shd w:val="clear" w:color="auto" w:fill="FFFFFF"/>
        </w:rPr>
        <w:t xml:space="preserve"> </w:t>
      </w:r>
      <w:r w:rsidR="00C500BD" w:rsidRPr="006F7384">
        <w:t>In this spirit, the rulings of the courts during the first decades of Israel’s existence tended to be conservative and were not often characterized by judicial activism and legal creativity; they were also careful not to become involved in controversial political issues. In the more recent decades</w:t>
      </w:r>
      <w:r w:rsidR="0056483C" w:rsidRPr="006F7384">
        <w:t>, however,</w:t>
      </w:r>
      <w:r w:rsidR="00C500BD" w:rsidRPr="006F7384">
        <w:t xml:space="preserve"> this situation has changed.</w:t>
      </w:r>
      <w:bookmarkStart w:id="4" w:name="_Ref518420134"/>
      <w:r w:rsidR="00EB3B8E" w:rsidRPr="006F7384">
        <w:rPr>
          <w:rStyle w:val="FootnoteReference"/>
          <w:rtl/>
        </w:rPr>
        <w:t xml:space="preserve"> </w:t>
      </w:r>
      <w:r w:rsidR="00EB3B8E" w:rsidRPr="006F7384">
        <w:rPr>
          <w:rStyle w:val="FootnoteReference"/>
          <w:rtl/>
        </w:rPr>
        <w:footnoteReference w:id="11"/>
      </w:r>
      <w:bookmarkEnd w:id="4"/>
      <w:r w:rsidR="00C500BD" w:rsidRPr="006F7384">
        <w:t xml:space="preserve"> Three parallel processes have increased the power of the Supreme Court in relation to the </w:t>
      </w:r>
      <w:r w:rsidR="0056483C" w:rsidRPr="006F7384">
        <w:t xml:space="preserve">other </w:t>
      </w:r>
      <w:r w:rsidR="00C500BD" w:rsidRPr="006F7384">
        <w:rPr>
          <w:highlight w:val="yellow"/>
        </w:rPr>
        <w:t>two/three</w:t>
      </w:r>
      <w:r w:rsidR="00C500BD" w:rsidRPr="006F7384">
        <w:t xml:space="preserve"> </w:t>
      </w:r>
      <w:r w:rsidR="0056483C" w:rsidRPr="006F7384">
        <w:t xml:space="preserve">branches </w:t>
      </w:r>
      <w:r w:rsidR="0056483C" w:rsidRPr="006F7384">
        <w:t xml:space="preserve">of </w:t>
      </w:r>
      <w:r w:rsidR="00C500BD" w:rsidRPr="006F7384">
        <w:t>government during these decades.</w:t>
      </w:r>
    </w:p>
    <w:p w14:paraId="54DBE39D" w14:textId="436274CA" w:rsidR="00EB3B8E" w:rsidRPr="006F7384" w:rsidRDefault="00EB3B8E" w:rsidP="009A7DCB">
      <w:pPr>
        <w:bidi w:val="0"/>
        <w:spacing w:line="480" w:lineRule="auto"/>
        <w:jc w:val="both"/>
      </w:pPr>
      <w:r w:rsidRPr="006F7384">
        <w:t xml:space="preserve">First, the </w:t>
      </w:r>
      <w:r w:rsidR="00295923" w:rsidRPr="006F7384">
        <w:t>Supreme</w:t>
      </w:r>
      <w:r w:rsidRPr="006F7384">
        <w:t xml:space="preserve"> Court gradually abandoned the conservative approach that had characterized its rulings</w:t>
      </w:r>
      <w:r w:rsidR="0056483C" w:rsidRPr="006F7384">
        <w:t xml:space="preserve"> </w:t>
      </w:r>
      <w:r w:rsidR="0056483C" w:rsidRPr="006F7384">
        <w:t>in the past</w:t>
      </w:r>
      <w:r w:rsidRPr="006F7384">
        <w:t xml:space="preserve">. The </w:t>
      </w:r>
      <w:r w:rsidR="00295923" w:rsidRPr="006F7384">
        <w:t>Supreme</w:t>
      </w:r>
      <w:r w:rsidRPr="006F7384">
        <w:t xml:space="preserve"> Court </w:t>
      </w:r>
      <w:r w:rsidR="0056483C" w:rsidRPr="006F7384">
        <w:t xml:space="preserve">increasingly </w:t>
      </w:r>
      <w:r w:rsidRPr="006F7384">
        <w:t>tended toward expand</w:t>
      </w:r>
      <w:r w:rsidR="0056483C" w:rsidRPr="006F7384">
        <w:t>ing</w:t>
      </w:r>
      <w:r w:rsidRPr="006F7384">
        <w:t xml:space="preserve"> the scope of its ju</w:t>
      </w:r>
      <w:r w:rsidR="0056483C" w:rsidRPr="006F7384">
        <w:t xml:space="preserve">dicial discretion by means of </w:t>
      </w:r>
      <w:r w:rsidRPr="006F7384">
        <w:t>very broad and creative interpretation</w:t>
      </w:r>
      <w:r w:rsidR="0056483C" w:rsidRPr="006F7384">
        <w:t>s</w:t>
      </w:r>
      <w:r w:rsidRPr="006F7384">
        <w:t xml:space="preserve"> of various legislative concepts, such as good faith, negligence or reasonableness. It became </w:t>
      </w:r>
      <w:r w:rsidR="0056483C" w:rsidRPr="006F7384">
        <w:t>more and more</w:t>
      </w:r>
      <w:r w:rsidRPr="006F7384">
        <w:t xml:space="preserve"> inclined to base its rulings on ethical considerations, rather than solely on formalist interpretations of the legislation. The Court's creative approach commonly veered away from adherence to the </w:t>
      </w:r>
      <w:r w:rsidR="00825DB6" w:rsidRPr="006F7384">
        <w:t>letter</w:t>
      </w:r>
      <w:r w:rsidRPr="006F7384">
        <w:t xml:space="preserve"> of laws and contracts and </w:t>
      </w:r>
      <w:r w:rsidR="00825DB6" w:rsidRPr="006F7384">
        <w:t>became</w:t>
      </w:r>
      <w:r w:rsidRPr="006F7384">
        <w:t xml:space="preserve"> </w:t>
      </w:r>
      <w:r w:rsidR="00B23B94" w:rsidRPr="006F7384">
        <w:t>more like “judicial legislation</w:t>
      </w:r>
      <w:r w:rsidRPr="006F7384">
        <w:t xml:space="preserve">” </w:t>
      </w:r>
      <w:r w:rsidR="00B23B94" w:rsidRPr="006F7384">
        <w:t xml:space="preserve">of </w:t>
      </w:r>
      <w:r w:rsidRPr="006F7384">
        <w:t>a judge's independent creation</w:t>
      </w:r>
      <w:r w:rsidR="00825DB6" w:rsidRPr="006F7384">
        <w:t>,</w:t>
      </w:r>
      <w:r w:rsidRPr="006F7384">
        <w:t xml:space="preserve"> than </w:t>
      </w:r>
      <w:r w:rsidR="00A4597D" w:rsidRPr="006F7384">
        <w:t xml:space="preserve">the </w:t>
      </w:r>
      <w:r w:rsidR="00B23B94" w:rsidRPr="006F7384">
        <w:t>outcome</w:t>
      </w:r>
      <w:r w:rsidR="00A4597D" w:rsidRPr="006F7384">
        <w:t xml:space="preserve"> of the legislator’s intent.</w:t>
      </w:r>
      <w:r w:rsidRPr="006F7384">
        <w:t xml:space="preserve"> Since the 1980s, such "judicial legislation" has characterized the </w:t>
      </w:r>
      <w:r w:rsidR="00295923" w:rsidRPr="006F7384">
        <w:t>Supreme</w:t>
      </w:r>
      <w:r w:rsidR="00A4597D" w:rsidRPr="006F7384">
        <w:t xml:space="preserve"> C</w:t>
      </w:r>
      <w:r w:rsidRPr="006F7384">
        <w:t>ourt's rulings in almost all branches of law, including private law, administrative law and constitutional law.</w:t>
      </w:r>
      <w:bookmarkStart w:id="5" w:name="_Ref518390629"/>
      <w:r w:rsidR="00A4597D" w:rsidRPr="006F7384">
        <w:rPr>
          <w:rStyle w:val="FootnoteReference"/>
          <w:rtl/>
        </w:rPr>
        <w:t xml:space="preserve"> </w:t>
      </w:r>
      <w:r w:rsidR="00A4597D" w:rsidRPr="006F7384">
        <w:rPr>
          <w:rStyle w:val="FootnoteReference"/>
          <w:rtl/>
        </w:rPr>
        <w:footnoteReference w:id="12"/>
      </w:r>
      <w:bookmarkEnd w:id="5"/>
    </w:p>
    <w:p w14:paraId="12B7D75A" w14:textId="2D6CA407" w:rsidR="002C1E1B" w:rsidRPr="006F7384" w:rsidRDefault="00952693" w:rsidP="009A7DCB">
      <w:pPr>
        <w:bidi w:val="0"/>
        <w:spacing w:line="480" w:lineRule="auto"/>
        <w:jc w:val="both"/>
      </w:pPr>
      <w:r w:rsidRPr="006F7384">
        <w:lastRenderedPageBreak/>
        <w:t>Second, in 1992, the Knesset enacted the Basic Law: H</w:t>
      </w:r>
      <w:r w:rsidR="001E26B9" w:rsidRPr="006F7384">
        <w:t>uman Dignity and Liberty (here</w:t>
      </w:r>
      <w:r w:rsidRPr="006F7384">
        <w:t xml:space="preserve">after </w:t>
      </w:r>
      <w:bookmarkStart w:id="6" w:name="_Ref505237731"/>
      <w:r w:rsidR="001E26B9" w:rsidRPr="006F7384">
        <w:t>in this chapter: the Basic Law).</w:t>
      </w:r>
      <w:r w:rsidR="001E26B9" w:rsidRPr="006F7384">
        <w:rPr>
          <w:rStyle w:val="FootnoteReference"/>
        </w:rPr>
        <w:footnoteReference w:id="13"/>
      </w:r>
      <w:r w:rsidR="001E26B9" w:rsidRPr="006F7384">
        <w:t xml:space="preserve"> </w:t>
      </w:r>
      <w:bookmarkEnd w:id="6"/>
      <w:r w:rsidRPr="006F7384">
        <w:t xml:space="preserve">The Basic Law, which is </w:t>
      </w:r>
      <w:r w:rsidR="001E26B9" w:rsidRPr="006F7384">
        <w:t>envisioned</w:t>
      </w:r>
      <w:r w:rsidRPr="006F7384">
        <w:t xml:space="preserve"> </w:t>
      </w:r>
      <w:r w:rsidR="001E26B9" w:rsidRPr="006F7384">
        <w:t>as</w:t>
      </w:r>
      <w:r w:rsidRPr="006F7384">
        <w:t xml:space="preserve"> part of the future constitution of the State of Israel, prohibits the violation of various human rights, including life, body, </w:t>
      </w:r>
      <w:r w:rsidR="00B23B94" w:rsidRPr="006F7384">
        <w:t>dignity</w:t>
      </w:r>
      <w:r w:rsidRPr="006F7384">
        <w:t xml:space="preserve"> (Article 2) and property (Article 3). </w:t>
      </w:r>
      <w:r w:rsidR="001E26B9" w:rsidRPr="006F7384">
        <w:t>Article</w:t>
      </w:r>
      <w:r w:rsidRPr="006F7384">
        <w:t xml:space="preserve"> 8 of the Law, which over the years has </w:t>
      </w:r>
      <w:r w:rsidR="001E26B9" w:rsidRPr="006F7384">
        <w:t>come to be</w:t>
      </w:r>
      <w:r w:rsidRPr="006F7384">
        <w:t xml:space="preserve"> referred to as the </w:t>
      </w:r>
      <w:r w:rsidR="001E26B9" w:rsidRPr="006F7384">
        <w:t>“</w:t>
      </w:r>
      <w:r w:rsidRPr="006F7384">
        <w:t>limitations clause</w:t>
      </w:r>
      <w:r w:rsidR="001E26B9" w:rsidRPr="006F7384">
        <w:t>,”</w:t>
      </w:r>
      <w:r w:rsidRPr="006F7384">
        <w:t xml:space="preserve"> establishe</w:t>
      </w:r>
      <w:r w:rsidR="001E26B9" w:rsidRPr="006F7384">
        <w:t>d</w:t>
      </w:r>
      <w:r w:rsidRPr="006F7384">
        <w:t xml:space="preserve"> conditions </w:t>
      </w:r>
      <w:r w:rsidR="001E26B9" w:rsidRPr="006F7384">
        <w:t>under which</w:t>
      </w:r>
      <w:r w:rsidRPr="006F7384">
        <w:t xml:space="preserve"> violation of these rights</w:t>
      </w:r>
      <w:r w:rsidR="001E26B9" w:rsidRPr="006F7384">
        <w:t xml:space="preserve"> is permitted</w:t>
      </w:r>
      <w:r w:rsidRPr="006F7384">
        <w:t xml:space="preserve">, including legislation or explicit authorization in legislation, </w:t>
      </w:r>
      <w:r w:rsidR="001E26B9" w:rsidRPr="006F7384">
        <w:t>appropriate purpose, harm</w:t>
      </w:r>
      <w:r w:rsidRPr="006F7384">
        <w:t xml:space="preserve"> that is not excessive ("proportionality") and </w:t>
      </w:r>
      <w:r w:rsidR="001E26B9" w:rsidRPr="006F7384">
        <w:t>suitability</w:t>
      </w:r>
      <w:r w:rsidRPr="006F7384">
        <w:t xml:space="preserve"> to the values ​​of the State of Israel as a "Jewish and democratic state</w:t>
      </w:r>
      <w:r w:rsidR="001E26B9" w:rsidRPr="006F7384">
        <w:t>.</w:t>
      </w:r>
      <w:r w:rsidRPr="006F7384">
        <w:t>" In a precedent</w:t>
      </w:r>
      <w:r w:rsidR="00EE29B9" w:rsidRPr="006F7384">
        <w:t>ial</w:t>
      </w:r>
      <w:r w:rsidRPr="006F7384">
        <w:t xml:space="preserve"> </w:t>
      </w:r>
      <w:r w:rsidR="00EE29B9" w:rsidRPr="006F7384">
        <w:t>judgement</w:t>
      </w:r>
      <w:r w:rsidRPr="006F7384">
        <w:t>, the Supreme Court ruled that this</w:t>
      </w:r>
      <w:r w:rsidR="00B23B94" w:rsidRPr="006F7384">
        <w:t>,</w:t>
      </w:r>
      <w:r w:rsidRPr="006F7384">
        <w:t xml:space="preserve"> and other</w:t>
      </w:r>
      <w:r w:rsidR="00B23B94" w:rsidRPr="006F7384">
        <w:t>,</w:t>
      </w:r>
      <w:r w:rsidRPr="006F7384">
        <w:t xml:space="preserve"> Basic Laws have constitutional status and that the Court is empowered to invalidate laws or decis</w:t>
      </w:r>
      <w:r w:rsidR="00EE29B9" w:rsidRPr="006F7384">
        <w:t>ions made in accordance with those</w:t>
      </w:r>
      <w:r w:rsidRPr="006F7384">
        <w:t xml:space="preserve"> laws if, according to its interpretation, they do not meet the provisions of the Basic Law.</w:t>
      </w:r>
      <w:r w:rsidR="00EE29B9" w:rsidRPr="006F7384">
        <w:rPr>
          <w:rStyle w:val="FootnoteReference"/>
        </w:rPr>
        <w:footnoteReference w:id="14"/>
      </w:r>
      <w:r w:rsidR="00EE29B9" w:rsidRPr="006F7384">
        <w:t xml:space="preserve"> Israel’s </w:t>
      </w:r>
      <w:r w:rsidR="00295923" w:rsidRPr="006F7384">
        <w:t xml:space="preserve">Supreme Court </w:t>
      </w:r>
      <w:r w:rsidR="00EE29B9" w:rsidRPr="006F7384">
        <w:t>has, through this ruling, executed a move similar to the one made by the USA Supreme Court in the Marbury v. Madison case.</w:t>
      </w:r>
      <w:r w:rsidR="00EE29B9" w:rsidRPr="006F7384">
        <w:rPr>
          <w:rStyle w:val="FootnoteReference"/>
        </w:rPr>
        <w:footnoteReference w:id="15"/>
      </w:r>
      <w:r w:rsidR="00EE29B9" w:rsidRPr="006F7384">
        <w:t xml:space="preserve"> It granted </w:t>
      </w:r>
      <w:r w:rsidR="00B23B94" w:rsidRPr="006F7384">
        <w:t>to a</w:t>
      </w:r>
      <w:r w:rsidR="00EE29B9" w:rsidRPr="006F7384">
        <w:t xml:space="preserve"> Basic Law a constitutional status that superseded Knesset legislation and granted itself the </w:t>
      </w:r>
      <w:r w:rsidR="00772939" w:rsidRPr="006F7384">
        <w:t>ultimate</w:t>
      </w:r>
      <w:r w:rsidR="00EE29B9" w:rsidRPr="006F7384">
        <w:t xml:space="preserve"> authority to exercise the supremacy of constitutional law by disqual</w:t>
      </w:r>
      <w:r w:rsidR="00772939" w:rsidRPr="006F7384">
        <w:t>ifying ordinary laws it</w:t>
      </w:r>
      <w:r w:rsidR="00EE29B9" w:rsidRPr="006F7384">
        <w:t xml:space="preserve"> believe</w:t>
      </w:r>
      <w:r w:rsidR="00772939" w:rsidRPr="006F7384">
        <w:t>d</w:t>
      </w:r>
      <w:r w:rsidR="00EE29B9" w:rsidRPr="006F7384">
        <w:t xml:space="preserve"> contradict the Basic Law</w:t>
      </w:r>
      <w:r w:rsidR="00B23B94" w:rsidRPr="006F7384">
        <w:t>,</w:t>
      </w:r>
      <w:r w:rsidR="00EE29B9" w:rsidRPr="006F7384">
        <w:t xml:space="preserve"> or </w:t>
      </w:r>
      <w:r w:rsidR="00772939" w:rsidRPr="006F7384">
        <w:t>through an</w:t>
      </w:r>
      <w:r w:rsidR="00EE29B9" w:rsidRPr="006F7384">
        <w:t xml:space="preserve"> activist interpretation of laws in the spirit of the Basic Law.</w:t>
      </w:r>
      <w:r w:rsidR="00772939" w:rsidRPr="006F7384">
        <w:rPr>
          <w:rStyle w:val="FootnoteReference"/>
        </w:rPr>
        <w:footnoteReference w:id="16"/>
      </w:r>
      <w:r w:rsidR="00EE29B9" w:rsidRPr="006F7384">
        <w:t xml:space="preserve"> The enactment of the Basic Law and the higher constitutional status granted to it by the Court have been </w:t>
      </w:r>
      <w:r w:rsidR="00772939" w:rsidRPr="006F7384">
        <w:t>viewed</w:t>
      </w:r>
      <w:r w:rsidR="00EE29B9" w:rsidRPr="006F7384">
        <w:t xml:space="preserve"> in Israel as </w:t>
      </w:r>
      <w:r w:rsidR="00772939" w:rsidRPr="006F7384">
        <w:t>a</w:t>
      </w:r>
      <w:r w:rsidR="00EE29B9" w:rsidRPr="006F7384">
        <w:t xml:space="preserve"> </w:t>
      </w:r>
      <w:r w:rsidR="00EE29B9" w:rsidRPr="006F7384">
        <w:lastRenderedPageBreak/>
        <w:t>"constitutional revolution</w:t>
      </w:r>
      <w:r w:rsidR="00772939" w:rsidRPr="006F7384">
        <w:t>.</w:t>
      </w:r>
      <w:r w:rsidR="00EE29B9" w:rsidRPr="006F7384">
        <w:t>"</w:t>
      </w:r>
      <w:r w:rsidR="00772939" w:rsidRPr="006F7384">
        <w:rPr>
          <w:rStyle w:val="FootnoteReference"/>
        </w:rPr>
        <w:footnoteReference w:id="17"/>
      </w:r>
      <w:r w:rsidR="00EE29B9" w:rsidRPr="006F7384">
        <w:t xml:space="preserve"> </w:t>
      </w:r>
      <w:r w:rsidR="00772939" w:rsidRPr="006F7384">
        <w:t xml:space="preserve"> </w:t>
      </w:r>
      <w:r w:rsidR="00EE29B9" w:rsidRPr="006F7384">
        <w:t>Th</w:t>
      </w:r>
      <w:r w:rsidR="008D5D3F" w:rsidRPr="006F7384">
        <w:t>e</w:t>
      </w:r>
      <w:r w:rsidR="00EE29B9" w:rsidRPr="006F7384">
        <w:t xml:space="preserve"> move greatly strengthened the status of the judiciary and made it, in addition to its traditional roles, a kind of constitutional court, similar to the US Supreme Court or </w:t>
      </w:r>
      <w:r w:rsidR="00772939" w:rsidRPr="006F7384">
        <w:t xml:space="preserve">to </w:t>
      </w:r>
      <w:r w:rsidR="00EE29B9" w:rsidRPr="006F7384">
        <w:t>constitutional courts in Europe</w:t>
      </w:r>
      <w:r w:rsidR="00772939" w:rsidRPr="006F7384">
        <w:t>.</w:t>
      </w:r>
      <w:r w:rsidR="00772939" w:rsidRPr="006F7384">
        <w:rPr>
          <w:rStyle w:val="FootnoteReference"/>
        </w:rPr>
        <w:footnoteReference w:id="18"/>
      </w:r>
    </w:p>
    <w:p w14:paraId="31CD5EF4" w14:textId="20D1E6B0" w:rsidR="00772939" w:rsidRPr="006F7384" w:rsidRDefault="00772939" w:rsidP="009A7DCB">
      <w:pPr>
        <w:bidi w:val="0"/>
        <w:spacing w:line="480" w:lineRule="auto"/>
        <w:jc w:val="both"/>
      </w:pPr>
      <w:r w:rsidRPr="006F7384">
        <w:t xml:space="preserve">The third factor that has increased the power of the </w:t>
      </w:r>
      <w:r w:rsidR="00295923" w:rsidRPr="006F7384">
        <w:t>Supreme</w:t>
      </w:r>
      <w:r w:rsidRPr="006F7384">
        <w:t xml:space="preserve"> Court of Justice, as well as its activism, is the weakening of other governmental systems. The fracturing of the Israeli political system into small parties beginning in the 1980s</w:t>
      </w:r>
      <w:r w:rsidR="00006164" w:rsidRPr="006F7384">
        <w:t xml:space="preserve"> greatly weakened the power of the executive and legislative branches, leading to what many experts call a “problem of governmentality.” The </w:t>
      </w:r>
      <w:r w:rsidR="00295923" w:rsidRPr="006F7384">
        <w:t>Supreme</w:t>
      </w:r>
      <w:r w:rsidR="00006164" w:rsidRPr="006F7384">
        <w:t xml:space="preserve"> Court viewed itself, and often was also </w:t>
      </w:r>
      <w:r w:rsidR="00F82B00" w:rsidRPr="006F7384">
        <w:t xml:space="preserve">thus </w:t>
      </w:r>
      <w:r w:rsidR="00006164" w:rsidRPr="006F7384">
        <w:t>perceived by the public and by politicians</w:t>
      </w:r>
      <w:r w:rsidR="00F82B00" w:rsidRPr="006F7384">
        <w:t>,</w:t>
      </w:r>
      <w:r w:rsidR="00006164" w:rsidRPr="006F7384">
        <w:t xml:space="preserve"> as an island of stability and as a last resort (perhaps even preferred) where other authorities were unable to help.</w:t>
      </w:r>
      <w:r w:rsidR="00006164" w:rsidRPr="006F7384">
        <w:rPr>
          <w:rStyle w:val="FootnoteReference"/>
        </w:rPr>
        <w:footnoteReference w:id="19"/>
      </w:r>
    </w:p>
    <w:p w14:paraId="2EC08684" w14:textId="69B68A00" w:rsidR="00006164" w:rsidRPr="006F7384" w:rsidRDefault="00006164" w:rsidP="009A7DCB">
      <w:pPr>
        <w:bidi w:val="0"/>
        <w:spacing w:line="480" w:lineRule="auto"/>
        <w:jc w:val="both"/>
      </w:pPr>
      <w:r w:rsidRPr="006F7384">
        <w:t xml:space="preserve">One of the leading instigators of this change was the </w:t>
      </w:r>
      <w:r w:rsidR="00F82B00" w:rsidRPr="006F7384">
        <w:t>J</w:t>
      </w:r>
      <w:r w:rsidRPr="006F7384">
        <w:t xml:space="preserve">ustice, and later the </w:t>
      </w:r>
      <w:r w:rsidR="00F82B00" w:rsidRPr="006F7384">
        <w:t xml:space="preserve">Chief </w:t>
      </w:r>
      <w:r w:rsidR="00BD3F61" w:rsidRPr="006F7384">
        <w:t>Justice</w:t>
      </w:r>
      <w:r w:rsidR="00F82B00" w:rsidRPr="006F7384">
        <w:t>,</w:t>
      </w:r>
      <w:r w:rsidRPr="006F7384">
        <w:t xml:space="preserve"> of the </w:t>
      </w:r>
      <w:r w:rsidR="00295923" w:rsidRPr="006F7384">
        <w:t>Supreme</w:t>
      </w:r>
      <w:r w:rsidRPr="006F7384">
        <w:t xml:space="preserve"> Court, Prof. Aharon Barak. The judicial activism </w:t>
      </w:r>
      <w:r w:rsidR="00F82B00" w:rsidRPr="006F7384">
        <w:t>of</w:t>
      </w:r>
      <w:r w:rsidRPr="006F7384">
        <w:t xml:space="preserve"> his rulings reflected his academic background as a law professor, his professional background as a former attorney general, his favorable impression of the US legal system, and </w:t>
      </w:r>
      <w:r w:rsidR="00F82B00" w:rsidRPr="006F7384">
        <w:t xml:space="preserve">also </w:t>
      </w:r>
      <w:r w:rsidRPr="006F7384">
        <w:t>his background as a child survivor of the Holocaust who recognized the importance of an independent judiciary as a guarantee for the existence of democracy.</w:t>
      </w:r>
      <w:r w:rsidRPr="006F7384">
        <w:rPr>
          <w:rStyle w:val="FootnoteReference"/>
        </w:rPr>
        <w:footnoteReference w:id="20"/>
      </w:r>
      <w:r w:rsidR="009C4179" w:rsidRPr="006F7384">
        <w:t xml:space="preserve"> </w:t>
      </w:r>
      <w:r w:rsidR="00F82B00" w:rsidRPr="006F7384">
        <w:t xml:space="preserve">Upon his retirement, he lay forth his worldview in a special issue of the esteemed </w:t>
      </w:r>
      <w:r w:rsidR="00F82B00" w:rsidRPr="006F7384">
        <w:rPr>
          <w:i/>
          <w:iCs/>
        </w:rPr>
        <w:t>Harvard Law Review.</w:t>
      </w:r>
      <w:r w:rsidR="00F82B00" w:rsidRPr="006F7384">
        <w:rPr>
          <w:rStyle w:val="FootnoteReference"/>
        </w:rPr>
        <w:footnoteReference w:id="21"/>
      </w:r>
      <w:r w:rsidR="00F82B00" w:rsidRPr="006F7384">
        <w:rPr>
          <w:i/>
          <w:iCs/>
        </w:rPr>
        <w:t xml:space="preserve"> </w:t>
      </w:r>
      <w:r w:rsidR="009C4179" w:rsidRPr="006F7384">
        <w:t xml:space="preserve">Barak was a mentor to many Israeli jurists; indeed, Prof. Oz Almog likened </w:t>
      </w:r>
      <w:r w:rsidR="009C4179" w:rsidRPr="006F7384">
        <w:lastRenderedPageBreak/>
        <w:t>him to the Hassidic rabbi of secular society.</w:t>
      </w:r>
      <w:r w:rsidR="009C4179" w:rsidRPr="006F7384">
        <w:rPr>
          <w:rStyle w:val="FootnoteReference"/>
        </w:rPr>
        <w:footnoteReference w:id="22"/>
      </w:r>
      <w:r w:rsidR="009C4179" w:rsidRPr="006F7384">
        <w:t xml:space="preserve"> Barak became the symbol of the judicial activis</w:t>
      </w:r>
      <w:r w:rsidR="00F82B00" w:rsidRPr="006F7384">
        <w:t>t</w:t>
      </w:r>
      <w:r w:rsidR="009C4179" w:rsidRPr="006F7384">
        <w:t xml:space="preserve"> transformation, and as a result was also the target of harsh criticism by its opponents.</w:t>
      </w:r>
    </w:p>
    <w:p w14:paraId="2AF5418F" w14:textId="2EA9109B" w:rsidR="007441F1" w:rsidRPr="006F7384" w:rsidRDefault="009C4179" w:rsidP="00BD3F61">
      <w:pPr>
        <w:bidi w:val="0"/>
        <w:spacing w:line="480" w:lineRule="auto"/>
        <w:jc w:val="both"/>
        <w:rPr>
          <w:lang w:eastAsia="zh-CN"/>
        </w:rPr>
      </w:pPr>
      <w:r w:rsidRPr="006F7384">
        <w:t xml:space="preserve">The three processes </w:t>
      </w:r>
      <w:r w:rsidR="007441F1" w:rsidRPr="006F7384">
        <w:t xml:space="preserve">outlined </w:t>
      </w:r>
      <w:r w:rsidRPr="006F7384">
        <w:t xml:space="preserve">above have increased the </w:t>
      </w:r>
      <w:r w:rsidR="00F82B00" w:rsidRPr="006F7384">
        <w:t xml:space="preserve">relative </w:t>
      </w:r>
      <w:r w:rsidRPr="006F7384">
        <w:t xml:space="preserve">power of the Supreme Court vis-a-vis the other authorities to such an extent that </w:t>
      </w:r>
      <w:r w:rsidR="007441F1" w:rsidRPr="006F7384">
        <w:t xml:space="preserve">it </w:t>
      </w:r>
      <w:r w:rsidRPr="006F7384">
        <w:t xml:space="preserve">has </w:t>
      </w:r>
      <w:r w:rsidR="007441F1" w:rsidRPr="006F7384">
        <w:t xml:space="preserve">provoked </w:t>
      </w:r>
      <w:r w:rsidR="00BD3F61" w:rsidRPr="006F7384">
        <w:t>exacting</w:t>
      </w:r>
      <w:r w:rsidR="007441F1" w:rsidRPr="006F7384">
        <w:t xml:space="preserve"> criticism of the C</w:t>
      </w:r>
      <w:r w:rsidRPr="006F7384">
        <w:t xml:space="preserve">ourt, both </w:t>
      </w:r>
      <w:r w:rsidR="007441F1" w:rsidRPr="006F7384">
        <w:t>from academia</w:t>
      </w:r>
      <w:r w:rsidRPr="006F7384">
        <w:t xml:space="preserve"> and </w:t>
      </w:r>
      <w:r w:rsidR="007441F1" w:rsidRPr="006F7384">
        <w:t xml:space="preserve">in the public and political </w:t>
      </w:r>
      <w:r w:rsidR="00F82B00" w:rsidRPr="006F7384">
        <w:t>spheres</w:t>
      </w:r>
      <w:r w:rsidRPr="006F7384">
        <w:t xml:space="preserve">. Prof. Mautner </w:t>
      </w:r>
      <w:r w:rsidR="007441F1" w:rsidRPr="006F7384">
        <w:t xml:space="preserve">has </w:t>
      </w:r>
      <w:r w:rsidRPr="006F7384">
        <w:t xml:space="preserve">defined the </w:t>
      </w:r>
      <w:r w:rsidR="007441F1" w:rsidRPr="006F7384">
        <w:t>transformation in the C</w:t>
      </w:r>
      <w:r w:rsidRPr="006F7384">
        <w:t xml:space="preserve">ourt's approach as a shift from formalism to values, and attributed this change, among other things, to </w:t>
      </w:r>
      <w:r w:rsidR="007441F1" w:rsidRPr="006F7384">
        <w:t>an</w:t>
      </w:r>
      <w:r w:rsidRPr="006F7384">
        <w:t xml:space="preserve"> attempt by the social stratum to which the Supreme Court justices </w:t>
      </w:r>
      <w:r w:rsidR="007441F1" w:rsidRPr="006F7384">
        <w:t xml:space="preserve">belong to </w:t>
      </w:r>
      <w:r w:rsidRPr="006F7384">
        <w:t>maintain its power and liberal values.</w:t>
      </w:r>
      <w:r w:rsidR="007441F1" w:rsidRPr="006F7384">
        <w:rPr>
          <w:rStyle w:val="FootnoteReference"/>
        </w:rPr>
        <w:footnoteReference w:id="23"/>
      </w:r>
      <w:r w:rsidRPr="006F7384">
        <w:t xml:space="preserve"> Other critics have argued that the </w:t>
      </w:r>
      <w:r w:rsidR="00F82B00" w:rsidRPr="006F7384">
        <w:t>Supreme C</w:t>
      </w:r>
      <w:r w:rsidRPr="006F7384">
        <w:t xml:space="preserve">ourt has assumed powers that </w:t>
      </w:r>
      <w:r w:rsidR="00F82B00" w:rsidRPr="006F7384">
        <w:t>exceed</w:t>
      </w:r>
      <w:r w:rsidRPr="006F7384">
        <w:t xml:space="preserve"> </w:t>
      </w:r>
      <w:r w:rsidR="007441F1" w:rsidRPr="006F7384">
        <w:t>the</w:t>
      </w:r>
      <w:r w:rsidRPr="006F7384">
        <w:t xml:space="preserve"> accepted and proper role of the courts and </w:t>
      </w:r>
      <w:r w:rsidR="007441F1" w:rsidRPr="006F7384">
        <w:t>might ultimately even damage the C</w:t>
      </w:r>
      <w:r w:rsidRPr="006F7384">
        <w:t>ourt itself.</w:t>
      </w:r>
      <w:r w:rsidR="007441F1" w:rsidRPr="006F7384">
        <w:rPr>
          <w:rStyle w:val="FootnoteReference"/>
        </w:rPr>
        <w:footnoteReference w:id="24"/>
      </w:r>
      <w:r w:rsidR="007441F1" w:rsidRPr="006F7384">
        <w:t xml:space="preserve"> </w:t>
      </w:r>
      <w:r w:rsidR="007441F1" w:rsidRPr="006F7384">
        <w:rPr>
          <w:lang w:eastAsia="zh-CN"/>
        </w:rPr>
        <w:t xml:space="preserve">Certainly, </w:t>
      </w:r>
      <w:r w:rsidR="002B5C85" w:rsidRPr="006F7384">
        <w:rPr>
          <w:lang w:eastAsia="zh-CN"/>
        </w:rPr>
        <w:t>the increasing number</w:t>
      </w:r>
      <w:r w:rsidR="007441F1" w:rsidRPr="006F7384">
        <w:rPr>
          <w:lang w:eastAsia="zh-CN"/>
        </w:rPr>
        <w:t xml:space="preserve"> of rulings on </w:t>
      </w:r>
      <w:r w:rsidR="002B5C85" w:rsidRPr="006F7384">
        <w:rPr>
          <w:lang w:eastAsia="zh-CN"/>
        </w:rPr>
        <w:t xml:space="preserve">politically </w:t>
      </w:r>
      <w:r w:rsidR="007441F1" w:rsidRPr="006F7384">
        <w:rPr>
          <w:lang w:eastAsia="zh-CN"/>
        </w:rPr>
        <w:t>controversial issues has l</w:t>
      </w:r>
      <w:r w:rsidR="00F67E47" w:rsidRPr="006F7384">
        <w:rPr>
          <w:lang w:eastAsia="zh-CN"/>
        </w:rPr>
        <w:t>ed to growing criticism of the C</w:t>
      </w:r>
      <w:r w:rsidR="007441F1" w:rsidRPr="006F7384">
        <w:rPr>
          <w:lang w:eastAsia="zh-CN"/>
        </w:rPr>
        <w:t>ourt</w:t>
      </w:r>
      <w:r w:rsidR="002B5C85" w:rsidRPr="006F7384">
        <w:rPr>
          <w:lang w:eastAsia="zh-CN"/>
        </w:rPr>
        <w:t xml:space="preserve"> on the part of politicians</w:t>
      </w:r>
      <w:r w:rsidR="007441F1" w:rsidRPr="006F7384">
        <w:rPr>
          <w:lang w:eastAsia="zh-CN"/>
        </w:rPr>
        <w:t>.</w:t>
      </w:r>
      <w:r w:rsidR="002B5C85" w:rsidRPr="006F7384">
        <w:rPr>
          <w:rStyle w:val="FootnoteReference"/>
          <w:lang w:eastAsia="zh-CN"/>
        </w:rPr>
        <w:footnoteReference w:id="25"/>
      </w:r>
      <w:r w:rsidR="007441F1" w:rsidRPr="006F7384">
        <w:rPr>
          <w:lang w:eastAsia="zh-CN"/>
        </w:rPr>
        <w:t xml:space="preserve"> </w:t>
      </w:r>
      <w:r w:rsidR="00F67E47" w:rsidRPr="006F7384">
        <w:rPr>
          <w:lang w:eastAsia="zh-CN"/>
        </w:rPr>
        <w:t>I</w:t>
      </w:r>
      <w:r w:rsidR="00F67E47" w:rsidRPr="006F7384">
        <w:rPr>
          <w:lang w:eastAsia="zh-CN"/>
        </w:rPr>
        <w:t>n recent years</w:t>
      </w:r>
      <w:r w:rsidR="00F67E47" w:rsidRPr="006F7384">
        <w:rPr>
          <w:lang w:eastAsia="zh-CN"/>
        </w:rPr>
        <w:t>, t</w:t>
      </w:r>
      <w:r w:rsidR="007441F1" w:rsidRPr="006F7384">
        <w:rPr>
          <w:lang w:eastAsia="zh-CN"/>
        </w:rPr>
        <w:t xml:space="preserve">he status of the </w:t>
      </w:r>
      <w:r w:rsidR="00295923" w:rsidRPr="006F7384">
        <w:rPr>
          <w:lang w:eastAsia="zh-CN"/>
        </w:rPr>
        <w:t>Supreme</w:t>
      </w:r>
      <w:r w:rsidR="007441F1" w:rsidRPr="006F7384">
        <w:rPr>
          <w:lang w:eastAsia="zh-CN"/>
        </w:rPr>
        <w:t xml:space="preserve"> Court has been </w:t>
      </w:r>
      <w:r w:rsidR="002E2F78" w:rsidRPr="006F7384">
        <w:rPr>
          <w:lang w:eastAsia="zh-CN"/>
        </w:rPr>
        <w:t>the focus</w:t>
      </w:r>
      <w:r w:rsidR="007441F1" w:rsidRPr="006F7384">
        <w:rPr>
          <w:lang w:eastAsia="zh-CN"/>
        </w:rPr>
        <w:t xml:space="preserve"> of constant po</w:t>
      </w:r>
      <w:r w:rsidR="002E2F78" w:rsidRPr="006F7384">
        <w:rPr>
          <w:lang w:eastAsia="zh-CN"/>
        </w:rPr>
        <w:t>litical pressure aimed at reducing the C</w:t>
      </w:r>
      <w:r w:rsidR="007441F1" w:rsidRPr="006F7384">
        <w:rPr>
          <w:lang w:eastAsia="zh-CN"/>
        </w:rPr>
        <w:t xml:space="preserve">ourt's activism. Two of Israel's </w:t>
      </w:r>
      <w:r w:rsidR="002E2F78" w:rsidRPr="006F7384">
        <w:rPr>
          <w:lang w:eastAsia="zh-CN"/>
        </w:rPr>
        <w:t xml:space="preserve">minsters of justice </w:t>
      </w:r>
      <w:r w:rsidR="007441F1" w:rsidRPr="006F7384">
        <w:rPr>
          <w:lang w:eastAsia="zh-CN"/>
        </w:rPr>
        <w:t xml:space="preserve">in recent decades have been </w:t>
      </w:r>
      <w:r w:rsidR="002E2F78" w:rsidRPr="006F7384">
        <w:rPr>
          <w:lang w:eastAsia="zh-CN"/>
        </w:rPr>
        <w:t>fervent</w:t>
      </w:r>
      <w:r w:rsidR="007441F1" w:rsidRPr="006F7384">
        <w:rPr>
          <w:lang w:eastAsia="zh-CN"/>
        </w:rPr>
        <w:t xml:space="preserve"> critics of judicial activism</w:t>
      </w:r>
      <w:r w:rsidR="002E2F78" w:rsidRPr="006F7384">
        <w:rPr>
          <w:lang w:eastAsia="zh-CN"/>
        </w:rPr>
        <w:t>:</w:t>
      </w:r>
      <w:r w:rsidR="007441F1" w:rsidRPr="006F7384">
        <w:rPr>
          <w:lang w:eastAsia="zh-CN"/>
        </w:rPr>
        <w:t xml:space="preserve"> Prof. Daniel Friedmann, who served as Minister of Justice in 2007-2009, summarized his critical approach in his book "The </w:t>
      </w:r>
      <w:r w:rsidR="002E2F78" w:rsidRPr="006F7384">
        <w:rPr>
          <w:lang w:eastAsia="zh-CN"/>
        </w:rPr>
        <w:t>Purse</w:t>
      </w:r>
      <w:r w:rsidR="007441F1" w:rsidRPr="006F7384">
        <w:rPr>
          <w:lang w:eastAsia="zh-CN"/>
        </w:rPr>
        <w:t xml:space="preserve"> and the Sword."</w:t>
      </w:r>
      <w:r w:rsidR="002E2F78" w:rsidRPr="006F7384">
        <w:rPr>
          <w:rStyle w:val="FootnoteReference"/>
          <w:lang w:eastAsia="zh-CN"/>
        </w:rPr>
        <w:footnoteReference w:id="26"/>
      </w:r>
      <w:r w:rsidR="007441F1" w:rsidRPr="006F7384">
        <w:rPr>
          <w:lang w:eastAsia="zh-CN"/>
        </w:rPr>
        <w:t xml:space="preserve"> </w:t>
      </w:r>
      <w:r w:rsidR="002E2F78" w:rsidRPr="006F7384">
        <w:rPr>
          <w:lang w:eastAsia="zh-CN"/>
        </w:rPr>
        <w:t xml:space="preserve">The current </w:t>
      </w:r>
      <w:r w:rsidR="007441F1" w:rsidRPr="006F7384">
        <w:rPr>
          <w:lang w:eastAsia="zh-CN"/>
        </w:rPr>
        <w:t xml:space="preserve">Minister </w:t>
      </w:r>
      <w:r w:rsidR="002E2F78" w:rsidRPr="006F7384">
        <w:rPr>
          <w:lang w:eastAsia="zh-CN"/>
        </w:rPr>
        <w:t xml:space="preserve">of Justice, </w:t>
      </w:r>
      <w:r w:rsidR="007441F1" w:rsidRPr="006F7384">
        <w:rPr>
          <w:lang w:eastAsia="zh-CN"/>
        </w:rPr>
        <w:t>Ayelet Shaked</w:t>
      </w:r>
      <w:r w:rsidR="002E2F78" w:rsidRPr="006F7384">
        <w:rPr>
          <w:lang w:eastAsia="zh-CN"/>
        </w:rPr>
        <w:t>,</w:t>
      </w:r>
      <w:r w:rsidR="007441F1" w:rsidRPr="006F7384">
        <w:rPr>
          <w:lang w:eastAsia="zh-CN"/>
        </w:rPr>
        <w:t xml:space="preserve"> </w:t>
      </w:r>
      <w:r w:rsidR="002E2F78" w:rsidRPr="006F7384">
        <w:rPr>
          <w:lang w:eastAsia="zh-CN"/>
        </w:rPr>
        <w:lastRenderedPageBreak/>
        <w:t xml:space="preserve">who has been in office since 2015, </w:t>
      </w:r>
      <w:r w:rsidR="007441F1" w:rsidRPr="006F7384">
        <w:rPr>
          <w:lang w:eastAsia="zh-CN"/>
        </w:rPr>
        <w:t xml:space="preserve">has taken concrete steps to weaken judicial activism, including </w:t>
      </w:r>
      <w:r w:rsidR="002E2F78" w:rsidRPr="006F7384">
        <w:rPr>
          <w:lang w:eastAsia="zh-CN"/>
        </w:rPr>
        <w:t>substantial</w:t>
      </w:r>
      <w:r w:rsidR="007441F1" w:rsidRPr="006F7384">
        <w:rPr>
          <w:lang w:eastAsia="zh-CN"/>
        </w:rPr>
        <w:t xml:space="preserve"> and successful support for the appointment of "conservative" </w:t>
      </w:r>
      <w:r w:rsidR="002E2F78" w:rsidRPr="006F7384">
        <w:rPr>
          <w:lang w:eastAsia="zh-CN"/>
        </w:rPr>
        <w:t>justices</w:t>
      </w:r>
      <w:r w:rsidR="002E2F78" w:rsidRPr="006F7384">
        <w:rPr>
          <w:rStyle w:val="FootnoteReference"/>
          <w:lang w:eastAsia="zh-CN"/>
        </w:rPr>
        <w:footnoteReference w:id="27"/>
      </w:r>
      <w:r w:rsidR="007441F1" w:rsidRPr="006F7384">
        <w:rPr>
          <w:lang w:eastAsia="zh-CN"/>
        </w:rPr>
        <w:t xml:space="preserve"> and the introduction of a Basic Law that will </w:t>
      </w:r>
      <w:r w:rsidR="002E2F78" w:rsidRPr="006F7384">
        <w:rPr>
          <w:lang w:eastAsia="zh-CN"/>
        </w:rPr>
        <w:t>allow</w:t>
      </w:r>
      <w:r w:rsidR="007441F1" w:rsidRPr="006F7384">
        <w:rPr>
          <w:lang w:eastAsia="zh-CN"/>
        </w:rPr>
        <w:t xml:space="preserve"> the Knesset to pass laws that over</w:t>
      </w:r>
      <w:r w:rsidR="002E2F78" w:rsidRPr="006F7384">
        <w:rPr>
          <w:lang w:eastAsia="zh-CN"/>
        </w:rPr>
        <w:t xml:space="preserve">ride </w:t>
      </w:r>
      <w:r w:rsidR="00F67E47" w:rsidRPr="006F7384">
        <w:rPr>
          <w:lang w:eastAsia="zh-CN"/>
        </w:rPr>
        <w:t xml:space="preserve">Supreme </w:t>
      </w:r>
      <w:r w:rsidR="002E2F78" w:rsidRPr="006F7384">
        <w:rPr>
          <w:lang w:eastAsia="zh-CN"/>
        </w:rPr>
        <w:t>C</w:t>
      </w:r>
      <w:r w:rsidR="007441F1" w:rsidRPr="006F7384">
        <w:rPr>
          <w:lang w:eastAsia="zh-CN"/>
        </w:rPr>
        <w:t xml:space="preserve">ourt rulings by means of a </w:t>
      </w:r>
      <w:r w:rsidR="007441F1" w:rsidRPr="006F7384">
        <w:rPr>
          <w:highlight w:val="yellow"/>
          <w:lang w:eastAsia="zh-CN"/>
        </w:rPr>
        <w:t>"cessation clause</w:t>
      </w:r>
      <w:r w:rsidR="007441F1" w:rsidRPr="006F7384">
        <w:rPr>
          <w:lang w:eastAsia="zh-CN"/>
        </w:rPr>
        <w:t>."</w:t>
      </w:r>
      <w:r w:rsidR="002E2F78" w:rsidRPr="006F7384">
        <w:rPr>
          <w:rStyle w:val="FootnoteReference"/>
          <w:lang w:eastAsia="zh-CN"/>
        </w:rPr>
        <w:footnoteReference w:id="28"/>
      </w:r>
      <w:r w:rsidR="007441F1" w:rsidRPr="006F7384">
        <w:rPr>
          <w:lang w:eastAsia="zh-CN"/>
        </w:rPr>
        <w:t xml:space="preserve"> The </w:t>
      </w:r>
      <w:r w:rsidR="00BD3F61">
        <w:rPr>
          <w:lang w:eastAsia="zh-CN"/>
        </w:rPr>
        <w:t>increase</w:t>
      </w:r>
      <w:r w:rsidR="007441F1" w:rsidRPr="006F7384">
        <w:rPr>
          <w:lang w:eastAsia="zh-CN"/>
        </w:rPr>
        <w:t xml:space="preserve"> in judicial activism also led to a </w:t>
      </w:r>
      <w:r w:rsidR="002E2F78" w:rsidRPr="006F7384">
        <w:rPr>
          <w:lang w:eastAsia="zh-CN"/>
        </w:rPr>
        <w:t xml:space="preserve">certain </w:t>
      </w:r>
      <w:r w:rsidR="007441F1" w:rsidRPr="006F7384">
        <w:rPr>
          <w:lang w:eastAsia="zh-CN"/>
        </w:rPr>
        <w:t xml:space="preserve">gradual decline in public </w:t>
      </w:r>
      <w:r w:rsidR="002E2F78" w:rsidRPr="006F7384">
        <w:rPr>
          <w:lang w:eastAsia="zh-CN"/>
        </w:rPr>
        <w:t>confidence</w:t>
      </w:r>
      <w:r w:rsidR="007441F1" w:rsidRPr="006F7384">
        <w:rPr>
          <w:lang w:eastAsia="zh-CN"/>
        </w:rPr>
        <w:t xml:space="preserve"> in the </w:t>
      </w:r>
      <w:r w:rsidR="00295923" w:rsidRPr="006F7384">
        <w:rPr>
          <w:lang w:eastAsia="zh-CN"/>
        </w:rPr>
        <w:t>Supreme</w:t>
      </w:r>
      <w:r w:rsidR="007441F1" w:rsidRPr="006F7384">
        <w:rPr>
          <w:lang w:eastAsia="zh-CN"/>
        </w:rPr>
        <w:t xml:space="preserve"> Court</w:t>
      </w:r>
      <w:r w:rsidR="00295923" w:rsidRPr="006F7384">
        <w:rPr>
          <w:lang w:eastAsia="zh-CN"/>
        </w:rPr>
        <w:t>;</w:t>
      </w:r>
      <w:r w:rsidR="007441F1" w:rsidRPr="006F7384">
        <w:rPr>
          <w:lang w:eastAsia="zh-CN"/>
        </w:rPr>
        <w:t xml:space="preserve"> </w:t>
      </w:r>
      <w:r w:rsidR="00295923" w:rsidRPr="006F7384">
        <w:rPr>
          <w:lang w:eastAsia="zh-CN"/>
        </w:rPr>
        <w:t xml:space="preserve">however, </w:t>
      </w:r>
      <w:r w:rsidR="007441F1" w:rsidRPr="006F7384">
        <w:rPr>
          <w:lang w:eastAsia="zh-CN"/>
        </w:rPr>
        <w:t xml:space="preserve">public opinion polls </w:t>
      </w:r>
      <w:r w:rsidR="00295923" w:rsidRPr="006F7384">
        <w:rPr>
          <w:lang w:eastAsia="zh-CN"/>
        </w:rPr>
        <w:t>since 2009 indicate</w:t>
      </w:r>
      <w:r w:rsidR="007441F1" w:rsidRPr="006F7384">
        <w:rPr>
          <w:lang w:eastAsia="zh-CN"/>
        </w:rPr>
        <w:t xml:space="preserve"> a </w:t>
      </w:r>
      <w:r w:rsidR="00295923" w:rsidRPr="006F7384">
        <w:rPr>
          <w:lang w:eastAsia="zh-CN"/>
        </w:rPr>
        <w:t xml:space="preserve">consistent </w:t>
      </w:r>
      <w:r w:rsidR="007441F1" w:rsidRPr="006F7384">
        <w:rPr>
          <w:lang w:eastAsia="zh-CN"/>
        </w:rPr>
        <w:t xml:space="preserve">moderate trend </w:t>
      </w:r>
      <w:r w:rsidR="00295923" w:rsidRPr="006F7384">
        <w:rPr>
          <w:lang w:eastAsia="zh-CN"/>
        </w:rPr>
        <w:t>towards a return to</w:t>
      </w:r>
      <w:r w:rsidR="007441F1" w:rsidRPr="006F7384">
        <w:rPr>
          <w:lang w:eastAsia="zh-CN"/>
        </w:rPr>
        <w:t xml:space="preserve"> </w:t>
      </w:r>
      <w:r w:rsidR="00295923" w:rsidRPr="006F7384">
        <w:rPr>
          <w:lang w:eastAsia="zh-CN"/>
        </w:rPr>
        <w:t>the level</w:t>
      </w:r>
      <w:r w:rsidR="007441F1" w:rsidRPr="006F7384">
        <w:rPr>
          <w:lang w:eastAsia="zh-CN"/>
        </w:rPr>
        <w:t xml:space="preserve"> of </w:t>
      </w:r>
      <w:r w:rsidR="00615F39" w:rsidRPr="006F7384">
        <w:rPr>
          <w:lang w:eastAsia="zh-CN"/>
        </w:rPr>
        <w:t xml:space="preserve">public </w:t>
      </w:r>
      <w:r w:rsidR="007441F1" w:rsidRPr="006F7384">
        <w:rPr>
          <w:lang w:eastAsia="zh-CN"/>
        </w:rPr>
        <w:t xml:space="preserve">trust </w:t>
      </w:r>
      <w:r w:rsidR="00615F39" w:rsidRPr="006F7384">
        <w:rPr>
          <w:lang w:eastAsia="zh-CN"/>
        </w:rPr>
        <w:t xml:space="preserve">it had </w:t>
      </w:r>
      <w:r w:rsidR="00295923" w:rsidRPr="006F7384">
        <w:rPr>
          <w:lang w:eastAsia="zh-CN"/>
        </w:rPr>
        <w:t>prior to</w:t>
      </w:r>
      <w:r w:rsidR="007441F1" w:rsidRPr="006F7384">
        <w:rPr>
          <w:lang w:eastAsia="zh-CN"/>
        </w:rPr>
        <w:t xml:space="preserve"> the constitutional revolution.</w:t>
      </w:r>
      <w:r w:rsidR="00295923" w:rsidRPr="006F7384">
        <w:rPr>
          <w:rStyle w:val="FootnoteReference"/>
          <w:lang w:eastAsia="zh-CN"/>
        </w:rPr>
        <w:footnoteReference w:id="29"/>
      </w:r>
    </w:p>
    <w:p w14:paraId="1DE0C8FE" w14:textId="51F178B0" w:rsidR="009C4179" w:rsidRPr="006F7384" w:rsidRDefault="00615F39" w:rsidP="009A7DCB">
      <w:pPr>
        <w:bidi w:val="0"/>
        <w:spacing w:line="480" w:lineRule="auto"/>
        <w:jc w:val="both"/>
      </w:pPr>
      <w:r w:rsidRPr="006F7384">
        <w:rPr>
          <w:lang w:eastAsia="zh-CN"/>
        </w:rPr>
        <w:t xml:space="preserve">Judicial creativity, then, is one of the central characteristics of Israel’s judiciary system. </w:t>
      </w:r>
      <w:r w:rsidRPr="006F7384">
        <w:t xml:space="preserve">Like other identifying characteristics of the State of Israel, it is clearly reflected in Israeli land laws. The following paragraphs </w:t>
      </w:r>
      <w:r w:rsidR="00F67E47" w:rsidRPr="006F7384">
        <w:t>are</w:t>
      </w:r>
      <w:r w:rsidRPr="006F7384">
        <w:t xml:space="preserve"> devoted to analyzing two areas of land law that reflect the increasing power of the judiciary in Israel: First, the independent development indigenous equitable rights in Israel; and second, the evolution of the Court's rulings in the field of constitutional protection of private property in Israel.</w:t>
      </w:r>
    </w:p>
    <w:p w14:paraId="538B7B09" w14:textId="77777777" w:rsidR="00615F39" w:rsidRPr="006F7384" w:rsidRDefault="00615F39" w:rsidP="009A7DCB">
      <w:pPr>
        <w:bidi w:val="0"/>
        <w:spacing w:line="480" w:lineRule="auto"/>
        <w:jc w:val="both"/>
      </w:pPr>
    </w:p>
    <w:p w14:paraId="28FBDC0B" w14:textId="77777777" w:rsidR="00615F39" w:rsidRPr="006F7384" w:rsidRDefault="00615F39" w:rsidP="009A7DCB">
      <w:pPr>
        <w:bidi w:val="0"/>
        <w:spacing w:line="480" w:lineRule="auto"/>
        <w:jc w:val="both"/>
        <w:rPr>
          <w:b/>
          <w:bCs/>
          <w:lang w:eastAsia="zh-CN"/>
        </w:rPr>
      </w:pPr>
      <w:r w:rsidRPr="006F7384">
        <w:rPr>
          <w:b/>
          <w:bCs/>
        </w:rPr>
        <w:t>The independent development of equitable property rights</w:t>
      </w:r>
    </w:p>
    <w:p w14:paraId="61354851" w14:textId="17A2EF6C" w:rsidR="009C4179" w:rsidRPr="006F7384" w:rsidRDefault="00615F39" w:rsidP="009A7DCB">
      <w:pPr>
        <w:bidi w:val="0"/>
        <w:spacing w:line="480" w:lineRule="auto"/>
        <w:jc w:val="both"/>
      </w:pPr>
      <w:r w:rsidRPr="006F7384">
        <w:t xml:space="preserve">English </w:t>
      </w:r>
      <w:r w:rsidR="00E50F34" w:rsidRPr="006F7384">
        <w:t xml:space="preserve">equity </w:t>
      </w:r>
      <w:r w:rsidRPr="006F7384">
        <w:t>law</w:t>
      </w:r>
      <w:r w:rsidR="00E50F34" w:rsidRPr="006F7384">
        <w:t>s</w:t>
      </w:r>
      <w:r w:rsidRPr="006F7384">
        <w:t xml:space="preserve"> and common law had binding legal status in Mandatory Palestine. As already </w:t>
      </w:r>
      <w:r w:rsidR="00E50F34" w:rsidRPr="006F7384">
        <w:t>noted</w:t>
      </w:r>
      <w:r w:rsidRPr="006F7384">
        <w:t xml:space="preserve">, </w:t>
      </w:r>
      <w:r w:rsidR="00E50F34" w:rsidRPr="006F7384">
        <w:t>this was rooted in</w:t>
      </w:r>
      <w:r w:rsidRPr="006F7384">
        <w:t xml:space="preserve"> the Mandatory constitution, which </w:t>
      </w:r>
      <w:r w:rsidR="00767DF1" w:rsidRPr="006F7384">
        <w:t>remained in effect</w:t>
      </w:r>
      <w:r w:rsidRPr="006F7384">
        <w:t xml:space="preserve"> even after the establishment of the State of Israel. </w:t>
      </w:r>
      <w:r w:rsidR="009A3C18" w:rsidRPr="006F7384">
        <w:t xml:space="preserve">During that period, </w:t>
      </w:r>
      <w:r w:rsidRPr="006F7384">
        <w:t xml:space="preserve">English </w:t>
      </w:r>
      <w:r w:rsidRPr="006F7384">
        <w:lastRenderedPageBreak/>
        <w:t xml:space="preserve">law served as </w:t>
      </w:r>
      <w:r w:rsidR="00767DF1" w:rsidRPr="006F7384">
        <w:t>the</w:t>
      </w:r>
      <w:r w:rsidRPr="006F7384">
        <w:t xml:space="preserve"> normative source for various doctrines in the field of </w:t>
      </w:r>
      <w:r w:rsidR="009A3C18" w:rsidRPr="006F7384">
        <w:t>land</w:t>
      </w:r>
      <w:r w:rsidRPr="006F7384">
        <w:t xml:space="preserve"> law, </w:t>
      </w:r>
      <w:r w:rsidR="00767DF1" w:rsidRPr="006F7384">
        <w:t xml:space="preserve">and </w:t>
      </w:r>
      <w:r w:rsidRPr="006F7384">
        <w:t>particularly rights developed in the courts of equity.</w:t>
      </w:r>
      <w:r w:rsidR="009A3C18" w:rsidRPr="006F7384">
        <w:rPr>
          <w:rStyle w:val="FootnoteReference"/>
        </w:rPr>
        <w:footnoteReference w:id="30"/>
      </w:r>
      <w:r w:rsidRPr="006F7384">
        <w:t xml:space="preserve"> Thus, for example, Israeli courts recognized property rights "</w:t>
      </w:r>
      <w:r w:rsidR="00BD3F61">
        <w:t xml:space="preserve">stemming </w:t>
      </w:r>
      <w:r w:rsidRPr="006F7384">
        <w:t xml:space="preserve">from </w:t>
      </w:r>
      <w:r w:rsidR="009A3C18" w:rsidRPr="006F7384">
        <w:t>equity</w:t>
      </w:r>
      <w:r w:rsidRPr="006F7384">
        <w:t xml:space="preserve">." They ruled, </w:t>
      </w:r>
      <w:r w:rsidR="009A3C18" w:rsidRPr="006F7384">
        <w:t>in accordance with</w:t>
      </w:r>
      <w:r w:rsidRPr="006F7384">
        <w:t xml:space="preserve"> laws </w:t>
      </w:r>
      <w:r w:rsidR="009A3C18" w:rsidRPr="006F7384">
        <w:t>imported</w:t>
      </w:r>
      <w:r w:rsidRPr="006F7384">
        <w:t xml:space="preserve"> from English law, that a person hold</w:t>
      </w:r>
      <w:r w:rsidR="009A3C18" w:rsidRPr="006F7384">
        <w:t>ing</w:t>
      </w:r>
      <w:r w:rsidRPr="006F7384">
        <w:t xml:space="preserve"> a contract to acquir</w:t>
      </w:r>
      <w:r w:rsidR="009A3C18" w:rsidRPr="006F7384">
        <w:t>e</w:t>
      </w:r>
      <w:r w:rsidRPr="006F7384">
        <w:t xml:space="preserve"> right</w:t>
      </w:r>
      <w:r w:rsidR="009A3C18" w:rsidRPr="006F7384">
        <w:t>s</w:t>
      </w:r>
      <w:r w:rsidRPr="006F7384">
        <w:t xml:space="preserve"> in land has a</w:t>
      </w:r>
      <w:r w:rsidR="009A3C18" w:rsidRPr="006F7384">
        <w:t>n equitable</w:t>
      </w:r>
      <w:r w:rsidRPr="006F7384">
        <w:t xml:space="preserve"> right of ownership </w:t>
      </w:r>
      <w:r w:rsidR="00767DF1" w:rsidRPr="006F7384">
        <w:t>in</w:t>
      </w:r>
      <w:r w:rsidRPr="006F7384">
        <w:t xml:space="preserve"> the property, even though the transferor remains the property owner </w:t>
      </w:r>
      <w:r w:rsidR="009A3C18" w:rsidRPr="006F7384">
        <w:t>by</w:t>
      </w:r>
      <w:r w:rsidRPr="006F7384">
        <w:t xml:space="preserve"> law. The main significance of this rule is that the </w:t>
      </w:r>
      <w:r w:rsidR="009A3C18" w:rsidRPr="006F7384">
        <w:t xml:space="preserve">equitable </w:t>
      </w:r>
      <w:r w:rsidRPr="006F7384">
        <w:t xml:space="preserve">right to property </w:t>
      </w:r>
      <w:r w:rsidR="009A3C18" w:rsidRPr="006F7384">
        <w:t>supersedes</w:t>
      </w:r>
      <w:r w:rsidRPr="006F7384">
        <w:t xml:space="preserve"> the right</w:t>
      </w:r>
      <w:r w:rsidR="009A3C18" w:rsidRPr="006F7384">
        <w:t>s</w:t>
      </w:r>
      <w:r w:rsidRPr="006F7384">
        <w:t xml:space="preserve"> of </w:t>
      </w:r>
      <w:r w:rsidR="009A3C18" w:rsidRPr="006F7384">
        <w:t>any of the</w:t>
      </w:r>
      <w:r w:rsidRPr="006F7384">
        <w:t xml:space="preserve"> </w:t>
      </w:r>
      <w:r w:rsidR="009A3C18" w:rsidRPr="006F7384">
        <w:t xml:space="preserve">transferor’s </w:t>
      </w:r>
      <w:r w:rsidRPr="006F7384">
        <w:t xml:space="preserve">creditors, </w:t>
      </w:r>
      <w:r w:rsidR="009A3C18" w:rsidRPr="006F7384">
        <w:t>with the exception of</w:t>
      </w:r>
      <w:r w:rsidRPr="006F7384">
        <w:t xml:space="preserve"> creditors who have completed the purchase of the asset in </w:t>
      </w:r>
      <w:r w:rsidR="009A3C18" w:rsidRPr="006F7384">
        <w:t>value</w:t>
      </w:r>
      <w:r w:rsidRPr="006F7384">
        <w:t xml:space="preserve"> and without notice. This ruling was based on the assumption by the courts of </w:t>
      </w:r>
      <w:r w:rsidR="008B2969" w:rsidRPr="006F7384">
        <w:t>equity</w:t>
      </w:r>
      <w:r w:rsidRPr="006F7384">
        <w:t xml:space="preserve"> that </w:t>
      </w:r>
      <w:r w:rsidR="008B2969" w:rsidRPr="006F7384">
        <w:t>a relationship of constructivist trust exists between the legal owner</w:t>
      </w:r>
      <w:r w:rsidRPr="006F7384">
        <w:t xml:space="preserve"> and the </w:t>
      </w:r>
      <w:r w:rsidR="008B2969" w:rsidRPr="006F7384">
        <w:t>equitable</w:t>
      </w:r>
      <w:r w:rsidRPr="006F7384">
        <w:t xml:space="preserve"> owner</w:t>
      </w:r>
      <w:r w:rsidR="008B2969" w:rsidRPr="006F7384">
        <w:t xml:space="preserve"> and,</w:t>
      </w:r>
      <w:r w:rsidRPr="006F7384">
        <w:t xml:space="preserve"> there</w:t>
      </w:r>
      <w:r w:rsidR="008B2969" w:rsidRPr="006F7384">
        <w:t>fore,</w:t>
      </w:r>
      <w:r w:rsidRPr="006F7384">
        <w:t xml:space="preserve"> the creditors of t</w:t>
      </w:r>
      <w:r w:rsidR="008B2969" w:rsidRPr="006F7384">
        <w:t>he trustee (the transferor) can</w:t>
      </w:r>
      <w:r w:rsidRPr="006F7384">
        <w:t xml:space="preserve">not </w:t>
      </w:r>
      <w:commentRangeStart w:id="7"/>
      <w:r w:rsidRPr="006F7384">
        <w:rPr>
          <w:highlight w:val="yellow"/>
        </w:rPr>
        <w:t>go</w:t>
      </w:r>
      <w:commentRangeEnd w:id="7"/>
      <w:r w:rsidR="00BD3F61">
        <w:rPr>
          <w:rStyle w:val="CommentReference"/>
        </w:rPr>
        <w:commentReference w:id="7"/>
      </w:r>
      <w:r w:rsidRPr="006F7384">
        <w:rPr>
          <w:highlight w:val="yellow"/>
        </w:rPr>
        <w:t xml:space="preserve"> down</w:t>
      </w:r>
      <w:r w:rsidRPr="006F7384">
        <w:t xml:space="preserve"> the assets that he holds in trust for the beneficiary (the transferee).</w:t>
      </w:r>
      <w:r w:rsidR="008B2969" w:rsidRPr="006F7384">
        <w:rPr>
          <w:rStyle w:val="FootnoteReference"/>
        </w:rPr>
        <w:footnoteReference w:id="31"/>
      </w:r>
      <w:r w:rsidRPr="006F7384">
        <w:t xml:space="preserve"> </w:t>
      </w:r>
      <w:r w:rsidR="008B2969" w:rsidRPr="006F7384">
        <w:t>Yet a</w:t>
      </w:r>
      <w:r w:rsidRPr="006F7384">
        <w:t xml:space="preserve">nother doctrine adopted in Israel was the doctrine of equitable interests by virtue of estoppel. Israeli courts have ruled in accordance with this doctrine that the legal owner of </w:t>
      </w:r>
      <w:r w:rsidR="00FC730B" w:rsidRPr="006F7384">
        <w:t xml:space="preserve">an </w:t>
      </w:r>
      <w:r w:rsidRPr="006F7384">
        <w:t xml:space="preserve">estopped property </w:t>
      </w:r>
      <w:r w:rsidR="008B2969" w:rsidRPr="006F7384">
        <w:t>cannot</w:t>
      </w:r>
      <w:r w:rsidRPr="006F7384">
        <w:t xml:space="preserve"> claim his rights from someone who mistakenly held, used and invested in the property over time without the permission, but with </w:t>
      </w:r>
      <w:r w:rsidR="008B2969" w:rsidRPr="006F7384">
        <w:t>the</w:t>
      </w:r>
      <w:r w:rsidRPr="006F7384">
        <w:t xml:space="preserve"> knowledge and </w:t>
      </w:r>
      <w:r w:rsidR="008B2969" w:rsidRPr="006F7384">
        <w:t xml:space="preserve">the </w:t>
      </w:r>
      <w:r w:rsidRPr="006F7384">
        <w:t xml:space="preserve">absence of any </w:t>
      </w:r>
      <w:r w:rsidR="00767DF1" w:rsidRPr="006F7384">
        <w:t>objection</w:t>
      </w:r>
      <w:r w:rsidR="008B2969" w:rsidRPr="006F7384">
        <w:t>,</w:t>
      </w:r>
      <w:r w:rsidRPr="006F7384">
        <w:t xml:space="preserve"> on </w:t>
      </w:r>
      <w:r w:rsidR="008B2969" w:rsidRPr="006F7384">
        <w:t>the</w:t>
      </w:r>
      <w:r w:rsidRPr="006F7384">
        <w:t xml:space="preserve"> part</w:t>
      </w:r>
      <w:r w:rsidR="008B2969" w:rsidRPr="006F7384">
        <w:t xml:space="preserve"> of th</w:t>
      </w:r>
      <w:r w:rsidR="00FC730B" w:rsidRPr="006F7384">
        <w:t>at</w:t>
      </w:r>
      <w:r w:rsidR="008B2969" w:rsidRPr="006F7384">
        <w:t xml:space="preserve"> legal owner.</w:t>
      </w:r>
      <w:r w:rsidR="00FC730B" w:rsidRPr="006F7384">
        <w:rPr>
          <w:rStyle w:val="FootnoteReference"/>
        </w:rPr>
        <w:footnoteReference w:id="32"/>
      </w:r>
    </w:p>
    <w:p w14:paraId="54243FB7" w14:textId="1B69A351" w:rsidR="009C4179" w:rsidRPr="006F7384" w:rsidRDefault="00FC730B" w:rsidP="004127CE">
      <w:pPr>
        <w:bidi w:val="0"/>
        <w:spacing w:line="480" w:lineRule="auto"/>
        <w:jc w:val="both"/>
      </w:pPr>
      <w:r w:rsidRPr="006F7384">
        <w:t>The Land Law, 5729-1969, which to date constitutes the primary legislation defining real</w:t>
      </w:r>
      <w:r w:rsidR="00BD3F61">
        <w:t>-</w:t>
      </w:r>
      <w:r w:rsidRPr="006F7384">
        <w:t>estate law in Israel, came into effect in 1970.</w:t>
      </w:r>
      <w:r w:rsidR="00767DF1" w:rsidRPr="006F7384">
        <w:rPr>
          <w:rStyle w:val="FootnoteReference"/>
        </w:rPr>
        <w:footnoteReference w:id="33"/>
      </w:r>
      <w:r w:rsidRPr="006F7384">
        <w:t xml:space="preserve"> One of the aims of the Law was to </w:t>
      </w:r>
      <w:r w:rsidRPr="006F7384">
        <w:lastRenderedPageBreak/>
        <w:t xml:space="preserve">ground Israeli land law in independent Israeli legislation and to eliminate the </w:t>
      </w:r>
      <w:r w:rsidR="00767DF1" w:rsidRPr="006F7384">
        <w:t>complex</w:t>
      </w:r>
      <w:r w:rsidRPr="006F7384">
        <w:t xml:space="preserve"> old and foreign historical layers of land law left over from Ottoman and </w:t>
      </w:r>
      <w:r w:rsidR="004127CE">
        <w:t>English</w:t>
      </w:r>
      <w:r w:rsidRPr="006F7384">
        <w:t xml:space="preserve"> legislation. Article 161 of the Land Law, entitled "No rights</w:t>
      </w:r>
      <w:r w:rsidR="004127CE">
        <w:t xml:space="preserve"> stemming from equity</w:t>
      </w:r>
      <w:r w:rsidRPr="006F7384">
        <w:t>," gave prominen</w:t>
      </w:r>
      <w:r w:rsidR="00767DF1" w:rsidRPr="006F7384">
        <w:t>t expression</w:t>
      </w:r>
      <w:r w:rsidRPr="006F7384">
        <w:t xml:space="preserve"> to this purpose: "From the coming into force of this Law, there shall be no rights in immovable property save under an enacted Law." Israeli jurists </w:t>
      </w:r>
      <w:r w:rsidR="007E0261" w:rsidRPr="006F7384">
        <w:t xml:space="preserve">all </w:t>
      </w:r>
      <w:r w:rsidRPr="006F7384">
        <w:t xml:space="preserve">agreed that the aim of this article was to </w:t>
      </w:r>
      <w:r w:rsidR="007E0261" w:rsidRPr="006F7384">
        <w:t>discontinue,</w:t>
      </w:r>
      <w:r w:rsidRPr="006F7384">
        <w:t xml:space="preserve"> from that point onward, the conventional obligatory reference to English rulings </w:t>
      </w:r>
      <w:r w:rsidR="007E0261" w:rsidRPr="006F7384">
        <w:t xml:space="preserve">in order to adopt equitable doctrines. All the same, Article 161 elicited a fierce legal debate over the question of whether it was meant to annul doctrines that had already been introduced and thus bring about a substantive change in law, or alternately, that it merely sought to change the normative way of establishing them. In 1971, shortly after the enactment of the Land Law, the Supreme Court decided in the Boker ruling that the intention of Article 161 was not only declaratory but also substantive, meaning that rights </w:t>
      </w:r>
      <w:r w:rsidR="00BD3F61">
        <w:t xml:space="preserve">stemming from equity </w:t>
      </w:r>
      <w:r w:rsidR="007E0261" w:rsidRPr="006F7384">
        <w:t xml:space="preserve">would no longer be recognized, </w:t>
      </w:r>
      <w:r w:rsidR="003832E6" w:rsidRPr="006F7384">
        <w:t>and</w:t>
      </w:r>
      <w:r w:rsidR="007E0261" w:rsidRPr="006F7384">
        <w:t xml:space="preserve"> </w:t>
      </w:r>
      <w:r w:rsidR="003832E6" w:rsidRPr="006F7384">
        <w:t xml:space="preserve">only </w:t>
      </w:r>
      <w:r w:rsidR="007E0261" w:rsidRPr="006F7384">
        <w:rPr>
          <w:highlight w:val="yellow"/>
        </w:rPr>
        <w:t xml:space="preserve">rights </w:t>
      </w:r>
      <w:r w:rsidR="003832E6" w:rsidRPr="006F7384">
        <w:rPr>
          <w:highlight w:val="yellow"/>
        </w:rPr>
        <w:t>by</w:t>
      </w:r>
      <w:r w:rsidR="007E0261" w:rsidRPr="006F7384">
        <w:rPr>
          <w:highlight w:val="yellow"/>
        </w:rPr>
        <w:t xml:space="preserve"> law</w:t>
      </w:r>
      <w:r w:rsidR="007E0261" w:rsidRPr="006F7384">
        <w:t xml:space="preserve"> would be recognized. This meant that</w:t>
      </w:r>
      <w:r w:rsidR="00745AAD" w:rsidRPr="006F7384">
        <w:t>,</w:t>
      </w:r>
      <w:r w:rsidR="007E0261" w:rsidRPr="006F7384">
        <w:t xml:space="preserve"> from </w:t>
      </w:r>
      <w:r w:rsidR="00745AAD" w:rsidRPr="006F7384">
        <w:t>hereon after,</w:t>
      </w:r>
      <w:r w:rsidR="007E0261" w:rsidRPr="006F7384">
        <w:t xml:space="preserve"> </w:t>
      </w:r>
      <w:r w:rsidR="00745AAD" w:rsidRPr="006F7384">
        <w:t>anyone</w:t>
      </w:r>
      <w:r w:rsidR="007E0261" w:rsidRPr="006F7384">
        <w:t xml:space="preserve"> who </w:t>
      </w:r>
      <w:r w:rsidR="00745AAD" w:rsidRPr="006F7384">
        <w:t>had rights in</w:t>
      </w:r>
      <w:r w:rsidR="007E0261" w:rsidRPr="006F7384">
        <w:t xml:space="preserve"> land under a contract </w:t>
      </w:r>
      <w:r w:rsidR="00745AAD" w:rsidRPr="006F7384">
        <w:t>and</w:t>
      </w:r>
      <w:r w:rsidR="007E0261" w:rsidRPr="006F7384">
        <w:t xml:space="preserve"> </w:t>
      </w:r>
      <w:r w:rsidR="003832E6" w:rsidRPr="006F7384">
        <w:t>had</w:t>
      </w:r>
      <w:r w:rsidR="007E0261" w:rsidRPr="006F7384">
        <w:t xml:space="preserve"> not </w:t>
      </w:r>
      <w:r w:rsidR="00745AAD" w:rsidRPr="006F7384">
        <w:t>yet</w:t>
      </w:r>
      <w:r w:rsidR="007E0261" w:rsidRPr="006F7384">
        <w:t xml:space="preserve"> register </w:t>
      </w:r>
      <w:r w:rsidR="00745AAD" w:rsidRPr="006F7384">
        <w:t xml:space="preserve">them </w:t>
      </w:r>
      <w:r w:rsidR="007E0261" w:rsidRPr="006F7384">
        <w:t>in the land registry</w:t>
      </w:r>
      <w:r w:rsidR="003832E6" w:rsidRPr="006F7384">
        <w:t>,</w:t>
      </w:r>
      <w:r w:rsidR="007E0261" w:rsidRPr="006F7384">
        <w:t xml:space="preserve"> no longer </w:t>
      </w:r>
      <w:r w:rsidR="00745AAD" w:rsidRPr="006F7384">
        <w:t>has</w:t>
      </w:r>
      <w:r w:rsidR="007E0261" w:rsidRPr="006F7384">
        <w:t xml:space="preserve"> any advantage over other creditors of the registered owner, even if they </w:t>
      </w:r>
      <w:r w:rsidR="00745AAD" w:rsidRPr="006F7384">
        <w:t xml:space="preserve">have </w:t>
      </w:r>
      <w:r w:rsidR="007E0261" w:rsidRPr="006F7384">
        <w:t xml:space="preserve">received possession of the property and paid </w:t>
      </w:r>
      <w:r w:rsidR="003832E6" w:rsidRPr="006F7384">
        <w:t>for it in full</w:t>
      </w:r>
      <w:r w:rsidR="007E0261" w:rsidRPr="006F7384">
        <w:t>. The purpose of th</w:t>
      </w:r>
      <w:r w:rsidR="00745AAD" w:rsidRPr="006F7384">
        <w:t>is</w:t>
      </w:r>
      <w:r w:rsidR="007E0261" w:rsidRPr="006F7384">
        <w:t xml:space="preserve"> </w:t>
      </w:r>
      <w:r w:rsidR="00745AAD" w:rsidRPr="006F7384">
        <w:t>ruling</w:t>
      </w:r>
      <w:r w:rsidR="007E0261" w:rsidRPr="006F7384">
        <w:t xml:space="preserve"> was to encourage completi</w:t>
      </w:r>
      <w:r w:rsidR="00745AAD" w:rsidRPr="006F7384">
        <w:t>ng</w:t>
      </w:r>
      <w:r w:rsidR="007E0261" w:rsidRPr="006F7384">
        <w:t xml:space="preserve"> </w:t>
      </w:r>
      <w:r w:rsidR="00745AAD" w:rsidRPr="006F7384">
        <w:t>the</w:t>
      </w:r>
      <w:r w:rsidR="007E0261" w:rsidRPr="006F7384">
        <w:t xml:space="preserve"> registration </w:t>
      </w:r>
      <w:r w:rsidR="00745AAD" w:rsidRPr="006F7384">
        <w:t>of transactions</w:t>
      </w:r>
      <w:r w:rsidR="007E0261" w:rsidRPr="006F7384">
        <w:t>.</w:t>
      </w:r>
      <w:r w:rsidR="00745AAD" w:rsidRPr="006F7384">
        <w:rPr>
          <w:rStyle w:val="FootnoteReference"/>
        </w:rPr>
        <w:footnoteReference w:id="34"/>
      </w:r>
      <w:r w:rsidR="007E0261" w:rsidRPr="006F7384">
        <w:t xml:space="preserve"> The main opinion in this precedent-setting ruling was </w:t>
      </w:r>
      <w:r w:rsidR="003832E6" w:rsidRPr="006F7384">
        <w:t>composed</w:t>
      </w:r>
      <w:r w:rsidR="007E0261" w:rsidRPr="006F7384">
        <w:t xml:space="preserve"> by </w:t>
      </w:r>
      <w:r w:rsidR="00745AAD" w:rsidRPr="006F7384">
        <w:t xml:space="preserve">the </w:t>
      </w:r>
      <w:r w:rsidR="007E0261" w:rsidRPr="006F7384">
        <w:t xml:space="preserve">former head of the committee that drafted the </w:t>
      </w:r>
      <w:r w:rsidR="00745AAD" w:rsidRPr="006F7384">
        <w:t>L</w:t>
      </w:r>
      <w:r w:rsidR="007E0261" w:rsidRPr="006F7384">
        <w:t xml:space="preserve">and </w:t>
      </w:r>
      <w:r w:rsidR="00745AAD" w:rsidRPr="006F7384">
        <w:t>L</w:t>
      </w:r>
      <w:r w:rsidR="007E0261" w:rsidRPr="006F7384">
        <w:t>aw, Supreme Court Justice Moshe Landau. His ruling reflected the legislative intent in real terms, since he was a member of the committee that drafted the law.</w:t>
      </w:r>
      <w:r w:rsidR="00DB7CE6">
        <w:rPr>
          <w:rStyle w:val="FootnoteReference"/>
        </w:rPr>
        <w:footnoteReference w:id="35"/>
      </w:r>
      <w:r w:rsidR="007E0261" w:rsidRPr="006F7384">
        <w:t xml:space="preserve"> It also expressed the conservative and non-</w:t>
      </w:r>
      <w:r w:rsidR="007E0261" w:rsidRPr="006F7384">
        <w:lastRenderedPageBreak/>
        <w:t xml:space="preserve">activist approach of Justice Landau regarding the role of a judge. Many years later, when he retired, Judge Landau </w:t>
      </w:r>
      <w:r w:rsidR="0011724B" w:rsidRPr="006F7384">
        <w:t>became</w:t>
      </w:r>
      <w:r w:rsidR="007E0261" w:rsidRPr="006F7384">
        <w:t xml:space="preserve"> one of the</w:t>
      </w:r>
      <w:r w:rsidR="0011724B" w:rsidRPr="006F7384">
        <w:t xml:space="preserve"> most </w:t>
      </w:r>
      <w:r w:rsidR="007E0261" w:rsidRPr="006F7384">
        <w:t xml:space="preserve">public critics of the judicial activism developed by the Supreme Court after his </w:t>
      </w:r>
      <w:r w:rsidR="003832E6" w:rsidRPr="006F7384">
        <w:t>departure</w:t>
      </w:r>
      <w:r w:rsidR="007E0261" w:rsidRPr="006F7384">
        <w:t>.</w:t>
      </w:r>
      <w:r w:rsidR="0011724B" w:rsidRPr="006F7384">
        <w:rPr>
          <w:rStyle w:val="FootnoteReference"/>
        </w:rPr>
        <w:footnoteReference w:id="36"/>
      </w:r>
      <w:r w:rsidR="0011724B" w:rsidRPr="006F7384">
        <w:rPr>
          <w:rtl/>
        </w:rPr>
        <w:t xml:space="preserve"> </w:t>
      </w:r>
      <w:r w:rsidR="007E0261" w:rsidRPr="006F7384">
        <w:t xml:space="preserve">The </w:t>
      </w:r>
      <w:r w:rsidR="0011724B" w:rsidRPr="006F7384">
        <w:t xml:space="preserve">first signs </w:t>
      </w:r>
      <w:r w:rsidR="007E0261" w:rsidRPr="006F7384">
        <w:t xml:space="preserve">of this position </w:t>
      </w:r>
      <w:r w:rsidR="0011724B" w:rsidRPr="006F7384">
        <w:t>were evident</w:t>
      </w:r>
      <w:r w:rsidR="007E0261" w:rsidRPr="006F7384">
        <w:t xml:space="preserve"> </w:t>
      </w:r>
      <w:r w:rsidR="003832E6" w:rsidRPr="006F7384">
        <w:t>in his ruling that</w:t>
      </w:r>
      <w:r w:rsidR="007E0261" w:rsidRPr="006F7384">
        <w:t xml:space="preserve"> revoked </w:t>
      </w:r>
      <w:r w:rsidR="0011724B" w:rsidRPr="006F7384">
        <w:t>rights</w:t>
      </w:r>
      <w:r w:rsidR="00BD3F61">
        <w:t xml:space="preserve"> stemming from equity</w:t>
      </w:r>
      <w:r w:rsidR="007E0261" w:rsidRPr="006F7384">
        <w:t>.</w:t>
      </w:r>
    </w:p>
    <w:p w14:paraId="0DAD25BA" w14:textId="035F997C" w:rsidR="00043931" w:rsidRPr="006F7384" w:rsidRDefault="00043931" w:rsidP="004127CE">
      <w:pPr>
        <w:bidi w:val="0"/>
        <w:spacing w:line="480" w:lineRule="auto"/>
        <w:jc w:val="both"/>
      </w:pPr>
      <w:r w:rsidRPr="006F7384">
        <w:t xml:space="preserve">All the same, Landau's conservative approach in the Boker case was </w:t>
      </w:r>
      <w:r w:rsidR="003832E6" w:rsidRPr="006F7384">
        <w:t>rigorously</w:t>
      </w:r>
      <w:r w:rsidRPr="006F7384">
        <w:t xml:space="preserve"> criticized in academia. The critique was led by Prof. </w:t>
      </w:r>
      <w:r w:rsidR="003832E6" w:rsidRPr="006F7384">
        <w:t>Joshua Weissman</w:t>
      </w:r>
      <w:r w:rsidRPr="006F7384">
        <w:t xml:space="preserve">, one of Israel's preeminent experts in property law. </w:t>
      </w:r>
      <w:r w:rsidR="003832E6" w:rsidRPr="006F7384">
        <w:t>Weissman</w:t>
      </w:r>
      <w:r w:rsidRPr="006F7384">
        <w:t xml:space="preserve"> argued that the severance of Israeli law from </w:t>
      </w:r>
      <w:r w:rsidR="003832E6" w:rsidRPr="006F7384">
        <w:t>its</w:t>
      </w:r>
      <w:r w:rsidRPr="006F7384">
        <w:t xml:space="preserve"> </w:t>
      </w:r>
      <w:r w:rsidR="003832E6" w:rsidRPr="006F7384">
        <w:t xml:space="preserve">sources </w:t>
      </w:r>
      <w:r w:rsidR="003832E6" w:rsidRPr="006F7384">
        <w:t>in English</w:t>
      </w:r>
      <w:r w:rsidRPr="006F7384">
        <w:t xml:space="preserve"> </w:t>
      </w:r>
      <w:r w:rsidR="003832E6" w:rsidRPr="006F7384">
        <w:t>law of equity</w:t>
      </w:r>
      <w:r w:rsidRPr="006F7384">
        <w:t xml:space="preserve"> did not require a change in the substantive law that was based upon them, but rather, only a change of its normative source. The </w:t>
      </w:r>
      <w:r w:rsidR="004127CE">
        <w:t>equity</w:t>
      </w:r>
      <w:r w:rsidRPr="006F7384">
        <w:t xml:space="preserve"> rights imported from England should and could be transformed into indigenous Israeli rights</w:t>
      </w:r>
      <w:r w:rsidR="004127CE">
        <w:t xml:space="preserve"> stemming from equity</w:t>
      </w:r>
      <w:r w:rsidRPr="006F7384">
        <w:t>, hereinafter based on Israeli legislation.</w:t>
      </w:r>
      <w:r w:rsidRPr="006F7384">
        <w:rPr>
          <w:rStyle w:val="FootnoteReference"/>
        </w:rPr>
        <w:footnoteReference w:id="37"/>
      </w:r>
      <w:r w:rsidRPr="006F7384">
        <w:t xml:space="preserve"> The </w:t>
      </w:r>
      <w:r w:rsidR="003832E6" w:rsidRPr="006F7384">
        <w:t>difficulty</w:t>
      </w:r>
      <w:r w:rsidRPr="006F7384">
        <w:t xml:space="preserve"> </w:t>
      </w:r>
      <w:r w:rsidR="003832E6" w:rsidRPr="006F7384">
        <w:t>in</w:t>
      </w:r>
      <w:r w:rsidRPr="006F7384">
        <w:t xml:space="preserve"> implementing this approach was that it was not always possible to find an original and explicit Israeli legal provision upon which to base laws similar to those established by English equit</w:t>
      </w:r>
      <w:r w:rsidR="009A6F11" w:rsidRPr="006F7384">
        <w:t>y</w:t>
      </w:r>
      <w:r w:rsidRPr="006F7384">
        <w:t xml:space="preserve"> laws. </w:t>
      </w:r>
      <w:r w:rsidR="008E3C77" w:rsidRPr="006F7384">
        <w:t>For</w:t>
      </w:r>
      <w:r w:rsidRPr="006F7384">
        <w:t xml:space="preserve"> thirty years </w:t>
      </w:r>
      <w:r w:rsidR="008E3C77" w:rsidRPr="006F7384">
        <w:t>after</w:t>
      </w:r>
      <w:r w:rsidRPr="006F7384">
        <w:t xml:space="preserve"> the Boker case, the Supreme Court </w:t>
      </w:r>
      <w:r w:rsidR="008E3C77" w:rsidRPr="006F7384">
        <w:t>was</w:t>
      </w:r>
      <w:r w:rsidRPr="006F7384">
        <w:t xml:space="preserve"> </w:t>
      </w:r>
      <w:r w:rsidR="008E3C77" w:rsidRPr="006F7384">
        <w:t>unwilling to undertake</w:t>
      </w:r>
      <w:r w:rsidRPr="006F7384">
        <w:t xml:space="preserve"> this task of creating </w:t>
      </w:r>
      <w:r w:rsidR="008E3C77" w:rsidRPr="006F7384">
        <w:t xml:space="preserve">original Israeli </w:t>
      </w:r>
      <w:r w:rsidRPr="006F7384">
        <w:t>rights</w:t>
      </w:r>
      <w:r w:rsidR="004127CE">
        <w:t xml:space="preserve"> of equity</w:t>
      </w:r>
      <w:r w:rsidRPr="006F7384">
        <w:t xml:space="preserve"> in land laws. This </w:t>
      </w:r>
      <w:r w:rsidR="008E3C77" w:rsidRPr="006F7384">
        <w:t>was the same</w:t>
      </w:r>
      <w:r w:rsidRPr="006F7384">
        <w:t xml:space="preserve"> period </w:t>
      </w:r>
      <w:r w:rsidR="008E3C77" w:rsidRPr="006F7384">
        <w:t>during</w:t>
      </w:r>
      <w:r w:rsidRPr="006F7384">
        <w:t xml:space="preserve"> which </w:t>
      </w:r>
      <w:r w:rsidR="008E3C77" w:rsidRPr="006F7384">
        <w:t xml:space="preserve">the courts </w:t>
      </w:r>
      <w:r w:rsidRPr="006F7384">
        <w:t xml:space="preserve">gradually </w:t>
      </w:r>
      <w:r w:rsidR="008E3C77" w:rsidRPr="006F7384">
        <w:t>became more powerful</w:t>
      </w:r>
      <w:r w:rsidR="009A6F11" w:rsidRPr="006F7384">
        <w:t xml:space="preserve"> and</w:t>
      </w:r>
      <w:r w:rsidRPr="006F7384">
        <w:t xml:space="preserve"> </w:t>
      </w:r>
      <w:r w:rsidR="009A6F11" w:rsidRPr="006F7384">
        <w:t>o</w:t>
      </w:r>
      <w:r w:rsidRPr="006F7384">
        <w:t xml:space="preserve">nly </w:t>
      </w:r>
      <w:r w:rsidR="008E3C77" w:rsidRPr="006F7384">
        <w:t>towards</w:t>
      </w:r>
      <w:r w:rsidRPr="006F7384">
        <w:t xml:space="preserve"> </w:t>
      </w:r>
      <w:r w:rsidR="009A6F11" w:rsidRPr="006F7384">
        <w:t>its end</w:t>
      </w:r>
      <w:r w:rsidRPr="006F7384">
        <w:t xml:space="preserve">, in 1999, </w:t>
      </w:r>
      <w:r w:rsidR="008E3C77" w:rsidRPr="006F7384">
        <w:t>did</w:t>
      </w:r>
      <w:r w:rsidRPr="006F7384">
        <w:t xml:space="preserve"> the Supreme Court </w:t>
      </w:r>
      <w:r w:rsidR="008E3C77" w:rsidRPr="006F7384">
        <w:t>feel</w:t>
      </w:r>
      <w:r w:rsidRPr="006F7384">
        <w:t xml:space="preserve"> strong enough to </w:t>
      </w:r>
      <w:r w:rsidR="008E3C77" w:rsidRPr="006F7384">
        <w:t>dare</w:t>
      </w:r>
      <w:r w:rsidRPr="006F7384">
        <w:t xml:space="preserve"> </w:t>
      </w:r>
      <w:r w:rsidR="009A6F11" w:rsidRPr="006F7384">
        <w:t>and</w:t>
      </w:r>
      <w:r w:rsidRPr="006F7384">
        <w:t xml:space="preserve"> develop </w:t>
      </w:r>
      <w:r w:rsidR="008E3C77" w:rsidRPr="006F7384">
        <w:t>local "made in Israel" rights</w:t>
      </w:r>
      <w:r w:rsidR="00BD3F61">
        <w:t xml:space="preserve"> stemming from equity</w:t>
      </w:r>
      <w:r w:rsidR="008E3C77" w:rsidRPr="006F7384">
        <w:t>.</w:t>
      </w:r>
    </w:p>
    <w:p w14:paraId="468D06AB" w14:textId="66703E04" w:rsidR="00682C26" w:rsidRPr="006F7384" w:rsidRDefault="00682C26" w:rsidP="004127CE">
      <w:pPr>
        <w:bidi w:val="0"/>
        <w:spacing w:line="480" w:lineRule="auto"/>
        <w:jc w:val="both"/>
        <w:rPr>
          <w:lang w:eastAsia="zh-CN"/>
        </w:rPr>
      </w:pPr>
      <w:r w:rsidRPr="006F7384">
        <w:t xml:space="preserve">A secondary partner in the new Supreme Court project was Mrs. Mazal Aharonov. </w:t>
      </w:r>
      <w:r w:rsidR="009A6F11" w:rsidRPr="006F7384">
        <w:t>Ms. Aharonov</w:t>
      </w:r>
      <w:r w:rsidRPr="006F7384">
        <w:t xml:space="preserve"> </w:t>
      </w:r>
      <w:r w:rsidR="009A6F11" w:rsidRPr="006F7384">
        <w:t xml:space="preserve">was </w:t>
      </w:r>
      <w:r w:rsidRPr="006F7384">
        <w:t xml:space="preserve">divorced from her husband in 1990. In their divorce agreement, her husband had undertaken to transfer to her ownership in a plot of land. Yet, before Mazal was able to register the transaction in the land registry, the husband’s creditors </w:t>
      </w:r>
      <w:r w:rsidRPr="006F7384">
        <w:lastRenderedPageBreak/>
        <w:t xml:space="preserve">foreclosed on his registered rights to the </w:t>
      </w:r>
      <w:r w:rsidR="009A6F11" w:rsidRPr="006F7384">
        <w:t>land</w:t>
      </w:r>
      <w:r w:rsidRPr="006F7384">
        <w:t xml:space="preserve">. In accordance with the Boker ruling, which </w:t>
      </w:r>
      <w:r w:rsidR="009A6F11" w:rsidRPr="006F7384">
        <w:t xml:space="preserve">eliminated </w:t>
      </w:r>
      <w:r w:rsidRPr="006F7384">
        <w:t>rights</w:t>
      </w:r>
      <w:r w:rsidR="00BD3F61" w:rsidRPr="00BD3F61">
        <w:t xml:space="preserve"> </w:t>
      </w:r>
      <w:r w:rsidR="00BD3F61">
        <w:t>stemming from equity</w:t>
      </w:r>
      <w:r w:rsidRPr="006F7384">
        <w:t xml:space="preserve">, </w:t>
      </w:r>
      <w:r w:rsidR="009A6F11" w:rsidRPr="006F7384">
        <w:t>she</w:t>
      </w:r>
      <w:r w:rsidRPr="006F7384">
        <w:t xml:space="preserve"> could not </w:t>
      </w:r>
      <w:r w:rsidR="00BD3F61" w:rsidRPr="006F7384">
        <w:t>surmount</w:t>
      </w:r>
      <w:r w:rsidRPr="006F7384">
        <w:t xml:space="preserve"> the creditors. Her </w:t>
      </w:r>
      <w:r w:rsidRPr="006F7384">
        <w:rPr>
          <w:lang w:eastAsia="zh-CN"/>
        </w:rPr>
        <w:t xml:space="preserve">representatives did not </w:t>
      </w:r>
      <w:r w:rsidR="00BD3F61" w:rsidRPr="006F7384">
        <w:rPr>
          <w:lang w:eastAsia="zh-CN"/>
        </w:rPr>
        <w:t>surrender</w:t>
      </w:r>
      <w:r w:rsidR="007022D6" w:rsidRPr="006F7384">
        <w:rPr>
          <w:lang w:eastAsia="zh-CN"/>
        </w:rPr>
        <w:t>, however,</w:t>
      </w:r>
      <w:r w:rsidRPr="006F7384">
        <w:rPr>
          <w:lang w:eastAsia="zh-CN"/>
        </w:rPr>
        <w:t xml:space="preserve"> and tried to convince the courts that their client had acquired equit</w:t>
      </w:r>
      <w:r w:rsidR="004127CE">
        <w:rPr>
          <w:lang w:eastAsia="zh-CN"/>
        </w:rPr>
        <w:t>y</w:t>
      </w:r>
      <w:r w:rsidRPr="006F7384">
        <w:rPr>
          <w:lang w:eastAsia="zh-CN"/>
        </w:rPr>
        <w:t xml:space="preserve"> rights in the plot of land. This argument certainly obliged the courts not only to deviate from precedents that determined that there were no rights</w:t>
      </w:r>
      <w:r w:rsidR="004127CE">
        <w:rPr>
          <w:lang w:eastAsia="zh-CN"/>
        </w:rPr>
        <w:t xml:space="preserve"> stemming from equity</w:t>
      </w:r>
      <w:r w:rsidRPr="006F7384">
        <w:rPr>
          <w:lang w:eastAsia="zh-CN"/>
        </w:rPr>
        <w:t xml:space="preserve">, but also to create, from nothing, indigenous “made in Israel” </w:t>
      </w:r>
      <w:r w:rsidR="00BD3F61" w:rsidRPr="006F7384">
        <w:rPr>
          <w:lang w:eastAsia="zh-CN"/>
        </w:rPr>
        <w:t>rights</w:t>
      </w:r>
      <w:r w:rsidR="00BD3F61" w:rsidRPr="006F7384">
        <w:rPr>
          <w:lang w:eastAsia="zh-CN"/>
        </w:rPr>
        <w:t xml:space="preserve"> </w:t>
      </w:r>
      <w:r w:rsidR="00BD3F61">
        <w:rPr>
          <w:lang w:eastAsia="zh-CN"/>
        </w:rPr>
        <w:t>from equity</w:t>
      </w:r>
      <w:r w:rsidRPr="006F7384">
        <w:rPr>
          <w:lang w:eastAsia="zh-CN"/>
        </w:rPr>
        <w:t xml:space="preserve">. In contrast to </w:t>
      </w:r>
      <w:r w:rsidR="007022D6" w:rsidRPr="006F7384">
        <w:rPr>
          <w:lang w:eastAsia="zh-CN"/>
        </w:rPr>
        <w:t>numerous</w:t>
      </w:r>
      <w:r w:rsidRPr="006F7384">
        <w:rPr>
          <w:lang w:eastAsia="zh-CN"/>
        </w:rPr>
        <w:t xml:space="preserve"> previous failed attempts, Mazal Aharonov succeeded in to persuading the court to cross the Rubicon.</w:t>
      </w:r>
      <w:r w:rsidR="00C30D90" w:rsidRPr="006F7384">
        <w:rPr>
          <w:lang w:eastAsia="zh-CN"/>
        </w:rPr>
        <w:t xml:space="preserve"> T</w:t>
      </w:r>
      <w:r w:rsidRPr="006F7384">
        <w:rPr>
          <w:lang w:eastAsia="zh-CN"/>
        </w:rPr>
        <w:t xml:space="preserve">he Supreme Court </w:t>
      </w:r>
      <w:r w:rsidR="00C30D90" w:rsidRPr="006F7384">
        <w:rPr>
          <w:lang w:eastAsia="zh-CN"/>
        </w:rPr>
        <w:t>ruled</w:t>
      </w:r>
      <w:r w:rsidRPr="006F7384">
        <w:rPr>
          <w:lang w:eastAsia="zh-CN"/>
        </w:rPr>
        <w:t xml:space="preserve"> </w:t>
      </w:r>
      <w:r w:rsidR="00C30D90" w:rsidRPr="006F7384">
        <w:rPr>
          <w:lang w:eastAsia="zh-CN"/>
        </w:rPr>
        <w:t>in the Aharonov case</w:t>
      </w:r>
      <w:r w:rsidR="00C30D90" w:rsidRPr="006F7384">
        <w:rPr>
          <w:rStyle w:val="FootnoteReference"/>
          <w:lang w:eastAsia="zh-CN"/>
        </w:rPr>
        <w:footnoteReference w:id="38"/>
      </w:r>
      <w:r w:rsidR="00C30D90" w:rsidRPr="006F7384">
        <w:rPr>
          <w:lang w:eastAsia="zh-CN"/>
        </w:rPr>
        <w:t xml:space="preserve"> </w:t>
      </w:r>
      <w:r w:rsidRPr="006F7384">
        <w:rPr>
          <w:lang w:eastAsia="zh-CN"/>
        </w:rPr>
        <w:t>that a person</w:t>
      </w:r>
      <w:r w:rsidR="00C30D90" w:rsidRPr="006F7384">
        <w:rPr>
          <w:lang w:eastAsia="zh-CN"/>
        </w:rPr>
        <w:t xml:space="preserve"> holding a contract to acquire</w:t>
      </w:r>
      <w:r w:rsidRPr="006F7384">
        <w:rPr>
          <w:lang w:eastAsia="zh-CN"/>
        </w:rPr>
        <w:t xml:space="preserve"> right</w:t>
      </w:r>
      <w:r w:rsidR="00C30D90" w:rsidRPr="006F7384">
        <w:rPr>
          <w:lang w:eastAsia="zh-CN"/>
        </w:rPr>
        <w:t>s</w:t>
      </w:r>
      <w:r w:rsidRPr="006F7384">
        <w:rPr>
          <w:lang w:eastAsia="zh-CN"/>
        </w:rPr>
        <w:t xml:space="preserve"> in </w:t>
      </w:r>
      <w:r w:rsidR="00C30D90" w:rsidRPr="006F7384">
        <w:rPr>
          <w:lang w:eastAsia="zh-CN"/>
        </w:rPr>
        <w:t xml:space="preserve">a </w:t>
      </w:r>
      <w:r w:rsidR="007022D6" w:rsidRPr="006F7384">
        <w:rPr>
          <w:lang w:eastAsia="zh-CN"/>
        </w:rPr>
        <w:t xml:space="preserve">real estate </w:t>
      </w:r>
      <w:r w:rsidR="00C30D90" w:rsidRPr="006F7384">
        <w:rPr>
          <w:lang w:eastAsia="zh-CN"/>
        </w:rPr>
        <w:t>property</w:t>
      </w:r>
      <w:r w:rsidRPr="006F7384">
        <w:rPr>
          <w:lang w:eastAsia="zh-CN"/>
        </w:rPr>
        <w:t xml:space="preserve"> has </w:t>
      </w:r>
      <w:r w:rsidR="00C30D90" w:rsidRPr="006F7384">
        <w:rPr>
          <w:lang w:eastAsia="zh-CN"/>
        </w:rPr>
        <w:t>equitable</w:t>
      </w:r>
      <w:r w:rsidRPr="006F7384">
        <w:rPr>
          <w:lang w:eastAsia="zh-CN"/>
        </w:rPr>
        <w:t xml:space="preserve"> right</w:t>
      </w:r>
      <w:r w:rsidR="00C30D90" w:rsidRPr="006F7384">
        <w:rPr>
          <w:lang w:eastAsia="zh-CN"/>
        </w:rPr>
        <w:t>s</w:t>
      </w:r>
      <w:r w:rsidRPr="006F7384">
        <w:rPr>
          <w:lang w:eastAsia="zh-CN"/>
        </w:rPr>
        <w:t xml:space="preserve"> </w:t>
      </w:r>
      <w:r w:rsidR="00C30D90" w:rsidRPr="006F7384">
        <w:rPr>
          <w:lang w:eastAsia="zh-CN"/>
        </w:rPr>
        <w:t>that trump</w:t>
      </w:r>
      <w:r w:rsidRPr="006F7384">
        <w:rPr>
          <w:lang w:eastAsia="zh-CN"/>
        </w:rPr>
        <w:t xml:space="preserve"> </w:t>
      </w:r>
      <w:r w:rsidR="00C30D90" w:rsidRPr="006F7384">
        <w:rPr>
          <w:lang w:eastAsia="zh-CN"/>
        </w:rPr>
        <w:t xml:space="preserve">those </w:t>
      </w:r>
      <w:r w:rsidRPr="006F7384">
        <w:rPr>
          <w:lang w:eastAsia="zh-CN"/>
        </w:rPr>
        <w:t>of the transferor's creditors, with the exception of a third party who purchased the property in consideration and without notice.</w:t>
      </w:r>
      <w:r w:rsidR="00C30D90" w:rsidRPr="006F7384">
        <w:rPr>
          <w:rStyle w:val="FootnoteReference"/>
          <w:lang w:eastAsia="zh-CN"/>
        </w:rPr>
        <w:footnoteReference w:id="39"/>
      </w:r>
      <w:r w:rsidR="00C30D90" w:rsidRPr="006F7384">
        <w:rPr>
          <w:lang w:eastAsia="zh-CN"/>
        </w:rPr>
        <w:t xml:space="preserve"> The C</w:t>
      </w:r>
      <w:r w:rsidRPr="006F7384">
        <w:rPr>
          <w:lang w:eastAsia="zh-CN"/>
        </w:rPr>
        <w:t>ourt did not base th</w:t>
      </w:r>
      <w:r w:rsidR="00C30D90" w:rsidRPr="006F7384">
        <w:rPr>
          <w:lang w:eastAsia="zh-CN"/>
        </w:rPr>
        <w:t>is</w:t>
      </w:r>
      <w:r w:rsidRPr="006F7384">
        <w:rPr>
          <w:lang w:eastAsia="zh-CN"/>
        </w:rPr>
        <w:t xml:space="preserve"> ri</w:t>
      </w:r>
      <w:r w:rsidR="00C30D90" w:rsidRPr="006F7384">
        <w:rPr>
          <w:lang w:eastAsia="zh-CN"/>
        </w:rPr>
        <w:t>ght on the English equit</w:t>
      </w:r>
      <w:r w:rsidR="007022D6" w:rsidRPr="006F7384">
        <w:rPr>
          <w:lang w:eastAsia="zh-CN"/>
        </w:rPr>
        <w:t>y</w:t>
      </w:r>
      <w:r w:rsidR="00C30D90" w:rsidRPr="006F7384">
        <w:rPr>
          <w:lang w:eastAsia="zh-CN"/>
        </w:rPr>
        <w:t xml:space="preserve"> laws</w:t>
      </w:r>
      <w:r w:rsidRPr="006F7384">
        <w:rPr>
          <w:lang w:eastAsia="zh-CN"/>
        </w:rPr>
        <w:t xml:space="preserve">, but </w:t>
      </w:r>
      <w:r w:rsidR="00C30D90" w:rsidRPr="006F7384">
        <w:rPr>
          <w:lang w:eastAsia="zh-CN"/>
        </w:rPr>
        <w:t xml:space="preserve">rather, </w:t>
      </w:r>
      <w:r w:rsidRPr="006F7384">
        <w:rPr>
          <w:lang w:eastAsia="zh-CN"/>
        </w:rPr>
        <w:t>on a creative and activist interpretation of Israeli legal provisions. Although there is no explicit Israeli statutory provision that grants</w:t>
      </w:r>
      <w:r w:rsidR="00C30D90" w:rsidRPr="006F7384">
        <w:rPr>
          <w:lang w:eastAsia="zh-CN"/>
        </w:rPr>
        <w:t xml:space="preserve"> priority to the purchaser of </w:t>
      </w:r>
      <w:r w:rsidR="007022D6" w:rsidRPr="006F7384">
        <w:rPr>
          <w:lang w:eastAsia="zh-CN"/>
        </w:rPr>
        <w:t>immovable</w:t>
      </w:r>
      <w:r w:rsidRPr="006F7384">
        <w:rPr>
          <w:lang w:eastAsia="zh-CN"/>
        </w:rPr>
        <w:t xml:space="preserve"> property </w:t>
      </w:r>
      <w:r w:rsidR="007022D6" w:rsidRPr="006F7384">
        <w:rPr>
          <w:lang w:eastAsia="zh-CN"/>
        </w:rPr>
        <w:t>over</w:t>
      </w:r>
      <w:r w:rsidRPr="006F7384">
        <w:rPr>
          <w:lang w:eastAsia="zh-CN"/>
        </w:rPr>
        <w:t xml:space="preserve"> the </w:t>
      </w:r>
      <w:r w:rsidR="00C30D90" w:rsidRPr="006F7384">
        <w:rPr>
          <w:lang w:eastAsia="zh-CN"/>
        </w:rPr>
        <w:t xml:space="preserve">transferor’s </w:t>
      </w:r>
      <w:r w:rsidRPr="006F7384">
        <w:rPr>
          <w:lang w:eastAsia="zh-CN"/>
        </w:rPr>
        <w:t>creditors, the court concluded that such priority exists by analogy from another l</w:t>
      </w:r>
      <w:r w:rsidR="00C30D90" w:rsidRPr="006F7384">
        <w:rPr>
          <w:lang w:eastAsia="zh-CN"/>
        </w:rPr>
        <w:t>egal provision</w:t>
      </w:r>
      <w:r w:rsidRPr="006F7384">
        <w:rPr>
          <w:lang w:eastAsia="zh-CN"/>
        </w:rPr>
        <w:t xml:space="preserve">. While this provision does not deal directly with the issue, it grants priority to an agreement for the purchase of </w:t>
      </w:r>
      <w:r w:rsidR="007022D6" w:rsidRPr="006F7384">
        <w:rPr>
          <w:lang w:eastAsia="zh-CN"/>
        </w:rPr>
        <w:t>real estate</w:t>
      </w:r>
      <w:r w:rsidR="00C30D90" w:rsidRPr="006F7384">
        <w:rPr>
          <w:lang w:eastAsia="zh-CN"/>
        </w:rPr>
        <w:t xml:space="preserve"> property</w:t>
      </w:r>
      <w:r w:rsidRPr="006F7384">
        <w:rPr>
          <w:lang w:eastAsia="zh-CN"/>
        </w:rPr>
        <w:t xml:space="preserve"> </w:t>
      </w:r>
      <w:r w:rsidR="00C30D90" w:rsidRPr="006F7384">
        <w:rPr>
          <w:lang w:eastAsia="zh-CN"/>
        </w:rPr>
        <w:t>over</w:t>
      </w:r>
      <w:r w:rsidRPr="006F7384">
        <w:rPr>
          <w:lang w:eastAsia="zh-CN"/>
        </w:rPr>
        <w:t xml:space="preserve"> a later conflicting transaction made in </w:t>
      </w:r>
      <w:r w:rsidR="00C30D90" w:rsidRPr="006F7384">
        <w:rPr>
          <w:lang w:eastAsia="zh-CN"/>
        </w:rPr>
        <w:t>the same asset.</w:t>
      </w:r>
      <w:r w:rsidR="00C30D90" w:rsidRPr="006F7384">
        <w:rPr>
          <w:rStyle w:val="FootnoteReference"/>
          <w:lang w:eastAsia="zh-CN"/>
        </w:rPr>
        <w:footnoteReference w:id="40"/>
      </w:r>
      <w:r w:rsidR="00C30D90" w:rsidRPr="006F7384">
        <w:rPr>
          <w:lang w:eastAsia="zh-CN"/>
        </w:rPr>
        <w:t xml:space="preserve"> The C</w:t>
      </w:r>
      <w:r w:rsidRPr="006F7384">
        <w:rPr>
          <w:lang w:eastAsia="zh-CN"/>
        </w:rPr>
        <w:t xml:space="preserve">ourt concluded that the preference for the </w:t>
      </w:r>
      <w:r w:rsidR="007022D6" w:rsidRPr="006F7384">
        <w:rPr>
          <w:lang w:eastAsia="zh-CN"/>
        </w:rPr>
        <w:t xml:space="preserve">first </w:t>
      </w:r>
      <w:r w:rsidRPr="006F7384">
        <w:rPr>
          <w:lang w:eastAsia="zh-CN"/>
        </w:rPr>
        <w:t>agreement in one case attests to the privileged status of th</w:t>
      </w:r>
      <w:r w:rsidR="00C30D90" w:rsidRPr="006F7384">
        <w:rPr>
          <w:lang w:eastAsia="zh-CN"/>
        </w:rPr>
        <w:t>at</w:t>
      </w:r>
      <w:r w:rsidRPr="006F7384">
        <w:rPr>
          <w:lang w:eastAsia="zh-CN"/>
        </w:rPr>
        <w:t xml:space="preserve"> right in other cases as well. Thirty years earlier, the Supreme Court </w:t>
      </w:r>
      <w:r w:rsidR="00C30D90" w:rsidRPr="006F7384">
        <w:rPr>
          <w:lang w:eastAsia="zh-CN"/>
        </w:rPr>
        <w:t xml:space="preserve">had </w:t>
      </w:r>
      <w:r w:rsidRPr="006F7384">
        <w:rPr>
          <w:lang w:eastAsia="zh-CN"/>
        </w:rPr>
        <w:t xml:space="preserve">rejected this analogy on the grounds that </w:t>
      </w:r>
      <w:r w:rsidR="00C30D90" w:rsidRPr="006F7384">
        <w:rPr>
          <w:lang w:eastAsia="zh-CN"/>
        </w:rPr>
        <w:t>this</w:t>
      </w:r>
      <w:r w:rsidRPr="006F7384">
        <w:rPr>
          <w:lang w:eastAsia="zh-CN"/>
        </w:rPr>
        <w:t xml:space="preserve"> </w:t>
      </w:r>
      <w:r w:rsidR="00C30D90" w:rsidRPr="006F7384">
        <w:rPr>
          <w:lang w:eastAsia="zh-CN"/>
        </w:rPr>
        <w:t>legal provision</w:t>
      </w:r>
      <w:r w:rsidRPr="006F7384">
        <w:rPr>
          <w:lang w:eastAsia="zh-CN"/>
        </w:rPr>
        <w:t xml:space="preserve"> indicate</w:t>
      </w:r>
      <w:r w:rsidR="00C30D90" w:rsidRPr="006F7384">
        <w:rPr>
          <w:lang w:eastAsia="zh-CN"/>
        </w:rPr>
        <w:t>d</w:t>
      </w:r>
      <w:r w:rsidRPr="006F7384">
        <w:rPr>
          <w:lang w:eastAsia="zh-CN"/>
        </w:rPr>
        <w:t xml:space="preserve"> </w:t>
      </w:r>
      <w:r w:rsidR="00C30D90" w:rsidRPr="006F7384">
        <w:rPr>
          <w:lang w:eastAsia="zh-CN"/>
        </w:rPr>
        <w:t xml:space="preserve">a </w:t>
      </w:r>
      <w:r w:rsidRPr="006F7384">
        <w:rPr>
          <w:lang w:eastAsia="zh-CN"/>
        </w:rPr>
        <w:t xml:space="preserve">preference in an </w:t>
      </w:r>
      <w:r w:rsidR="00C30D90" w:rsidRPr="006F7384">
        <w:rPr>
          <w:lang w:eastAsia="zh-CN"/>
        </w:rPr>
        <w:t xml:space="preserve">unusual </w:t>
      </w:r>
      <w:r w:rsidRPr="006F7384">
        <w:rPr>
          <w:lang w:eastAsia="zh-CN"/>
        </w:rPr>
        <w:t xml:space="preserve">case that constitutes an exception to the rule, </w:t>
      </w:r>
      <w:r w:rsidR="00C30D90" w:rsidRPr="006F7384">
        <w:rPr>
          <w:lang w:eastAsia="zh-CN"/>
        </w:rPr>
        <w:t>rather than a specific</w:t>
      </w:r>
      <w:r w:rsidRPr="006F7384">
        <w:rPr>
          <w:lang w:eastAsia="zh-CN"/>
        </w:rPr>
        <w:t xml:space="preserve"> case of preference that attests to a </w:t>
      </w:r>
      <w:r w:rsidR="007022D6" w:rsidRPr="006F7384">
        <w:rPr>
          <w:lang w:eastAsia="zh-CN"/>
        </w:rPr>
        <w:t>preferential rule</w:t>
      </w:r>
      <w:r w:rsidRPr="006F7384">
        <w:rPr>
          <w:lang w:eastAsia="zh-CN"/>
        </w:rPr>
        <w:t xml:space="preserve"> </w:t>
      </w:r>
      <w:r w:rsidR="007022D6" w:rsidRPr="006F7384">
        <w:rPr>
          <w:lang w:eastAsia="zh-CN"/>
        </w:rPr>
        <w:t>covering</w:t>
      </w:r>
      <w:r w:rsidRPr="006F7384">
        <w:rPr>
          <w:lang w:eastAsia="zh-CN"/>
        </w:rPr>
        <w:t xml:space="preserve"> other cases as well.</w:t>
      </w:r>
      <w:r w:rsidR="00C30D90" w:rsidRPr="006F7384">
        <w:rPr>
          <w:rStyle w:val="FootnoteReference"/>
          <w:lang w:eastAsia="zh-CN"/>
        </w:rPr>
        <w:footnoteReference w:id="41"/>
      </w:r>
      <w:r w:rsidRPr="006F7384">
        <w:rPr>
          <w:lang w:eastAsia="zh-CN"/>
        </w:rPr>
        <w:t xml:space="preserve"> </w:t>
      </w:r>
      <w:r w:rsidR="007022D6" w:rsidRPr="006F7384">
        <w:rPr>
          <w:lang w:eastAsia="zh-CN"/>
        </w:rPr>
        <w:t>But, b</w:t>
      </w:r>
      <w:r w:rsidR="00C30D90" w:rsidRPr="006F7384">
        <w:rPr>
          <w:lang w:eastAsia="zh-CN"/>
        </w:rPr>
        <w:t>y now the climate had</w:t>
      </w:r>
      <w:r w:rsidRPr="006F7384">
        <w:rPr>
          <w:lang w:eastAsia="zh-CN"/>
        </w:rPr>
        <w:t xml:space="preserve"> </w:t>
      </w:r>
      <w:r w:rsidRPr="006F7384">
        <w:rPr>
          <w:lang w:eastAsia="zh-CN"/>
        </w:rPr>
        <w:lastRenderedPageBreak/>
        <w:t xml:space="preserve">changed, conservatism </w:t>
      </w:r>
      <w:r w:rsidR="00C30D90" w:rsidRPr="006F7384">
        <w:rPr>
          <w:lang w:eastAsia="zh-CN"/>
        </w:rPr>
        <w:t>was</w:t>
      </w:r>
      <w:r w:rsidRPr="006F7384">
        <w:rPr>
          <w:lang w:eastAsia="zh-CN"/>
        </w:rPr>
        <w:t xml:space="preserve"> replaced by activism, and </w:t>
      </w:r>
      <w:r w:rsidR="00421891" w:rsidRPr="006F7384">
        <w:rPr>
          <w:lang w:eastAsia="zh-CN"/>
        </w:rPr>
        <w:t>Chief Justice</w:t>
      </w:r>
      <w:r w:rsidRPr="006F7384">
        <w:rPr>
          <w:lang w:eastAsia="zh-CN"/>
        </w:rPr>
        <w:t xml:space="preserve"> Barak and his colleagues </w:t>
      </w:r>
      <w:r w:rsidR="00421891" w:rsidRPr="006F7384">
        <w:rPr>
          <w:lang w:eastAsia="zh-CN"/>
        </w:rPr>
        <w:t>were</w:t>
      </w:r>
      <w:r w:rsidRPr="006F7384">
        <w:rPr>
          <w:lang w:eastAsia="zh-CN"/>
        </w:rPr>
        <w:t xml:space="preserve"> willing to take th</w:t>
      </w:r>
      <w:r w:rsidR="00421891" w:rsidRPr="006F7384">
        <w:rPr>
          <w:lang w:eastAsia="zh-CN"/>
        </w:rPr>
        <w:t>at</w:t>
      </w:r>
      <w:r w:rsidRPr="006F7384">
        <w:rPr>
          <w:lang w:eastAsia="zh-CN"/>
        </w:rPr>
        <w:t xml:space="preserve"> step forward and establish </w:t>
      </w:r>
      <w:r w:rsidR="00421891" w:rsidRPr="006F7384">
        <w:rPr>
          <w:lang w:eastAsia="zh-CN"/>
        </w:rPr>
        <w:t xml:space="preserve">“made in Israel” </w:t>
      </w:r>
      <w:r w:rsidRPr="006F7384">
        <w:rPr>
          <w:lang w:eastAsia="zh-CN"/>
        </w:rPr>
        <w:t>right</w:t>
      </w:r>
      <w:r w:rsidR="00421891" w:rsidRPr="006F7384">
        <w:rPr>
          <w:lang w:eastAsia="zh-CN"/>
        </w:rPr>
        <w:t xml:space="preserve">s </w:t>
      </w:r>
      <w:r w:rsidR="004127CE">
        <w:rPr>
          <w:lang w:eastAsia="zh-CN"/>
        </w:rPr>
        <w:t xml:space="preserve">stemming from equity </w:t>
      </w:r>
      <w:r w:rsidR="00421891" w:rsidRPr="006F7384">
        <w:rPr>
          <w:lang w:eastAsia="zh-CN"/>
        </w:rPr>
        <w:t>based on a</w:t>
      </w:r>
      <w:r w:rsidRPr="006F7384">
        <w:rPr>
          <w:lang w:eastAsia="zh-CN"/>
        </w:rPr>
        <w:t xml:space="preserve"> </w:t>
      </w:r>
      <w:r w:rsidR="00421891" w:rsidRPr="006F7384">
        <w:rPr>
          <w:lang w:eastAsia="zh-CN"/>
        </w:rPr>
        <w:t>creative interpretation of the same article</w:t>
      </w:r>
      <w:r w:rsidRPr="006F7384">
        <w:rPr>
          <w:lang w:eastAsia="zh-CN"/>
        </w:rPr>
        <w:t xml:space="preserve"> that their predecessors did not dare adopt.</w:t>
      </w:r>
      <w:r w:rsidR="00421891" w:rsidRPr="006F7384">
        <w:rPr>
          <w:rStyle w:val="FootnoteReference"/>
          <w:lang w:eastAsia="zh-CN"/>
        </w:rPr>
        <w:footnoteReference w:id="42"/>
      </w:r>
      <w:r w:rsidRPr="006F7384">
        <w:rPr>
          <w:lang w:eastAsia="zh-CN"/>
        </w:rPr>
        <w:t xml:space="preserve"> The </w:t>
      </w:r>
      <w:r w:rsidR="00421891" w:rsidRPr="006F7384">
        <w:rPr>
          <w:lang w:eastAsia="zh-CN"/>
        </w:rPr>
        <w:t>C</w:t>
      </w:r>
      <w:r w:rsidRPr="006F7384">
        <w:rPr>
          <w:lang w:eastAsia="zh-CN"/>
        </w:rPr>
        <w:t>ourt did not limit itself to interpret</w:t>
      </w:r>
      <w:r w:rsidR="00421891" w:rsidRPr="006F7384">
        <w:rPr>
          <w:lang w:eastAsia="zh-CN"/>
        </w:rPr>
        <w:t>ing</w:t>
      </w:r>
      <w:r w:rsidRPr="006F7384">
        <w:rPr>
          <w:lang w:eastAsia="zh-CN"/>
        </w:rPr>
        <w:t xml:space="preserve"> that </w:t>
      </w:r>
      <w:r w:rsidR="00421891" w:rsidRPr="006F7384">
        <w:rPr>
          <w:lang w:eastAsia="zh-CN"/>
        </w:rPr>
        <w:t>particular article</w:t>
      </w:r>
      <w:r w:rsidRPr="006F7384">
        <w:rPr>
          <w:lang w:eastAsia="zh-CN"/>
        </w:rPr>
        <w:t xml:space="preserve"> of the law, but also gave a moral justification for preferring </w:t>
      </w:r>
      <w:r w:rsidR="00421891" w:rsidRPr="006F7384">
        <w:rPr>
          <w:lang w:eastAsia="zh-CN"/>
        </w:rPr>
        <w:t>equitable</w:t>
      </w:r>
      <w:r w:rsidRPr="006F7384">
        <w:rPr>
          <w:lang w:eastAsia="zh-CN"/>
        </w:rPr>
        <w:t xml:space="preserve"> right</w:t>
      </w:r>
      <w:r w:rsidR="00421891" w:rsidRPr="006F7384">
        <w:rPr>
          <w:lang w:eastAsia="zh-CN"/>
        </w:rPr>
        <w:t>s</w:t>
      </w:r>
      <w:r w:rsidRPr="006F7384">
        <w:rPr>
          <w:lang w:eastAsia="zh-CN"/>
        </w:rPr>
        <w:t xml:space="preserve"> to the right</w:t>
      </w:r>
      <w:r w:rsidR="00421891" w:rsidRPr="006F7384">
        <w:rPr>
          <w:lang w:eastAsia="zh-CN"/>
        </w:rPr>
        <w:t>s</w:t>
      </w:r>
      <w:r w:rsidRPr="006F7384">
        <w:rPr>
          <w:lang w:eastAsia="zh-CN"/>
        </w:rPr>
        <w:t xml:space="preserve"> of </w:t>
      </w:r>
      <w:r w:rsidR="00421891" w:rsidRPr="006F7384">
        <w:rPr>
          <w:lang w:eastAsia="zh-CN"/>
        </w:rPr>
        <w:t>a</w:t>
      </w:r>
      <w:r w:rsidRPr="006F7384">
        <w:rPr>
          <w:lang w:eastAsia="zh-CN"/>
        </w:rPr>
        <w:t xml:space="preserve"> competing creditor. According to this moral explanation, a</w:t>
      </w:r>
      <w:r w:rsidR="00421891" w:rsidRPr="006F7384">
        <w:rPr>
          <w:lang w:eastAsia="zh-CN"/>
        </w:rPr>
        <w:t>n</w:t>
      </w:r>
      <w:r w:rsidRPr="006F7384">
        <w:rPr>
          <w:lang w:eastAsia="zh-CN"/>
        </w:rPr>
        <w:t xml:space="preserve"> </w:t>
      </w:r>
      <w:r w:rsidR="00421891" w:rsidRPr="006F7384">
        <w:rPr>
          <w:lang w:eastAsia="zh-CN"/>
        </w:rPr>
        <w:t xml:space="preserve">equitable </w:t>
      </w:r>
      <w:r w:rsidRPr="006F7384">
        <w:rPr>
          <w:lang w:eastAsia="zh-CN"/>
        </w:rPr>
        <w:t>right is worthy of preference because the owner of th</w:t>
      </w:r>
      <w:r w:rsidR="00421891" w:rsidRPr="006F7384">
        <w:rPr>
          <w:lang w:eastAsia="zh-CN"/>
        </w:rPr>
        <w:t>at</w:t>
      </w:r>
      <w:r w:rsidRPr="006F7384">
        <w:rPr>
          <w:lang w:eastAsia="zh-CN"/>
        </w:rPr>
        <w:t xml:space="preserve"> right </w:t>
      </w:r>
      <w:r w:rsidR="00421891" w:rsidRPr="006F7384">
        <w:rPr>
          <w:lang w:eastAsia="zh-CN"/>
        </w:rPr>
        <w:t xml:space="preserve">is </w:t>
      </w:r>
      <w:r w:rsidRPr="006F7384">
        <w:rPr>
          <w:lang w:eastAsia="zh-CN"/>
        </w:rPr>
        <w:t>seek</w:t>
      </w:r>
      <w:r w:rsidR="00421891" w:rsidRPr="006F7384">
        <w:rPr>
          <w:lang w:eastAsia="zh-CN"/>
        </w:rPr>
        <w:t>ing</w:t>
      </w:r>
      <w:r w:rsidRPr="006F7384">
        <w:rPr>
          <w:lang w:eastAsia="zh-CN"/>
        </w:rPr>
        <w:t xml:space="preserve"> rights in a </w:t>
      </w:r>
      <w:r w:rsidR="00421891" w:rsidRPr="006F7384">
        <w:rPr>
          <w:lang w:eastAsia="zh-CN"/>
        </w:rPr>
        <w:t>specific</w:t>
      </w:r>
      <w:r w:rsidRPr="006F7384">
        <w:rPr>
          <w:lang w:eastAsia="zh-CN"/>
        </w:rPr>
        <w:t xml:space="preserve"> asset and relies on the contract for </w:t>
      </w:r>
      <w:r w:rsidR="00421891" w:rsidRPr="006F7384">
        <w:rPr>
          <w:lang w:eastAsia="zh-CN"/>
        </w:rPr>
        <w:t>that</w:t>
      </w:r>
      <w:r w:rsidRPr="006F7384">
        <w:rPr>
          <w:lang w:eastAsia="zh-CN"/>
        </w:rPr>
        <w:t xml:space="preserve"> particular asset, whereas typical creditors do not </w:t>
      </w:r>
      <w:r w:rsidR="00421891" w:rsidRPr="006F7384">
        <w:rPr>
          <w:lang w:eastAsia="zh-CN"/>
        </w:rPr>
        <w:t>depend</w:t>
      </w:r>
      <w:r w:rsidRPr="006F7384">
        <w:rPr>
          <w:lang w:eastAsia="zh-CN"/>
        </w:rPr>
        <w:t xml:space="preserve"> on </w:t>
      </w:r>
      <w:r w:rsidR="00421891" w:rsidRPr="006F7384">
        <w:rPr>
          <w:lang w:eastAsia="zh-CN"/>
        </w:rPr>
        <w:t>a</w:t>
      </w:r>
      <w:r w:rsidRPr="006F7384">
        <w:rPr>
          <w:lang w:eastAsia="zh-CN"/>
        </w:rPr>
        <w:t xml:space="preserve"> particular asset at the time </w:t>
      </w:r>
      <w:r w:rsidR="00421891" w:rsidRPr="006F7384">
        <w:rPr>
          <w:lang w:eastAsia="zh-CN"/>
        </w:rPr>
        <w:t>the debt is created</w:t>
      </w:r>
      <w:r w:rsidRPr="006F7384">
        <w:rPr>
          <w:lang w:eastAsia="zh-CN"/>
        </w:rPr>
        <w:t xml:space="preserve"> and therefore</w:t>
      </w:r>
      <w:r w:rsidR="00421891" w:rsidRPr="006F7384">
        <w:rPr>
          <w:lang w:eastAsia="zh-CN"/>
        </w:rPr>
        <w:t xml:space="preserve">, </w:t>
      </w:r>
      <w:r w:rsidR="007022D6" w:rsidRPr="006F7384">
        <w:rPr>
          <w:lang w:eastAsia="zh-CN"/>
        </w:rPr>
        <w:t>have</w:t>
      </w:r>
      <w:r w:rsidR="00421891" w:rsidRPr="006F7384">
        <w:rPr>
          <w:lang w:eastAsia="zh-CN"/>
        </w:rPr>
        <w:t xml:space="preserve"> no guarantee from the owner regarding that specific asset which they now wish to foreclose. </w:t>
      </w:r>
      <w:r w:rsidRPr="006F7384">
        <w:rPr>
          <w:lang w:eastAsia="zh-CN"/>
        </w:rPr>
        <w:t>The</w:t>
      </w:r>
      <w:r w:rsidR="00421891" w:rsidRPr="006F7384">
        <w:rPr>
          <w:lang w:eastAsia="zh-CN"/>
        </w:rPr>
        <w:t xml:space="preserve"> creditors</w:t>
      </w:r>
      <w:r w:rsidRPr="006F7384">
        <w:rPr>
          <w:lang w:eastAsia="zh-CN"/>
        </w:rPr>
        <w:t xml:space="preserve"> assume the risk that the debtor will not have assets when they seek to recover </w:t>
      </w:r>
      <w:r w:rsidR="00421891" w:rsidRPr="006F7384">
        <w:rPr>
          <w:lang w:eastAsia="zh-CN"/>
        </w:rPr>
        <w:t>that debt. The C</w:t>
      </w:r>
      <w:r w:rsidRPr="006F7384">
        <w:rPr>
          <w:lang w:eastAsia="zh-CN"/>
        </w:rPr>
        <w:t xml:space="preserve">ourt therefore held that a creditor whose </w:t>
      </w:r>
      <w:r w:rsidR="006D3896" w:rsidRPr="006F7384">
        <w:rPr>
          <w:lang w:eastAsia="zh-CN"/>
        </w:rPr>
        <w:t>claim</w:t>
      </w:r>
      <w:r w:rsidRPr="006F7384">
        <w:rPr>
          <w:lang w:eastAsia="zh-CN"/>
        </w:rPr>
        <w:t xml:space="preserve"> derives from reliance on a particular asset </w:t>
      </w:r>
      <w:r w:rsidR="006D3896" w:rsidRPr="006F7384">
        <w:rPr>
          <w:lang w:eastAsia="zh-CN"/>
        </w:rPr>
        <w:t>takes precedence</w:t>
      </w:r>
      <w:r w:rsidRPr="006F7384">
        <w:rPr>
          <w:lang w:eastAsia="zh-CN"/>
        </w:rPr>
        <w:t xml:space="preserve"> over a creditor whose </w:t>
      </w:r>
      <w:r w:rsidR="006D3896" w:rsidRPr="006F7384">
        <w:rPr>
          <w:lang w:eastAsia="zh-CN"/>
        </w:rPr>
        <w:t>claim</w:t>
      </w:r>
      <w:r w:rsidRPr="006F7384">
        <w:rPr>
          <w:lang w:eastAsia="zh-CN"/>
        </w:rPr>
        <w:t xml:space="preserve"> does not derive from such reliance.</w:t>
      </w:r>
      <w:r w:rsidR="006D3896" w:rsidRPr="006F7384">
        <w:rPr>
          <w:rStyle w:val="FootnoteReference"/>
          <w:lang w:eastAsia="zh-CN"/>
        </w:rPr>
        <w:footnoteReference w:id="43"/>
      </w:r>
      <w:r w:rsidRPr="006F7384">
        <w:rPr>
          <w:lang w:eastAsia="zh-CN"/>
        </w:rPr>
        <w:t xml:space="preserve"> This is </w:t>
      </w:r>
      <w:r w:rsidR="006D3896" w:rsidRPr="006F7384">
        <w:rPr>
          <w:lang w:eastAsia="zh-CN"/>
        </w:rPr>
        <w:t xml:space="preserve">a </w:t>
      </w:r>
      <w:r w:rsidRPr="006F7384">
        <w:rPr>
          <w:lang w:eastAsia="zh-CN"/>
        </w:rPr>
        <w:t xml:space="preserve">logical, </w:t>
      </w:r>
      <w:r w:rsidR="006D3896" w:rsidRPr="006F7384">
        <w:rPr>
          <w:lang w:eastAsia="zh-CN"/>
        </w:rPr>
        <w:t>reasonable</w:t>
      </w:r>
      <w:r w:rsidRPr="006F7384">
        <w:rPr>
          <w:lang w:eastAsia="zh-CN"/>
        </w:rPr>
        <w:t xml:space="preserve"> and perhaps </w:t>
      </w:r>
      <w:r w:rsidR="006D3896" w:rsidRPr="006F7384">
        <w:rPr>
          <w:lang w:eastAsia="zh-CN"/>
        </w:rPr>
        <w:t xml:space="preserve">even </w:t>
      </w:r>
      <w:r w:rsidRPr="006F7384">
        <w:rPr>
          <w:lang w:eastAsia="zh-CN"/>
        </w:rPr>
        <w:t>justifiable</w:t>
      </w:r>
      <w:r w:rsidR="006D3896" w:rsidRPr="006F7384">
        <w:rPr>
          <w:lang w:eastAsia="zh-CN"/>
        </w:rPr>
        <w:t xml:space="preserve"> rule</w:t>
      </w:r>
      <w:r w:rsidRPr="006F7384">
        <w:rPr>
          <w:lang w:eastAsia="zh-CN"/>
        </w:rPr>
        <w:t xml:space="preserve">, but it has no explicit basis </w:t>
      </w:r>
      <w:r w:rsidR="006D3896" w:rsidRPr="006F7384">
        <w:rPr>
          <w:lang w:eastAsia="zh-CN"/>
        </w:rPr>
        <w:t>in</w:t>
      </w:r>
      <w:r w:rsidRPr="006F7384">
        <w:rPr>
          <w:lang w:eastAsia="zh-CN"/>
        </w:rPr>
        <w:t xml:space="preserve"> any Israeli legislation.</w:t>
      </w:r>
    </w:p>
    <w:p w14:paraId="2B45AD82" w14:textId="75DA25FB" w:rsidR="00AE7674" w:rsidRPr="006F7384" w:rsidRDefault="00A22B8F" w:rsidP="004127CE">
      <w:pPr>
        <w:bidi w:val="0"/>
        <w:spacing w:line="480" w:lineRule="auto"/>
        <w:jc w:val="both"/>
      </w:pPr>
      <w:r w:rsidRPr="006F7384">
        <w:rPr>
          <w:lang w:eastAsia="zh-CN"/>
        </w:rPr>
        <w:t xml:space="preserve">In order to create original </w:t>
      </w:r>
      <w:r w:rsidR="007022D6" w:rsidRPr="006F7384">
        <w:rPr>
          <w:lang w:eastAsia="zh-CN"/>
        </w:rPr>
        <w:t>independent</w:t>
      </w:r>
      <w:r w:rsidRPr="006F7384">
        <w:rPr>
          <w:lang w:eastAsia="zh-CN"/>
        </w:rPr>
        <w:t xml:space="preserve"> </w:t>
      </w:r>
      <w:r w:rsidR="00BD3F61" w:rsidRPr="006F7384">
        <w:rPr>
          <w:lang w:eastAsia="zh-CN"/>
        </w:rPr>
        <w:t>rights</w:t>
      </w:r>
      <w:r w:rsidR="00BD3F61" w:rsidRPr="006F7384">
        <w:rPr>
          <w:lang w:eastAsia="zh-CN"/>
        </w:rPr>
        <w:t xml:space="preserve"> </w:t>
      </w:r>
      <w:r w:rsidR="00BD3F61">
        <w:rPr>
          <w:lang w:eastAsia="zh-CN"/>
        </w:rPr>
        <w:t>stemming from equity</w:t>
      </w:r>
      <w:r w:rsidRPr="006F7384">
        <w:rPr>
          <w:lang w:eastAsia="zh-CN"/>
        </w:rPr>
        <w:t xml:space="preserve">, the Court had to overcome several obstacles. The first was </w:t>
      </w:r>
      <w:r w:rsidR="001D7AB2" w:rsidRPr="006F7384">
        <w:rPr>
          <w:lang w:eastAsia="zh-CN"/>
        </w:rPr>
        <w:t>the</w:t>
      </w:r>
      <w:r w:rsidRPr="006F7384">
        <w:rPr>
          <w:lang w:eastAsia="zh-CN"/>
        </w:rPr>
        <w:t xml:space="preserve"> thirty year old precedent whereby Israel has no rights</w:t>
      </w:r>
      <w:r w:rsidR="004127CE">
        <w:rPr>
          <w:lang w:eastAsia="zh-CN"/>
        </w:rPr>
        <w:t xml:space="preserve"> stemming from equity</w:t>
      </w:r>
      <w:r w:rsidRPr="006F7384">
        <w:rPr>
          <w:lang w:eastAsia="zh-CN"/>
        </w:rPr>
        <w:t>. The Justices</w:t>
      </w:r>
      <w:r w:rsidR="00E41E0C" w:rsidRPr="006F7384">
        <w:rPr>
          <w:lang w:eastAsia="zh-CN"/>
        </w:rPr>
        <w:t>, of course,</w:t>
      </w:r>
      <w:r w:rsidRPr="006F7384">
        <w:rPr>
          <w:lang w:eastAsia="zh-CN"/>
        </w:rPr>
        <w:t xml:space="preserve"> believed that this precedent was inherently wrong. </w:t>
      </w:r>
      <w:r w:rsidR="00E41E0C" w:rsidRPr="006F7384">
        <w:rPr>
          <w:lang w:eastAsia="zh-CN"/>
        </w:rPr>
        <w:t xml:space="preserve">Chief Justice Barak explained his deviation from the precedent that had been adhered to in the past, in that previous </w:t>
      </w:r>
      <w:r w:rsidR="001D7AB2" w:rsidRPr="006F7384">
        <w:rPr>
          <w:lang w:eastAsia="zh-CN"/>
        </w:rPr>
        <w:t>rulings</w:t>
      </w:r>
      <w:r w:rsidR="00E41E0C" w:rsidRPr="006F7384">
        <w:rPr>
          <w:lang w:eastAsia="zh-CN"/>
        </w:rPr>
        <w:t xml:space="preserve"> did not perceive the legislator’s underlying </w:t>
      </w:r>
      <w:r w:rsidR="001D7AB2" w:rsidRPr="006F7384">
        <w:rPr>
          <w:lang w:eastAsia="zh-CN"/>
        </w:rPr>
        <w:t>intent</w:t>
      </w:r>
      <w:r w:rsidR="00E41E0C" w:rsidRPr="006F7384">
        <w:rPr>
          <w:lang w:eastAsia="zh-CN"/>
        </w:rPr>
        <w:t>.</w:t>
      </w:r>
      <w:r w:rsidR="00E41E0C" w:rsidRPr="006F7384">
        <w:rPr>
          <w:rStyle w:val="FootnoteReference"/>
          <w:lang w:eastAsia="zh-CN"/>
        </w:rPr>
        <w:footnoteReference w:id="44"/>
      </w:r>
      <w:r w:rsidR="00E41E0C" w:rsidRPr="006F7384">
        <w:rPr>
          <w:lang w:eastAsia="zh-CN"/>
        </w:rPr>
        <w:t xml:space="preserve"> </w:t>
      </w:r>
      <w:r w:rsidR="004E40E9" w:rsidRPr="006F7384">
        <w:t xml:space="preserve">Justice Strasberg-Cohen argued that the law should be changed in order to realize "the accepted view in our system of legal harmony between </w:t>
      </w:r>
      <w:r w:rsidR="004E40E9" w:rsidRPr="006F7384">
        <w:lastRenderedPageBreak/>
        <w:t>various arrangements relating to the same materia."</w:t>
      </w:r>
      <w:r w:rsidR="004E40E9" w:rsidRPr="006F7384">
        <w:rPr>
          <w:rStyle w:val="FootnoteReference"/>
        </w:rPr>
        <w:footnoteReference w:id="45"/>
      </w:r>
      <w:r w:rsidR="004E40E9" w:rsidRPr="006F7384">
        <w:t xml:space="preserve"> Nonetheless, if the precedent </w:t>
      </w:r>
      <w:r w:rsidR="001D7AB2" w:rsidRPr="006F7384">
        <w:t>was inherently wrong, why did the C</w:t>
      </w:r>
      <w:r w:rsidR="004E40E9" w:rsidRPr="006F7384">
        <w:t xml:space="preserve">ourt wait nearly three decades to make this ruling? Justice Strasberg-Cohen cited various reasons </w:t>
      </w:r>
      <w:r w:rsidR="001D7AB2" w:rsidRPr="006F7384">
        <w:t xml:space="preserve">in </w:t>
      </w:r>
      <w:r w:rsidR="004E40E9" w:rsidRPr="006F7384">
        <w:t xml:space="preserve">explaining why the Court dared to revise a ruling at that particular point in time, including: the </w:t>
      </w:r>
      <w:r w:rsidR="001D7AB2" w:rsidRPr="006F7384">
        <w:t xml:space="preserve">advanced </w:t>
      </w:r>
      <w:r w:rsidR="004E40E9" w:rsidRPr="006F7384">
        <w:t xml:space="preserve">age of the old ruling and the need to adapt it to the "changing reality of life," the </w:t>
      </w:r>
      <w:r w:rsidR="001D7AB2" w:rsidRPr="006F7384">
        <w:t>growing</w:t>
      </w:r>
      <w:r w:rsidR="004E40E9" w:rsidRPr="006F7384">
        <w:t xml:space="preserve"> number of relevant cases, criticism of the ruling, as well as “developments in law, which has </w:t>
      </w:r>
      <w:r w:rsidR="001D7AB2" w:rsidRPr="006F7384">
        <w:t>come</w:t>
      </w:r>
      <w:r w:rsidR="00AE7674" w:rsidRPr="006F7384">
        <w:t xml:space="preserve"> a long way from formalism to substance.</w:t>
      </w:r>
      <w:r w:rsidR="004E40E9" w:rsidRPr="006F7384">
        <w:t>"</w:t>
      </w:r>
      <w:r w:rsidR="00AE7674" w:rsidRPr="006F7384">
        <w:rPr>
          <w:rStyle w:val="FootnoteReference"/>
        </w:rPr>
        <w:footnoteReference w:id="46"/>
      </w:r>
      <w:r w:rsidR="004E40E9" w:rsidRPr="006F7384">
        <w:t xml:space="preserve"> Th</w:t>
      </w:r>
      <w:r w:rsidR="001D7AB2" w:rsidRPr="006F7384">
        <w:t>is</w:t>
      </w:r>
      <w:r w:rsidR="004E40E9" w:rsidRPr="006F7384">
        <w:t xml:space="preserve"> </w:t>
      </w:r>
      <w:r w:rsidR="001D7AB2" w:rsidRPr="006F7384">
        <w:t>final</w:t>
      </w:r>
      <w:r w:rsidR="004E40E9" w:rsidRPr="006F7384">
        <w:t xml:space="preserve"> </w:t>
      </w:r>
      <w:r w:rsidR="00AE7674" w:rsidRPr="006F7384">
        <w:t xml:space="preserve">reason </w:t>
      </w:r>
      <w:r w:rsidR="001D7AB2" w:rsidRPr="006F7384">
        <w:t>appears</w:t>
      </w:r>
      <w:r w:rsidR="004E40E9" w:rsidRPr="006F7384">
        <w:t xml:space="preserve"> to </w:t>
      </w:r>
      <w:r w:rsidR="00AE7674" w:rsidRPr="006F7384">
        <w:t>encapsulate</w:t>
      </w:r>
      <w:r w:rsidR="004E40E9" w:rsidRPr="006F7384">
        <w:t xml:space="preserve"> the</w:t>
      </w:r>
      <w:r w:rsidR="001D7AB2" w:rsidRPr="006F7384">
        <w:t xml:space="preserve"> entire list: the power of the C</w:t>
      </w:r>
      <w:r w:rsidR="004E40E9" w:rsidRPr="006F7384">
        <w:t xml:space="preserve">ourt and its growing </w:t>
      </w:r>
      <w:r w:rsidR="00AE7674" w:rsidRPr="006F7384">
        <w:t>overall</w:t>
      </w:r>
      <w:r w:rsidR="004E40E9" w:rsidRPr="006F7384">
        <w:t xml:space="preserve"> </w:t>
      </w:r>
      <w:r w:rsidR="001D7AB2" w:rsidRPr="006F7384">
        <w:t>tendency</w:t>
      </w:r>
      <w:r w:rsidR="004E40E9" w:rsidRPr="006F7384">
        <w:t xml:space="preserve"> </w:t>
      </w:r>
      <w:r w:rsidR="00AE7674" w:rsidRPr="006F7384">
        <w:t>towards</w:t>
      </w:r>
      <w:r w:rsidR="004E40E9" w:rsidRPr="006F7384">
        <w:t xml:space="preserve"> judicial activism </w:t>
      </w:r>
      <w:r w:rsidR="001D7AB2" w:rsidRPr="006F7384">
        <w:t xml:space="preserve">had finally </w:t>
      </w:r>
      <w:r w:rsidR="004E40E9" w:rsidRPr="006F7384">
        <w:t>reached</w:t>
      </w:r>
      <w:r w:rsidR="00AE7674" w:rsidRPr="006F7384">
        <w:t>,</w:t>
      </w:r>
      <w:r w:rsidR="004E40E9" w:rsidRPr="006F7384">
        <w:t xml:space="preserve"> </w:t>
      </w:r>
      <w:r w:rsidR="00AE7674" w:rsidRPr="006F7384">
        <w:t xml:space="preserve">at the dawn of the third millennium, </w:t>
      </w:r>
      <w:r w:rsidR="004E40E9" w:rsidRPr="006F7384">
        <w:t xml:space="preserve">the </w:t>
      </w:r>
      <w:r w:rsidR="00AE7674" w:rsidRPr="006F7384">
        <w:t xml:space="preserve">realm </w:t>
      </w:r>
      <w:r w:rsidR="004E40E9" w:rsidRPr="006F7384">
        <w:t xml:space="preserve">of </w:t>
      </w:r>
      <w:r w:rsidR="001D7AB2" w:rsidRPr="006F7384">
        <w:t>real-estate</w:t>
      </w:r>
      <w:r w:rsidR="004E40E9" w:rsidRPr="006F7384">
        <w:t xml:space="preserve"> law.</w:t>
      </w:r>
    </w:p>
    <w:p w14:paraId="2B1E1078" w14:textId="029F4211" w:rsidR="00A22B8F" w:rsidRPr="006F7384" w:rsidRDefault="004E40E9" w:rsidP="00BD3F61">
      <w:pPr>
        <w:bidi w:val="0"/>
        <w:spacing w:line="480" w:lineRule="auto"/>
        <w:jc w:val="both"/>
        <w:rPr>
          <w:lang w:eastAsia="zh-CN"/>
        </w:rPr>
      </w:pPr>
      <w:r w:rsidRPr="006F7384">
        <w:t xml:space="preserve">   Another obstacle faced by the </w:t>
      </w:r>
      <w:r w:rsidR="00AE7674" w:rsidRPr="006F7384">
        <w:t>C</w:t>
      </w:r>
      <w:r w:rsidRPr="006F7384">
        <w:t xml:space="preserve">ourt was the need to find an Israeli normative source for the independent creation of </w:t>
      </w:r>
      <w:r w:rsidR="00BD3F61" w:rsidRPr="006F7384">
        <w:t>rights</w:t>
      </w:r>
      <w:r w:rsidR="00BD3F61" w:rsidRPr="006F7384">
        <w:t xml:space="preserve"> </w:t>
      </w:r>
      <w:r w:rsidR="00BD3F61">
        <w:t xml:space="preserve">stemming from </w:t>
      </w:r>
      <w:r w:rsidRPr="006F7384">
        <w:t>equit</w:t>
      </w:r>
      <w:r w:rsidR="00BD3F61">
        <w:t>y</w:t>
      </w:r>
      <w:r w:rsidRPr="006F7384">
        <w:t>. This obstacle</w:t>
      </w:r>
      <w:r w:rsidR="00AE7674" w:rsidRPr="006F7384">
        <w:t>, as noted,</w:t>
      </w:r>
      <w:r w:rsidRPr="006F7384">
        <w:t xml:space="preserve"> </w:t>
      </w:r>
      <w:r w:rsidR="00AE7674" w:rsidRPr="006F7384">
        <w:t xml:space="preserve">was </w:t>
      </w:r>
      <w:r w:rsidRPr="006F7384">
        <w:t xml:space="preserve">overcome by means of a creative interpretation of </w:t>
      </w:r>
      <w:r w:rsidR="00AE7674" w:rsidRPr="006F7384">
        <w:t xml:space="preserve">an article in </w:t>
      </w:r>
      <w:r w:rsidRPr="006F7384">
        <w:t xml:space="preserve">Israeli law, and by repeatedly emphasizing that it </w:t>
      </w:r>
      <w:r w:rsidR="00AE7674" w:rsidRPr="006F7384">
        <w:t>was</w:t>
      </w:r>
      <w:r w:rsidRPr="006F7384">
        <w:t xml:space="preserve"> an original Israeli </w:t>
      </w:r>
      <w:r w:rsidR="00AE7674" w:rsidRPr="006F7384">
        <w:t>creation</w:t>
      </w:r>
      <w:r w:rsidRPr="006F7384">
        <w:t xml:space="preserve"> that must be developed in an original way, while learning from foreign sources</w:t>
      </w:r>
      <w:r w:rsidR="00AE7674" w:rsidRPr="006F7384">
        <w:t xml:space="preserve"> but</w:t>
      </w:r>
      <w:r w:rsidRPr="006F7384">
        <w:t xml:space="preserve"> without adopting </w:t>
      </w:r>
      <w:r w:rsidR="00AE7674" w:rsidRPr="006F7384">
        <w:t>them</w:t>
      </w:r>
      <w:r w:rsidRPr="006F7384">
        <w:t xml:space="preserve"> as is.</w:t>
      </w:r>
      <w:r w:rsidR="00AE7674" w:rsidRPr="006F7384">
        <w:rPr>
          <w:rStyle w:val="FootnoteReference"/>
        </w:rPr>
        <w:footnoteReference w:id="47"/>
      </w:r>
      <w:r w:rsidRPr="006F7384">
        <w:t xml:space="preserve"> The </w:t>
      </w:r>
      <w:r w:rsidR="00AE7674" w:rsidRPr="006F7384">
        <w:t>C</w:t>
      </w:r>
      <w:r w:rsidRPr="006F7384">
        <w:t xml:space="preserve">ourt was careful not to base </w:t>
      </w:r>
      <w:r w:rsidR="00AE7674" w:rsidRPr="006F7384">
        <w:t>equitable</w:t>
      </w:r>
      <w:r w:rsidRPr="006F7384">
        <w:t xml:space="preserve"> right</w:t>
      </w:r>
      <w:r w:rsidR="00AE7674" w:rsidRPr="006F7384">
        <w:t>s</w:t>
      </w:r>
      <w:r w:rsidRPr="006F7384">
        <w:t xml:space="preserve"> on the legal doctrine of </w:t>
      </w:r>
      <w:r w:rsidR="001D7AB2" w:rsidRPr="006F7384">
        <w:t>‘</w:t>
      </w:r>
      <w:r w:rsidRPr="006F7384">
        <w:rPr>
          <w:highlight w:val="yellow"/>
        </w:rPr>
        <w:t>constructive loyalty</w:t>
      </w:r>
      <w:r w:rsidR="00AE7674" w:rsidRPr="006F7384">
        <w:t>,</w:t>
      </w:r>
      <w:r w:rsidR="001D7AB2" w:rsidRPr="006F7384">
        <w:t>’</w:t>
      </w:r>
      <w:r w:rsidRPr="006F7384">
        <w:t xml:space="preserve"> </w:t>
      </w:r>
      <w:r w:rsidR="00AE7674" w:rsidRPr="006F7384">
        <w:t xml:space="preserve">which was </w:t>
      </w:r>
      <w:r w:rsidR="001D7AB2" w:rsidRPr="006F7384">
        <w:t>their</w:t>
      </w:r>
      <w:r w:rsidR="00AE7674" w:rsidRPr="006F7384">
        <w:t xml:space="preserve"> foundation</w:t>
      </w:r>
      <w:r w:rsidRPr="006F7384">
        <w:t xml:space="preserve"> in the English and American </w:t>
      </w:r>
      <w:r w:rsidR="001D7AB2" w:rsidRPr="006F7384">
        <w:t>equity laws</w:t>
      </w:r>
      <w:r w:rsidRPr="006F7384">
        <w:t xml:space="preserve">. This doctrine assigns </w:t>
      </w:r>
      <w:r w:rsidR="00AE7674" w:rsidRPr="006F7384">
        <w:t xml:space="preserve">to </w:t>
      </w:r>
      <w:r w:rsidRPr="006F7384">
        <w:t>the transferor and the transfer</w:t>
      </w:r>
      <w:r w:rsidR="00AE7674" w:rsidRPr="006F7384">
        <w:t>ee</w:t>
      </w:r>
      <w:r w:rsidRPr="006F7384">
        <w:t xml:space="preserve"> a </w:t>
      </w:r>
      <w:r w:rsidR="00DE5ED8" w:rsidRPr="006F7384">
        <w:t xml:space="preserve">relationship of trust by force </w:t>
      </w:r>
      <w:r w:rsidRPr="006F7384">
        <w:t>(constructive), and hence</w:t>
      </w:r>
      <w:r w:rsidR="00DE5ED8" w:rsidRPr="006F7384">
        <w:t>,</w:t>
      </w:r>
      <w:r w:rsidRPr="006F7384">
        <w:t xml:space="preserve"> </w:t>
      </w:r>
      <w:r w:rsidR="001D7AB2" w:rsidRPr="006F7384">
        <w:t>infers</w:t>
      </w:r>
      <w:r w:rsidRPr="006F7384">
        <w:t xml:space="preserve"> </w:t>
      </w:r>
      <w:r w:rsidR="001D7AB2" w:rsidRPr="006F7384">
        <w:t>a</w:t>
      </w:r>
      <w:r w:rsidRPr="006F7384">
        <w:t xml:space="preserve"> </w:t>
      </w:r>
      <w:r w:rsidR="00DE5ED8" w:rsidRPr="006F7384">
        <w:t>preference for</w:t>
      </w:r>
      <w:r w:rsidRPr="006F7384">
        <w:t xml:space="preserve"> the transferee, </w:t>
      </w:r>
      <w:r w:rsidR="001D7AB2" w:rsidRPr="006F7384">
        <w:rPr>
          <w:highlight w:val="yellow"/>
        </w:rPr>
        <w:t>as the trustee</w:t>
      </w:r>
      <w:r w:rsidRPr="006F7384">
        <w:rPr>
          <w:highlight w:val="yellow"/>
        </w:rPr>
        <w:t>,</w:t>
      </w:r>
      <w:r w:rsidRPr="006F7384">
        <w:t xml:space="preserve"> over the </w:t>
      </w:r>
      <w:r w:rsidR="001D7AB2" w:rsidRPr="006F7384">
        <w:t>transferor</w:t>
      </w:r>
      <w:r w:rsidR="001D7AB2" w:rsidRPr="006F7384">
        <w:t xml:space="preserve">’s </w:t>
      </w:r>
      <w:r w:rsidRPr="006F7384">
        <w:t xml:space="preserve">creditors. The </w:t>
      </w:r>
      <w:r w:rsidR="00DE5ED8" w:rsidRPr="006F7384">
        <w:t>Israeli Supreme C</w:t>
      </w:r>
      <w:r w:rsidRPr="006F7384">
        <w:t xml:space="preserve">ourt sought to </w:t>
      </w:r>
      <w:r w:rsidR="00DE5ED8" w:rsidRPr="006F7384">
        <w:t xml:space="preserve">avoid </w:t>
      </w:r>
      <w:r w:rsidRPr="006F7384">
        <w:t>bas</w:t>
      </w:r>
      <w:r w:rsidR="00DE5ED8" w:rsidRPr="006F7384">
        <w:t xml:space="preserve">ing </w:t>
      </w:r>
      <w:r w:rsidRPr="006F7384">
        <w:t xml:space="preserve">its ruling on this doctrine, preferring to </w:t>
      </w:r>
      <w:r w:rsidR="00DE5ED8" w:rsidRPr="006F7384">
        <w:t>demonstrate</w:t>
      </w:r>
      <w:r w:rsidRPr="006F7384">
        <w:t xml:space="preserve"> that its ruling relies on the provisions of Israeli law.</w:t>
      </w:r>
      <w:r w:rsidR="00DE5ED8" w:rsidRPr="006F7384">
        <w:rPr>
          <w:rStyle w:val="FootnoteReference"/>
        </w:rPr>
        <w:footnoteReference w:id="48"/>
      </w:r>
      <w:r w:rsidRPr="006F7384">
        <w:t xml:space="preserve"> However, </w:t>
      </w:r>
      <w:r w:rsidR="00DE5ED8" w:rsidRPr="006F7384">
        <w:t>Israeli equitable rights were, ultimately,</w:t>
      </w:r>
      <w:r w:rsidRPr="006F7384">
        <w:t xml:space="preserve"> similar, almost identical, to the right</w:t>
      </w:r>
      <w:r w:rsidR="00DE5ED8" w:rsidRPr="006F7384">
        <w:t>s</w:t>
      </w:r>
      <w:r w:rsidRPr="006F7384">
        <w:t xml:space="preserve"> created by English </w:t>
      </w:r>
      <w:r w:rsidR="00DE5ED8" w:rsidRPr="006F7384">
        <w:t xml:space="preserve">laws of </w:t>
      </w:r>
      <w:r w:rsidRPr="006F7384">
        <w:t xml:space="preserve">equity. Even the moral explanations </w:t>
      </w:r>
      <w:r w:rsidRPr="006F7384">
        <w:lastRenderedPageBreak/>
        <w:t xml:space="preserve">given by the court </w:t>
      </w:r>
      <w:r w:rsidR="00DE5ED8" w:rsidRPr="006F7384">
        <w:t>had</w:t>
      </w:r>
      <w:r w:rsidRPr="006F7384">
        <w:t xml:space="preserve"> already </w:t>
      </w:r>
      <w:r w:rsidR="00DE5ED8" w:rsidRPr="006F7384">
        <w:t>been used</w:t>
      </w:r>
      <w:r w:rsidRPr="006F7384">
        <w:t xml:space="preserve"> to </w:t>
      </w:r>
      <w:r w:rsidR="00DE5ED8" w:rsidRPr="006F7384">
        <w:t>explicate</w:t>
      </w:r>
      <w:r w:rsidRPr="006F7384">
        <w:t xml:space="preserve"> the logic of </w:t>
      </w:r>
      <w:r w:rsidR="00DE5ED8" w:rsidRPr="006F7384">
        <w:t xml:space="preserve">the </w:t>
      </w:r>
      <w:r w:rsidRPr="006F7384">
        <w:t>English law w</w:t>
      </w:r>
      <w:r w:rsidR="00DE5ED8" w:rsidRPr="006F7384">
        <w:t>hile</w:t>
      </w:r>
      <w:r w:rsidRPr="006F7384">
        <w:t xml:space="preserve"> it was in force.</w:t>
      </w:r>
      <w:r w:rsidR="00DE5ED8" w:rsidRPr="006F7384">
        <w:rPr>
          <w:rStyle w:val="FootnoteReference"/>
        </w:rPr>
        <w:footnoteReference w:id="49"/>
      </w:r>
      <w:r w:rsidR="00DE5ED8" w:rsidRPr="006F7384">
        <w:t xml:space="preserve"> </w:t>
      </w:r>
    </w:p>
    <w:p w14:paraId="3B6AA6EF" w14:textId="6566C040" w:rsidR="00682C26" w:rsidRPr="006F7384" w:rsidRDefault="00DE5ED8" w:rsidP="00BD3F61">
      <w:pPr>
        <w:bidi w:val="0"/>
        <w:spacing w:line="480" w:lineRule="auto"/>
        <w:jc w:val="both"/>
      </w:pPr>
      <w:r w:rsidRPr="006F7384">
        <w:t xml:space="preserve">In fact, the Supreme Court's </w:t>
      </w:r>
      <w:r w:rsidR="00360D55" w:rsidRPr="006F7384">
        <w:t>action</w:t>
      </w:r>
      <w:r w:rsidRPr="006F7384">
        <w:t xml:space="preserve"> in 1999 was the </w:t>
      </w:r>
      <w:r w:rsidR="00360D55" w:rsidRPr="006F7384">
        <w:t xml:space="preserve">very </w:t>
      </w:r>
      <w:r w:rsidRPr="006F7384">
        <w:t xml:space="preserve">same judicial </w:t>
      </w:r>
      <w:r w:rsidR="00360D55" w:rsidRPr="006F7384">
        <w:t>move</w:t>
      </w:r>
      <w:r w:rsidRPr="006F7384">
        <w:t xml:space="preserve"> </w:t>
      </w:r>
      <w:r w:rsidR="00360D55" w:rsidRPr="006F7384">
        <w:t>made</w:t>
      </w:r>
      <w:r w:rsidRPr="006F7384">
        <w:t xml:space="preserve"> by the courts of </w:t>
      </w:r>
      <w:r w:rsidR="007B45FE" w:rsidRPr="006F7384">
        <w:t xml:space="preserve">equity </w:t>
      </w:r>
      <w:r w:rsidRPr="006F7384">
        <w:t>hundr</w:t>
      </w:r>
      <w:r w:rsidR="00360D55" w:rsidRPr="006F7384">
        <w:t>eds of years earlier. The Aharonov</w:t>
      </w:r>
      <w:r w:rsidRPr="006F7384">
        <w:t xml:space="preserve"> rul</w:t>
      </w:r>
      <w:r w:rsidR="007B45FE" w:rsidRPr="006F7384">
        <w:t>ing</w:t>
      </w:r>
      <w:r w:rsidRPr="006F7384">
        <w:t xml:space="preserve"> </w:t>
      </w:r>
      <w:r w:rsidR="00360D55" w:rsidRPr="006F7384">
        <w:t>is</w:t>
      </w:r>
      <w:r w:rsidRPr="006F7384">
        <w:t xml:space="preserve"> more </w:t>
      </w:r>
      <w:r w:rsidR="007B45FE" w:rsidRPr="006F7384">
        <w:t xml:space="preserve">of an </w:t>
      </w:r>
      <w:r w:rsidRPr="006F7384">
        <w:t xml:space="preserve">English-style judicial legislation than a conservative application of explicit legislation. Just </w:t>
      </w:r>
      <w:r w:rsidR="00BD3F61">
        <w:t>as the English law</w:t>
      </w:r>
      <w:r w:rsidRPr="006F7384">
        <w:t xml:space="preserve"> developed </w:t>
      </w:r>
      <w:r w:rsidR="007B45FE" w:rsidRPr="006F7384">
        <w:t xml:space="preserve">step by step with each ruling, so did the </w:t>
      </w:r>
      <w:r w:rsidR="00BD3F61">
        <w:t>c</w:t>
      </w:r>
      <w:r w:rsidR="007B45FE" w:rsidRPr="006F7384">
        <w:t>ourts</w:t>
      </w:r>
      <w:r w:rsidR="00BD3F61">
        <w:t>,</w:t>
      </w:r>
      <w:r w:rsidR="007B45FE" w:rsidRPr="006F7384">
        <w:t xml:space="preserve"> </w:t>
      </w:r>
      <w:r w:rsidR="00BD3F61">
        <w:t>at all levels</w:t>
      </w:r>
      <w:r w:rsidR="00BD3F61" w:rsidRPr="006F7384">
        <w:t xml:space="preserve">, </w:t>
      </w:r>
      <w:r w:rsidR="007B45FE" w:rsidRPr="006F7384">
        <w:t>continue</w:t>
      </w:r>
      <w:r w:rsidRPr="006F7384">
        <w:t xml:space="preserve"> to develop </w:t>
      </w:r>
      <w:r w:rsidR="007B45FE" w:rsidRPr="006F7384">
        <w:t>equitable</w:t>
      </w:r>
      <w:r w:rsidRPr="006F7384">
        <w:t xml:space="preserve"> right</w:t>
      </w:r>
      <w:r w:rsidR="007B45FE" w:rsidRPr="006F7384">
        <w:t>s</w:t>
      </w:r>
      <w:r w:rsidRPr="006F7384">
        <w:t xml:space="preserve"> through a </w:t>
      </w:r>
      <w:r w:rsidR="007B45FE" w:rsidRPr="006F7384">
        <w:t>series</w:t>
      </w:r>
      <w:r w:rsidRPr="006F7384">
        <w:t xml:space="preserve"> of rulings. They ruled that right</w:t>
      </w:r>
      <w:r w:rsidR="007B45FE" w:rsidRPr="006F7384">
        <w:t>s</w:t>
      </w:r>
      <w:r w:rsidRPr="006F7384">
        <w:t xml:space="preserve"> </w:t>
      </w:r>
      <w:r w:rsidR="00BD3F61">
        <w:t xml:space="preserve">stemming from equity </w:t>
      </w:r>
      <w:r w:rsidR="007B45FE" w:rsidRPr="006F7384">
        <w:t>are</w:t>
      </w:r>
      <w:r w:rsidRPr="006F7384">
        <w:t xml:space="preserve"> also relevant to </w:t>
      </w:r>
      <w:r w:rsidR="007B45FE" w:rsidRPr="006F7384">
        <w:t>commitments</w:t>
      </w:r>
      <w:r w:rsidRPr="006F7384">
        <w:t xml:space="preserve"> </w:t>
      </w:r>
      <w:r w:rsidR="007B45FE" w:rsidRPr="006F7384">
        <w:t>to</w:t>
      </w:r>
      <w:r w:rsidRPr="006F7384">
        <w:t xml:space="preserve"> transactions other than ownership (such as mortgage or trust)</w:t>
      </w:r>
      <w:r w:rsidR="005426F7" w:rsidRPr="006F7384">
        <w:t>;</w:t>
      </w:r>
      <w:r w:rsidR="005426F7" w:rsidRPr="006F7384">
        <w:rPr>
          <w:rStyle w:val="FootnoteReference"/>
        </w:rPr>
        <w:footnoteReference w:id="50"/>
      </w:r>
      <w:r w:rsidRPr="006F7384">
        <w:t xml:space="preserve"> </w:t>
      </w:r>
      <w:r w:rsidR="00BD3F61">
        <w:t>t</w:t>
      </w:r>
      <w:r w:rsidR="00360D55" w:rsidRPr="006F7384">
        <w:t>hey also took precedence over</w:t>
      </w:r>
      <w:r w:rsidRPr="006F7384">
        <w:t xml:space="preserve"> the </w:t>
      </w:r>
      <w:r w:rsidR="00360D55" w:rsidRPr="006F7384">
        <w:t>transferor</w:t>
      </w:r>
      <w:r w:rsidR="00360D55" w:rsidRPr="006F7384">
        <w:t>’s</w:t>
      </w:r>
      <w:r w:rsidR="00360D55" w:rsidRPr="006F7384">
        <w:t xml:space="preserve"> </w:t>
      </w:r>
      <w:r w:rsidRPr="006F7384">
        <w:t>creditors in insolvency proceedings</w:t>
      </w:r>
      <w:r w:rsidR="005426F7" w:rsidRPr="006F7384">
        <w:rPr>
          <w:rStyle w:val="FootnoteReference"/>
        </w:rPr>
        <w:footnoteReference w:id="51"/>
      </w:r>
      <w:r w:rsidRPr="006F7384">
        <w:t xml:space="preserve"> and </w:t>
      </w:r>
      <w:r w:rsidR="00360D55" w:rsidRPr="006F7384">
        <w:t>they exist</w:t>
      </w:r>
      <w:r w:rsidRPr="006F7384">
        <w:t xml:space="preserve">, albeit </w:t>
      </w:r>
      <w:r w:rsidR="005426F7" w:rsidRPr="006F7384">
        <w:t xml:space="preserve">in a </w:t>
      </w:r>
      <w:r w:rsidRPr="006F7384">
        <w:t>weaker</w:t>
      </w:r>
      <w:r w:rsidR="005426F7" w:rsidRPr="006F7384">
        <w:t xml:space="preserve"> sense</w:t>
      </w:r>
      <w:r w:rsidRPr="006F7384">
        <w:t>, even when the transaction is free of charge.</w:t>
      </w:r>
      <w:r w:rsidR="005426F7" w:rsidRPr="006F7384">
        <w:rPr>
          <w:rStyle w:val="FootnoteReference"/>
        </w:rPr>
        <w:footnoteReference w:id="52"/>
      </w:r>
      <w:r w:rsidRPr="006F7384">
        <w:t xml:space="preserve"> </w:t>
      </w:r>
      <w:r w:rsidR="005426F7" w:rsidRPr="006F7384">
        <w:t>Ultimately</w:t>
      </w:r>
      <w:r w:rsidRPr="006F7384">
        <w:t xml:space="preserve">, the </w:t>
      </w:r>
      <w:r w:rsidR="005426F7" w:rsidRPr="006F7384">
        <w:t>C</w:t>
      </w:r>
      <w:r w:rsidRPr="006F7384">
        <w:t xml:space="preserve">ourt </w:t>
      </w:r>
      <w:r w:rsidR="00BD3F61">
        <w:t>also</w:t>
      </w:r>
      <w:r w:rsidRPr="006F7384">
        <w:t xml:space="preserve"> ruled</w:t>
      </w:r>
      <w:r w:rsidR="005426F7" w:rsidRPr="006F7384">
        <w:t xml:space="preserve"> that</w:t>
      </w:r>
      <w:r w:rsidRPr="006F7384">
        <w:t>, similar</w:t>
      </w:r>
      <w:r w:rsidR="00BD3F61">
        <w:t>ly</w:t>
      </w:r>
      <w:r w:rsidRPr="006F7384">
        <w:t xml:space="preserve"> to English law, but without relying on it</w:t>
      </w:r>
      <w:r w:rsidR="005426F7" w:rsidRPr="006F7384">
        <w:t xml:space="preserve"> directly</w:t>
      </w:r>
      <w:r w:rsidRPr="006F7384">
        <w:t xml:space="preserve">, </w:t>
      </w:r>
      <w:r w:rsidR="005426F7" w:rsidRPr="006F7384">
        <w:t xml:space="preserve">there is a constructivist relationship of trust between </w:t>
      </w:r>
      <w:r w:rsidRPr="006F7384">
        <w:t xml:space="preserve">the transferor and the transferee and that a claim </w:t>
      </w:r>
      <w:r w:rsidR="005426F7" w:rsidRPr="006F7384">
        <w:t>for</w:t>
      </w:r>
      <w:r w:rsidRPr="006F7384">
        <w:t xml:space="preserve"> </w:t>
      </w:r>
      <w:r w:rsidR="005426F7" w:rsidRPr="006F7384">
        <w:t>equit</w:t>
      </w:r>
      <w:r w:rsidR="00BD3F61">
        <w:t>y</w:t>
      </w:r>
      <w:r w:rsidR="005426F7" w:rsidRPr="006F7384">
        <w:t xml:space="preserve"> </w:t>
      </w:r>
      <w:r w:rsidRPr="006F7384">
        <w:t>right</w:t>
      </w:r>
      <w:r w:rsidR="005426F7" w:rsidRPr="006F7384">
        <w:t>s</w:t>
      </w:r>
      <w:r w:rsidRPr="006F7384">
        <w:t xml:space="preserve"> </w:t>
      </w:r>
      <w:r w:rsidR="005426F7" w:rsidRPr="006F7384">
        <w:t>expires</w:t>
      </w:r>
      <w:r w:rsidRPr="006F7384">
        <w:t xml:space="preserve"> in the same way as a beneficiary's claim against </w:t>
      </w:r>
      <w:r w:rsidR="005426F7" w:rsidRPr="006F7384">
        <w:t>a trust</w:t>
      </w:r>
      <w:r w:rsidRPr="006F7384">
        <w:t>.</w:t>
      </w:r>
      <w:r w:rsidR="005426F7" w:rsidRPr="006F7384">
        <w:rPr>
          <w:rStyle w:val="FootnoteReference"/>
        </w:rPr>
        <w:footnoteReference w:id="53"/>
      </w:r>
      <w:r w:rsidRPr="006F7384">
        <w:t xml:space="preserve"> The development of right</w:t>
      </w:r>
      <w:r w:rsidR="005426F7" w:rsidRPr="006F7384">
        <w:t>s</w:t>
      </w:r>
      <w:r w:rsidR="00BD3F61">
        <w:t xml:space="preserve"> stemming from equity</w:t>
      </w:r>
      <w:r w:rsidRPr="006F7384">
        <w:t xml:space="preserve"> has become part </w:t>
      </w:r>
      <w:r w:rsidR="00BD3F61">
        <w:t xml:space="preserve">and parcel </w:t>
      </w:r>
      <w:r w:rsidRPr="006F7384">
        <w:t xml:space="preserve">of Israeli common law. On the one hand, it reflects the </w:t>
      </w:r>
      <w:r w:rsidR="00BD3F61">
        <w:t>increasing</w:t>
      </w:r>
      <w:r w:rsidR="005426F7" w:rsidRPr="006F7384">
        <w:t xml:space="preserve"> </w:t>
      </w:r>
      <w:r w:rsidR="00BD3F61">
        <w:t>power</w:t>
      </w:r>
      <w:r w:rsidRPr="006F7384">
        <w:t xml:space="preserve"> of the </w:t>
      </w:r>
      <w:r w:rsidR="005426F7" w:rsidRPr="006F7384">
        <w:t>Court</w:t>
      </w:r>
      <w:r w:rsidRPr="006F7384">
        <w:t xml:space="preserve"> and its intellectual and interpretive independence. On the other hand, </w:t>
      </w:r>
      <w:r w:rsidR="005426F7" w:rsidRPr="006F7384">
        <w:t>it reveals</w:t>
      </w:r>
      <w:r w:rsidRPr="006F7384">
        <w:t xml:space="preserve"> that the </w:t>
      </w:r>
      <w:r w:rsidR="00D207E0" w:rsidRPr="006F7384">
        <w:t xml:space="preserve">Israeli </w:t>
      </w:r>
      <w:r w:rsidR="00BD3F61">
        <w:t xml:space="preserve">Supreme </w:t>
      </w:r>
      <w:r w:rsidR="00D207E0" w:rsidRPr="006F7384">
        <w:t>C</w:t>
      </w:r>
      <w:r w:rsidRPr="006F7384">
        <w:t xml:space="preserve">ourt's </w:t>
      </w:r>
      <w:r w:rsidR="00D207E0" w:rsidRPr="006F7384">
        <w:t>judicial activism</w:t>
      </w:r>
      <w:r w:rsidRPr="006F7384">
        <w:t xml:space="preserve"> is no different from similar </w:t>
      </w:r>
      <w:r w:rsidR="00BD3F61">
        <w:t>activity</w:t>
      </w:r>
      <w:r w:rsidRPr="006F7384">
        <w:t xml:space="preserve"> by powerful courts in other legal </w:t>
      </w:r>
      <w:r w:rsidRPr="006F7384">
        <w:lastRenderedPageBreak/>
        <w:t xml:space="preserve">systems. The task of judging is ultimately </w:t>
      </w:r>
      <w:r w:rsidR="00D207E0" w:rsidRPr="006F7384">
        <w:t xml:space="preserve">a </w:t>
      </w:r>
      <w:r w:rsidRPr="006F7384">
        <w:t>universal</w:t>
      </w:r>
      <w:r w:rsidR="00D207E0" w:rsidRPr="006F7384">
        <w:t xml:space="preserve"> one,</w:t>
      </w:r>
      <w:r w:rsidRPr="006F7384">
        <w:t xml:space="preserve"> even when </w:t>
      </w:r>
      <w:r w:rsidR="00D207E0" w:rsidRPr="006F7384">
        <w:t>attempting</w:t>
      </w:r>
      <w:r w:rsidRPr="006F7384">
        <w:t xml:space="preserve"> to show originality.</w:t>
      </w:r>
      <w:r w:rsidR="00D207E0" w:rsidRPr="006F7384">
        <w:rPr>
          <w:rStyle w:val="FootnoteReference"/>
        </w:rPr>
        <w:footnoteReference w:id="54"/>
      </w:r>
    </w:p>
    <w:p w14:paraId="0592E26A" w14:textId="79F989E6" w:rsidR="00682C26" w:rsidRPr="006F7384" w:rsidRDefault="001B1CD0" w:rsidP="004127CE">
      <w:pPr>
        <w:bidi w:val="0"/>
        <w:spacing w:line="480" w:lineRule="auto"/>
        <w:jc w:val="both"/>
      </w:pPr>
      <w:r w:rsidRPr="006F7384">
        <w:t xml:space="preserve">Just four years after the development of original Israeli equitable rights of ownership, the Supreme Court independently developed yet another doctrine that is well known in the English </w:t>
      </w:r>
      <w:r w:rsidR="00765304" w:rsidRPr="006F7384">
        <w:t>equity</w:t>
      </w:r>
      <w:r w:rsidR="00765304" w:rsidRPr="006F7384">
        <w:t xml:space="preserve"> </w:t>
      </w:r>
      <w:r w:rsidRPr="006F7384">
        <w:t xml:space="preserve">laws: </w:t>
      </w:r>
      <w:r w:rsidRPr="00BD3F61">
        <w:t xml:space="preserve">the doctrine of </w:t>
      </w:r>
      <w:r w:rsidR="00765304" w:rsidRPr="00BD3F61">
        <w:t>estoppel</w:t>
      </w:r>
      <w:r w:rsidRPr="00BD3F61">
        <w:t>.</w:t>
      </w:r>
      <w:r w:rsidRPr="00BD3F61">
        <w:rPr>
          <w:rStyle w:val="FootnoteReference"/>
        </w:rPr>
        <w:footnoteReference w:id="55"/>
      </w:r>
      <w:r w:rsidRPr="006F7384">
        <w:t xml:space="preserve"> Here, too, the court overturned a decades-old </w:t>
      </w:r>
      <w:r w:rsidR="00765304" w:rsidRPr="006F7384">
        <w:t>ruling</w:t>
      </w:r>
      <w:r w:rsidRPr="006F7384">
        <w:t xml:space="preserve">; and here, too, it </w:t>
      </w:r>
      <w:r w:rsidR="00765304" w:rsidRPr="006F7384">
        <w:t>was</w:t>
      </w:r>
      <w:r w:rsidRPr="006F7384">
        <w:t xml:space="preserve"> an original Israeli development that relies on an activist, creative and moral interpretation of Israeli law. Here, too, the move was led by Chief Justice Aharon Barak, and here too the </w:t>
      </w:r>
      <w:r w:rsidR="00765304" w:rsidRPr="006F7384">
        <w:t xml:space="preserve">result </w:t>
      </w:r>
      <w:r w:rsidRPr="006F7384">
        <w:t>is very similar to the original English doctrine. In the Ganz case,</w:t>
      </w:r>
      <w:r w:rsidRPr="006F7384">
        <w:rPr>
          <w:rStyle w:val="FootnoteReference"/>
        </w:rPr>
        <w:footnoteReference w:id="56"/>
      </w:r>
      <w:r w:rsidRPr="006F7384">
        <w:t xml:space="preserve"> a landowner undertook to transfer his rights to one person (Mr. Ganz) and seventeen years later undertook to transfer the same rights to a second buyer (</w:t>
      </w:r>
      <w:r w:rsidR="00BD3F61">
        <w:t xml:space="preserve">Mr. </w:t>
      </w:r>
      <w:r w:rsidRPr="006F7384">
        <w:t xml:space="preserve">Afek). Neither of </w:t>
      </w:r>
      <w:r w:rsidR="00765304" w:rsidRPr="006F7384">
        <w:t>the buyers</w:t>
      </w:r>
      <w:r w:rsidRPr="006F7384">
        <w:t xml:space="preserve"> completed the transaction in the land registry, but the later buyer received the property in </w:t>
      </w:r>
      <w:commentRangeStart w:id="8"/>
      <w:r w:rsidRPr="006F7384">
        <w:t>good faith</w:t>
      </w:r>
      <w:commentRangeEnd w:id="8"/>
      <w:r w:rsidR="004127CE">
        <w:rPr>
          <w:rStyle w:val="CommentReference"/>
        </w:rPr>
        <w:commentReference w:id="8"/>
      </w:r>
      <w:r w:rsidRPr="006F7384">
        <w:t xml:space="preserve">, without </w:t>
      </w:r>
      <w:r w:rsidR="00765304" w:rsidRPr="006F7384">
        <w:t>notice</w:t>
      </w:r>
      <w:r w:rsidRPr="006F7384">
        <w:t>, and in exchange. According to the explicit instruction of Article 9 of the I</w:t>
      </w:r>
      <w:r w:rsidR="00923CAC" w:rsidRPr="006F7384">
        <w:t>sraeli Land Law, in such a case</w:t>
      </w:r>
      <w:r w:rsidR="00765304" w:rsidRPr="006F7384">
        <w:t>,</w:t>
      </w:r>
      <w:r w:rsidRPr="006F7384">
        <w:t xml:space="preserve"> the right of the first transaction holder time</w:t>
      </w:r>
      <w:r w:rsidR="00923CAC" w:rsidRPr="006F7384">
        <w:t>-wise overrides the other</w:t>
      </w:r>
      <w:r w:rsidRPr="006F7384">
        <w:t>, since the late</w:t>
      </w:r>
      <w:r w:rsidR="00923CAC" w:rsidRPr="006F7384">
        <w:t>r</w:t>
      </w:r>
      <w:r w:rsidRPr="006F7384">
        <w:t xml:space="preserve"> transaction was not completed </w:t>
      </w:r>
      <w:r w:rsidR="00923CAC" w:rsidRPr="006F7384">
        <w:t>in exchange and</w:t>
      </w:r>
      <w:r w:rsidRPr="006F7384">
        <w:t xml:space="preserve"> in good faith. Although the first purchaser could have prevented the later contradictory transaction by </w:t>
      </w:r>
      <w:r w:rsidR="00923CAC" w:rsidRPr="006F7384">
        <w:t>registering</w:t>
      </w:r>
      <w:r w:rsidRPr="006F7384">
        <w:t xml:space="preserve"> a caveat, Israeli law does not oblig</w:t>
      </w:r>
      <w:r w:rsidR="00923CAC" w:rsidRPr="006F7384">
        <w:t>e</w:t>
      </w:r>
      <w:r w:rsidRPr="006F7384">
        <w:t xml:space="preserve"> a purchaser to </w:t>
      </w:r>
      <w:r w:rsidR="00923CAC" w:rsidRPr="006F7384">
        <w:t>register</w:t>
      </w:r>
      <w:r w:rsidRPr="006F7384">
        <w:t xml:space="preserve"> a caveat</w:t>
      </w:r>
      <w:r w:rsidR="00923CAC" w:rsidRPr="006F7384">
        <w:t>,</w:t>
      </w:r>
      <w:r w:rsidRPr="006F7384">
        <w:t xml:space="preserve"> </w:t>
      </w:r>
      <w:r w:rsidR="00923CAC" w:rsidRPr="006F7384">
        <w:t>nor</w:t>
      </w:r>
      <w:r w:rsidRPr="006F7384">
        <w:t xml:space="preserve"> does </w:t>
      </w:r>
      <w:r w:rsidR="00923CAC" w:rsidRPr="006F7384">
        <w:t xml:space="preserve">it </w:t>
      </w:r>
      <w:r w:rsidRPr="006F7384">
        <w:t xml:space="preserve">not state that failure to register it should prejudice the </w:t>
      </w:r>
      <w:r w:rsidR="00765304" w:rsidRPr="006F7384">
        <w:t>preference</w:t>
      </w:r>
      <w:r w:rsidRPr="006F7384">
        <w:t xml:space="preserve"> of the </w:t>
      </w:r>
      <w:r w:rsidR="00765304" w:rsidRPr="006F7384">
        <w:t>earlier purchaser</w:t>
      </w:r>
      <w:r w:rsidRPr="006F7384">
        <w:t xml:space="preserve"> over the </w:t>
      </w:r>
      <w:r w:rsidR="00923CAC" w:rsidRPr="006F7384">
        <w:t>later</w:t>
      </w:r>
      <w:r w:rsidRPr="006F7384">
        <w:t>. The late</w:t>
      </w:r>
      <w:r w:rsidR="00923CAC" w:rsidRPr="006F7384">
        <w:t>r, second,</w:t>
      </w:r>
      <w:r w:rsidRPr="006F7384">
        <w:t xml:space="preserve"> </w:t>
      </w:r>
      <w:r w:rsidR="00923CAC" w:rsidRPr="006F7384">
        <w:t>owner of rights</w:t>
      </w:r>
      <w:r w:rsidR="00765304" w:rsidRPr="006F7384">
        <w:t xml:space="preserve"> in this case</w:t>
      </w:r>
      <w:r w:rsidRPr="006F7384">
        <w:t xml:space="preserve"> </w:t>
      </w:r>
      <w:r w:rsidR="00923CAC" w:rsidRPr="006F7384">
        <w:t>(</w:t>
      </w:r>
      <w:r w:rsidRPr="006F7384">
        <w:t>Afek</w:t>
      </w:r>
      <w:r w:rsidR="00923CAC" w:rsidRPr="006F7384">
        <w:t>)</w:t>
      </w:r>
      <w:r w:rsidRPr="006F7384">
        <w:t>, argued that</w:t>
      </w:r>
      <w:r w:rsidR="00923CAC" w:rsidRPr="006F7384">
        <w:t>,</w:t>
      </w:r>
      <w:r w:rsidRPr="006F7384">
        <w:t xml:space="preserve"> despite these explicit provisions of the law, he should be preferred over the first purchaser due to </w:t>
      </w:r>
      <w:r w:rsidR="00923CAC" w:rsidRPr="006F7384">
        <w:t>his</w:t>
      </w:r>
      <w:r w:rsidRPr="006F7384">
        <w:t xml:space="preserve"> negligent </w:t>
      </w:r>
      <w:r w:rsidR="00923CAC" w:rsidRPr="006F7384">
        <w:t>failure</w:t>
      </w:r>
      <w:r w:rsidRPr="006F7384">
        <w:t xml:space="preserve">: </w:t>
      </w:r>
      <w:r w:rsidR="00923CAC" w:rsidRPr="006F7384">
        <w:t xml:space="preserve">he </w:t>
      </w:r>
      <w:r w:rsidR="00871BC5" w:rsidRPr="006F7384">
        <w:t>refrained</w:t>
      </w:r>
      <w:r w:rsidR="00923CAC" w:rsidRPr="006F7384">
        <w:t xml:space="preserve"> </w:t>
      </w:r>
      <w:r w:rsidRPr="006F7384">
        <w:t xml:space="preserve">for a very long time (seventeen years) </w:t>
      </w:r>
      <w:r w:rsidR="00923CAC" w:rsidRPr="006F7384">
        <w:t xml:space="preserve">from </w:t>
      </w:r>
      <w:r w:rsidRPr="006F7384">
        <w:t xml:space="preserve">recording a </w:t>
      </w:r>
      <w:r w:rsidR="00923CAC" w:rsidRPr="006F7384">
        <w:t>caveat</w:t>
      </w:r>
      <w:r w:rsidRPr="006F7384">
        <w:t xml:space="preserve"> notice in the land registry. As a result of this failure </w:t>
      </w:r>
      <w:r w:rsidR="00871BC5" w:rsidRPr="006F7384">
        <w:t>damage</w:t>
      </w:r>
      <w:r w:rsidR="00871BC5" w:rsidRPr="006F7384">
        <w:t xml:space="preserve"> </w:t>
      </w:r>
      <w:r w:rsidR="00871BC5" w:rsidRPr="006F7384">
        <w:t>was incurred by</w:t>
      </w:r>
      <w:r w:rsidRPr="006F7384">
        <w:t xml:space="preserve"> </w:t>
      </w:r>
      <w:r w:rsidR="00923CAC" w:rsidRPr="006F7384">
        <w:t>the second purchaser</w:t>
      </w:r>
      <w:r w:rsidRPr="006F7384">
        <w:t>: he did not know about the existence of the first</w:t>
      </w:r>
      <w:r w:rsidR="00923CAC" w:rsidRPr="006F7384">
        <w:t>,</w:t>
      </w:r>
      <w:r w:rsidRPr="006F7384">
        <w:t xml:space="preserve"> and </w:t>
      </w:r>
      <w:r w:rsidRPr="006F7384">
        <w:lastRenderedPageBreak/>
        <w:t>therefore entered into a contract to buy the property and even paid consideration and received possession of the property many years ago.</w:t>
      </w:r>
      <w:r w:rsidR="00923CAC" w:rsidRPr="006F7384">
        <w:rPr>
          <w:rStyle w:val="FootnoteReference"/>
        </w:rPr>
        <w:footnoteReference w:id="57"/>
      </w:r>
      <w:r w:rsidR="00871BC5" w:rsidRPr="006F7384">
        <w:t xml:space="preserve"> When the C</w:t>
      </w:r>
      <w:r w:rsidRPr="006F7384">
        <w:t xml:space="preserve">ourt encountered similar </w:t>
      </w:r>
      <w:r w:rsidR="00D23324" w:rsidRPr="006F7384">
        <w:t>issues</w:t>
      </w:r>
      <w:r w:rsidRPr="006F7384">
        <w:t xml:space="preserve"> </w:t>
      </w:r>
      <w:r w:rsidR="00D23324" w:rsidRPr="006F7384">
        <w:t>prior to</w:t>
      </w:r>
      <w:r w:rsidRPr="006F7384">
        <w:t xml:space="preserve"> the enactment of the Land Law, it could </w:t>
      </w:r>
      <w:r w:rsidR="00D23324" w:rsidRPr="006F7384">
        <w:t>resolve</w:t>
      </w:r>
      <w:r w:rsidRPr="006F7384">
        <w:t xml:space="preserve"> them by </w:t>
      </w:r>
      <w:r w:rsidR="00D23324" w:rsidRPr="006F7384">
        <w:t>integrating</w:t>
      </w:r>
      <w:r w:rsidRPr="006F7384">
        <w:t xml:space="preserve"> the doctrine of </w:t>
      </w:r>
      <w:r w:rsidR="00D23324" w:rsidRPr="006F7384">
        <w:t>estoppel</w:t>
      </w:r>
      <w:r w:rsidRPr="006F7384">
        <w:t xml:space="preserve"> from English law.</w:t>
      </w:r>
      <w:r w:rsidR="00D23324" w:rsidRPr="006F7384">
        <w:rPr>
          <w:rStyle w:val="FootnoteReference"/>
        </w:rPr>
        <w:footnoteReference w:id="58"/>
      </w:r>
      <w:r w:rsidRPr="006F7384">
        <w:t xml:space="preserve"> After the </w:t>
      </w:r>
      <w:r w:rsidR="00D23324" w:rsidRPr="006F7384">
        <w:t xml:space="preserve">enactment of the </w:t>
      </w:r>
      <w:r w:rsidRPr="006F7384">
        <w:t>Land Law</w:t>
      </w:r>
      <w:r w:rsidR="00D23324" w:rsidRPr="006F7384">
        <w:t>, this path</w:t>
      </w:r>
      <w:r w:rsidRPr="006F7384">
        <w:t xml:space="preserve"> was blocked, </w:t>
      </w:r>
      <w:r w:rsidR="00D23324" w:rsidRPr="006F7384">
        <w:t xml:space="preserve">since the legislation </w:t>
      </w:r>
      <w:r w:rsidR="00871BC5" w:rsidRPr="006F7384">
        <w:t>established explicitly</w:t>
      </w:r>
      <w:r w:rsidRPr="006F7384">
        <w:t xml:space="preserve"> that there are no rights </w:t>
      </w:r>
      <w:r w:rsidR="004127CE">
        <w:t xml:space="preserve">stemming from equity </w:t>
      </w:r>
      <w:r w:rsidRPr="006F7384">
        <w:t xml:space="preserve">and that any </w:t>
      </w:r>
      <w:r w:rsidR="00871BC5" w:rsidRPr="006F7384">
        <w:t>re</w:t>
      </w:r>
      <w:r w:rsidRPr="006F7384">
        <w:t xml:space="preserve">solution should be based on original Israeli legislation. During the thirty years that passed </w:t>
      </w:r>
      <w:r w:rsidR="00D23324" w:rsidRPr="006F7384">
        <w:t>between</w:t>
      </w:r>
      <w:r w:rsidRPr="006F7384">
        <w:t xml:space="preserve"> the enactment of the Land Law </w:t>
      </w:r>
      <w:r w:rsidR="00D23324" w:rsidRPr="006F7384">
        <w:t xml:space="preserve">and </w:t>
      </w:r>
      <w:r w:rsidRPr="006F7384">
        <w:t xml:space="preserve">the Ganz </w:t>
      </w:r>
      <w:r w:rsidR="00D23324" w:rsidRPr="006F7384">
        <w:t>case</w:t>
      </w:r>
      <w:r w:rsidRPr="006F7384">
        <w:t xml:space="preserve">, the Supreme Court consistently refused to add to the Israeli legislation conditions that </w:t>
      </w:r>
      <w:r w:rsidR="00D23324" w:rsidRPr="006F7384">
        <w:t>had</w:t>
      </w:r>
      <w:r w:rsidRPr="006F7384">
        <w:t xml:space="preserve"> not </w:t>
      </w:r>
      <w:r w:rsidR="00D23324" w:rsidRPr="006F7384">
        <w:t xml:space="preserve">been </w:t>
      </w:r>
      <w:r w:rsidRPr="006F7384">
        <w:t xml:space="preserve">written in it. </w:t>
      </w:r>
      <w:r w:rsidR="00D23324" w:rsidRPr="006F7384">
        <w:t>The Court</w:t>
      </w:r>
      <w:r w:rsidRPr="006F7384">
        <w:t xml:space="preserve"> refused to </w:t>
      </w:r>
      <w:r w:rsidR="00D23324" w:rsidRPr="006F7384">
        <w:t xml:space="preserve">rule that there is an obligation to register </w:t>
      </w:r>
      <w:r w:rsidRPr="006F7384">
        <w:t xml:space="preserve">a warning </w:t>
      </w:r>
      <w:r w:rsidR="00D23324" w:rsidRPr="006F7384">
        <w:t>caveat</w:t>
      </w:r>
      <w:r w:rsidRPr="006F7384">
        <w:t xml:space="preserve"> and also refused to determine that </w:t>
      </w:r>
      <w:r w:rsidR="005A123F" w:rsidRPr="006F7384">
        <w:t xml:space="preserve">any failure in the first transaction time-wise bears significance </w:t>
      </w:r>
      <w:r w:rsidRPr="006F7384">
        <w:t xml:space="preserve">in </w:t>
      </w:r>
      <w:r w:rsidR="005A123F" w:rsidRPr="006F7384">
        <w:t>a</w:t>
      </w:r>
      <w:r w:rsidRPr="006F7384">
        <w:t xml:space="preserve"> competition betwe</w:t>
      </w:r>
      <w:r w:rsidR="005A123F" w:rsidRPr="006F7384">
        <w:t>en two conflicting transactions</w:t>
      </w:r>
      <w:r w:rsidRPr="006F7384">
        <w:t xml:space="preserve">. </w:t>
      </w:r>
      <w:r w:rsidR="005A123F" w:rsidRPr="006F7384">
        <w:t>It</w:t>
      </w:r>
      <w:r w:rsidRPr="006F7384">
        <w:t xml:space="preserve"> </w:t>
      </w:r>
      <w:r w:rsidR="005A123F" w:rsidRPr="006F7384">
        <w:t>insisted upon this point even</w:t>
      </w:r>
      <w:r w:rsidRPr="006F7384">
        <w:t xml:space="preserve"> when </w:t>
      </w:r>
      <w:r w:rsidR="005A123F" w:rsidRPr="006F7384">
        <w:t xml:space="preserve">adamant </w:t>
      </w:r>
      <w:r w:rsidRPr="006F7384">
        <w:t xml:space="preserve">academic criticism provided a </w:t>
      </w:r>
      <w:r w:rsidR="005A123F" w:rsidRPr="006F7384">
        <w:t>compelling</w:t>
      </w:r>
      <w:r w:rsidRPr="006F7384">
        <w:t xml:space="preserve"> </w:t>
      </w:r>
      <w:r w:rsidR="005A123F" w:rsidRPr="006F7384">
        <w:t>substantive</w:t>
      </w:r>
      <w:r w:rsidRPr="006F7384">
        <w:t xml:space="preserve"> reason for changing the </w:t>
      </w:r>
      <w:r w:rsidR="005A123F" w:rsidRPr="006F7384">
        <w:t>rule</w:t>
      </w:r>
      <w:r w:rsidRPr="006F7384">
        <w:t xml:space="preserve">. The main argument </w:t>
      </w:r>
      <w:r w:rsidR="005A123F" w:rsidRPr="006F7384">
        <w:t>put forth by</w:t>
      </w:r>
      <w:r w:rsidRPr="006F7384">
        <w:t xml:space="preserve"> critics was that it is necessary to prevent damage to others and to prevent </w:t>
      </w:r>
      <w:r w:rsidR="005A123F" w:rsidRPr="006F7384">
        <w:t>the failures that cause such damage</w:t>
      </w:r>
      <w:r w:rsidRPr="006F7384">
        <w:t xml:space="preserve">, </w:t>
      </w:r>
      <w:r w:rsidR="005A123F" w:rsidRPr="006F7384">
        <w:t>for example,</w:t>
      </w:r>
      <w:r w:rsidRPr="006F7384">
        <w:t xml:space="preserve"> </w:t>
      </w:r>
      <w:r w:rsidR="005A123F" w:rsidRPr="006F7384">
        <w:t xml:space="preserve">the failure to register a caveat, </w:t>
      </w:r>
      <w:r w:rsidRPr="006F7384">
        <w:t xml:space="preserve">by imposing responsibility for their consequences. When </w:t>
      </w:r>
      <w:r w:rsidR="005A123F" w:rsidRPr="006F7384">
        <w:t>the</w:t>
      </w:r>
      <w:r w:rsidRPr="006F7384">
        <w:t xml:space="preserve"> </w:t>
      </w:r>
      <w:r w:rsidR="005A123F" w:rsidRPr="006F7384">
        <w:t xml:space="preserve">right </w:t>
      </w:r>
      <w:r w:rsidRPr="006F7384">
        <w:t xml:space="preserve">holder </w:t>
      </w:r>
      <w:r w:rsidR="005A123F" w:rsidRPr="006F7384">
        <w:t>in</w:t>
      </w:r>
      <w:r w:rsidRPr="006F7384">
        <w:t xml:space="preserve"> an earl</w:t>
      </w:r>
      <w:r w:rsidR="005A123F" w:rsidRPr="006F7384">
        <w:t>ier</w:t>
      </w:r>
      <w:r w:rsidRPr="006F7384">
        <w:t xml:space="preserve"> transaction did not record a </w:t>
      </w:r>
      <w:r w:rsidR="005A123F" w:rsidRPr="006F7384">
        <w:t>caveat</w:t>
      </w:r>
      <w:r w:rsidRPr="006F7384">
        <w:t xml:space="preserve"> and this omission </w:t>
      </w:r>
      <w:r w:rsidR="005A123F" w:rsidRPr="006F7384">
        <w:t>led to</w:t>
      </w:r>
      <w:r w:rsidRPr="006F7384">
        <w:t xml:space="preserve"> the engagement in good faith and in exchange for a late</w:t>
      </w:r>
      <w:r w:rsidR="005A123F" w:rsidRPr="006F7384">
        <w:t>r</w:t>
      </w:r>
      <w:r w:rsidRPr="006F7384">
        <w:t xml:space="preserve"> transaction</w:t>
      </w:r>
      <w:r w:rsidR="005A123F" w:rsidRPr="006F7384">
        <w:t>,</w:t>
      </w:r>
      <w:r w:rsidRPr="006F7384">
        <w:t xml:space="preserve"> the </w:t>
      </w:r>
      <w:r w:rsidR="005A123F" w:rsidRPr="006F7384">
        <w:t>precedence</w:t>
      </w:r>
      <w:r w:rsidRPr="006F7384">
        <w:t xml:space="preserve"> of </w:t>
      </w:r>
      <w:r w:rsidR="00513189" w:rsidRPr="006F7384">
        <w:t xml:space="preserve">the negligent party responsible for the failure </w:t>
      </w:r>
      <w:r w:rsidRPr="006F7384">
        <w:t>should be revoked.</w:t>
      </w:r>
      <w:r w:rsidR="00513189" w:rsidRPr="006F7384">
        <w:rPr>
          <w:rStyle w:val="FootnoteReference"/>
        </w:rPr>
        <w:footnoteReference w:id="59"/>
      </w:r>
      <w:r w:rsidRPr="006F7384">
        <w:t xml:space="preserve"> </w:t>
      </w:r>
      <w:r w:rsidR="00513189" w:rsidRPr="006F7384">
        <w:t>For many years, the C</w:t>
      </w:r>
      <w:r w:rsidRPr="006F7384">
        <w:t xml:space="preserve">ourt, including Justice Barak, refused to accept the recommendations of its critics, despite explicit identification with their rationales. The main </w:t>
      </w:r>
      <w:r w:rsidR="00513189" w:rsidRPr="006F7384">
        <w:t>reason</w:t>
      </w:r>
      <w:r w:rsidRPr="006F7384">
        <w:t xml:space="preserve"> for this refusal lay in the explicit </w:t>
      </w:r>
      <w:r w:rsidRPr="006F7384">
        <w:lastRenderedPageBreak/>
        <w:t>provisions of the law: the law does not impose any express obligation on the owner of the transaction.</w:t>
      </w:r>
      <w:r w:rsidR="00513189" w:rsidRPr="006F7384">
        <w:rPr>
          <w:rStyle w:val="FootnoteReference"/>
        </w:rPr>
        <w:footnoteReference w:id="60"/>
      </w:r>
      <w:r w:rsidRPr="006F7384">
        <w:t xml:space="preserve"> This was a clear example of judicial conservatism.</w:t>
      </w:r>
    </w:p>
    <w:p w14:paraId="6F04A9D6" w14:textId="1A5CF85C" w:rsidR="00F275CB" w:rsidRPr="006F7384" w:rsidRDefault="007771BD" w:rsidP="009A7DCB">
      <w:pPr>
        <w:bidi w:val="0"/>
        <w:spacing w:line="480" w:lineRule="auto"/>
        <w:jc w:val="both"/>
      </w:pPr>
      <w:r w:rsidRPr="006F7384">
        <w:t xml:space="preserve">The Supreme Court’s conservatism ended with the Ganz case. The Court’s first task was to find an article in original Israeli law upon which to base the overruling of Ganz's </w:t>
      </w:r>
      <w:r w:rsidR="00871BC5" w:rsidRPr="006F7384">
        <w:t>priority</w:t>
      </w:r>
      <w:r w:rsidRPr="006F7384">
        <w:t xml:space="preserve"> (Ganz was the earlier rights-owner, whose years-long failure caused damage to</w:t>
      </w:r>
      <w:r w:rsidR="00F275CB" w:rsidRPr="006F7384">
        <w:t xml:space="preserve"> Afek). Although the C</w:t>
      </w:r>
      <w:r w:rsidRPr="006F7384">
        <w:t xml:space="preserve">ourt had argued </w:t>
      </w:r>
      <w:r w:rsidR="00871BC5" w:rsidRPr="006F7384">
        <w:t xml:space="preserve">for years </w:t>
      </w:r>
      <w:r w:rsidRPr="006F7384">
        <w:t xml:space="preserve">that there was no such clause, </w:t>
      </w:r>
      <w:r w:rsidR="00F275CB" w:rsidRPr="006F7384">
        <w:t xml:space="preserve">it now found it easily, right </w:t>
      </w:r>
      <w:r w:rsidRPr="006F7384">
        <w:t xml:space="preserve">under </w:t>
      </w:r>
      <w:r w:rsidR="00F275CB" w:rsidRPr="006F7384">
        <w:t>its nose</w:t>
      </w:r>
      <w:r w:rsidRPr="006F7384">
        <w:t xml:space="preserve">. </w:t>
      </w:r>
      <w:r w:rsidR="00F275CB" w:rsidRPr="006F7384">
        <w:t>W</w:t>
      </w:r>
      <w:r w:rsidRPr="006F7384">
        <w:t xml:space="preserve">ith the support of some but not all of </w:t>
      </w:r>
      <w:r w:rsidR="00F275CB" w:rsidRPr="006F7384">
        <w:t>his fellow</w:t>
      </w:r>
      <w:r w:rsidRPr="006F7384">
        <w:t xml:space="preserve"> </w:t>
      </w:r>
      <w:r w:rsidR="00F275CB" w:rsidRPr="006F7384">
        <w:t>justices</w:t>
      </w:r>
      <w:r w:rsidRPr="006F7384">
        <w:t xml:space="preserve">, </w:t>
      </w:r>
      <w:r w:rsidR="00F275CB" w:rsidRPr="006F7384">
        <w:t xml:space="preserve">Justice Barak </w:t>
      </w:r>
      <w:r w:rsidRPr="006F7384">
        <w:t xml:space="preserve">ruled that the obligation to prevent damage, as well as the obligation to </w:t>
      </w:r>
      <w:r w:rsidR="00F275CB" w:rsidRPr="006F7384">
        <w:t xml:space="preserve">register a warning </w:t>
      </w:r>
      <w:r w:rsidR="00871BC5" w:rsidRPr="006F7384">
        <w:t>c</w:t>
      </w:r>
      <w:r w:rsidR="00F275CB" w:rsidRPr="006F7384">
        <w:t>aveat</w:t>
      </w:r>
      <w:r w:rsidRPr="006F7384">
        <w:t xml:space="preserve"> in order to prevent it, stems from a general principle that applies in Israeli law: the principle of good faith. Barak presents this principle at the beginning of his </w:t>
      </w:r>
      <w:r w:rsidR="00871BC5" w:rsidRPr="006F7384">
        <w:t>r</w:t>
      </w:r>
      <w:r w:rsidR="00F275CB" w:rsidRPr="006F7384">
        <w:t>uling</w:t>
      </w:r>
      <w:r w:rsidRPr="006F7384">
        <w:t xml:space="preserve"> in </w:t>
      </w:r>
      <w:r w:rsidR="00F275CB" w:rsidRPr="006F7384">
        <w:t xml:space="preserve">the </w:t>
      </w:r>
      <w:r w:rsidRPr="006F7384">
        <w:t>Ganz</w:t>
      </w:r>
      <w:r w:rsidR="00F275CB" w:rsidRPr="006F7384">
        <w:t xml:space="preserve"> case</w:t>
      </w:r>
      <w:r w:rsidRPr="006F7384">
        <w:t>:</w:t>
      </w:r>
    </w:p>
    <w:p w14:paraId="20F472D3" w14:textId="42B82ED1" w:rsidR="007771BD" w:rsidRPr="006F7384" w:rsidRDefault="007771BD" w:rsidP="00BD3F61">
      <w:pPr>
        <w:bidi w:val="0"/>
        <w:spacing w:line="480" w:lineRule="auto"/>
        <w:jc w:val="both"/>
      </w:pPr>
      <w:r w:rsidRPr="006F7384">
        <w:t>"The general doctrines of the law apply to all parts of the law</w:t>
      </w:r>
      <w:r w:rsidR="00F275CB" w:rsidRPr="006F7384">
        <w:t>.</w:t>
      </w:r>
      <w:r w:rsidRPr="006F7384">
        <w:t xml:space="preserve"> </w:t>
      </w:r>
      <w:r w:rsidR="00F275CB" w:rsidRPr="006F7384">
        <w:t>S</w:t>
      </w:r>
      <w:r w:rsidRPr="006F7384">
        <w:t>pecific legislat</w:t>
      </w:r>
      <w:r w:rsidR="00036A08" w:rsidRPr="006F7384">
        <w:t>ion does not stand in isolation</w:t>
      </w:r>
      <w:r w:rsidRPr="006F7384">
        <w:t>... One of those general doctrines that apply in all areas of law</w:t>
      </w:r>
      <w:r w:rsidR="00036A08" w:rsidRPr="006F7384">
        <w:t xml:space="preserve"> is the principle of good faith</w:t>
      </w:r>
      <w:r w:rsidRPr="006F7384">
        <w:t xml:space="preserve">... Good faith sets an objective criterion of fair conduct by a right holder </w:t>
      </w:r>
      <w:r w:rsidR="00F275CB" w:rsidRPr="006F7384">
        <w:t>w</w:t>
      </w:r>
      <w:r w:rsidRPr="006F7384">
        <w:t>ho seeks</w:t>
      </w:r>
      <w:r w:rsidR="00036A08" w:rsidRPr="006F7384">
        <w:t xml:space="preserve"> to realize their self-interest</w:t>
      </w:r>
      <w:r w:rsidRPr="006F7384">
        <w:t>, against the background of the overall social interest</w:t>
      </w:r>
      <w:r w:rsidR="00036A08" w:rsidRPr="006F7384">
        <w:t xml:space="preserve"> and</w:t>
      </w:r>
      <w:r w:rsidRPr="006F7384">
        <w:t xml:space="preserve"> taking into consideration the interests of other</w:t>
      </w:r>
      <w:r w:rsidR="00036A08" w:rsidRPr="006F7384">
        <w:t>s</w:t>
      </w:r>
      <w:r w:rsidRPr="006F7384">
        <w:t>... The principle of good faith also applies within the framework of the laws</w:t>
      </w:r>
      <w:r w:rsidR="00036A08" w:rsidRPr="006F7384">
        <w:t xml:space="preserve"> of property...</w:t>
      </w:r>
      <w:r w:rsidRPr="006F7384">
        <w:t>"</w:t>
      </w:r>
      <w:r w:rsidR="00856528" w:rsidRPr="006F7384">
        <w:rPr>
          <w:rStyle w:val="FootnoteReference"/>
        </w:rPr>
        <w:footnoteReference w:id="61"/>
      </w:r>
    </w:p>
    <w:p w14:paraId="7903DAE4" w14:textId="68A11888" w:rsidR="002D15CD" w:rsidRPr="006F7384" w:rsidRDefault="002D15CD" w:rsidP="009A7DCB">
      <w:pPr>
        <w:bidi w:val="0"/>
        <w:spacing w:line="480" w:lineRule="auto"/>
        <w:jc w:val="both"/>
      </w:pPr>
      <w:r w:rsidRPr="006F7384">
        <w:t>Of course, Barak did not "discover" this principle when he came to the Ganz case. It is mentioned as a general principle in various Israeli legislation,</w:t>
      </w:r>
      <w:r w:rsidR="00884B85">
        <w:rPr>
          <w:rStyle w:val="FootnoteReference"/>
        </w:rPr>
        <w:footnoteReference w:id="62"/>
      </w:r>
      <w:r w:rsidRPr="006F7384">
        <w:t xml:space="preserve"> and over the decades preceding the Ganz case many scholarly articles were written about it, some of which even suggested establishing principles based on the doctrine of estoppel in English </w:t>
      </w:r>
      <w:r w:rsidRPr="006F7384">
        <w:lastRenderedPageBreak/>
        <w:t>law.</w:t>
      </w:r>
      <w:r w:rsidRPr="006F7384">
        <w:rPr>
          <w:rStyle w:val="FootnoteReference"/>
        </w:rPr>
        <w:footnoteReference w:id="63"/>
      </w:r>
      <w:r w:rsidRPr="006F7384">
        <w:t xml:space="preserve"> Barak himself had mentioned and developed this principle in previous rulings.</w:t>
      </w:r>
      <w:r w:rsidRPr="006F7384">
        <w:rPr>
          <w:rStyle w:val="FootnoteReference"/>
        </w:rPr>
        <w:footnoteReference w:id="64"/>
      </w:r>
      <w:r w:rsidRPr="006F7384">
        <w:t xml:space="preserve"> He even defined the way in which the ruling dealt with it as "salutary."</w:t>
      </w:r>
      <w:r w:rsidRPr="006F7384">
        <w:rPr>
          <w:rStyle w:val="FootnoteReference"/>
        </w:rPr>
        <w:footnoteReference w:id="65"/>
      </w:r>
      <w:r w:rsidRPr="006F7384">
        <w:t xml:space="preserve"> It is a very convenient and flexible platform for interpretive creativity</w:t>
      </w:r>
      <w:r w:rsidR="00817E92" w:rsidRPr="006F7384">
        <w:t xml:space="preserve"> in ruling</w:t>
      </w:r>
      <w:r w:rsidRPr="006F7384">
        <w:t xml:space="preserve">. </w:t>
      </w:r>
      <w:r w:rsidR="003C7249" w:rsidRPr="006F7384">
        <w:t xml:space="preserve">However, it was only adopted in the Ganz case, </w:t>
      </w:r>
      <w:r w:rsidR="00817E92" w:rsidRPr="006F7384">
        <w:t xml:space="preserve">after </w:t>
      </w:r>
      <w:r w:rsidRPr="006F7384">
        <w:t xml:space="preserve">thirty years, in order to bring about </w:t>
      </w:r>
      <w:r w:rsidR="003C7249" w:rsidRPr="006F7384">
        <w:t>the</w:t>
      </w:r>
      <w:r w:rsidRPr="006F7384">
        <w:t xml:space="preserve"> change in </w:t>
      </w:r>
      <w:r w:rsidR="00817E92" w:rsidRPr="006F7384">
        <w:t>immovable</w:t>
      </w:r>
      <w:r w:rsidR="003C7249" w:rsidRPr="006F7384">
        <w:t xml:space="preserve"> </w:t>
      </w:r>
      <w:r w:rsidRPr="006F7384">
        <w:t>property laws that Barak himself had hesitated to implement in the past.</w:t>
      </w:r>
      <w:r w:rsidRPr="006F7384">
        <w:br/>
        <w:t>   </w:t>
      </w:r>
      <w:r w:rsidR="003C7249" w:rsidRPr="006F7384">
        <w:t>Once</w:t>
      </w:r>
      <w:r w:rsidRPr="006F7384">
        <w:t xml:space="preserve"> the principle was </w:t>
      </w:r>
      <w:r w:rsidR="003C7249" w:rsidRPr="006F7384">
        <w:t>identified</w:t>
      </w:r>
      <w:r w:rsidRPr="006F7384">
        <w:t xml:space="preserve">, Barak </w:t>
      </w:r>
      <w:r w:rsidR="003C7249" w:rsidRPr="006F7384">
        <w:t>was left with the task of imbuing it with substance</w:t>
      </w:r>
      <w:r w:rsidRPr="006F7384">
        <w:t>. Barak adopt</w:t>
      </w:r>
      <w:r w:rsidR="003C7249" w:rsidRPr="006F7384">
        <w:t>ed</w:t>
      </w:r>
      <w:r w:rsidRPr="006F7384">
        <w:t xml:space="preserve"> the critical arguments of academic scholars as to why a purchaser of real estate must be </w:t>
      </w:r>
      <w:r w:rsidR="003C7249" w:rsidRPr="006F7384">
        <w:t>charged with registering</w:t>
      </w:r>
      <w:r w:rsidRPr="006F7384">
        <w:t xml:space="preserve"> a caveat: </w:t>
      </w:r>
      <w:r w:rsidR="003C7249" w:rsidRPr="006F7384">
        <w:t>To avoid recording</w:t>
      </w:r>
      <w:r w:rsidRPr="006F7384">
        <w:t xml:space="preserve"> the </w:t>
      </w:r>
      <w:r w:rsidR="003C7249" w:rsidRPr="006F7384">
        <w:t>caveat</w:t>
      </w:r>
      <w:r w:rsidRPr="006F7384">
        <w:t xml:space="preserve"> </w:t>
      </w:r>
      <w:r w:rsidR="003C7249" w:rsidRPr="006F7384">
        <w:t>causes</w:t>
      </w:r>
      <w:r w:rsidRPr="006F7384">
        <w:t xml:space="preserve"> a "legal </w:t>
      </w:r>
      <w:r w:rsidR="003C7249" w:rsidRPr="006F7384">
        <w:t>accident</w:t>
      </w:r>
      <w:r w:rsidRPr="006F7384">
        <w:t>" for the late</w:t>
      </w:r>
      <w:r w:rsidR="003C7249" w:rsidRPr="006F7384">
        <w:t>r</w:t>
      </w:r>
      <w:r w:rsidRPr="006F7384">
        <w:t xml:space="preserve"> purchaser and therefore</w:t>
      </w:r>
      <w:r w:rsidR="003C7249" w:rsidRPr="006F7384">
        <w:t>,</w:t>
      </w:r>
      <w:r w:rsidRPr="006F7384">
        <w:t xml:space="preserve"> </w:t>
      </w:r>
      <w:r w:rsidR="003C7249" w:rsidRPr="006F7384">
        <w:t xml:space="preserve">it is </w:t>
      </w:r>
      <w:r w:rsidRPr="006F7384">
        <w:t>the duty of the first</w:t>
      </w:r>
      <w:r w:rsidR="003C7249" w:rsidRPr="006F7384">
        <w:t xml:space="preserve"> purchase</w:t>
      </w:r>
      <w:r w:rsidR="00817E92" w:rsidRPr="006F7384">
        <w:t>r</w:t>
      </w:r>
      <w:r w:rsidRPr="006F7384">
        <w:t xml:space="preserve"> </w:t>
      </w:r>
      <w:r w:rsidR="003C7249" w:rsidRPr="006F7384">
        <w:t>to prevent that</w:t>
      </w:r>
      <w:r w:rsidRPr="006F7384">
        <w:t xml:space="preserve"> </w:t>
      </w:r>
      <w:r w:rsidR="003C7249" w:rsidRPr="006F7384">
        <w:t>mishap</w:t>
      </w:r>
      <w:r w:rsidRPr="006F7384">
        <w:t>.</w:t>
      </w:r>
      <w:r w:rsidR="003C7249" w:rsidRPr="006F7384">
        <w:rPr>
          <w:rStyle w:val="FootnoteReference"/>
        </w:rPr>
        <w:footnoteReference w:id="66"/>
      </w:r>
      <w:r w:rsidRPr="006F7384">
        <w:t xml:space="preserve"> </w:t>
      </w:r>
      <w:r w:rsidR="003C7249" w:rsidRPr="006F7384">
        <w:t>All that remained, then</w:t>
      </w:r>
      <w:r w:rsidRPr="006F7384">
        <w:t xml:space="preserve">, </w:t>
      </w:r>
      <w:r w:rsidR="003C7249" w:rsidRPr="006F7384">
        <w:t xml:space="preserve">was for </w:t>
      </w:r>
      <w:r w:rsidRPr="006F7384">
        <w:t xml:space="preserve">Barak to formulate the obligation by means of judicial legislation </w:t>
      </w:r>
      <w:r w:rsidR="003C7249" w:rsidRPr="006F7384">
        <w:t>of his own device:</w:t>
      </w:r>
    </w:p>
    <w:p w14:paraId="23F1632D" w14:textId="11DF5EC4" w:rsidR="00DB2725" w:rsidRPr="006F7384" w:rsidRDefault="003C7249" w:rsidP="009A7DCB">
      <w:pPr>
        <w:bidi w:val="0"/>
        <w:spacing w:line="480" w:lineRule="auto"/>
        <w:jc w:val="both"/>
      </w:pPr>
      <w:r w:rsidRPr="006F7384">
        <w:t xml:space="preserve">"... The principle of good faith requires that the owner of the first transaction act fairly, taking into </w:t>
      </w:r>
      <w:r w:rsidR="00DB2725" w:rsidRPr="006F7384">
        <w:t>consideration</w:t>
      </w:r>
      <w:r w:rsidRPr="006F7384">
        <w:t xml:space="preserve"> the reasonable expectation of the owner of the second transaction</w:t>
      </w:r>
      <w:r w:rsidR="00DB2725" w:rsidRPr="006F7384">
        <w:t>.</w:t>
      </w:r>
      <w:r w:rsidRPr="006F7384">
        <w:t xml:space="preserve"> </w:t>
      </w:r>
      <w:r w:rsidR="00817E92" w:rsidRPr="006F7384">
        <w:t xml:space="preserve">From this </w:t>
      </w:r>
      <w:r w:rsidR="00817E92" w:rsidRPr="006F7384">
        <w:t>principle of good faith</w:t>
      </w:r>
      <w:r w:rsidR="00817E92" w:rsidRPr="006F7384">
        <w:t xml:space="preserve"> is derived</w:t>
      </w:r>
      <w:r w:rsidRPr="006F7384">
        <w:t xml:space="preserve"> the </w:t>
      </w:r>
      <w:r w:rsidR="00DB2725" w:rsidRPr="006F7384">
        <w:t>obligation</w:t>
      </w:r>
      <w:r w:rsidR="00817E92" w:rsidRPr="006F7384">
        <w:t xml:space="preserve">, in principle, </w:t>
      </w:r>
      <w:r w:rsidR="00DB2725" w:rsidRPr="006F7384">
        <w:t>of the first transaction owner to do his best to record a caveat so as to prevent the owner of the second transaction from entering into contract with</w:t>
      </w:r>
      <w:r w:rsidR="00817E92" w:rsidRPr="006F7384">
        <w:t xml:space="preserve"> the seller</w:t>
      </w:r>
      <w:r w:rsidR="00DB2725" w:rsidRPr="006F7384">
        <w:t>.</w:t>
      </w:r>
      <w:r w:rsidRPr="006F7384">
        <w:t>"</w:t>
      </w:r>
      <w:r w:rsidR="00DB2725" w:rsidRPr="006F7384">
        <w:rPr>
          <w:rStyle w:val="FootnoteReference"/>
        </w:rPr>
        <w:footnoteReference w:id="67"/>
      </w:r>
    </w:p>
    <w:p w14:paraId="7E76830B" w14:textId="34418660" w:rsidR="003C7249" w:rsidRPr="006F7384" w:rsidRDefault="00DB2725" w:rsidP="009A7DCB">
      <w:pPr>
        <w:bidi w:val="0"/>
        <w:spacing w:line="480" w:lineRule="auto"/>
        <w:jc w:val="both"/>
      </w:pPr>
      <w:r w:rsidRPr="006F7384">
        <w:t>A</w:t>
      </w:r>
      <w:r w:rsidR="003C7249" w:rsidRPr="006F7384">
        <w:t>s a judicial legislator</w:t>
      </w:r>
      <w:r w:rsidRPr="006F7384">
        <w:t>,</w:t>
      </w:r>
      <w:r w:rsidR="003C7249" w:rsidRPr="006F7384">
        <w:t xml:space="preserve"> </w:t>
      </w:r>
      <w:r w:rsidRPr="006F7384">
        <w:t xml:space="preserve">Barak </w:t>
      </w:r>
      <w:r w:rsidR="003C7249" w:rsidRPr="006F7384">
        <w:t xml:space="preserve">was not satisfied with </w:t>
      </w:r>
      <w:r w:rsidR="003246EF" w:rsidRPr="006F7384">
        <w:t>merely determining</w:t>
      </w:r>
      <w:r w:rsidR="003C7249" w:rsidRPr="006F7384">
        <w:t xml:space="preserve"> the principle</w:t>
      </w:r>
      <w:r w:rsidR="003246EF" w:rsidRPr="006F7384">
        <w:t>,</w:t>
      </w:r>
      <w:r w:rsidR="003C7249" w:rsidRPr="006F7384">
        <w:t xml:space="preserve"> and </w:t>
      </w:r>
      <w:r w:rsidR="003246EF" w:rsidRPr="006F7384">
        <w:t xml:space="preserve">he </w:t>
      </w:r>
      <w:r w:rsidR="003C7249" w:rsidRPr="006F7384">
        <w:t xml:space="preserve">continued to set </w:t>
      </w:r>
      <w:r w:rsidR="003246EF" w:rsidRPr="006F7384">
        <w:t>qualifications</w:t>
      </w:r>
      <w:r w:rsidRPr="006F7384">
        <w:t>:</w:t>
      </w:r>
      <w:r w:rsidR="003C7249" w:rsidRPr="006F7384">
        <w:t xml:space="preserve"> Some were </w:t>
      </w:r>
      <w:r w:rsidRPr="006F7384">
        <w:t xml:space="preserve">obiter dicta </w:t>
      </w:r>
      <w:r w:rsidR="003C7249" w:rsidRPr="006F7384">
        <w:t xml:space="preserve">that had nothing to do with the facts of the case </w:t>
      </w:r>
      <w:r w:rsidRPr="006F7384">
        <w:t>at hand</w:t>
      </w:r>
      <w:r w:rsidR="003C7249" w:rsidRPr="006F7384">
        <w:t xml:space="preserve">. One was so general that </w:t>
      </w:r>
      <w:r w:rsidRPr="006F7384">
        <w:t xml:space="preserve">it </w:t>
      </w:r>
      <w:r w:rsidR="001006B7" w:rsidRPr="006F7384">
        <w:t>allowed for</w:t>
      </w:r>
      <w:r w:rsidRPr="006F7384">
        <w:t xml:space="preserve"> the C</w:t>
      </w:r>
      <w:r w:rsidR="003C7249" w:rsidRPr="006F7384">
        <w:t>ourt</w:t>
      </w:r>
      <w:r w:rsidR="001006B7" w:rsidRPr="006F7384">
        <w:t>,</w:t>
      </w:r>
      <w:r w:rsidR="003C7249" w:rsidRPr="006F7384">
        <w:t xml:space="preserve"> </w:t>
      </w:r>
      <w:r w:rsidR="001006B7" w:rsidRPr="006F7384">
        <w:t xml:space="preserve">in the future, to </w:t>
      </w:r>
      <w:r w:rsidR="003C7249" w:rsidRPr="006F7384">
        <w:t xml:space="preserve">qualify the rule no less freely than the way it </w:t>
      </w:r>
      <w:r w:rsidR="001006B7" w:rsidRPr="006F7384">
        <w:t>was set</w:t>
      </w:r>
      <w:r w:rsidR="003C7249" w:rsidRPr="006F7384">
        <w:t xml:space="preserve">. Thus, Barak ruled </w:t>
      </w:r>
      <w:r w:rsidR="003C7249" w:rsidRPr="006F7384">
        <w:lastRenderedPageBreak/>
        <w:t xml:space="preserve">that refraining from recording a </w:t>
      </w:r>
      <w:r w:rsidR="001006B7" w:rsidRPr="006F7384">
        <w:t>caveat</w:t>
      </w:r>
      <w:r w:rsidR="003C7249" w:rsidRPr="006F7384">
        <w:t xml:space="preserve"> wo</w:t>
      </w:r>
      <w:r w:rsidR="001006B7" w:rsidRPr="006F7384">
        <w:t xml:space="preserve">uld not be considered a failure </w:t>
      </w:r>
      <w:r w:rsidR="003C7249" w:rsidRPr="006F7384">
        <w:t xml:space="preserve">"if under the circumstances there are weighty considerations of a legal policy that justify the absence of a </w:t>
      </w:r>
      <w:r w:rsidR="001006B7" w:rsidRPr="006F7384">
        <w:t>caveat</w:t>
      </w:r>
      <w:r w:rsidR="003C7249" w:rsidRPr="006F7384">
        <w:t>."</w:t>
      </w:r>
      <w:r w:rsidR="001006B7" w:rsidRPr="006F7384">
        <w:rPr>
          <w:rStyle w:val="FootnoteReference"/>
        </w:rPr>
        <w:footnoteReference w:id="68"/>
      </w:r>
      <w:r w:rsidR="003C7249" w:rsidRPr="006F7384">
        <w:t xml:space="preserve"> He also </w:t>
      </w:r>
      <w:r w:rsidR="001006B7" w:rsidRPr="006F7384">
        <w:t>provided</w:t>
      </w:r>
      <w:r w:rsidR="003C7249" w:rsidRPr="006F7384">
        <w:t xml:space="preserve"> an example of such a consideration: </w:t>
      </w:r>
      <w:r w:rsidR="001006B7" w:rsidRPr="006F7384">
        <w:t>one</w:t>
      </w:r>
      <w:r w:rsidR="003C7249" w:rsidRPr="006F7384">
        <w:t xml:space="preserve"> spouse's failure to </w:t>
      </w:r>
      <w:r w:rsidR="001006B7" w:rsidRPr="006F7384">
        <w:t>register a caveat regarding</w:t>
      </w:r>
      <w:r w:rsidR="003C7249" w:rsidRPr="006F7384">
        <w:t xml:space="preserve"> about the property of </w:t>
      </w:r>
      <w:r w:rsidR="001006B7" w:rsidRPr="006F7384">
        <w:t>the other</w:t>
      </w:r>
      <w:r w:rsidR="003C7249" w:rsidRPr="006F7384">
        <w:t xml:space="preserve"> spouse "for reasons of family unity</w:t>
      </w:r>
      <w:r w:rsidR="001006B7" w:rsidRPr="006F7384">
        <w:t>.</w:t>
      </w:r>
      <w:r w:rsidR="003C7249" w:rsidRPr="006F7384">
        <w:t>"</w:t>
      </w:r>
      <w:r w:rsidR="001006B7" w:rsidRPr="006F7384">
        <w:rPr>
          <w:rStyle w:val="FootnoteReference"/>
        </w:rPr>
        <w:footnoteReference w:id="69"/>
      </w:r>
      <w:r w:rsidR="003C7249" w:rsidRPr="006F7384">
        <w:t xml:space="preserve"> Barak's ruling in the Ganz case was</w:t>
      </w:r>
      <w:r w:rsidR="001006B7" w:rsidRPr="006F7384">
        <w:t>,</w:t>
      </w:r>
      <w:r w:rsidR="003C7249" w:rsidRPr="006F7384">
        <w:t xml:space="preserve"> </w:t>
      </w:r>
      <w:r w:rsidR="001006B7" w:rsidRPr="006F7384">
        <w:t>thus,</w:t>
      </w:r>
      <w:r w:rsidR="003C7249" w:rsidRPr="006F7384">
        <w:t xml:space="preserve"> a masterpiece of judicial legislation. By interpreting a general principle anchored in Israeli legislation, Barak </w:t>
      </w:r>
      <w:r w:rsidR="001006B7" w:rsidRPr="006F7384">
        <w:t>enacted</w:t>
      </w:r>
      <w:r w:rsidR="003C7249" w:rsidRPr="006F7384">
        <w:t xml:space="preserve"> both a</w:t>
      </w:r>
      <w:r w:rsidR="001006B7" w:rsidRPr="006F7384">
        <w:t>n obligation</w:t>
      </w:r>
      <w:r w:rsidR="003C7249" w:rsidRPr="006F7384">
        <w:t xml:space="preserve"> and qualifications</w:t>
      </w:r>
      <w:r w:rsidR="001006B7" w:rsidRPr="006F7384">
        <w:t>,</w:t>
      </w:r>
      <w:r w:rsidR="003C7249" w:rsidRPr="006F7384">
        <w:t xml:space="preserve"> </w:t>
      </w:r>
      <w:r w:rsidR="001006B7" w:rsidRPr="006F7384">
        <w:t>of which there is no explicit</w:t>
      </w:r>
      <w:r w:rsidR="003C7249" w:rsidRPr="006F7384">
        <w:t xml:space="preserve"> mentioned in the legisl</w:t>
      </w:r>
      <w:r w:rsidR="001006B7" w:rsidRPr="006F7384">
        <w:t>ation, and which for years the C</w:t>
      </w:r>
      <w:r w:rsidR="003C7249" w:rsidRPr="006F7384">
        <w:t xml:space="preserve">ourt, including Barak himself, argued could not be based on Israeli legislation. This is a clear expression of </w:t>
      </w:r>
      <w:r w:rsidR="001006B7" w:rsidRPr="006F7384">
        <w:t xml:space="preserve">Barak’s </w:t>
      </w:r>
      <w:r w:rsidR="003C7249" w:rsidRPr="006F7384">
        <w:t>power</w:t>
      </w:r>
      <w:r w:rsidR="001006B7" w:rsidRPr="006F7384">
        <w:t xml:space="preserve">, as well as </w:t>
      </w:r>
      <w:r w:rsidR="00BD3F61">
        <w:t xml:space="preserve">of </w:t>
      </w:r>
      <w:r w:rsidR="001006B7" w:rsidRPr="006F7384">
        <w:t xml:space="preserve">the power </w:t>
      </w:r>
      <w:r w:rsidR="003C7249" w:rsidRPr="006F7384">
        <w:t>of</w:t>
      </w:r>
      <w:r w:rsidR="001006B7" w:rsidRPr="006F7384">
        <w:t xml:space="preserve"> the Supreme C</w:t>
      </w:r>
      <w:r w:rsidR="003C7249" w:rsidRPr="006F7384">
        <w:t xml:space="preserve">ourt </w:t>
      </w:r>
      <w:r w:rsidR="001006B7" w:rsidRPr="006F7384">
        <w:t xml:space="preserve">at the time </w:t>
      </w:r>
      <w:r w:rsidR="003246EF" w:rsidRPr="006F7384">
        <w:t xml:space="preserve">the </w:t>
      </w:r>
      <w:r w:rsidR="003C7249" w:rsidRPr="006F7384">
        <w:t>judgment in the Ganz case was handed down.</w:t>
      </w:r>
    </w:p>
    <w:p w14:paraId="238E4B10" w14:textId="2A9063DB" w:rsidR="00D373B2" w:rsidRPr="006F7384" w:rsidRDefault="00D373B2" w:rsidP="00BD3F61">
      <w:pPr>
        <w:bidi w:val="0"/>
        <w:spacing w:line="480" w:lineRule="auto"/>
        <w:jc w:val="both"/>
      </w:pPr>
      <w:r w:rsidRPr="006F7384">
        <w:t xml:space="preserve">Some of Barak's colleagues on the bench in the Ganz case expressed reservations about the breadth of the obligation he created. All agreed that, in this specific case, Ganz should be censured for his conduct and that the decision could be based upon the Israeli principle of good faith. However, most tended to restrict the rule only to the special circumstances of the Ganz affair: the long duration of the failure of the first right holder (17 years) and the later purchaser’s extended and </w:t>
      </w:r>
      <w:r w:rsidR="003246EF" w:rsidRPr="006F7384">
        <w:t>significant</w:t>
      </w:r>
      <w:r w:rsidRPr="006F7384">
        <w:t xml:space="preserve"> </w:t>
      </w:r>
      <w:r w:rsidR="003246EF" w:rsidRPr="006F7384">
        <w:t>dependence</w:t>
      </w:r>
      <w:r w:rsidRPr="006F7384">
        <w:t xml:space="preserve"> which caused harm.</w:t>
      </w:r>
      <w:r w:rsidR="003246EF" w:rsidRPr="006F7384">
        <w:rPr>
          <w:rStyle w:val="FootnoteReference"/>
        </w:rPr>
        <w:footnoteReference w:id="70"/>
      </w:r>
      <w:r w:rsidRPr="006F7384">
        <w:t xml:space="preserve"> These conditions are very similar to the conditions of the </w:t>
      </w:r>
      <w:r w:rsidR="003246EF" w:rsidRPr="006F7384">
        <w:t xml:space="preserve">English equitable </w:t>
      </w:r>
      <w:r w:rsidRPr="006F7384">
        <w:t xml:space="preserve">doctrine </w:t>
      </w:r>
      <w:r w:rsidR="003246EF" w:rsidRPr="006F7384">
        <w:t>of estoppel</w:t>
      </w:r>
      <w:r w:rsidRPr="006F7384">
        <w:t xml:space="preserve">: the </w:t>
      </w:r>
      <w:r w:rsidR="003246EF" w:rsidRPr="006F7384">
        <w:t>estopping</w:t>
      </w:r>
      <w:r w:rsidRPr="006F7384">
        <w:t xml:space="preserve"> of a claimant</w:t>
      </w:r>
      <w:r w:rsidR="003246EF" w:rsidRPr="006F7384">
        <w:t>’s</w:t>
      </w:r>
      <w:r w:rsidRPr="006F7384">
        <w:t xml:space="preserve"> right because of a long-term failure and </w:t>
      </w:r>
      <w:r w:rsidR="003246EF" w:rsidRPr="006F7384">
        <w:t>an ongoing</w:t>
      </w:r>
      <w:r w:rsidRPr="006F7384">
        <w:t xml:space="preserve"> long-term reliance </w:t>
      </w:r>
      <w:r w:rsidR="003246EF" w:rsidRPr="006F7384">
        <w:t>which caused</w:t>
      </w:r>
      <w:r w:rsidRPr="006F7384">
        <w:t xml:space="preserve"> damage </w:t>
      </w:r>
      <w:r w:rsidR="003246EF" w:rsidRPr="006F7384">
        <w:t>to</w:t>
      </w:r>
      <w:r w:rsidRPr="006F7384">
        <w:t xml:space="preserve"> another person.</w:t>
      </w:r>
      <w:r w:rsidR="003246EF" w:rsidRPr="006F7384">
        <w:rPr>
          <w:rStyle w:val="FootnoteReference"/>
        </w:rPr>
        <w:footnoteReference w:id="71"/>
      </w:r>
      <w:r w:rsidRPr="006F7384">
        <w:t xml:space="preserve"> The Ganz case thus symbolized the birth of an </w:t>
      </w:r>
      <w:r w:rsidR="007D2175" w:rsidRPr="006F7384">
        <w:t xml:space="preserve">independent </w:t>
      </w:r>
      <w:r w:rsidRPr="006F7384">
        <w:t>Israeli twin</w:t>
      </w:r>
      <w:r w:rsidR="007D2175" w:rsidRPr="006F7384">
        <w:t xml:space="preserve"> </w:t>
      </w:r>
      <w:r w:rsidRPr="006F7384">
        <w:t xml:space="preserve">to the </w:t>
      </w:r>
      <w:r w:rsidR="003246EF" w:rsidRPr="006F7384">
        <w:t>English</w:t>
      </w:r>
      <w:r w:rsidRPr="006F7384">
        <w:t xml:space="preserve"> doctrine of </w:t>
      </w:r>
      <w:r w:rsidR="007D2175" w:rsidRPr="006F7384">
        <w:t>equitable estoppel</w:t>
      </w:r>
      <w:r w:rsidRPr="006F7384">
        <w:t xml:space="preserve">: the </w:t>
      </w:r>
      <w:r w:rsidR="00BD3F61" w:rsidRPr="006F7384">
        <w:t xml:space="preserve">Israeli </w:t>
      </w:r>
      <w:r w:rsidRPr="006F7384">
        <w:t xml:space="preserve">doctrine of </w:t>
      </w:r>
      <w:r w:rsidR="007D2175" w:rsidRPr="006F7384">
        <w:t>estoppel</w:t>
      </w:r>
      <w:r w:rsidRPr="006F7384">
        <w:t xml:space="preserve">. Although, as </w:t>
      </w:r>
      <w:r w:rsidR="007D2175" w:rsidRPr="006F7384">
        <w:t>noted</w:t>
      </w:r>
      <w:r w:rsidRPr="006F7384">
        <w:t xml:space="preserve">, the </w:t>
      </w:r>
      <w:r w:rsidR="007D2175" w:rsidRPr="006F7384">
        <w:t>justices</w:t>
      </w:r>
      <w:r w:rsidRPr="006F7384">
        <w:t xml:space="preserve"> based </w:t>
      </w:r>
      <w:r w:rsidR="007D2175" w:rsidRPr="006F7384">
        <w:t>the doctrine</w:t>
      </w:r>
      <w:r w:rsidRPr="006F7384">
        <w:t xml:space="preserve"> on the</w:t>
      </w:r>
      <w:r w:rsidR="007D2175" w:rsidRPr="006F7384">
        <w:t xml:space="preserve"> Israeli </w:t>
      </w:r>
      <w:r w:rsidRPr="006F7384">
        <w:t>p</w:t>
      </w:r>
      <w:r w:rsidR="007D2175" w:rsidRPr="006F7384">
        <w:t>rinciple of good faith</w:t>
      </w:r>
      <w:r w:rsidRPr="006F7384">
        <w:t xml:space="preserve">, </w:t>
      </w:r>
      <w:r w:rsidR="007D2175" w:rsidRPr="006F7384">
        <w:t>they</w:t>
      </w:r>
      <w:r w:rsidRPr="006F7384">
        <w:t xml:space="preserve"> often used the term </w:t>
      </w:r>
      <w:r w:rsidRPr="006F7384">
        <w:lastRenderedPageBreak/>
        <w:t>"</w:t>
      </w:r>
      <w:r w:rsidR="007D2175" w:rsidRPr="006F7384">
        <w:t>estopp</w:t>
      </w:r>
      <w:r w:rsidR="003246EF" w:rsidRPr="006F7384">
        <w:t>el</w:t>
      </w:r>
      <w:r w:rsidRPr="006F7384">
        <w:t xml:space="preserve">" </w:t>
      </w:r>
      <w:r w:rsidR="007D2175" w:rsidRPr="006F7384">
        <w:t xml:space="preserve">derived from </w:t>
      </w:r>
      <w:r w:rsidR="00BD3F61">
        <w:t>English</w:t>
      </w:r>
      <w:r w:rsidR="007D2175" w:rsidRPr="006F7384">
        <w:t xml:space="preserve"> </w:t>
      </w:r>
      <w:r w:rsidR="003246EF" w:rsidRPr="006F7384">
        <w:t>equity laws</w:t>
      </w:r>
      <w:r w:rsidRPr="006F7384">
        <w:t>.</w:t>
      </w:r>
      <w:r w:rsidR="007D2175" w:rsidRPr="006F7384">
        <w:rPr>
          <w:rStyle w:val="FootnoteReference"/>
        </w:rPr>
        <w:footnoteReference w:id="72"/>
      </w:r>
      <w:r w:rsidRPr="006F7384">
        <w:t xml:space="preserve"> Justice Barak </w:t>
      </w:r>
      <w:r w:rsidR="001921E3" w:rsidRPr="006F7384">
        <w:t>similarly</w:t>
      </w:r>
      <w:r w:rsidRPr="006F7384">
        <w:t xml:space="preserve"> </w:t>
      </w:r>
      <w:r w:rsidR="001921E3" w:rsidRPr="006F7384">
        <w:t xml:space="preserve">had no reservations about </w:t>
      </w:r>
      <w:r w:rsidR="003246EF" w:rsidRPr="006F7384">
        <w:t xml:space="preserve">alternatively </w:t>
      </w:r>
      <w:r w:rsidR="001921E3" w:rsidRPr="006F7384">
        <w:t>basing</w:t>
      </w:r>
      <w:r w:rsidRPr="006F7384">
        <w:t xml:space="preserve"> his </w:t>
      </w:r>
      <w:r w:rsidR="001921E3" w:rsidRPr="006F7384">
        <w:t>rulings</w:t>
      </w:r>
      <w:r w:rsidRPr="006F7384">
        <w:t xml:space="preserve"> on the </w:t>
      </w:r>
      <w:r w:rsidR="001921E3" w:rsidRPr="006F7384">
        <w:t xml:space="preserve">principle of </w:t>
      </w:r>
      <w:r w:rsidRPr="006F7384">
        <w:t>"</w:t>
      </w:r>
      <w:r w:rsidR="001921E3" w:rsidRPr="006F7384">
        <w:t>estoppel</w:t>
      </w:r>
      <w:r w:rsidRPr="006F7384">
        <w:t>."</w:t>
      </w:r>
      <w:r w:rsidR="001921E3" w:rsidRPr="006F7384">
        <w:rPr>
          <w:rStyle w:val="FootnoteReference"/>
        </w:rPr>
        <w:footnoteReference w:id="73"/>
      </w:r>
      <w:r w:rsidRPr="006F7384">
        <w:t xml:space="preserve"> Thus, the Ganz ruling </w:t>
      </w:r>
      <w:r w:rsidR="001921E3" w:rsidRPr="006F7384">
        <w:t>set another independent foundation for</w:t>
      </w:r>
      <w:r w:rsidRPr="006F7384">
        <w:t xml:space="preserve"> the Israeli laws of</w:t>
      </w:r>
      <w:r w:rsidR="001921E3" w:rsidRPr="006F7384">
        <w:t xml:space="preserve"> equit</w:t>
      </w:r>
      <w:r w:rsidR="003246EF" w:rsidRPr="006F7384">
        <w:t>y</w:t>
      </w:r>
      <w:r w:rsidRPr="006F7384">
        <w:t xml:space="preserve">: the </w:t>
      </w:r>
      <w:r w:rsidR="001921E3" w:rsidRPr="006F7384">
        <w:t>“silencing”</w:t>
      </w:r>
      <w:r w:rsidRPr="006F7384">
        <w:t xml:space="preserve"> of a right holder who lingered and caused significant harm to others.</w:t>
      </w:r>
    </w:p>
    <w:p w14:paraId="422E3F4C" w14:textId="49D1882D" w:rsidR="00F10A1B" w:rsidRPr="006F7384" w:rsidRDefault="00F10A1B" w:rsidP="00BD3F61">
      <w:pPr>
        <w:bidi w:val="0"/>
        <w:spacing w:line="480" w:lineRule="auto"/>
        <w:jc w:val="both"/>
      </w:pPr>
      <w:r w:rsidRPr="006F7384">
        <w:t xml:space="preserve">The Ganz ruling, like </w:t>
      </w:r>
      <w:r w:rsidR="009B7BC2" w:rsidRPr="006F7384">
        <w:t xml:space="preserve">the </w:t>
      </w:r>
      <w:r w:rsidRPr="006F7384">
        <w:t xml:space="preserve">Aharonov's ruling before it, and any judicial legislation that expands judicial discretion, opened the door to further development of the Israeli laws of </w:t>
      </w:r>
      <w:r w:rsidR="003E2555" w:rsidRPr="006F7384">
        <w:t>equity</w:t>
      </w:r>
      <w:r w:rsidRPr="006F7384">
        <w:t xml:space="preserve">. It also created uncertainty and left many </w:t>
      </w:r>
      <w:r w:rsidR="003E2555" w:rsidRPr="006F7384">
        <w:t>open question</w:t>
      </w:r>
      <w:r w:rsidRPr="006F7384">
        <w:t xml:space="preserve">s: should we prefer a broad or narrow interpretation of the principle of good faith? </w:t>
      </w:r>
      <w:r w:rsidR="003E2555" w:rsidRPr="006F7384">
        <w:t xml:space="preserve">How should one rule on </w:t>
      </w:r>
      <w:r w:rsidRPr="006F7384">
        <w:t xml:space="preserve">lesser failures </w:t>
      </w:r>
      <w:r w:rsidR="003E2555" w:rsidRPr="006F7384">
        <w:t>than</w:t>
      </w:r>
      <w:r w:rsidRPr="006F7384">
        <w:t xml:space="preserve"> Ganz's failure? The courts in Israel, </w:t>
      </w:r>
      <w:r w:rsidR="003E2555" w:rsidRPr="006F7384">
        <w:t>at</w:t>
      </w:r>
      <w:r w:rsidRPr="006F7384">
        <w:t xml:space="preserve"> all </w:t>
      </w:r>
      <w:r w:rsidR="003E2555" w:rsidRPr="006F7384">
        <w:t>levels</w:t>
      </w:r>
      <w:r w:rsidRPr="006F7384">
        <w:t xml:space="preserve">, have </w:t>
      </w:r>
      <w:r w:rsidR="003E2555" w:rsidRPr="006F7384">
        <w:t xml:space="preserve">since </w:t>
      </w:r>
      <w:r w:rsidRPr="006F7384">
        <w:t xml:space="preserve">been </w:t>
      </w:r>
      <w:r w:rsidR="003E2555" w:rsidRPr="006F7384">
        <w:t xml:space="preserve">actively </w:t>
      </w:r>
      <w:r w:rsidRPr="006F7384">
        <w:t xml:space="preserve">engaged in implementing and developing the Ganz ruling. For example, conditions were set for its application or its non-applicability in cases </w:t>
      </w:r>
      <w:r w:rsidR="003E2555" w:rsidRPr="006F7384">
        <w:t>where</w:t>
      </w:r>
      <w:r w:rsidRPr="006F7384">
        <w:t xml:space="preserve"> the </w:t>
      </w:r>
      <w:r w:rsidR="003E2555" w:rsidRPr="006F7384">
        <w:t>failures</w:t>
      </w:r>
      <w:r w:rsidRPr="006F7384">
        <w:t xml:space="preserve"> that caused the damage were </w:t>
      </w:r>
      <w:r w:rsidR="003E2555" w:rsidRPr="006F7384">
        <w:t>briefer</w:t>
      </w:r>
      <w:r w:rsidRPr="006F7384">
        <w:t xml:space="preserve"> or less severe.</w:t>
      </w:r>
      <w:r w:rsidR="003E2555" w:rsidRPr="006F7384">
        <w:rPr>
          <w:rStyle w:val="FootnoteReference"/>
        </w:rPr>
        <w:footnoteReference w:id="74"/>
      </w:r>
      <w:r w:rsidRPr="006F7384">
        <w:t xml:space="preserve"> Rules were set regarding </w:t>
      </w:r>
      <w:r w:rsidR="00880DA6" w:rsidRPr="006F7384">
        <w:t>failures</w:t>
      </w:r>
      <w:r w:rsidRPr="006F7384">
        <w:t xml:space="preserve"> caused by trust relations between neighbors or distant family members in a traditional Arab village.</w:t>
      </w:r>
      <w:r w:rsidR="00880DA6" w:rsidRPr="006F7384">
        <w:rPr>
          <w:rStyle w:val="FootnoteReference"/>
        </w:rPr>
        <w:footnoteReference w:id="75"/>
      </w:r>
      <w:r w:rsidRPr="006F7384">
        <w:t xml:space="preserve"> The court even applied the </w:t>
      </w:r>
      <w:r w:rsidR="00880DA6" w:rsidRPr="006F7384">
        <w:t>ruling</w:t>
      </w:r>
      <w:r w:rsidRPr="006F7384">
        <w:t xml:space="preserve"> to other </w:t>
      </w:r>
      <w:r w:rsidR="00BD3F61" w:rsidRPr="006F7384">
        <w:t>registra</w:t>
      </w:r>
      <w:r w:rsidR="00BD3F61">
        <w:t>tion</w:t>
      </w:r>
      <w:r w:rsidR="00BD3F61" w:rsidRPr="006F7384">
        <w:t xml:space="preserve"> </w:t>
      </w:r>
      <w:r w:rsidR="00880DA6" w:rsidRPr="006F7384">
        <w:t>failures</w:t>
      </w:r>
      <w:r w:rsidRPr="006F7384">
        <w:t>, such as refraining from registering an agreement between common owners</w:t>
      </w:r>
      <w:r w:rsidR="00880DA6" w:rsidRPr="006F7384">
        <w:t xml:space="preserve"> of real-estate</w:t>
      </w:r>
      <w:r w:rsidRPr="006F7384">
        <w:t>.</w:t>
      </w:r>
      <w:r w:rsidR="00880DA6" w:rsidRPr="006F7384">
        <w:rPr>
          <w:rStyle w:val="FootnoteReference"/>
        </w:rPr>
        <w:footnoteReference w:id="76"/>
      </w:r>
      <w:r w:rsidRPr="006F7384">
        <w:t xml:space="preserve"> The doctrine of </w:t>
      </w:r>
      <w:r w:rsidR="00880DA6" w:rsidRPr="006F7384">
        <w:t>estoppel</w:t>
      </w:r>
      <w:r w:rsidRPr="006F7384">
        <w:t xml:space="preserve"> was also applied to </w:t>
      </w:r>
      <w:r w:rsidR="00BD3F61">
        <w:t>failures</w:t>
      </w:r>
      <w:r w:rsidRPr="006F7384">
        <w:t xml:space="preserve"> that do not concern registration, such as </w:t>
      </w:r>
      <w:r w:rsidR="00880DA6" w:rsidRPr="006F7384">
        <w:t xml:space="preserve">written or oral </w:t>
      </w:r>
      <w:r w:rsidRPr="006F7384">
        <w:t>false representations.</w:t>
      </w:r>
      <w:r w:rsidR="00880DA6" w:rsidRPr="006F7384">
        <w:rPr>
          <w:rStyle w:val="FootnoteReference"/>
        </w:rPr>
        <w:footnoteReference w:id="77"/>
      </w:r>
      <w:r w:rsidRPr="006F7384">
        <w:t xml:space="preserve"> The </w:t>
      </w:r>
      <w:r w:rsidR="00BD3F61">
        <w:t>C</w:t>
      </w:r>
      <w:r w:rsidRPr="006F7384">
        <w:t>ourt also clarified the relationship between the G</w:t>
      </w:r>
      <w:r w:rsidR="00880DA6" w:rsidRPr="006F7384">
        <w:t>anz</w:t>
      </w:r>
      <w:r w:rsidRPr="006F7384">
        <w:t xml:space="preserve"> and the Aharonov ruling</w:t>
      </w:r>
      <w:r w:rsidR="00BD3F61">
        <w:t>s</w:t>
      </w:r>
      <w:r w:rsidRPr="006F7384">
        <w:t xml:space="preserve">. Ostensibly, </w:t>
      </w:r>
      <w:r w:rsidR="00BD3F61" w:rsidRPr="006F7384">
        <w:t xml:space="preserve">these were two contradictory rulings, </w:t>
      </w:r>
      <w:r w:rsidRPr="006F7384">
        <w:t xml:space="preserve">since the Aharonov </w:t>
      </w:r>
      <w:r w:rsidR="00880DA6" w:rsidRPr="006F7384">
        <w:t>ruling</w:t>
      </w:r>
      <w:r w:rsidRPr="006F7384">
        <w:t xml:space="preserve"> </w:t>
      </w:r>
      <w:r w:rsidR="00880DA6" w:rsidRPr="006F7384">
        <w:t>established</w:t>
      </w:r>
      <w:r w:rsidRPr="006F7384">
        <w:t xml:space="preserve"> that a</w:t>
      </w:r>
      <w:r w:rsidR="00880DA6" w:rsidRPr="006F7384">
        <w:t>n</w:t>
      </w:r>
      <w:r w:rsidRPr="006F7384">
        <w:t xml:space="preserve"> </w:t>
      </w:r>
      <w:r w:rsidR="00880DA6" w:rsidRPr="006F7384">
        <w:t xml:space="preserve">equity </w:t>
      </w:r>
      <w:r w:rsidRPr="006F7384">
        <w:t xml:space="preserve">right </w:t>
      </w:r>
      <w:r w:rsidR="00BD3F61" w:rsidRPr="006F7384">
        <w:t>supersedes</w:t>
      </w:r>
      <w:r w:rsidRPr="006F7384">
        <w:t xml:space="preserve"> the </w:t>
      </w:r>
      <w:r w:rsidR="00880DA6" w:rsidRPr="006F7384">
        <w:t xml:space="preserve">rights </w:t>
      </w:r>
      <w:r w:rsidR="00880DA6" w:rsidRPr="006F7384">
        <w:t>of the transferor</w:t>
      </w:r>
      <w:r w:rsidR="00880DA6" w:rsidRPr="006F7384">
        <w:t>’s</w:t>
      </w:r>
      <w:r w:rsidR="00880DA6" w:rsidRPr="006F7384">
        <w:t xml:space="preserve"> </w:t>
      </w:r>
      <w:r w:rsidRPr="006F7384">
        <w:t xml:space="preserve">creditors even without </w:t>
      </w:r>
      <w:r w:rsidR="00880DA6" w:rsidRPr="006F7384">
        <w:t>a recorded caveat</w:t>
      </w:r>
      <w:r w:rsidRPr="006F7384">
        <w:t xml:space="preserve">, whereas the Ganz ruling </w:t>
      </w:r>
      <w:r w:rsidRPr="006F7384">
        <w:lastRenderedPageBreak/>
        <w:t xml:space="preserve">determined that a person who did not </w:t>
      </w:r>
      <w:r w:rsidR="00880DA6" w:rsidRPr="006F7384">
        <w:t>record</w:t>
      </w:r>
      <w:r w:rsidRPr="006F7384">
        <w:t xml:space="preserve"> such a notice is liable to lose his priority. Justice Barak, </w:t>
      </w:r>
      <w:r w:rsidR="00BD3F61" w:rsidRPr="006F7384">
        <w:t xml:space="preserve">who played a part in both rulings, </w:t>
      </w:r>
      <w:r w:rsidRPr="006F7384">
        <w:t xml:space="preserve">clarified that while </w:t>
      </w:r>
      <w:r w:rsidR="00880DA6" w:rsidRPr="006F7384">
        <w:t xml:space="preserve">the </w:t>
      </w:r>
      <w:r w:rsidR="00BD3F61" w:rsidRPr="006F7384">
        <w:t>Aharonov</w:t>
      </w:r>
      <w:r w:rsidR="00BD3F61" w:rsidRPr="006F7384">
        <w:t xml:space="preserve"> </w:t>
      </w:r>
      <w:r w:rsidR="00BD3F61">
        <w:t>ruling</w:t>
      </w:r>
      <w:r w:rsidRPr="006F7384">
        <w:t xml:space="preserve"> was intended to </w:t>
      </w:r>
      <w:r w:rsidR="00880DA6" w:rsidRPr="006F7384">
        <w:t>provide</w:t>
      </w:r>
      <w:r w:rsidRPr="006F7384">
        <w:t xml:space="preserve"> priority </w:t>
      </w:r>
      <w:r w:rsidR="00880DA6" w:rsidRPr="006F7384">
        <w:t>over</w:t>
      </w:r>
      <w:r w:rsidRPr="006F7384">
        <w:t xml:space="preserve"> creditors who did not rely on the disputed property, the </w:t>
      </w:r>
      <w:r w:rsidR="00BD3F61">
        <w:t>subsequent one</w:t>
      </w:r>
      <w:r w:rsidRPr="006F7384">
        <w:t xml:space="preserve"> (Ganz) </w:t>
      </w:r>
      <w:r w:rsidR="00880DA6" w:rsidRPr="006F7384">
        <w:t>has to do with</w:t>
      </w:r>
      <w:r w:rsidRPr="006F7384">
        <w:t xml:space="preserve"> </w:t>
      </w:r>
      <w:r w:rsidR="00880DA6" w:rsidRPr="006F7384">
        <w:t xml:space="preserve">determining </w:t>
      </w:r>
      <w:r w:rsidR="00856693" w:rsidRPr="006F7384">
        <w:t>priority in a</w:t>
      </w:r>
      <w:r w:rsidRPr="006F7384">
        <w:t xml:space="preserve"> co</w:t>
      </w:r>
      <w:r w:rsidR="00880DA6" w:rsidRPr="006F7384">
        <w:t>mpetition between two creditors</w:t>
      </w:r>
      <w:r w:rsidRPr="006F7384">
        <w:t xml:space="preserve"> who</w:t>
      </w:r>
      <w:r w:rsidR="00880DA6" w:rsidRPr="006F7384">
        <w:t>, in turn,</w:t>
      </w:r>
      <w:r w:rsidRPr="006F7384">
        <w:t xml:space="preserve"> </w:t>
      </w:r>
      <w:r w:rsidR="00880DA6" w:rsidRPr="006F7384">
        <w:t xml:space="preserve">both </w:t>
      </w:r>
      <w:r w:rsidRPr="006F7384">
        <w:t xml:space="preserve">relied on the property. In the first case, </w:t>
      </w:r>
      <w:r w:rsidR="00BD3F61" w:rsidRPr="006F7384">
        <w:t>failure to register a caveat in favor of the first creditor does not harm the creditor who was had no interest in the property at all</w:t>
      </w:r>
      <w:r w:rsidRPr="006F7384">
        <w:t xml:space="preserve">. In the second case, </w:t>
      </w:r>
      <w:r w:rsidR="00BD3F61">
        <w:t>failure</w:t>
      </w:r>
      <w:r w:rsidRPr="006F7384">
        <w:t xml:space="preserve"> </w:t>
      </w:r>
      <w:r w:rsidR="00BD3F61">
        <w:t>to register</w:t>
      </w:r>
      <w:r w:rsidR="00856693" w:rsidRPr="006F7384">
        <w:t xml:space="preserve"> a caveat</w:t>
      </w:r>
      <w:r w:rsidRPr="006F7384">
        <w:t xml:space="preserve"> in favor of the first </w:t>
      </w:r>
      <w:r w:rsidR="00856693" w:rsidRPr="006F7384">
        <w:t xml:space="preserve">owner </w:t>
      </w:r>
      <w:r w:rsidRPr="006F7384">
        <w:t>mislead</w:t>
      </w:r>
      <w:r w:rsidR="00856693" w:rsidRPr="006F7384">
        <w:t>s</w:t>
      </w:r>
      <w:r w:rsidRPr="006F7384">
        <w:t xml:space="preserve"> the </w:t>
      </w:r>
      <w:r w:rsidR="00856693" w:rsidRPr="006F7384">
        <w:t>subsequent owner</w:t>
      </w:r>
      <w:r w:rsidRPr="006F7384">
        <w:t xml:space="preserve"> and caus</w:t>
      </w:r>
      <w:r w:rsidR="00856693" w:rsidRPr="006F7384">
        <w:t>es</w:t>
      </w:r>
      <w:r w:rsidRPr="006F7384">
        <w:t xml:space="preserve"> </w:t>
      </w:r>
      <w:r w:rsidR="00856693" w:rsidRPr="006F7384">
        <w:t xml:space="preserve">him </w:t>
      </w:r>
      <w:r w:rsidRPr="006F7384">
        <w:t>damage</w:t>
      </w:r>
      <w:r w:rsidR="00856693" w:rsidRPr="006F7384">
        <w:t>s</w:t>
      </w:r>
      <w:r w:rsidRPr="006F7384">
        <w:t>.</w:t>
      </w:r>
      <w:r w:rsidR="00856693" w:rsidRPr="006F7384">
        <w:rPr>
          <w:rStyle w:val="FootnoteReference"/>
        </w:rPr>
        <w:footnoteReference w:id="78"/>
      </w:r>
    </w:p>
    <w:p w14:paraId="033F2D0A" w14:textId="77777777" w:rsidR="00F10A1B" w:rsidRPr="006F7384" w:rsidRDefault="00F10A1B" w:rsidP="009A7DCB">
      <w:pPr>
        <w:pStyle w:val="z-TopofForm"/>
        <w:spacing w:line="480" w:lineRule="auto"/>
        <w:jc w:val="both"/>
      </w:pPr>
      <w:r w:rsidRPr="006F7384">
        <w:t>Top of Form</w:t>
      </w:r>
    </w:p>
    <w:p w14:paraId="29AF97B9" w14:textId="77777777" w:rsidR="00F10A1B" w:rsidRPr="006F7384" w:rsidRDefault="00F10A1B" w:rsidP="009A7DCB">
      <w:pPr>
        <w:pStyle w:val="z-BottomofForm"/>
        <w:spacing w:line="480" w:lineRule="auto"/>
        <w:jc w:val="both"/>
      </w:pPr>
      <w:r w:rsidRPr="006F7384">
        <w:t>Bottom of Form</w:t>
      </w:r>
    </w:p>
    <w:p w14:paraId="1ACDD5AB" w14:textId="51B07984" w:rsidR="00FF7DD6" w:rsidRPr="006F7384" w:rsidRDefault="00FF7DD6" w:rsidP="009A7DCB">
      <w:pPr>
        <w:bidi w:val="0"/>
        <w:spacing w:line="480" w:lineRule="auto"/>
        <w:jc w:val="both"/>
      </w:pPr>
      <w:r w:rsidRPr="006F7384">
        <w:t xml:space="preserve">The Ganz ruling and its </w:t>
      </w:r>
      <w:r w:rsidRPr="006F7384">
        <w:rPr>
          <w:highlight w:val="yellow"/>
        </w:rPr>
        <w:t>descendants</w:t>
      </w:r>
      <w:r w:rsidR="00856693" w:rsidRPr="006F7384">
        <w:rPr>
          <w:highlight w:val="yellow"/>
        </w:rPr>
        <w:t>/derivatives</w:t>
      </w:r>
      <w:r w:rsidRPr="006F7384">
        <w:t xml:space="preserve"> combined with the Aharonov ruling to became an important part of the independe</w:t>
      </w:r>
      <w:r w:rsidR="00856693" w:rsidRPr="006F7384">
        <w:t>nt Israeli laws of equit</w:t>
      </w:r>
      <w:r w:rsidRPr="006F7384">
        <w:t xml:space="preserve">y. These laws are similar to </w:t>
      </w:r>
      <w:r w:rsidR="00856693" w:rsidRPr="006F7384">
        <w:t>English equity law</w:t>
      </w:r>
      <w:r w:rsidRPr="006F7384">
        <w:t xml:space="preserve">, but they are the product of original Israeli development. Why was so much judicial energy invested in this independent creation if it ultimately led to a result that could have been imported? The answer to this question lies in the deep connection between the </w:t>
      </w:r>
      <w:r w:rsidR="00856693" w:rsidRPr="006F7384">
        <w:t>manner</w:t>
      </w:r>
      <w:r w:rsidRPr="006F7384">
        <w:t xml:space="preserve"> in which the ruling was made and the identity of the State. The independent development of case law is an expression of the independen</w:t>
      </w:r>
      <w:r w:rsidR="002874AC" w:rsidRPr="006F7384">
        <w:t>ce</w:t>
      </w:r>
      <w:r w:rsidRPr="006F7384">
        <w:t xml:space="preserve"> and unique</w:t>
      </w:r>
      <w:r w:rsidR="002874AC" w:rsidRPr="006F7384">
        <w:t>ness</w:t>
      </w:r>
      <w:r w:rsidRPr="006F7384">
        <w:t xml:space="preserve"> of the</w:t>
      </w:r>
      <w:r w:rsidR="002874AC" w:rsidRPr="006F7384">
        <w:t xml:space="preserve"> Israeli</w:t>
      </w:r>
      <w:r w:rsidRPr="006F7384">
        <w:t xml:space="preserve"> judicial system.</w:t>
      </w:r>
    </w:p>
    <w:p w14:paraId="3FB51B8D" w14:textId="77777777" w:rsidR="00FF7DD6" w:rsidRPr="006F7384" w:rsidRDefault="00FF7DD6" w:rsidP="009A7DCB">
      <w:pPr>
        <w:bidi w:val="0"/>
        <w:spacing w:line="480" w:lineRule="auto"/>
        <w:jc w:val="both"/>
      </w:pPr>
    </w:p>
    <w:p w14:paraId="625187E5" w14:textId="77777777" w:rsidR="00FF7DD6" w:rsidRPr="006F7384" w:rsidRDefault="00FF7DD6" w:rsidP="009A7DCB">
      <w:pPr>
        <w:bidi w:val="0"/>
        <w:spacing w:line="480" w:lineRule="auto"/>
        <w:jc w:val="both"/>
        <w:rPr>
          <w:b/>
          <w:bCs/>
        </w:rPr>
      </w:pPr>
      <w:r w:rsidRPr="006F7384">
        <w:rPr>
          <w:b/>
          <w:bCs/>
        </w:rPr>
        <w:t xml:space="preserve">Constitutional safeguards to property </w:t>
      </w:r>
    </w:p>
    <w:p w14:paraId="447F697B" w14:textId="247892DD" w:rsidR="002874AC" w:rsidRPr="006F7384" w:rsidRDefault="002874AC" w:rsidP="004127CE">
      <w:pPr>
        <w:bidi w:val="0"/>
        <w:spacing w:line="480" w:lineRule="auto"/>
        <w:jc w:val="both"/>
      </w:pPr>
      <w:r w:rsidRPr="006F7384">
        <w:t xml:space="preserve">Another manifestation of the independence and </w:t>
      </w:r>
      <w:r w:rsidR="009B31F0" w:rsidRPr="006F7384">
        <w:t>growing power</w:t>
      </w:r>
      <w:r w:rsidRPr="006F7384">
        <w:t xml:space="preserve"> of Israel's judicial system in recent decades is its ability to conduct constitutional reviews of </w:t>
      </w:r>
      <w:r w:rsidR="005D2179" w:rsidRPr="006F7384">
        <w:t>legislation</w:t>
      </w:r>
      <w:r w:rsidRPr="006F7384">
        <w:t xml:space="preserve">. This authority is expressed </w:t>
      </w:r>
      <w:r w:rsidR="005D2179" w:rsidRPr="006F7384">
        <w:t xml:space="preserve">also </w:t>
      </w:r>
      <w:r w:rsidRPr="006F7384">
        <w:t xml:space="preserve">in the field of constitutional protection of private property. Land expropriations or planning </w:t>
      </w:r>
      <w:r w:rsidR="00A03DA5" w:rsidRPr="006F7384">
        <w:t>infringements</w:t>
      </w:r>
      <w:r w:rsidRPr="006F7384">
        <w:t xml:space="preserve"> are the most prominent examples of such harm</w:t>
      </w:r>
      <w:r w:rsidR="00741F63" w:rsidRPr="006F7384">
        <w:t xml:space="preserve"> to private property</w:t>
      </w:r>
      <w:r w:rsidRPr="006F7384">
        <w:t xml:space="preserve">, and it </w:t>
      </w:r>
      <w:r w:rsidR="00741F63" w:rsidRPr="006F7384">
        <w:t>might</w:t>
      </w:r>
      <w:r w:rsidRPr="006F7384">
        <w:t xml:space="preserve"> therefore </w:t>
      </w:r>
      <w:r w:rsidR="00741F63" w:rsidRPr="006F7384">
        <w:t>be</w:t>
      </w:r>
      <w:r w:rsidRPr="006F7384">
        <w:t xml:space="preserve"> expected that the </w:t>
      </w:r>
      <w:r w:rsidR="00741F63" w:rsidRPr="006F7384">
        <w:lastRenderedPageBreak/>
        <w:t>power</w:t>
      </w:r>
      <w:r w:rsidRPr="006F7384">
        <w:t xml:space="preserve"> of the Israeli judicial system would be particularly </w:t>
      </w:r>
      <w:r w:rsidR="00741F63" w:rsidRPr="006F7384">
        <w:t>apparent</w:t>
      </w:r>
      <w:r w:rsidRPr="006F7384">
        <w:t xml:space="preserve"> in this area. As will be explained below, it is precisely in this area that the Supreme Court did not </w:t>
      </w:r>
      <w:r w:rsidR="005D2179" w:rsidRPr="006F7384">
        <w:t>exhibit</w:t>
      </w:r>
      <w:r w:rsidRPr="006F7384">
        <w:t xml:space="preserve"> its full power and </w:t>
      </w:r>
      <w:r w:rsidR="00741F63" w:rsidRPr="006F7384">
        <w:t>chose to exercise</w:t>
      </w:r>
      <w:r w:rsidRPr="006F7384">
        <w:t xml:space="preserve"> </w:t>
      </w:r>
      <w:r w:rsidR="00741F63" w:rsidRPr="006F7384">
        <w:t>relative judicial restraint</w:t>
      </w:r>
      <w:r w:rsidRPr="006F7384">
        <w:t xml:space="preserve">. One of the reasons for this is apparently </w:t>
      </w:r>
      <w:r w:rsidR="00741F63" w:rsidRPr="006F7384">
        <w:t>the</w:t>
      </w:r>
      <w:r w:rsidRPr="006F7384">
        <w:t xml:space="preserve"> </w:t>
      </w:r>
      <w:r w:rsidR="005D2179" w:rsidRPr="004127CE">
        <w:t>distributive</w:t>
      </w:r>
      <w:r w:rsidRPr="006F7384">
        <w:t xml:space="preserve"> </w:t>
      </w:r>
      <w:r w:rsidR="004127CE">
        <w:t>approach</w:t>
      </w:r>
      <w:r w:rsidRPr="006F7384">
        <w:t xml:space="preserve"> of some of the justices.</w:t>
      </w:r>
    </w:p>
    <w:p w14:paraId="49517B17" w14:textId="5559C202" w:rsidR="001128E6" w:rsidRPr="006F7384" w:rsidRDefault="002874AC" w:rsidP="004127CE">
      <w:pPr>
        <w:bidi w:val="0"/>
        <w:spacing w:line="480" w:lineRule="auto"/>
        <w:jc w:val="both"/>
      </w:pPr>
      <w:r w:rsidRPr="006F7384">
        <w:t>   </w:t>
      </w:r>
      <w:r w:rsidR="00741F63" w:rsidRPr="006F7384">
        <w:t>Even before the aforementioned constitutional revolution, t</w:t>
      </w:r>
      <w:r w:rsidRPr="006F7384">
        <w:t>he courts in Israel recognized the important status of private property rights and the obligation to compensate for expropriation of land.</w:t>
      </w:r>
      <w:r w:rsidR="00741F63" w:rsidRPr="006F7384">
        <w:rPr>
          <w:rStyle w:val="FootnoteReference"/>
        </w:rPr>
        <w:footnoteReference w:id="79"/>
      </w:r>
      <w:r w:rsidRPr="006F7384">
        <w:t xml:space="preserve"> </w:t>
      </w:r>
      <w:r w:rsidR="00741F63" w:rsidRPr="006F7384">
        <w:t>Furthermore</w:t>
      </w:r>
      <w:r w:rsidRPr="006F7384">
        <w:t xml:space="preserve">, the </w:t>
      </w:r>
      <w:r w:rsidR="00741F63" w:rsidRPr="006F7384">
        <w:t>key</w:t>
      </w:r>
      <w:r w:rsidRPr="006F7384">
        <w:t xml:space="preserve"> legislation </w:t>
      </w:r>
      <w:r w:rsidR="00741F63" w:rsidRPr="006F7384">
        <w:t xml:space="preserve">in Israel </w:t>
      </w:r>
      <w:r w:rsidRPr="006F7384">
        <w:t xml:space="preserve">dealing with expropriations has always established the right to compensation, even </w:t>
      </w:r>
      <w:r w:rsidR="00741F63" w:rsidRPr="006F7384">
        <w:t xml:space="preserve">if </w:t>
      </w:r>
      <w:r w:rsidRPr="006F7384">
        <w:t xml:space="preserve">partial and incomplete, for expropriations and for planning </w:t>
      </w:r>
      <w:r w:rsidR="00A03DA5" w:rsidRPr="006F7384">
        <w:t>infringements</w:t>
      </w:r>
      <w:r w:rsidRPr="006F7384">
        <w:t>.</w:t>
      </w:r>
      <w:r w:rsidR="00A03DA5" w:rsidRPr="006F7384">
        <w:rPr>
          <w:rStyle w:val="FootnoteReference"/>
        </w:rPr>
        <w:footnoteReference w:id="80"/>
      </w:r>
      <w:r w:rsidRPr="006F7384">
        <w:t xml:space="preserve"> The enactment of </w:t>
      </w:r>
      <w:r w:rsidR="00741F63" w:rsidRPr="006F7384">
        <w:t>Article</w:t>
      </w:r>
      <w:r w:rsidRPr="006F7384">
        <w:t xml:space="preserve"> 3 of the Basic Law: Human Dignity and Liberty in 1992</w:t>
      </w:r>
      <w:r w:rsidR="00741F63" w:rsidRPr="006F7384">
        <w:t>, whereby</w:t>
      </w:r>
      <w:r w:rsidRPr="006F7384">
        <w:t xml:space="preserve"> "a person's property is not to be infringed" </w:t>
      </w:r>
      <w:r w:rsidR="00A03DA5" w:rsidRPr="006F7384">
        <w:t xml:space="preserve">upon </w:t>
      </w:r>
      <w:r w:rsidRPr="006F7384">
        <w:t>except by law</w:t>
      </w:r>
      <w:r w:rsidR="00A03DA5" w:rsidRPr="006F7384">
        <w:t xml:space="preserve">, </w:t>
      </w:r>
      <w:r w:rsidR="005D2179" w:rsidRPr="006F7384">
        <w:t xml:space="preserve">apparently </w:t>
      </w:r>
      <w:r w:rsidR="00A03DA5" w:rsidRPr="006F7384">
        <w:t>reinforced this recognition</w:t>
      </w:r>
      <w:r w:rsidRPr="006F7384">
        <w:t>.</w:t>
      </w:r>
      <w:r w:rsidR="00A03DA5" w:rsidRPr="006F7384">
        <w:rPr>
          <w:rStyle w:val="FootnoteReference"/>
        </w:rPr>
        <w:footnoteReference w:id="81"/>
      </w:r>
      <w:r w:rsidR="00A03DA5" w:rsidRPr="006F7384">
        <w:t xml:space="preserve"> </w:t>
      </w:r>
      <w:r w:rsidRPr="006F7384">
        <w:t xml:space="preserve">However, the </w:t>
      </w:r>
      <w:r w:rsidR="00A03DA5" w:rsidRPr="006F7384">
        <w:t xml:space="preserve">courts’ </w:t>
      </w:r>
      <w:r w:rsidRPr="006F7384">
        <w:t>jurisdiction to carry out constitutional review</w:t>
      </w:r>
      <w:r w:rsidR="00A03DA5" w:rsidRPr="006F7384">
        <w:t>s</w:t>
      </w:r>
      <w:r w:rsidRPr="006F7384">
        <w:t xml:space="preserve"> of expropriations and planning </w:t>
      </w:r>
      <w:r w:rsidR="00A03DA5" w:rsidRPr="006F7384">
        <w:t>infringements</w:t>
      </w:r>
      <w:r w:rsidRPr="006F7384">
        <w:t xml:space="preserve"> to </w:t>
      </w:r>
      <w:r w:rsidR="005D2179" w:rsidRPr="006F7384">
        <w:t>real-estate</w:t>
      </w:r>
      <w:r w:rsidRPr="006F7384">
        <w:t xml:space="preserve"> was limited </w:t>
      </w:r>
      <w:r w:rsidR="00A03DA5" w:rsidRPr="006F7384">
        <w:t>a priori by</w:t>
      </w:r>
      <w:r w:rsidRPr="006F7384">
        <w:t xml:space="preserve"> the </w:t>
      </w:r>
      <w:r w:rsidR="00A03DA5" w:rsidRPr="006F7384">
        <w:t xml:space="preserve">article on preservation </w:t>
      </w:r>
      <w:r w:rsidRPr="006F7384">
        <w:t>of laws in the Basic Law (</w:t>
      </w:r>
      <w:r w:rsidR="00A03DA5" w:rsidRPr="006F7384">
        <w:t>Article</w:t>
      </w:r>
      <w:r w:rsidRPr="006F7384">
        <w:t xml:space="preserve"> 10), according to which the </w:t>
      </w:r>
      <w:r w:rsidR="00A03DA5" w:rsidRPr="006F7384">
        <w:t>L</w:t>
      </w:r>
      <w:r w:rsidRPr="006F7384">
        <w:t xml:space="preserve">aw </w:t>
      </w:r>
      <w:r w:rsidR="005D2179" w:rsidRPr="006F7384">
        <w:t>shall</w:t>
      </w:r>
      <w:r w:rsidRPr="006F7384">
        <w:t xml:space="preserve"> not apply to legislation </w:t>
      </w:r>
      <w:r w:rsidR="00A03DA5" w:rsidRPr="006F7384">
        <w:t xml:space="preserve">enacted </w:t>
      </w:r>
      <w:r w:rsidRPr="006F7384">
        <w:t xml:space="preserve">prior to its entry into force. </w:t>
      </w:r>
      <w:r w:rsidR="00A03DA5" w:rsidRPr="006F7384">
        <w:t>This restriction precluded the C</w:t>
      </w:r>
      <w:r w:rsidRPr="006F7384">
        <w:t>ourt</w:t>
      </w:r>
      <w:r w:rsidR="00A03DA5" w:rsidRPr="006F7384">
        <w:t>’s</w:t>
      </w:r>
      <w:r w:rsidRPr="006F7384">
        <w:t xml:space="preserve"> </w:t>
      </w:r>
      <w:r w:rsidR="00A03DA5" w:rsidRPr="006F7384">
        <w:t>authority to revoke</w:t>
      </w:r>
      <w:r w:rsidRPr="006F7384">
        <w:t xml:space="preserve"> </w:t>
      </w:r>
      <w:r w:rsidR="005D2179" w:rsidRPr="006F7384">
        <w:t>earlier legislation</w:t>
      </w:r>
      <w:r w:rsidRPr="006F7384">
        <w:t xml:space="preserve"> that infringe</w:t>
      </w:r>
      <w:r w:rsidR="005D2179" w:rsidRPr="006F7384">
        <w:t>s</w:t>
      </w:r>
      <w:r w:rsidRPr="006F7384">
        <w:t xml:space="preserve"> on private property. </w:t>
      </w:r>
      <w:r w:rsidR="00A03DA5" w:rsidRPr="006F7384">
        <w:t>All the same</w:t>
      </w:r>
      <w:r w:rsidRPr="006F7384">
        <w:t xml:space="preserve">, the Supreme Court adopted the approach </w:t>
      </w:r>
      <w:r w:rsidR="005D2179" w:rsidRPr="006F7384">
        <w:t>whereby</w:t>
      </w:r>
      <w:r w:rsidRPr="006F7384">
        <w:t xml:space="preserve"> it is </w:t>
      </w:r>
      <w:r w:rsidR="00A03DA5" w:rsidRPr="006F7384">
        <w:t>nonetheless</w:t>
      </w:r>
      <w:r w:rsidRPr="006F7384">
        <w:t xml:space="preserve"> authorized to interpret previous </w:t>
      </w:r>
      <w:r w:rsidR="00A03DA5" w:rsidRPr="006F7384">
        <w:t>legislation</w:t>
      </w:r>
      <w:r w:rsidRPr="006F7384">
        <w:t xml:space="preserve"> differently in light of the Basic Law. </w:t>
      </w:r>
      <w:r w:rsidR="005D2179" w:rsidRPr="006F7384">
        <w:t>In accordance with this approach, the C</w:t>
      </w:r>
      <w:r w:rsidRPr="006F7384">
        <w:t xml:space="preserve">ourt </w:t>
      </w:r>
      <w:r w:rsidR="00A03DA5" w:rsidRPr="006F7384">
        <w:t>does have the authority</w:t>
      </w:r>
      <w:r w:rsidRPr="006F7384">
        <w:t xml:space="preserve"> to carry out </w:t>
      </w:r>
      <w:r w:rsidRPr="006F7384">
        <w:lastRenderedPageBreak/>
        <w:t xml:space="preserve">judicial review of actions that rely on old legislation, while interpreting this legislation in a manner that </w:t>
      </w:r>
      <w:r w:rsidR="00A03DA5" w:rsidRPr="006F7384">
        <w:t>legitimates</w:t>
      </w:r>
      <w:r w:rsidRPr="006F7384">
        <w:t xml:space="preserve"> only actions that are consistent with the </w:t>
      </w:r>
      <w:r w:rsidR="00A03DA5" w:rsidRPr="006F7384">
        <w:t>tenets</w:t>
      </w:r>
      <w:r w:rsidRPr="006F7384">
        <w:t xml:space="preserve"> of the Basic Law.</w:t>
      </w:r>
      <w:r w:rsidR="00A03DA5" w:rsidRPr="006F7384">
        <w:rPr>
          <w:rStyle w:val="FootnoteReference"/>
        </w:rPr>
        <w:footnoteReference w:id="82"/>
      </w:r>
      <w:r w:rsidRPr="006F7384">
        <w:t xml:space="preserve"> </w:t>
      </w:r>
      <w:r w:rsidR="00FB6EC1" w:rsidRPr="006F7384">
        <w:t>Thus</w:t>
      </w:r>
      <w:r w:rsidRPr="006F7384">
        <w:t xml:space="preserve">, despite the </w:t>
      </w:r>
      <w:r w:rsidR="00FB6EC1" w:rsidRPr="006F7384">
        <w:t>qualifications</w:t>
      </w:r>
      <w:r w:rsidRPr="006F7384">
        <w:t xml:space="preserve">, the enactment of the Basic Law created </w:t>
      </w:r>
      <w:r w:rsidR="00FB6EC1" w:rsidRPr="006F7384">
        <w:t xml:space="preserve">among both jurists and landowners </w:t>
      </w:r>
      <w:r w:rsidRPr="006F7384">
        <w:t xml:space="preserve">far-reaching expectations for a </w:t>
      </w:r>
      <w:r w:rsidR="00FB6EC1" w:rsidRPr="006F7384">
        <w:t>“</w:t>
      </w:r>
      <w:r w:rsidRPr="006F7384">
        <w:t>revolution</w:t>
      </w:r>
      <w:r w:rsidR="00FB6EC1" w:rsidRPr="006F7384">
        <w:t>”</w:t>
      </w:r>
      <w:r w:rsidRPr="006F7384">
        <w:t xml:space="preserve"> </w:t>
      </w:r>
      <w:r w:rsidR="00FB6EC1" w:rsidRPr="006F7384">
        <w:t xml:space="preserve">that </w:t>
      </w:r>
      <w:r w:rsidRPr="006F7384">
        <w:t>would strengthen the protection</w:t>
      </w:r>
      <w:r w:rsidR="00FB6EC1" w:rsidRPr="006F7384">
        <w:t>s</w:t>
      </w:r>
      <w:r w:rsidRPr="006F7384">
        <w:t xml:space="preserve"> of private property </w:t>
      </w:r>
      <w:r w:rsidR="004127CE">
        <w:t xml:space="preserve">in real-estate </w:t>
      </w:r>
      <w:r w:rsidR="00FB6EC1" w:rsidRPr="006F7384">
        <w:t xml:space="preserve">in comparison to the protections that existed before </w:t>
      </w:r>
      <w:r w:rsidRPr="006F7384">
        <w:t>the Basic Law</w:t>
      </w:r>
      <w:r w:rsidR="00FB6EC1" w:rsidRPr="006F7384">
        <w:t xml:space="preserve"> was enacted</w:t>
      </w:r>
      <w:r w:rsidRPr="006F7384">
        <w:t>.</w:t>
      </w:r>
      <w:r w:rsidR="00FB6EC1" w:rsidRPr="006F7384">
        <w:rPr>
          <w:rStyle w:val="FootnoteReference"/>
        </w:rPr>
        <w:footnoteReference w:id="83"/>
      </w:r>
      <w:r w:rsidRPr="006F7384">
        <w:t xml:space="preserve"> The interpretive </w:t>
      </w:r>
      <w:r w:rsidR="00FB6EC1" w:rsidRPr="006F7384">
        <w:t>transformation</w:t>
      </w:r>
      <w:r w:rsidRPr="006F7384">
        <w:t xml:space="preserve"> is also reflected in the rhetoric of the courts themselves.</w:t>
      </w:r>
      <w:r w:rsidR="00FB6EC1" w:rsidRPr="006F7384">
        <w:rPr>
          <w:rStyle w:val="FootnoteReference"/>
        </w:rPr>
        <w:footnoteReference w:id="84"/>
      </w:r>
      <w:r w:rsidRPr="006F7384">
        <w:t xml:space="preserve"> However, in practice</w:t>
      </w:r>
      <w:r w:rsidR="00B06A02" w:rsidRPr="006F7384">
        <w:t>,</w:t>
      </w:r>
      <w:r w:rsidRPr="006F7384">
        <w:t xml:space="preserve"> the expectations for change</w:t>
      </w:r>
      <w:r w:rsidR="00FB6EC1" w:rsidRPr="006F7384">
        <w:t>, as well as</w:t>
      </w:r>
      <w:r w:rsidRPr="006F7384">
        <w:t xml:space="preserve"> the </w:t>
      </w:r>
      <w:r w:rsidR="00FB6EC1" w:rsidRPr="006F7384">
        <w:t>pronouncements</w:t>
      </w:r>
      <w:r w:rsidRPr="006F7384">
        <w:t xml:space="preserve"> </w:t>
      </w:r>
      <w:r w:rsidR="00FB6EC1" w:rsidRPr="006F7384">
        <w:t>on</w:t>
      </w:r>
      <w:r w:rsidRPr="006F7384">
        <w:t xml:space="preserve"> its occurrence</w:t>
      </w:r>
      <w:r w:rsidR="00FB6EC1" w:rsidRPr="006F7384">
        <w:t>,</w:t>
      </w:r>
      <w:r w:rsidRPr="006F7384">
        <w:t xml:space="preserve"> were </w:t>
      </w:r>
      <w:r w:rsidR="00FB6EC1" w:rsidRPr="006F7384">
        <w:t xml:space="preserve">both </w:t>
      </w:r>
      <w:r w:rsidRPr="006F7384">
        <w:t xml:space="preserve">exaggerated. The </w:t>
      </w:r>
      <w:r w:rsidR="00B06A02" w:rsidRPr="006F7384">
        <w:t xml:space="preserve">Court’s </w:t>
      </w:r>
      <w:r w:rsidRPr="006F7384">
        <w:t xml:space="preserve">willingness to </w:t>
      </w:r>
      <w:r w:rsidR="00B06A02" w:rsidRPr="006F7384">
        <w:t>effect a</w:t>
      </w:r>
      <w:r w:rsidRPr="006F7384">
        <w:t xml:space="preserve"> change in the law</w:t>
      </w:r>
      <w:r w:rsidR="00B06A02" w:rsidRPr="006F7384">
        <w:t>s</w:t>
      </w:r>
      <w:r w:rsidRPr="006F7384">
        <w:t xml:space="preserve"> of </w:t>
      </w:r>
      <w:r w:rsidR="000A1264" w:rsidRPr="006F7384">
        <w:t xml:space="preserve">land </w:t>
      </w:r>
      <w:r w:rsidRPr="006F7384">
        <w:t xml:space="preserve">expropriation and </w:t>
      </w:r>
      <w:r w:rsidR="000A1264" w:rsidRPr="006F7384">
        <w:t>planning infringement</w:t>
      </w:r>
      <w:r w:rsidRPr="006F7384">
        <w:t xml:space="preserve"> was limited. We shall demonstrate </w:t>
      </w:r>
      <w:r w:rsidR="00587C8D" w:rsidRPr="006F7384">
        <w:t xml:space="preserve">this </w:t>
      </w:r>
      <w:r w:rsidRPr="006F7384">
        <w:t xml:space="preserve">below </w:t>
      </w:r>
      <w:r w:rsidR="00587C8D" w:rsidRPr="006F7384">
        <w:t>through</w:t>
      </w:r>
      <w:r w:rsidRPr="006F7384">
        <w:t xml:space="preserve"> two main ways of </w:t>
      </w:r>
      <w:r w:rsidR="00587C8D" w:rsidRPr="006F7384">
        <w:t>infringing up</w:t>
      </w:r>
      <w:r w:rsidR="00BD3F61">
        <w:t>on</w:t>
      </w:r>
      <w:r w:rsidRPr="006F7384">
        <w:t xml:space="preserve"> real</w:t>
      </w:r>
      <w:r w:rsidR="00B06A02" w:rsidRPr="006F7384">
        <w:t>-</w:t>
      </w:r>
      <w:r w:rsidRPr="006F7384">
        <w:t xml:space="preserve">estate: the </w:t>
      </w:r>
      <w:r w:rsidR="00587C8D" w:rsidRPr="006F7384">
        <w:t>actual</w:t>
      </w:r>
      <w:r w:rsidRPr="006F7384">
        <w:t xml:space="preserve"> </w:t>
      </w:r>
      <w:r w:rsidR="00B06A02" w:rsidRPr="006F7384">
        <w:t>authority</w:t>
      </w:r>
      <w:r w:rsidRPr="006F7384">
        <w:t xml:space="preserve"> to carry out expropriation of land and the obligation to </w:t>
      </w:r>
      <w:r w:rsidR="00587C8D" w:rsidRPr="006F7384">
        <w:t>provide just</w:t>
      </w:r>
      <w:r w:rsidRPr="006F7384">
        <w:t xml:space="preserve"> compensation for land expropriations and infringements.</w:t>
      </w:r>
    </w:p>
    <w:p w14:paraId="2B8B30EF" w14:textId="223B946C" w:rsidR="00587C8D" w:rsidRPr="006F7384" w:rsidRDefault="000C6E95" w:rsidP="00BD3F61">
      <w:pPr>
        <w:bidi w:val="0"/>
        <w:spacing w:line="480" w:lineRule="auto"/>
        <w:jc w:val="both"/>
      </w:pPr>
      <w:r w:rsidRPr="006F7384">
        <w:t xml:space="preserve">One of the areas in which </w:t>
      </w:r>
      <w:r w:rsidR="006A5284" w:rsidRPr="006F7384">
        <w:t>one might</w:t>
      </w:r>
      <w:r w:rsidRPr="006F7384">
        <w:t xml:space="preserve"> expect </w:t>
      </w:r>
      <w:r w:rsidR="006A5284" w:rsidRPr="006F7384">
        <w:t xml:space="preserve">to find expanded </w:t>
      </w:r>
      <w:r w:rsidRPr="006F7384">
        <w:t xml:space="preserve">judicial review of the expropriation laws is the framework of the </w:t>
      </w:r>
      <w:r w:rsidR="00BD3F61" w:rsidRPr="006F7384">
        <w:t>authority</w:t>
      </w:r>
      <w:r w:rsidRPr="006F7384">
        <w:t xml:space="preserve"> to expropriate. The two central laws dealing with expropriation in Israel, the Lands Ordinance of 1943 and the Planning and Building Law of 1965, define the purpose permitt</w:t>
      </w:r>
      <w:r w:rsidR="006A5284" w:rsidRPr="006F7384">
        <w:t>ing</w:t>
      </w:r>
      <w:r w:rsidRPr="006F7384">
        <w:t xml:space="preserve"> expropriation by means of the broad term "public </w:t>
      </w:r>
      <w:r w:rsidR="006A5284" w:rsidRPr="006F7384">
        <w:t>need</w:t>
      </w:r>
      <w:r w:rsidRPr="006F7384">
        <w:t>."</w:t>
      </w:r>
      <w:r w:rsidR="006A5284" w:rsidRPr="006F7384">
        <w:rPr>
          <w:rStyle w:val="FootnoteReference"/>
        </w:rPr>
        <w:footnoteReference w:id="85"/>
      </w:r>
      <w:r w:rsidRPr="006F7384">
        <w:t xml:space="preserve"> A similar term</w:t>
      </w:r>
      <w:r w:rsidR="006A5284" w:rsidRPr="006F7384">
        <w:t>, “public use,”</w:t>
      </w:r>
      <w:r w:rsidRPr="006F7384">
        <w:t xml:space="preserve"> is recognized in the American Constitution.</w:t>
      </w:r>
      <w:r w:rsidR="00C91DE4">
        <w:rPr>
          <w:rStyle w:val="FootnoteReference"/>
        </w:rPr>
        <w:footnoteReference w:id="86"/>
      </w:r>
      <w:r w:rsidRPr="006F7384">
        <w:t xml:space="preserve"> This term can be interpreted narrowly, </w:t>
      </w:r>
      <w:r w:rsidR="006A5284" w:rsidRPr="006F7384">
        <w:t>to include</w:t>
      </w:r>
      <w:r w:rsidRPr="006F7384">
        <w:t xml:space="preserve"> only the use </w:t>
      </w:r>
      <w:r w:rsidRPr="00BD3F61">
        <w:rPr>
          <w:highlight w:val="yellow"/>
        </w:rPr>
        <w:t>of</w:t>
      </w:r>
      <w:r w:rsidR="00BD3F61" w:rsidRPr="00BD3F61">
        <w:rPr>
          <w:highlight w:val="yellow"/>
        </w:rPr>
        <w:t>/by</w:t>
      </w:r>
      <w:r w:rsidRPr="006F7384">
        <w:t xml:space="preserve"> the public, </w:t>
      </w:r>
      <w:r w:rsidR="006A5284" w:rsidRPr="006F7384">
        <w:t>as well as</w:t>
      </w:r>
      <w:r w:rsidRPr="006F7384">
        <w:t xml:space="preserve"> broadly, </w:t>
      </w:r>
      <w:r w:rsidR="006A5284" w:rsidRPr="006F7384">
        <w:t xml:space="preserve">to indicate any </w:t>
      </w:r>
      <w:r w:rsidRPr="006F7384">
        <w:t>pub</w:t>
      </w:r>
      <w:r w:rsidR="006A5284" w:rsidRPr="006F7384">
        <w:t>l</w:t>
      </w:r>
      <w:r w:rsidRPr="006F7384">
        <w:t xml:space="preserve">ic purpose. The narrow interpretation does not allow the expropriation of lands for the purpose of transferring them to private </w:t>
      </w:r>
      <w:r w:rsidRPr="006F7384">
        <w:lastRenderedPageBreak/>
        <w:t>entities or individuals, while the broad</w:t>
      </w:r>
      <w:r w:rsidR="006A5284" w:rsidRPr="006F7384">
        <w:t>er</w:t>
      </w:r>
      <w:r w:rsidRPr="006F7384">
        <w:t xml:space="preserve"> interpretation allows expropriation also for the purpose of transferring them to private entities or individuals, as long as this transfer fulfills </w:t>
      </w:r>
      <w:r w:rsidR="00B06A02" w:rsidRPr="006F7384">
        <w:t>its</w:t>
      </w:r>
      <w:r w:rsidRPr="006F7384">
        <w:t xml:space="preserve"> public purpose. The </w:t>
      </w:r>
      <w:r w:rsidR="00B06A02" w:rsidRPr="006F7384">
        <w:t xml:space="preserve">United States </w:t>
      </w:r>
      <w:r w:rsidRPr="006F7384">
        <w:t xml:space="preserve">Supreme Court </w:t>
      </w:r>
      <w:r w:rsidR="006A5284" w:rsidRPr="006F7384">
        <w:t xml:space="preserve">has </w:t>
      </w:r>
      <w:r w:rsidR="00B06A02" w:rsidRPr="006F7384">
        <w:t>debated</w:t>
      </w:r>
      <w:r w:rsidRPr="006F7384">
        <w:t xml:space="preserve"> these two </w:t>
      </w:r>
      <w:r w:rsidR="006A5284" w:rsidRPr="006F7384">
        <w:t>possible interpretations</w:t>
      </w:r>
      <w:r w:rsidRPr="006F7384">
        <w:t xml:space="preserve"> and </w:t>
      </w:r>
      <w:r w:rsidR="00F1109A" w:rsidRPr="006F7384">
        <w:t>the majority has favored</w:t>
      </w:r>
      <w:r w:rsidR="006A5284" w:rsidRPr="006F7384">
        <w:t xml:space="preserve"> </w:t>
      </w:r>
      <w:r w:rsidRPr="006F7384">
        <w:t>the broad interpretation.</w:t>
      </w:r>
      <w:r w:rsidR="006A5284" w:rsidRPr="006F7384">
        <w:rPr>
          <w:rStyle w:val="FootnoteReference"/>
        </w:rPr>
        <w:footnoteReference w:id="87"/>
      </w:r>
      <w:r w:rsidRPr="006F7384">
        <w:t xml:space="preserve"> This is also the </w:t>
      </w:r>
      <w:r w:rsidR="00BD3F61">
        <w:t>perspective</w:t>
      </w:r>
      <w:r w:rsidRPr="006F7384">
        <w:t xml:space="preserve"> of the Israeli Supreme Court. Many of the </w:t>
      </w:r>
      <w:r w:rsidR="006A5284" w:rsidRPr="006F7384">
        <w:t xml:space="preserve">land </w:t>
      </w:r>
      <w:r w:rsidRPr="006F7384">
        <w:t xml:space="preserve">expropriations in Israel were </w:t>
      </w:r>
      <w:r w:rsidR="00F1109A" w:rsidRPr="006F7384">
        <w:t>undertaken</w:t>
      </w:r>
      <w:r w:rsidR="006A5284" w:rsidRPr="006F7384">
        <w:t xml:space="preserve"> for purpose of</w:t>
      </w:r>
      <w:r w:rsidRPr="006F7384">
        <w:t xml:space="preserve"> </w:t>
      </w:r>
      <w:r w:rsidR="006A5284" w:rsidRPr="006F7384">
        <w:t>constructing</w:t>
      </w:r>
      <w:r w:rsidRPr="006F7384">
        <w:t xml:space="preserve"> residential neighborhoods that were </w:t>
      </w:r>
      <w:r w:rsidR="00F1109A" w:rsidRPr="006F7384">
        <w:t xml:space="preserve">ultimately </w:t>
      </w:r>
      <w:r w:rsidRPr="006F7384">
        <w:t>given to individuals. The public reason</w:t>
      </w:r>
      <w:r w:rsidR="004E50E8" w:rsidRPr="006F7384">
        <w:t>ing</w:t>
      </w:r>
      <w:r w:rsidRPr="006F7384">
        <w:t xml:space="preserve"> for the expropriation was usually</w:t>
      </w:r>
      <w:r w:rsidR="004E50E8" w:rsidRPr="006F7384">
        <w:t xml:space="preserve"> that </w:t>
      </w:r>
      <w:r w:rsidRPr="006F7384">
        <w:t xml:space="preserve">the land </w:t>
      </w:r>
      <w:r w:rsidR="004E50E8" w:rsidRPr="006F7384">
        <w:t xml:space="preserve">was </w:t>
      </w:r>
      <w:r w:rsidR="00F1109A" w:rsidRPr="006F7384">
        <w:t>distributed</w:t>
      </w:r>
      <w:r w:rsidR="004E50E8" w:rsidRPr="006F7384">
        <w:t xml:space="preserve"> </w:t>
      </w:r>
      <w:r w:rsidRPr="006F7384">
        <w:t xml:space="preserve">between </w:t>
      </w:r>
      <w:r w:rsidR="00F1109A" w:rsidRPr="006F7384">
        <w:t>multiple</w:t>
      </w:r>
      <w:r w:rsidRPr="006F7384">
        <w:t xml:space="preserve"> private owners, </w:t>
      </w:r>
      <w:r w:rsidR="00F1109A" w:rsidRPr="006F7384">
        <w:t>creating</w:t>
      </w:r>
      <w:r w:rsidRPr="006F7384">
        <w:t xml:space="preserve"> coordination problems that prevented development and </w:t>
      </w:r>
      <w:r w:rsidR="004E50E8" w:rsidRPr="006F7384">
        <w:t xml:space="preserve">thus </w:t>
      </w:r>
      <w:r w:rsidRPr="006F7384">
        <w:t>required expropriation.</w:t>
      </w:r>
      <w:r w:rsidR="004E50E8" w:rsidRPr="006F7384">
        <w:rPr>
          <w:rStyle w:val="FootnoteReference"/>
        </w:rPr>
        <w:footnoteReference w:id="88"/>
      </w:r>
      <w:r w:rsidRPr="006F7384">
        <w:t xml:space="preserve"> Following the enactment of the Basic Law: Human Dignity and Liberty, an attempt was made to challenge the broad</w:t>
      </w:r>
      <w:r w:rsidR="00BD3F61">
        <w:t>er</w:t>
      </w:r>
      <w:r w:rsidRPr="006F7384">
        <w:t xml:space="preserve"> interpretation. </w:t>
      </w:r>
      <w:r w:rsidR="004E50E8" w:rsidRPr="006F7384">
        <w:t>Petitioners in the Nusseibeh case</w:t>
      </w:r>
      <w:r w:rsidRPr="006F7384">
        <w:t xml:space="preserve"> argued that</w:t>
      </w:r>
      <w:r w:rsidR="004E50E8" w:rsidRPr="006F7384">
        <w:t>,</w:t>
      </w:r>
      <w:r w:rsidRPr="006F7384">
        <w:t xml:space="preserve"> following the enactment of the Basic Law and the tests set forth therein, there </w:t>
      </w:r>
      <w:r w:rsidR="004E50E8" w:rsidRPr="006F7384">
        <w:t>were</w:t>
      </w:r>
      <w:r w:rsidRPr="006F7384">
        <w:t xml:space="preserve"> no longer </w:t>
      </w:r>
      <w:r w:rsidR="004E50E8" w:rsidRPr="006F7384">
        <w:t>grounds</w:t>
      </w:r>
      <w:r w:rsidRPr="006F7384">
        <w:t xml:space="preserve"> to expropriate land for a public purpose that the petitioners </w:t>
      </w:r>
      <w:r w:rsidR="004E50E8" w:rsidRPr="006F7384">
        <w:t>could</w:t>
      </w:r>
      <w:r w:rsidRPr="006F7384">
        <w:t xml:space="preserve"> carry out on their own.</w:t>
      </w:r>
      <w:r w:rsidR="004E50E8" w:rsidRPr="006F7384">
        <w:rPr>
          <w:rStyle w:val="FootnoteReference"/>
        </w:rPr>
        <w:footnoteReference w:id="89"/>
      </w:r>
      <w:r w:rsidRPr="006F7384">
        <w:t xml:space="preserve"> A minority of </w:t>
      </w:r>
      <w:r w:rsidR="00BD3F61">
        <w:t xml:space="preserve">the </w:t>
      </w:r>
      <w:r w:rsidRPr="006F7384">
        <w:t xml:space="preserve">Supreme Court justices held that in light of the Basic Law there was no longer justification for expropriating land for such a purpose and that market forces should be allowed to </w:t>
      </w:r>
      <w:r w:rsidR="00F1109A" w:rsidRPr="006F7384">
        <w:t>re</w:t>
      </w:r>
      <w:r w:rsidRPr="006F7384">
        <w:t>solve the problem of coordination.</w:t>
      </w:r>
      <w:r w:rsidR="004E50E8" w:rsidRPr="006F7384">
        <w:rPr>
          <w:rStyle w:val="FootnoteReference"/>
        </w:rPr>
        <w:footnoteReference w:id="90"/>
      </w:r>
      <w:r w:rsidRPr="006F7384">
        <w:t xml:space="preserve"> The majority opinion, on the other hand, </w:t>
      </w:r>
      <w:r w:rsidR="004E50E8" w:rsidRPr="006F7384">
        <w:t>held</w:t>
      </w:r>
      <w:r w:rsidRPr="006F7384">
        <w:t xml:space="preserve"> that the market failure inherent in the problem of coordination between </w:t>
      </w:r>
      <w:r w:rsidR="004E50E8" w:rsidRPr="006F7384">
        <w:t>multiple</w:t>
      </w:r>
      <w:r w:rsidRPr="006F7384">
        <w:t xml:space="preserve"> owners would lead to an intolerable delay in carrying out the purpose of the expropriation, and therefore such expropriations should be permitted.</w:t>
      </w:r>
      <w:r w:rsidR="004E50E8" w:rsidRPr="006F7384">
        <w:rPr>
          <w:rStyle w:val="FootnoteReference"/>
        </w:rPr>
        <w:footnoteReference w:id="91"/>
      </w:r>
      <w:r w:rsidR="004E50E8" w:rsidRPr="006F7384">
        <w:t xml:space="preserve"> The C</w:t>
      </w:r>
      <w:r w:rsidRPr="006F7384">
        <w:t xml:space="preserve">ourt adhered to this </w:t>
      </w:r>
      <w:r w:rsidR="004E50E8" w:rsidRPr="006F7384">
        <w:t>position</w:t>
      </w:r>
      <w:r w:rsidRPr="006F7384">
        <w:t xml:space="preserve"> even when the owners of the land who wanted to realize the commercial purpose of the expropriation themselves were not </w:t>
      </w:r>
      <w:r w:rsidRPr="006F7384">
        <w:lastRenderedPageBreak/>
        <w:t xml:space="preserve">Palestinian residents of East Jerusalem, as in the Nusseibeh </w:t>
      </w:r>
      <w:r w:rsidR="004E50E8" w:rsidRPr="006F7384">
        <w:t>case</w:t>
      </w:r>
      <w:r w:rsidRPr="006F7384">
        <w:t xml:space="preserve">, but </w:t>
      </w:r>
      <w:r w:rsidR="004E50E8" w:rsidRPr="006F7384">
        <w:t xml:space="preserve">also when </w:t>
      </w:r>
      <w:r w:rsidRPr="006F7384">
        <w:t>an Israeli businessman an</w:t>
      </w:r>
      <w:r w:rsidR="004E50E8" w:rsidRPr="006F7384">
        <w:t>d even the Jewish National Fund</w:t>
      </w:r>
      <w:r w:rsidRPr="006F7384">
        <w:t xml:space="preserve"> declared their desire to </w:t>
      </w:r>
      <w:r w:rsidR="00F1109A" w:rsidRPr="006F7384">
        <w:t>realize themselves</w:t>
      </w:r>
      <w:r w:rsidRPr="006F7384">
        <w:t xml:space="preserve"> a commercial project on land </w:t>
      </w:r>
      <w:r w:rsidR="004E50E8" w:rsidRPr="006F7384">
        <w:t>expropriated by</w:t>
      </w:r>
      <w:r w:rsidRPr="006F7384">
        <w:t xml:space="preserve"> the municipality in the heart of </w:t>
      </w:r>
      <w:r w:rsidR="004E50E8" w:rsidRPr="006F7384">
        <w:t>Tel Aviv</w:t>
      </w:r>
      <w:r w:rsidRPr="006F7384">
        <w:t>.</w:t>
      </w:r>
      <w:r w:rsidR="004E50E8" w:rsidRPr="006F7384">
        <w:rPr>
          <w:rStyle w:val="FootnoteReference"/>
        </w:rPr>
        <w:footnoteReference w:id="92"/>
      </w:r>
      <w:r w:rsidRPr="006F7384">
        <w:t xml:space="preserve"> Moreover, the courts refused to </w:t>
      </w:r>
      <w:r w:rsidR="007B4CB2" w:rsidRPr="006F7384">
        <w:t>invalidate</w:t>
      </w:r>
      <w:r w:rsidRPr="006F7384">
        <w:t xml:space="preserve"> expropriations for public purposes even when the realization of th</w:t>
      </w:r>
      <w:r w:rsidR="007B4CB2" w:rsidRPr="006F7384">
        <w:t>at</w:t>
      </w:r>
      <w:r w:rsidRPr="006F7384">
        <w:t xml:space="preserve"> public purpose was delayed for decades after the expropriation. Such a delay ostensibly indicates that </w:t>
      </w:r>
      <w:r w:rsidR="007B4CB2" w:rsidRPr="006F7384">
        <w:t xml:space="preserve">the </w:t>
      </w:r>
      <w:r w:rsidRPr="006F7384">
        <w:t xml:space="preserve">expropriation </w:t>
      </w:r>
      <w:r w:rsidR="007B4CB2" w:rsidRPr="006F7384">
        <w:t>was no</w:t>
      </w:r>
      <w:r w:rsidRPr="006F7384">
        <w:t xml:space="preserve"> better </w:t>
      </w:r>
      <w:r w:rsidR="00BD3F61" w:rsidRPr="006F7384">
        <w:t>a</w:t>
      </w:r>
      <w:r w:rsidR="00BD3F61" w:rsidRPr="006F7384">
        <w:t xml:space="preserve"> </w:t>
      </w:r>
      <w:r w:rsidRPr="006F7384">
        <w:t xml:space="preserve">solution than waiting for market forces. The constitutional protection of private property in the Basic Law: Human Dignity and Liberty did not convince the </w:t>
      </w:r>
      <w:r w:rsidR="007B4CB2" w:rsidRPr="006F7384">
        <w:t>C</w:t>
      </w:r>
      <w:r w:rsidRPr="006F7384">
        <w:t xml:space="preserve">ourt that </w:t>
      </w:r>
      <w:r w:rsidR="007B4CB2" w:rsidRPr="006F7384">
        <w:t>a</w:t>
      </w:r>
      <w:r w:rsidRPr="006F7384">
        <w:t xml:space="preserve"> change </w:t>
      </w:r>
      <w:r w:rsidR="00BD3F61">
        <w:t>to</w:t>
      </w:r>
      <w:r w:rsidRPr="006F7384">
        <w:t xml:space="preserve"> this approach</w:t>
      </w:r>
      <w:r w:rsidR="007B4CB2" w:rsidRPr="006F7384">
        <w:t xml:space="preserve"> was needed</w:t>
      </w:r>
      <w:r w:rsidRPr="006F7384">
        <w:t>.</w:t>
      </w:r>
      <w:r w:rsidR="007B4CB2" w:rsidRPr="006F7384">
        <w:rPr>
          <w:rStyle w:val="FootnoteReference"/>
        </w:rPr>
        <w:footnoteReference w:id="93"/>
      </w:r>
      <w:r w:rsidRPr="006F7384">
        <w:t xml:space="preserve"> </w:t>
      </w:r>
      <w:r w:rsidR="00F1109A" w:rsidRPr="006F7384">
        <w:t>What ultimately brought about a</w:t>
      </w:r>
      <w:r w:rsidR="007B4CB2" w:rsidRPr="006F7384">
        <w:t xml:space="preserve"> change in this area was legislation, which</w:t>
      </w:r>
      <w:r w:rsidRPr="006F7384">
        <w:t xml:space="preserve"> in 2010 </w:t>
      </w:r>
      <w:r w:rsidR="00BD3F61" w:rsidRPr="006F7384">
        <w:t>enacted</w:t>
      </w:r>
      <w:r w:rsidR="00BD3F61" w:rsidRPr="006F7384">
        <w:t xml:space="preserve"> </w:t>
      </w:r>
      <w:r w:rsidRPr="006F7384">
        <w:t xml:space="preserve">the obligation to </w:t>
      </w:r>
      <w:r w:rsidR="004F06A5" w:rsidRPr="006F7384">
        <w:t>specify</w:t>
      </w:r>
      <w:r w:rsidRPr="006F7384">
        <w:t xml:space="preserve"> a date for the </w:t>
      </w:r>
      <w:r w:rsidR="007B4CB2" w:rsidRPr="006F7384">
        <w:t xml:space="preserve">execution of </w:t>
      </w:r>
      <w:r w:rsidR="004F06A5" w:rsidRPr="006F7384">
        <w:t xml:space="preserve">an </w:t>
      </w:r>
      <w:r w:rsidRPr="006F7384">
        <w:t>expropriation</w:t>
      </w:r>
      <w:r w:rsidR="007B4CB2" w:rsidRPr="006F7384">
        <w:t>,</w:t>
      </w:r>
      <w:r w:rsidRPr="006F7384">
        <w:t xml:space="preserve"> and </w:t>
      </w:r>
      <w:r w:rsidR="007B4CB2" w:rsidRPr="006F7384">
        <w:t>furthermore</w:t>
      </w:r>
      <w:r w:rsidR="004F06A5" w:rsidRPr="006F7384">
        <w:t>,</w:t>
      </w:r>
      <w:r w:rsidR="007B4CB2" w:rsidRPr="006F7384">
        <w:t xml:space="preserve"> </w:t>
      </w:r>
      <w:r w:rsidR="004F06A5" w:rsidRPr="006F7384">
        <w:t>established</w:t>
      </w:r>
      <w:r w:rsidRPr="006F7384">
        <w:t xml:space="preserve"> a right to </w:t>
      </w:r>
      <w:r w:rsidR="007B4CB2" w:rsidRPr="006F7384">
        <w:t>recover</w:t>
      </w:r>
      <w:r w:rsidRPr="006F7384">
        <w:t xml:space="preserve"> land that was expropriated in the event that its purpose was not realized within the time</w:t>
      </w:r>
      <w:r w:rsidR="00BD3F61">
        <w:t xml:space="preserve"> frame</w:t>
      </w:r>
      <w:r w:rsidRPr="006F7384">
        <w:t xml:space="preserve"> specified.</w:t>
      </w:r>
      <w:r w:rsidR="007B4CB2" w:rsidRPr="006F7384">
        <w:rPr>
          <w:rStyle w:val="FootnoteReference"/>
        </w:rPr>
        <w:footnoteReference w:id="94"/>
      </w:r>
      <w:r w:rsidRPr="006F7384">
        <w:t xml:space="preserve"> However, this legislative amendment was not applied retroactively</w:t>
      </w:r>
      <w:r w:rsidR="004F06A5" w:rsidRPr="006F7384">
        <w:t>,</w:t>
      </w:r>
      <w:r w:rsidRPr="006F7384">
        <w:t xml:space="preserve"> </w:t>
      </w:r>
      <w:r w:rsidR="007B4CB2" w:rsidRPr="006F7384">
        <w:t>nor</w:t>
      </w:r>
      <w:r w:rsidRPr="006F7384">
        <w:t xml:space="preserve"> does </w:t>
      </w:r>
      <w:r w:rsidR="007B4CB2" w:rsidRPr="006F7384">
        <w:t>it</w:t>
      </w:r>
      <w:r w:rsidRPr="006F7384">
        <w:t xml:space="preserve"> apply to expropriations under the Planning and Building Law, which is the main law currently dealing with expropriations in Israel. T</w:t>
      </w:r>
      <w:r w:rsidR="007B4CB2" w:rsidRPr="006F7384">
        <w:t>hus, t</w:t>
      </w:r>
      <w:r w:rsidRPr="006F7384">
        <w:t xml:space="preserve">he relevance of the amendment </w:t>
      </w:r>
      <w:r w:rsidR="007B4CB2" w:rsidRPr="006F7384">
        <w:t>at present</w:t>
      </w:r>
      <w:r w:rsidRPr="006F7384">
        <w:t xml:space="preserve"> is very minor.</w:t>
      </w:r>
    </w:p>
    <w:p w14:paraId="5FD2BA8F" w14:textId="3F337273" w:rsidR="00860208" w:rsidRPr="006F7384" w:rsidRDefault="00860208" w:rsidP="009A7DCB">
      <w:pPr>
        <w:bidi w:val="0"/>
        <w:spacing w:line="480" w:lineRule="auto"/>
        <w:jc w:val="both"/>
      </w:pPr>
      <w:r w:rsidRPr="006F7384">
        <w:t xml:space="preserve">Yet another far-reaching transformation that could have been achieved through the interpretation of expropriation laws </w:t>
      </w:r>
      <w:r w:rsidR="000737AF" w:rsidRPr="006F7384">
        <w:t>has to do with</w:t>
      </w:r>
      <w:r w:rsidRPr="006F7384">
        <w:t xml:space="preserve"> cases in which the public </w:t>
      </w:r>
      <w:r w:rsidR="004F06A5" w:rsidRPr="006F7384">
        <w:t>need</w:t>
      </w:r>
      <w:r w:rsidRPr="006F7384">
        <w:t xml:space="preserve"> for which the expropriation was carried out </w:t>
      </w:r>
      <w:r w:rsidR="000737AF" w:rsidRPr="006F7384">
        <w:t xml:space="preserve">had </w:t>
      </w:r>
      <w:r w:rsidRPr="006F7384">
        <w:t>expired or was realized</w:t>
      </w:r>
      <w:r w:rsidR="004F06A5" w:rsidRPr="006F7384">
        <w:t>,</w:t>
      </w:r>
      <w:r w:rsidRPr="006F7384">
        <w:t xml:space="preserve"> and the land </w:t>
      </w:r>
      <w:r w:rsidR="004F06A5" w:rsidRPr="006F7384">
        <w:t>is</w:t>
      </w:r>
      <w:r w:rsidRPr="006F7384">
        <w:t xml:space="preserve"> no longer needed for a public purpose. </w:t>
      </w:r>
      <w:r w:rsidR="004F06A5" w:rsidRPr="006F7384">
        <w:t>In the Kar</w:t>
      </w:r>
      <w:r w:rsidR="000737AF" w:rsidRPr="006F7384">
        <w:t>sik case, the C</w:t>
      </w:r>
      <w:r w:rsidRPr="006F7384">
        <w:t xml:space="preserve">ourt </w:t>
      </w:r>
      <w:r w:rsidR="000737AF" w:rsidRPr="006F7384">
        <w:t>supposedly</w:t>
      </w:r>
      <w:r w:rsidRPr="006F7384">
        <w:t xml:space="preserve"> </w:t>
      </w:r>
      <w:r w:rsidR="0098035F" w:rsidRPr="006F7384">
        <w:t>created</w:t>
      </w:r>
      <w:r w:rsidRPr="006F7384">
        <w:t xml:space="preserve"> a revolution when it ruled that, in principle, </w:t>
      </w:r>
      <w:r w:rsidR="0098035F" w:rsidRPr="006F7384">
        <w:t>land must be returned to its original owners</w:t>
      </w:r>
      <w:r w:rsidR="0098035F" w:rsidRPr="006F7384">
        <w:t xml:space="preserve"> </w:t>
      </w:r>
      <w:r w:rsidRPr="006F7384">
        <w:lastRenderedPageBreak/>
        <w:t>when the purpo</w:t>
      </w:r>
      <w:r w:rsidR="0098035F" w:rsidRPr="006F7384">
        <w:t>se of the expropriation expires</w:t>
      </w:r>
      <w:r w:rsidRPr="006F7384">
        <w:t xml:space="preserve">. </w:t>
      </w:r>
      <w:r w:rsidR="000737AF" w:rsidRPr="006F7384">
        <w:t>The Court</w:t>
      </w:r>
      <w:r w:rsidRPr="006F7384">
        <w:t xml:space="preserve"> bases this </w:t>
      </w:r>
      <w:r w:rsidR="000737AF" w:rsidRPr="006F7384">
        <w:t xml:space="preserve">ruling </w:t>
      </w:r>
      <w:r w:rsidRPr="006F7384">
        <w:t xml:space="preserve">on a creative interpretation of the </w:t>
      </w:r>
      <w:r w:rsidR="000737AF" w:rsidRPr="006F7384">
        <w:t>authority</w:t>
      </w:r>
      <w:r w:rsidRPr="006F7384">
        <w:t xml:space="preserve"> to expropriate </w:t>
      </w:r>
      <w:r w:rsidR="000737AF" w:rsidRPr="006F7384">
        <w:t xml:space="preserve">for </w:t>
      </w:r>
      <w:r w:rsidRPr="006F7384">
        <w:t xml:space="preserve">"public </w:t>
      </w:r>
      <w:r w:rsidR="000737AF" w:rsidRPr="006F7384">
        <w:t>needs,</w:t>
      </w:r>
      <w:r w:rsidRPr="006F7384">
        <w:t xml:space="preserve">" </w:t>
      </w:r>
      <w:r w:rsidR="000737AF" w:rsidRPr="006F7384">
        <w:t>whereby</w:t>
      </w:r>
      <w:r w:rsidRPr="006F7384">
        <w:t xml:space="preserve"> </w:t>
      </w:r>
      <w:r w:rsidR="0098035F" w:rsidRPr="006F7384">
        <w:t>this</w:t>
      </w:r>
      <w:r w:rsidRPr="006F7384">
        <w:t xml:space="preserve"> ongoing authority expires when the public </w:t>
      </w:r>
      <w:r w:rsidR="000737AF" w:rsidRPr="006F7384">
        <w:t>need</w:t>
      </w:r>
      <w:r w:rsidRPr="006F7384">
        <w:t xml:space="preserve"> </w:t>
      </w:r>
      <w:r w:rsidR="000737AF" w:rsidRPr="006F7384">
        <w:t>for the expropriated land expires.</w:t>
      </w:r>
      <w:r w:rsidR="000737AF" w:rsidRPr="006F7384">
        <w:rPr>
          <w:rStyle w:val="FootnoteReference"/>
        </w:rPr>
        <w:footnoteReference w:id="95"/>
      </w:r>
      <w:r w:rsidRPr="006F7384">
        <w:t xml:space="preserve"> However, </w:t>
      </w:r>
      <w:r w:rsidR="000737AF" w:rsidRPr="006F7384">
        <w:t>this</w:t>
      </w:r>
      <w:r w:rsidRPr="006F7384">
        <w:t xml:space="preserve"> activist interpretation </w:t>
      </w:r>
      <w:r w:rsidR="000737AF" w:rsidRPr="006F7384">
        <w:t xml:space="preserve">by the Court </w:t>
      </w:r>
      <w:r w:rsidRPr="006F7384">
        <w:t xml:space="preserve">remains </w:t>
      </w:r>
      <w:r w:rsidR="000737AF" w:rsidRPr="006F7384">
        <w:t>a matter of principle only</w:t>
      </w:r>
      <w:r w:rsidRPr="006F7384">
        <w:t xml:space="preserve">. </w:t>
      </w:r>
      <w:r w:rsidR="000737AF" w:rsidRPr="006F7384">
        <w:t>The C</w:t>
      </w:r>
      <w:r w:rsidRPr="006F7384">
        <w:t xml:space="preserve">ourt was not prepared to rule </w:t>
      </w:r>
      <w:r w:rsidR="000737AF" w:rsidRPr="006F7384">
        <w:t xml:space="preserve">accordingly </w:t>
      </w:r>
      <w:r w:rsidRPr="006F7384">
        <w:t xml:space="preserve">in practice and to return </w:t>
      </w:r>
      <w:r w:rsidR="000737AF" w:rsidRPr="006F7384">
        <w:t xml:space="preserve">expropriated </w:t>
      </w:r>
      <w:r w:rsidRPr="006F7384">
        <w:t xml:space="preserve">land to </w:t>
      </w:r>
      <w:r w:rsidR="000737AF" w:rsidRPr="006F7384">
        <w:t>its</w:t>
      </w:r>
      <w:r w:rsidRPr="006F7384">
        <w:t xml:space="preserve"> owners. Instead, </w:t>
      </w:r>
      <w:r w:rsidR="000737AF" w:rsidRPr="006F7384">
        <w:t>it</w:t>
      </w:r>
      <w:r w:rsidRPr="006F7384">
        <w:t xml:space="preserve"> </w:t>
      </w:r>
      <w:r w:rsidR="0098035F" w:rsidRPr="006F7384">
        <w:t>instructed</w:t>
      </w:r>
      <w:r w:rsidRPr="006F7384">
        <w:t xml:space="preserve"> the legislat</w:t>
      </w:r>
      <w:r w:rsidR="000737AF" w:rsidRPr="006F7384">
        <w:t>ure</w:t>
      </w:r>
      <w:r w:rsidRPr="006F7384">
        <w:t xml:space="preserve"> to </w:t>
      </w:r>
      <w:r w:rsidR="0098035F" w:rsidRPr="006F7384">
        <w:t>work out</w:t>
      </w:r>
      <w:r w:rsidRPr="006F7384">
        <w:t xml:space="preserve"> the details of the arrangement. </w:t>
      </w:r>
      <w:r w:rsidR="000737AF" w:rsidRPr="006F7384">
        <w:t>The legislature</w:t>
      </w:r>
      <w:r w:rsidRPr="006F7384">
        <w:t xml:space="preserve"> </w:t>
      </w:r>
      <w:r w:rsidR="000737AF" w:rsidRPr="006F7384">
        <w:t>consequently</w:t>
      </w:r>
      <w:r w:rsidRPr="006F7384">
        <w:t xml:space="preserve"> </w:t>
      </w:r>
      <w:r w:rsidR="0098035F" w:rsidRPr="006F7384">
        <w:t>labored</w:t>
      </w:r>
      <w:r w:rsidRPr="006F7384">
        <w:t xml:space="preserve"> on a proposed legislation that </w:t>
      </w:r>
      <w:r w:rsidR="000737AF" w:rsidRPr="006F7384">
        <w:t>overrode the C</w:t>
      </w:r>
      <w:r w:rsidRPr="006F7384">
        <w:t xml:space="preserve">ourt's </w:t>
      </w:r>
      <w:r w:rsidR="000737AF" w:rsidRPr="006F7384">
        <w:t xml:space="preserve">ruling in </w:t>
      </w:r>
      <w:r w:rsidRPr="006F7384">
        <w:t xml:space="preserve">principle </w:t>
      </w:r>
      <w:r w:rsidR="000737AF" w:rsidRPr="006F7384">
        <w:t>almost entirely</w:t>
      </w:r>
      <w:r w:rsidRPr="006F7384">
        <w:t xml:space="preserve">. It determined that the right of restitution </w:t>
      </w:r>
      <w:r w:rsidR="0098035F" w:rsidRPr="006F7384">
        <w:t>shall</w:t>
      </w:r>
      <w:r w:rsidRPr="006F7384">
        <w:t xml:space="preserve"> not apply to expropriations that were </w:t>
      </w:r>
      <w:r w:rsidR="00235B38" w:rsidRPr="006F7384">
        <w:t>carried out</w:t>
      </w:r>
      <w:r w:rsidRPr="006F7384">
        <w:t xml:space="preserve"> in the past, but only to expropriations </w:t>
      </w:r>
      <w:r w:rsidR="00235B38" w:rsidRPr="006F7384">
        <w:t>to be executed</w:t>
      </w:r>
      <w:r w:rsidRPr="006F7384">
        <w:t xml:space="preserve"> in the future</w:t>
      </w:r>
      <w:r w:rsidR="00235B38" w:rsidRPr="006F7384">
        <w:t>,</w:t>
      </w:r>
      <w:r w:rsidRPr="006F7384">
        <w:t xml:space="preserve"> and when applicable, it will </w:t>
      </w:r>
      <w:r w:rsidR="00235B38" w:rsidRPr="006F7384">
        <w:t xml:space="preserve">only </w:t>
      </w:r>
      <w:r w:rsidR="005D0985" w:rsidRPr="006F7384">
        <w:t xml:space="preserve">give the original owner </w:t>
      </w:r>
      <w:r w:rsidRPr="006F7384">
        <w:t xml:space="preserve">priority to purchase his </w:t>
      </w:r>
      <w:r w:rsidR="00235B38" w:rsidRPr="006F7384">
        <w:t>land</w:t>
      </w:r>
      <w:r w:rsidRPr="006F7384">
        <w:t xml:space="preserve"> at market value.</w:t>
      </w:r>
      <w:r w:rsidR="00235B38" w:rsidRPr="006F7384">
        <w:rPr>
          <w:rStyle w:val="FootnoteReference"/>
        </w:rPr>
        <w:footnoteReference w:id="96"/>
      </w:r>
      <w:r w:rsidRPr="006F7384">
        <w:t xml:space="preserve"> The Supreme Court did not </w:t>
      </w:r>
      <w:r w:rsidR="00235B38" w:rsidRPr="006F7384">
        <w:t>insist</w:t>
      </w:r>
      <w:r w:rsidRPr="006F7384">
        <w:t xml:space="preserve"> at any </w:t>
      </w:r>
      <w:r w:rsidR="00235B38" w:rsidRPr="006F7384">
        <w:t>point upon</w:t>
      </w:r>
      <w:r w:rsidRPr="006F7384">
        <w:t xml:space="preserve"> the principle that </w:t>
      </w:r>
      <w:r w:rsidR="00235B38" w:rsidRPr="006F7384">
        <w:t>it had defined</w:t>
      </w:r>
      <w:r w:rsidRPr="006F7384">
        <w:t xml:space="preserve"> and even approved the constitutionality of the law that </w:t>
      </w:r>
      <w:r w:rsidR="00235B38" w:rsidRPr="006F7384">
        <w:t>overrode</w:t>
      </w:r>
      <w:r w:rsidRPr="006F7384">
        <w:t xml:space="preserve"> it.</w:t>
      </w:r>
      <w:r w:rsidR="00235B38" w:rsidRPr="006F7384">
        <w:rPr>
          <w:rStyle w:val="FootnoteReference"/>
        </w:rPr>
        <w:footnoteReference w:id="97"/>
      </w:r>
      <w:r w:rsidRPr="006F7384">
        <w:t xml:space="preserve"> It appears</w:t>
      </w:r>
      <w:r w:rsidR="00235B38" w:rsidRPr="006F7384">
        <w:t>,</w:t>
      </w:r>
      <w:r w:rsidRPr="006F7384">
        <w:t xml:space="preserve"> </w:t>
      </w:r>
      <w:r w:rsidR="00235B38" w:rsidRPr="006F7384">
        <w:t xml:space="preserve">therefore, </w:t>
      </w:r>
      <w:r w:rsidRPr="006F7384">
        <w:t xml:space="preserve">that </w:t>
      </w:r>
      <w:r w:rsidR="005D0985" w:rsidRPr="006F7384">
        <w:t>in the context of the constitutional revolution</w:t>
      </w:r>
      <w:r w:rsidR="005D0985" w:rsidRPr="006F7384">
        <w:t xml:space="preserve">, </w:t>
      </w:r>
      <w:r w:rsidR="00235B38" w:rsidRPr="006F7384">
        <w:t xml:space="preserve">the Israeli Supreme Court was extremely cautious, if not conservative, </w:t>
      </w:r>
      <w:r w:rsidRPr="006F7384">
        <w:t xml:space="preserve">in </w:t>
      </w:r>
      <w:r w:rsidR="00235B38" w:rsidRPr="006F7384">
        <w:t>its</w:t>
      </w:r>
      <w:r w:rsidRPr="006F7384">
        <w:t xml:space="preserve"> </w:t>
      </w:r>
      <w:r w:rsidR="005D0985" w:rsidRPr="006F7384">
        <w:t>review</w:t>
      </w:r>
      <w:r w:rsidRPr="006F7384">
        <w:t xml:space="preserve"> of the </w:t>
      </w:r>
      <w:r w:rsidR="00235B38" w:rsidRPr="006F7384">
        <w:t>actual</w:t>
      </w:r>
      <w:r w:rsidRPr="006F7384">
        <w:t xml:space="preserve"> </w:t>
      </w:r>
      <w:r w:rsidR="00235B38" w:rsidRPr="006F7384">
        <w:t>execution</w:t>
      </w:r>
      <w:r w:rsidRPr="006F7384">
        <w:t xml:space="preserve"> of expropriations.</w:t>
      </w:r>
    </w:p>
    <w:p w14:paraId="550BE49E" w14:textId="0BD23107" w:rsidR="00C87E60" w:rsidRPr="006F7384" w:rsidRDefault="00C87E60" w:rsidP="009A7DCB">
      <w:pPr>
        <w:bidi w:val="0"/>
        <w:spacing w:line="480" w:lineRule="auto"/>
        <w:jc w:val="both"/>
        <w:rPr>
          <w:b/>
          <w:bCs/>
          <w:rtl/>
        </w:rPr>
      </w:pPr>
      <w:r w:rsidRPr="006F7384">
        <w:t xml:space="preserve">In contrast, the court demonstrated </w:t>
      </w:r>
      <w:r w:rsidR="009F694D" w:rsidRPr="006F7384">
        <w:t>greater</w:t>
      </w:r>
      <w:r w:rsidRPr="006F7384">
        <w:t xml:space="preserve"> judicial activism </w:t>
      </w:r>
      <w:r w:rsidR="00BC5A27" w:rsidRPr="006F7384">
        <w:t xml:space="preserve">in its </w:t>
      </w:r>
      <w:r w:rsidRPr="006F7384">
        <w:t xml:space="preserve">constitutional review of the </w:t>
      </w:r>
      <w:r w:rsidR="00BC5A27" w:rsidRPr="006F7384">
        <w:t>extent</w:t>
      </w:r>
      <w:r w:rsidRPr="006F7384">
        <w:t xml:space="preserve"> of compensation </w:t>
      </w:r>
      <w:r w:rsidR="00BC5A27" w:rsidRPr="006F7384">
        <w:t>that should</w:t>
      </w:r>
      <w:r w:rsidRPr="006F7384">
        <w:t xml:space="preserve"> be paid for expropriation </w:t>
      </w:r>
      <w:r w:rsidR="00BC5A27" w:rsidRPr="006F7384">
        <w:t xml:space="preserve">of land </w:t>
      </w:r>
      <w:r w:rsidRPr="006F7384">
        <w:t>or damage to</w:t>
      </w:r>
      <w:r w:rsidR="00BC5A27" w:rsidRPr="006F7384">
        <w:t xml:space="preserve"> it</w:t>
      </w:r>
      <w:r w:rsidRPr="006F7384">
        <w:t xml:space="preserve">. </w:t>
      </w:r>
      <w:r w:rsidR="00BC5A27" w:rsidRPr="006F7384">
        <w:t>As noted, t</w:t>
      </w:r>
      <w:r w:rsidRPr="006F7384">
        <w:t xml:space="preserve">he two main laws that </w:t>
      </w:r>
      <w:r w:rsidR="003C0025" w:rsidRPr="006F7384">
        <w:t>permit</w:t>
      </w:r>
      <w:r w:rsidRPr="006F7384">
        <w:t xml:space="preserve"> the state and </w:t>
      </w:r>
      <w:r w:rsidR="00BC5A27" w:rsidRPr="006F7384">
        <w:t>local authorities</w:t>
      </w:r>
      <w:r w:rsidRPr="006F7384">
        <w:t xml:space="preserve"> to</w:t>
      </w:r>
      <w:r w:rsidR="00BC5A27" w:rsidRPr="006F7384">
        <w:t xml:space="preserve"> carry out</w:t>
      </w:r>
      <w:r w:rsidRPr="006F7384">
        <w:t xml:space="preserve"> expropriations of land determined</w:t>
      </w:r>
      <w:r w:rsidR="00BC5A27" w:rsidRPr="006F7384">
        <w:t xml:space="preserve"> even prior to the enactment of</w:t>
      </w:r>
      <w:r w:rsidRPr="006F7384">
        <w:t xml:space="preserve"> the Basic Law that expropriations </w:t>
      </w:r>
      <w:r w:rsidR="00BC5A27" w:rsidRPr="006F7384">
        <w:t>must</w:t>
      </w:r>
      <w:r w:rsidRPr="006F7384">
        <w:t xml:space="preserve"> be compensated</w:t>
      </w:r>
      <w:r w:rsidR="00BC5A27" w:rsidRPr="006F7384">
        <w:t xml:space="preserve"> for</w:t>
      </w:r>
      <w:r w:rsidRPr="006F7384">
        <w:t xml:space="preserve">. The Planning and Building Law also granted </w:t>
      </w:r>
      <w:r w:rsidRPr="006F7384">
        <w:lastRenderedPageBreak/>
        <w:t xml:space="preserve">the right to sue for </w:t>
      </w:r>
      <w:r w:rsidR="00BC5A27" w:rsidRPr="006F7384">
        <w:t xml:space="preserve">damages to </w:t>
      </w:r>
      <w:r w:rsidR="003C0025" w:rsidRPr="006F7384">
        <w:t>real-estate</w:t>
      </w:r>
      <w:r w:rsidRPr="006F7384">
        <w:t xml:space="preserve"> </w:t>
      </w:r>
      <w:r w:rsidR="00BC5A27" w:rsidRPr="006F7384">
        <w:t>as the result of</w:t>
      </w:r>
      <w:r w:rsidRPr="006F7384">
        <w:t xml:space="preserve"> local </w:t>
      </w:r>
      <w:r w:rsidR="00BC5A27" w:rsidRPr="006F7384">
        <w:t>outline</w:t>
      </w:r>
      <w:r w:rsidRPr="006F7384">
        <w:t xml:space="preserve"> plans.</w:t>
      </w:r>
      <w:r w:rsidR="00BC5A27" w:rsidRPr="006F7384">
        <w:rPr>
          <w:rStyle w:val="FootnoteReference"/>
        </w:rPr>
        <w:footnoteReference w:id="98"/>
      </w:r>
      <w:r w:rsidRPr="006F7384">
        <w:t xml:space="preserve"> However, these laws included various </w:t>
      </w:r>
      <w:r w:rsidR="00BC5A27" w:rsidRPr="006F7384">
        <w:t>section</w:t>
      </w:r>
      <w:r w:rsidR="003C0025" w:rsidRPr="006F7384">
        <w:t>s</w:t>
      </w:r>
      <w:r w:rsidRPr="006F7384">
        <w:t xml:space="preserve"> that exempted the authorities from paying full compensation for the expropriation and obliged them to pay only partial compensation. The scope of the exemption from compensation ranges from 25% at the national level to 40% at the local level.</w:t>
      </w:r>
      <w:r w:rsidR="003C0025" w:rsidRPr="006F7384">
        <w:rPr>
          <w:rStyle w:val="FootnoteReference"/>
        </w:rPr>
        <w:footnoteReference w:id="99"/>
      </w:r>
      <w:r w:rsidRPr="006F7384">
        <w:t xml:space="preserve"> The exemption </w:t>
      </w:r>
      <w:r w:rsidR="003C0025" w:rsidRPr="006F7384">
        <w:t>for planning infringements</w:t>
      </w:r>
      <w:r w:rsidRPr="006F7384">
        <w:t xml:space="preserve"> </w:t>
      </w:r>
      <w:r w:rsidR="003C0025" w:rsidRPr="006F7384">
        <w:t>may</w:t>
      </w:r>
      <w:r w:rsidRPr="006F7384">
        <w:t xml:space="preserve"> be applied to </w:t>
      </w:r>
      <w:r w:rsidR="00BC5A27" w:rsidRPr="006F7384">
        <w:t>damage</w:t>
      </w:r>
      <w:r w:rsidRPr="006F7384">
        <w:t xml:space="preserve"> that "</w:t>
      </w:r>
      <w:r w:rsidR="00BC5A27" w:rsidRPr="006F7384">
        <w:t xml:space="preserve">does not exceed the </w:t>
      </w:r>
      <w:r w:rsidRPr="006F7384">
        <w:t>reasonable."</w:t>
      </w:r>
      <w:r w:rsidR="00BC5A27" w:rsidRPr="006F7384">
        <w:rPr>
          <w:rStyle w:val="FootnoteReference"/>
        </w:rPr>
        <w:footnoteReference w:id="100"/>
      </w:r>
      <w:r w:rsidRPr="006F7384">
        <w:t xml:space="preserve"> In the past, the Supreme Court </w:t>
      </w:r>
      <w:r w:rsidR="00BC5A27" w:rsidRPr="006F7384">
        <w:t xml:space="preserve">interpreted </w:t>
      </w:r>
      <w:r w:rsidRPr="006F7384">
        <w:t xml:space="preserve">the exemption from compensation as a kind of tax imposed on landowners. Therefore, it ruled that land may be expropriated without compensation even when the </w:t>
      </w:r>
      <w:r w:rsidR="003C0025" w:rsidRPr="006F7384">
        <w:t>infringement</w:t>
      </w:r>
      <w:r w:rsidRPr="006F7384">
        <w:t xml:space="preserve"> does not improve the balance of the land remaining </w:t>
      </w:r>
      <w:r w:rsidR="00BC5A27" w:rsidRPr="006F7384">
        <w:t>in the hands of</w:t>
      </w:r>
      <w:r w:rsidRPr="006F7384">
        <w:t xml:space="preserve"> the owners, and even if the land is expropriated in full without leaving the owner</w:t>
      </w:r>
      <w:r w:rsidR="00A43699" w:rsidRPr="006F7384">
        <w:t xml:space="preserve"> with</w:t>
      </w:r>
      <w:r w:rsidRPr="006F7384">
        <w:t xml:space="preserve"> any land</w:t>
      </w:r>
      <w:r w:rsidR="00A43C65" w:rsidRPr="006F7384">
        <w:t xml:space="preserve"> whatsoever</w:t>
      </w:r>
      <w:r w:rsidRPr="006F7384">
        <w:t>.</w:t>
      </w:r>
      <w:r w:rsidR="00A43C65" w:rsidRPr="006F7384">
        <w:rPr>
          <w:rStyle w:val="FootnoteReference"/>
        </w:rPr>
        <w:footnoteReference w:id="101"/>
      </w:r>
      <w:r w:rsidRPr="006F7384">
        <w:t xml:space="preserve"> With the enactment of the Basic Law, the Court changed its interpretation of this legislation. This was the most far-reaching amendment in the </w:t>
      </w:r>
      <w:r w:rsidR="00A43C65" w:rsidRPr="006F7384">
        <w:t>area</w:t>
      </w:r>
      <w:r w:rsidRPr="006F7384">
        <w:t xml:space="preserve"> of expropriations, even though it </w:t>
      </w:r>
      <w:r w:rsidR="00A43C65" w:rsidRPr="006F7384">
        <w:t xml:space="preserve">too </w:t>
      </w:r>
      <w:r w:rsidRPr="006F7384">
        <w:t xml:space="preserve">was more moderate than </w:t>
      </w:r>
      <w:r w:rsidR="00A43C65" w:rsidRPr="006F7384">
        <w:t>might</w:t>
      </w:r>
      <w:r w:rsidRPr="006F7384">
        <w:t xml:space="preserve"> have been expected from </w:t>
      </w:r>
      <w:r w:rsidR="00A43C65" w:rsidRPr="006F7384">
        <w:t>the</w:t>
      </w:r>
      <w:r w:rsidRPr="006F7384">
        <w:t xml:space="preserve"> "constit</w:t>
      </w:r>
      <w:r w:rsidR="00A43699" w:rsidRPr="006F7384">
        <w:t>utional revolution." In the Hol</w:t>
      </w:r>
      <w:r w:rsidRPr="006F7384">
        <w:t xml:space="preserve">zman case, the Supreme Court ruled that when </w:t>
      </w:r>
      <w:r w:rsidR="00A43C65" w:rsidRPr="006F7384">
        <w:t>a plot of land is expropriated in full, without anything remaining for the owners</w:t>
      </w:r>
      <w:r w:rsidRPr="006F7384">
        <w:t xml:space="preserve">, the owners must be fully compensated and the tax </w:t>
      </w:r>
      <w:r w:rsidR="00A43C65" w:rsidRPr="006F7384">
        <w:t>embedded</w:t>
      </w:r>
      <w:r w:rsidRPr="006F7384">
        <w:t xml:space="preserve"> in the statutory exemption from compensation should not be </w:t>
      </w:r>
      <w:r w:rsidR="00A43C65" w:rsidRPr="006F7384">
        <w:t>levied</w:t>
      </w:r>
      <w:r w:rsidRPr="006F7384">
        <w:t>.</w:t>
      </w:r>
      <w:r w:rsidR="00A43C65" w:rsidRPr="006F7384">
        <w:rPr>
          <w:rStyle w:val="FootnoteReference"/>
        </w:rPr>
        <w:footnoteReference w:id="102"/>
      </w:r>
      <w:r w:rsidRPr="006F7384">
        <w:t xml:space="preserve"> </w:t>
      </w:r>
      <w:r w:rsidR="00A43C65" w:rsidRPr="006F7384">
        <w:t>At the same time</w:t>
      </w:r>
      <w:r w:rsidRPr="006F7384">
        <w:t xml:space="preserve">, the Court was less clear in its approach to exemption from compensation in cases where the </w:t>
      </w:r>
      <w:r w:rsidR="00A43C65" w:rsidRPr="006F7384">
        <w:t>a</w:t>
      </w:r>
      <w:r w:rsidRPr="006F7384">
        <w:t>uthorit</w:t>
      </w:r>
      <w:r w:rsidR="00A43C65" w:rsidRPr="006F7384">
        <w:t xml:space="preserve">ies had </w:t>
      </w:r>
      <w:r w:rsidRPr="006F7384">
        <w:t xml:space="preserve">expropriated only part of the land, but the expropriation did not improve the </w:t>
      </w:r>
      <w:r w:rsidR="00A43C65" w:rsidRPr="006F7384">
        <w:t xml:space="preserve">part </w:t>
      </w:r>
      <w:r w:rsidRPr="006F7384">
        <w:t xml:space="preserve">remaining </w:t>
      </w:r>
      <w:r w:rsidR="00A43C65" w:rsidRPr="006F7384">
        <w:t xml:space="preserve">in the hands </w:t>
      </w:r>
      <w:r w:rsidRPr="006F7384">
        <w:t xml:space="preserve">of the owners. While Justice Dorner supported in principle the </w:t>
      </w:r>
      <w:r w:rsidR="00A43C65" w:rsidRPr="006F7384">
        <w:lastRenderedPageBreak/>
        <w:t>elimination</w:t>
      </w:r>
      <w:r w:rsidRPr="006F7384">
        <w:t xml:space="preserve"> of the exemption from compensation in </w:t>
      </w:r>
      <w:r w:rsidR="00A43C65" w:rsidRPr="006F7384">
        <w:t>such</w:t>
      </w:r>
      <w:r w:rsidRPr="006F7384">
        <w:t xml:space="preserve"> case</w:t>
      </w:r>
      <w:r w:rsidR="00A43C65" w:rsidRPr="006F7384">
        <w:t>s</w:t>
      </w:r>
      <w:r w:rsidRPr="006F7384">
        <w:t xml:space="preserve"> </w:t>
      </w:r>
      <w:r w:rsidR="00A43C65" w:rsidRPr="006F7384">
        <w:t>as well</w:t>
      </w:r>
      <w:r w:rsidRPr="006F7384">
        <w:t xml:space="preserve">, </w:t>
      </w:r>
      <w:r w:rsidR="00A43C65" w:rsidRPr="006F7384">
        <w:t>Chief Justice</w:t>
      </w:r>
      <w:r w:rsidRPr="006F7384">
        <w:t xml:space="preserve"> Barak proposed </w:t>
      </w:r>
      <w:r w:rsidR="00A43C65" w:rsidRPr="006F7384">
        <w:t>that it not be</w:t>
      </w:r>
      <w:r w:rsidRPr="006F7384">
        <w:t xml:space="preserve"> cancel</w:t>
      </w:r>
      <w:r w:rsidR="00A43C65" w:rsidRPr="006F7384">
        <w:t>led,</w:t>
      </w:r>
      <w:r w:rsidRPr="006F7384">
        <w:t xml:space="preserve"> because of the view that alongside the protection of private property, the landowners also have </w:t>
      </w:r>
      <w:r w:rsidR="00A43C65" w:rsidRPr="006F7384">
        <w:t xml:space="preserve">a </w:t>
      </w:r>
      <w:r w:rsidRPr="006F7384">
        <w:t>"social responsibility</w:t>
      </w:r>
      <w:r w:rsidR="00A43699" w:rsidRPr="006F7384">
        <w:t>.</w:t>
      </w:r>
      <w:r w:rsidRPr="006F7384">
        <w:t xml:space="preserve">" The exemption from compensation may express this responsibility. </w:t>
      </w:r>
      <w:r w:rsidR="00A43C65" w:rsidRPr="006F7384">
        <w:t xml:space="preserve">In </w:t>
      </w:r>
      <w:r w:rsidR="00A43699" w:rsidRPr="006F7384">
        <w:t>his</w:t>
      </w:r>
      <w:r w:rsidR="00A43C65" w:rsidRPr="006F7384">
        <w:t xml:space="preserve"> typical manner, Barak left the</w:t>
      </w:r>
      <w:r w:rsidRPr="006F7384">
        <w:t xml:space="preserve"> determination of </w:t>
      </w:r>
      <w:r w:rsidR="00A43699" w:rsidRPr="006F7384">
        <w:t xml:space="preserve">in </w:t>
      </w:r>
      <w:r w:rsidR="00A43C65" w:rsidRPr="006F7384">
        <w:t>which</w:t>
      </w:r>
      <w:r w:rsidRPr="006F7384">
        <w:t xml:space="preserve"> cases the exemption </w:t>
      </w:r>
      <w:r w:rsidR="006F0F72" w:rsidRPr="006F7384">
        <w:t>expresses</w:t>
      </w:r>
      <w:r w:rsidRPr="006F7384">
        <w:t xml:space="preserve"> </w:t>
      </w:r>
      <w:r w:rsidR="006F0F72" w:rsidRPr="006F7384">
        <w:t xml:space="preserve">such </w:t>
      </w:r>
      <w:r w:rsidRPr="006F7384">
        <w:t xml:space="preserve">responsibility and </w:t>
      </w:r>
      <w:r w:rsidR="00A43699" w:rsidRPr="006F7384">
        <w:t xml:space="preserve">in </w:t>
      </w:r>
      <w:r w:rsidRPr="006F7384">
        <w:t xml:space="preserve">which </w:t>
      </w:r>
      <w:r w:rsidR="006F0F72" w:rsidRPr="006F7384">
        <w:t xml:space="preserve">it </w:t>
      </w:r>
      <w:r w:rsidRPr="006F7384">
        <w:t>did not to the future discretion of the courts.</w:t>
      </w:r>
      <w:r w:rsidR="006F0F72" w:rsidRPr="006F7384">
        <w:rPr>
          <w:rStyle w:val="FootnoteReference"/>
        </w:rPr>
        <w:footnoteReference w:id="103"/>
      </w:r>
      <w:r w:rsidRPr="006F7384">
        <w:t xml:space="preserve"> A few years later, following Barak's retirement, the Supreme Court ruled in the Rotman case that </w:t>
      </w:r>
      <w:r w:rsidR="006F0F72" w:rsidRPr="006F7384">
        <w:t xml:space="preserve">the </w:t>
      </w:r>
      <w:r w:rsidRPr="006F7384">
        <w:t xml:space="preserve">owners should be fully compensated for the expropriation of part of a </w:t>
      </w:r>
      <w:r w:rsidR="006F0F72" w:rsidRPr="006F7384">
        <w:t>plot,</w:t>
      </w:r>
      <w:r w:rsidRPr="006F7384">
        <w:t xml:space="preserve"> if the expropriation did not improve the </w:t>
      </w:r>
      <w:r w:rsidR="006F0F72" w:rsidRPr="006F7384">
        <w:t xml:space="preserve">part </w:t>
      </w:r>
      <w:r w:rsidRPr="006F7384">
        <w:t xml:space="preserve">remaining </w:t>
      </w:r>
      <w:r w:rsidR="006F0F72" w:rsidRPr="006F7384">
        <w:t>to</w:t>
      </w:r>
      <w:r w:rsidRPr="006F7384">
        <w:t xml:space="preserve"> the owner.</w:t>
      </w:r>
      <w:r w:rsidR="006F0F72" w:rsidRPr="006F7384">
        <w:rPr>
          <w:rStyle w:val="FootnoteReference"/>
        </w:rPr>
        <w:footnoteReference w:id="104"/>
      </w:r>
      <w:r w:rsidRPr="006F7384">
        <w:t xml:space="preserve"> Even before that, the legislature had canceled the exemption </w:t>
      </w:r>
      <w:r w:rsidR="00A43699" w:rsidRPr="006F7384">
        <w:t>for</w:t>
      </w:r>
      <w:r w:rsidRPr="006F7384">
        <w:t xml:space="preserve"> expropriations to be carried out in the future on the national level, but not at the local level.</w:t>
      </w:r>
      <w:r w:rsidR="006F0F72" w:rsidRPr="006F7384">
        <w:rPr>
          <w:rStyle w:val="FootnoteReference"/>
        </w:rPr>
        <w:footnoteReference w:id="105"/>
      </w:r>
      <w:r w:rsidRPr="006F7384">
        <w:t xml:space="preserve"> To date,</w:t>
      </w:r>
      <w:r w:rsidR="006F0F72" w:rsidRPr="006F7384">
        <w:t xml:space="preserve"> there are</w:t>
      </w:r>
      <w:r w:rsidRPr="006F7384">
        <w:t xml:space="preserve"> no empirical findings </w:t>
      </w:r>
      <w:r w:rsidR="006F0F72" w:rsidRPr="006F7384">
        <w:t xml:space="preserve">to indicate </w:t>
      </w:r>
      <w:r w:rsidRPr="006F7384">
        <w:t xml:space="preserve">a correlation between the </w:t>
      </w:r>
      <w:r w:rsidR="00BD3F61" w:rsidRPr="006F7384">
        <w:t>greater</w:t>
      </w:r>
      <w:r w:rsidRPr="006F7384">
        <w:t xml:space="preserve"> obligation to compensate and the </w:t>
      </w:r>
      <w:r w:rsidR="006F0F72" w:rsidRPr="006F7384">
        <w:t>extent</w:t>
      </w:r>
      <w:r w:rsidRPr="006F7384">
        <w:t xml:space="preserve"> of expropriations carried out by the authorities.</w:t>
      </w:r>
      <w:r w:rsidR="006F0F72" w:rsidRPr="006F7384">
        <w:rPr>
          <w:rStyle w:val="FootnoteReference"/>
        </w:rPr>
        <w:footnoteReference w:id="106"/>
      </w:r>
    </w:p>
    <w:p w14:paraId="21EED441" w14:textId="4FAA08AA" w:rsidR="00FF7DD6" w:rsidRPr="006F7384" w:rsidRDefault="00C65B41" w:rsidP="009A7DCB">
      <w:pPr>
        <w:bidi w:val="0"/>
        <w:spacing w:line="480" w:lineRule="auto"/>
        <w:jc w:val="both"/>
      </w:pPr>
      <w:r w:rsidRPr="006F7384">
        <w:t xml:space="preserve">The justices of the Supreme Court were similarly divided </w:t>
      </w:r>
      <w:r w:rsidR="00A43699" w:rsidRPr="006F7384">
        <w:t>over</w:t>
      </w:r>
      <w:r w:rsidRPr="006F7384">
        <w:t xml:space="preserve"> the interpretation of the article in the law that exempts the authorities from the need to compensate for planning </w:t>
      </w:r>
      <w:r w:rsidR="000B60EA" w:rsidRPr="006F7384">
        <w:t>infringements</w:t>
      </w:r>
      <w:r w:rsidRPr="006F7384">
        <w:t xml:space="preserve"> to real</w:t>
      </w:r>
      <w:r w:rsidR="00A43699" w:rsidRPr="006F7384">
        <w:t>-</w:t>
      </w:r>
      <w:r w:rsidRPr="006F7384">
        <w:t xml:space="preserve">estate that "do not </w:t>
      </w:r>
      <w:r w:rsidR="00A43699" w:rsidRPr="006F7384">
        <w:t>exceed</w:t>
      </w:r>
      <w:r w:rsidRPr="006F7384">
        <w:t xml:space="preserve"> the limits of reasonableness."</w:t>
      </w:r>
      <w:r w:rsidRPr="006F7384">
        <w:rPr>
          <w:rStyle w:val="FootnoteReference"/>
        </w:rPr>
        <w:footnoteReference w:id="107"/>
      </w:r>
      <w:r w:rsidRPr="006F7384">
        <w:t xml:space="preserve"> In the Horowitz case, some of the judges held that in </w:t>
      </w:r>
      <w:r w:rsidR="000B60EA" w:rsidRPr="006F7384">
        <w:t>light</w:t>
      </w:r>
      <w:r w:rsidRPr="006F7384">
        <w:t xml:space="preserve"> of the constitutional protection of property, compensation must be </w:t>
      </w:r>
      <w:r w:rsidR="000B60EA" w:rsidRPr="006F7384">
        <w:t>paid</w:t>
      </w:r>
      <w:r w:rsidRPr="006F7384">
        <w:t xml:space="preserve"> for any damage suffered beyond de minimis.</w:t>
      </w:r>
      <w:r w:rsidRPr="006F7384">
        <w:rPr>
          <w:rStyle w:val="FootnoteReference"/>
        </w:rPr>
        <w:footnoteReference w:id="108"/>
      </w:r>
      <w:r w:rsidRPr="006F7384">
        <w:t xml:space="preserve"> Chief Justice Barak proposed a broader interpretation of the exemption from compensation, based on the idea that private property owners should be charged with </w:t>
      </w:r>
      <w:r w:rsidRPr="006F7384">
        <w:lastRenderedPageBreak/>
        <w:t>"social responsibility."</w:t>
      </w:r>
      <w:r w:rsidRPr="006F7384">
        <w:rPr>
          <w:rStyle w:val="FootnoteReference"/>
        </w:rPr>
        <w:footnoteReference w:id="109"/>
      </w:r>
      <w:r w:rsidRPr="006F7384">
        <w:t xml:space="preserve"> He proposed evaluating the question of compensation in accordance with the </w:t>
      </w:r>
      <w:r w:rsidR="000B60EA" w:rsidRPr="006F7384">
        <w:t>scope</w:t>
      </w:r>
      <w:r w:rsidRPr="006F7384">
        <w:t xml:space="preserve"> of the damage, the importance of its public purpose and the extent </w:t>
      </w:r>
      <w:r w:rsidR="000B60EA" w:rsidRPr="006F7384">
        <w:t xml:space="preserve">to which </w:t>
      </w:r>
      <w:r w:rsidR="000B60EA" w:rsidRPr="006F7384">
        <w:t>the damage</w:t>
      </w:r>
      <w:r w:rsidR="000B60EA" w:rsidRPr="006F7384">
        <w:t xml:space="preserve"> is distributed</w:t>
      </w:r>
      <w:r w:rsidRPr="006F7384">
        <w:t xml:space="preserve">. The greater the damage, the less important the public goal, and the less evenly distributed, the greater the obligation to compensate. On the other hand, the smaller the damage, the more important its public purpose, and the more equally and randomly the damage is distributed </w:t>
      </w:r>
      <w:r w:rsidR="00047493" w:rsidRPr="006F7384">
        <w:t>among</w:t>
      </w:r>
      <w:r w:rsidRPr="006F7384">
        <w:t xml:space="preserve"> the entire population </w:t>
      </w:r>
      <w:r w:rsidR="00047493" w:rsidRPr="006F7384">
        <w:t>–</w:t>
      </w:r>
      <w:r w:rsidRPr="006F7384">
        <w:t xml:space="preserve"> </w:t>
      </w:r>
      <w:r w:rsidR="00047493" w:rsidRPr="006F7384">
        <w:t>the lesser the</w:t>
      </w:r>
      <w:r w:rsidRPr="006F7384">
        <w:t xml:space="preserve"> </w:t>
      </w:r>
      <w:r w:rsidR="000B60EA" w:rsidRPr="006F7384">
        <w:t>obligation</w:t>
      </w:r>
      <w:r w:rsidRPr="006F7384">
        <w:t xml:space="preserve"> to compensate.</w:t>
      </w:r>
      <w:r w:rsidR="00047493" w:rsidRPr="006F7384">
        <w:rPr>
          <w:rStyle w:val="FootnoteReference"/>
        </w:rPr>
        <w:footnoteReference w:id="110"/>
      </w:r>
      <w:r w:rsidRPr="006F7384">
        <w:t xml:space="preserve"> Another Supreme Court hearing in a panel of seven justices </w:t>
      </w:r>
      <w:r w:rsidR="00047493" w:rsidRPr="006F7384">
        <w:t xml:space="preserve">which </w:t>
      </w:r>
      <w:r w:rsidRPr="006F7384">
        <w:t>did not produce a binding rul</w:t>
      </w:r>
      <w:r w:rsidR="000B60EA" w:rsidRPr="006F7384">
        <w:t>ing</w:t>
      </w:r>
      <w:r w:rsidRPr="006F7384">
        <w:t xml:space="preserve">, </w:t>
      </w:r>
      <w:r w:rsidR="000B60EA" w:rsidRPr="006F7384">
        <w:t xml:space="preserve">created uncertainty among </w:t>
      </w:r>
      <w:r w:rsidRPr="006F7384">
        <w:t>those involved in the field and increased the dependence on judicial discretion.</w:t>
      </w:r>
      <w:r w:rsidR="00047493" w:rsidRPr="006F7384">
        <w:rPr>
          <w:rStyle w:val="FootnoteReference"/>
        </w:rPr>
        <w:footnoteReference w:id="111"/>
      </w:r>
      <w:r w:rsidR="00047493" w:rsidRPr="006F7384">
        <w:t xml:space="preserve"> This</w:t>
      </w:r>
      <w:r w:rsidRPr="006F7384">
        <w:t xml:space="preserve"> </w:t>
      </w:r>
      <w:r w:rsidR="00047493" w:rsidRPr="006F7384">
        <w:t xml:space="preserve">was an apt demonstration of the </w:t>
      </w:r>
      <w:r w:rsidRPr="006F7384">
        <w:t xml:space="preserve">ideological differences between the </w:t>
      </w:r>
      <w:r w:rsidR="00047493" w:rsidRPr="006F7384">
        <w:t>justices</w:t>
      </w:r>
      <w:r w:rsidRPr="006F7384">
        <w:t xml:space="preserve">. </w:t>
      </w:r>
      <w:r w:rsidR="000B60EA" w:rsidRPr="006F7384">
        <w:t>Opposing</w:t>
      </w:r>
      <w:r w:rsidRPr="006F7384">
        <w:t xml:space="preserve"> </w:t>
      </w:r>
      <w:r w:rsidR="00047493" w:rsidRPr="006F7384">
        <w:t>Chief Justice</w:t>
      </w:r>
      <w:r w:rsidRPr="006F7384">
        <w:t xml:space="preserve"> Barak's distributive approach, which supported the imposition of social responsibility on property owners, </w:t>
      </w:r>
      <w:r w:rsidR="000B60EA" w:rsidRPr="006F7384">
        <w:t>was</w:t>
      </w:r>
      <w:r w:rsidR="00047493" w:rsidRPr="006F7384">
        <w:t xml:space="preserve"> his </w:t>
      </w:r>
      <w:r w:rsidRPr="006F7384">
        <w:t xml:space="preserve">deputy, Justice </w:t>
      </w:r>
      <w:r w:rsidR="00047493" w:rsidRPr="006F7384">
        <w:t xml:space="preserve">Mishael </w:t>
      </w:r>
      <w:commentRangeStart w:id="9"/>
      <w:r w:rsidRPr="006F7384">
        <w:t>Cheshin</w:t>
      </w:r>
      <w:commentRangeEnd w:id="9"/>
      <w:r w:rsidR="00BD3F61">
        <w:rPr>
          <w:rStyle w:val="CommentReference"/>
        </w:rPr>
        <w:commentReference w:id="9"/>
      </w:r>
      <w:r w:rsidRPr="006F7384">
        <w:t xml:space="preserve">. Cheshin, who consistently </w:t>
      </w:r>
      <w:r w:rsidR="00047493" w:rsidRPr="006F7384">
        <w:t>upheld</w:t>
      </w:r>
      <w:r w:rsidRPr="006F7384">
        <w:t xml:space="preserve"> the defense of private property</w:t>
      </w:r>
      <w:r w:rsidR="00047493" w:rsidRPr="006F7384">
        <w:t xml:space="preserve"> in his rulings</w:t>
      </w:r>
      <w:r w:rsidRPr="006F7384">
        <w:t xml:space="preserve">, objected to imposing </w:t>
      </w:r>
      <w:r w:rsidR="00047493" w:rsidRPr="006F7384">
        <w:t>this</w:t>
      </w:r>
      <w:r w:rsidRPr="006F7384">
        <w:t xml:space="preserve"> social responsibility. </w:t>
      </w:r>
      <w:r w:rsidR="000B60EA" w:rsidRPr="006F7384">
        <w:t>T</w:t>
      </w:r>
      <w:r w:rsidR="00047493" w:rsidRPr="006F7384">
        <w:t xml:space="preserve">he following socio-economic worldview </w:t>
      </w:r>
      <w:r w:rsidR="00E94F5F" w:rsidRPr="006F7384">
        <w:t>was</w:t>
      </w:r>
      <w:r w:rsidR="00047493" w:rsidRPr="006F7384">
        <w:t xml:space="preserve"> the foundation</w:t>
      </w:r>
      <w:r w:rsidRPr="006F7384">
        <w:t xml:space="preserve"> of </w:t>
      </w:r>
      <w:r w:rsidR="00E94F5F" w:rsidRPr="006F7384">
        <w:t>his</w:t>
      </w:r>
      <w:r w:rsidRPr="006F7384">
        <w:t xml:space="preserve"> position</w:t>
      </w:r>
      <w:r w:rsidR="00E94F5F" w:rsidRPr="006F7384">
        <w:t xml:space="preserve"> on the issue</w:t>
      </w:r>
      <w:r w:rsidRPr="006F7384">
        <w:t>:</w:t>
      </w:r>
    </w:p>
    <w:p w14:paraId="341EEDD4" w14:textId="34B01215" w:rsidR="00047493" w:rsidRPr="006F7384" w:rsidRDefault="00047493" w:rsidP="009A7DCB">
      <w:pPr>
        <w:bidi w:val="0"/>
        <w:spacing w:line="480" w:lineRule="auto"/>
        <w:jc w:val="both"/>
      </w:pPr>
      <w:r w:rsidRPr="006F7384">
        <w:t>"Today's real</w:t>
      </w:r>
      <w:r w:rsidR="006F7384">
        <w:t>-</w:t>
      </w:r>
      <w:r w:rsidRPr="006F7384">
        <w:t xml:space="preserve">estate owners – including the respondent - are not necessarily more </w:t>
      </w:r>
      <w:r w:rsidR="00E94F5F" w:rsidRPr="006F7384">
        <w:t>well-to-do</w:t>
      </w:r>
      <w:r w:rsidRPr="006F7384">
        <w:t xml:space="preserve"> economically and financially than others in their community</w:t>
      </w:r>
      <w:r w:rsidR="00B845E2" w:rsidRPr="006F7384">
        <w:t>.</w:t>
      </w:r>
      <w:r w:rsidRPr="006F7384">
        <w:t xml:space="preserve"> </w:t>
      </w:r>
      <w:r w:rsidR="00B845E2" w:rsidRPr="006F7384">
        <w:t xml:space="preserve">And for some of them, the land </w:t>
      </w:r>
      <w:r w:rsidR="00E94F5F" w:rsidRPr="006F7384">
        <w:t>infringed upon</w:t>
      </w:r>
      <w:r w:rsidR="00B845E2" w:rsidRPr="006F7384">
        <w:t xml:space="preserve"> is their only property. Indeed, today’s feudal lords are capitalist feudalists. They are no longer the feudal lords of days past.  It behooves us therefore to be more careful with </w:t>
      </w:r>
      <w:r w:rsidRPr="006F7384">
        <w:t xml:space="preserve">those whose </w:t>
      </w:r>
      <w:r w:rsidR="00B845E2" w:rsidRPr="006F7384">
        <w:t xml:space="preserve">property, possibly their only property, is harmed by </w:t>
      </w:r>
      <w:r w:rsidRPr="006F7384">
        <w:t>planning programs</w:t>
      </w:r>
      <w:r w:rsidR="00B845E2" w:rsidRPr="006F7384">
        <w:t>..</w:t>
      </w:r>
      <w:r w:rsidRPr="006F7384">
        <w:t xml:space="preserve">. </w:t>
      </w:r>
      <w:r w:rsidR="00E94F5F" w:rsidRPr="006F7384">
        <w:t>T</w:t>
      </w:r>
      <w:r w:rsidR="00B845E2" w:rsidRPr="006F7384">
        <w:t>his is also how to uphold</w:t>
      </w:r>
      <w:r w:rsidRPr="006F7384">
        <w:t xml:space="preserve"> the justice of equality, which is so vital to the exist</w:t>
      </w:r>
      <w:r w:rsidR="006F7384">
        <w:t>ence of a healthy community</w:t>
      </w:r>
      <w:r w:rsidR="00B845E2" w:rsidRPr="006F7384">
        <w:t>...</w:t>
      </w:r>
      <w:r w:rsidRPr="006F7384">
        <w:t>"</w:t>
      </w:r>
      <w:r w:rsidR="00B845E2" w:rsidRPr="006F7384">
        <w:rPr>
          <w:rStyle w:val="FootnoteReference"/>
        </w:rPr>
        <w:footnoteReference w:id="112"/>
      </w:r>
    </w:p>
    <w:p w14:paraId="29307FB0" w14:textId="546ABACD" w:rsidR="00F10A1B" w:rsidRPr="006F7384" w:rsidRDefault="00B845E2" w:rsidP="009A7DCB">
      <w:pPr>
        <w:pStyle w:val="z-TopofForm"/>
        <w:jc w:val="both"/>
      </w:pPr>
      <w:r w:rsidRPr="006F7384">
        <w:lastRenderedPageBreak/>
        <w:t>We see that the judicial activism of the Supreme Court in the field of constitutional protection of property was more significant in relation to the owner's right to compensation for expropriation. In this area, the court succeeded in changing, by interpretation, the law that preceded the Basic Law, even though the relevant legislation was excluded from the application of the Basic Law. This fact did not prevent the court from implementing halakhic and activist changes through the authority to interpret previous legislation, which it took upon itself. Internal ideological disputes between judges, and not necessarily a conservative judicial approach, apparently prevented far-reaching precedents in the field of constitutional protection of property in real estate.We see that the judicial activism of the Supreme Court in the field of constitutional protection of property was more significant in relation to the owner's right to compensation for expropriation. In this area, the court succeeded in changing, by interpretation, the law that preceded the Basic Law, even though the relevant legislation was excluded from the application of the Basic Law. This fact did not prevent the court from implementing halakhic and activist changes through the authority to interpret previous legislation, which it took upon itself. Internal ideological disputes between judges, and not necessarily a conservative judicial approach, apparently prevented far-reaching precedents in the field of constitutional protection of property in real estate.We see that the judicial activism of the Supreme Court in the field of constitutional protection of property was more significant in relation to the owner's right to compensation for expropriation. In this area, the court succeeded in changing, by interpretation, the law that preceded the Basic Law, even though the relevant legislation was excluded from the application of the Basic Law. This fact did not prevent the court from implementing halakhic and activist changes through the authority to interpret previous legislation, which it took upon itself. Internal ideological disputes between judges, and not necessarily a conservative judicial approach, apparently prevented far-reaching precedents in the field of constitutional protection of property in real estate.We see that the judicial activism of the Supreme Court in the field of constitutional protection of property was more significant in relation to the owner's right to compensation for expropriation. In this area, the court succeeded in changing, by interpretation, the law that preceded the Basic Law, even though the relevant legislation was excluded from the application of the Basic Law. This fact did not prevent the court from implementing halakhic and activist changes through the authority to interpret previous legislation, which it took upon itself. Internal ideological disputes between judges, and not necessarily a conservative judicial approach, apparently prevented far-reaching precedents in the field of constitutional protection of property in real estate.We see that the judicial activism of the Supreme Court in the field of constitutional protection of property was more significant in relation to the owner's right to compensation for expropriation. In this area, the court succeeded in changing, by interpretation, the law that preceded the Basic Law, even though the relevant legislation was excluded from the application of the Basic Law. This fact did not prevent the court from implementing halakhic and activist changes through the authority to interpret previous legislation, which it took upon itself. Internal ideological disputes between judges, and not necessarily a conservative judicial approach, apparently prevented far-reaching precedents in the field of constitutional protection of property in real estate.</w:t>
      </w:r>
      <w:r w:rsidR="00047493" w:rsidRPr="006F7384">
        <w:t xml:space="preserve"> </w:t>
      </w:r>
      <w:r w:rsidR="00F10A1B" w:rsidRPr="006F7384">
        <w:t>Top of Form</w:t>
      </w:r>
    </w:p>
    <w:p w14:paraId="449F5B0E" w14:textId="77777777" w:rsidR="00F10A1B" w:rsidRPr="006F7384" w:rsidRDefault="00F10A1B" w:rsidP="009A7DCB">
      <w:pPr>
        <w:pStyle w:val="z-BottomofForm"/>
        <w:jc w:val="both"/>
      </w:pPr>
      <w:r w:rsidRPr="006F7384">
        <w:t>Bottom of Form</w:t>
      </w:r>
    </w:p>
    <w:p w14:paraId="28005F31" w14:textId="711C1E5D" w:rsidR="00F10A1B" w:rsidRPr="006F7384" w:rsidRDefault="00B845E2" w:rsidP="009A7DCB">
      <w:pPr>
        <w:bidi w:val="0"/>
        <w:spacing w:line="480" w:lineRule="auto"/>
        <w:jc w:val="both"/>
      </w:pPr>
      <w:r w:rsidRPr="006F7384">
        <w:t>We see</w:t>
      </w:r>
      <w:r w:rsidR="00E94F5F" w:rsidRPr="006F7384">
        <w:t>, then,</w:t>
      </w:r>
      <w:r w:rsidRPr="006F7384">
        <w:t xml:space="preserve"> that the Supreme Court’s judicial activism with regards to the constitutional protection of property was more significant </w:t>
      </w:r>
      <w:r w:rsidR="00760F36" w:rsidRPr="006F7384">
        <w:t>in the area of</w:t>
      </w:r>
      <w:r w:rsidRPr="006F7384">
        <w:t xml:space="preserve"> the owners</w:t>
      </w:r>
      <w:r w:rsidR="00760F36" w:rsidRPr="006F7384">
        <w:t>’</w:t>
      </w:r>
      <w:r w:rsidRPr="006F7384">
        <w:t xml:space="preserve"> right to compensation for expropriation. </w:t>
      </w:r>
      <w:r w:rsidR="00760F36" w:rsidRPr="006F7384">
        <w:t>In this area, the C</w:t>
      </w:r>
      <w:r w:rsidRPr="006F7384">
        <w:t xml:space="preserve">ourt </w:t>
      </w:r>
      <w:r w:rsidR="00E94F5F" w:rsidRPr="006F7384">
        <w:t>successfully changed</w:t>
      </w:r>
      <w:r w:rsidRPr="006F7384">
        <w:t xml:space="preserve">, </w:t>
      </w:r>
      <w:r w:rsidR="00760F36" w:rsidRPr="006F7384">
        <w:t>through</w:t>
      </w:r>
      <w:r w:rsidRPr="006F7384">
        <w:t xml:space="preserve"> interpretation, </w:t>
      </w:r>
      <w:r w:rsidR="00E94F5F" w:rsidRPr="006F7384">
        <w:t>legislation</w:t>
      </w:r>
      <w:r w:rsidRPr="006F7384">
        <w:t xml:space="preserve"> that preceded the Basic Law</w:t>
      </w:r>
      <w:r w:rsidR="00760F36" w:rsidRPr="006F7384">
        <w:t>,</w:t>
      </w:r>
      <w:r w:rsidRPr="006F7384">
        <w:t xml:space="preserve"> even though the relevant legislation was excluded from the application of the Basic Law.</w:t>
      </w:r>
      <w:r w:rsidR="00760F36" w:rsidRPr="006F7384">
        <w:t xml:space="preserve"> This fact did not prevent the C</w:t>
      </w:r>
      <w:r w:rsidRPr="006F7384">
        <w:t xml:space="preserve">ourt from implementing activist </w:t>
      </w:r>
      <w:r w:rsidR="00760F36" w:rsidRPr="006F7384">
        <w:t xml:space="preserve">judicial </w:t>
      </w:r>
      <w:r w:rsidRPr="006F7384">
        <w:t xml:space="preserve">changes through </w:t>
      </w:r>
      <w:r w:rsidR="00760F36" w:rsidRPr="006F7384">
        <w:t>the</w:t>
      </w:r>
      <w:r w:rsidRPr="006F7384">
        <w:t xml:space="preserve"> authority </w:t>
      </w:r>
      <w:r w:rsidR="00760F36" w:rsidRPr="006F7384">
        <w:t xml:space="preserve">it took upon itself </w:t>
      </w:r>
      <w:r w:rsidRPr="006F7384">
        <w:t>to interpre</w:t>
      </w:r>
      <w:r w:rsidR="00760F36" w:rsidRPr="006F7384">
        <w:t>t previous legislation</w:t>
      </w:r>
      <w:r w:rsidRPr="006F7384">
        <w:t xml:space="preserve">. Internal ideological </w:t>
      </w:r>
      <w:r w:rsidR="00760F36" w:rsidRPr="006F7384">
        <w:t>divisions</w:t>
      </w:r>
      <w:r w:rsidRPr="006F7384">
        <w:t xml:space="preserve"> </w:t>
      </w:r>
      <w:r w:rsidR="00760F36" w:rsidRPr="006F7384">
        <w:t>among the</w:t>
      </w:r>
      <w:r w:rsidRPr="006F7384">
        <w:t xml:space="preserve"> </w:t>
      </w:r>
      <w:r w:rsidR="00760F36" w:rsidRPr="006F7384">
        <w:t>justices</w:t>
      </w:r>
      <w:r w:rsidRPr="006F7384">
        <w:t xml:space="preserve"> </w:t>
      </w:r>
      <w:r w:rsidR="00760F36" w:rsidRPr="006F7384">
        <w:t>rather than</w:t>
      </w:r>
      <w:r w:rsidRPr="006F7384">
        <w:t xml:space="preserve"> a </w:t>
      </w:r>
      <w:r w:rsidR="00760F36" w:rsidRPr="006F7384">
        <w:t xml:space="preserve">conservative judicial approach, </w:t>
      </w:r>
      <w:r w:rsidRPr="006F7384">
        <w:t>apparently</w:t>
      </w:r>
      <w:r w:rsidR="00760F36" w:rsidRPr="006F7384">
        <w:t>,</w:t>
      </w:r>
      <w:r w:rsidRPr="006F7384">
        <w:t xml:space="preserve"> </w:t>
      </w:r>
      <w:r w:rsidR="00E94F5F" w:rsidRPr="006F7384">
        <w:t>precluded</w:t>
      </w:r>
      <w:r w:rsidRPr="006F7384">
        <w:t xml:space="preserve"> </w:t>
      </w:r>
      <w:r w:rsidR="00760F36" w:rsidRPr="006F7384">
        <w:t xml:space="preserve">even more </w:t>
      </w:r>
      <w:r w:rsidRPr="006F7384">
        <w:t>far-reaching precedents in the field of constitutional</w:t>
      </w:r>
      <w:r w:rsidR="00E94F5F" w:rsidRPr="006F7384">
        <w:t xml:space="preserve"> protection of property in real-</w:t>
      </w:r>
      <w:r w:rsidRPr="006F7384">
        <w:t>estate.</w:t>
      </w:r>
    </w:p>
    <w:p w14:paraId="24E26747" w14:textId="15344483" w:rsidR="001006B7" w:rsidRPr="006F7384" w:rsidRDefault="00760F36" w:rsidP="009A7DCB">
      <w:pPr>
        <w:bidi w:val="0"/>
        <w:spacing w:line="480" w:lineRule="auto"/>
        <w:jc w:val="both"/>
        <w:rPr>
          <w:b/>
          <w:bCs/>
        </w:rPr>
      </w:pPr>
      <w:r w:rsidRPr="006F7384">
        <w:rPr>
          <w:b/>
          <w:bCs/>
        </w:rPr>
        <w:t>Conclusion</w:t>
      </w:r>
    </w:p>
    <w:p w14:paraId="72E6A426" w14:textId="0769A290" w:rsidR="00760F36" w:rsidRPr="006F7384" w:rsidRDefault="00760F36" w:rsidP="004127CE">
      <w:pPr>
        <w:bidi w:val="0"/>
        <w:spacing w:line="480" w:lineRule="auto"/>
        <w:jc w:val="both"/>
        <w:rPr>
          <w:b/>
          <w:bCs/>
        </w:rPr>
      </w:pPr>
      <w:r w:rsidRPr="006F7384">
        <w:t xml:space="preserve">In this chapter we have seen that land laws are a prism through which the independence and legal creativity of Israel’s judicial authority is reflected. They were prominently expressed in two realms of protection of </w:t>
      </w:r>
      <w:r w:rsidR="00E94F5F" w:rsidRPr="006F7384">
        <w:t>immovable private property</w:t>
      </w:r>
      <w:r w:rsidRPr="006F7384">
        <w:t xml:space="preserve">. </w:t>
      </w:r>
      <w:r w:rsidR="00624B89" w:rsidRPr="006F7384">
        <w:t xml:space="preserve">In the area of ​​private law, </w:t>
      </w:r>
      <w:r w:rsidRPr="006F7384">
        <w:t>Israeli jurisp</w:t>
      </w:r>
      <w:bookmarkStart w:id="10" w:name="_GoBack"/>
      <w:bookmarkEnd w:id="10"/>
      <w:r w:rsidRPr="006F7384">
        <w:t xml:space="preserve">rudence has </w:t>
      </w:r>
      <w:r w:rsidR="00624B89" w:rsidRPr="006F7384">
        <w:t xml:space="preserve">quite creatively </w:t>
      </w:r>
      <w:r w:rsidRPr="006F7384">
        <w:t xml:space="preserve">developed local doctrines similar to </w:t>
      </w:r>
      <w:r w:rsidR="00624B89" w:rsidRPr="006F7384">
        <w:t>those</w:t>
      </w:r>
      <w:r w:rsidRPr="006F7384">
        <w:t xml:space="preserve"> developed by </w:t>
      </w:r>
      <w:r w:rsidR="00624B89" w:rsidRPr="006F7384">
        <w:t xml:space="preserve">the </w:t>
      </w:r>
      <w:r w:rsidR="004127CE">
        <w:t>English</w:t>
      </w:r>
      <w:r w:rsidRPr="006F7384">
        <w:t xml:space="preserve"> courts of equity hundreds of years earlier.</w:t>
      </w:r>
      <w:r w:rsidR="00624B89" w:rsidRPr="006F7384">
        <w:t xml:space="preserve"> T</w:t>
      </w:r>
      <w:r w:rsidRPr="006F7384">
        <w:t xml:space="preserve">he Supreme Court </w:t>
      </w:r>
      <w:r w:rsidR="00624B89" w:rsidRPr="006F7384">
        <w:t xml:space="preserve">thus </w:t>
      </w:r>
      <w:r w:rsidRPr="006F7384">
        <w:t xml:space="preserve">developed </w:t>
      </w:r>
      <w:r w:rsidR="00624B89" w:rsidRPr="006F7384">
        <w:t xml:space="preserve">indigenous "Made in Israel" </w:t>
      </w:r>
      <w:r w:rsidRPr="006F7384">
        <w:t>rights</w:t>
      </w:r>
      <w:r w:rsidR="004127CE">
        <w:t xml:space="preserve"> of equity</w:t>
      </w:r>
      <w:r w:rsidRPr="006F7384">
        <w:t xml:space="preserve"> and rights </w:t>
      </w:r>
      <w:r w:rsidR="00624B89" w:rsidRPr="006F7384">
        <w:t>of estoppel</w:t>
      </w:r>
      <w:r w:rsidRPr="006F7384">
        <w:t xml:space="preserve">. This development </w:t>
      </w:r>
      <w:r w:rsidR="00624B89" w:rsidRPr="006F7384">
        <w:t>was</w:t>
      </w:r>
      <w:r w:rsidRPr="006F7384">
        <w:t xml:space="preserve"> </w:t>
      </w:r>
      <w:r w:rsidR="00624B89" w:rsidRPr="006F7384">
        <w:t>aimed</w:t>
      </w:r>
      <w:r w:rsidRPr="006F7384">
        <w:t xml:space="preserve"> to </w:t>
      </w:r>
      <w:r w:rsidR="00624B89" w:rsidRPr="006F7384">
        <w:t>exhibit</w:t>
      </w:r>
      <w:r w:rsidRPr="006F7384">
        <w:t xml:space="preserve"> the independence of the Israeli legal system from foreign sources, but it also clearly demonstrates </w:t>
      </w:r>
      <w:r w:rsidR="00624B89" w:rsidRPr="006F7384">
        <w:t xml:space="preserve">the Israeli judiciary’s </w:t>
      </w:r>
      <w:r w:rsidRPr="006F7384">
        <w:t xml:space="preserve">activist approach to the interpretation of legislation. Judicial activism is </w:t>
      </w:r>
      <w:r w:rsidR="00624B89" w:rsidRPr="006F7384">
        <w:t xml:space="preserve">also </w:t>
      </w:r>
      <w:r w:rsidRPr="006F7384">
        <w:t xml:space="preserve">expressed, albeit more limitedly, in the manner in which the Supreme Court has led to a change in the laws of expropriation and </w:t>
      </w:r>
      <w:r w:rsidR="00624B89" w:rsidRPr="006F7384">
        <w:t xml:space="preserve">planning </w:t>
      </w:r>
      <w:r w:rsidR="00E94F5F" w:rsidRPr="006F7384">
        <w:t>infringements on</w:t>
      </w:r>
      <w:r w:rsidRPr="006F7384">
        <w:t xml:space="preserve"> </w:t>
      </w:r>
      <w:r w:rsidR="00624B89" w:rsidRPr="006F7384">
        <w:t>real</w:t>
      </w:r>
      <w:r w:rsidR="00E94F5F" w:rsidRPr="006F7384">
        <w:t>-</w:t>
      </w:r>
      <w:r w:rsidR="00624B89" w:rsidRPr="006F7384">
        <w:t xml:space="preserve">estate </w:t>
      </w:r>
      <w:r w:rsidRPr="006F7384">
        <w:t xml:space="preserve">after the enactment of the Basic Law: Human Dignity and Liberty. </w:t>
      </w:r>
      <w:r w:rsidR="00624B89" w:rsidRPr="006F7384">
        <w:t>The C</w:t>
      </w:r>
      <w:r w:rsidRPr="006F7384">
        <w:t xml:space="preserve">ourt </w:t>
      </w:r>
      <w:r w:rsidR="00624B89" w:rsidRPr="006F7384">
        <w:t>assumed</w:t>
      </w:r>
      <w:r w:rsidRPr="006F7384">
        <w:t xml:space="preserve"> the authority to interpret differently, in the spirit of the Basic Law, </w:t>
      </w:r>
      <w:r w:rsidR="00E94F5F" w:rsidRPr="006F7384">
        <w:t>legislation</w:t>
      </w:r>
      <w:r w:rsidRPr="006F7384">
        <w:t xml:space="preserve"> </w:t>
      </w:r>
      <w:r w:rsidR="00624B89" w:rsidRPr="006F7384">
        <w:t xml:space="preserve">to which </w:t>
      </w:r>
      <w:r w:rsidRPr="006F7384">
        <w:t>the Basic Law explicitly did not</w:t>
      </w:r>
      <w:r w:rsidR="00624B89" w:rsidRPr="006F7384">
        <w:t xml:space="preserve"> apply</w:t>
      </w:r>
      <w:r w:rsidRPr="006F7384">
        <w:t xml:space="preserve">. </w:t>
      </w:r>
      <w:r w:rsidR="00851764" w:rsidRPr="006F7384">
        <w:t xml:space="preserve">The Court’s </w:t>
      </w:r>
      <w:r w:rsidRPr="006F7384">
        <w:t xml:space="preserve">creative and activist interpretation of </w:t>
      </w:r>
      <w:r w:rsidR="00E94F5F" w:rsidRPr="006F7384">
        <w:t xml:space="preserve">those </w:t>
      </w:r>
      <w:r w:rsidRPr="006F7384">
        <w:t xml:space="preserve">laws </w:t>
      </w:r>
      <w:r w:rsidRPr="006F7384">
        <w:lastRenderedPageBreak/>
        <w:t xml:space="preserve">led to a significant reduction in the </w:t>
      </w:r>
      <w:r w:rsidR="00851764" w:rsidRPr="006F7384">
        <w:t xml:space="preserve">number of </w:t>
      </w:r>
      <w:r w:rsidRPr="006F7384">
        <w:t xml:space="preserve">cases in which it is permissible to expropriate land without compensation. On the other hand, </w:t>
      </w:r>
      <w:r w:rsidR="00851764" w:rsidRPr="006F7384">
        <w:t xml:space="preserve">in its </w:t>
      </w:r>
      <w:r w:rsidRPr="006F7384">
        <w:t>​​</w:t>
      </w:r>
      <w:r w:rsidR="006F7384" w:rsidRPr="006F7384">
        <w:t>judicial</w:t>
      </w:r>
      <w:r w:rsidRPr="006F7384">
        <w:t xml:space="preserve"> review of the </w:t>
      </w:r>
      <w:r w:rsidR="006F7384" w:rsidRPr="006F7384">
        <w:t xml:space="preserve">very authority to </w:t>
      </w:r>
      <w:r w:rsidRPr="006F7384">
        <w:t>expropriat</w:t>
      </w:r>
      <w:r w:rsidR="006F7384" w:rsidRPr="006F7384">
        <w:t>e</w:t>
      </w:r>
      <w:r w:rsidRPr="006F7384">
        <w:t xml:space="preserve">, the </w:t>
      </w:r>
      <w:r w:rsidR="00851764" w:rsidRPr="006F7384">
        <w:t xml:space="preserve">Court led </w:t>
      </w:r>
      <w:r w:rsidRPr="006F7384">
        <w:t xml:space="preserve">changes </w:t>
      </w:r>
      <w:r w:rsidR="00851764" w:rsidRPr="006F7384">
        <w:t xml:space="preserve">that </w:t>
      </w:r>
      <w:r w:rsidRPr="006F7384">
        <w:t xml:space="preserve">were more minor. The main reason for this was not a conservative approach to the judicial role, but internal ideological </w:t>
      </w:r>
      <w:r w:rsidR="00851764" w:rsidRPr="006F7384">
        <w:t>divisions within the C</w:t>
      </w:r>
      <w:r w:rsidRPr="006F7384">
        <w:t>ourt.</w:t>
      </w:r>
    </w:p>
    <w:p w14:paraId="5D055A8D" w14:textId="77777777" w:rsidR="00263E1F" w:rsidRPr="006F7384" w:rsidRDefault="00263E1F" w:rsidP="009A7DCB">
      <w:pPr>
        <w:bidi w:val="0"/>
        <w:spacing w:line="480" w:lineRule="auto"/>
        <w:jc w:val="both"/>
      </w:pPr>
    </w:p>
    <w:p w14:paraId="7368CA87" w14:textId="2B07E57A" w:rsidR="00BA5E25" w:rsidRPr="006F7384" w:rsidRDefault="00BA5E25" w:rsidP="009A7DCB">
      <w:pPr>
        <w:bidi w:val="0"/>
        <w:spacing w:line="480" w:lineRule="auto"/>
        <w:jc w:val="both"/>
        <w:rPr>
          <w:rtl/>
        </w:rPr>
      </w:pPr>
    </w:p>
    <w:sectPr w:rsidR="00BA5E25" w:rsidRPr="006F7384" w:rsidSect="001B7F64">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 w:author="ElanaC" w:date="2018-08-05T21:05:00Z" w:initials="E">
    <w:p w14:paraId="3AF0B216" w14:textId="0ED1C248" w:rsidR="004127CE" w:rsidRDefault="004127CE" w:rsidP="004127CE">
      <w:pPr>
        <w:pStyle w:val="CommentText"/>
        <w:bidi w:val="0"/>
      </w:pPr>
      <w:r>
        <w:rPr>
          <w:rStyle w:val="CommentReference"/>
        </w:rPr>
        <w:annotationRef/>
      </w:r>
      <w:r>
        <w:t>In the footnotes it is called high court of justice – wasn’t sure which to use. Avi advised to use Supreme court.</w:t>
      </w:r>
    </w:p>
  </w:comment>
  <w:comment w:id="7" w:author="ElanaC" w:date="2018-08-05T19:42:00Z" w:initials="E">
    <w:p w14:paraId="60C7C8F7" w14:textId="68F32F1E" w:rsidR="00BD3F61" w:rsidRDefault="00BD3F61">
      <w:pPr>
        <w:pStyle w:val="CommentText"/>
      </w:pPr>
      <w:r>
        <w:rPr>
          <w:rStyle w:val="CommentReference"/>
        </w:rPr>
        <w:annotationRef/>
      </w:r>
      <w:r>
        <w:rPr>
          <w:rFonts w:hint="cs"/>
          <w:rtl/>
        </w:rPr>
        <w:t>לא יכולים לרדת לנכסים</w:t>
      </w:r>
      <w:r>
        <w:t xml:space="preserve">  not sure how to translate this- </w:t>
      </w:r>
    </w:p>
  </w:comment>
  <w:comment w:id="8" w:author="ElanaC" w:date="2018-08-05T21:16:00Z" w:initials="E">
    <w:p w14:paraId="3B14A426" w14:textId="0C8BCF15" w:rsidR="004127CE" w:rsidRDefault="004127CE" w:rsidP="004127CE">
      <w:pPr>
        <w:pStyle w:val="CommentText"/>
        <w:bidi w:val="0"/>
      </w:pPr>
      <w:r>
        <w:rPr>
          <w:rStyle w:val="CommentReference"/>
        </w:rPr>
        <w:annotationRef/>
      </w:r>
      <w:proofErr w:type="gramStart"/>
      <w:r>
        <w:t>in</w:t>
      </w:r>
      <w:proofErr w:type="gramEnd"/>
      <w:r>
        <w:t xml:space="preserve"> </w:t>
      </w:r>
      <w:r>
        <w:t>earlier</w:t>
      </w:r>
      <w:r>
        <w:t xml:space="preserve"> part of the paper a translation is provided </w:t>
      </w:r>
      <w:r>
        <w:t xml:space="preserve">for </w:t>
      </w:r>
      <w:r>
        <w:rPr>
          <w:rtl/>
        </w:rPr>
        <w:t>בתום לב</w:t>
      </w:r>
      <w:r>
        <w:t xml:space="preserve"> </w:t>
      </w:r>
      <w:r>
        <w:t xml:space="preserve">(without notice), but </w:t>
      </w:r>
      <w:r>
        <w:t>from here</w:t>
      </w:r>
      <w:r>
        <w:t xml:space="preserve"> on it seems to be something different  - in good faith</w:t>
      </w:r>
      <w:r>
        <w:t xml:space="preserve"> – which is what I have used</w:t>
      </w:r>
      <w:r>
        <w:t xml:space="preserve">. </w:t>
      </w:r>
      <w:r>
        <w:t>Please advise</w:t>
      </w:r>
    </w:p>
  </w:comment>
  <w:comment w:id="9" w:author="ElanaC" w:date="2018-08-05T20:58:00Z" w:initials="E">
    <w:p w14:paraId="19AF932A" w14:textId="2AC48755" w:rsidR="00BD3F61" w:rsidRDefault="00BD3F61" w:rsidP="00BD3F61">
      <w:pPr>
        <w:pStyle w:val="CommentText"/>
        <w:bidi w:val="0"/>
      </w:pPr>
      <w:r>
        <w:rPr>
          <w:rStyle w:val="CommentReference"/>
        </w:rPr>
        <w:annotationRef/>
      </w:r>
      <w:r>
        <w:t>This is the correct spelling of his name – note that it is misspelled in the footnotes!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AF0B216" w15:done="0"/>
  <w15:commentEx w15:paraId="60C7C8F7" w15:done="0"/>
  <w15:commentEx w15:paraId="3B14A426" w15:done="0"/>
  <w15:commentEx w15:paraId="19AF932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3A640C" w14:textId="77777777" w:rsidR="004654B4" w:rsidRDefault="004654B4" w:rsidP="00576AFE">
      <w:r>
        <w:separator/>
      </w:r>
    </w:p>
  </w:endnote>
  <w:endnote w:type="continuationSeparator" w:id="0">
    <w:p w14:paraId="77192F4F" w14:textId="77777777" w:rsidR="004654B4" w:rsidRDefault="004654B4" w:rsidP="00576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ËÎÌå"/>
    <w:panose1 w:val="02010600030101010101"/>
    <w:charset w:val="86"/>
    <w:family w:val="auto"/>
    <w:pitch w:val="variable"/>
    <w:sig w:usb0="00000003" w:usb1="288F0000" w:usb2="00000016" w:usb3="00000000" w:csb0="00040001"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FrankRuehl">
    <w:panose1 w:val="020E0503060101010101"/>
    <w:charset w:val="00"/>
    <w:family w:val="swiss"/>
    <w:pitch w:val="variable"/>
    <w:sig w:usb0="00000803" w:usb1="00000000" w:usb2="00000000" w:usb3="00000000" w:csb0="00000021" w:csb1="00000000"/>
  </w:font>
  <w:font w:name="Arial TUR">
    <w:altName w:val="Arial"/>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rade Gothic W01 Roman">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29F5C4" w14:textId="77777777" w:rsidR="004654B4" w:rsidRDefault="004654B4" w:rsidP="00576AFE">
      <w:r>
        <w:separator/>
      </w:r>
    </w:p>
  </w:footnote>
  <w:footnote w:type="continuationSeparator" w:id="0">
    <w:p w14:paraId="74B0950C" w14:textId="77777777" w:rsidR="004654B4" w:rsidRDefault="004654B4" w:rsidP="00576AFE">
      <w:r>
        <w:continuationSeparator/>
      </w:r>
    </w:p>
  </w:footnote>
  <w:footnote w:id="1">
    <w:p w14:paraId="32A74946" w14:textId="010413E1" w:rsidR="00F46426" w:rsidRPr="006F7384" w:rsidRDefault="00F46426" w:rsidP="00263E1F">
      <w:pPr>
        <w:pStyle w:val="FootnoteText"/>
        <w:bidi w:val="0"/>
      </w:pPr>
      <w:r w:rsidRPr="006F7384">
        <w:rPr>
          <w:rStyle w:val="FootnoteReference"/>
        </w:rPr>
        <w:footnoteRef/>
      </w:r>
      <w:r w:rsidRPr="006F7384">
        <w:rPr>
          <w:rtl/>
        </w:rPr>
        <w:t xml:space="preserve"> </w:t>
      </w:r>
      <w:r w:rsidRPr="006F7384">
        <w:rPr>
          <w:rFonts w:asciiTheme="majorBidi" w:hAnsiTheme="majorBidi" w:cstheme="majorBidi"/>
        </w:rPr>
        <w:t xml:space="preserve">C.A. 189/95 </w:t>
      </w:r>
      <w:r w:rsidRPr="006F7384">
        <w:rPr>
          <w:rFonts w:asciiTheme="majorBidi" w:hAnsiTheme="majorBidi" w:cstheme="majorBidi"/>
          <w:smallCaps/>
        </w:rPr>
        <w:t>Bank Otzar Ha-Hayal v. Aharonov</w:t>
      </w:r>
      <w:r w:rsidRPr="006F7384">
        <w:rPr>
          <w:rFonts w:asciiTheme="majorBidi" w:hAnsiTheme="majorBidi" w:cstheme="majorBidi"/>
        </w:rPr>
        <w:t>, PD 53(4) 199, 251 (1999).</w:t>
      </w:r>
    </w:p>
  </w:footnote>
  <w:footnote w:id="2">
    <w:p w14:paraId="1D26E03C" w14:textId="77777777" w:rsidR="00F46426" w:rsidRPr="006F7384" w:rsidRDefault="00F46426" w:rsidP="00B0680A">
      <w:pPr>
        <w:pStyle w:val="FootnoteText"/>
        <w:bidi w:val="0"/>
        <w:jc w:val="both"/>
        <w:rPr>
          <w:rFonts w:asciiTheme="majorBidi" w:hAnsiTheme="majorBidi" w:cstheme="majorBidi"/>
        </w:rPr>
      </w:pPr>
      <w:r w:rsidRPr="006F7384">
        <w:rPr>
          <w:rStyle w:val="FootnoteReference"/>
          <w:rFonts w:asciiTheme="majorBidi" w:hAnsiTheme="majorBidi" w:cstheme="majorBidi"/>
        </w:rPr>
        <w:footnoteRef/>
      </w:r>
      <w:r w:rsidRPr="006F7384">
        <w:rPr>
          <w:rFonts w:asciiTheme="majorBidi" w:hAnsiTheme="majorBidi" w:cstheme="majorBidi"/>
          <w:rtl/>
        </w:rPr>
        <w:t xml:space="preserve"> </w:t>
      </w:r>
      <w:r w:rsidRPr="006F7384">
        <w:rPr>
          <w:rFonts w:asciiTheme="majorBidi" w:hAnsiTheme="majorBidi" w:cstheme="majorBidi"/>
        </w:rPr>
        <w:t>HCJ 2390/96</w:t>
      </w:r>
      <w:r w:rsidRPr="006F7384">
        <w:rPr>
          <w:rFonts w:asciiTheme="majorBidi" w:hAnsiTheme="majorBidi" w:cstheme="majorBidi"/>
          <w:smallCaps/>
        </w:rPr>
        <w:t xml:space="preserve"> Karsik v. State of Israel</w:t>
      </w:r>
      <w:r w:rsidRPr="006F7384">
        <w:rPr>
          <w:rFonts w:asciiTheme="majorBidi" w:hAnsiTheme="majorBidi" w:cstheme="majorBidi"/>
        </w:rPr>
        <w:t xml:space="preserve"> PD 55(2) 625, 713 [2001] (Isr.)(Hebrew)); English translation, J. Barak at par. 9 : </w:t>
      </w:r>
      <w:hyperlink r:id="rId1" w:history="1">
        <w:r w:rsidRPr="006F7384">
          <w:rPr>
            <w:rStyle w:val="Hyperlink"/>
            <w:rFonts w:asciiTheme="majorBidi" w:hAnsiTheme="majorBidi" w:cstheme="majorBidi"/>
          </w:rPr>
          <w:t>http://elyon1.court.gov.il/files_eng/96/900/023/g10/96023900.g10.htm</w:t>
        </w:r>
      </w:hyperlink>
      <w:r w:rsidRPr="006F7384">
        <w:rPr>
          <w:rFonts w:asciiTheme="majorBidi" w:hAnsiTheme="majorBidi" w:cstheme="majorBidi"/>
        </w:rPr>
        <w:t xml:space="preserve">; </w:t>
      </w:r>
      <w:r w:rsidRPr="006F7384">
        <w:rPr>
          <w:rFonts w:ascii="Times New Roman" w:hAnsi="Times New Roman" w:cs="Times New Roman"/>
          <w:smallCaps/>
        </w:rPr>
        <w:t>VERSA-Opinions of The Supreme Court of Israel, Translated Opinions,</w:t>
      </w:r>
      <w:r w:rsidRPr="006F7384">
        <w:rPr>
          <w:rFonts w:ascii="Times New Roman" w:hAnsi="Times New Roman" w:cs="Times New Roman"/>
        </w:rPr>
        <w:t xml:space="preserve"> </w:t>
      </w:r>
      <w:hyperlink r:id="rId2" w:history="1">
        <w:r w:rsidRPr="006F7384">
          <w:rPr>
            <w:rStyle w:val="Hyperlink"/>
            <w:rFonts w:asciiTheme="majorBidi" w:hAnsiTheme="majorBidi" w:cstheme="majorBidi"/>
          </w:rPr>
          <w:t>http://versa.cardozo.yu.edu/opinions/karsik-v-state-israel</w:t>
        </w:r>
      </w:hyperlink>
      <w:r w:rsidRPr="006F7384">
        <w:rPr>
          <w:rFonts w:asciiTheme="majorBidi" w:hAnsiTheme="majorBidi" w:cstheme="majorBidi"/>
        </w:rPr>
        <w:t xml:space="preserve"> (Hereinafter: </w:t>
      </w:r>
      <w:r w:rsidRPr="006F7384">
        <w:rPr>
          <w:rFonts w:asciiTheme="majorBidi" w:hAnsiTheme="majorBidi" w:cstheme="majorBidi"/>
          <w:smallCaps/>
        </w:rPr>
        <w:t>Karsik</w:t>
      </w:r>
      <w:r w:rsidRPr="006F7384">
        <w:rPr>
          <w:rFonts w:asciiTheme="majorBidi" w:hAnsiTheme="majorBidi" w:cstheme="majorBidi"/>
        </w:rPr>
        <w:t xml:space="preserve"> case).</w:t>
      </w:r>
    </w:p>
  </w:footnote>
  <w:footnote w:id="3">
    <w:p w14:paraId="0817397F" w14:textId="77777777" w:rsidR="00F46426" w:rsidRPr="006F7384" w:rsidRDefault="00F46426" w:rsidP="00464025">
      <w:pPr>
        <w:pStyle w:val="FootnoteText"/>
        <w:bidi w:val="0"/>
      </w:pPr>
      <w:r w:rsidRPr="006F7384">
        <w:rPr>
          <w:rStyle w:val="FootnoteReference"/>
        </w:rPr>
        <w:footnoteRef/>
      </w:r>
      <w:r w:rsidRPr="006F7384">
        <w:rPr>
          <w:rtl/>
        </w:rPr>
        <w:t xml:space="preserve"> </w:t>
      </w:r>
      <w:r w:rsidRPr="006F7384">
        <w:rPr>
          <w:rFonts w:asciiTheme="majorBidi" w:hAnsiTheme="majorBidi" w:cstheme="majorBidi"/>
        </w:rPr>
        <w:t xml:space="preserve">Shimon Shetreet, </w:t>
      </w:r>
      <w:r w:rsidRPr="006F7384">
        <w:rPr>
          <w:rFonts w:asciiTheme="majorBidi" w:hAnsiTheme="majorBidi" w:cstheme="majorBidi"/>
          <w:i/>
          <w:iCs/>
        </w:rPr>
        <w:t>The critical challenge of judicial independence in Israel</w:t>
      </w:r>
      <w:r w:rsidRPr="006F7384">
        <w:rPr>
          <w:rFonts w:asciiTheme="majorBidi" w:hAnsiTheme="majorBidi" w:cstheme="majorBidi"/>
        </w:rPr>
        <w:t xml:space="preserve">, </w:t>
      </w:r>
      <w:r w:rsidRPr="006F7384">
        <w:rPr>
          <w:rFonts w:asciiTheme="majorBidi" w:hAnsiTheme="majorBidi" w:cstheme="majorBidi"/>
          <w:smallCaps/>
        </w:rPr>
        <w:t>Judicial independence in the age of democracy-Critical perspectives from around the world</w:t>
      </w:r>
      <w:r w:rsidRPr="006F7384">
        <w:rPr>
          <w:rFonts w:asciiTheme="majorBidi" w:hAnsiTheme="majorBidi" w:cstheme="majorBidi"/>
        </w:rPr>
        <w:t xml:space="preserve"> 233, 233-235 (Peter H. Russell &amp; David M. O'Brien eds., University Press of Virginia, 2001).</w:t>
      </w:r>
    </w:p>
  </w:footnote>
  <w:footnote w:id="4">
    <w:p w14:paraId="609D622E" w14:textId="77777777" w:rsidR="00F46426" w:rsidRPr="006F7384" w:rsidRDefault="00F46426" w:rsidP="00454BA7">
      <w:pPr>
        <w:pStyle w:val="FootnoteText"/>
        <w:bidi w:val="0"/>
        <w:rPr>
          <w:rFonts w:asciiTheme="majorBidi" w:hAnsiTheme="majorBidi" w:cstheme="majorBidi"/>
        </w:rPr>
      </w:pPr>
      <w:r w:rsidRPr="006F7384">
        <w:rPr>
          <w:rStyle w:val="FootnoteReference"/>
          <w:rFonts w:asciiTheme="majorBidi" w:hAnsiTheme="majorBidi" w:cstheme="majorBidi"/>
        </w:rPr>
        <w:footnoteRef/>
      </w:r>
      <w:r w:rsidRPr="006F7384">
        <w:rPr>
          <w:rFonts w:asciiTheme="majorBidi" w:hAnsiTheme="majorBidi" w:cstheme="majorBidi"/>
        </w:rPr>
        <w:t xml:space="preserve"> </w:t>
      </w:r>
      <w:r w:rsidRPr="006F7384">
        <w:rPr>
          <w:rFonts w:asciiTheme="majorBidi" w:hAnsiTheme="majorBidi" w:cstheme="majorBidi"/>
          <w:i/>
          <w:iCs/>
          <w:highlight w:val="yellow"/>
        </w:rPr>
        <w:t>PG</w:t>
      </w:r>
      <w:r w:rsidRPr="006F7384">
        <w:rPr>
          <w:rFonts w:asciiTheme="majorBidi" w:hAnsiTheme="majorBidi" w:cstheme="majorBidi"/>
          <w:highlight w:val="yellow"/>
        </w:rPr>
        <w:t xml:space="preserve"> 1 September 1922, 1</w:t>
      </w:r>
      <w:r w:rsidRPr="006F7384">
        <w:rPr>
          <w:rFonts w:asciiTheme="majorBidi" w:hAnsiTheme="majorBidi" w:cstheme="majorBidi"/>
        </w:rPr>
        <w:t xml:space="preserve">. </w:t>
      </w:r>
      <w:r w:rsidRPr="006F7384">
        <w:rPr>
          <w:rFonts w:asciiTheme="majorBidi" w:hAnsiTheme="majorBidi" w:cstheme="majorBidi"/>
          <w:rtl/>
        </w:rPr>
        <w:t xml:space="preserve"> </w:t>
      </w:r>
    </w:p>
  </w:footnote>
  <w:footnote w:id="5">
    <w:p w14:paraId="10CC5A0D" w14:textId="77777777" w:rsidR="00F46426" w:rsidRPr="006F7384" w:rsidRDefault="00F46426" w:rsidP="00AB6B86">
      <w:pPr>
        <w:pStyle w:val="FootnoteText"/>
        <w:bidi w:val="0"/>
        <w:rPr>
          <w:rFonts w:asciiTheme="majorBidi" w:hAnsiTheme="majorBidi" w:cstheme="majorBidi"/>
          <w:rtl/>
        </w:rPr>
      </w:pPr>
      <w:r w:rsidRPr="006F7384">
        <w:rPr>
          <w:rStyle w:val="FootnoteReference"/>
          <w:rFonts w:asciiTheme="majorBidi" w:hAnsiTheme="majorBidi" w:cstheme="majorBidi"/>
        </w:rPr>
        <w:footnoteRef/>
      </w:r>
      <w:r w:rsidRPr="006F7384">
        <w:rPr>
          <w:rFonts w:asciiTheme="majorBidi" w:hAnsiTheme="majorBidi" w:cstheme="majorBidi"/>
          <w:rtl/>
        </w:rPr>
        <w:t xml:space="preserve"> </w:t>
      </w:r>
      <w:r w:rsidRPr="006F7384">
        <w:rPr>
          <w:rFonts w:asciiTheme="majorBidi" w:hAnsiTheme="majorBidi" w:cstheme="majorBidi"/>
        </w:rPr>
        <w:t xml:space="preserve">Uri Yadin, </w:t>
      </w:r>
      <w:r w:rsidRPr="006F7384">
        <w:rPr>
          <w:rFonts w:asciiTheme="majorBidi" w:hAnsiTheme="majorBidi" w:cstheme="majorBidi"/>
          <w:i/>
          <w:iCs/>
        </w:rPr>
        <w:t>Reception and rejection of English law in Israel</w:t>
      </w:r>
      <w:r w:rsidRPr="006F7384">
        <w:rPr>
          <w:rFonts w:ascii="Arial" w:hAnsi="Arial" w:cs="Arial"/>
          <w:color w:val="222222"/>
          <w:sz w:val="26"/>
          <w:szCs w:val="26"/>
        </w:rPr>
        <w:t xml:space="preserve">, </w:t>
      </w:r>
      <w:r w:rsidRPr="006F7384">
        <w:rPr>
          <w:rFonts w:asciiTheme="majorBidi" w:hAnsiTheme="majorBidi" w:cstheme="majorBidi"/>
        </w:rPr>
        <w:t xml:space="preserve">11 </w:t>
      </w:r>
      <w:r w:rsidRPr="006F7384">
        <w:rPr>
          <w:rFonts w:asciiTheme="majorBidi" w:hAnsiTheme="majorBidi" w:cstheme="majorBidi"/>
          <w:smallCaps/>
        </w:rPr>
        <w:t>International and comparative Law Quarterly</w:t>
      </w:r>
      <w:r w:rsidRPr="006F7384">
        <w:rPr>
          <w:rFonts w:asciiTheme="majorBidi" w:hAnsiTheme="majorBidi" w:cstheme="majorBidi"/>
        </w:rPr>
        <w:t xml:space="preserve"> 59, 59-61, 72 (1962); </w:t>
      </w:r>
      <w:r w:rsidRPr="006F7384">
        <w:rPr>
          <w:rFonts w:asciiTheme="majorBidi" w:eastAsia="MS Mincho" w:hAnsiTheme="majorBidi" w:cstheme="majorBidi"/>
        </w:rPr>
        <w:t xml:space="preserve">Daniel Friedmann, </w:t>
      </w:r>
      <w:r w:rsidRPr="006F7384">
        <w:rPr>
          <w:rFonts w:asciiTheme="majorBidi" w:eastAsia="MS Mincho" w:hAnsiTheme="majorBidi" w:cstheme="majorBidi"/>
          <w:i/>
          <w:iCs/>
        </w:rPr>
        <w:t>Infusion of the Common Law into the Legal System of Israel</w:t>
      </w:r>
      <w:r w:rsidRPr="006F7384">
        <w:rPr>
          <w:rFonts w:asciiTheme="majorBidi" w:eastAsia="MS Mincho" w:hAnsiTheme="majorBidi" w:cstheme="majorBidi"/>
        </w:rPr>
        <w:t xml:space="preserve">, 10 </w:t>
      </w:r>
      <w:r w:rsidRPr="006F7384">
        <w:rPr>
          <w:rFonts w:asciiTheme="majorBidi" w:eastAsia="MS Mincho" w:hAnsiTheme="majorBidi" w:cstheme="majorBidi"/>
          <w:smallCaps/>
        </w:rPr>
        <w:t>Isr. L. Rev.</w:t>
      </w:r>
      <w:r w:rsidRPr="006F7384">
        <w:t xml:space="preserve"> </w:t>
      </w:r>
      <w:r w:rsidRPr="006F7384">
        <w:rPr>
          <w:rFonts w:asciiTheme="majorBidi" w:eastAsia="MS Mincho" w:hAnsiTheme="majorBidi" w:cstheme="majorBidi"/>
        </w:rPr>
        <w:t>324, 350, 359-360 (1975).</w:t>
      </w:r>
    </w:p>
  </w:footnote>
  <w:footnote w:id="6">
    <w:p w14:paraId="0AA76850" w14:textId="0B99C151" w:rsidR="00F46426" w:rsidRPr="006F7384" w:rsidRDefault="00F46426" w:rsidP="00AB6B86">
      <w:pPr>
        <w:pStyle w:val="FootnoteText"/>
        <w:bidi w:val="0"/>
        <w:jc w:val="both"/>
        <w:rPr>
          <w:rFonts w:asciiTheme="majorBidi" w:hAnsiTheme="majorBidi" w:cstheme="majorBidi"/>
        </w:rPr>
      </w:pPr>
      <w:r w:rsidRPr="006F7384">
        <w:rPr>
          <w:rStyle w:val="FootnoteReference"/>
          <w:rFonts w:asciiTheme="majorBidi" w:hAnsiTheme="majorBidi" w:cstheme="majorBidi"/>
        </w:rPr>
        <w:footnoteRef/>
      </w:r>
      <w:r w:rsidRPr="006F7384">
        <w:rPr>
          <w:rFonts w:asciiTheme="majorBidi" w:hAnsiTheme="majorBidi" w:cstheme="majorBidi"/>
        </w:rPr>
        <w:t xml:space="preserve"> Maimon Schwarzschild, </w:t>
      </w:r>
      <w:hyperlink r:id="rId3" w:history="1">
        <w:r w:rsidRPr="006F7384">
          <w:rPr>
            <w:rFonts w:asciiTheme="majorBidi" w:hAnsiTheme="majorBidi" w:cstheme="majorBidi"/>
            <w:i/>
            <w:iCs/>
          </w:rPr>
          <w:t>Complicated-But Not Too Complicated: The Sunset of EU Law in the UK after Brexit</w:t>
        </w:r>
      </w:hyperlink>
      <w:r w:rsidRPr="006F7384">
        <w:rPr>
          <w:rFonts w:asciiTheme="majorBidi" w:hAnsiTheme="majorBidi" w:cstheme="majorBidi"/>
        </w:rPr>
        <w:t xml:space="preserve">, 39 </w:t>
      </w:r>
      <w:r w:rsidRPr="006F7384">
        <w:rPr>
          <w:rFonts w:asciiTheme="majorBidi" w:hAnsiTheme="majorBidi" w:cstheme="majorBidi"/>
          <w:smallCaps/>
        </w:rPr>
        <w:t>Cardozo Law Review</w:t>
      </w:r>
      <w:r w:rsidRPr="006F7384">
        <w:rPr>
          <w:rFonts w:asciiTheme="majorBidi" w:hAnsiTheme="majorBidi" w:cstheme="majorBidi"/>
        </w:rPr>
        <w:t xml:space="preserve"> 905, 908 (2018); Graham Gee, Alison L. Young, </w:t>
      </w:r>
      <w:hyperlink r:id="rId4" w:history="1">
        <w:r w:rsidRPr="006F7384">
          <w:rPr>
            <w:rFonts w:asciiTheme="majorBidi" w:hAnsiTheme="majorBidi" w:cstheme="majorBidi"/>
            <w:i/>
            <w:iCs/>
          </w:rPr>
          <w:t>Regaining Sovereignty: Brexit, the UK Parliament and the Common Law</w:t>
        </w:r>
      </w:hyperlink>
      <w:r w:rsidRPr="006F7384">
        <w:rPr>
          <w:rFonts w:asciiTheme="majorBidi" w:hAnsiTheme="majorBidi" w:cstheme="majorBidi"/>
        </w:rPr>
        <w:t xml:space="preserve">, 22 </w:t>
      </w:r>
      <w:r w:rsidRPr="006F7384">
        <w:rPr>
          <w:rFonts w:asciiTheme="majorBidi" w:hAnsiTheme="majorBidi" w:cstheme="majorBidi"/>
          <w:smallCaps/>
        </w:rPr>
        <w:t>European Public Law</w:t>
      </w:r>
      <w:r w:rsidR="00E9671E">
        <w:rPr>
          <w:rFonts w:asciiTheme="majorBidi" w:hAnsiTheme="majorBidi" w:cstheme="majorBidi"/>
        </w:rPr>
        <w:t xml:space="preserve"> 131</w:t>
      </w:r>
      <w:proofErr w:type="gramStart"/>
      <w:r w:rsidR="00E9671E">
        <w:rPr>
          <w:rFonts w:asciiTheme="majorBidi" w:hAnsiTheme="majorBidi" w:cstheme="majorBidi"/>
        </w:rPr>
        <w:t xml:space="preserve">, </w:t>
      </w:r>
      <w:r w:rsidRPr="006F7384">
        <w:rPr>
          <w:rFonts w:asciiTheme="majorBidi" w:hAnsiTheme="majorBidi" w:cstheme="majorBidi"/>
          <w:highlight w:val="yellow"/>
        </w:rPr>
        <w:t>???</w:t>
      </w:r>
      <w:proofErr w:type="gramEnd"/>
      <w:r w:rsidRPr="006F7384">
        <w:rPr>
          <w:rFonts w:asciiTheme="majorBidi" w:hAnsiTheme="majorBidi" w:cstheme="majorBidi"/>
        </w:rPr>
        <w:t xml:space="preserve"> (2016).</w:t>
      </w:r>
      <w:r w:rsidRPr="006F7384">
        <w:rPr>
          <w:rFonts w:asciiTheme="majorBidi" w:hAnsiTheme="majorBidi" w:cstheme="majorBidi"/>
          <w:rtl/>
        </w:rPr>
        <w:t xml:space="preserve"> </w:t>
      </w:r>
    </w:p>
  </w:footnote>
  <w:footnote w:id="7">
    <w:p w14:paraId="53597265" w14:textId="77777777" w:rsidR="00F46426" w:rsidRPr="006F7384" w:rsidRDefault="00F46426" w:rsidP="005B110C">
      <w:pPr>
        <w:pStyle w:val="FootnoteText"/>
        <w:bidi w:val="0"/>
        <w:jc w:val="both"/>
        <w:rPr>
          <w:rFonts w:asciiTheme="majorBidi" w:hAnsiTheme="majorBidi" w:cstheme="majorBidi"/>
        </w:rPr>
      </w:pPr>
      <w:r w:rsidRPr="006F7384">
        <w:rPr>
          <w:rStyle w:val="FootnoteReference"/>
          <w:rFonts w:asciiTheme="majorBidi" w:hAnsiTheme="majorBidi" w:cstheme="majorBidi"/>
        </w:rPr>
        <w:footnoteRef/>
      </w:r>
      <w:r w:rsidRPr="006F7384">
        <w:rPr>
          <w:rFonts w:asciiTheme="majorBidi" w:hAnsiTheme="majorBidi" w:cstheme="majorBidi"/>
          <w:rtl/>
        </w:rPr>
        <w:t xml:space="preserve"> </w:t>
      </w:r>
      <w:r w:rsidRPr="006F7384">
        <w:rPr>
          <w:rFonts w:asciiTheme="majorBidi" w:hAnsiTheme="majorBidi" w:cstheme="majorBidi"/>
        </w:rPr>
        <w:t xml:space="preserve">Daniel Friedmann, </w:t>
      </w:r>
      <w:r w:rsidRPr="006F7384">
        <w:rPr>
          <w:rFonts w:asciiTheme="majorBidi" w:hAnsiTheme="majorBidi" w:cstheme="majorBidi"/>
          <w:i/>
          <w:iCs/>
        </w:rPr>
        <w:t>Independent Development of Israeli Law,</w:t>
      </w:r>
      <w:r w:rsidRPr="006F7384">
        <w:rPr>
          <w:rFonts w:asciiTheme="majorBidi" w:hAnsiTheme="majorBidi" w:cstheme="majorBidi"/>
        </w:rPr>
        <w:t xml:space="preserve"> 10 </w:t>
      </w:r>
      <w:r w:rsidRPr="006F7384">
        <w:rPr>
          <w:rFonts w:asciiTheme="majorBidi" w:hAnsiTheme="majorBidi" w:cstheme="majorBidi"/>
          <w:smallCaps/>
        </w:rPr>
        <w:t>Israel Law Review</w:t>
      </w:r>
      <w:r w:rsidRPr="006F7384">
        <w:rPr>
          <w:rFonts w:asciiTheme="majorBidi" w:hAnsiTheme="majorBidi" w:cstheme="majorBidi"/>
        </w:rPr>
        <w:t xml:space="preserve"> 515, 536-537 (1975).</w:t>
      </w:r>
    </w:p>
  </w:footnote>
  <w:footnote w:id="8">
    <w:p w14:paraId="29866269" w14:textId="77777777" w:rsidR="00F46426" w:rsidRPr="006F7384" w:rsidRDefault="00F46426" w:rsidP="005B110C">
      <w:pPr>
        <w:pStyle w:val="FootnoteText"/>
        <w:bidi w:val="0"/>
        <w:jc w:val="both"/>
        <w:rPr>
          <w:rFonts w:asciiTheme="majorBidi" w:hAnsiTheme="majorBidi" w:cstheme="majorBidi"/>
        </w:rPr>
      </w:pPr>
      <w:r w:rsidRPr="006F7384">
        <w:rPr>
          <w:rStyle w:val="FootnoteReference"/>
          <w:rFonts w:asciiTheme="majorBidi" w:hAnsiTheme="majorBidi" w:cstheme="majorBidi"/>
        </w:rPr>
        <w:footnoteRef/>
      </w:r>
      <w:r w:rsidRPr="006F7384">
        <w:rPr>
          <w:rFonts w:asciiTheme="majorBidi" w:hAnsiTheme="majorBidi" w:cstheme="majorBidi"/>
          <w:rtl/>
        </w:rPr>
        <w:t xml:space="preserve"> </w:t>
      </w:r>
      <w:r w:rsidRPr="006F7384">
        <w:rPr>
          <w:rFonts w:asciiTheme="majorBidi" w:hAnsiTheme="majorBidi" w:cstheme="majorBidi"/>
        </w:rPr>
        <w:t xml:space="preserve">Foundations of Law, 5740—1980, S.H.163, 34 L.S.I 181; Menachem Elon </w:t>
      </w:r>
      <w:r w:rsidRPr="006F7384">
        <w:rPr>
          <w:rFonts w:asciiTheme="majorBidi" w:hAnsiTheme="majorBidi" w:cstheme="majorBidi"/>
          <w:i/>
          <w:iCs/>
        </w:rPr>
        <w:t>The legal system of Jewish Law</w:t>
      </w:r>
      <w:r w:rsidRPr="006F7384">
        <w:rPr>
          <w:rFonts w:asciiTheme="majorBidi" w:hAnsiTheme="majorBidi" w:cstheme="majorBidi"/>
        </w:rPr>
        <w:t xml:space="preserve"> 17 </w:t>
      </w:r>
      <w:r w:rsidRPr="006F7384">
        <w:rPr>
          <w:rFonts w:asciiTheme="majorBidi" w:hAnsiTheme="majorBidi" w:cstheme="majorBidi"/>
          <w:smallCaps/>
        </w:rPr>
        <w:t>N.Y.U. J. Int'l L. &amp; Pol.</w:t>
      </w:r>
      <w:r w:rsidRPr="006F7384">
        <w:rPr>
          <w:rFonts w:asciiTheme="majorBidi" w:hAnsiTheme="majorBidi" w:cstheme="majorBidi"/>
        </w:rPr>
        <w:t xml:space="preserve"> 221, 239-241 (1985).</w:t>
      </w:r>
    </w:p>
  </w:footnote>
  <w:footnote w:id="9">
    <w:p w14:paraId="66B009AC" w14:textId="3EAF53A1" w:rsidR="0056483C" w:rsidRPr="006F7384" w:rsidRDefault="0056483C" w:rsidP="0056483C">
      <w:pPr>
        <w:pStyle w:val="FootnoteText"/>
        <w:bidi w:val="0"/>
      </w:pPr>
      <w:r w:rsidRPr="006F7384">
        <w:rPr>
          <w:rStyle w:val="FootnoteReference"/>
        </w:rPr>
        <w:footnoteRef/>
      </w:r>
      <w:r w:rsidRPr="006F7384">
        <w:rPr>
          <w:rtl/>
        </w:rPr>
        <w:t xml:space="preserve"> </w:t>
      </w:r>
      <w:r w:rsidRPr="006F7384">
        <w:rPr>
          <w:rFonts w:ascii="TimesNewRomanPSMT" w:hAnsi="TimesNewRomanPSMT" w:cs="TimesNewRomanPSMT"/>
          <w:sz w:val="18"/>
          <w:szCs w:val="18"/>
        </w:rPr>
        <w:t xml:space="preserve">Yoram Shachar, Ron Harris, Meyron Gross </w:t>
      </w:r>
      <w:r w:rsidRPr="006F7384">
        <w:rPr>
          <w:rFonts w:ascii="TimesNewRomanPS-BoldMT" w:hAnsi="TimesNewRomanPS-BoldMT" w:cs="TimesNewRomanPS-BoldMT"/>
          <w:i/>
          <w:iCs/>
          <w:sz w:val="18"/>
          <w:szCs w:val="18"/>
        </w:rPr>
        <w:t>Citation Practices of the Supreme Court, Quantitative Analysis</w:t>
      </w:r>
      <w:r w:rsidRPr="006F7384">
        <w:rPr>
          <w:rFonts w:ascii="TimesNewRomanPS-BoldMT" w:hAnsi="TimesNewRomanPS-BoldMT" w:cs="TimesNewRomanPS-BoldMT"/>
          <w:sz w:val="18"/>
          <w:szCs w:val="18"/>
        </w:rPr>
        <w:t xml:space="preserve"> 27 </w:t>
      </w:r>
      <w:r w:rsidRPr="006F7384">
        <w:rPr>
          <w:rFonts w:ascii="TimesNewRomanPS-BoldMT" w:hAnsi="TimesNewRomanPS-BoldMT" w:cs="TimesNewRomanPS-BoldMT"/>
          <w:smallCaps/>
          <w:sz w:val="18"/>
          <w:szCs w:val="18"/>
        </w:rPr>
        <w:t xml:space="preserve">Mishpatim –The Hebrew University Law Review </w:t>
      </w:r>
      <w:r w:rsidRPr="006F7384">
        <w:rPr>
          <w:rFonts w:ascii="TimesNewRomanPS-BoldMT" w:hAnsi="TimesNewRomanPS-BoldMT" w:cs="TimesNewRomanPS-BoldMT"/>
          <w:sz w:val="18"/>
          <w:szCs w:val="18"/>
        </w:rPr>
        <w:t xml:space="preserve">119, 151-160 (1996)(Hebrew); </w:t>
      </w:r>
      <w:r w:rsidRPr="006F7384">
        <w:rPr>
          <w:rFonts w:ascii="TimesNewRomanPSMT" w:hAnsi="TimesNewRomanPSMT" w:cs="TimesNewRomanPSMT"/>
          <w:sz w:val="18"/>
          <w:szCs w:val="18"/>
        </w:rPr>
        <w:t>Yoram Shachar</w:t>
      </w:r>
      <w:r w:rsidRPr="006F7384">
        <w:rPr>
          <w:rFonts w:ascii="TimesNewRomanPS-BoldMT" w:hAnsi="TimesNewRomanPS-BoldMT" w:cs="TimesNewRomanPS-BoldMT"/>
          <w:sz w:val="18"/>
          <w:szCs w:val="18"/>
        </w:rPr>
        <w:t xml:space="preserve"> </w:t>
      </w:r>
      <w:r w:rsidRPr="006F7384">
        <w:rPr>
          <w:rFonts w:ascii="TimesNewRomanPS-BoldMT" w:hAnsi="TimesNewRomanPS-BoldMT" w:cs="TimesNewRomanPS-BoldMT"/>
          <w:i/>
          <w:iCs/>
          <w:sz w:val="18"/>
          <w:szCs w:val="18"/>
        </w:rPr>
        <w:t>The reference area of the Supreme Court 1950-2004</w:t>
      </w:r>
      <w:r w:rsidRPr="006F7384">
        <w:rPr>
          <w:rFonts w:ascii="TimesNewRomanPS-BoldMT" w:hAnsi="TimesNewRomanPS-BoldMT" w:cs="TimesNewRomanPS-BoldMT"/>
          <w:sz w:val="18"/>
          <w:szCs w:val="18"/>
        </w:rPr>
        <w:t xml:space="preserve"> 50 </w:t>
      </w:r>
      <w:r w:rsidRPr="006F7384">
        <w:rPr>
          <w:rFonts w:ascii="TimesNewRomanPS-BoldMT" w:hAnsi="TimesNewRomanPS-BoldMT" w:cs="TimesNewRomanPS-BoldMT"/>
          <w:smallCaps/>
          <w:sz w:val="18"/>
          <w:szCs w:val="18"/>
        </w:rPr>
        <w:t xml:space="preserve">Hapraklit-The Israel Bar Law Journal </w:t>
      </w:r>
      <w:r w:rsidRPr="006F7384">
        <w:rPr>
          <w:rFonts w:ascii="TimesNewRomanPS-BoldMT" w:hAnsi="TimesNewRomanPS-BoldMT" w:cs="TimesNewRomanPS-BoldMT"/>
          <w:sz w:val="18"/>
          <w:szCs w:val="18"/>
        </w:rPr>
        <w:t>29, 41-52 (2008) (Hebrew).</w:t>
      </w:r>
    </w:p>
  </w:footnote>
  <w:footnote w:id="10">
    <w:p w14:paraId="2064B5AC" w14:textId="77777777" w:rsidR="00F46426" w:rsidRPr="006F7384" w:rsidRDefault="00F46426" w:rsidP="00C500BD">
      <w:pPr>
        <w:pStyle w:val="FootnoteText"/>
        <w:bidi w:val="0"/>
        <w:rPr>
          <w:rFonts w:asciiTheme="majorBidi" w:hAnsiTheme="majorBidi" w:cstheme="majorBidi"/>
        </w:rPr>
      </w:pPr>
      <w:r w:rsidRPr="006F7384">
        <w:rPr>
          <w:rStyle w:val="FootnoteReference"/>
          <w:rFonts w:asciiTheme="majorBidi" w:hAnsiTheme="majorBidi" w:cstheme="majorBidi"/>
        </w:rPr>
        <w:footnoteRef/>
      </w:r>
      <w:r w:rsidRPr="006F7384">
        <w:rPr>
          <w:rFonts w:asciiTheme="majorBidi" w:hAnsiTheme="majorBidi" w:cstheme="majorBidi"/>
        </w:rPr>
        <w:t xml:space="preserve"> </w:t>
      </w:r>
      <w:r w:rsidRPr="006F7384">
        <w:rPr>
          <w:rFonts w:ascii="TimesNewRomanPSMT" w:hAnsi="TimesNewRomanPSMT" w:cs="TimesNewRomanPSMT"/>
          <w:smallCaps/>
          <w:sz w:val="18"/>
          <w:szCs w:val="18"/>
        </w:rPr>
        <w:t>Baker v. Carr</w:t>
      </w:r>
      <w:r w:rsidRPr="006F7384">
        <w:rPr>
          <w:rFonts w:ascii="TimesNewRomanPSMT" w:hAnsi="TimesNewRomanPSMT" w:cs="TimesNewRomanPSMT"/>
          <w:sz w:val="18"/>
          <w:szCs w:val="18"/>
        </w:rPr>
        <w:t xml:space="preserve"> 369 </w:t>
      </w:r>
      <w:r w:rsidRPr="006F7384">
        <w:rPr>
          <w:rFonts w:ascii="TimesNewRomanPSMT" w:hAnsi="TimesNewRomanPSMT" w:cs="TimesNewRomanPSMT"/>
          <w:smallCaps/>
          <w:sz w:val="18"/>
          <w:szCs w:val="18"/>
        </w:rPr>
        <w:t>U.S.</w:t>
      </w:r>
      <w:r w:rsidRPr="006F7384">
        <w:rPr>
          <w:rFonts w:ascii="TimesNewRomanPSMT" w:hAnsi="TimesNewRomanPSMT" w:cs="TimesNewRomanPSMT"/>
          <w:sz w:val="18"/>
          <w:szCs w:val="18"/>
        </w:rPr>
        <w:t xml:space="preserve"> 186, 267 (1962</w:t>
      </w:r>
      <w:r w:rsidRPr="006F7384">
        <w:rPr>
          <w:rFonts w:ascii="Arial" w:hAnsi="Arial" w:cs="Arial"/>
          <w:color w:val="1A1A1A"/>
        </w:rPr>
        <w:t>).</w:t>
      </w:r>
    </w:p>
  </w:footnote>
  <w:footnote w:id="11">
    <w:p w14:paraId="529A411A" w14:textId="77777777" w:rsidR="00F46426" w:rsidRPr="006F7384" w:rsidRDefault="00F46426" w:rsidP="00EB3B8E">
      <w:pPr>
        <w:pStyle w:val="FootnoteText"/>
        <w:bidi w:val="0"/>
        <w:jc w:val="both"/>
      </w:pPr>
      <w:r w:rsidRPr="006F7384">
        <w:rPr>
          <w:rStyle w:val="FootnoteReference"/>
        </w:rPr>
        <w:footnoteRef/>
      </w:r>
      <w:r w:rsidRPr="006F7384">
        <w:rPr>
          <w:rFonts w:ascii="TimesNewRomanPSMT" w:hAnsi="TimesNewRomanPSMT" w:cs="TimesNewRomanPSMT"/>
          <w:sz w:val="18"/>
          <w:szCs w:val="18"/>
        </w:rPr>
        <w:t xml:space="preserve">Daniel Friedmann, </w:t>
      </w:r>
      <w:r w:rsidRPr="006F7384">
        <w:rPr>
          <w:rFonts w:ascii="TimesNewRomanPSMT" w:hAnsi="TimesNewRomanPSMT" w:cs="TimesNewRomanPSMT"/>
          <w:smallCaps/>
          <w:sz w:val="18"/>
          <w:szCs w:val="18"/>
        </w:rPr>
        <w:t xml:space="preserve">The Purse and the Sword-The Trials of Israel's Legal </w:t>
      </w:r>
      <w:proofErr w:type="gramStart"/>
      <w:r w:rsidRPr="006F7384">
        <w:rPr>
          <w:rFonts w:ascii="TimesNewRomanPSMT" w:hAnsi="TimesNewRomanPSMT" w:cs="TimesNewRomanPSMT"/>
          <w:smallCaps/>
          <w:sz w:val="18"/>
          <w:szCs w:val="18"/>
        </w:rPr>
        <w:t>Revolution</w:t>
      </w:r>
      <w:r w:rsidRPr="006F7384">
        <w:rPr>
          <w:rFonts w:ascii="TimesNewRomanPSMT" w:hAnsi="TimesNewRomanPSMT" w:cs="TimesNewRomanPSMT"/>
          <w:b/>
          <w:bCs/>
          <w:sz w:val="18"/>
          <w:szCs w:val="18"/>
        </w:rPr>
        <w:t xml:space="preserve"> </w:t>
      </w:r>
      <w:r w:rsidRPr="006F7384">
        <w:rPr>
          <w:rFonts w:ascii="TimesNewRomanPSMT" w:hAnsi="TimesNewRomanPSMT" w:cs="TimesNewRomanPSMT"/>
          <w:sz w:val="18"/>
          <w:szCs w:val="18"/>
          <w:highlight w:val="yellow"/>
        </w:rPr>
        <w:t>???</w:t>
      </w:r>
      <w:proofErr w:type="gramEnd"/>
      <w:r w:rsidRPr="006F7384">
        <w:rPr>
          <w:rFonts w:ascii="TimesNewRomanPSMT" w:hAnsi="TimesNewRomanPSMT" w:cs="TimesNewRomanPSMT"/>
          <w:sz w:val="18"/>
          <w:szCs w:val="18"/>
        </w:rPr>
        <w:t xml:space="preserve"> (Haim Watzman tr. OUP 2016); </w:t>
      </w:r>
      <w:r w:rsidRPr="006F7384">
        <w:rPr>
          <w:rFonts w:asciiTheme="majorBidi" w:hAnsiTheme="majorBidi" w:cstheme="majorBidi"/>
        </w:rPr>
        <w:t xml:space="preserve">Oren Soffer, </w:t>
      </w:r>
      <w:r w:rsidRPr="006F7384">
        <w:rPr>
          <w:rFonts w:asciiTheme="majorBidi" w:hAnsiTheme="majorBidi" w:cstheme="majorBidi"/>
          <w:i/>
          <w:iCs/>
        </w:rPr>
        <w:t>Judicial review of legislation in Israel: Problems and implications of possible reform</w:t>
      </w:r>
      <w:r w:rsidRPr="006F7384">
        <w:rPr>
          <w:rFonts w:asciiTheme="majorBidi" w:hAnsiTheme="majorBidi" w:cstheme="majorBidi"/>
        </w:rPr>
        <w:t xml:space="preserve">, 12 </w:t>
      </w:r>
      <w:r w:rsidRPr="006F7384">
        <w:rPr>
          <w:rFonts w:asciiTheme="majorBidi" w:hAnsiTheme="majorBidi" w:cstheme="majorBidi"/>
          <w:smallCaps/>
        </w:rPr>
        <w:t>Israel Affairs</w:t>
      </w:r>
      <w:r w:rsidRPr="006F7384">
        <w:rPr>
          <w:rFonts w:asciiTheme="majorBidi" w:hAnsiTheme="majorBidi" w:cstheme="majorBidi"/>
        </w:rPr>
        <w:t xml:space="preserve"> 307, 311-314 (2006).</w:t>
      </w:r>
    </w:p>
  </w:footnote>
  <w:footnote w:id="12">
    <w:p w14:paraId="02C07670" w14:textId="77777777" w:rsidR="00F46426" w:rsidRPr="006F7384" w:rsidRDefault="00F46426" w:rsidP="00A4597D">
      <w:pPr>
        <w:pStyle w:val="FootnoteText"/>
        <w:bidi w:val="0"/>
        <w:jc w:val="both"/>
        <w:rPr>
          <w:rFonts w:asciiTheme="majorBidi" w:hAnsiTheme="majorBidi" w:cstheme="majorBidi"/>
        </w:rPr>
      </w:pPr>
      <w:r w:rsidRPr="006F7384">
        <w:rPr>
          <w:rStyle w:val="FootnoteReference"/>
          <w:rFonts w:asciiTheme="majorBidi" w:hAnsiTheme="majorBidi" w:cstheme="majorBidi"/>
        </w:rPr>
        <w:footnoteRef/>
      </w:r>
      <w:r w:rsidRPr="006F7384">
        <w:rPr>
          <w:rFonts w:asciiTheme="majorBidi" w:hAnsiTheme="majorBidi" w:cstheme="majorBidi"/>
          <w:rtl/>
        </w:rPr>
        <w:t xml:space="preserve"> </w:t>
      </w:r>
      <w:r w:rsidRPr="006F7384">
        <w:rPr>
          <w:rFonts w:asciiTheme="majorBidi" w:hAnsiTheme="majorBidi" w:cstheme="majorBidi"/>
        </w:rPr>
        <w:t xml:space="preserve">Ibid, at </w:t>
      </w:r>
      <w:r w:rsidRPr="006F7384">
        <w:rPr>
          <w:rFonts w:asciiTheme="majorBidi" w:hAnsiTheme="majorBidi" w:cstheme="majorBidi"/>
          <w:highlight w:val="yellow"/>
        </w:rPr>
        <w:t>???</w:t>
      </w:r>
      <w:r w:rsidRPr="006F7384">
        <w:rPr>
          <w:rFonts w:asciiTheme="majorBidi" w:hAnsiTheme="majorBidi" w:cstheme="majorBidi"/>
        </w:rPr>
        <w:t xml:space="preserve">; Menachem Mautner, </w:t>
      </w:r>
      <w:r w:rsidRPr="006F7384">
        <w:rPr>
          <w:rFonts w:asciiTheme="majorBidi" w:hAnsiTheme="majorBidi" w:cstheme="majorBidi"/>
          <w:smallCaps/>
        </w:rPr>
        <w:t>Law &amp; the culture of Israel</w:t>
      </w:r>
      <w:r w:rsidRPr="006F7384">
        <w:rPr>
          <w:rFonts w:asciiTheme="majorBidi" w:hAnsiTheme="majorBidi" w:cstheme="majorBidi"/>
        </w:rPr>
        <w:t xml:space="preserve"> </w:t>
      </w:r>
      <w:r w:rsidRPr="006F7384">
        <w:rPr>
          <w:rFonts w:asciiTheme="majorBidi" w:hAnsiTheme="majorBidi" w:cstheme="majorBidi"/>
          <w:highlight w:val="yellow"/>
        </w:rPr>
        <w:t>68-74</w:t>
      </w:r>
      <w:r w:rsidRPr="006F7384">
        <w:rPr>
          <w:rFonts w:asciiTheme="majorBidi" w:hAnsiTheme="majorBidi" w:cstheme="majorBidi"/>
        </w:rPr>
        <w:t xml:space="preserve"> (OUP 2011); Gary J. Jacobsohn </w:t>
      </w:r>
      <w:r w:rsidRPr="006F7384">
        <w:rPr>
          <w:rFonts w:asciiTheme="majorBidi" w:hAnsiTheme="majorBidi" w:cstheme="majorBidi"/>
          <w:i/>
          <w:iCs/>
        </w:rPr>
        <w:t xml:space="preserve">Judicial activism in Israel </w:t>
      </w:r>
      <w:r w:rsidRPr="006F7384">
        <w:rPr>
          <w:rFonts w:asciiTheme="majorBidi" w:hAnsiTheme="majorBidi" w:cstheme="majorBidi"/>
          <w:smallCaps/>
        </w:rPr>
        <w:t>Judicial Activism in Comparative Perspective</w:t>
      </w:r>
      <w:r w:rsidRPr="006F7384">
        <w:rPr>
          <w:rFonts w:ascii="Arial" w:hAnsi="Arial" w:cs="Arial"/>
          <w:color w:val="333333"/>
          <w:sz w:val="18"/>
          <w:szCs w:val="18"/>
        </w:rPr>
        <w:t xml:space="preserve"> </w:t>
      </w:r>
      <w:r w:rsidRPr="006F7384">
        <w:rPr>
          <w:rFonts w:asciiTheme="majorBidi" w:hAnsiTheme="majorBidi" w:cstheme="majorBidi"/>
        </w:rPr>
        <w:t>90 (Kenneth M.Holland ed., St. Martin's Press 1991).</w:t>
      </w:r>
    </w:p>
  </w:footnote>
  <w:footnote w:id="13">
    <w:p w14:paraId="006DD22C" w14:textId="21FC7856" w:rsidR="00F46426" w:rsidRPr="006F7384" w:rsidRDefault="00F46426" w:rsidP="00BD3F61">
      <w:pPr>
        <w:pStyle w:val="FootnoteText"/>
        <w:bidi w:val="0"/>
        <w:jc w:val="both"/>
      </w:pPr>
      <w:r w:rsidRPr="006F7384">
        <w:rPr>
          <w:rStyle w:val="FootnoteReference"/>
        </w:rPr>
        <w:footnoteRef/>
      </w:r>
      <w:r w:rsidRPr="006F7384">
        <w:rPr>
          <w:rtl/>
        </w:rPr>
        <w:t xml:space="preserve"> </w:t>
      </w:r>
      <w:r w:rsidRPr="006F7384">
        <w:rPr>
          <w:rFonts w:asciiTheme="majorBidi" w:hAnsiTheme="majorBidi" w:cstheme="majorBidi"/>
        </w:rPr>
        <w:t>Basic Law: Human Dignity and Liberty, 5752 – 1992, S.H.150, §1 (Hebrew); Unofficial English Translation by Dr. Susan Hattis Rolef</w:t>
      </w:r>
      <w:r w:rsidR="009A7DCB">
        <w:rPr>
          <w:rFonts w:asciiTheme="majorBidi" w:hAnsiTheme="majorBidi" w:cstheme="majorBidi"/>
        </w:rPr>
        <w:t xml:space="preserve"> </w:t>
      </w:r>
      <w:r w:rsidRPr="006F7384">
        <w:rPr>
          <w:rFonts w:asciiTheme="majorBidi" w:hAnsiTheme="majorBidi" w:cstheme="majorBidi"/>
        </w:rPr>
        <w:t>-</w:t>
      </w:r>
      <w:r w:rsidR="009A7DCB">
        <w:rPr>
          <w:rFonts w:asciiTheme="majorBidi" w:hAnsiTheme="majorBidi" w:cstheme="majorBidi"/>
        </w:rPr>
        <w:t xml:space="preserve"> </w:t>
      </w:r>
      <w:r w:rsidRPr="006F7384">
        <w:rPr>
          <w:rFonts w:asciiTheme="majorBidi" w:hAnsiTheme="majorBidi" w:cstheme="majorBidi"/>
        </w:rPr>
        <w:t xml:space="preserve">Knesset web site, </w:t>
      </w:r>
      <w:hyperlink r:id="rId5" w:history="1">
        <w:r w:rsidRPr="006F7384">
          <w:rPr>
            <w:rStyle w:val="Hyperlink"/>
            <w:rFonts w:asciiTheme="majorBidi" w:hAnsiTheme="majorBidi" w:cstheme="majorBidi"/>
          </w:rPr>
          <w:t>http://knesset.gov.il/laws/special/eng/BasicLawLiberty.pdf</w:t>
        </w:r>
      </w:hyperlink>
      <w:r w:rsidRPr="006F7384">
        <w:rPr>
          <w:rFonts w:asciiTheme="majorBidi" w:hAnsiTheme="majorBidi" w:cstheme="majorBidi"/>
        </w:rPr>
        <w:t>.</w:t>
      </w:r>
      <w:r w:rsidRPr="006F7384">
        <w:t xml:space="preserve"> </w:t>
      </w:r>
    </w:p>
  </w:footnote>
  <w:footnote w:id="14">
    <w:p w14:paraId="10249E88" w14:textId="3A0580A6" w:rsidR="00F46426" w:rsidRPr="006F7384" w:rsidRDefault="00F46426" w:rsidP="009A7DCB">
      <w:pPr>
        <w:pStyle w:val="FootnoteText"/>
        <w:bidi w:val="0"/>
        <w:jc w:val="both"/>
      </w:pPr>
      <w:r w:rsidRPr="006F7384">
        <w:rPr>
          <w:rStyle w:val="FootnoteReference"/>
        </w:rPr>
        <w:footnoteRef/>
      </w:r>
      <w:r w:rsidRPr="006F7384">
        <w:rPr>
          <w:rtl/>
        </w:rPr>
        <w:t xml:space="preserve"> </w:t>
      </w:r>
      <w:r w:rsidR="009A7DCB" w:rsidRPr="004E4AA7">
        <w:rPr>
          <w:rFonts w:asciiTheme="majorBidi" w:eastAsia="Times New Roman" w:hAnsiTheme="majorBidi" w:cstheme="majorBidi"/>
          <w:color w:val="333333"/>
          <w:kern w:val="36"/>
        </w:rPr>
        <w:t xml:space="preserve">CA 6821/93 </w:t>
      </w:r>
      <w:r w:rsidR="009A7DCB" w:rsidRPr="004E4AA7">
        <w:rPr>
          <w:rFonts w:asciiTheme="majorBidi" w:eastAsia="Times New Roman" w:hAnsiTheme="majorBidi" w:cstheme="majorBidi"/>
          <w:smallCaps/>
          <w:color w:val="333333"/>
          <w:kern w:val="36"/>
        </w:rPr>
        <w:t>United Mizrahi Bank Ltd.v. Migdal Cooperative Village</w:t>
      </w:r>
      <w:r w:rsidR="009A7DCB">
        <w:rPr>
          <w:rFonts w:asciiTheme="majorBidi" w:eastAsia="Times New Roman" w:hAnsiTheme="majorBidi" w:cstheme="majorBidi"/>
          <w:color w:val="333333"/>
          <w:kern w:val="36"/>
        </w:rPr>
        <w:t xml:space="preserve">, </w:t>
      </w:r>
      <w:r w:rsidR="009A7DCB" w:rsidRPr="004E4AA7">
        <w:rPr>
          <w:rFonts w:asciiTheme="majorBidi" w:eastAsia="Times New Roman" w:hAnsiTheme="majorBidi" w:cstheme="majorBidi"/>
          <w:color w:val="333333"/>
          <w:kern w:val="36"/>
        </w:rPr>
        <w:t>49(4) PD 221 (1995)(Hebrew);</w:t>
      </w:r>
      <w:r w:rsidR="009A7DCB">
        <w:rPr>
          <w:rFonts w:asciiTheme="majorBidi" w:eastAsia="Times New Roman" w:hAnsiTheme="majorBidi" w:cstheme="majorBidi"/>
          <w:color w:val="333333"/>
          <w:kern w:val="36"/>
        </w:rPr>
        <w:t xml:space="preserve"> </w:t>
      </w:r>
      <w:r w:rsidR="009A7DCB" w:rsidRPr="004E4AA7">
        <w:rPr>
          <w:rFonts w:asciiTheme="majorBidi" w:eastAsia="Times New Roman" w:hAnsiTheme="majorBidi" w:cstheme="majorBidi"/>
          <w:color w:val="333333"/>
          <w:kern w:val="36"/>
        </w:rPr>
        <w:t>Israel Law Reports [1995] IsrLR 1 (</w:t>
      </w:r>
      <w:r w:rsidR="009A7DCB">
        <w:rPr>
          <w:rFonts w:asciiTheme="majorBidi" w:eastAsia="Times New Roman" w:hAnsiTheme="majorBidi" w:cstheme="majorBidi"/>
          <w:color w:val="333333"/>
          <w:kern w:val="36"/>
        </w:rPr>
        <w:t xml:space="preserve">Official </w:t>
      </w:r>
      <w:r w:rsidR="009A7DCB" w:rsidRPr="004E4AA7">
        <w:rPr>
          <w:rFonts w:asciiTheme="majorBidi" w:eastAsia="Times New Roman" w:hAnsiTheme="majorBidi" w:cstheme="majorBidi"/>
          <w:color w:val="333333"/>
          <w:kern w:val="36"/>
        </w:rPr>
        <w:t>English Transla</w:t>
      </w:r>
      <w:r w:rsidR="009A7DCB">
        <w:rPr>
          <w:rFonts w:asciiTheme="majorBidi" w:eastAsia="Times New Roman" w:hAnsiTheme="majorBidi" w:cstheme="majorBidi"/>
          <w:color w:val="333333"/>
          <w:kern w:val="36"/>
        </w:rPr>
        <w:t>t</w:t>
      </w:r>
      <w:r w:rsidR="009A7DCB" w:rsidRPr="004E4AA7">
        <w:rPr>
          <w:rFonts w:asciiTheme="majorBidi" w:eastAsia="Times New Roman" w:hAnsiTheme="majorBidi" w:cstheme="majorBidi"/>
          <w:color w:val="333333"/>
          <w:kern w:val="36"/>
        </w:rPr>
        <w:t>ion),</w:t>
      </w:r>
      <w:r w:rsidR="009A7DCB">
        <w:t xml:space="preserve"> </w:t>
      </w:r>
      <w:hyperlink r:id="rId6" w:history="1">
        <w:r w:rsidR="009A7DCB" w:rsidRPr="004E4AA7">
          <w:rPr>
            <w:rStyle w:val="Hyperlink"/>
            <w:rFonts w:ascii="Times New Roman" w:hAnsi="Times New Roman" w:cs="Times New Roman"/>
            <w:color w:val="0563C1"/>
          </w:rPr>
          <w:t>http://elyon1.court.gov.il/files_eng/93/210/068/z01/93068210.z01.pdf</w:t>
        </w:r>
      </w:hyperlink>
      <w:r w:rsidR="009A7DCB">
        <w:t xml:space="preserve">; </w:t>
      </w:r>
      <w:r w:rsidR="009A7DCB" w:rsidRPr="00EC302E">
        <w:rPr>
          <w:rFonts w:ascii="Times New Roman" w:hAnsi="Times New Roman" w:cs="Times New Roman"/>
          <w:smallCaps/>
        </w:rPr>
        <w:t>VERSA-Opinions of The Supreme Court of Israel, Translated Opinions,</w:t>
      </w:r>
      <w:r w:rsidR="009A7DCB">
        <w:rPr>
          <w:rFonts w:ascii="Times New Roman" w:hAnsi="Times New Roman" w:cs="Times New Roman"/>
        </w:rPr>
        <w:t xml:space="preserve"> </w:t>
      </w:r>
      <w:hyperlink r:id="rId7" w:history="1">
        <w:r w:rsidR="009A7DCB" w:rsidRPr="004E4AA7">
          <w:rPr>
            <w:rStyle w:val="Hyperlink"/>
            <w:rFonts w:ascii="Times New Roman" w:hAnsi="Times New Roman" w:cs="Times New Roman"/>
            <w:color w:val="0563C1"/>
          </w:rPr>
          <w:t>http://versa.cardozo.yu.edu/opinions/united-mizrahi-bank-v-migdal-cooperative-village</w:t>
        </w:r>
      </w:hyperlink>
      <w:r w:rsidR="009A7DCB">
        <w:rPr>
          <w:rFonts w:asciiTheme="majorBidi" w:eastAsia="Times New Roman" w:hAnsiTheme="majorBidi" w:cstheme="majorBidi"/>
          <w:color w:val="333333"/>
          <w:kern w:val="36"/>
        </w:rPr>
        <w:t>.</w:t>
      </w:r>
    </w:p>
  </w:footnote>
  <w:footnote w:id="15">
    <w:p w14:paraId="75381CCB" w14:textId="5E4A8019" w:rsidR="00F46426" w:rsidRPr="006F7384" w:rsidRDefault="00F46426" w:rsidP="00DB7CE6">
      <w:pPr>
        <w:pStyle w:val="FootnoteText"/>
        <w:bidi w:val="0"/>
        <w:jc w:val="both"/>
        <w:rPr>
          <w:rFonts w:asciiTheme="majorBidi" w:hAnsiTheme="majorBidi" w:cstheme="majorBidi"/>
        </w:rPr>
      </w:pPr>
      <w:r w:rsidRPr="006F7384">
        <w:rPr>
          <w:rStyle w:val="FootnoteReference"/>
        </w:rPr>
        <w:footnoteRef/>
      </w:r>
      <w:r w:rsidRPr="006F7384">
        <w:rPr>
          <w:rtl/>
        </w:rPr>
        <w:t xml:space="preserve"> </w:t>
      </w:r>
      <w:r w:rsidR="00DB7CE6" w:rsidRPr="00BF4FC8">
        <w:rPr>
          <w:rFonts w:asciiTheme="majorBidi" w:hAnsiTheme="majorBidi" w:cstheme="majorBidi"/>
          <w:smallCaps/>
        </w:rPr>
        <w:t>Marbury v. Madison</w:t>
      </w:r>
      <w:r w:rsidR="00DB7CE6" w:rsidRPr="00BF4FC8">
        <w:rPr>
          <w:rFonts w:asciiTheme="majorBidi" w:hAnsiTheme="majorBidi" w:cstheme="majorBidi"/>
        </w:rPr>
        <w:t xml:space="preserve">, 5 </w:t>
      </w:r>
      <w:r w:rsidR="00DB7CE6" w:rsidRPr="00BF4FC8">
        <w:rPr>
          <w:rFonts w:asciiTheme="majorBidi" w:hAnsiTheme="majorBidi" w:cstheme="majorBidi"/>
          <w:smallCaps/>
        </w:rPr>
        <w:t>U.S.</w:t>
      </w:r>
      <w:r w:rsidR="00DB7CE6" w:rsidRPr="00BF4FC8">
        <w:rPr>
          <w:rFonts w:asciiTheme="majorBidi" w:hAnsiTheme="majorBidi" w:cstheme="majorBidi"/>
        </w:rPr>
        <w:t xml:space="preserve"> 137 (1803)</w:t>
      </w:r>
      <w:r w:rsidR="00DB7CE6">
        <w:rPr>
          <w:rFonts w:asciiTheme="majorBidi" w:hAnsiTheme="majorBidi" w:cstheme="majorBidi"/>
        </w:rPr>
        <w:t xml:space="preserve">; Yoram Rabin &amp; Arnon Gutfeld </w:t>
      </w:r>
      <w:hyperlink r:id="rId8" w:history="1">
        <w:r w:rsidR="00DB7CE6" w:rsidRPr="00BF4FC8">
          <w:rPr>
            <w:rFonts w:asciiTheme="majorBidi" w:hAnsiTheme="majorBidi" w:cstheme="majorBidi"/>
            <w:i/>
            <w:iCs/>
          </w:rPr>
          <w:t>Marbury v. Madison and Its Impact of Israeli Constitutional Law</w:t>
        </w:r>
      </w:hyperlink>
      <w:r w:rsidR="00DB7CE6">
        <w:rPr>
          <w:rFonts w:asciiTheme="majorBidi" w:hAnsiTheme="majorBidi" w:cstheme="majorBidi"/>
        </w:rPr>
        <w:t xml:space="preserve"> 15 </w:t>
      </w:r>
      <w:r w:rsidR="00DB7CE6" w:rsidRPr="00BF4FC8">
        <w:rPr>
          <w:rFonts w:asciiTheme="majorBidi" w:hAnsiTheme="majorBidi" w:cstheme="majorBidi"/>
          <w:smallCaps/>
        </w:rPr>
        <w:t>U. Miami Int'l &amp; Comp. L. Rev.</w:t>
      </w:r>
      <w:r w:rsidR="00DB7CE6">
        <w:rPr>
          <w:rFonts w:asciiTheme="majorBidi" w:hAnsiTheme="majorBidi" w:cstheme="majorBidi"/>
        </w:rPr>
        <w:t xml:space="preserve"> 303, 318-320 (2007).</w:t>
      </w:r>
    </w:p>
  </w:footnote>
  <w:footnote w:id="16">
    <w:p w14:paraId="04B57B8E" w14:textId="6B213577" w:rsidR="00F46426" w:rsidRPr="006F7384" w:rsidRDefault="00F46426" w:rsidP="00772939">
      <w:pPr>
        <w:pStyle w:val="FootnoteText"/>
        <w:bidi w:val="0"/>
      </w:pPr>
      <w:r w:rsidRPr="006F7384">
        <w:rPr>
          <w:rStyle w:val="FootnoteReference"/>
        </w:rPr>
        <w:footnoteRef/>
      </w:r>
      <w:r w:rsidRPr="006F7384">
        <w:rPr>
          <w:rtl/>
        </w:rPr>
        <w:t xml:space="preserve"> </w:t>
      </w:r>
      <w:r w:rsidRPr="006F7384">
        <w:rPr>
          <w:rFonts w:asciiTheme="majorBidi" w:hAnsiTheme="majorBidi" w:cstheme="majorBidi"/>
        </w:rPr>
        <w:t>Suzie Navot</w:t>
      </w:r>
      <w:r w:rsidR="00DB7CE6">
        <w:rPr>
          <w:rFonts w:asciiTheme="majorBidi" w:hAnsiTheme="majorBidi" w:cstheme="majorBidi"/>
        </w:rPr>
        <w:t>,</w:t>
      </w:r>
      <w:r w:rsidRPr="006F7384">
        <w:rPr>
          <w:rFonts w:asciiTheme="majorBidi" w:hAnsiTheme="majorBidi"/>
        </w:rPr>
        <w:t xml:space="preserve"> </w:t>
      </w:r>
      <w:r w:rsidRPr="006F7384">
        <w:rPr>
          <w:rFonts w:asciiTheme="majorBidi" w:hAnsiTheme="majorBidi"/>
          <w:smallCaps/>
        </w:rPr>
        <w:t xml:space="preserve">The Constitution of Israel-A Contextual </w:t>
      </w:r>
      <w:proofErr w:type="gramStart"/>
      <w:r w:rsidRPr="006F7384">
        <w:rPr>
          <w:rFonts w:asciiTheme="majorBidi" w:hAnsiTheme="majorBidi"/>
          <w:smallCaps/>
        </w:rPr>
        <w:t>Analysis</w:t>
      </w:r>
      <w:r w:rsidRPr="006F7384">
        <w:rPr>
          <w:rFonts w:asciiTheme="majorBidi" w:hAnsiTheme="majorBidi"/>
        </w:rPr>
        <w:t xml:space="preserve"> </w:t>
      </w:r>
      <w:r w:rsidRPr="006F7384">
        <w:rPr>
          <w:rFonts w:asciiTheme="majorBidi" w:eastAsia="Times New Roman" w:hAnsiTheme="majorBidi" w:cstheme="majorBidi"/>
          <w:color w:val="333333"/>
          <w:kern w:val="36"/>
          <w:highlight w:val="yellow"/>
        </w:rPr>
        <w:t>???</w:t>
      </w:r>
      <w:proofErr w:type="gramEnd"/>
      <w:r w:rsidRPr="006F7384">
        <w:rPr>
          <w:rFonts w:asciiTheme="majorBidi" w:eastAsia="Times New Roman" w:hAnsiTheme="majorBidi" w:cstheme="majorBidi"/>
          <w:color w:val="333333"/>
          <w:kern w:val="36"/>
          <w:highlight w:val="yellow"/>
        </w:rPr>
        <w:t xml:space="preserve"> Ch.2 at p. 2-3</w:t>
      </w:r>
      <w:r w:rsidRPr="006F7384">
        <w:rPr>
          <w:rFonts w:asciiTheme="majorBidi" w:hAnsiTheme="majorBidi"/>
        </w:rPr>
        <w:t xml:space="preserve"> (Hart Publishing 2014);</w:t>
      </w:r>
      <w:r w:rsidRPr="006F7384">
        <w:rPr>
          <w:rFonts w:asciiTheme="majorBidi" w:hAnsiTheme="majorBidi" w:cstheme="majorBidi"/>
        </w:rPr>
        <w:t xml:space="preserve"> Daphna Barak-Erez </w:t>
      </w:r>
      <w:hyperlink r:id="rId9" w:history="1">
        <w:r w:rsidRPr="006F7384">
          <w:rPr>
            <w:rFonts w:asciiTheme="majorBidi" w:hAnsiTheme="majorBidi" w:cstheme="majorBidi"/>
            <w:i/>
            <w:iCs/>
          </w:rPr>
          <w:t>Broadening the scope of judicial review in Israel: between activism and restraint</w:t>
        </w:r>
      </w:hyperlink>
      <w:r w:rsidRPr="006F7384">
        <w:rPr>
          <w:rFonts w:asciiTheme="majorBidi" w:hAnsiTheme="majorBidi" w:cstheme="majorBidi"/>
        </w:rPr>
        <w:t xml:space="preserve">, </w:t>
      </w:r>
      <w:r w:rsidRPr="006F7384">
        <w:rPr>
          <w:rFonts w:asciiTheme="majorBidi" w:hAnsiTheme="majorBidi" w:cstheme="majorBidi"/>
          <w:smallCaps/>
        </w:rPr>
        <w:t>3 Ind. J. Const. L.</w:t>
      </w:r>
      <w:r w:rsidRPr="006F7384">
        <w:rPr>
          <w:rFonts w:asciiTheme="majorBidi" w:hAnsiTheme="majorBidi" w:cstheme="majorBidi"/>
        </w:rPr>
        <w:t xml:space="preserve"> 119, 121 (2009).</w:t>
      </w:r>
    </w:p>
  </w:footnote>
  <w:footnote w:id="17">
    <w:p w14:paraId="4151A7F7" w14:textId="77777777" w:rsidR="00F46426" w:rsidRPr="006F7384" w:rsidRDefault="00F46426" w:rsidP="00772939">
      <w:pPr>
        <w:pStyle w:val="FootnoteText"/>
        <w:bidi w:val="0"/>
      </w:pPr>
      <w:r w:rsidRPr="006F7384">
        <w:rPr>
          <w:rStyle w:val="FootnoteReference"/>
        </w:rPr>
        <w:footnoteRef/>
      </w:r>
      <w:r w:rsidRPr="006F7384">
        <w:rPr>
          <w:rtl/>
        </w:rPr>
        <w:t xml:space="preserve"> </w:t>
      </w:r>
      <w:r w:rsidRPr="006F7384">
        <w:rPr>
          <w:rFonts w:asciiTheme="majorBidi" w:hAnsiTheme="majorBidi" w:cstheme="majorBidi"/>
        </w:rPr>
        <w:t xml:space="preserve">Navot, supra note </w:t>
      </w:r>
      <w:r w:rsidRPr="006F7384">
        <w:rPr>
          <w:rFonts w:asciiTheme="majorBidi" w:hAnsiTheme="majorBidi" w:cstheme="majorBidi"/>
        </w:rPr>
        <w:fldChar w:fldCharType="begin"/>
      </w:r>
      <w:r w:rsidRPr="006F7384">
        <w:rPr>
          <w:rFonts w:asciiTheme="majorBidi" w:hAnsiTheme="majorBidi" w:cstheme="majorBidi"/>
        </w:rPr>
        <w:instrText xml:space="preserve"> NOTEREF _Ref518397926 \h </w:instrText>
      </w:r>
      <w:r w:rsidRPr="006F7384">
        <w:rPr>
          <w:rFonts w:asciiTheme="majorBidi" w:hAnsiTheme="majorBidi" w:cstheme="majorBidi"/>
        </w:rPr>
      </w:r>
      <w:r w:rsidRPr="006F7384">
        <w:rPr>
          <w:rFonts w:asciiTheme="majorBidi" w:hAnsiTheme="majorBidi" w:cstheme="majorBidi"/>
        </w:rPr>
        <w:fldChar w:fldCharType="separate"/>
      </w:r>
      <w:r w:rsidRPr="006F7384">
        <w:rPr>
          <w:rFonts w:asciiTheme="majorBidi" w:hAnsiTheme="majorBidi" w:cstheme="majorBidi"/>
        </w:rPr>
        <w:t>16</w:t>
      </w:r>
      <w:r w:rsidRPr="006F7384">
        <w:rPr>
          <w:rFonts w:asciiTheme="majorBidi" w:hAnsiTheme="majorBidi" w:cstheme="majorBidi"/>
        </w:rPr>
        <w:fldChar w:fldCharType="end"/>
      </w:r>
      <w:r w:rsidRPr="006F7384">
        <w:rPr>
          <w:rFonts w:asciiTheme="majorBidi" w:hAnsiTheme="majorBidi" w:cstheme="majorBidi"/>
        </w:rPr>
        <w:t xml:space="preserve">, </w:t>
      </w:r>
      <w:proofErr w:type="gramStart"/>
      <w:r w:rsidRPr="006F7384">
        <w:rPr>
          <w:rFonts w:asciiTheme="majorBidi" w:hAnsiTheme="majorBidi" w:cstheme="majorBidi"/>
        </w:rPr>
        <w:t xml:space="preserve">at </w:t>
      </w:r>
      <w:r w:rsidRPr="006F7384">
        <w:rPr>
          <w:rFonts w:asciiTheme="majorBidi" w:hAnsiTheme="majorBidi" w:cstheme="majorBidi"/>
          <w:highlight w:val="yellow"/>
        </w:rPr>
        <w:t>???</w:t>
      </w:r>
      <w:proofErr w:type="gramEnd"/>
      <w:r w:rsidRPr="006F7384">
        <w:rPr>
          <w:rFonts w:asciiTheme="majorBidi" w:hAnsiTheme="majorBidi" w:cstheme="majorBidi"/>
        </w:rPr>
        <w:t xml:space="preserve">; Miguel Deutch </w:t>
      </w:r>
      <w:hyperlink r:id="rId10" w:history="1">
        <w:r w:rsidRPr="006F7384">
          <w:rPr>
            <w:rFonts w:asciiTheme="majorBidi" w:hAnsiTheme="majorBidi" w:cstheme="majorBidi"/>
            <w:i/>
            <w:iCs/>
          </w:rPr>
          <w:t>Protection of Obligatory Rights as Property within the Framework of the Constitutional Revolution in Israel</w:t>
        </w:r>
      </w:hyperlink>
      <w:r w:rsidRPr="006F7384">
        <w:rPr>
          <w:rFonts w:asciiTheme="majorBidi" w:hAnsiTheme="majorBidi" w:cstheme="majorBidi"/>
        </w:rPr>
        <w:t xml:space="preserve"> 15 </w:t>
      </w:r>
      <w:r w:rsidRPr="006F7384">
        <w:rPr>
          <w:rFonts w:asciiTheme="majorBidi" w:hAnsiTheme="majorBidi" w:cstheme="majorBidi"/>
          <w:smallCaps/>
        </w:rPr>
        <w:t>Tel Aviv U. Stud. L.</w:t>
      </w:r>
      <w:r w:rsidRPr="006F7384">
        <w:rPr>
          <w:rFonts w:asciiTheme="majorBidi" w:hAnsiTheme="majorBidi" w:cstheme="majorBidi"/>
        </w:rPr>
        <w:t xml:space="preserve"> 147, 150 (2000); Ran Hirschl </w:t>
      </w:r>
      <w:proofErr w:type="gramStart"/>
      <w:r w:rsidRPr="006F7384">
        <w:rPr>
          <w:rFonts w:asciiTheme="majorBidi" w:hAnsiTheme="majorBidi" w:cstheme="majorBidi"/>
          <w:i/>
          <w:iCs/>
        </w:rPr>
        <w:t>The</w:t>
      </w:r>
      <w:proofErr w:type="gramEnd"/>
      <w:r w:rsidRPr="006F7384">
        <w:rPr>
          <w:rFonts w:asciiTheme="majorBidi" w:hAnsiTheme="majorBidi" w:cstheme="majorBidi"/>
          <w:i/>
          <w:iCs/>
        </w:rPr>
        <w:t xml:space="preserve"> "Constitutional Revolution" and the Emergence of a New Economic Order in Israel</w:t>
      </w:r>
      <w:r w:rsidRPr="006F7384">
        <w:rPr>
          <w:rFonts w:asciiTheme="majorBidi" w:hAnsiTheme="majorBidi" w:cstheme="majorBidi"/>
        </w:rPr>
        <w:t xml:space="preserve"> 2</w:t>
      </w:r>
      <w:r w:rsidRPr="006F7384">
        <w:rPr>
          <w:rFonts w:asciiTheme="majorBidi" w:hAnsiTheme="majorBidi" w:cstheme="majorBidi"/>
          <w:smallCaps/>
        </w:rPr>
        <w:t xml:space="preserve"> Israel Studies</w:t>
      </w:r>
      <w:r w:rsidRPr="006F7384">
        <w:rPr>
          <w:rFonts w:asciiTheme="majorBidi" w:hAnsiTheme="majorBidi" w:cstheme="majorBidi"/>
        </w:rPr>
        <w:t xml:space="preserve"> 136, 137-138 (1997).</w:t>
      </w:r>
    </w:p>
  </w:footnote>
  <w:footnote w:id="18">
    <w:p w14:paraId="74A57D1A" w14:textId="77777777" w:rsidR="00F46426" w:rsidRPr="006F7384" w:rsidRDefault="00F46426" w:rsidP="00772939">
      <w:pPr>
        <w:pStyle w:val="FootnoteText"/>
        <w:bidi w:val="0"/>
      </w:pPr>
      <w:r w:rsidRPr="006F7384">
        <w:rPr>
          <w:rStyle w:val="FootnoteReference"/>
        </w:rPr>
        <w:footnoteRef/>
      </w:r>
      <w:r w:rsidRPr="006F7384">
        <w:rPr>
          <w:rtl/>
        </w:rPr>
        <w:t xml:space="preserve"> </w:t>
      </w:r>
      <w:r w:rsidRPr="006F7384">
        <w:rPr>
          <w:rFonts w:asciiTheme="majorBidi" w:hAnsiTheme="majorBidi" w:cstheme="majorBidi"/>
        </w:rPr>
        <w:t xml:space="preserve">Soffer </w:t>
      </w:r>
      <w:r w:rsidRPr="006F7384">
        <w:rPr>
          <w:rFonts w:asciiTheme="majorBidi" w:hAnsiTheme="majorBidi" w:cstheme="majorBidi"/>
          <w:i/>
          <w:iCs/>
        </w:rPr>
        <w:t>Judicial review</w:t>
      </w:r>
      <w:r w:rsidRPr="006F7384">
        <w:rPr>
          <w:rFonts w:asciiTheme="majorBidi" w:hAnsiTheme="majorBidi" w:cstheme="majorBidi"/>
        </w:rPr>
        <w:t xml:space="preserve">, supra note </w:t>
      </w:r>
      <w:r w:rsidRPr="006F7384">
        <w:rPr>
          <w:rFonts w:asciiTheme="majorBidi" w:hAnsiTheme="majorBidi" w:cstheme="majorBidi"/>
        </w:rPr>
        <w:fldChar w:fldCharType="begin"/>
      </w:r>
      <w:r w:rsidRPr="006F7384">
        <w:rPr>
          <w:rFonts w:asciiTheme="majorBidi" w:hAnsiTheme="majorBidi" w:cstheme="majorBidi"/>
        </w:rPr>
        <w:instrText xml:space="preserve"> NOTEREF _Ref518420134 \h  \* MERGEFORMAT </w:instrText>
      </w:r>
      <w:r w:rsidRPr="006F7384">
        <w:rPr>
          <w:rFonts w:asciiTheme="majorBidi" w:hAnsiTheme="majorBidi" w:cstheme="majorBidi"/>
        </w:rPr>
      </w:r>
      <w:r w:rsidRPr="006F7384">
        <w:rPr>
          <w:rFonts w:asciiTheme="majorBidi" w:hAnsiTheme="majorBidi" w:cstheme="majorBidi"/>
        </w:rPr>
        <w:fldChar w:fldCharType="separate"/>
      </w:r>
      <w:r w:rsidRPr="006F7384">
        <w:rPr>
          <w:rFonts w:asciiTheme="majorBidi" w:hAnsiTheme="majorBidi" w:cstheme="majorBidi"/>
        </w:rPr>
        <w:t>11</w:t>
      </w:r>
      <w:r w:rsidRPr="006F7384">
        <w:rPr>
          <w:rFonts w:asciiTheme="majorBidi" w:hAnsiTheme="majorBidi" w:cstheme="majorBidi"/>
        </w:rPr>
        <w:fldChar w:fldCharType="end"/>
      </w:r>
      <w:r w:rsidRPr="006F7384">
        <w:rPr>
          <w:rFonts w:asciiTheme="majorBidi" w:hAnsiTheme="majorBidi" w:cstheme="majorBidi"/>
        </w:rPr>
        <w:t>, at 308, 319.</w:t>
      </w:r>
    </w:p>
  </w:footnote>
  <w:footnote w:id="19">
    <w:p w14:paraId="2841EDA9" w14:textId="5DC21420" w:rsidR="00F46426" w:rsidRPr="006F7384" w:rsidRDefault="00F46426" w:rsidP="00006164">
      <w:pPr>
        <w:pStyle w:val="FootnoteText"/>
        <w:bidi w:val="0"/>
      </w:pPr>
      <w:r w:rsidRPr="006F7384">
        <w:rPr>
          <w:rStyle w:val="FootnoteReference"/>
        </w:rPr>
        <w:footnoteRef/>
      </w:r>
      <w:r w:rsidRPr="006F7384">
        <w:rPr>
          <w:rtl/>
        </w:rPr>
        <w:t xml:space="preserve"> </w:t>
      </w:r>
      <w:hyperlink r:id="rId11" w:history="1">
        <w:r w:rsidRPr="006F7384">
          <w:rPr>
            <w:rFonts w:asciiTheme="majorBidi" w:hAnsiTheme="majorBidi" w:cstheme="majorBidi"/>
          </w:rPr>
          <w:t>David Nachmias</w:t>
        </w:r>
      </w:hyperlink>
      <w:r w:rsidRPr="006F7384">
        <w:rPr>
          <w:rFonts w:asciiTheme="majorBidi" w:hAnsiTheme="majorBidi" w:cstheme="majorBidi"/>
        </w:rPr>
        <w:t xml:space="preserve">, </w:t>
      </w:r>
      <w:hyperlink r:id="rId12" w:history="1">
        <w:r w:rsidRPr="006F7384">
          <w:rPr>
            <w:rFonts w:asciiTheme="majorBidi" w:hAnsiTheme="majorBidi" w:cstheme="majorBidi"/>
          </w:rPr>
          <w:t>Itai Sened</w:t>
        </w:r>
      </w:hyperlink>
      <w:r w:rsidRPr="006F7384">
        <w:rPr>
          <w:rFonts w:asciiTheme="majorBidi" w:hAnsiTheme="majorBidi" w:cstheme="majorBidi"/>
        </w:rPr>
        <w:t xml:space="preserve">, </w:t>
      </w:r>
      <w:r w:rsidRPr="006F7384">
        <w:rPr>
          <w:rFonts w:asciiTheme="majorBidi" w:hAnsiTheme="majorBidi" w:cstheme="majorBidi"/>
          <w:i/>
          <w:iCs/>
        </w:rPr>
        <w:t>Governance and public policy</w:t>
      </w:r>
      <w:r w:rsidRPr="006F7384">
        <w:rPr>
          <w:rFonts w:asciiTheme="majorBidi" w:hAnsiTheme="majorBidi" w:cstheme="majorBidi"/>
        </w:rPr>
        <w:t xml:space="preserve"> 7 </w:t>
      </w:r>
      <w:r w:rsidRPr="006F7384">
        <w:rPr>
          <w:rFonts w:asciiTheme="majorBidi" w:hAnsiTheme="majorBidi" w:cstheme="majorBidi"/>
          <w:smallCaps/>
        </w:rPr>
        <w:t>Israel Affairs</w:t>
      </w:r>
      <w:r w:rsidRPr="006F7384">
        <w:rPr>
          <w:rFonts w:asciiTheme="majorBidi" w:hAnsiTheme="majorBidi" w:cstheme="majorBidi"/>
        </w:rPr>
        <w:t xml:space="preserve"> 3 (2001); Assaf Meydani, </w:t>
      </w:r>
      <w:r w:rsidRPr="006F7384">
        <w:rPr>
          <w:rFonts w:asciiTheme="majorBidi" w:hAnsiTheme="majorBidi" w:cstheme="majorBidi"/>
          <w:smallCaps/>
        </w:rPr>
        <w:t>The Israeli supreme court and the human rights revolution: Courts as agenda setters</w:t>
      </w:r>
      <w:r w:rsidRPr="006F7384">
        <w:rPr>
          <w:rFonts w:asciiTheme="majorBidi" w:hAnsiTheme="majorBidi" w:cstheme="majorBidi"/>
        </w:rPr>
        <w:t xml:space="preserve"> </w:t>
      </w:r>
      <w:r w:rsidRPr="006F7384">
        <w:rPr>
          <w:rFonts w:asciiTheme="majorBidi" w:hAnsiTheme="majorBidi" w:cstheme="majorBidi"/>
          <w:highlight w:val="yellow"/>
        </w:rPr>
        <w:t>116-120, 152</w:t>
      </w:r>
      <w:r w:rsidRPr="006F7384">
        <w:rPr>
          <w:rFonts w:asciiTheme="majorBidi" w:hAnsiTheme="majorBidi" w:cstheme="majorBidi"/>
        </w:rPr>
        <w:t xml:space="preserve"> (OUP 2011); Soffer </w:t>
      </w:r>
      <w:r w:rsidRPr="006F7384">
        <w:rPr>
          <w:rFonts w:asciiTheme="majorBidi" w:hAnsiTheme="majorBidi" w:cstheme="majorBidi"/>
          <w:i/>
          <w:iCs/>
        </w:rPr>
        <w:t>Judicial review</w:t>
      </w:r>
      <w:r w:rsidRPr="006F7384">
        <w:rPr>
          <w:rFonts w:asciiTheme="majorBidi" w:hAnsiTheme="majorBidi" w:cstheme="majorBidi"/>
        </w:rPr>
        <w:t xml:space="preserve">, supra note </w:t>
      </w:r>
      <w:r w:rsidRPr="006F7384">
        <w:rPr>
          <w:rFonts w:asciiTheme="majorBidi" w:hAnsiTheme="majorBidi" w:cstheme="majorBidi"/>
        </w:rPr>
        <w:fldChar w:fldCharType="begin"/>
      </w:r>
      <w:r w:rsidRPr="006F7384">
        <w:rPr>
          <w:rFonts w:asciiTheme="majorBidi" w:hAnsiTheme="majorBidi" w:cstheme="majorBidi"/>
        </w:rPr>
        <w:instrText xml:space="preserve"> NOTEREF _Ref518420134 \h  \* MERGEFORMAT </w:instrText>
      </w:r>
      <w:r w:rsidRPr="006F7384">
        <w:rPr>
          <w:rFonts w:asciiTheme="majorBidi" w:hAnsiTheme="majorBidi" w:cstheme="majorBidi"/>
        </w:rPr>
      </w:r>
      <w:r w:rsidRPr="006F7384">
        <w:rPr>
          <w:rFonts w:asciiTheme="majorBidi" w:hAnsiTheme="majorBidi" w:cstheme="majorBidi"/>
        </w:rPr>
        <w:fldChar w:fldCharType="separate"/>
      </w:r>
      <w:r w:rsidRPr="006F7384">
        <w:rPr>
          <w:rFonts w:asciiTheme="majorBidi" w:hAnsiTheme="majorBidi" w:cstheme="majorBidi"/>
        </w:rPr>
        <w:t>11</w:t>
      </w:r>
      <w:r w:rsidRPr="006F7384">
        <w:rPr>
          <w:rFonts w:asciiTheme="majorBidi" w:hAnsiTheme="majorBidi" w:cstheme="majorBidi"/>
        </w:rPr>
        <w:fldChar w:fldCharType="end"/>
      </w:r>
      <w:r w:rsidRPr="006F7384">
        <w:rPr>
          <w:rFonts w:asciiTheme="majorBidi" w:hAnsiTheme="majorBidi" w:cstheme="majorBidi"/>
        </w:rPr>
        <w:t>, at 312.</w:t>
      </w:r>
    </w:p>
  </w:footnote>
  <w:footnote w:id="20">
    <w:p w14:paraId="460474AC" w14:textId="798AF54D" w:rsidR="00F46426" w:rsidRPr="006F7384" w:rsidRDefault="00F46426" w:rsidP="00006164">
      <w:pPr>
        <w:pStyle w:val="FootnoteText"/>
        <w:bidi w:val="0"/>
      </w:pPr>
      <w:r w:rsidRPr="006F7384">
        <w:rPr>
          <w:rStyle w:val="FootnoteReference"/>
        </w:rPr>
        <w:footnoteRef/>
      </w:r>
      <w:r w:rsidRPr="006F7384">
        <w:rPr>
          <w:rtl/>
        </w:rPr>
        <w:t xml:space="preserve"> </w:t>
      </w:r>
      <w:r w:rsidRPr="006F7384">
        <w:rPr>
          <w:rFonts w:asciiTheme="majorBidi" w:hAnsiTheme="majorBidi" w:cstheme="majorBidi"/>
        </w:rPr>
        <w:t xml:space="preserve">Nomi Levitsky, </w:t>
      </w:r>
      <w:r w:rsidRPr="006F7384">
        <w:rPr>
          <w:rFonts w:asciiTheme="majorBidi" w:hAnsiTheme="majorBidi" w:cstheme="majorBidi"/>
          <w:smallCaps/>
        </w:rPr>
        <w:t>The Supremes</w:t>
      </w:r>
      <w:r w:rsidRPr="006F7384">
        <w:rPr>
          <w:rFonts w:asciiTheme="majorBidi" w:hAnsiTheme="majorBidi" w:cstheme="majorBidi"/>
        </w:rPr>
        <w:t xml:space="preserve"> (Hakibbutz Hameuchad, 2006)</w:t>
      </w:r>
      <w:r w:rsidR="00F82B00" w:rsidRPr="006F7384">
        <w:rPr>
          <w:rFonts w:asciiTheme="majorBidi" w:hAnsiTheme="majorBidi" w:cstheme="majorBidi"/>
        </w:rPr>
        <w:t xml:space="preserve"> </w:t>
      </w:r>
      <w:r w:rsidRPr="006F7384">
        <w:rPr>
          <w:rFonts w:asciiTheme="majorBidi" w:hAnsiTheme="majorBidi" w:cstheme="majorBidi"/>
        </w:rPr>
        <w:t xml:space="preserve">(Hebrew); </w:t>
      </w:r>
      <w:hyperlink r:id="rId13" w:tgtFrame="_blank" w:history="1">
        <w:r w:rsidRPr="006F7384">
          <w:rPr>
            <w:rFonts w:asciiTheme="majorBidi" w:hAnsiTheme="majorBidi" w:cstheme="majorBidi"/>
          </w:rPr>
          <w:t xml:space="preserve">Pnina Lahav </w:t>
        </w:r>
        <w:r w:rsidRPr="006F7384">
          <w:rPr>
            <w:rFonts w:asciiTheme="majorBidi" w:hAnsiTheme="majorBidi" w:cstheme="majorBidi"/>
            <w:i/>
            <w:iCs/>
          </w:rPr>
          <w:t>American Moment[s]: When, How, and Why Did Israeli Law Faculties Come to Resemble Elite U.S. Law Schools?</w:t>
        </w:r>
        <w:r w:rsidRPr="006F7384">
          <w:rPr>
            <w:rFonts w:asciiTheme="majorBidi" w:hAnsiTheme="majorBidi" w:cstheme="majorBidi"/>
          </w:rPr>
          <w:t xml:space="preserve"> 10 </w:t>
        </w:r>
        <w:r w:rsidRPr="006F7384">
          <w:rPr>
            <w:rFonts w:asciiTheme="majorBidi" w:hAnsiTheme="majorBidi" w:cstheme="majorBidi"/>
            <w:smallCaps/>
          </w:rPr>
          <w:t>Theoretical Inquiries in Law</w:t>
        </w:r>
        <w:r w:rsidRPr="006F7384">
          <w:rPr>
            <w:rFonts w:asciiTheme="majorBidi" w:hAnsiTheme="majorBidi" w:cstheme="majorBidi"/>
          </w:rPr>
          <w:t xml:space="preserve"> 653</w:t>
        </w:r>
      </w:hyperlink>
      <w:r w:rsidRPr="006F7384">
        <w:rPr>
          <w:rFonts w:asciiTheme="majorBidi" w:hAnsiTheme="majorBidi" w:cstheme="majorBidi"/>
        </w:rPr>
        <w:t>, 657-658 (2009).</w:t>
      </w:r>
    </w:p>
  </w:footnote>
  <w:footnote w:id="21">
    <w:p w14:paraId="4BB5F96E" w14:textId="62F17778" w:rsidR="00F82B00" w:rsidRPr="006F7384" w:rsidRDefault="00F82B00" w:rsidP="00F82B00">
      <w:pPr>
        <w:pStyle w:val="FootnoteText"/>
        <w:bidi w:val="0"/>
      </w:pPr>
      <w:r w:rsidRPr="006F7384">
        <w:rPr>
          <w:rStyle w:val="FootnoteReference"/>
        </w:rPr>
        <w:footnoteRef/>
      </w:r>
      <w:r w:rsidRPr="006F7384">
        <w:rPr>
          <w:rtl/>
        </w:rPr>
        <w:t xml:space="preserve"> </w:t>
      </w:r>
      <w:r w:rsidRPr="006F7384">
        <w:rPr>
          <w:rFonts w:asciiTheme="majorBidi" w:hAnsiTheme="majorBidi" w:cstheme="majorBidi"/>
        </w:rPr>
        <w:t>Aharon Barak</w:t>
      </w:r>
      <w:r w:rsidRPr="006F7384">
        <w:rPr>
          <w:rFonts w:asciiTheme="majorBidi" w:hAnsiTheme="majorBidi" w:cstheme="majorBidi"/>
        </w:rPr>
        <w:t>,</w:t>
      </w:r>
      <w:r w:rsidRPr="006F7384">
        <w:rPr>
          <w:rFonts w:asciiTheme="majorBidi" w:hAnsiTheme="majorBidi" w:cstheme="majorBidi"/>
        </w:rPr>
        <w:t xml:space="preserve"> </w:t>
      </w:r>
      <w:r w:rsidRPr="006F7384">
        <w:rPr>
          <w:rFonts w:asciiTheme="majorBidi" w:hAnsiTheme="majorBidi" w:cstheme="majorBidi"/>
          <w:i/>
          <w:iCs/>
        </w:rPr>
        <w:t>A judge on judging: The role of a supreme court in a democracy</w:t>
      </w:r>
      <w:r w:rsidRPr="006F7384">
        <w:rPr>
          <w:rFonts w:asciiTheme="majorBidi" w:hAnsiTheme="majorBidi" w:cstheme="majorBidi"/>
        </w:rPr>
        <w:t xml:space="preserve"> 116 Harv. L. Rev. 16, 33-36 (2002).</w:t>
      </w:r>
    </w:p>
  </w:footnote>
  <w:footnote w:id="22">
    <w:p w14:paraId="01B14517" w14:textId="64811108" w:rsidR="00F46426" w:rsidRPr="006F7384" w:rsidRDefault="00F46426" w:rsidP="009C4179">
      <w:pPr>
        <w:pStyle w:val="FootnoteText"/>
        <w:bidi w:val="0"/>
      </w:pPr>
      <w:r w:rsidRPr="006F7384">
        <w:rPr>
          <w:rStyle w:val="FootnoteReference"/>
        </w:rPr>
        <w:footnoteRef/>
      </w:r>
      <w:r w:rsidRPr="006F7384">
        <w:rPr>
          <w:rtl/>
        </w:rPr>
        <w:t xml:space="preserve"> </w:t>
      </w:r>
      <w:r w:rsidRPr="006F7384">
        <w:rPr>
          <w:rFonts w:asciiTheme="majorBidi" w:hAnsiTheme="majorBidi" w:cstheme="majorBidi"/>
        </w:rPr>
        <w:t>Oz Almog</w:t>
      </w:r>
      <w:r w:rsidR="00F82B00" w:rsidRPr="006F7384">
        <w:rPr>
          <w:rFonts w:asciiTheme="majorBidi" w:hAnsiTheme="majorBidi" w:cstheme="majorBidi"/>
        </w:rPr>
        <w:t>,</w:t>
      </w:r>
      <w:r w:rsidRPr="006F7384">
        <w:rPr>
          <w:rFonts w:asciiTheme="majorBidi" w:hAnsiTheme="majorBidi" w:cstheme="majorBidi"/>
        </w:rPr>
        <w:t xml:space="preserve"> </w:t>
      </w:r>
      <w:hyperlink r:id="rId14" w:history="1">
        <w:r w:rsidRPr="006F7384">
          <w:rPr>
            <w:rFonts w:asciiTheme="majorBidi" w:hAnsiTheme="majorBidi" w:cstheme="majorBidi"/>
            <w:i/>
            <w:iCs/>
          </w:rPr>
          <w:t>Shifting the centre from nation to individual and universe: The new 'democratic faith' of Israel</w:t>
        </w:r>
      </w:hyperlink>
      <w:r w:rsidRPr="006F7384">
        <w:rPr>
          <w:rFonts w:asciiTheme="majorBidi" w:hAnsiTheme="majorBidi" w:cstheme="majorBidi"/>
        </w:rPr>
        <w:t xml:space="preserve"> 8 </w:t>
      </w:r>
      <w:r w:rsidRPr="006F7384">
        <w:rPr>
          <w:rFonts w:asciiTheme="majorBidi" w:hAnsiTheme="majorBidi" w:cstheme="majorBidi"/>
          <w:smallCaps/>
        </w:rPr>
        <w:t>Israel Affairs</w:t>
      </w:r>
      <w:r w:rsidRPr="006F7384">
        <w:rPr>
          <w:rFonts w:asciiTheme="majorBidi" w:hAnsiTheme="majorBidi" w:cstheme="majorBidi"/>
        </w:rPr>
        <w:t xml:space="preserve"> 31, 35-36 (2001).</w:t>
      </w:r>
    </w:p>
  </w:footnote>
  <w:footnote w:id="23">
    <w:p w14:paraId="577FA4CC" w14:textId="77777777" w:rsidR="00F46426" w:rsidRPr="006F7384" w:rsidRDefault="00F46426" w:rsidP="007441F1">
      <w:pPr>
        <w:pStyle w:val="FootnoteText"/>
        <w:bidi w:val="0"/>
      </w:pPr>
      <w:r w:rsidRPr="006F7384">
        <w:rPr>
          <w:rStyle w:val="FootnoteReference"/>
        </w:rPr>
        <w:footnoteRef/>
      </w:r>
      <w:r w:rsidRPr="006F7384">
        <w:rPr>
          <w:rtl/>
        </w:rPr>
        <w:t xml:space="preserve"> </w:t>
      </w:r>
      <w:r w:rsidRPr="006F7384">
        <w:rPr>
          <w:rFonts w:asciiTheme="majorBidi" w:hAnsiTheme="majorBidi" w:cstheme="majorBidi"/>
        </w:rPr>
        <w:t xml:space="preserve">Mautner, supra note </w:t>
      </w:r>
      <w:r w:rsidRPr="006F7384">
        <w:rPr>
          <w:rFonts w:asciiTheme="majorBidi" w:hAnsiTheme="majorBidi" w:cstheme="majorBidi"/>
        </w:rPr>
        <w:fldChar w:fldCharType="begin"/>
      </w:r>
      <w:r w:rsidRPr="006F7384">
        <w:rPr>
          <w:rFonts w:asciiTheme="majorBidi" w:hAnsiTheme="majorBidi" w:cstheme="majorBidi"/>
        </w:rPr>
        <w:instrText xml:space="preserve"> NOTEREF _Ref518390629 \h </w:instrText>
      </w:r>
      <w:r w:rsidRPr="006F7384">
        <w:rPr>
          <w:rFonts w:asciiTheme="majorBidi" w:hAnsiTheme="majorBidi" w:cstheme="majorBidi"/>
        </w:rPr>
      </w:r>
      <w:r w:rsidRPr="006F7384">
        <w:rPr>
          <w:rFonts w:asciiTheme="majorBidi" w:hAnsiTheme="majorBidi" w:cstheme="majorBidi"/>
        </w:rPr>
        <w:fldChar w:fldCharType="separate"/>
      </w:r>
      <w:r w:rsidRPr="006F7384">
        <w:rPr>
          <w:rFonts w:asciiTheme="majorBidi" w:hAnsiTheme="majorBidi" w:cstheme="majorBidi"/>
        </w:rPr>
        <w:t>12</w:t>
      </w:r>
      <w:r w:rsidRPr="006F7384">
        <w:rPr>
          <w:rFonts w:asciiTheme="majorBidi" w:hAnsiTheme="majorBidi" w:cstheme="majorBidi"/>
        </w:rPr>
        <w:fldChar w:fldCharType="end"/>
      </w:r>
      <w:r w:rsidRPr="006F7384">
        <w:rPr>
          <w:rFonts w:asciiTheme="majorBidi" w:hAnsiTheme="majorBidi" w:cstheme="majorBidi"/>
        </w:rPr>
        <w:t xml:space="preserve">, at </w:t>
      </w:r>
      <w:r w:rsidRPr="006F7384">
        <w:rPr>
          <w:rFonts w:asciiTheme="majorBidi" w:hAnsiTheme="majorBidi" w:cstheme="majorBidi"/>
          <w:highlight w:val="yellow"/>
        </w:rPr>
        <w:t>90-103</w:t>
      </w:r>
      <w:r w:rsidRPr="006F7384">
        <w:rPr>
          <w:rFonts w:asciiTheme="majorBidi" w:hAnsiTheme="majorBidi" w:cstheme="majorBidi"/>
        </w:rPr>
        <w:t>.</w:t>
      </w:r>
    </w:p>
  </w:footnote>
  <w:footnote w:id="24">
    <w:p w14:paraId="56E2153A" w14:textId="77777777" w:rsidR="00F46426" w:rsidRPr="006F7384" w:rsidRDefault="00F46426" w:rsidP="007441F1">
      <w:pPr>
        <w:pStyle w:val="FootnoteText"/>
        <w:bidi w:val="0"/>
      </w:pPr>
      <w:r w:rsidRPr="006F7384">
        <w:rPr>
          <w:rStyle w:val="FootnoteReference"/>
        </w:rPr>
        <w:footnoteRef/>
      </w:r>
      <w:r w:rsidRPr="006F7384">
        <w:rPr>
          <w:rtl/>
        </w:rPr>
        <w:t xml:space="preserve"> </w:t>
      </w:r>
      <w:r w:rsidRPr="006F7384">
        <w:rPr>
          <w:rFonts w:ascii="TimesNewRomanPSMT" w:hAnsi="TimesNewRomanPSMT" w:cs="TimesNewRomanPSMT"/>
          <w:sz w:val="18"/>
          <w:szCs w:val="18"/>
        </w:rPr>
        <w:t xml:space="preserve">Friedmann, </w:t>
      </w:r>
      <w:r w:rsidRPr="006F7384">
        <w:rPr>
          <w:rFonts w:ascii="TimesNewRomanPSMT" w:hAnsi="TimesNewRomanPSMT" w:cs="TimesNewRomanPSMT"/>
          <w:smallCaps/>
          <w:sz w:val="18"/>
          <w:szCs w:val="18"/>
        </w:rPr>
        <w:t>The Purse and the Sword</w:t>
      </w:r>
      <w:r w:rsidRPr="006F7384">
        <w:t xml:space="preserve">, </w:t>
      </w:r>
      <w:r w:rsidRPr="006F7384">
        <w:rPr>
          <w:rFonts w:ascii="TimesNewRomanPSMT" w:hAnsi="TimesNewRomanPSMT" w:cs="TimesNewRomanPSMT"/>
          <w:sz w:val="18"/>
          <w:szCs w:val="18"/>
        </w:rPr>
        <w:t xml:space="preserve">supra note </w:t>
      </w:r>
      <w:r w:rsidRPr="006F7384">
        <w:rPr>
          <w:rFonts w:ascii="TimesNewRomanPSMT" w:hAnsi="TimesNewRomanPSMT" w:cs="TimesNewRomanPSMT"/>
          <w:sz w:val="18"/>
          <w:szCs w:val="18"/>
        </w:rPr>
        <w:fldChar w:fldCharType="begin"/>
      </w:r>
      <w:r w:rsidRPr="006F7384">
        <w:rPr>
          <w:rFonts w:ascii="TimesNewRomanPSMT" w:hAnsi="TimesNewRomanPSMT" w:cs="TimesNewRomanPSMT"/>
          <w:sz w:val="18"/>
          <w:szCs w:val="18"/>
        </w:rPr>
        <w:instrText xml:space="preserve"> NOTEREF _Ref518420134 \h  \* MERGEFORMAT </w:instrText>
      </w:r>
      <w:r w:rsidRPr="006F7384">
        <w:rPr>
          <w:rFonts w:ascii="TimesNewRomanPSMT" w:hAnsi="TimesNewRomanPSMT" w:cs="TimesNewRomanPSMT"/>
          <w:sz w:val="18"/>
          <w:szCs w:val="18"/>
        </w:rPr>
      </w:r>
      <w:r w:rsidRPr="006F7384">
        <w:rPr>
          <w:rFonts w:ascii="TimesNewRomanPSMT" w:hAnsi="TimesNewRomanPSMT" w:cs="TimesNewRomanPSMT"/>
          <w:sz w:val="18"/>
          <w:szCs w:val="18"/>
        </w:rPr>
        <w:fldChar w:fldCharType="separate"/>
      </w:r>
      <w:r w:rsidRPr="006F7384">
        <w:rPr>
          <w:rFonts w:ascii="TimesNewRomanPSMT" w:hAnsi="TimesNewRomanPSMT" w:cs="TimesNewRomanPSMT"/>
          <w:sz w:val="18"/>
          <w:szCs w:val="18"/>
        </w:rPr>
        <w:t>11</w:t>
      </w:r>
      <w:r w:rsidRPr="006F7384">
        <w:rPr>
          <w:rFonts w:ascii="TimesNewRomanPSMT" w:hAnsi="TimesNewRomanPSMT" w:cs="TimesNewRomanPSMT"/>
          <w:sz w:val="18"/>
          <w:szCs w:val="18"/>
        </w:rPr>
        <w:fldChar w:fldCharType="end"/>
      </w:r>
      <w:r w:rsidRPr="006F7384">
        <w:rPr>
          <w:rFonts w:ascii="TimesNewRomanPSMT" w:hAnsi="TimesNewRomanPSMT" w:cs="TimesNewRomanPSMT"/>
          <w:sz w:val="18"/>
          <w:szCs w:val="18"/>
        </w:rPr>
        <w:t xml:space="preserve">, </w:t>
      </w:r>
      <w:proofErr w:type="gramStart"/>
      <w:r w:rsidRPr="006F7384">
        <w:rPr>
          <w:rFonts w:ascii="TimesNewRomanPSMT" w:hAnsi="TimesNewRomanPSMT" w:cs="TimesNewRomanPSMT"/>
          <w:sz w:val="18"/>
          <w:szCs w:val="18"/>
        </w:rPr>
        <w:t xml:space="preserve">at </w:t>
      </w:r>
      <w:r w:rsidRPr="006F7384">
        <w:rPr>
          <w:rFonts w:ascii="TimesNewRomanPSMT" w:hAnsi="TimesNewRomanPSMT" w:cs="TimesNewRomanPSMT"/>
          <w:sz w:val="18"/>
          <w:szCs w:val="18"/>
          <w:highlight w:val="yellow"/>
        </w:rPr>
        <w:t>???</w:t>
      </w:r>
      <w:proofErr w:type="gramEnd"/>
      <w:r w:rsidRPr="006F7384">
        <w:rPr>
          <w:rFonts w:ascii="TimesNewRomanPSMT" w:hAnsi="TimesNewRomanPSMT" w:cs="TimesNewRomanPSMT"/>
          <w:sz w:val="18"/>
          <w:szCs w:val="18"/>
          <w:highlight w:val="yellow"/>
        </w:rPr>
        <w:t>;</w:t>
      </w:r>
      <w:r w:rsidRPr="006F7384">
        <w:rPr>
          <w:rFonts w:ascii="TimesNewRomanPSMT" w:hAnsi="TimesNewRomanPSMT" w:cs="TimesNewRomanPSMT"/>
          <w:sz w:val="18"/>
          <w:szCs w:val="18"/>
        </w:rPr>
        <w:t xml:space="preserve"> Ruth Gavison </w:t>
      </w:r>
      <w:r w:rsidRPr="006F7384">
        <w:rPr>
          <w:rFonts w:ascii="TimesNewRomanPSMT" w:hAnsi="TimesNewRomanPSMT" w:cs="TimesNewRomanPSMT"/>
          <w:i/>
          <w:iCs/>
          <w:sz w:val="18"/>
          <w:szCs w:val="18"/>
        </w:rPr>
        <w:t>The Role of Courts in Rifted Democracies</w:t>
      </w:r>
      <w:r w:rsidRPr="006F7384">
        <w:rPr>
          <w:rFonts w:ascii="TimesNewRomanPSMT" w:hAnsi="TimesNewRomanPSMT" w:cs="TimesNewRomanPSMT"/>
          <w:sz w:val="18"/>
          <w:szCs w:val="18"/>
        </w:rPr>
        <w:t xml:space="preserve"> 33 </w:t>
      </w:r>
      <w:r w:rsidRPr="006F7384">
        <w:rPr>
          <w:rFonts w:ascii="TimesNewRomanPSMT" w:hAnsi="TimesNewRomanPSMT" w:cs="TimesNewRomanPSMT"/>
          <w:smallCaps/>
          <w:sz w:val="18"/>
          <w:szCs w:val="18"/>
        </w:rPr>
        <w:t>Isr. L. Rev.</w:t>
      </w:r>
      <w:r w:rsidRPr="006F7384">
        <w:rPr>
          <w:rFonts w:ascii="TimesNewRomanPSMT" w:hAnsi="TimesNewRomanPSMT" w:cs="TimesNewRomanPSMT"/>
          <w:sz w:val="18"/>
          <w:szCs w:val="18"/>
        </w:rPr>
        <w:t xml:space="preserve"> 216, 233-234 (1999); </w:t>
      </w:r>
      <w:r w:rsidRPr="006F7384">
        <w:rPr>
          <w:rFonts w:ascii="TimesNewRomanPSMT" w:eastAsia="Times New Roman" w:hAnsi="TimesNewRomanPSMT" w:cs="TimesNewRomanPSMT"/>
          <w:sz w:val="18"/>
          <w:szCs w:val="18"/>
        </w:rPr>
        <w:t>Yoav Dotan</w:t>
      </w:r>
      <w:r w:rsidRPr="006F7384">
        <w:rPr>
          <w:rFonts w:ascii="TimesNewRomanPSMT" w:hAnsi="TimesNewRomanPSMT" w:cs="TimesNewRomanPSMT"/>
          <w:sz w:val="18"/>
          <w:szCs w:val="18"/>
        </w:rPr>
        <w:t xml:space="preserve"> </w:t>
      </w:r>
      <w:r w:rsidRPr="006F7384">
        <w:rPr>
          <w:rFonts w:ascii="TimesNewRomanPSMT" w:hAnsi="TimesNewRomanPSMT" w:cs="TimesNewRomanPSMT"/>
          <w:i/>
          <w:iCs/>
          <w:sz w:val="18"/>
          <w:szCs w:val="18"/>
        </w:rPr>
        <w:t>Judicial Review and Political Accountability: The Case of the High Court of Justice in Israel</w:t>
      </w:r>
      <w:r w:rsidRPr="006F7384">
        <w:rPr>
          <w:rFonts w:ascii="TimesNewRomanPSMT" w:hAnsi="TimesNewRomanPSMT" w:cs="TimesNewRomanPSMT"/>
          <w:sz w:val="18"/>
          <w:szCs w:val="18"/>
        </w:rPr>
        <w:t> </w:t>
      </w:r>
      <w:r w:rsidRPr="006F7384">
        <w:rPr>
          <w:rFonts w:ascii="TimesNewRomanPSMT" w:eastAsia="Times New Roman" w:hAnsi="TimesNewRomanPSMT" w:cs="TimesNewRomanPSMT"/>
          <w:sz w:val="18"/>
          <w:szCs w:val="18"/>
        </w:rPr>
        <w:t xml:space="preserve">32 </w:t>
      </w:r>
      <w:r w:rsidRPr="006F7384">
        <w:rPr>
          <w:rFonts w:ascii="TimesNewRomanPSMT" w:eastAsia="Times New Roman" w:hAnsi="TimesNewRomanPSMT" w:cs="TimesNewRomanPSMT"/>
          <w:smallCaps/>
          <w:sz w:val="18"/>
          <w:szCs w:val="18"/>
        </w:rPr>
        <w:t>Isr. L. Rev.</w:t>
      </w:r>
      <w:r w:rsidRPr="006F7384">
        <w:rPr>
          <w:rFonts w:ascii="TimesNewRomanPSMT" w:eastAsia="Times New Roman" w:hAnsi="TimesNewRomanPSMT" w:cs="TimesNewRomanPSMT"/>
          <w:sz w:val="18"/>
          <w:szCs w:val="18"/>
        </w:rPr>
        <w:t xml:space="preserve"> 448, 468-473 (1998)</w:t>
      </w:r>
      <w:r w:rsidRPr="006F7384">
        <w:rPr>
          <w:rFonts w:ascii="TimesNewRomanPSMT" w:hAnsi="TimesNewRomanPSMT" w:cs="TimesNewRomanPSMT"/>
          <w:sz w:val="18"/>
          <w:szCs w:val="18"/>
        </w:rPr>
        <w:t xml:space="preserve">; </w:t>
      </w:r>
      <w:hyperlink r:id="rId15" w:tooltip="Search for Dotan, Yoav" w:history="1">
        <w:r w:rsidRPr="006F7384">
          <w:rPr>
            <w:rFonts w:asciiTheme="majorBidi" w:hAnsiTheme="majorBidi" w:cstheme="majorBidi"/>
          </w:rPr>
          <w:t>Yoav</w:t>
        </w:r>
      </w:hyperlink>
      <w:r w:rsidRPr="006F7384">
        <w:rPr>
          <w:rFonts w:asciiTheme="majorBidi" w:hAnsiTheme="majorBidi" w:cstheme="majorBidi"/>
        </w:rPr>
        <w:t xml:space="preserve"> Dotan, </w:t>
      </w:r>
      <w:r w:rsidRPr="006F7384">
        <w:rPr>
          <w:rFonts w:asciiTheme="majorBidi" w:hAnsiTheme="majorBidi" w:cstheme="majorBidi"/>
          <w:i/>
          <w:iCs/>
        </w:rPr>
        <w:t>Judicial Accountability in Israel: The High Court of Justice and the Phenomenon of Judicial Hyperactivism</w:t>
      </w:r>
      <w:r w:rsidRPr="006F7384">
        <w:rPr>
          <w:rFonts w:asciiTheme="majorBidi" w:hAnsiTheme="majorBidi" w:cstheme="majorBidi"/>
        </w:rPr>
        <w:t xml:space="preserve"> 8 </w:t>
      </w:r>
      <w:hyperlink r:id="rId16" w:tooltip="Search for Israel Affairs" w:history="1">
        <w:r w:rsidRPr="006F7384">
          <w:rPr>
            <w:rFonts w:asciiTheme="majorBidi" w:hAnsiTheme="majorBidi" w:cstheme="majorBidi"/>
            <w:smallCaps/>
          </w:rPr>
          <w:t>Israel Affairs</w:t>
        </w:r>
      </w:hyperlink>
      <w:r w:rsidRPr="006F7384">
        <w:rPr>
          <w:rFonts w:asciiTheme="majorBidi" w:hAnsiTheme="majorBidi" w:cstheme="majorBidi"/>
        </w:rPr>
        <w:t xml:space="preserve"> 87, 99-102 (2002).</w:t>
      </w:r>
    </w:p>
  </w:footnote>
  <w:footnote w:id="25">
    <w:p w14:paraId="3A553A39" w14:textId="77777777" w:rsidR="00F46426" w:rsidRPr="006F7384" w:rsidRDefault="00F46426" w:rsidP="002B5C85">
      <w:pPr>
        <w:pStyle w:val="FootnoteText"/>
        <w:bidi w:val="0"/>
      </w:pPr>
      <w:r w:rsidRPr="006F7384">
        <w:rPr>
          <w:rStyle w:val="FootnoteReference"/>
        </w:rPr>
        <w:footnoteRef/>
      </w:r>
      <w:r w:rsidRPr="006F7384">
        <w:rPr>
          <w:rtl/>
        </w:rPr>
        <w:t xml:space="preserve"> </w:t>
      </w:r>
      <w:r w:rsidRPr="006F7384">
        <w:rPr>
          <w:rFonts w:asciiTheme="majorBidi" w:hAnsiTheme="majorBidi" w:cstheme="majorBidi"/>
        </w:rPr>
        <w:t xml:space="preserve">TOI staff, Jacob Magid </w:t>
      </w:r>
      <w:r w:rsidRPr="006F7384">
        <w:rPr>
          <w:rFonts w:asciiTheme="majorBidi" w:hAnsiTheme="majorBidi" w:cstheme="majorBidi"/>
          <w:i/>
          <w:iCs/>
        </w:rPr>
        <w:t>MKs push ahead with bill curbing High Court in West Bank land</w:t>
      </w:r>
      <w:r w:rsidRPr="006F7384">
        <w:rPr>
          <w:rFonts w:asciiTheme="majorBidi" w:hAnsiTheme="majorBidi"/>
          <w:i/>
          <w:iCs/>
        </w:rPr>
        <w:t xml:space="preserve"> </w:t>
      </w:r>
      <w:r w:rsidRPr="006F7384">
        <w:rPr>
          <w:rFonts w:asciiTheme="majorBidi" w:hAnsiTheme="majorBidi" w:cstheme="majorBidi"/>
          <w:i/>
          <w:iCs/>
        </w:rPr>
        <w:t>disputes</w:t>
      </w:r>
      <w:r w:rsidRPr="006F7384">
        <w:rPr>
          <w:rFonts w:asciiTheme="majorBidi" w:hAnsiTheme="majorBidi" w:cstheme="majorBidi"/>
        </w:rPr>
        <w:t xml:space="preserve">, </w:t>
      </w:r>
      <w:r w:rsidRPr="006F7384">
        <w:rPr>
          <w:rFonts w:asciiTheme="majorBidi" w:hAnsiTheme="majorBidi" w:cstheme="majorBidi"/>
          <w:smallCaps/>
        </w:rPr>
        <w:t>JPost</w:t>
      </w:r>
      <w:r w:rsidRPr="006F7384">
        <w:rPr>
          <w:rFonts w:asciiTheme="majorBidi" w:hAnsiTheme="majorBidi" w:cstheme="majorBidi"/>
        </w:rPr>
        <w:t xml:space="preserve"> 28 May 2018,</w:t>
      </w:r>
      <w:r w:rsidRPr="006F7384">
        <w:rPr>
          <w:rStyle w:val="Hyperlink"/>
          <w:rFonts w:asciiTheme="majorBidi" w:hAnsiTheme="majorBidi" w:cstheme="majorBidi"/>
        </w:rPr>
        <w:t xml:space="preserve"> </w:t>
      </w:r>
      <w:hyperlink r:id="rId17" w:history="1">
        <w:r w:rsidRPr="006F7384">
          <w:rPr>
            <w:rStyle w:val="Hyperlink"/>
            <w:rFonts w:asciiTheme="majorBidi" w:hAnsiTheme="majorBidi" w:cstheme="majorBidi"/>
          </w:rPr>
          <w:t>https://www.timesofisrael.com/mks-push-ahead-with-bill-curbing-high-court-in-west-bank-land-disputes/</w:t>
        </w:r>
      </w:hyperlink>
      <w:r w:rsidRPr="006F7384">
        <w:rPr>
          <w:rFonts w:asciiTheme="majorBidi" w:hAnsiTheme="majorBidi" w:cstheme="majorBidi"/>
        </w:rPr>
        <w:t xml:space="preserve">; Lahav Harkov </w:t>
      </w:r>
      <w:r w:rsidRPr="006F7384">
        <w:rPr>
          <w:rFonts w:asciiTheme="majorBidi" w:hAnsiTheme="majorBidi" w:cstheme="majorBidi"/>
          <w:i/>
          <w:iCs/>
        </w:rPr>
        <w:t>The fiercest warrior against judicial activism</w:t>
      </w:r>
      <w:r w:rsidRPr="006F7384">
        <w:rPr>
          <w:rFonts w:asciiTheme="majorBidi" w:hAnsiTheme="majorBidi" w:cstheme="majorBidi"/>
        </w:rPr>
        <w:t xml:space="preserve"> JPost 29 November 2017, </w:t>
      </w:r>
      <w:hyperlink r:id="rId18" w:history="1">
        <w:r w:rsidRPr="006F7384">
          <w:rPr>
            <w:rStyle w:val="Hyperlink"/>
            <w:rFonts w:asciiTheme="majorBidi" w:hAnsiTheme="majorBidi" w:cstheme="majorBidi"/>
          </w:rPr>
          <w:t>https://www.jpost.com/Diplomatic-Conference/The-fiercest-warrior-against-judicial-activism-515595</w:t>
        </w:r>
      </w:hyperlink>
      <w:r w:rsidRPr="006F7384">
        <w:rPr>
          <w:rFonts w:asciiTheme="majorBidi" w:hAnsiTheme="majorBidi" w:cstheme="majorBidi"/>
        </w:rPr>
        <w:t xml:space="preserve">; Lahav Harkov </w:t>
      </w:r>
      <w:r w:rsidRPr="006F7384">
        <w:rPr>
          <w:rFonts w:asciiTheme="majorBidi" w:hAnsiTheme="majorBidi" w:cstheme="majorBidi"/>
          <w:i/>
          <w:iCs/>
        </w:rPr>
        <w:t xml:space="preserve">Bayit Yehudi's Yogev in hot water over high court bulldozer comments </w:t>
      </w:r>
      <w:r w:rsidRPr="006F7384">
        <w:rPr>
          <w:rFonts w:asciiTheme="majorBidi" w:hAnsiTheme="majorBidi" w:cstheme="majorBidi"/>
          <w:smallCaps/>
        </w:rPr>
        <w:t>JPost</w:t>
      </w:r>
      <w:r w:rsidRPr="006F7384">
        <w:rPr>
          <w:rFonts w:asciiTheme="majorBidi" w:hAnsiTheme="majorBidi" w:cstheme="majorBidi"/>
        </w:rPr>
        <w:t xml:space="preserve"> 29 July, 2015, </w:t>
      </w:r>
      <w:hyperlink r:id="rId19" w:history="1">
        <w:r w:rsidRPr="006F7384">
          <w:rPr>
            <w:rStyle w:val="Hyperlink"/>
            <w:rFonts w:asciiTheme="majorBidi" w:hAnsiTheme="majorBidi" w:cstheme="majorBidi"/>
          </w:rPr>
          <w:t>https://www.jpost.com/Israel-News/Politics-And-Diplomacy/Left-calls-Right-wing-criticism-of-High-Court-criminal-410485</w:t>
        </w:r>
      </w:hyperlink>
      <w:r w:rsidRPr="006F7384">
        <w:rPr>
          <w:rFonts w:asciiTheme="majorBidi" w:hAnsiTheme="majorBidi" w:cstheme="majorBidi"/>
        </w:rPr>
        <w:t xml:space="preserve"> ;</w:t>
      </w:r>
    </w:p>
  </w:footnote>
  <w:footnote w:id="26">
    <w:p w14:paraId="72A7629D" w14:textId="77777777" w:rsidR="00F46426" w:rsidRPr="006F7384" w:rsidRDefault="00F46426" w:rsidP="002E2F78">
      <w:pPr>
        <w:pStyle w:val="FootnoteText"/>
        <w:bidi w:val="0"/>
      </w:pPr>
      <w:r w:rsidRPr="006F7384">
        <w:rPr>
          <w:rStyle w:val="FootnoteReference"/>
        </w:rPr>
        <w:footnoteRef/>
      </w:r>
      <w:r w:rsidRPr="006F7384">
        <w:rPr>
          <w:rtl/>
        </w:rPr>
        <w:t xml:space="preserve"> </w:t>
      </w:r>
      <w:r w:rsidRPr="006F7384">
        <w:rPr>
          <w:rFonts w:ascii="TimesNewRomanPSMT" w:hAnsi="TimesNewRomanPSMT" w:cs="TimesNewRomanPSMT"/>
          <w:sz w:val="18"/>
          <w:szCs w:val="18"/>
        </w:rPr>
        <w:t xml:space="preserve">Friedmann, </w:t>
      </w:r>
      <w:r w:rsidRPr="006F7384">
        <w:rPr>
          <w:rFonts w:ascii="TimesNewRomanPSMT" w:hAnsi="TimesNewRomanPSMT" w:cs="TimesNewRomanPSMT"/>
          <w:smallCaps/>
          <w:sz w:val="18"/>
          <w:szCs w:val="18"/>
        </w:rPr>
        <w:t>The Purse and the Sword</w:t>
      </w:r>
      <w:r w:rsidRPr="006F7384">
        <w:t xml:space="preserve">, </w:t>
      </w:r>
      <w:r w:rsidRPr="006F7384">
        <w:rPr>
          <w:rFonts w:ascii="TimesNewRomanPSMT" w:hAnsi="TimesNewRomanPSMT" w:cs="TimesNewRomanPSMT"/>
          <w:sz w:val="18"/>
          <w:szCs w:val="18"/>
        </w:rPr>
        <w:t xml:space="preserve">supra note </w:t>
      </w:r>
      <w:r w:rsidRPr="006F7384">
        <w:rPr>
          <w:rFonts w:ascii="TimesNewRomanPSMT" w:hAnsi="TimesNewRomanPSMT" w:cs="TimesNewRomanPSMT"/>
          <w:sz w:val="18"/>
          <w:szCs w:val="18"/>
        </w:rPr>
        <w:fldChar w:fldCharType="begin"/>
      </w:r>
      <w:r w:rsidRPr="006F7384">
        <w:rPr>
          <w:rFonts w:ascii="TimesNewRomanPSMT" w:hAnsi="TimesNewRomanPSMT" w:cs="TimesNewRomanPSMT"/>
          <w:sz w:val="18"/>
          <w:szCs w:val="18"/>
        </w:rPr>
        <w:instrText xml:space="preserve"> NOTEREF _Ref518420134 \h  \* MERGEFORMAT </w:instrText>
      </w:r>
      <w:r w:rsidRPr="006F7384">
        <w:rPr>
          <w:rFonts w:ascii="TimesNewRomanPSMT" w:hAnsi="TimesNewRomanPSMT" w:cs="TimesNewRomanPSMT"/>
          <w:sz w:val="18"/>
          <w:szCs w:val="18"/>
        </w:rPr>
      </w:r>
      <w:r w:rsidRPr="006F7384">
        <w:rPr>
          <w:rFonts w:ascii="TimesNewRomanPSMT" w:hAnsi="TimesNewRomanPSMT" w:cs="TimesNewRomanPSMT"/>
          <w:sz w:val="18"/>
          <w:szCs w:val="18"/>
        </w:rPr>
        <w:fldChar w:fldCharType="separate"/>
      </w:r>
      <w:r w:rsidRPr="006F7384">
        <w:rPr>
          <w:rFonts w:ascii="TimesNewRomanPSMT" w:hAnsi="TimesNewRomanPSMT" w:cs="TimesNewRomanPSMT"/>
          <w:sz w:val="18"/>
          <w:szCs w:val="18"/>
        </w:rPr>
        <w:t>11</w:t>
      </w:r>
      <w:r w:rsidRPr="006F7384">
        <w:rPr>
          <w:rFonts w:ascii="TimesNewRomanPSMT" w:hAnsi="TimesNewRomanPSMT" w:cs="TimesNewRomanPSMT"/>
          <w:sz w:val="18"/>
          <w:szCs w:val="18"/>
        </w:rPr>
        <w:fldChar w:fldCharType="end"/>
      </w:r>
      <w:r w:rsidRPr="006F7384">
        <w:rPr>
          <w:rFonts w:ascii="TimesNewRomanPSMT" w:hAnsi="TimesNewRomanPSMT" w:cs="TimesNewRomanPSMT"/>
          <w:sz w:val="18"/>
          <w:szCs w:val="18"/>
        </w:rPr>
        <w:t>.</w:t>
      </w:r>
    </w:p>
  </w:footnote>
  <w:footnote w:id="27">
    <w:p w14:paraId="1A7F0CEF" w14:textId="77777777" w:rsidR="00F46426" w:rsidRPr="006F7384" w:rsidRDefault="00F46426" w:rsidP="002E2F78">
      <w:pPr>
        <w:pStyle w:val="FootnoteText"/>
        <w:bidi w:val="0"/>
      </w:pPr>
      <w:r w:rsidRPr="006F7384">
        <w:rPr>
          <w:rStyle w:val="FootnoteReference"/>
        </w:rPr>
        <w:footnoteRef/>
      </w:r>
      <w:r w:rsidRPr="006F7384">
        <w:rPr>
          <w:rtl/>
        </w:rPr>
        <w:t xml:space="preserve"> </w:t>
      </w:r>
      <w:r w:rsidRPr="006F7384">
        <w:rPr>
          <w:rFonts w:asciiTheme="majorBidi" w:hAnsiTheme="majorBidi" w:cstheme="majorBidi"/>
        </w:rPr>
        <w:t xml:space="preserve">Yonah Jeremy Bob </w:t>
      </w:r>
      <w:r w:rsidRPr="006F7384">
        <w:rPr>
          <w:rFonts w:asciiTheme="majorBidi" w:hAnsiTheme="majorBidi" w:cstheme="majorBidi"/>
          <w:i/>
          <w:iCs/>
        </w:rPr>
        <w:t xml:space="preserve">Supreme court gets more conservative with appointment of two new justices, </w:t>
      </w:r>
      <w:r w:rsidRPr="006F7384">
        <w:rPr>
          <w:rFonts w:asciiTheme="majorBidi" w:hAnsiTheme="majorBidi" w:cstheme="majorBidi"/>
        </w:rPr>
        <w:t>JPost 22 February 2018</w:t>
      </w:r>
    </w:p>
  </w:footnote>
  <w:footnote w:id="28">
    <w:p w14:paraId="171FF5E2" w14:textId="77777777" w:rsidR="00F46426" w:rsidRPr="006F7384" w:rsidRDefault="00F46426" w:rsidP="002E2F78">
      <w:pPr>
        <w:pStyle w:val="FootnoteText"/>
        <w:bidi w:val="0"/>
      </w:pPr>
      <w:r w:rsidRPr="006F7384">
        <w:rPr>
          <w:rStyle w:val="FootnoteReference"/>
        </w:rPr>
        <w:footnoteRef/>
      </w:r>
      <w:r w:rsidRPr="006F7384">
        <w:rPr>
          <w:rtl/>
        </w:rPr>
        <w:t xml:space="preserve"> </w:t>
      </w:r>
      <w:r w:rsidRPr="006F7384">
        <w:rPr>
          <w:rFonts w:asciiTheme="majorBidi" w:hAnsiTheme="majorBidi" w:cstheme="majorBidi"/>
        </w:rPr>
        <w:t xml:space="preserve">Proposed Basic Law: Human Dignity and Liberty (Amendment - Clause of Overcoming)(12 March 2018), Knesset WEB site, </w:t>
      </w:r>
      <w:hyperlink r:id="rId20" w:history="1">
        <w:r w:rsidRPr="006F7384">
          <w:rPr>
            <w:rStyle w:val="Hyperlink"/>
            <w:rFonts w:asciiTheme="majorBidi" w:hAnsiTheme="majorBidi" w:cstheme="majorBidi"/>
          </w:rPr>
          <w:t>http://fs.knesset.gov.il//20/law/20_lst_491213.docx</w:t>
        </w:r>
      </w:hyperlink>
      <w:r w:rsidRPr="006F7384">
        <w:rPr>
          <w:rFonts w:asciiTheme="majorBidi" w:hAnsiTheme="majorBidi" w:cstheme="majorBidi"/>
        </w:rPr>
        <w:t xml:space="preserve">; Shahar Hay </w:t>
      </w:r>
      <w:r w:rsidRPr="006F7384">
        <w:rPr>
          <w:rFonts w:asciiTheme="majorBidi" w:hAnsiTheme="majorBidi" w:cstheme="majorBidi"/>
          <w:i/>
          <w:iCs/>
        </w:rPr>
        <w:t>Knesset committee approves override power over High Court</w:t>
      </w:r>
      <w:r w:rsidRPr="006F7384">
        <w:rPr>
          <w:rFonts w:asciiTheme="majorBidi" w:hAnsiTheme="majorBidi" w:cstheme="majorBidi"/>
        </w:rPr>
        <w:t xml:space="preserve">, </w:t>
      </w:r>
      <w:r w:rsidRPr="006F7384">
        <w:rPr>
          <w:rFonts w:asciiTheme="majorBidi" w:hAnsiTheme="majorBidi" w:cstheme="majorBidi"/>
          <w:smallCaps/>
        </w:rPr>
        <w:t>Y-net</w:t>
      </w:r>
      <w:r w:rsidRPr="006F7384">
        <w:rPr>
          <w:rFonts w:asciiTheme="majorBidi" w:hAnsiTheme="majorBidi" w:cstheme="majorBidi"/>
        </w:rPr>
        <w:t xml:space="preserve">, 5 June 2018, </w:t>
      </w:r>
      <w:hyperlink r:id="rId21" w:history="1">
        <w:r w:rsidRPr="006F7384">
          <w:rPr>
            <w:rStyle w:val="Hyperlink"/>
            <w:rFonts w:asciiTheme="majorBidi" w:hAnsiTheme="majorBidi" w:cstheme="majorBidi"/>
          </w:rPr>
          <w:t>https://www.ynetnews.com/articles/0,7340,L-5252771,00.html</w:t>
        </w:r>
      </w:hyperlink>
      <w:r w:rsidRPr="006F7384">
        <w:rPr>
          <w:rFonts w:asciiTheme="majorBidi" w:hAnsiTheme="majorBidi" w:cstheme="majorBidi"/>
        </w:rPr>
        <w:t>;</w:t>
      </w:r>
      <w:r w:rsidRPr="006F7384">
        <w:rPr>
          <w:rFonts w:asciiTheme="majorBidi" w:hAnsiTheme="majorBidi" w:cstheme="majorBidi"/>
          <w:rtl/>
        </w:rPr>
        <w:t xml:space="preserve"> </w:t>
      </w:r>
      <w:r w:rsidRPr="006F7384">
        <w:rPr>
          <w:rFonts w:asciiTheme="majorBidi" w:hAnsiTheme="majorBidi" w:cstheme="majorBidi"/>
        </w:rPr>
        <w:t xml:space="preserve">Lahav Harkov </w:t>
      </w:r>
      <w:r w:rsidRPr="006F7384">
        <w:rPr>
          <w:rFonts w:asciiTheme="majorBidi" w:hAnsiTheme="majorBidi" w:cstheme="majorBidi"/>
          <w:i/>
          <w:iCs/>
        </w:rPr>
        <w:t>Netanyahu, Levin push for dramatic judiciary restructuring</w:t>
      </w:r>
      <w:r w:rsidRPr="006F7384">
        <w:rPr>
          <w:rFonts w:asciiTheme="majorBidi" w:hAnsiTheme="majorBidi" w:cstheme="majorBidi"/>
        </w:rPr>
        <w:t xml:space="preserve"> JPost 15 April 2018, </w:t>
      </w:r>
      <w:hyperlink r:id="rId22" w:history="1">
        <w:r w:rsidRPr="006F7384">
          <w:rPr>
            <w:rStyle w:val="Hyperlink"/>
            <w:rFonts w:asciiTheme="majorBidi" w:hAnsiTheme="majorBidi" w:cstheme="majorBidi"/>
          </w:rPr>
          <w:t>https://www.jpost.com/Israel-News/Top-Likud-minister-Well-even-go-to-election-to-limit-Supreme-Court-549850</w:t>
        </w:r>
      </w:hyperlink>
      <w:r w:rsidRPr="006F7384">
        <w:rPr>
          <w:rFonts w:asciiTheme="majorBidi" w:hAnsiTheme="majorBidi" w:cstheme="majorBidi"/>
        </w:rPr>
        <w:t>;</w:t>
      </w:r>
    </w:p>
  </w:footnote>
  <w:footnote w:id="29">
    <w:p w14:paraId="40289666" w14:textId="77777777" w:rsidR="00F46426" w:rsidRPr="006F7384" w:rsidRDefault="00F46426" w:rsidP="00295923">
      <w:pPr>
        <w:pStyle w:val="FootnoteText"/>
        <w:bidi w:val="0"/>
      </w:pPr>
      <w:r w:rsidRPr="006F7384">
        <w:rPr>
          <w:rStyle w:val="FootnoteReference"/>
        </w:rPr>
        <w:footnoteRef/>
      </w:r>
      <w:r w:rsidRPr="006F7384">
        <w:rPr>
          <w:rtl/>
        </w:rPr>
        <w:t xml:space="preserve"> </w:t>
      </w:r>
      <w:r w:rsidRPr="006F7384">
        <w:t xml:space="preserve"> </w:t>
      </w:r>
      <w:r w:rsidRPr="006F7384">
        <w:rPr>
          <w:rFonts w:ascii="Times New Roman" w:hAnsi="Times New Roman" w:cs="Times New Roman"/>
        </w:rPr>
        <w:t>Eran Vigoda Gadot, Nissim Cohen, Shlomo Mizrahi,</w:t>
      </w:r>
      <w:r w:rsidRPr="006F7384">
        <w:rPr>
          <w:rFonts w:ascii="Times New Roman" w:hAnsi="Times New Roman" w:cs="Times New Roman"/>
          <w:smallCaps/>
          <w:lang w:eastAsia="en-GB"/>
        </w:rPr>
        <w:t xml:space="preserve"> Israeli Public Sector Performance: Citizens’ Attitudes Analysis and National Assessment 29 (2016) </w:t>
      </w:r>
      <w:r w:rsidRPr="006F7384">
        <w:rPr>
          <w:rFonts w:ascii="Times New Roman" w:hAnsi="Times New Roman" w:cs="Times New Roman"/>
        </w:rPr>
        <w:t>(Hebrew)</w:t>
      </w:r>
      <w:r w:rsidRPr="006F7384">
        <w:rPr>
          <w:rFonts w:asciiTheme="majorBidi" w:hAnsiTheme="majorBidi" w:cstheme="majorBidi"/>
        </w:rPr>
        <w:t xml:space="preserve">; Soffer </w:t>
      </w:r>
      <w:r w:rsidRPr="006F7384">
        <w:rPr>
          <w:rFonts w:asciiTheme="majorBidi" w:hAnsiTheme="majorBidi" w:cstheme="majorBidi"/>
          <w:i/>
          <w:iCs/>
        </w:rPr>
        <w:t>Judicial review</w:t>
      </w:r>
      <w:r w:rsidRPr="006F7384">
        <w:rPr>
          <w:rFonts w:asciiTheme="majorBidi" w:hAnsiTheme="majorBidi" w:cstheme="majorBidi"/>
        </w:rPr>
        <w:t xml:space="preserve">, supra note </w:t>
      </w:r>
      <w:r w:rsidRPr="006F7384">
        <w:rPr>
          <w:rFonts w:asciiTheme="majorBidi" w:hAnsiTheme="majorBidi" w:cstheme="majorBidi"/>
        </w:rPr>
        <w:fldChar w:fldCharType="begin"/>
      </w:r>
      <w:r w:rsidRPr="006F7384">
        <w:rPr>
          <w:rFonts w:asciiTheme="majorBidi" w:hAnsiTheme="majorBidi" w:cstheme="majorBidi"/>
        </w:rPr>
        <w:instrText xml:space="preserve"> NOTEREF _Ref518420134 \h  \* MERGEFORMAT </w:instrText>
      </w:r>
      <w:r w:rsidRPr="006F7384">
        <w:rPr>
          <w:rFonts w:asciiTheme="majorBidi" w:hAnsiTheme="majorBidi" w:cstheme="majorBidi"/>
        </w:rPr>
      </w:r>
      <w:r w:rsidRPr="006F7384">
        <w:rPr>
          <w:rFonts w:asciiTheme="majorBidi" w:hAnsiTheme="majorBidi" w:cstheme="majorBidi"/>
        </w:rPr>
        <w:fldChar w:fldCharType="separate"/>
      </w:r>
      <w:r w:rsidRPr="006F7384">
        <w:rPr>
          <w:rFonts w:asciiTheme="majorBidi" w:hAnsiTheme="majorBidi" w:cstheme="majorBidi"/>
        </w:rPr>
        <w:t>11</w:t>
      </w:r>
      <w:r w:rsidRPr="006F7384">
        <w:rPr>
          <w:rFonts w:asciiTheme="majorBidi" w:hAnsiTheme="majorBidi" w:cstheme="majorBidi"/>
        </w:rPr>
        <w:fldChar w:fldCharType="end"/>
      </w:r>
      <w:r w:rsidRPr="006F7384">
        <w:rPr>
          <w:rFonts w:asciiTheme="majorBidi" w:hAnsiTheme="majorBidi" w:cstheme="majorBidi"/>
        </w:rPr>
        <w:t xml:space="preserve">, at 323-325; Haim Sandberg </w:t>
      </w:r>
      <w:r w:rsidRPr="006F7384">
        <w:rPr>
          <w:rFonts w:asciiTheme="majorBidi" w:hAnsiTheme="majorBidi" w:cstheme="majorBidi"/>
          <w:i/>
          <w:iCs/>
        </w:rPr>
        <w:t>Strategic considerations behind normative explanations: Lessons from Israel’s Supreme Court expropriations case</w:t>
      </w:r>
      <w:r w:rsidRPr="006F7384">
        <w:rPr>
          <w:rFonts w:asciiTheme="majorBidi" w:hAnsiTheme="majorBidi" w:cstheme="majorBidi"/>
        </w:rPr>
        <w:t xml:space="preserve">, 11 </w:t>
      </w:r>
      <w:r w:rsidRPr="006F7384">
        <w:rPr>
          <w:rFonts w:asciiTheme="majorBidi" w:hAnsiTheme="majorBidi" w:cstheme="majorBidi"/>
          <w:smallCaps/>
        </w:rPr>
        <w:t xml:space="preserve">Int'l J. Cont. L. </w:t>
      </w:r>
      <w:r w:rsidRPr="006F7384">
        <w:rPr>
          <w:rFonts w:asciiTheme="majorBidi" w:hAnsiTheme="majorBidi" w:cstheme="majorBidi"/>
        </w:rPr>
        <w:t>751, 767-768 (2013).</w:t>
      </w:r>
    </w:p>
  </w:footnote>
  <w:footnote w:id="30">
    <w:p w14:paraId="701EA2D7" w14:textId="77777777" w:rsidR="00F46426" w:rsidRPr="006F7384" w:rsidRDefault="00F46426" w:rsidP="009A3C18">
      <w:pPr>
        <w:pStyle w:val="FootnoteText"/>
        <w:bidi w:val="0"/>
      </w:pPr>
      <w:r w:rsidRPr="006F7384">
        <w:rPr>
          <w:rStyle w:val="FootnoteReference"/>
        </w:rPr>
        <w:footnoteRef/>
      </w:r>
      <w:r w:rsidRPr="006F7384">
        <w:rPr>
          <w:rtl/>
        </w:rPr>
        <w:t xml:space="preserve"> </w:t>
      </w:r>
      <w:r w:rsidRPr="006F7384">
        <w:rPr>
          <w:rFonts w:asciiTheme="majorBidi" w:hAnsiTheme="majorBidi" w:cstheme="majorBidi"/>
        </w:rPr>
        <w:t xml:space="preserve">Joshua Weiman, </w:t>
      </w:r>
      <w:proofErr w:type="gramStart"/>
      <w:r w:rsidRPr="006F7384">
        <w:rPr>
          <w:rFonts w:asciiTheme="majorBidi" w:hAnsiTheme="majorBidi" w:cstheme="majorBidi"/>
          <w:i/>
          <w:iCs/>
        </w:rPr>
        <w:t>The</w:t>
      </w:r>
      <w:proofErr w:type="gramEnd"/>
      <w:r w:rsidRPr="006F7384">
        <w:rPr>
          <w:rFonts w:asciiTheme="majorBidi" w:hAnsiTheme="majorBidi" w:cstheme="majorBidi"/>
          <w:i/>
          <w:iCs/>
        </w:rPr>
        <w:t xml:space="preserve"> Land Law, 1969: A Critical Analysis</w:t>
      </w:r>
      <w:r w:rsidRPr="006F7384">
        <w:rPr>
          <w:rFonts w:asciiTheme="majorBidi" w:hAnsiTheme="majorBidi" w:cstheme="majorBidi"/>
        </w:rPr>
        <w:t xml:space="preserve">, 5 </w:t>
      </w:r>
      <w:r w:rsidRPr="006F7384">
        <w:rPr>
          <w:rFonts w:asciiTheme="majorBidi" w:hAnsiTheme="majorBidi" w:cstheme="majorBidi"/>
          <w:smallCaps/>
        </w:rPr>
        <w:t>Isr. L. Rev.</w:t>
      </w:r>
      <w:r w:rsidRPr="006F7384">
        <w:rPr>
          <w:rFonts w:asciiTheme="majorBidi" w:hAnsiTheme="majorBidi" w:cstheme="majorBidi"/>
        </w:rPr>
        <w:t xml:space="preserve"> 379,</w:t>
      </w:r>
      <w:r w:rsidRPr="006F7384">
        <w:rPr>
          <w:rFonts w:asciiTheme="majorBidi" w:hAnsiTheme="majorBidi" w:cstheme="majorBidi"/>
          <w:rtl/>
        </w:rPr>
        <w:t xml:space="preserve"> </w:t>
      </w:r>
      <w:r w:rsidRPr="006F7384">
        <w:rPr>
          <w:rFonts w:asciiTheme="majorBidi" w:hAnsiTheme="majorBidi" w:cstheme="majorBidi"/>
        </w:rPr>
        <w:t xml:space="preserve">382-384 (1970); </w:t>
      </w:r>
      <w:r w:rsidRPr="006F7384">
        <w:rPr>
          <w:rFonts w:asciiTheme="majorBidi" w:eastAsia="MS Mincho" w:hAnsiTheme="majorBidi" w:cstheme="majorBidi"/>
        </w:rPr>
        <w:t xml:space="preserve">Friedmann, </w:t>
      </w:r>
      <w:r w:rsidRPr="006F7384">
        <w:rPr>
          <w:rFonts w:asciiTheme="majorBidi" w:eastAsia="MS Mincho" w:hAnsiTheme="majorBidi" w:cstheme="majorBidi"/>
          <w:i/>
          <w:iCs/>
        </w:rPr>
        <w:t>Infusion of common law</w:t>
      </w:r>
      <w:r w:rsidRPr="006F7384">
        <w:rPr>
          <w:rFonts w:asciiTheme="majorBidi" w:eastAsia="MS Mincho" w:hAnsiTheme="majorBidi" w:cstheme="majorBidi"/>
        </w:rPr>
        <w:t xml:space="preserve">, supra note </w:t>
      </w:r>
      <w:r w:rsidRPr="006F7384">
        <w:rPr>
          <w:rFonts w:asciiTheme="majorBidi" w:eastAsia="MS Mincho" w:hAnsiTheme="majorBidi" w:cstheme="majorBidi"/>
        </w:rPr>
        <w:fldChar w:fldCharType="begin"/>
      </w:r>
      <w:r w:rsidRPr="006F7384">
        <w:rPr>
          <w:rFonts w:asciiTheme="majorBidi" w:eastAsia="MS Mincho" w:hAnsiTheme="majorBidi" w:cstheme="majorBidi"/>
        </w:rPr>
        <w:instrText xml:space="preserve"> NOTEREF _Ref518488721 \h </w:instrText>
      </w:r>
      <w:r w:rsidRPr="006F7384">
        <w:rPr>
          <w:rFonts w:asciiTheme="majorBidi" w:eastAsia="MS Mincho" w:hAnsiTheme="majorBidi" w:cstheme="majorBidi"/>
        </w:rPr>
      </w:r>
      <w:r w:rsidRPr="006F7384">
        <w:rPr>
          <w:rFonts w:asciiTheme="majorBidi" w:eastAsia="MS Mincho" w:hAnsiTheme="majorBidi" w:cstheme="majorBidi"/>
        </w:rPr>
        <w:fldChar w:fldCharType="separate"/>
      </w:r>
      <w:r w:rsidRPr="006F7384">
        <w:rPr>
          <w:rFonts w:asciiTheme="majorBidi" w:eastAsia="MS Mincho" w:hAnsiTheme="majorBidi" w:cstheme="majorBidi"/>
        </w:rPr>
        <w:t>5</w:t>
      </w:r>
      <w:r w:rsidRPr="006F7384">
        <w:rPr>
          <w:rFonts w:asciiTheme="majorBidi" w:eastAsia="MS Mincho" w:hAnsiTheme="majorBidi" w:cstheme="majorBidi"/>
        </w:rPr>
        <w:fldChar w:fldCharType="end"/>
      </w:r>
      <w:r w:rsidRPr="006F7384">
        <w:rPr>
          <w:rFonts w:asciiTheme="majorBidi" w:eastAsia="MS Mincho" w:hAnsiTheme="majorBidi" w:cstheme="majorBidi"/>
        </w:rPr>
        <w:t>, at 350.</w:t>
      </w:r>
    </w:p>
  </w:footnote>
  <w:footnote w:id="31">
    <w:p w14:paraId="6259FF80" w14:textId="77777777" w:rsidR="00F46426" w:rsidRPr="006F7384" w:rsidRDefault="00F46426" w:rsidP="008B2969">
      <w:pPr>
        <w:pStyle w:val="FootnoteText"/>
        <w:bidi w:val="0"/>
      </w:pPr>
      <w:r w:rsidRPr="006F7384">
        <w:rPr>
          <w:rStyle w:val="FootnoteReference"/>
        </w:rPr>
        <w:footnoteRef/>
      </w:r>
      <w:r w:rsidRPr="006F7384">
        <w:rPr>
          <w:rtl/>
        </w:rPr>
        <w:t xml:space="preserve"> </w:t>
      </w:r>
      <w:r w:rsidRPr="006F7384">
        <w:rPr>
          <w:rFonts w:asciiTheme="majorBidi" w:hAnsiTheme="majorBidi" w:cstheme="majorBidi"/>
        </w:rPr>
        <w:t>Leah Doukhan-Landau,</w:t>
      </w:r>
      <w:r w:rsidRPr="006F7384">
        <w:rPr>
          <w:rFonts w:asciiTheme="majorBidi" w:hAnsiTheme="majorBidi" w:cstheme="majorBidi"/>
          <w:smallCaps/>
        </w:rPr>
        <w:t xml:space="preserve"> Equitable Rights to Land and the remedy of specific performance of contracts of sale of land</w:t>
      </w:r>
      <w:r w:rsidRPr="006F7384">
        <w:rPr>
          <w:rFonts w:asciiTheme="majorBidi" w:hAnsiTheme="majorBidi" w:cstheme="majorBidi"/>
        </w:rPr>
        <w:t xml:space="preserve"> 37-41 (Institute for Legislative Research and Comparative Law</w:t>
      </w:r>
      <w:r w:rsidRPr="006F7384">
        <w:t xml:space="preserve">, </w:t>
      </w:r>
      <w:r w:rsidRPr="006F7384">
        <w:rPr>
          <w:rFonts w:asciiTheme="majorBidi" w:hAnsiTheme="majorBidi" w:cstheme="majorBidi"/>
        </w:rPr>
        <w:t xml:space="preserve">Jerusalem, 1968); A. M. Apelbom </w:t>
      </w:r>
      <w:r w:rsidRPr="006F7384">
        <w:rPr>
          <w:rFonts w:asciiTheme="majorBidi" w:hAnsiTheme="majorBidi" w:cstheme="majorBidi"/>
          <w:i/>
          <w:iCs/>
        </w:rPr>
        <w:t>Book [Review]: Equitable Rights to Land and the remedy of specific performance of contracts of sale of land</w:t>
      </w:r>
      <w:r w:rsidRPr="006F7384">
        <w:rPr>
          <w:rFonts w:asciiTheme="majorBidi" w:hAnsiTheme="majorBidi" w:cstheme="majorBidi"/>
        </w:rPr>
        <w:t xml:space="preserve"> 4</w:t>
      </w:r>
      <w:r w:rsidRPr="006F7384">
        <w:rPr>
          <w:rFonts w:asciiTheme="majorBidi" w:hAnsiTheme="majorBidi" w:cstheme="majorBidi"/>
          <w:smallCaps/>
        </w:rPr>
        <w:t xml:space="preserve"> Is.L.R.</w:t>
      </w:r>
      <w:r w:rsidRPr="006F7384">
        <w:rPr>
          <w:rFonts w:asciiTheme="majorBidi" w:hAnsiTheme="majorBidi" w:cstheme="majorBidi"/>
        </w:rPr>
        <w:t xml:space="preserve"> 165, 166-167 (1969); David Kretzmer </w:t>
      </w:r>
      <w:proofErr w:type="gramStart"/>
      <w:r w:rsidRPr="006F7384">
        <w:rPr>
          <w:rFonts w:asciiTheme="majorBidi" w:hAnsiTheme="majorBidi" w:cstheme="majorBidi"/>
          <w:i/>
          <w:iCs/>
        </w:rPr>
        <w:t>The</w:t>
      </w:r>
      <w:proofErr w:type="gramEnd"/>
      <w:r w:rsidRPr="006F7384">
        <w:rPr>
          <w:rFonts w:asciiTheme="majorBidi" w:hAnsiTheme="majorBidi" w:cstheme="majorBidi"/>
          <w:i/>
          <w:iCs/>
        </w:rPr>
        <w:t xml:space="preserve"> acquiring of equitable title, </w:t>
      </w:r>
      <w:r w:rsidRPr="006F7384">
        <w:rPr>
          <w:rFonts w:asciiTheme="majorBidi" w:hAnsiTheme="majorBidi" w:cstheme="majorBidi"/>
        </w:rPr>
        <w:t xml:space="preserve">4 Isr. L.Rev. 452 (1969); </w:t>
      </w:r>
      <w:r w:rsidRPr="006F7384">
        <w:rPr>
          <w:rFonts w:asciiTheme="majorBidi" w:eastAsia="MS Mincho" w:hAnsiTheme="majorBidi" w:cstheme="majorBidi"/>
        </w:rPr>
        <w:t xml:space="preserve">Friedmann, </w:t>
      </w:r>
      <w:r w:rsidRPr="006F7384">
        <w:rPr>
          <w:rFonts w:asciiTheme="majorBidi" w:eastAsia="MS Mincho" w:hAnsiTheme="majorBidi" w:cstheme="majorBidi"/>
          <w:i/>
          <w:iCs/>
        </w:rPr>
        <w:t>Infusion of common law</w:t>
      </w:r>
      <w:r w:rsidRPr="006F7384">
        <w:rPr>
          <w:rFonts w:asciiTheme="majorBidi" w:eastAsia="MS Mincho" w:hAnsiTheme="majorBidi" w:cstheme="majorBidi"/>
        </w:rPr>
        <w:t xml:space="preserve">, supra note </w:t>
      </w:r>
      <w:r w:rsidRPr="006F7384">
        <w:rPr>
          <w:rFonts w:asciiTheme="majorBidi" w:eastAsia="MS Mincho" w:hAnsiTheme="majorBidi" w:cstheme="majorBidi"/>
        </w:rPr>
        <w:fldChar w:fldCharType="begin"/>
      </w:r>
      <w:r w:rsidRPr="006F7384">
        <w:rPr>
          <w:rFonts w:asciiTheme="majorBidi" w:eastAsia="MS Mincho" w:hAnsiTheme="majorBidi" w:cstheme="majorBidi"/>
        </w:rPr>
        <w:instrText xml:space="preserve"> NOTEREF _Ref518488721 \h </w:instrText>
      </w:r>
      <w:r w:rsidRPr="006F7384">
        <w:rPr>
          <w:rFonts w:asciiTheme="majorBidi" w:eastAsia="MS Mincho" w:hAnsiTheme="majorBidi" w:cstheme="majorBidi"/>
        </w:rPr>
      </w:r>
      <w:r w:rsidRPr="006F7384">
        <w:rPr>
          <w:rFonts w:asciiTheme="majorBidi" w:eastAsia="MS Mincho" w:hAnsiTheme="majorBidi" w:cstheme="majorBidi"/>
        </w:rPr>
        <w:fldChar w:fldCharType="separate"/>
      </w:r>
      <w:r w:rsidRPr="006F7384">
        <w:rPr>
          <w:rFonts w:asciiTheme="majorBidi" w:eastAsia="MS Mincho" w:hAnsiTheme="majorBidi" w:cstheme="majorBidi"/>
        </w:rPr>
        <w:t>5</w:t>
      </w:r>
      <w:r w:rsidRPr="006F7384">
        <w:rPr>
          <w:rFonts w:asciiTheme="majorBidi" w:eastAsia="MS Mincho" w:hAnsiTheme="majorBidi" w:cstheme="majorBidi"/>
        </w:rPr>
        <w:fldChar w:fldCharType="end"/>
      </w:r>
      <w:r w:rsidRPr="006F7384">
        <w:rPr>
          <w:rFonts w:asciiTheme="majorBidi" w:eastAsia="MS Mincho" w:hAnsiTheme="majorBidi" w:cstheme="majorBidi"/>
        </w:rPr>
        <w:t xml:space="preserve">, at 350, 375-376; Hanoch Dagan </w:t>
      </w:r>
      <w:r w:rsidRPr="006F7384">
        <w:rPr>
          <w:rFonts w:asciiTheme="majorBidi" w:hAnsiTheme="majorBidi" w:cstheme="majorBidi"/>
          <w:i/>
          <w:iCs/>
        </w:rPr>
        <w:t>Codification, Coherence, and Priority Conflicts</w:t>
      </w:r>
      <w:r w:rsidRPr="006F7384">
        <w:rPr>
          <w:rFonts w:asciiTheme="majorBidi" w:hAnsiTheme="majorBidi" w:cstheme="majorBidi"/>
        </w:rPr>
        <w:t xml:space="preserve"> THE DRAFT CIVIL CODE FOR ISRAEL IN COMPARATIVE PERSPECTIVE 149, 166 (Kurt Siehr &amp; Reinhard Zimmermann eds. 2008).</w:t>
      </w:r>
    </w:p>
  </w:footnote>
  <w:footnote w:id="32">
    <w:p w14:paraId="31ABB2D5" w14:textId="77777777" w:rsidR="00F46426" w:rsidRPr="006F7384" w:rsidRDefault="00F46426" w:rsidP="00FC730B">
      <w:pPr>
        <w:pStyle w:val="FootnoteText"/>
        <w:bidi w:val="0"/>
      </w:pPr>
      <w:r w:rsidRPr="006F7384">
        <w:rPr>
          <w:rStyle w:val="FootnoteReference"/>
        </w:rPr>
        <w:footnoteRef/>
      </w:r>
      <w:r w:rsidRPr="006F7384">
        <w:rPr>
          <w:rtl/>
        </w:rPr>
        <w:t xml:space="preserve"> </w:t>
      </w:r>
      <w:r w:rsidRPr="006F7384">
        <w:rPr>
          <w:rFonts w:asciiTheme="majorBidi" w:hAnsiTheme="majorBidi" w:cstheme="majorBidi"/>
        </w:rPr>
        <w:t xml:space="preserve">Joshua Weiman </w:t>
      </w:r>
      <w:r w:rsidRPr="006F7384">
        <w:rPr>
          <w:rFonts w:asciiTheme="majorBidi" w:hAnsiTheme="majorBidi" w:cstheme="majorBidi"/>
          <w:i/>
          <w:iCs/>
        </w:rPr>
        <w:t>The Land Law, 1969</w:t>
      </w:r>
      <w:r w:rsidRPr="006F7384">
        <w:rPr>
          <w:rFonts w:asciiTheme="majorBidi" w:hAnsiTheme="majorBidi" w:cstheme="majorBidi"/>
        </w:rPr>
        <w:t xml:space="preserve">, supra note </w:t>
      </w:r>
      <w:r w:rsidRPr="006F7384">
        <w:rPr>
          <w:rFonts w:asciiTheme="majorBidi" w:hAnsiTheme="majorBidi" w:cstheme="majorBidi"/>
        </w:rPr>
        <w:fldChar w:fldCharType="begin"/>
      </w:r>
      <w:r w:rsidRPr="006F7384">
        <w:rPr>
          <w:rFonts w:asciiTheme="majorBidi" w:hAnsiTheme="majorBidi" w:cstheme="majorBidi"/>
        </w:rPr>
        <w:instrText xml:space="preserve"> NOTEREF _Ref518489692 \h </w:instrText>
      </w:r>
      <w:r w:rsidRPr="006F7384">
        <w:rPr>
          <w:rFonts w:asciiTheme="majorBidi" w:hAnsiTheme="majorBidi" w:cstheme="majorBidi"/>
        </w:rPr>
      </w:r>
      <w:r w:rsidRPr="006F7384">
        <w:rPr>
          <w:rFonts w:asciiTheme="majorBidi" w:hAnsiTheme="majorBidi" w:cstheme="majorBidi"/>
        </w:rPr>
        <w:fldChar w:fldCharType="separate"/>
      </w:r>
      <w:r w:rsidRPr="006F7384">
        <w:rPr>
          <w:rFonts w:asciiTheme="majorBidi" w:hAnsiTheme="majorBidi" w:cstheme="majorBidi"/>
        </w:rPr>
        <w:t>30</w:t>
      </w:r>
      <w:r w:rsidRPr="006F7384">
        <w:rPr>
          <w:rFonts w:asciiTheme="majorBidi" w:hAnsiTheme="majorBidi" w:cstheme="majorBidi"/>
        </w:rPr>
        <w:fldChar w:fldCharType="end"/>
      </w:r>
      <w:r w:rsidRPr="006F7384">
        <w:rPr>
          <w:rFonts w:asciiTheme="majorBidi" w:hAnsiTheme="majorBidi" w:cstheme="majorBidi"/>
        </w:rPr>
        <w:t xml:space="preserve">, at 383; </w:t>
      </w:r>
      <w:r w:rsidRPr="006F7384">
        <w:rPr>
          <w:rFonts w:asciiTheme="majorBidi" w:hAnsiTheme="majorBidi" w:cstheme="majorBidi"/>
          <w:i/>
          <w:iCs/>
        </w:rPr>
        <w:t xml:space="preserve">Willmott v. </w:t>
      </w:r>
      <w:proofErr w:type="gramStart"/>
      <w:r w:rsidRPr="006F7384">
        <w:rPr>
          <w:rFonts w:asciiTheme="majorBidi" w:hAnsiTheme="majorBidi" w:cstheme="majorBidi"/>
          <w:i/>
          <w:iCs/>
        </w:rPr>
        <w:t>Barber</w:t>
      </w:r>
      <w:r w:rsidRPr="006F7384">
        <w:rPr>
          <w:rFonts w:asciiTheme="majorBidi" w:hAnsiTheme="majorBidi" w:cstheme="majorBidi"/>
        </w:rPr>
        <w:t xml:space="preserve">  15</w:t>
      </w:r>
      <w:proofErr w:type="gramEnd"/>
      <w:r w:rsidRPr="006F7384">
        <w:rPr>
          <w:rFonts w:asciiTheme="majorBidi" w:hAnsiTheme="majorBidi" w:cstheme="majorBidi"/>
        </w:rPr>
        <w:t xml:space="preserve"> Ch.D. 96, 105 (1880); </w:t>
      </w:r>
      <w:r w:rsidRPr="006F7384">
        <w:rPr>
          <w:rFonts w:asciiTheme="majorBidi" w:hAnsiTheme="majorBidi" w:cstheme="majorBidi"/>
          <w:smallCaps/>
        </w:rPr>
        <w:t>Razabi v. Razabi</w:t>
      </w:r>
      <w:r w:rsidRPr="006F7384">
        <w:rPr>
          <w:rFonts w:asciiTheme="majorBidi" w:hAnsiTheme="majorBidi" w:cstheme="majorBidi"/>
        </w:rPr>
        <w:t xml:space="preserve"> (1955) 9 P.D. 520, 526-528 (1955)(Hebrew).</w:t>
      </w:r>
    </w:p>
  </w:footnote>
  <w:footnote w:id="33">
    <w:p w14:paraId="75C3212D" w14:textId="77777777" w:rsidR="00767DF1" w:rsidRPr="006F7384" w:rsidRDefault="00767DF1" w:rsidP="00767DF1">
      <w:pPr>
        <w:pStyle w:val="FootnoteText"/>
        <w:bidi w:val="0"/>
      </w:pPr>
      <w:r w:rsidRPr="006F7384">
        <w:rPr>
          <w:rStyle w:val="FootnoteReference"/>
        </w:rPr>
        <w:footnoteRef/>
      </w:r>
      <w:r w:rsidRPr="006F7384">
        <w:rPr>
          <w:rtl/>
        </w:rPr>
        <w:t xml:space="preserve"> </w:t>
      </w:r>
      <w:r w:rsidRPr="006F7384">
        <w:rPr>
          <w:rFonts w:ascii="Times New Roman" w:hAnsi="Times New Roman"/>
        </w:rPr>
        <w:t xml:space="preserve">Land Law 5729-1969 § 153, 5 </w:t>
      </w:r>
      <w:r w:rsidRPr="006F7384">
        <w:rPr>
          <w:rFonts w:ascii="Times New Roman" w:hAnsi="Times New Roman"/>
          <w:smallCaps/>
        </w:rPr>
        <w:t>Isr. L. Rev.</w:t>
      </w:r>
      <w:r w:rsidRPr="006F7384">
        <w:rPr>
          <w:rFonts w:ascii="Times New Roman" w:hAnsi="Times New Roman"/>
        </w:rPr>
        <w:t xml:space="preserve"> 292, 319 (1970</w:t>
      </w:r>
      <w:proofErr w:type="gramStart"/>
      <w:r w:rsidRPr="006F7384">
        <w:rPr>
          <w:rFonts w:ascii="Times New Roman" w:hAnsi="Times New Roman"/>
        </w:rPr>
        <w:t>)(</w:t>
      </w:r>
      <w:proofErr w:type="gramEnd"/>
      <w:r w:rsidRPr="006F7384">
        <w:rPr>
          <w:rFonts w:ascii="Times New Roman" w:hAnsi="Times New Roman"/>
        </w:rPr>
        <w:t>Hereafter: Land Law 1969).</w:t>
      </w:r>
    </w:p>
  </w:footnote>
  <w:footnote w:id="34">
    <w:p w14:paraId="59DCA7FE" w14:textId="77777777" w:rsidR="00F46426" w:rsidRPr="006F7384" w:rsidRDefault="00F46426" w:rsidP="00745AAD">
      <w:pPr>
        <w:pStyle w:val="FootnoteText"/>
        <w:bidi w:val="0"/>
      </w:pPr>
      <w:r w:rsidRPr="006F7384">
        <w:rPr>
          <w:rStyle w:val="FootnoteReference"/>
        </w:rPr>
        <w:footnoteRef/>
      </w:r>
      <w:r w:rsidRPr="006F7384">
        <w:rPr>
          <w:rtl/>
        </w:rPr>
        <w:t xml:space="preserve"> </w:t>
      </w:r>
      <w:r w:rsidRPr="006F7384">
        <w:rPr>
          <w:rFonts w:asciiTheme="majorBidi" w:hAnsiTheme="majorBidi" w:cstheme="majorBidi"/>
        </w:rPr>
        <w:t xml:space="preserve">P.C.A </w:t>
      </w:r>
      <w:r w:rsidRPr="006F7384">
        <w:rPr>
          <w:rFonts w:ascii="Times New Roman" w:hAnsi="Times New Roman"/>
        </w:rPr>
        <w:t xml:space="preserve">178/71 </w:t>
      </w:r>
      <w:r w:rsidRPr="006F7384">
        <w:rPr>
          <w:rFonts w:ascii="Times New Roman" w:hAnsi="Times New Roman"/>
          <w:smallCaps/>
        </w:rPr>
        <w:t>Boker v. Anglo-Israeli Co. Ltd.</w:t>
      </w:r>
      <w:r w:rsidRPr="006F7384">
        <w:rPr>
          <w:rFonts w:ascii="Times New Roman" w:hAnsi="Times New Roman"/>
        </w:rPr>
        <w:t xml:space="preserve"> (1971) 25(2) P.D. 121 (1971); </w:t>
      </w:r>
      <w:r w:rsidRPr="006F7384">
        <w:rPr>
          <w:rFonts w:asciiTheme="majorBidi" w:hAnsiTheme="majorBidi" w:cstheme="majorBidi"/>
        </w:rPr>
        <w:t xml:space="preserve">Friedmann </w:t>
      </w:r>
      <w:r w:rsidRPr="006F7384">
        <w:rPr>
          <w:rFonts w:asciiTheme="majorBidi" w:hAnsiTheme="majorBidi" w:cstheme="majorBidi"/>
          <w:i/>
          <w:iCs/>
        </w:rPr>
        <w:t xml:space="preserve">Independent Development, </w:t>
      </w:r>
      <w:r w:rsidRPr="006F7384">
        <w:rPr>
          <w:rFonts w:asciiTheme="majorBidi" w:hAnsiTheme="majorBidi" w:cstheme="majorBidi"/>
        </w:rPr>
        <w:t xml:space="preserve">supra note </w:t>
      </w:r>
      <w:r w:rsidRPr="006F7384">
        <w:rPr>
          <w:rFonts w:asciiTheme="majorBidi" w:hAnsiTheme="majorBidi" w:cstheme="majorBidi"/>
        </w:rPr>
        <w:fldChar w:fldCharType="begin"/>
      </w:r>
      <w:r w:rsidRPr="006F7384">
        <w:rPr>
          <w:rFonts w:asciiTheme="majorBidi" w:hAnsiTheme="majorBidi" w:cstheme="majorBidi"/>
        </w:rPr>
        <w:instrText xml:space="preserve"> NOTEREF _Ref518321682 \h </w:instrText>
      </w:r>
      <w:r w:rsidRPr="006F7384">
        <w:rPr>
          <w:rFonts w:asciiTheme="majorBidi" w:hAnsiTheme="majorBidi" w:cstheme="majorBidi"/>
        </w:rPr>
      </w:r>
      <w:r w:rsidRPr="006F7384">
        <w:rPr>
          <w:rFonts w:asciiTheme="majorBidi" w:hAnsiTheme="majorBidi" w:cstheme="majorBidi"/>
        </w:rPr>
        <w:fldChar w:fldCharType="separate"/>
      </w:r>
      <w:r w:rsidRPr="006F7384">
        <w:rPr>
          <w:rFonts w:asciiTheme="majorBidi" w:hAnsiTheme="majorBidi" w:cstheme="majorBidi"/>
        </w:rPr>
        <w:t>7</w:t>
      </w:r>
      <w:r w:rsidRPr="006F7384">
        <w:rPr>
          <w:rFonts w:asciiTheme="majorBidi" w:hAnsiTheme="majorBidi" w:cstheme="majorBidi"/>
        </w:rPr>
        <w:fldChar w:fldCharType="end"/>
      </w:r>
      <w:r w:rsidRPr="006F7384">
        <w:rPr>
          <w:rFonts w:asciiTheme="majorBidi" w:hAnsiTheme="majorBidi" w:cstheme="majorBidi"/>
        </w:rPr>
        <w:t>, at 552 (1975).</w:t>
      </w:r>
    </w:p>
  </w:footnote>
  <w:footnote w:id="35">
    <w:p w14:paraId="0125A3CD" w14:textId="77777777" w:rsidR="00DB7CE6" w:rsidRDefault="00DB7CE6" w:rsidP="00DB7CE6">
      <w:pPr>
        <w:pStyle w:val="FootnoteText"/>
        <w:bidi w:val="0"/>
        <w:rPr>
          <w:rFonts w:asciiTheme="majorBidi" w:hAnsiTheme="majorBidi" w:cstheme="majorBidi"/>
        </w:rPr>
      </w:pPr>
      <w:r>
        <w:rPr>
          <w:rStyle w:val="FootnoteReference"/>
        </w:rPr>
        <w:footnoteRef/>
      </w:r>
      <w:r>
        <w:rPr>
          <w:rtl/>
        </w:rPr>
        <w:t xml:space="preserve"> </w:t>
      </w:r>
      <w:r w:rsidRPr="004165E2">
        <w:rPr>
          <w:rFonts w:asciiTheme="majorBidi" w:hAnsiTheme="majorBidi" w:cstheme="majorBidi"/>
        </w:rPr>
        <w:t xml:space="preserve">Moshe Landau, </w:t>
      </w:r>
      <w:r w:rsidRPr="004165E2">
        <w:rPr>
          <w:rFonts w:asciiTheme="majorBidi" w:hAnsiTheme="majorBidi" w:cstheme="majorBidi"/>
          <w:i/>
          <w:iCs/>
        </w:rPr>
        <w:t>General Remarks on the Land Law and Servitudes under the Land Law</w:t>
      </w:r>
      <w:r w:rsidRPr="004165E2">
        <w:rPr>
          <w:rFonts w:asciiTheme="majorBidi" w:hAnsiTheme="majorBidi" w:cstheme="majorBidi"/>
        </w:rPr>
        <w:t xml:space="preserve">, 1 </w:t>
      </w:r>
      <w:r w:rsidRPr="004165E2">
        <w:rPr>
          <w:rFonts w:asciiTheme="majorBidi" w:hAnsiTheme="majorBidi" w:cstheme="majorBidi"/>
          <w:smallCaps/>
        </w:rPr>
        <w:t>Tel Aviv U. Stud. L.</w:t>
      </w:r>
      <w:r w:rsidRPr="004165E2">
        <w:rPr>
          <w:rFonts w:asciiTheme="majorBidi" w:hAnsiTheme="majorBidi" w:cstheme="majorBidi"/>
        </w:rPr>
        <w:t xml:space="preserve"> 110, 110-111 (1975</w:t>
      </w:r>
      <w:r>
        <w:t>)</w:t>
      </w:r>
      <w:r>
        <w:rPr>
          <w:rFonts w:asciiTheme="majorBidi" w:hAnsiTheme="majorBidi" w:cstheme="majorBidi"/>
        </w:rPr>
        <w:t xml:space="preserve">; </w:t>
      </w:r>
    </w:p>
    <w:p w14:paraId="1C09B1DD" w14:textId="77777777" w:rsidR="00DB7CE6" w:rsidRPr="00DB7CE6" w:rsidRDefault="00DB7CE6" w:rsidP="00DB7CE6">
      <w:pPr>
        <w:pStyle w:val="FootnoteText"/>
        <w:rPr>
          <w:rFonts w:asciiTheme="majorBidi" w:hAnsiTheme="majorBidi" w:cstheme="majorBidi"/>
        </w:rPr>
      </w:pPr>
      <w:r w:rsidRPr="00DB7CE6">
        <w:rPr>
          <w:rFonts w:asciiTheme="majorBidi" w:hAnsiTheme="majorBidi" w:cstheme="majorBidi"/>
          <w:highlight w:val="yellow"/>
          <w:rtl/>
        </w:rPr>
        <w:t>להצעת החוק ולטיוטות של רדזינר</w:t>
      </w:r>
    </w:p>
  </w:footnote>
  <w:footnote w:id="36">
    <w:p w14:paraId="3AF91C37" w14:textId="77777777" w:rsidR="00F46426" w:rsidRPr="006F7384" w:rsidRDefault="00F46426" w:rsidP="0011724B">
      <w:pPr>
        <w:pStyle w:val="FootnoteText"/>
        <w:bidi w:val="0"/>
      </w:pPr>
      <w:r w:rsidRPr="006F7384">
        <w:rPr>
          <w:rStyle w:val="FootnoteReference"/>
        </w:rPr>
        <w:footnoteRef/>
      </w:r>
      <w:r w:rsidRPr="006F7384">
        <w:rPr>
          <w:rtl/>
        </w:rPr>
        <w:t xml:space="preserve"> </w:t>
      </w:r>
      <w:r w:rsidRPr="006F7384">
        <w:rPr>
          <w:rFonts w:asciiTheme="majorBidi" w:hAnsiTheme="majorBidi" w:cstheme="majorBidi"/>
        </w:rPr>
        <w:t xml:space="preserve">Moshe Landau, </w:t>
      </w:r>
      <w:r w:rsidRPr="006F7384">
        <w:rPr>
          <w:rFonts w:asciiTheme="majorBidi" w:hAnsiTheme="majorBidi" w:cstheme="majorBidi"/>
          <w:i/>
          <w:iCs/>
        </w:rPr>
        <w:t>Judicial Activism</w:t>
      </w:r>
      <w:r w:rsidRPr="006F7384">
        <w:rPr>
          <w:rFonts w:asciiTheme="majorBidi" w:hAnsiTheme="majorBidi" w:cstheme="majorBidi"/>
        </w:rPr>
        <w:t xml:space="preserve"> 7 </w:t>
      </w:r>
      <w:r w:rsidRPr="006F7384">
        <w:rPr>
          <w:rFonts w:asciiTheme="majorBidi" w:hAnsiTheme="majorBidi" w:cstheme="majorBidi"/>
          <w:smallCaps/>
        </w:rPr>
        <w:t xml:space="preserve">Hamishpat L.Rev. </w:t>
      </w:r>
      <w:r w:rsidRPr="006F7384">
        <w:rPr>
          <w:rFonts w:asciiTheme="majorBidi" w:hAnsiTheme="majorBidi" w:cstheme="majorBidi"/>
        </w:rPr>
        <w:t>535, 536-537 (2002)(Hebrew)</w:t>
      </w:r>
      <w:r w:rsidRPr="006F7384">
        <w:rPr>
          <w:rFonts w:ascii="TimesNewRomanPSMT" w:hAnsi="TimesNewRomanPSMT" w:cs="TimesNewRomanPSMT"/>
          <w:sz w:val="18"/>
          <w:szCs w:val="18"/>
        </w:rPr>
        <w:t xml:space="preserve">; Friedmann, </w:t>
      </w:r>
      <w:r w:rsidRPr="006F7384">
        <w:rPr>
          <w:rFonts w:ascii="TimesNewRomanPSMT" w:hAnsi="TimesNewRomanPSMT" w:cs="TimesNewRomanPSMT"/>
          <w:smallCaps/>
          <w:sz w:val="18"/>
          <w:szCs w:val="18"/>
        </w:rPr>
        <w:t>The Purse and the Sword</w:t>
      </w:r>
      <w:r w:rsidRPr="006F7384">
        <w:t xml:space="preserve">, </w:t>
      </w:r>
      <w:r w:rsidRPr="006F7384">
        <w:rPr>
          <w:rFonts w:ascii="TimesNewRomanPSMT" w:hAnsi="TimesNewRomanPSMT" w:cs="TimesNewRomanPSMT"/>
          <w:sz w:val="18"/>
          <w:szCs w:val="18"/>
        </w:rPr>
        <w:t xml:space="preserve">supra note </w:t>
      </w:r>
      <w:r w:rsidRPr="006F7384">
        <w:rPr>
          <w:rFonts w:ascii="TimesNewRomanPSMT" w:hAnsi="TimesNewRomanPSMT" w:cs="TimesNewRomanPSMT"/>
          <w:sz w:val="18"/>
          <w:szCs w:val="18"/>
        </w:rPr>
        <w:fldChar w:fldCharType="begin"/>
      </w:r>
      <w:r w:rsidRPr="006F7384">
        <w:rPr>
          <w:rFonts w:ascii="TimesNewRomanPSMT" w:hAnsi="TimesNewRomanPSMT" w:cs="TimesNewRomanPSMT"/>
          <w:sz w:val="18"/>
          <w:szCs w:val="18"/>
        </w:rPr>
        <w:instrText xml:space="preserve"> NOTEREF _Ref518420134 \h  \* MERGEFORMAT </w:instrText>
      </w:r>
      <w:r w:rsidRPr="006F7384">
        <w:rPr>
          <w:rFonts w:ascii="TimesNewRomanPSMT" w:hAnsi="TimesNewRomanPSMT" w:cs="TimesNewRomanPSMT"/>
          <w:sz w:val="18"/>
          <w:szCs w:val="18"/>
        </w:rPr>
      </w:r>
      <w:r w:rsidRPr="006F7384">
        <w:rPr>
          <w:rFonts w:ascii="TimesNewRomanPSMT" w:hAnsi="TimesNewRomanPSMT" w:cs="TimesNewRomanPSMT"/>
          <w:sz w:val="18"/>
          <w:szCs w:val="18"/>
        </w:rPr>
        <w:fldChar w:fldCharType="separate"/>
      </w:r>
      <w:r w:rsidRPr="006F7384">
        <w:rPr>
          <w:rFonts w:ascii="TimesNewRomanPSMT" w:hAnsi="TimesNewRomanPSMT" w:cs="TimesNewRomanPSMT"/>
          <w:sz w:val="18"/>
          <w:szCs w:val="18"/>
        </w:rPr>
        <w:t>11</w:t>
      </w:r>
      <w:r w:rsidRPr="006F7384">
        <w:rPr>
          <w:rFonts w:ascii="TimesNewRomanPSMT" w:hAnsi="TimesNewRomanPSMT" w:cs="TimesNewRomanPSMT"/>
          <w:sz w:val="18"/>
          <w:szCs w:val="18"/>
        </w:rPr>
        <w:fldChar w:fldCharType="end"/>
      </w:r>
      <w:r w:rsidRPr="006F7384">
        <w:rPr>
          <w:rFonts w:ascii="TimesNewRomanPSMT" w:hAnsi="TimesNewRomanPSMT" w:cs="TimesNewRomanPSMT"/>
          <w:sz w:val="18"/>
          <w:szCs w:val="18"/>
        </w:rPr>
        <w:t>, at</w:t>
      </w:r>
      <w:r w:rsidRPr="006F7384">
        <w:rPr>
          <w:rFonts w:asciiTheme="majorBidi" w:hAnsiTheme="majorBidi" w:cstheme="majorBidi"/>
        </w:rPr>
        <w:t xml:space="preserve"> 303; </w:t>
      </w:r>
      <w:hyperlink r:id="rId23" w:history="1">
        <w:r w:rsidRPr="006F7384">
          <w:rPr>
            <w:rFonts w:asciiTheme="majorBidi" w:hAnsiTheme="majorBidi"/>
          </w:rPr>
          <w:t>Tomer Zarchin</w:t>
        </w:r>
      </w:hyperlink>
      <w:r w:rsidRPr="006F7384">
        <w:rPr>
          <w:rFonts w:asciiTheme="majorBidi" w:hAnsiTheme="majorBidi"/>
        </w:rPr>
        <w:t xml:space="preserve"> </w:t>
      </w:r>
      <w:r w:rsidRPr="006F7384">
        <w:rPr>
          <w:rFonts w:asciiTheme="majorBidi" w:hAnsiTheme="majorBidi"/>
          <w:i/>
          <w:iCs/>
        </w:rPr>
        <w:t>Eichmann Trial Judge, Moshe Landau, Dies at 99</w:t>
      </w:r>
      <w:r w:rsidRPr="006F7384">
        <w:rPr>
          <w:rFonts w:asciiTheme="majorBidi" w:hAnsiTheme="majorBidi" w:cstheme="majorBidi"/>
        </w:rPr>
        <w:t xml:space="preserve">, HAARETZ, 2 May, 2011, </w:t>
      </w:r>
      <w:hyperlink r:id="rId24" w:history="1">
        <w:r w:rsidRPr="006F7384">
          <w:rPr>
            <w:rStyle w:val="Hyperlink"/>
            <w:rFonts w:asciiTheme="majorBidi" w:hAnsiTheme="majorBidi" w:cstheme="majorBidi"/>
          </w:rPr>
          <w:t>https://www.haaretz.com/1.5006533</w:t>
        </w:r>
      </w:hyperlink>
      <w:r w:rsidRPr="006F7384">
        <w:rPr>
          <w:rFonts w:asciiTheme="majorBidi" w:hAnsiTheme="majorBidi" w:cstheme="majorBidi"/>
        </w:rPr>
        <w:t>.</w:t>
      </w:r>
    </w:p>
  </w:footnote>
  <w:footnote w:id="37">
    <w:p w14:paraId="02E7E094" w14:textId="77777777" w:rsidR="00F46426" w:rsidRPr="006F7384" w:rsidRDefault="00F46426" w:rsidP="00043931">
      <w:pPr>
        <w:pStyle w:val="FootnoteText"/>
        <w:bidi w:val="0"/>
      </w:pPr>
      <w:r w:rsidRPr="006F7384">
        <w:rPr>
          <w:rStyle w:val="FootnoteReference"/>
        </w:rPr>
        <w:footnoteRef/>
      </w:r>
      <w:r w:rsidRPr="006F7384">
        <w:rPr>
          <w:rtl/>
        </w:rPr>
        <w:t xml:space="preserve"> </w:t>
      </w:r>
      <w:r w:rsidRPr="006F7384">
        <w:rPr>
          <w:rFonts w:asciiTheme="majorBidi" w:hAnsiTheme="majorBidi" w:cstheme="majorBidi"/>
        </w:rPr>
        <w:t xml:space="preserve">Joshua Weiman </w:t>
      </w:r>
      <w:proofErr w:type="gramStart"/>
      <w:r w:rsidRPr="006F7384">
        <w:rPr>
          <w:rFonts w:asciiTheme="majorBidi" w:hAnsiTheme="majorBidi" w:cstheme="majorBidi"/>
          <w:i/>
          <w:iCs/>
        </w:rPr>
        <w:t>The</w:t>
      </w:r>
      <w:proofErr w:type="gramEnd"/>
      <w:r w:rsidRPr="006F7384">
        <w:rPr>
          <w:rFonts w:asciiTheme="majorBidi" w:hAnsiTheme="majorBidi" w:cstheme="majorBidi"/>
          <w:i/>
          <w:iCs/>
        </w:rPr>
        <w:t xml:space="preserve"> Land Law, 1969</w:t>
      </w:r>
      <w:r w:rsidRPr="006F7384">
        <w:rPr>
          <w:rFonts w:asciiTheme="majorBidi" w:hAnsiTheme="majorBidi" w:cstheme="majorBidi"/>
        </w:rPr>
        <w:t xml:space="preserve">, supra note </w:t>
      </w:r>
      <w:r w:rsidRPr="006F7384">
        <w:rPr>
          <w:rFonts w:asciiTheme="majorBidi" w:hAnsiTheme="majorBidi" w:cstheme="majorBidi"/>
        </w:rPr>
        <w:fldChar w:fldCharType="begin"/>
      </w:r>
      <w:r w:rsidRPr="006F7384">
        <w:rPr>
          <w:rFonts w:asciiTheme="majorBidi" w:hAnsiTheme="majorBidi" w:cstheme="majorBidi"/>
        </w:rPr>
        <w:instrText xml:space="preserve"> NOTEREF _Ref518489692 \h </w:instrText>
      </w:r>
      <w:r w:rsidRPr="006F7384">
        <w:rPr>
          <w:rFonts w:asciiTheme="majorBidi" w:hAnsiTheme="majorBidi" w:cstheme="majorBidi"/>
        </w:rPr>
      </w:r>
      <w:r w:rsidRPr="006F7384">
        <w:rPr>
          <w:rFonts w:asciiTheme="majorBidi" w:hAnsiTheme="majorBidi" w:cstheme="majorBidi"/>
        </w:rPr>
        <w:fldChar w:fldCharType="separate"/>
      </w:r>
      <w:r w:rsidRPr="006F7384">
        <w:rPr>
          <w:rFonts w:asciiTheme="majorBidi" w:hAnsiTheme="majorBidi" w:cstheme="majorBidi"/>
        </w:rPr>
        <w:t>30</w:t>
      </w:r>
      <w:r w:rsidRPr="006F7384">
        <w:rPr>
          <w:rFonts w:asciiTheme="majorBidi" w:hAnsiTheme="majorBidi" w:cstheme="majorBidi"/>
        </w:rPr>
        <w:fldChar w:fldCharType="end"/>
      </w:r>
      <w:r w:rsidRPr="006F7384">
        <w:rPr>
          <w:rFonts w:asciiTheme="majorBidi" w:hAnsiTheme="majorBidi" w:cstheme="majorBidi"/>
        </w:rPr>
        <w:t xml:space="preserve">, at </w:t>
      </w:r>
      <w:r w:rsidRPr="006F7384">
        <w:rPr>
          <w:rFonts w:asciiTheme="majorBidi" w:hAnsiTheme="majorBidi" w:cstheme="majorBidi"/>
          <w:spacing w:val="-2"/>
        </w:rPr>
        <w:t>386-388</w:t>
      </w:r>
      <w:r w:rsidRPr="006F7384">
        <w:rPr>
          <w:rFonts w:asciiTheme="majorBidi" w:hAnsiTheme="majorBidi" w:cstheme="majorBidi"/>
        </w:rPr>
        <w:t xml:space="preserve">; Friedmann </w:t>
      </w:r>
      <w:r w:rsidRPr="006F7384">
        <w:rPr>
          <w:rFonts w:asciiTheme="majorBidi" w:hAnsiTheme="majorBidi" w:cstheme="majorBidi"/>
          <w:i/>
          <w:iCs/>
        </w:rPr>
        <w:t xml:space="preserve">Independent Development, </w:t>
      </w:r>
      <w:r w:rsidRPr="006F7384">
        <w:rPr>
          <w:rFonts w:asciiTheme="majorBidi" w:hAnsiTheme="majorBidi" w:cstheme="majorBidi"/>
        </w:rPr>
        <w:t xml:space="preserve">supra note </w:t>
      </w:r>
      <w:r w:rsidRPr="006F7384">
        <w:rPr>
          <w:rFonts w:asciiTheme="majorBidi" w:hAnsiTheme="majorBidi" w:cstheme="majorBidi"/>
        </w:rPr>
        <w:fldChar w:fldCharType="begin"/>
      </w:r>
      <w:r w:rsidRPr="006F7384">
        <w:rPr>
          <w:rFonts w:asciiTheme="majorBidi" w:hAnsiTheme="majorBidi" w:cstheme="majorBidi"/>
        </w:rPr>
        <w:instrText xml:space="preserve"> NOTEREF _Ref518321682 \h </w:instrText>
      </w:r>
      <w:r w:rsidRPr="006F7384">
        <w:rPr>
          <w:rFonts w:asciiTheme="majorBidi" w:hAnsiTheme="majorBidi" w:cstheme="majorBidi"/>
        </w:rPr>
      </w:r>
      <w:r w:rsidRPr="006F7384">
        <w:rPr>
          <w:rFonts w:asciiTheme="majorBidi" w:hAnsiTheme="majorBidi" w:cstheme="majorBidi"/>
        </w:rPr>
        <w:fldChar w:fldCharType="separate"/>
      </w:r>
      <w:r w:rsidRPr="006F7384">
        <w:rPr>
          <w:rFonts w:asciiTheme="majorBidi" w:hAnsiTheme="majorBidi" w:cstheme="majorBidi"/>
        </w:rPr>
        <w:t>7</w:t>
      </w:r>
      <w:r w:rsidRPr="006F7384">
        <w:rPr>
          <w:rFonts w:asciiTheme="majorBidi" w:hAnsiTheme="majorBidi" w:cstheme="majorBidi"/>
        </w:rPr>
        <w:fldChar w:fldCharType="end"/>
      </w:r>
      <w:r w:rsidRPr="006F7384">
        <w:rPr>
          <w:rFonts w:asciiTheme="majorBidi" w:hAnsiTheme="majorBidi" w:cstheme="majorBidi"/>
        </w:rPr>
        <w:t>, at 552-554.</w:t>
      </w:r>
    </w:p>
  </w:footnote>
  <w:footnote w:id="38">
    <w:p w14:paraId="149F52A1" w14:textId="77777777" w:rsidR="00F46426" w:rsidRPr="006F7384" w:rsidRDefault="00F46426" w:rsidP="00C30D90">
      <w:pPr>
        <w:pStyle w:val="FootnoteText"/>
        <w:bidi w:val="0"/>
      </w:pPr>
      <w:r w:rsidRPr="006F7384">
        <w:rPr>
          <w:rStyle w:val="FootnoteReference"/>
        </w:rPr>
        <w:footnoteRef/>
      </w:r>
      <w:r w:rsidRPr="006F7384">
        <w:rPr>
          <w:rtl/>
        </w:rPr>
        <w:t xml:space="preserve"> </w:t>
      </w:r>
      <w:r w:rsidRPr="006F7384">
        <w:rPr>
          <w:rFonts w:asciiTheme="majorBidi" w:hAnsiTheme="majorBidi" w:cstheme="majorBidi"/>
          <w:smallCaps/>
        </w:rPr>
        <w:t>Aharonov</w:t>
      </w:r>
      <w:r w:rsidRPr="006F7384">
        <w:rPr>
          <w:rFonts w:asciiTheme="majorBidi" w:hAnsiTheme="majorBidi" w:cstheme="majorBidi"/>
        </w:rPr>
        <w:t xml:space="preserve"> case, supra note </w:t>
      </w:r>
      <w:r w:rsidRPr="006F7384">
        <w:rPr>
          <w:rFonts w:asciiTheme="majorBidi" w:hAnsiTheme="majorBidi" w:cstheme="majorBidi"/>
        </w:rPr>
        <w:fldChar w:fldCharType="begin"/>
      </w:r>
      <w:r w:rsidRPr="006F7384">
        <w:rPr>
          <w:rFonts w:asciiTheme="majorBidi" w:hAnsiTheme="majorBidi" w:cstheme="majorBidi"/>
        </w:rPr>
        <w:instrText xml:space="preserve"> NOTEREF _Ref517949871 \h </w:instrText>
      </w:r>
      <w:r w:rsidRPr="006F7384">
        <w:rPr>
          <w:rFonts w:asciiTheme="majorBidi" w:hAnsiTheme="majorBidi" w:cstheme="majorBidi"/>
        </w:rPr>
      </w:r>
      <w:r w:rsidRPr="006F7384">
        <w:rPr>
          <w:rFonts w:asciiTheme="majorBidi" w:hAnsiTheme="majorBidi" w:cstheme="majorBidi"/>
        </w:rPr>
        <w:fldChar w:fldCharType="separate"/>
      </w:r>
      <w:r w:rsidRPr="006F7384">
        <w:rPr>
          <w:rFonts w:asciiTheme="majorBidi" w:hAnsiTheme="majorBidi" w:cstheme="majorBidi"/>
        </w:rPr>
        <w:t>1</w:t>
      </w:r>
      <w:r w:rsidRPr="006F7384">
        <w:rPr>
          <w:rFonts w:asciiTheme="majorBidi" w:hAnsiTheme="majorBidi" w:cstheme="majorBidi"/>
        </w:rPr>
        <w:fldChar w:fldCharType="end"/>
      </w:r>
    </w:p>
  </w:footnote>
  <w:footnote w:id="39">
    <w:p w14:paraId="3F319B32" w14:textId="77777777" w:rsidR="00F46426" w:rsidRPr="006F7384" w:rsidRDefault="00F46426" w:rsidP="00C30D90">
      <w:pPr>
        <w:pStyle w:val="FootnoteText"/>
        <w:bidi w:val="0"/>
      </w:pPr>
      <w:r w:rsidRPr="006F7384">
        <w:rPr>
          <w:rStyle w:val="FootnoteReference"/>
        </w:rPr>
        <w:footnoteRef/>
      </w:r>
      <w:r w:rsidRPr="006F7384">
        <w:rPr>
          <w:rtl/>
        </w:rPr>
        <w:t xml:space="preserve"> </w:t>
      </w:r>
      <w:r w:rsidRPr="006F7384">
        <w:rPr>
          <w:rFonts w:asciiTheme="majorBidi" w:hAnsiTheme="majorBidi" w:cstheme="majorBidi"/>
        </w:rPr>
        <w:t>Ibid, at 241-242.</w:t>
      </w:r>
    </w:p>
  </w:footnote>
  <w:footnote w:id="40">
    <w:p w14:paraId="6D1B9A30" w14:textId="77777777" w:rsidR="00F46426" w:rsidRPr="006F7384" w:rsidRDefault="00F46426" w:rsidP="00C30D90">
      <w:pPr>
        <w:pStyle w:val="FootnoteText"/>
        <w:bidi w:val="0"/>
      </w:pPr>
      <w:r w:rsidRPr="006F7384">
        <w:rPr>
          <w:rStyle w:val="FootnoteReference"/>
        </w:rPr>
        <w:footnoteRef/>
      </w:r>
      <w:r w:rsidRPr="006F7384">
        <w:rPr>
          <w:rtl/>
        </w:rPr>
        <w:t xml:space="preserve"> </w:t>
      </w:r>
      <w:r w:rsidRPr="006F7384">
        <w:rPr>
          <w:rFonts w:asciiTheme="majorBidi" w:hAnsiTheme="majorBidi" w:cstheme="majorBidi"/>
        </w:rPr>
        <w:t>Land Law 1969, §9.</w:t>
      </w:r>
    </w:p>
  </w:footnote>
  <w:footnote w:id="41">
    <w:p w14:paraId="56F71926" w14:textId="77777777" w:rsidR="00F46426" w:rsidRPr="006F7384" w:rsidRDefault="00F46426" w:rsidP="00C30D90">
      <w:pPr>
        <w:pStyle w:val="FootnoteText"/>
        <w:bidi w:val="0"/>
      </w:pPr>
      <w:r w:rsidRPr="006F7384">
        <w:rPr>
          <w:rStyle w:val="FootnoteReference"/>
        </w:rPr>
        <w:footnoteRef/>
      </w:r>
      <w:r w:rsidRPr="006F7384">
        <w:rPr>
          <w:rtl/>
        </w:rPr>
        <w:t xml:space="preserve"> </w:t>
      </w:r>
      <w:r w:rsidRPr="006F7384">
        <w:rPr>
          <w:rFonts w:asciiTheme="majorBidi" w:hAnsiTheme="majorBidi" w:cstheme="majorBidi"/>
          <w:smallCaps/>
        </w:rPr>
        <w:t>Boker</w:t>
      </w:r>
      <w:r w:rsidRPr="006F7384">
        <w:rPr>
          <w:rFonts w:asciiTheme="majorBidi" w:hAnsiTheme="majorBidi" w:cstheme="majorBidi"/>
        </w:rPr>
        <w:t xml:space="preserve"> case, supra note </w:t>
      </w:r>
      <w:r w:rsidRPr="006F7384">
        <w:rPr>
          <w:rFonts w:asciiTheme="majorBidi" w:hAnsiTheme="majorBidi" w:cstheme="majorBidi"/>
        </w:rPr>
        <w:fldChar w:fldCharType="begin"/>
      </w:r>
      <w:r w:rsidRPr="006F7384">
        <w:rPr>
          <w:rFonts w:asciiTheme="majorBidi" w:hAnsiTheme="majorBidi" w:cstheme="majorBidi"/>
        </w:rPr>
        <w:instrText xml:space="preserve"> NOTEREF _Ref518492047 \h </w:instrText>
      </w:r>
      <w:r w:rsidRPr="006F7384">
        <w:rPr>
          <w:rFonts w:asciiTheme="majorBidi" w:hAnsiTheme="majorBidi" w:cstheme="majorBidi"/>
        </w:rPr>
      </w:r>
      <w:r w:rsidRPr="006F7384">
        <w:rPr>
          <w:rFonts w:asciiTheme="majorBidi" w:hAnsiTheme="majorBidi" w:cstheme="majorBidi"/>
        </w:rPr>
        <w:fldChar w:fldCharType="separate"/>
      </w:r>
      <w:r w:rsidRPr="006F7384">
        <w:rPr>
          <w:rFonts w:asciiTheme="majorBidi" w:hAnsiTheme="majorBidi" w:cstheme="majorBidi"/>
        </w:rPr>
        <w:t>34</w:t>
      </w:r>
      <w:r w:rsidRPr="006F7384">
        <w:rPr>
          <w:rFonts w:asciiTheme="majorBidi" w:hAnsiTheme="majorBidi" w:cstheme="majorBidi"/>
        </w:rPr>
        <w:fldChar w:fldCharType="end"/>
      </w:r>
      <w:r w:rsidRPr="006F7384">
        <w:rPr>
          <w:rFonts w:asciiTheme="majorBidi" w:hAnsiTheme="majorBidi" w:cstheme="majorBidi"/>
        </w:rPr>
        <w:t>, at 134 (J. Landau).</w:t>
      </w:r>
    </w:p>
  </w:footnote>
  <w:footnote w:id="42">
    <w:p w14:paraId="608CAE6E" w14:textId="77777777" w:rsidR="00F46426" w:rsidRPr="006F7384" w:rsidRDefault="00F46426" w:rsidP="00421891">
      <w:pPr>
        <w:pStyle w:val="FootnoteText"/>
        <w:bidi w:val="0"/>
      </w:pPr>
      <w:r w:rsidRPr="006F7384">
        <w:rPr>
          <w:rStyle w:val="FootnoteReference"/>
        </w:rPr>
        <w:footnoteRef/>
      </w:r>
      <w:r w:rsidRPr="006F7384">
        <w:rPr>
          <w:rtl/>
        </w:rPr>
        <w:t xml:space="preserve"> </w:t>
      </w:r>
      <w:r w:rsidRPr="006F7384">
        <w:rPr>
          <w:rFonts w:asciiTheme="majorBidi" w:hAnsiTheme="majorBidi" w:cstheme="majorBidi"/>
          <w:smallCaps/>
        </w:rPr>
        <w:t>Aharonov</w:t>
      </w:r>
      <w:r w:rsidRPr="006F7384">
        <w:rPr>
          <w:rFonts w:asciiTheme="majorBidi" w:hAnsiTheme="majorBidi" w:cstheme="majorBidi"/>
        </w:rPr>
        <w:t xml:space="preserve"> case, supra note </w:t>
      </w:r>
      <w:r w:rsidRPr="006F7384">
        <w:rPr>
          <w:rFonts w:asciiTheme="majorBidi" w:hAnsiTheme="majorBidi" w:cstheme="majorBidi"/>
        </w:rPr>
        <w:fldChar w:fldCharType="begin"/>
      </w:r>
      <w:r w:rsidRPr="006F7384">
        <w:rPr>
          <w:rFonts w:asciiTheme="majorBidi" w:hAnsiTheme="majorBidi" w:cstheme="majorBidi"/>
        </w:rPr>
        <w:instrText xml:space="preserve"> NOTEREF _Ref517949871 \h </w:instrText>
      </w:r>
      <w:r w:rsidRPr="006F7384">
        <w:rPr>
          <w:rFonts w:asciiTheme="majorBidi" w:hAnsiTheme="majorBidi" w:cstheme="majorBidi"/>
        </w:rPr>
      </w:r>
      <w:r w:rsidRPr="006F7384">
        <w:rPr>
          <w:rFonts w:asciiTheme="majorBidi" w:hAnsiTheme="majorBidi" w:cstheme="majorBidi"/>
        </w:rPr>
        <w:fldChar w:fldCharType="separate"/>
      </w:r>
      <w:r w:rsidRPr="006F7384">
        <w:rPr>
          <w:rFonts w:asciiTheme="majorBidi" w:hAnsiTheme="majorBidi" w:cstheme="majorBidi"/>
        </w:rPr>
        <w:t>1</w:t>
      </w:r>
      <w:r w:rsidRPr="006F7384">
        <w:rPr>
          <w:rFonts w:asciiTheme="majorBidi" w:hAnsiTheme="majorBidi" w:cstheme="majorBidi"/>
        </w:rPr>
        <w:fldChar w:fldCharType="end"/>
      </w:r>
      <w:r w:rsidRPr="006F7384">
        <w:rPr>
          <w:rFonts w:asciiTheme="majorBidi" w:hAnsiTheme="majorBidi" w:cstheme="majorBidi"/>
        </w:rPr>
        <w:t xml:space="preserve">, at </w:t>
      </w:r>
      <w:r w:rsidRPr="006F7384">
        <w:rPr>
          <w:rFonts w:asciiTheme="majorBidi" w:hAnsiTheme="majorBidi" w:cstheme="majorBidi"/>
          <w:rtl/>
        </w:rPr>
        <w:t>244-245,249</w:t>
      </w:r>
      <w:r w:rsidRPr="006F7384">
        <w:rPr>
          <w:rFonts w:asciiTheme="majorBidi" w:hAnsiTheme="majorBidi" w:cstheme="majorBidi"/>
        </w:rPr>
        <w:t>.</w:t>
      </w:r>
    </w:p>
  </w:footnote>
  <w:footnote w:id="43">
    <w:p w14:paraId="100C93D2" w14:textId="77777777" w:rsidR="00F46426" w:rsidRPr="006F7384" w:rsidRDefault="00F46426" w:rsidP="006D3896">
      <w:pPr>
        <w:pStyle w:val="FootnoteText"/>
        <w:bidi w:val="0"/>
      </w:pPr>
      <w:r w:rsidRPr="006F7384">
        <w:rPr>
          <w:rStyle w:val="FootnoteReference"/>
        </w:rPr>
        <w:footnoteRef/>
      </w:r>
      <w:r w:rsidRPr="006F7384">
        <w:rPr>
          <w:rtl/>
        </w:rPr>
        <w:t xml:space="preserve"> </w:t>
      </w:r>
      <w:r w:rsidRPr="006F7384">
        <w:rPr>
          <w:rFonts w:asciiTheme="majorBidi" w:hAnsiTheme="majorBidi" w:cstheme="majorBidi"/>
        </w:rPr>
        <w:t xml:space="preserve">Ibid, at 232-235, </w:t>
      </w:r>
      <w:r w:rsidRPr="006F7384">
        <w:rPr>
          <w:rFonts w:asciiTheme="majorBidi" w:hAnsiTheme="majorBidi" w:cstheme="majorBidi"/>
          <w:rtl/>
        </w:rPr>
        <w:t>246-247</w:t>
      </w:r>
      <w:r w:rsidRPr="006F7384">
        <w:rPr>
          <w:rFonts w:asciiTheme="majorBidi" w:hAnsiTheme="majorBidi" w:cstheme="majorBidi"/>
        </w:rPr>
        <w:t xml:space="preserve">; CA 790/97 </w:t>
      </w:r>
      <w:r w:rsidRPr="006F7384">
        <w:rPr>
          <w:rFonts w:asciiTheme="majorBidi" w:hAnsiTheme="majorBidi" w:cstheme="majorBidi"/>
          <w:smallCaps/>
        </w:rPr>
        <w:t>United Mizrahi Bank Ltd. v. Gadi</w:t>
      </w:r>
      <w:r w:rsidRPr="006F7384">
        <w:rPr>
          <w:rFonts w:asciiTheme="majorBidi" w:hAnsiTheme="majorBidi" w:cstheme="majorBidi"/>
        </w:rPr>
        <w:t xml:space="preserve">, 59 </w:t>
      </w:r>
      <w:proofErr w:type="gramStart"/>
      <w:r w:rsidRPr="006F7384">
        <w:rPr>
          <w:rFonts w:asciiTheme="majorBidi" w:hAnsiTheme="majorBidi" w:cstheme="majorBidi"/>
        </w:rPr>
        <w:t>PD(</w:t>
      </w:r>
      <w:proofErr w:type="gramEnd"/>
      <w:r w:rsidRPr="006F7384">
        <w:rPr>
          <w:rFonts w:asciiTheme="majorBidi" w:hAnsiTheme="majorBidi" w:cstheme="majorBidi"/>
        </w:rPr>
        <w:t xml:space="preserve">3) 697, 707-710 (2004)(Hebrew)(Hereafter: </w:t>
      </w:r>
      <w:r w:rsidRPr="006F7384">
        <w:rPr>
          <w:rFonts w:asciiTheme="majorBidi" w:hAnsiTheme="majorBidi" w:cstheme="majorBidi"/>
          <w:smallCaps/>
        </w:rPr>
        <w:t>Gadi</w:t>
      </w:r>
      <w:r w:rsidRPr="006F7384">
        <w:rPr>
          <w:rFonts w:asciiTheme="majorBidi" w:hAnsiTheme="majorBidi" w:cstheme="majorBidi"/>
        </w:rPr>
        <w:t xml:space="preserve"> case); Dagan </w:t>
      </w:r>
      <w:r w:rsidRPr="006F7384">
        <w:rPr>
          <w:rFonts w:asciiTheme="majorBidi" w:hAnsiTheme="majorBidi" w:cstheme="majorBidi"/>
          <w:i/>
          <w:iCs/>
        </w:rPr>
        <w:t>Codification</w:t>
      </w:r>
      <w:r w:rsidRPr="006F7384">
        <w:rPr>
          <w:rFonts w:asciiTheme="majorBidi" w:hAnsiTheme="majorBidi" w:cstheme="majorBidi"/>
        </w:rPr>
        <w:t xml:space="preserve"> , supra note </w:t>
      </w:r>
      <w:r w:rsidRPr="006F7384">
        <w:rPr>
          <w:rFonts w:asciiTheme="majorBidi" w:hAnsiTheme="majorBidi" w:cstheme="majorBidi"/>
        </w:rPr>
        <w:fldChar w:fldCharType="begin"/>
      </w:r>
      <w:r w:rsidRPr="006F7384">
        <w:rPr>
          <w:rFonts w:asciiTheme="majorBidi" w:hAnsiTheme="majorBidi" w:cstheme="majorBidi"/>
        </w:rPr>
        <w:instrText xml:space="preserve"> NOTEREF _Ref518547722 \h </w:instrText>
      </w:r>
      <w:r w:rsidRPr="006F7384">
        <w:rPr>
          <w:rFonts w:asciiTheme="majorBidi" w:hAnsiTheme="majorBidi" w:cstheme="majorBidi"/>
        </w:rPr>
      </w:r>
      <w:r w:rsidRPr="006F7384">
        <w:rPr>
          <w:rFonts w:asciiTheme="majorBidi" w:hAnsiTheme="majorBidi" w:cstheme="majorBidi"/>
        </w:rPr>
        <w:fldChar w:fldCharType="separate"/>
      </w:r>
      <w:r w:rsidRPr="006F7384">
        <w:rPr>
          <w:rFonts w:asciiTheme="majorBidi" w:hAnsiTheme="majorBidi" w:cstheme="majorBidi"/>
        </w:rPr>
        <w:t>31</w:t>
      </w:r>
      <w:r w:rsidRPr="006F7384">
        <w:rPr>
          <w:rFonts w:asciiTheme="majorBidi" w:hAnsiTheme="majorBidi" w:cstheme="majorBidi"/>
        </w:rPr>
        <w:fldChar w:fldCharType="end"/>
      </w:r>
      <w:r w:rsidRPr="006F7384">
        <w:rPr>
          <w:rFonts w:asciiTheme="majorBidi" w:hAnsiTheme="majorBidi" w:cstheme="majorBidi"/>
        </w:rPr>
        <w:t>, at 169, 176-177.</w:t>
      </w:r>
    </w:p>
  </w:footnote>
  <w:footnote w:id="44">
    <w:p w14:paraId="4D8F9B4E" w14:textId="77777777" w:rsidR="00F46426" w:rsidRPr="006F7384" w:rsidRDefault="00F46426" w:rsidP="00E41E0C">
      <w:pPr>
        <w:pStyle w:val="FootnoteText"/>
        <w:bidi w:val="0"/>
      </w:pPr>
      <w:r w:rsidRPr="006F7384">
        <w:rPr>
          <w:rStyle w:val="FootnoteReference"/>
        </w:rPr>
        <w:footnoteRef/>
      </w:r>
      <w:r w:rsidRPr="006F7384">
        <w:rPr>
          <w:rtl/>
        </w:rPr>
        <w:t xml:space="preserve"> </w:t>
      </w:r>
      <w:r w:rsidRPr="006F7384">
        <w:rPr>
          <w:rFonts w:asciiTheme="majorBidi" w:hAnsiTheme="majorBidi" w:cstheme="majorBidi"/>
          <w:smallCaps/>
        </w:rPr>
        <w:t>Aharonov</w:t>
      </w:r>
      <w:r w:rsidRPr="006F7384">
        <w:rPr>
          <w:rFonts w:asciiTheme="majorBidi" w:hAnsiTheme="majorBidi" w:cstheme="majorBidi"/>
        </w:rPr>
        <w:t xml:space="preserve"> case, supra note </w:t>
      </w:r>
      <w:r w:rsidRPr="006F7384">
        <w:rPr>
          <w:rFonts w:asciiTheme="majorBidi" w:hAnsiTheme="majorBidi" w:cstheme="majorBidi"/>
        </w:rPr>
        <w:fldChar w:fldCharType="begin"/>
      </w:r>
      <w:r w:rsidRPr="006F7384">
        <w:rPr>
          <w:rFonts w:asciiTheme="majorBidi" w:hAnsiTheme="majorBidi" w:cstheme="majorBidi"/>
        </w:rPr>
        <w:instrText xml:space="preserve"> NOTEREF _Ref517949871 \h </w:instrText>
      </w:r>
      <w:r w:rsidRPr="006F7384">
        <w:rPr>
          <w:rFonts w:asciiTheme="majorBidi" w:hAnsiTheme="majorBidi" w:cstheme="majorBidi"/>
        </w:rPr>
      </w:r>
      <w:r w:rsidRPr="006F7384">
        <w:rPr>
          <w:rFonts w:asciiTheme="majorBidi" w:hAnsiTheme="majorBidi" w:cstheme="majorBidi"/>
        </w:rPr>
        <w:fldChar w:fldCharType="separate"/>
      </w:r>
      <w:r w:rsidRPr="006F7384">
        <w:rPr>
          <w:rFonts w:asciiTheme="majorBidi" w:hAnsiTheme="majorBidi" w:cstheme="majorBidi"/>
        </w:rPr>
        <w:t>1</w:t>
      </w:r>
      <w:r w:rsidRPr="006F7384">
        <w:rPr>
          <w:rFonts w:asciiTheme="majorBidi" w:hAnsiTheme="majorBidi" w:cstheme="majorBidi"/>
        </w:rPr>
        <w:fldChar w:fldCharType="end"/>
      </w:r>
      <w:r w:rsidRPr="006F7384">
        <w:rPr>
          <w:rFonts w:asciiTheme="majorBidi" w:hAnsiTheme="majorBidi" w:cstheme="majorBidi"/>
        </w:rPr>
        <w:t>, at 249.</w:t>
      </w:r>
    </w:p>
  </w:footnote>
  <w:footnote w:id="45">
    <w:p w14:paraId="1945EC22" w14:textId="77777777" w:rsidR="00F46426" w:rsidRPr="006F7384" w:rsidRDefault="00F46426" w:rsidP="004E40E9">
      <w:pPr>
        <w:pStyle w:val="FootnoteText"/>
        <w:bidi w:val="0"/>
      </w:pPr>
      <w:r w:rsidRPr="006F7384">
        <w:rPr>
          <w:rStyle w:val="FootnoteReference"/>
        </w:rPr>
        <w:footnoteRef/>
      </w:r>
      <w:r w:rsidRPr="006F7384">
        <w:rPr>
          <w:rtl/>
        </w:rPr>
        <w:t xml:space="preserve"> </w:t>
      </w:r>
      <w:r w:rsidRPr="006F7384">
        <w:t xml:space="preserve"> </w:t>
      </w:r>
      <w:r w:rsidRPr="006F7384">
        <w:rPr>
          <w:rFonts w:asciiTheme="majorBidi" w:hAnsiTheme="majorBidi" w:cstheme="majorBidi"/>
        </w:rPr>
        <w:t>Ibid, at 231</w:t>
      </w:r>
    </w:p>
  </w:footnote>
  <w:footnote w:id="46">
    <w:p w14:paraId="2A80A44D" w14:textId="77777777" w:rsidR="00F46426" w:rsidRPr="006F7384" w:rsidRDefault="00F46426" w:rsidP="00AE7674">
      <w:pPr>
        <w:pStyle w:val="FootnoteText"/>
        <w:bidi w:val="0"/>
      </w:pPr>
      <w:r w:rsidRPr="006F7384">
        <w:rPr>
          <w:rStyle w:val="FootnoteReference"/>
        </w:rPr>
        <w:footnoteRef/>
      </w:r>
      <w:r w:rsidRPr="006F7384">
        <w:rPr>
          <w:rtl/>
        </w:rPr>
        <w:t xml:space="preserve"> </w:t>
      </w:r>
      <w:r w:rsidRPr="006F7384">
        <w:rPr>
          <w:rFonts w:asciiTheme="majorBidi" w:hAnsiTheme="majorBidi" w:cstheme="majorBidi"/>
        </w:rPr>
        <w:t>Ibid, at 226.</w:t>
      </w:r>
    </w:p>
  </w:footnote>
  <w:footnote w:id="47">
    <w:p w14:paraId="242BF08C" w14:textId="77777777" w:rsidR="00F46426" w:rsidRPr="006F7384" w:rsidRDefault="00F46426" w:rsidP="00AE7674">
      <w:pPr>
        <w:pStyle w:val="FootnoteText"/>
        <w:bidi w:val="0"/>
      </w:pPr>
      <w:r w:rsidRPr="006F7384">
        <w:rPr>
          <w:rStyle w:val="FootnoteReference"/>
        </w:rPr>
        <w:footnoteRef/>
      </w:r>
      <w:r w:rsidRPr="006F7384">
        <w:rPr>
          <w:rtl/>
        </w:rPr>
        <w:t xml:space="preserve"> </w:t>
      </w:r>
      <w:r w:rsidRPr="006F7384">
        <w:rPr>
          <w:rFonts w:asciiTheme="majorBidi" w:hAnsiTheme="majorBidi" w:cstheme="majorBidi"/>
        </w:rPr>
        <w:t>Ibid, at 248, 251.</w:t>
      </w:r>
    </w:p>
  </w:footnote>
  <w:footnote w:id="48">
    <w:p w14:paraId="44B7E4C7" w14:textId="77777777" w:rsidR="00F46426" w:rsidRPr="006F7384" w:rsidRDefault="00F46426" w:rsidP="00DE5ED8">
      <w:pPr>
        <w:pStyle w:val="FootnoteText"/>
        <w:bidi w:val="0"/>
      </w:pPr>
      <w:r w:rsidRPr="006F7384">
        <w:rPr>
          <w:rStyle w:val="FootnoteReference"/>
        </w:rPr>
        <w:footnoteRef/>
      </w:r>
      <w:r w:rsidRPr="006F7384">
        <w:rPr>
          <w:rtl/>
        </w:rPr>
        <w:t xml:space="preserve"> </w:t>
      </w:r>
      <w:r w:rsidRPr="006F7384">
        <w:rPr>
          <w:rFonts w:asciiTheme="majorBidi" w:hAnsiTheme="majorBidi" w:cstheme="majorBidi"/>
        </w:rPr>
        <w:t>Ibid, at 227-230, 253-254.</w:t>
      </w:r>
    </w:p>
  </w:footnote>
  <w:footnote w:id="49">
    <w:p w14:paraId="5DD08FCA" w14:textId="05AFA880" w:rsidR="00F46426" w:rsidRPr="006F7384" w:rsidRDefault="00F46426" w:rsidP="00DE5ED8">
      <w:pPr>
        <w:pStyle w:val="FootnoteText"/>
        <w:bidi w:val="0"/>
      </w:pPr>
      <w:r w:rsidRPr="006F7384">
        <w:rPr>
          <w:rStyle w:val="FootnoteReference"/>
        </w:rPr>
        <w:footnoteRef/>
      </w:r>
      <w:r w:rsidRPr="006F7384">
        <w:rPr>
          <w:rtl/>
        </w:rPr>
        <w:t xml:space="preserve"> </w:t>
      </w:r>
      <w:r w:rsidRPr="006F7384">
        <w:rPr>
          <w:rFonts w:asciiTheme="majorBidi" w:hAnsiTheme="majorBidi" w:cstheme="majorBidi"/>
        </w:rPr>
        <w:t xml:space="preserve">F.H. 30/67 </w:t>
      </w:r>
      <w:r w:rsidRPr="006F7384">
        <w:rPr>
          <w:rFonts w:asciiTheme="majorBidi" w:hAnsiTheme="majorBidi" w:cstheme="majorBidi"/>
          <w:smallCaps/>
        </w:rPr>
        <w:t>Stern v. Stern</w:t>
      </w:r>
      <w:r w:rsidRPr="006F7384">
        <w:rPr>
          <w:rFonts w:asciiTheme="majorBidi" w:hAnsiTheme="majorBidi" w:cstheme="majorBidi"/>
        </w:rPr>
        <w:t xml:space="preserve"> PD 22(2) 36, 49 (1968)</w:t>
      </w:r>
      <w:r w:rsidR="00DB7CE6">
        <w:rPr>
          <w:rFonts w:asciiTheme="majorBidi" w:hAnsiTheme="majorBidi" w:cstheme="majorBidi"/>
        </w:rPr>
        <w:t xml:space="preserve"> </w:t>
      </w:r>
      <w:r w:rsidRPr="006F7384">
        <w:rPr>
          <w:rFonts w:asciiTheme="majorBidi" w:hAnsiTheme="majorBidi" w:cstheme="majorBidi"/>
        </w:rPr>
        <w:t>(Hebrew).</w:t>
      </w:r>
    </w:p>
  </w:footnote>
  <w:footnote w:id="50">
    <w:p w14:paraId="25292EFF" w14:textId="77777777" w:rsidR="00F46426" w:rsidRPr="006F7384" w:rsidRDefault="00F46426" w:rsidP="005426F7">
      <w:pPr>
        <w:pStyle w:val="FootnoteText"/>
        <w:bidi w:val="0"/>
      </w:pPr>
      <w:r w:rsidRPr="006F7384">
        <w:rPr>
          <w:rStyle w:val="FootnoteReference"/>
        </w:rPr>
        <w:footnoteRef/>
      </w:r>
      <w:r w:rsidRPr="006F7384">
        <w:rPr>
          <w:rtl/>
        </w:rPr>
        <w:t xml:space="preserve"> </w:t>
      </w:r>
      <w:r w:rsidRPr="006F7384">
        <w:rPr>
          <w:rFonts w:asciiTheme="majorBidi" w:hAnsiTheme="majorBidi" w:cstheme="majorBidi"/>
          <w:color w:val="333333"/>
        </w:rPr>
        <w:t xml:space="preserve">C.A. 5955/09 </w:t>
      </w:r>
      <w:r w:rsidRPr="006F7384">
        <w:rPr>
          <w:rFonts w:asciiTheme="majorBidi" w:hAnsiTheme="majorBidi" w:cstheme="majorBidi"/>
          <w:smallCaps/>
          <w:color w:val="333333"/>
        </w:rPr>
        <w:t>The Receiver v. Tauber</w:t>
      </w:r>
      <w:r w:rsidRPr="006F7384">
        <w:rPr>
          <w:rFonts w:asciiTheme="majorBidi" w:hAnsiTheme="majorBidi" w:cstheme="majorBidi"/>
          <w:color w:val="333333"/>
        </w:rPr>
        <w:t xml:space="preserve"> (Nevo, 19.7.2011)(Hebrew); George Rosenberg, Niv Goldstein </w:t>
      </w:r>
      <w:r w:rsidRPr="006F7384">
        <w:rPr>
          <w:rFonts w:asciiTheme="majorBidi" w:hAnsiTheme="majorBidi" w:cstheme="majorBidi"/>
          <w:i/>
          <w:iCs/>
          <w:color w:val="333333"/>
        </w:rPr>
        <w:t>Bank Leumi Le’Israel Ltd v Tauber - Israel Supreme Court judgment on trust law</w:t>
      </w:r>
      <w:r w:rsidRPr="006F7384">
        <w:rPr>
          <w:rFonts w:asciiTheme="majorBidi" w:hAnsiTheme="majorBidi" w:cstheme="majorBidi"/>
          <w:color w:val="333333"/>
        </w:rPr>
        <w:t xml:space="preserve">, 10(2) </w:t>
      </w:r>
      <w:r w:rsidRPr="006F7384">
        <w:rPr>
          <w:rFonts w:asciiTheme="majorBidi" w:hAnsiTheme="majorBidi" w:cstheme="majorBidi"/>
          <w:smallCaps/>
          <w:color w:val="333333"/>
        </w:rPr>
        <w:t>Trust Quarterly Review</w:t>
      </w:r>
      <w:r w:rsidRPr="006F7384">
        <w:rPr>
          <w:rFonts w:asciiTheme="majorBidi" w:hAnsiTheme="majorBidi" w:cstheme="majorBidi"/>
          <w:color w:val="333333"/>
        </w:rPr>
        <w:t xml:space="preserve"> 9, 10-12 (2012); Insolvency case (Jerusalem District Court) 5250/08 </w:t>
      </w:r>
      <w:r w:rsidRPr="006F7384">
        <w:rPr>
          <w:rFonts w:asciiTheme="majorBidi" w:hAnsiTheme="majorBidi" w:cstheme="majorBidi"/>
          <w:smallCaps/>
          <w:color w:val="333333"/>
        </w:rPr>
        <w:t>Frenkel v. Kastenbaum</w:t>
      </w:r>
      <w:r w:rsidRPr="006F7384">
        <w:rPr>
          <w:rFonts w:asciiTheme="majorBidi" w:hAnsiTheme="majorBidi" w:cstheme="majorBidi"/>
          <w:color w:val="333333"/>
        </w:rPr>
        <w:t xml:space="preserve"> (Nevo, 3.4.2011)(Hebrew).</w:t>
      </w:r>
    </w:p>
  </w:footnote>
  <w:footnote w:id="51">
    <w:p w14:paraId="37FCB4B8" w14:textId="77777777" w:rsidR="00F46426" w:rsidRPr="006F7384" w:rsidRDefault="00F46426" w:rsidP="005426F7">
      <w:pPr>
        <w:pStyle w:val="FootnoteText"/>
        <w:bidi w:val="0"/>
      </w:pPr>
      <w:r w:rsidRPr="006F7384">
        <w:rPr>
          <w:rStyle w:val="FootnoteReference"/>
        </w:rPr>
        <w:footnoteRef/>
      </w:r>
      <w:r w:rsidRPr="006F7384">
        <w:rPr>
          <w:rtl/>
        </w:rPr>
        <w:t xml:space="preserve"> </w:t>
      </w:r>
      <w:r w:rsidRPr="006F7384">
        <w:rPr>
          <w:rFonts w:asciiTheme="majorBidi" w:hAnsiTheme="majorBidi" w:cstheme="majorBidi"/>
        </w:rPr>
        <w:t xml:space="preserve">C.A. 3911/01 </w:t>
      </w:r>
      <w:r w:rsidRPr="006F7384">
        <w:rPr>
          <w:rFonts w:asciiTheme="majorBidi" w:hAnsiTheme="majorBidi" w:cstheme="majorBidi"/>
          <w:smallCaps/>
        </w:rPr>
        <w:t>Kaspi v. Nes</w:t>
      </w:r>
      <w:r w:rsidRPr="006F7384">
        <w:rPr>
          <w:rFonts w:asciiTheme="majorBidi" w:hAnsiTheme="majorBidi" w:cstheme="majorBidi"/>
        </w:rPr>
        <w:t>, 56(6) PD 752, 760-761 (2002).</w:t>
      </w:r>
    </w:p>
  </w:footnote>
  <w:footnote w:id="52">
    <w:p w14:paraId="74ADC6A4" w14:textId="77777777" w:rsidR="00F46426" w:rsidRPr="006F7384" w:rsidRDefault="00F46426" w:rsidP="005426F7">
      <w:pPr>
        <w:pStyle w:val="FootnoteText"/>
        <w:bidi w:val="0"/>
      </w:pPr>
      <w:r w:rsidRPr="006F7384">
        <w:rPr>
          <w:rStyle w:val="FootnoteReference"/>
        </w:rPr>
        <w:footnoteRef/>
      </w:r>
      <w:r w:rsidRPr="006F7384">
        <w:rPr>
          <w:rtl/>
        </w:rPr>
        <w:t xml:space="preserve"> </w:t>
      </w:r>
      <w:r w:rsidRPr="006F7384">
        <w:rPr>
          <w:rFonts w:asciiTheme="majorBidi" w:hAnsiTheme="majorBidi" w:cstheme="majorBidi"/>
        </w:rPr>
        <w:t xml:space="preserve">C.A. 11502/05 </w:t>
      </w:r>
      <w:r w:rsidRPr="006F7384">
        <w:rPr>
          <w:rFonts w:asciiTheme="majorBidi" w:hAnsiTheme="majorBidi" w:cstheme="majorBidi"/>
          <w:smallCaps/>
        </w:rPr>
        <w:t>Lanyado v. Holland Israel Ltd</w:t>
      </w:r>
      <w:r w:rsidRPr="006F7384">
        <w:rPr>
          <w:rFonts w:asciiTheme="majorBidi" w:hAnsiTheme="majorBidi" w:cstheme="majorBidi"/>
        </w:rPr>
        <w:t>. (Nevo, 24.2.2008</w:t>
      </w:r>
      <w:proofErr w:type="gramStart"/>
      <w:r w:rsidRPr="006F7384">
        <w:rPr>
          <w:rFonts w:asciiTheme="majorBidi" w:hAnsiTheme="majorBidi" w:cstheme="majorBidi"/>
        </w:rPr>
        <w:t>)(</w:t>
      </w:r>
      <w:proofErr w:type="gramEnd"/>
      <w:r w:rsidRPr="006F7384">
        <w:rPr>
          <w:rFonts w:asciiTheme="majorBidi" w:hAnsiTheme="majorBidi" w:cstheme="majorBidi"/>
        </w:rPr>
        <w:t>Hebrew).</w:t>
      </w:r>
    </w:p>
  </w:footnote>
  <w:footnote w:id="53">
    <w:p w14:paraId="49AA6C93" w14:textId="77777777" w:rsidR="00F46426" w:rsidRPr="006F7384" w:rsidRDefault="00F46426" w:rsidP="005426F7">
      <w:pPr>
        <w:pStyle w:val="FootnoteText"/>
        <w:bidi w:val="0"/>
      </w:pPr>
      <w:r w:rsidRPr="006F7384">
        <w:rPr>
          <w:rStyle w:val="FootnoteReference"/>
        </w:rPr>
        <w:footnoteRef/>
      </w:r>
      <w:r w:rsidRPr="006F7384">
        <w:rPr>
          <w:rtl/>
        </w:rPr>
        <w:t xml:space="preserve"> </w:t>
      </w:r>
      <w:r w:rsidRPr="006F7384">
        <w:rPr>
          <w:rFonts w:asciiTheme="majorBidi" w:hAnsiTheme="majorBidi" w:cstheme="majorBidi"/>
        </w:rPr>
        <w:t xml:space="preserve">C.A. 1559/99 </w:t>
      </w:r>
      <w:r w:rsidRPr="006F7384">
        <w:rPr>
          <w:rFonts w:asciiTheme="majorBidi" w:hAnsiTheme="majorBidi" w:cstheme="majorBidi"/>
          <w:smallCaps/>
        </w:rPr>
        <w:t>Zimbler v. Turgeman</w:t>
      </w:r>
      <w:r w:rsidRPr="006F7384">
        <w:rPr>
          <w:rFonts w:asciiTheme="majorBidi" w:hAnsiTheme="majorBidi" w:cstheme="majorBidi"/>
        </w:rPr>
        <w:t>, 57(5) PD 49, 63-67 (2003</w:t>
      </w:r>
      <w:proofErr w:type="gramStart"/>
      <w:r w:rsidRPr="006F7384">
        <w:rPr>
          <w:rFonts w:asciiTheme="majorBidi" w:hAnsiTheme="majorBidi" w:cstheme="majorBidi"/>
        </w:rPr>
        <w:t>)(</w:t>
      </w:r>
      <w:proofErr w:type="gramEnd"/>
      <w:r w:rsidRPr="006F7384">
        <w:rPr>
          <w:rFonts w:asciiTheme="majorBidi" w:hAnsiTheme="majorBidi" w:cstheme="majorBidi"/>
        </w:rPr>
        <w:t xml:space="preserve">Hebrew); Nili Cohen </w:t>
      </w:r>
      <w:r w:rsidRPr="006F7384">
        <w:rPr>
          <w:rFonts w:asciiTheme="majorBidi" w:hAnsiTheme="majorBidi" w:cstheme="majorBidi"/>
          <w:i/>
          <w:iCs/>
        </w:rPr>
        <w:t xml:space="preserve">Distributive Justice in the Enforcement of Contracts </w:t>
      </w:r>
      <w:r w:rsidRPr="006F7384">
        <w:rPr>
          <w:rFonts w:asciiTheme="majorBidi" w:hAnsiTheme="majorBidi" w:cstheme="majorBidi"/>
          <w:smallCaps/>
        </w:rPr>
        <w:t>Festschrift filr Gunther Kuhne zum 70. Geburtstag</w:t>
      </w:r>
      <w:r w:rsidRPr="006F7384">
        <w:rPr>
          <w:rFonts w:asciiTheme="majorBidi" w:hAnsiTheme="majorBidi" w:cstheme="majorBidi"/>
        </w:rPr>
        <w:t>, 971, 1002 (H.Erausgcgcben et al eds., Verlag Recht und Wirtschaft GmbH Frankfurt am Main 2009).</w:t>
      </w:r>
    </w:p>
  </w:footnote>
  <w:footnote w:id="54">
    <w:p w14:paraId="2A142BEE" w14:textId="77777777" w:rsidR="00F46426" w:rsidRPr="006F7384" w:rsidRDefault="00F46426" w:rsidP="00D207E0">
      <w:pPr>
        <w:pStyle w:val="FootnoteText"/>
        <w:bidi w:val="0"/>
      </w:pPr>
      <w:r w:rsidRPr="006F7384">
        <w:rPr>
          <w:rStyle w:val="FootnoteReference"/>
        </w:rPr>
        <w:footnoteRef/>
      </w:r>
      <w:r w:rsidRPr="006F7384">
        <w:rPr>
          <w:rtl/>
        </w:rPr>
        <w:t xml:space="preserve"> </w:t>
      </w:r>
      <w:r w:rsidRPr="006F7384">
        <w:rPr>
          <w:rFonts w:asciiTheme="majorBidi" w:hAnsiTheme="majorBidi" w:cstheme="majorBidi"/>
        </w:rPr>
        <w:t xml:space="preserve">Ralph A. Newman, </w:t>
      </w:r>
      <w:proofErr w:type="gramStart"/>
      <w:r w:rsidRPr="006F7384">
        <w:rPr>
          <w:rFonts w:asciiTheme="majorBidi" w:hAnsiTheme="majorBidi" w:cstheme="majorBidi"/>
          <w:i/>
          <w:iCs/>
        </w:rPr>
        <w:t>The</w:t>
      </w:r>
      <w:proofErr w:type="gramEnd"/>
      <w:r w:rsidRPr="006F7384">
        <w:rPr>
          <w:rFonts w:asciiTheme="majorBidi" w:hAnsiTheme="majorBidi" w:cstheme="majorBidi"/>
          <w:i/>
          <w:iCs/>
        </w:rPr>
        <w:t xml:space="preserve"> Principles of Equity as a Source of World Law</w:t>
      </w:r>
      <w:r w:rsidRPr="006F7384">
        <w:rPr>
          <w:rFonts w:asciiTheme="majorBidi" w:hAnsiTheme="majorBidi" w:cstheme="majorBidi"/>
        </w:rPr>
        <w:t xml:space="preserve">, 4 </w:t>
      </w:r>
      <w:r w:rsidRPr="006F7384">
        <w:rPr>
          <w:rFonts w:asciiTheme="majorBidi" w:hAnsiTheme="majorBidi" w:cstheme="majorBidi"/>
          <w:smallCaps/>
        </w:rPr>
        <w:t>Israel Law Review</w:t>
      </w:r>
      <w:r w:rsidRPr="006F7384">
        <w:rPr>
          <w:rFonts w:asciiTheme="majorBidi" w:hAnsiTheme="majorBidi" w:cstheme="majorBidi"/>
        </w:rPr>
        <w:t xml:space="preserve"> 616, (1966).</w:t>
      </w:r>
    </w:p>
  </w:footnote>
  <w:footnote w:id="55">
    <w:p w14:paraId="0AF5D077" w14:textId="77777777" w:rsidR="00F46426" w:rsidRPr="006F7384" w:rsidRDefault="00F46426" w:rsidP="001B1CD0">
      <w:pPr>
        <w:pStyle w:val="FootnoteText"/>
        <w:bidi w:val="0"/>
      </w:pPr>
      <w:r w:rsidRPr="006F7384">
        <w:rPr>
          <w:rStyle w:val="FootnoteReference"/>
        </w:rPr>
        <w:footnoteRef/>
      </w:r>
      <w:r w:rsidRPr="006F7384">
        <w:rPr>
          <w:rtl/>
        </w:rPr>
        <w:t xml:space="preserve"> </w:t>
      </w:r>
      <w:r w:rsidRPr="006F7384">
        <w:rPr>
          <w:rFonts w:asciiTheme="majorBidi" w:hAnsiTheme="majorBidi" w:cstheme="majorBidi"/>
          <w:smallCaps/>
        </w:rPr>
        <w:t>Snell's Equity</w:t>
      </w:r>
      <w:r w:rsidRPr="006F7384">
        <w:rPr>
          <w:rFonts w:asciiTheme="majorBidi" w:hAnsiTheme="majorBidi" w:cstheme="majorBidi"/>
        </w:rPr>
        <w:t xml:space="preserve"> 387 (32nd ed. John McGee ed. 2010</w:t>
      </w:r>
      <w:r w:rsidRPr="006F7384">
        <w:rPr>
          <w:lang w:bidi="ar-SY"/>
        </w:rPr>
        <w:t>).</w:t>
      </w:r>
    </w:p>
  </w:footnote>
  <w:footnote w:id="56">
    <w:p w14:paraId="134B090D" w14:textId="77777777" w:rsidR="00F46426" w:rsidRPr="006F7384" w:rsidRDefault="00F46426" w:rsidP="001B1CD0">
      <w:pPr>
        <w:pStyle w:val="FootnoteText"/>
        <w:bidi w:val="0"/>
      </w:pPr>
      <w:r w:rsidRPr="006F7384">
        <w:rPr>
          <w:rStyle w:val="FootnoteReference"/>
        </w:rPr>
        <w:footnoteRef/>
      </w:r>
      <w:r w:rsidRPr="006F7384">
        <w:rPr>
          <w:rtl/>
        </w:rPr>
        <w:t xml:space="preserve"> </w:t>
      </w:r>
      <w:r w:rsidRPr="006F7384">
        <w:rPr>
          <w:rFonts w:asciiTheme="majorBidi" w:hAnsiTheme="majorBidi" w:cstheme="majorBidi"/>
        </w:rPr>
        <w:t xml:space="preserve">C. A. 2643/97 </w:t>
      </w:r>
      <w:r w:rsidRPr="006F7384">
        <w:rPr>
          <w:rFonts w:asciiTheme="majorBidi" w:hAnsiTheme="majorBidi" w:cstheme="majorBidi"/>
          <w:smallCaps/>
        </w:rPr>
        <w:t>Ganz v. British &amp; Colonial</w:t>
      </w:r>
      <w:r w:rsidRPr="006F7384">
        <w:rPr>
          <w:rFonts w:asciiTheme="majorBidi" w:hAnsiTheme="majorBidi" w:cstheme="majorBidi"/>
        </w:rPr>
        <w:t xml:space="preserve"> 57(2) P. D. 385 (2003</w:t>
      </w:r>
      <w:proofErr w:type="gramStart"/>
      <w:r w:rsidRPr="006F7384">
        <w:rPr>
          <w:rFonts w:asciiTheme="majorBidi" w:hAnsiTheme="majorBidi" w:cstheme="majorBidi"/>
        </w:rPr>
        <w:t>)(</w:t>
      </w:r>
      <w:proofErr w:type="gramEnd"/>
      <w:r w:rsidRPr="006F7384">
        <w:rPr>
          <w:rFonts w:asciiTheme="majorBidi" w:hAnsiTheme="majorBidi" w:cstheme="majorBidi"/>
        </w:rPr>
        <w:t xml:space="preserve">Hereafter: </w:t>
      </w:r>
      <w:r w:rsidRPr="006F7384">
        <w:rPr>
          <w:rFonts w:asciiTheme="majorBidi" w:hAnsiTheme="majorBidi" w:cstheme="majorBidi"/>
          <w:smallCaps/>
        </w:rPr>
        <w:t>Ganz</w:t>
      </w:r>
      <w:r w:rsidRPr="006F7384">
        <w:rPr>
          <w:rFonts w:asciiTheme="majorBidi" w:hAnsiTheme="majorBidi" w:cstheme="majorBidi"/>
        </w:rPr>
        <w:t xml:space="preserve"> case).</w:t>
      </w:r>
    </w:p>
  </w:footnote>
  <w:footnote w:id="57">
    <w:p w14:paraId="40A6E475" w14:textId="77777777" w:rsidR="00F46426" w:rsidRPr="006F7384" w:rsidRDefault="00F46426" w:rsidP="00923CAC">
      <w:pPr>
        <w:pStyle w:val="FootnoteText"/>
        <w:bidi w:val="0"/>
      </w:pPr>
      <w:r w:rsidRPr="006F7384">
        <w:rPr>
          <w:rStyle w:val="FootnoteReference"/>
        </w:rPr>
        <w:footnoteRef/>
      </w:r>
      <w:r w:rsidRPr="006F7384">
        <w:rPr>
          <w:rtl/>
        </w:rPr>
        <w:t xml:space="preserve"> </w:t>
      </w:r>
      <w:r w:rsidRPr="006F7384">
        <w:rPr>
          <w:rFonts w:asciiTheme="majorBidi" w:hAnsiTheme="majorBidi" w:cstheme="majorBidi"/>
        </w:rPr>
        <w:t>Ibid, at 391-392.</w:t>
      </w:r>
    </w:p>
  </w:footnote>
  <w:footnote w:id="58">
    <w:p w14:paraId="5D9720D6" w14:textId="77777777" w:rsidR="00F46426" w:rsidRPr="006F7384" w:rsidRDefault="00F46426" w:rsidP="00D23324">
      <w:pPr>
        <w:pStyle w:val="FootnoteText"/>
        <w:bidi w:val="0"/>
      </w:pPr>
      <w:r w:rsidRPr="006F7384">
        <w:rPr>
          <w:rStyle w:val="FootnoteReference"/>
        </w:rPr>
        <w:footnoteRef/>
      </w:r>
      <w:r w:rsidRPr="006F7384">
        <w:rPr>
          <w:rtl/>
        </w:rPr>
        <w:t xml:space="preserve"> </w:t>
      </w:r>
      <w:r w:rsidRPr="006F7384">
        <w:rPr>
          <w:rFonts w:asciiTheme="majorBidi" w:hAnsiTheme="majorBidi" w:cstheme="majorBidi"/>
        </w:rPr>
        <w:t xml:space="preserve">Supra note </w:t>
      </w:r>
      <w:r w:rsidRPr="006F7384">
        <w:rPr>
          <w:rFonts w:asciiTheme="majorBidi" w:hAnsiTheme="majorBidi" w:cstheme="majorBidi"/>
        </w:rPr>
        <w:fldChar w:fldCharType="begin"/>
      </w:r>
      <w:r w:rsidRPr="006F7384">
        <w:rPr>
          <w:rFonts w:asciiTheme="majorBidi" w:hAnsiTheme="majorBidi" w:cstheme="majorBidi"/>
        </w:rPr>
        <w:instrText xml:space="preserve"> NOTEREF _Ref518552316 \h </w:instrText>
      </w:r>
      <w:r w:rsidRPr="006F7384">
        <w:rPr>
          <w:rFonts w:asciiTheme="majorBidi" w:hAnsiTheme="majorBidi" w:cstheme="majorBidi"/>
        </w:rPr>
      </w:r>
      <w:r w:rsidRPr="006F7384">
        <w:rPr>
          <w:rFonts w:asciiTheme="majorBidi" w:hAnsiTheme="majorBidi" w:cstheme="majorBidi"/>
        </w:rPr>
        <w:fldChar w:fldCharType="separate"/>
      </w:r>
      <w:r w:rsidRPr="006F7384">
        <w:rPr>
          <w:rFonts w:asciiTheme="majorBidi" w:hAnsiTheme="majorBidi" w:cstheme="majorBidi"/>
        </w:rPr>
        <w:t>32</w:t>
      </w:r>
      <w:r w:rsidRPr="006F7384">
        <w:rPr>
          <w:rFonts w:asciiTheme="majorBidi" w:hAnsiTheme="majorBidi" w:cstheme="majorBidi"/>
        </w:rPr>
        <w:fldChar w:fldCharType="end"/>
      </w:r>
      <w:r w:rsidRPr="006F7384">
        <w:rPr>
          <w:rFonts w:asciiTheme="majorBidi" w:hAnsiTheme="majorBidi" w:cstheme="majorBidi"/>
        </w:rPr>
        <w:t>.</w:t>
      </w:r>
    </w:p>
  </w:footnote>
  <w:footnote w:id="59">
    <w:p w14:paraId="09D3A4C3" w14:textId="2E13084A" w:rsidR="00F46426" w:rsidRPr="006F7384" w:rsidRDefault="00F46426" w:rsidP="00513189">
      <w:pPr>
        <w:pStyle w:val="FootnoteText"/>
        <w:bidi w:val="0"/>
      </w:pPr>
      <w:r w:rsidRPr="006F7384">
        <w:rPr>
          <w:rStyle w:val="FootnoteReference"/>
        </w:rPr>
        <w:footnoteRef/>
      </w:r>
      <w:r w:rsidRPr="006F7384">
        <w:rPr>
          <w:rtl/>
        </w:rPr>
        <w:t xml:space="preserve"> </w:t>
      </w:r>
      <w:r w:rsidRPr="006F7384">
        <w:rPr>
          <w:rFonts w:asciiTheme="majorBidi" w:hAnsiTheme="majorBidi" w:cstheme="majorBidi"/>
        </w:rPr>
        <w:t>Dagan</w:t>
      </w:r>
      <w:r w:rsidR="00871BC5" w:rsidRPr="006F7384">
        <w:rPr>
          <w:rFonts w:asciiTheme="majorBidi" w:hAnsiTheme="majorBidi" w:cstheme="majorBidi"/>
        </w:rPr>
        <w:t>,</w:t>
      </w:r>
      <w:r w:rsidRPr="006F7384">
        <w:rPr>
          <w:rFonts w:asciiTheme="majorBidi" w:hAnsiTheme="majorBidi" w:cstheme="majorBidi"/>
        </w:rPr>
        <w:t xml:space="preserve"> </w:t>
      </w:r>
      <w:r w:rsidRPr="006F7384">
        <w:rPr>
          <w:rFonts w:asciiTheme="majorBidi" w:hAnsiTheme="majorBidi" w:cstheme="majorBidi"/>
          <w:i/>
          <w:iCs/>
        </w:rPr>
        <w:t>Codification</w:t>
      </w:r>
      <w:r w:rsidRPr="006F7384">
        <w:rPr>
          <w:rFonts w:asciiTheme="majorBidi" w:hAnsiTheme="majorBidi" w:cstheme="majorBidi"/>
        </w:rPr>
        <w:t>,</w:t>
      </w:r>
      <w:r w:rsidR="00871BC5" w:rsidRPr="006F7384">
        <w:rPr>
          <w:rFonts w:asciiTheme="majorBidi" w:hAnsiTheme="majorBidi" w:cstheme="majorBidi"/>
        </w:rPr>
        <w:t xml:space="preserve"> </w:t>
      </w:r>
      <w:r w:rsidRPr="006F7384">
        <w:rPr>
          <w:rFonts w:asciiTheme="majorBidi" w:hAnsiTheme="majorBidi" w:cstheme="majorBidi"/>
        </w:rPr>
        <w:t xml:space="preserve">supra note </w:t>
      </w:r>
      <w:r w:rsidRPr="006F7384">
        <w:rPr>
          <w:rFonts w:asciiTheme="majorBidi" w:hAnsiTheme="majorBidi" w:cstheme="majorBidi"/>
        </w:rPr>
        <w:fldChar w:fldCharType="begin"/>
      </w:r>
      <w:r w:rsidRPr="006F7384">
        <w:rPr>
          <w:rFonts w:asciiTheme="majorBidi" w:hAnsiTheme="majorBidi" w:cstheme="majorBidi"/>
        </w:rPr>
        <w:instrText xml:space="preserve"> NOTEREF _Ref518547722 \h </w:instrText>
      </w:r>
      <w:r w:rsidRPr="006F7384">
        <w:rPr>
          <w:rFonts w:asciiTheme="majorBidi" w:hAnsiTheme="majorBidi" w:cstheme="majorBidi"/>
        </w:rPr>
      </w:r>
      <w:r w:rsidRPr="006F7384">
        <w:rPr>
          <w:rFonts w:asciiTheme="majorBidi" w:hAnsiTheme="majorBidi" w:cstheme="majorBidi"/>
        </w:rPr>
        <w:fldChar w:fldCharType="separate"/>
      </w:r>
      <w:r w:rsidRPr="006F7384">
        <w:rPr>
          <w:rFonts w:asciiTheme="majorBidi" w:hAnsiTheme="majorBidi" w:cstheme="majorBidi"/>
        </w:rPr>
        <w:t>3</w:t>
      </w:r>
      <w:r w:rsidRPr="006F7384">
        <w:rPr>
          <w:rFonts w:asciiTheme="majorBidi" w:hAnsiTheme="majorBidi" w:cstheme="majorBidi"/>
        </w:rPr>
        <w:t>1</w:t>
      </w:r>
      <w:r w:rsidRPr="006F7384">
        <w:rPr>
          <w:rFonts w:asciiTheme="majorBidi" w:hAnsiTheme="majorBidi" w:cstheme="majorBidi"/>
        </w:rPr>
        <w:fldChar w:fldCharType="end"/>
      </w:r>
      <w:r w:rsidRPr="006F7384">
        <w:rPr>
          <w:rFonts w:asciiTheme="majorBidi" w:hAnsiTheme="majorBidi" w:cstheme="majorBidi"/>
        </w:rPr>
        <w:t>, at 161-162, 172; Menachem Mautner</w:t>
      </w:r>
      <w:r w:rsidR="00871BC5" w:rsidRPr="006F7384">
        <w:rPr>
          <w:rFonts w:asciiTheme="majorBidi" w:hAnsiTheme="majorBidi" w:cstheme="majorBidi"/>
        </w:rPr>
        <w:t>,</w:t>
      </w:r>
      <w:r w:rsidRPr="006F7384">
        <w:rPr>
          <w:rFonts w:asciiTheme="majorBidi" w:hAnsiTheme="majorBidi" w:cstheme="majorBidi"/>
        </w:rPr>
        <w:t xml:space="preserve"> </w:t>
      </w:r>
      <w:r w:rsidRPr="006F7384">
        <w:rPr>
          <w:rFonts w:asciiTheme="majorBidi" w:hAnsiTheme="majorBidi" w:cstheme="majorBidi"/>
          <w:i/>
          <w:iCs/>
        </w:rPr>
        <w:t>The eternal triangle of the law: Toward a theory of priorities in conflicts involving remote parties</w:t>
      </w:r>
      <w:r w:rsidRPr="006F7384">
        <w:rPr>
          <w:rFonts w:asciiTheme="majorBidi" w:hAnsiTheme="majorBidi" w:cstheme="majorBidi"/>
        </w:rPr>
        <w:t xml:space="preserve"> 90 </w:t>
      </w:r>
      <w:r w:rsidRPr="006F7384">
        <w:rPr>
          <w:rFonts w:asciiTheme="majorBidi" w:hAnsiTheme="majorBidi" w:cstheme="majorBidi"/>
          <w:smallCaps/>
        </w:rPr>
        <w:t>Mich. L. Rev.</w:t>
      </w:r>
      <w:r w:rsidRPr="006F7384">
        <w:rPr>
          <w:rFonts w:asciiTheme="majorBidi" w:hAnsiTheme="majorBidi" w:cstheme="majorBidi"/>
        </w:rPr>
        <w:t xml:space="preserve"> 95, 117 (1991); Nili Cohen </w:t>
      </w:r>
      <w:r w:rsidRPr="006F7384">
        <w:rPr>
          <w:rFonts w:asciiTheme="majorBidi" w:hAnsiTheme="majorBidi" w:cstheme="majorBidi"/>
          <w:i/>
          <w:iCs/>
        </w:rPr>
        <w:t>A Minor’s Contract to Acquire an Interest in Land, as Against the Vendor’s Creditor</w:t>
      </w:r>
      <w:r w:rsidRPr="006F7384">
        <w:rPr>
          <w:rFonts w:asciiTheme="majorBidi" w:hAnsiTheme="majorBidi" w:cstheme="majorBidi"/>
        </w:rPr>
        <w:t xml:space="preserve">, (1993) 41 Ha-Praklit 161 (Hebrew); Menachem Mautner </w:t>
      </w:r>
      <w:r w:rsidRPr="006F7384">
        <w:rPr>
          <w:rFonts w:asciiTheme="majorBidi" w:hAnsiTheme="majorBidi" w:cstheme="majorBidi"/>
          <w:i/>
          <w:iCs/>
        </w:rPr>
        <w:t xml:space="preserve">Conflicting transactions and the negligence of a purchaser who does not register a caveat </w:t>
      </w:r>
      <w:r w:rsidRPr="006F7384">
        <w:rPr>
          <w:rFonts w:ascii="TimesNewRomanPS-BoldMT" w:hAnsi="TimesNewRomanPS-BoldMT" w:cs="TimesNewRomanPS-BoldMT"/>
          <w:smallCaps/>
          <w:sz w:val="18"/>
          <w:szCs w:val="18"/>
        </w:rPr>
        <w:t>40 Hapraklit-The Israel Bar Law Journal 525, 521 (1992)</w:t>
      </w:r>
      <w:r w:rsidRPr="006F7384">
        <w:t xml:space="preserve"> </w:t>
      </w:r>
      <w:r w:rsidRPr="006F7384">
        <w:rPr>
          <w:rFonts w:asciiTheme="majorBidi" w:hAnsiTheme="majorBidi" w:cstheme="majorBidi"/>
        </w:rPr>
        <w:t xml:space="preserve">(Hebrew); Miguel Deutch </w:t>
      </w:r>
      <w:r w:rsidRPr="006F7384">
        <w:rPr>
          <w:rFonts w:asciiTheme="majorBidi" w:hAnsiTheme="majorBidi" w:cstheme="majorBidi"/>
          <w:smallCaps/>
        </w:rPr>
        <w:t>Property</w:t>
      </w:r>
      <w:r w:rsidRPr="006F7384">
        <w:rPr>
          <w:rFonts w:asciiTheme="majorBidi" w:hAnsiTheme="majorBidi" w:cstheme="majorBidi"/>
        </w:rPr>
        <w:t xml:space="preserve"> 174 (Vol A, 1997)(Hebrew).</w:t>
      </w:r>
    </w:p>
  </w:footnote>
  <w:footnote w:id="60">
    <w:p w14:paraId="1764795A" w14:textId="77777777" w:rsidR="00F46426" w:rsidRPr="006F7384" w:rsidRDefault="00F46426" w:rsidP="00513189">
      <w:pPr>
        <w:pStyle w:val="FootnoteText"/>
        <w:bidi w:val="0"/>
      </w:pPr>
      <w:r w:rsidRPr="006F7384">
        <w:rPr>
          <w:rStyle w:val="FootnoteReference"/>
        </w:rPr>
        <w:footnoteRef/>
      </w:r>
      <w:r w:rsidRPr="006F7384">
        <w:rPr>
          <w:rtl/>
        </w:rPr>
        <w:t xml:space="preserve"> </w:t>
      </w:r>
      <w:r w:rsidRPr="006F7384">
        <w:rPr>
          <w:rFonts w:asciiTheme="majorBidi" w:hAnsiTheme="majorBidi" w:cstheme="majorBidi"/>
        </w:rPr>
        <w:t xml:space="preserve">F.H. 21/80 </w:t>
      </w:r>
      <w:r w:rsidRPr="006F7384">
        <w:rPr>
          <w:rFonts w:asciiTheme="majorBidi" w:hAnsiTheme="majorBidi" w:cstheme="majorBidi"/>
          <w:smallCaps/>
        </w:rPr>
        <w:t>Wertheimer v. Harari</w:t>
      </w:r>
      <w:r w:rsidRPr="006F7384">
        <w:rPr>
          <w:rFonts w:asciiTheme="majorBidi" w:hAnsiTheme="majorBidi" w:cstheme="majorBidi"/>
        </w:rPr>
        <w:t xml:space="preserve"> 35(3) P. D. 253, 263-267 (1981) Hebrew); C.A. 839/90 </w:t>
      </w:r>
      <w:r w:rsidRPr="006F7384">
        <w:rPr>
          <w:rFonts w:asciiTheme="majorBidi" w:hAnsiTheme="majorBidi" w:cstheme="majorBidi"/>
          <w:smallCaps/>
        </w:rPr>
        <w:t>Raz Construction Company Ltd. v. Irenstein</w:t>
      </w:r>
      <w:r w:rsidRPr="006F7384">
        <w:rPr>
          <w:rFonts w:asciiTheme="majorBidi" w:hAnsiTheme="majorBidi" w:cstheme="majorBidi"/>
        </w:rPr>
        <w:t>, PD (5) 739, 748 (1991</w:t>
      </w:r>
      <w:proofErr w:type="gramStart"/>
      <w:r w:rsidRPr="006F7384">
        <w:rPr>
          <w:rFonts w:asciiTheme="majorBidi" w:hAnsiTheme="majorBidi" w:cstheme="majorBidi"/>
        </w:rPr>
        <w:t>)(</w:t>
      </w:r>
      <w:proofErr w:type="gramEnd"/>
      <w:r w:rsidRPr="006F7384">
        <w:rPr>
          <w:rFonts w:asciiTheme="majorBidi" w:hAnsiTheme="majorBidi" w:cstheme="majorBidi"/>
        </w:rPr>
        <w:t xml:space="preserve">Hebrew); C.A. 1235/90 </w:t>
      </w:r>
      <w:r w:rsidRPr="006F7384">
        <w:rPr>
          <w:rFonts w:asciiTheme="majorBidi" w:hAnsiTheme="majorBidi" w:cstheme="majorBidi"/>
          <w:smallCaps/>
        </w:rPr>
        <w:t>Herbst v. M. Arian Electrical Works Contractor Ltd.</w:t>
      </w:r>
      <w:r w:rsidRPr="006F7384">
        <w:rPr>
          <w:rFonts w:asciiTheme="majorBidi" w:hAnsiTheme="majorBidi" w:cstheme="majorBidi"/>
        </w:rPr>
        <w:t xml:space="preserve">, Par. 9 J. Barak (Nevo, 1.9.1992)(Hebrew); Dagan </w:t>
      </w:r>
      <w:r w:rsidRPr="006F7384">
        <w:rPr>
          <w:rFonts w:asciiTheme="majorBidi" w:hAnsiTheme="majorBidi" w:cstheme="majorBidi"/>
          <w:i/>
          <w:iCs/>
        </w:rPr>
        <w:t>Codification</w:t>
      </w:r>
      <w:r w:rsidRPr="006F7384">
        <w:rPr>
          <w:rFonts w:asciiTheme="majorBidi" w:hAnsiTheme="majorBidi" w:cstheme="majorBidi"/>
        </w:rPr>
        <w:t xml:space="preserve"> ,supra note </w:t>
      </w:r>
      <w:r w:rsidRPr="006F7384">
        <w:rPr>
          <w:rFonts w:asciiTheme="majorBidi" w:hAnsiTheme="majorBidi" w:cstheme="majorBidi"/>
        </w:rPr>
        <w:fldChar w:fldCharType="begin"/>
      </w:r>
      <w:r w:rsidRPr="006F7384">
        <w:rPr>
          <w:rFonts w:asciiTheme="majorBidi" w:hAnsiTheme="majorBidi" w:cstheme="majorBidi"/>
        </w:rPr>
        <w:instrText xml:space="preserve"> NOTEREF _Ref518547722 \h </w:instrText>
      </w:r>
      <w:r w:rsidRPr="006F7384">
        <w:rPr>
          <w:rFonts w:asciiTheme="majorBidi" w:hAnsiTheme="majorBidi" w:cstheme="majorBidi"/>
        </w:rPr>
      </w:r>
      <w:r w:rsidRPr="006F7384">
        <w:rPr>
          <w:rFonts w:asciiTheme="majorBidi" w:hAnsiTheme="majorBidi" w:cstheme="majorBidi"/>
        </w:rPr>
        <w:fldChar w:fldCharType="separate"/>
      </w:r>
      <w:r w:rsidRPr="006F7384">
        <w:rPr>
          <w:rFonts w:asciiTheme="majorBidi" w:hAnsiTheme="majorBidi" w:cstheme="majorBidi"/>
        </w:rPr>
        <w:t>31</w:t>
      </w:r>
      <w:r w:rsidRPr="006F7384">
        <w:rPr>
          <w:rFonts w:asciiTheme="majorBidi" w:hAnsiTheme="majorBidi" w:cstheme="majorBidi"/>
        </w:rPr>
        <w:fldChar w:fldCharType="end"/>
      </w:r>
      <w:r w:rsidRPr="006F7384">
        <w:rPr>
          <w:rFonts w:asciiTheme="majorBidi" w:hAnsiTheme="majorBidi" w:cstheme="majorBidi"/>
        </w:rPr>
        <w:t>, at 172.</w:t>
      </w:r>
    </w:p>
  </w:footnote>
  <w:footnote w:id="61">
    <w:p w14:paraId="079D1A6C" w14:textId="77777777" w:rsidR="00F46426" w:rsidRPr="006F7384" w:rsidRDefault="00F46426" w:rsidP="00856528">
      <w:pPr>
        <w:pStyle w:val="FootnoteText"/>
        <w:bidi w:val="0"/>
      </w:pPr>
      <w:r w:rsidRPr="006F7384">
        <w:rPr>
          <w:rStyle w:val="FootnoteReference"/>
        </w:rPr>
        <w:footnoteRef/>
      </w:r>
      <w:r w:rsidRPr="006F7384">
        <w:rPr>
          <w:rtl/>
        </w:rPr>
        <w:t xml:space="preserve"> </w:t>
      </w:r>
      <w:r w:rsidRPr="006F7384">
        <w:rPr>
          <w:rFonts w:asciiTheme="majorBidi" w:hAnsiTheme="majorBidi" w:cstheme="majorBidi"/>
          <w:smallCaps/>
        </w:rPr>
        <w:t>Ganz</w:t>
      </w:r>
      <w:r w:rsidRPr="006F7384">
        <w:rPr>
          <w:rFonts w:asciiTheme="majorBidi" w:hAnsiTheme="majorBidi" w:cstheme="majorBidi"/>
        </w:rPr>
        <w:t xml:space="preserve"> case, supra note </w:t>
      </w:r>
      <w:r w:rsidRPr="006F7384">
        <w:rPr>
          <w:rFonts w:asciiTheme="majorBidi" w:hAnsiTheme="majorBidi" w:cstheme="majorBidi"/>
        </w:rPr>
        <w:fldChar w:fldCharType="begin"/>
      </w:r>
      <w:r w:rsidRPr="006F7384">
        <w:rPr>
          <w:rFonts w:asciiTheme="majorBidi" w:hAnsiTheme="majorBidi" w:cstheme="majorBidi"/>
        </w:rPr>
        <w:instrText xml:space="preserve"> NOTEREF _Ref518568858 \h </w:instrText>
      </w:r>
      <w:r w:rsidRPr="006F7384">
        <w:rPr>
          <w:rFonts w:asciiTheme="majorBidi" w:hAnsiTheme="majorBidi" w:cstheme="majorBidi"/>
        </w:rPr>
      </w:r>
      <w:r w:rsidRPr="006F7384">
        <w:rPr>
          <w:rFonts w:asciiTheme="majorBidi" w:hAnsiTheme="majorBidi" w:cstheme="majorBidi"/>
        </w:rPr>
        <w:fldChar w:fldCharType="separate"/>
      </w:r>
      <w:r w:rsidRPr="006F7384">
        <w:rPr>
          <w:rFonts w:asciiTheme="majorBidi" w:hAnsiTheme="majorBidi" w:cstheme="majorBidi"/>
        </w:rPr>
        <w:t>56</w:t>
      </w:r>
      <w:r w:rsidRPr="006F7384">
        <w:rPr>
          <w:rFonts w:asciiTheme="majorBidi" w:hAnsiTheme="majorBidi" w:cstheme="majorBidi"/>
        </w:rPr>
        <w:fldChar w:fldCharType="end"/>
      </w:r>
      <w:r w:rsidRPr="006F7384">
        <w:rPr>
          <w:rFonts w:asciiTheme="majorBidi" w:hAnsiTheme="majorBidi" w:cstheme="majorBidi"/>
        </w:rPr>
        <w:t>, at 400-401.</w:t>
      </w:r>
    </w:p>
  </w:footnote>
  <w:footnote w:id="62">
    <w:p w14:paraId="073713C5" w14:textId="770CD7CC" w:rsidR="00884B85" w:rsidRDefault="00884B85" w:rsidP="00884B85">
      <w:pPr>
        <w:pStyle w:val="FootnoteText"/>
        <w:bidi w:val="0"/>
      </w:pPr>
      <w:r>
        <w:rPr>
          <w:rStyle w:val="FootnoteReference"/>
        </w:rPr>
        <w:footnoteRef/>
      </w:r>
      <w:r>
        <w:rPr>
          <w:rtl/>
        </w:rPr>
        <w:t xml:space="preserve"> </w:t>
      </w:r>
      <w:r w:rsidRPr="0014169F">
        <w:rPr>
          <w:rFonts w:asciiTheme="majorBidi" w:hAnsiTheme="majorBidi" w:cstheme="majorBidi"/>
        </w:rPr>
        <w:t>The Contracts (General Part) Law, 5733-1973, § 39, 61(b), S.H.118 (Hebrew)</w:t>
      </w:r>
      <w:r>
        <w:rPr>
          <w:rFonts w:asciiTheme="majorBidi" w:hAnsiTheme="majorBidi" w:cstheme="majorBidi"/>
        </w:rPr>
        <w:t>, 27 L.S.I. 117</w:t>
      </w:r>
      <w:r w:rsidRPr="0014169F">
        <w:rPr>
          <w:rFonts w:asciiTheme="majorBidi" w:hAnsiTheme="majorBidi" w:cstheme="majorBidi"/>
        </w:rPr>
        <w:t xml:space="preserve">; </w:t>
      </w:r>
      <w:proofErr w:type="gramStart"/>
      <w:r w:rsidRPr="0014169F">
        <w:rPr>
          <w:rFonts w:asciiTheme="majorBidi" w:hAnsiTheme="majorBidi" w:cstheme="majorBidi"/>
        </w:rPr>
        <w:t>The</w:t>
      </w:r>
      <w:proofErr w:type="gramEnd"/>
      <w:r w:rsidRPr="0014169F">
        <w:rPr>
          <w:rFonts w:asciiTheme="majorBidi" w:hAnsiTheme="majorBidi" w:cstheme="majorBidi"/>
        </w:rPr>
        <w:t xml:space="preserve"> Land Law 1969, § 14</w:t>
      </w:r>
      <w:r>
        <w:t>.</w:t>
      </w:r>
    </w:p>
  </w:footnote>
  <w:footnote w:id="63">
    <w:p w14:paraId="08898764" w14:textId="77777777" w:rsidR="00F46426" w:rsidRPr="006F7384" w:rsidRDefault="00F46426" w:rsidP="002D15CD">
      <w:pPr>
        <w:pStyle w:val="FootnoteText"/>
        <w:bidi w:val="0"/>
      </w:pPr>
      <w:r w:rsidRPr="006F7384">
        <w:rPr>
          <w:rStyle w:val="FootnoteReference"/>
        </w:rPr>
        <w:footnoteRef/>
      </w:r>
      <w:r w:rsidRPr="006F7384">
        <w:rPr>
          <w:rtl/>
        </w:rPr>
        <w:t xml:space="preserve"> </w:t>
      </w:r>
      <w:r w:rsidRPr="006F7384">
        <w:rPr>
          <w:rFonts w:asciiTheme="majorBidi" w:hAnsiTheme="majorBidi" w:cstheme="majorBidi"/>
        </w:rPr>
        <w:t xml:space="preserve">W. Z. Zeltner </w:t>
      </w:r>
      <w:r w:rsidRPr="006F7384">
        <w:rPr>
          <w:rFonts w:asciiTheme="majorBidi" w:hAnsiTheme="majorBidi" w:cstheme="majorBidi"/>
          <w:i/>
          <w:iCs/>
        </w:rPr>
        <w:t>Reflections of the Contracts Law (General Part), 5733-1973</w:t>
      </w:r>
      <w:r w:rsidRPr="006F7384">
        <w:rPr>
          <w:rFonts w:asciiTheme="majorBidi" w:hAnsiTheme="majorBidi" w:cstheme="majorBidi"/>
        </w:rPr>
        <w:t xml:space="preserve">, 1 </w:t>
      </w:r>
      <w:r w:rsidRPr="006F7384">
        <w:rPr>
          <w:rFonts w:asciiTheme="majorBidi" w:hAnsiTheme="majorBidi" w:cstheme="majorBidi"/>
          <w:smallCaps/>
        </w:rPr>
        <w:t xml:space="preserve">Tel Aviv U. Stud. L. </w:t>
      </w:r>
      <w:r w:rsidRPr="006F7384">
        <w:rPr>
          <w:rFonts w:asciiTheme="majorBidi" w:hAnsiTheme="majorBidi" w:cstheme="majorBidi"/>
        </w:rPr>
        <w:t xml:space="preserve">153, 162 (1975); Aharon Barak, </w:t>
      </w:r>
      <w:r w:rsidRPr="006F7384">
        <w:rPr>
          <w:rFonts w:asciiTheme="majorBidi" w:hAnsiTheme="majorBidi" w:cstheme="majorBidi"/>
          <w:i/>
          <w:iCs/>
        </w:rPr>
        <w:t>Codification of Civil Law and the Law of Torts</w:t>
      </w:r>
      <w:r w:rsidRPr="006F7384">
        <w:rPr>
          <w:rFonts w:asciiTheme="majorBidi" w:hAnsiTheme="majorBidi" w:cstheme="majorBidi"/>
        </w:rPr>
        <w:t xml:space="preserve">, 24 </w:t>
      </w:r>
      <w:r w:rsidRPr="006F7384">
        <w:rPr>
          <w:rFonts w:asciiTheme="majorBidi" w:hAnsiTheme="majorBidi" w:cstheme="majorBidi"/>
          <w:smallCaps/>
        </w:rPr>
        <w:t>Isr. L. Rev.</w:t>
      </w:r>
      <w:r w:rsidRPr="006F7384">
        <w:rPr>
          <w:rFonts w:asciiTheme="majorBidi" w:hAnsiTheme="majorBidi" w:cstheme="majorBidi"/>
        </w:rPr>
        <w:t xml:space="preserve"> 628, 632-638 (1990).</w:t>
      </w:r>
    </w:p>
  </w:footnote>
  <w:footnote w:id="64">
    <w:p w14:paraId="1F1BABBF" w14:textId="77777777" w:rsidR="00F46426" w:rsidRPr="006F7384" w:rsidRDefault="00F46426" w:rsidP="002D15CD">
      <w:pPr>
        <w:pStyle w:val="FootnoteText"/>
        <w:bidi w:val="0"/>
        <w:jc w:val="both"/>
      </w:pPr>
      <w:r w:rsidRPr="006F7384">
        <w:rPr>
          <w:rStyle w:val="FootnoteReference"/>
        </w:rPr>
        <w:footnoteRef/>
      </w:r>
      <w:r w:rsidRPr="006F7384">
        <w:rPr>
          <w:rtl/>
        </w:rPr>
        <w:t xml:space="preserve"> </w:t>
      </w:r>
      <w:r w:rsidRPr="006F7384">
        <w:rPr>
          <w:rFonts w:asciiTheme="majorBidi" w:hAnsiTheme="majorBidi" w:cstheme="majorBidi"/>
        </w:rPr>
        <w:t xml:space="preserve">C.A. 4628/93 </w:t>
      </w:r>
      <w:r w:rsidRPr="006F7384">
        <w:rPr>
          <w:rFonts w:asciiTheme="majorBidi" w:hAnsiTheme="majorBidi" w:cstheme="majorBidi"/>
          <w:smallCaps/>
        </w:rPr>
        <w:t>State of Israel v. Apropim</w:t>
      </w:r>
      <w:r w:rsidRPr="006F7384">
        <w:rPr>
          <w:rFonts w:asciiTheme="majorBidi" w:hAnsiTheme="majorBidi" w:cstheme="majorBidi"/>
        </w:rPr>
        <w:t>, 49(2) 265, 305-306 (1995)(Hebrew),</w:t>
      </w:r>
      <w:r w:rsidRPr="006F7384">
        <w:t xml:space="preserve"> </w:t>
      </w:r>
      <w:r w:rsidRPr="006F7384">
        <w:rPr>
          <w:rFonts w:ascii="Times New Roman" w:hAnsi="Times New Roman" w:cs="Times New Roman"/>
          <w:smallCaps/>
        </w:rPr>
        <w:t>VERSA-Opinions of The Supreme Court of Israel, Translated Opinions,</w:t>
      </w:r>
      <w:r w:rsidRPr="006F7384">
        <w:t xml:space="preserve"> </w:t>
      </w:r>
      <w:hyperlink r:id="rId25" w:history="1">
        <w:r w:rsidRPr="006F7384">
          <w:rPr>
            <w:rStyle w:val="Hyperlink"/>
            <w:rFonts w:asciiTheme="majorBidi" w:hAnsiTheme="majorBidi" w:cstheme="majorBidi"/>
          </w:rPr>
          <w:t>http://versa.cardozo.yu.edu/opinions/state-israel-v-apropim</w:t>
        </w:r>
      </w:hyperlink>
      <w:r w:rsidRPr="006F7384">
        <w:rPr>
          <w:rFonts w:asciiTheme="majorBidi" w:hAnsiTheme="majorBidi" w:cstheme="majorBidi"/>
        </w:rPr>
        <w:t>, Par 9-10 J.Barak</w:t>
      </w:r>
      <w:r w:rsidRPr="006F7384">
        <w:t xml:space="preserve">; </w:t>
      </w:r>
      <w:r w:rsidRPr="006F7384">
        <w:rPr>
          <w:rFonts w:asciiTheme="majorBidi" w:hAnsiTheme="majorBidi" w:cstheme="majorBidi"/>
        </w:rPr>
        <w:t xml:space="preserve">L.C.A 6339/97 </w:t>
      </w:r>
      <w:r w:rsidRPr="006F7384">
        <w:rPr>
          <w:rFonts w:asciiTheme="majorBidi" w:hAnsiTheme="majorBidi" w:cstheme="majorBidi"/>
          <w:smallCaps/>
        </w:rPr>
        <w:t>Roker v, Salomon</w:t>
      </w:r>
      <w:r w:rsidRPr="006F7384">
        <w:rPr>
          <w:rFonts w:asciiTheme="majorBidi" w:hAnsiTheme="majorBidi" w:cstheme="majorBidi"/>
        </w:rPr>
        <w:t>, 58(1)PD 199, 275-278.</w:t>
      </w:r>
    </w:p>
  </w:footnote>
  <w:footnote w:id="65">
    <w:p w14:paraId="03987C82" w14:textId="77777777" w:rsidR="00F46426" w:rsidRPr="006F7384" w:rsidRDefault="00F46426" w:rsidP="002D15CD">
      <w:pPr>
        <w:pStyle w:val="FootnoteText"/>
        <w:bidi w:val="0"/>
      </w:pPr>
      <w:r w:rsidRPr="006F7384">
        <w:rPr>
          <w:rStyle w:val="FootnoteReference"/>
        </w:rPr>
        <w:footnoteRef/>
      </w:r>
      <w:r w:rsidRPr="006F7384">
        <w:rPr>
          <w:rtl/>
        </w:rPr>
        <w:t xml:space="preserve"> </w:t>
      </w:r>
      <w:r w:rsidRPr="006F7384">
        <w:rPr>
          <w:rFonts w:asciiTheme="majorBidi" w:hAnsiTheme="majorBidi" w:cstheme="majorBidi"/>
        </w:rPr>
        <w:t xml:space="preserve">Barak, </w:t>
      </w:r>
      <w:r w:rsidRPr="006F7384">
        <w:rPr>
          <w:rFonts w:asciiTheme="majorBidi" w:hAnsiTheme="majorBidi" w:cstheme="majorBidi"/>
          <w:i/>
          <w:iCs/>
        </w:rPr>
        <w:t>Codification</w:t>
      </w:r>
      <w:r w:rsidRPr="006F7384">
        <w:t xml:space="preserve">, </w:t>
      </w:r>
      <w:r w:rsidRPr="006F7384">
        <w:rPr>
          <w:rFonts w:asciiTheme="majorBidi" w:hAnsiTheme="majorBidi" w:cstheme="majorBidi"/>
        </w:rPr>
        <w:t xml:space="preserve">supra note </w:t>
      </w:r>
      <w:r w:rsidRPr="006F7384">
        <w:rPr>
          <w:rFonts w:asciiTheme="majorBidi" w:hAnsiTheme="majorBidi" w:cstheme="majorBidi"/>
        </w:rPr>
        <w:fldChar w:fldCharType="begin"/>
      </w:r>
      <w:r w:rsidRPr="006F7384">
        <w:rPr>
          <w:rFonts w:asciiTheme="majorBidi" w:hAnsiTheme="majorBidi" w:cstheme="majorBidi"/>
        </w:rPr>
        <w:instrText xml:space="preserve"> NOTEREF _Ref518572258 \h </w:instrText>
      </w:r>
      <w:r w:rsidRPr="006F7384">
        <w:rPr>
          <w:rFonts w:asciiTheme="majorBidi" w:hAnsiTheme="majorBidi" w:cstheme="majorBidi"/>
        </w:rPr>
      </w:r>
      <w:r w:rsidRPr="006F7384">
        <w:rPr>
          <w:rFonts w:asciiTheme="majorBidi" w:hAnsiTheme="majorBidi" w:cstheme="majorBidi"/>
        </w:rPr>
        <w:fldChar w:fldCharType="separate"/>
      </w:r>
      <w:r w:rsidRPr="006F7384">
        <w:rPr>
          <w:rFonts w:asciiTheme="majorBidi" w:hAnsiTheme="majorBidi" w:cstheme="majorBidi"/>
        </w:rPr>
        <w:t>63</w:t>
      </w:r>
      <w:r w:rsidRPr="006F7384">
        <w:rPr>
          <w:rFonts w:asciiTheme="majorBidi" w:hAnsiTheme="majorBidi" w:cstheme="majorBidi"/>
        </w:rPr>
        <w:fldChar w:fldCharType="end"/>
      </w:r>
      <w:r w:rsidRPr="006F7384">
        <w:rPr>
          <w:rFonts w:asciiTheme="majorBidi" w:hAnsiTheme="majorBidi" w:cstheme="majorBidi"/>
        </w:rPr>
        <w:t>, at 638.</w:t>
      </w:r>
    </w:p>
  </w:footnote>
  <w:footnote w:id="66">
    <w:p w14:paraId="0BED2A99" w14:textId="77777777" w:rsidR="00F46426" w:rsidRPr="006F7384" w:rsidRDefault="00F46426" w:rsidP="003C7249">
      <w:pPr>
        <w:pStyle w:val="FootnoteText"/>
        <w:bidi w:val="0"/>
      </w:pPr>
      <w:r w:rsidRPr="006F7384">
        <w:rPr>
          <w:rStyle w:val="FootnoteReference"/>
        </w:rPr>
        <w:footnoteRef/>
      </w:r>
      <w:r w:rsidRPr="006F7384">
        <w:rPr>
          <w:rtl/>
        </w:rPr>
        <w:t xml:space="preserve"> </w:t>
      </w:r>
      <w:r w:rsidRPr="006F7384">
        <w:rPr>
          <w:rFonts w:asciiTheme="majorBidi" w:hAnsiTheme="majorBidi" w:cstheme="majorBidi"/>
          <w:smallCaps/>
        </w:rPr>
        <w:t>Ganz</w:t>
      </w:r>
      <w:r w:rsidRPr="006F7384">
        <w:rPr>
          <w:rFonts w:asciiTheme="majorBidi" w:hAnsiTheme="majorBidi" w:cstheme="majorBidi"/>
        </w:rPr>
        <w:t xml:space="preserve"> case, supra note </w:t>
      </w:r>
      <w:r w:rsidRPr="006F7384">
        <w:rPr>
          <w:rFonts w:asciiTheme="majorBidi" w:hAnsiTheme="majorBidi" w:cstheme="majorBidi"/>
        </w:rPr>
        <w:fldChar w:fldCharType="begin"/>
      </w:r>
      <w:r w:rsidRPr="006F7384">
        <w:rPr>
          <w:rFonts w:asciiTheme="majorBidi" w:hAnsiTheme="majorBidi" w:cstheme="majorBidi"/>
        </w:rPr>
        <w:instrText xml:space="preserve"> NOTEREF _Ref518568858 \h </w:instrText>
      </w:r>
      <w:r w:rsidRPr="006F7384">
        <w:rPr>
          <w:rFonts w:asciiTheme="majorBidi" w:hAnsiTheme="majorBidi" w:cstheme="majorBidi"/>
        </w:rPr>
      </w:r>
      <w:r w:rsidRPr="006F7384">
        <w:rPr>
          <w:rFonts w:asciiTheme="majorBidi" w:hAnsiTheme="majorBidi" w:cstheme="majorBidi"/>
        </w:rPr>
        <w:fldChar w:fldCharType="separate"/>
      </w:r>
      <w:r w:rsidRPr="006F7384">
        <w:rPr>
          <w:rFonts w:asciiTheme="majorBidi" w:hAnsiTheme="majorBidi" w:cstheme="majorBidi"/>
        </w:rPr>
        <w:t>56</w:t>
      </w:r>
      <w:r w:rsidRPr="006F7384">
        <w:rPr>
          <w:rFonts w:asciiTheme="majorBidi" w:hAnsiTheme="majorBidi" w:cstheme="majorBidi"/>
        </w:rPr>
        <w:fldChar w:fldCharType="end"/>
      </w:r>
      <w:r w:rsidRPr="006F7384">
        <w:rPr>
          <w:rFonts w:asciiTheme="majorBidi" w:hAnsiTheme="majorBidi" w:cstheme="majorBidi"/>
        </w:rPr>
        <w:t>, at 404.</w:t>
      </w:r>
    </w:p>
  </w:footnote>
  <w:footnote w:id="67">
    <w:p w14:paraId="2BCB282D" w14:textId="77777777" w:rsidR="00F46426" w:rsidRPr="006F7384" w:rsidRDefault="00F46426" w:rsidP="00DB2725">
      <w:pPr>
        <w:pStyle w:val="FootnoteText"/>
        <w:bidi w:val="0"/>
      </w:pPr>
      <w:r w:rsidRPr="006F7384">
        <w:rPr>
          <w:rStyle w:val="FootnoteReference"/>
        </w:rPr>
        <w:footnoteRef/>
      </w:r>
      <w:r w:rsidRPr="006F7384">
        <w:rPr>
          <w:rtl/>
        </w:rPr>
        <w:t xml:space="preserve"> </w:t>
      </w:r>
      <w:r w:rsidRPr="006F7384">
        <w:rPr>
          <w:rFonts w:asciiTheme="majorBidi" w:hAnsiTheme="majorBidi" w:cstheme="majorBidi"/>
        </w:rPr>
        <w:t>Ibid, ibid.</w:t>
      </w:r>
    </w:p>
  </w:footnote>
  <w:footnote w:id="68">
    <w:p w14:paraId="2BD11480" w14:textId="77777777" w:rsidR="00F46426" w:rsidRPr="006F7384" w:rsidRDefault="00F46426" w:rsidP="001006B7">
      <w:pPr>
        <w:pStyle w:val="FootnoteText"/>
        <w:bidi w:val="0"/>
      </w:pPr>
      <w:r w:rsidRPr="006F7384">
        <w:rPr>
          <w:rStyle w:val="FootnoteReference"/>
        </w:rPr>
        <w:footnoteRef/>
      </w:r>
      <w:r w:rsidRPr="006F7384">
        <w:rPr>
          <w:rtl/>
        </w:rPr>
        <w:t xml:space="preserve"> </w:t>
      </w:r>
      <w:r w:rsidRPr="006F7384">
        <w:rPr>
          <w:rFonts w:asciiTheme="majorBidi" w:hAnsiTheme="majorBidi" w:cstheme="majorBidi"/>
        </w:rPr>
        <w:t>Ibid, at 406.</w:t>
      </w:r>
    </w:p>
  </w:footnote>
  <w:footnote w:id="69">
    <w:p w14:paraId="0F0C374A" w14:textId="77777777" w:rsidR="00F46426" w:rsidRPr="006F7384" w:rsidRDefault="00F46426" w:rsidP="001006B7">
      <w:pPr>
        <w:pStyle w:val="FootnoteText"/>
        <w:bidi w:val="0"/>
      </w:pPr>
      <w:r w:rsidRPr="006F7384">
        <w:rPr>
          <w:rStyle w:val="FootnoteReference"/>
        </w:rPr>
        <w:footnoteRef/>
      </w:r>
      <w:r w:rsidRPr="006F7384">
        <w:rPr>
          <w:rtl/>
        </w:rPr>
        <w:t xml:space="preserve"> </w:t>
      </w:r>
      <w:r w:rsidRPr="006F7384">
        <w:rPr>
          <w:rFonts w:asciiTheme="majorBidi" w:hAnsiTheme="majorBidi" w:cstheme="majorBidi"/>
        </w:rPr>
        <w:t>Ibid, ibid.</w:t>
      </w:r>
    </w:p>
  </w:footnote>
  <w:footnote w:id="70">
    <w:p w14:paraId="1807D3E1" w14:textId="7F9EFE04" w:rsidR="003246EF" w:rsidRPr="006F7384" w:rsidRDefault="003246EF" w:rsidP="003246EF">
      <w:pPr>
        <w:pStyle w:val="FootnoteText"/>
        <w:bidi w:val="0"/>
      </w:pPr>
      <w:r w:rsidRPr="006F7384">
        <w:rPr>
          <w:rStyle w:val="FootnoteReference"/>
        </w:rPr>
        <w:footnoteRef/>
      </w:r>
      <w:r w:rsidRPr="006F7384">
        <w:rPr>
          <w:rtl/>
        </w:rPr>
        <w:t xml:space="preserve"> </w:t>
      </w:r>
      <w:r w:rsidRPr="006F7384">
        <w:rPr>
          <w:rFonts w:asciiTheme="majorBidi" w:hAnsiTheme="majorBidi" w:cstheme="majorBidi"/>
        </w:rPr>
        <w:t>Ibid, at 416 (J.Shtrasberg-Cohen)</w:t>
      </w:r>
      <w:proofErr w:type="gramStart"/>
      <w:r w:rsidRPr="006F7384">
        <w:rPr>
          <w:rFonts w:asciiTheme="majorBidi" w:hAnsiTheme="majorBidi" w:cstheme="majorBidi"/>
        </w:rPr>
        <w:t>,418</w:t>
      </w:r>
      <w:proofErr w:type="gramEnd"/>
      <w:r w:rsidRPr="006F7384">
        <w:rPr>
          <w:rFonts w:asciiTheme="majorBidi" w:hAnsiTheme="majorBidi" w:cstheme="majorBidi"/>
        </w:rPr>
        <w:t xml:space="preserve"> (J.Levin), 426 (J. Matza), 431 (J.Rivlin).</w:t>
      </w:r>
    </w:p>
  </w:footnote>
  <w:footnote w:id="71">
    <w:p w14:paraId="2A640F6A" w14:textId="77777777" w:rsidR="003246EF" w:rsidRPr="006F7384" w:rsidRDefault="003246EF" w:rsidP="003246EF">
      <w:pPr>
        <w:pStyle w:val="FootnoteText"/>
        <w:bidi w:val="0"/>
      </w:pPr>
      <w:r w:rsidRPr="006F7384">
        <w:rPr>
          <w:rStyle w:val="FootnoteReference"/>
        </w:rPr>
        <w:footnoteRef/>
      </w:r>
      <w:r w:rsidRPr="006F7384">
        <w:rPr>
          <w:rtl/>
        </w:rPr>
        <w:t xml:space="preserve"> </w:t>
      </w:r>
      <w:r w:rsidRPr="006F7384">
        <w:rPr>
          <w:rFonts w:asciiTheme="majorBidi" w:hAnsiTheme="majorBidi" w:cstheme="majorBidi"/>
          <w:smallCaps/>
        </w:rPr>
        <w:t>Snell's Equity,</w:t>
      </w:r>
      <w:r w:rsidRPr="006F7384">
        <w:rPr>
          <w:rFonts w:asciiTheme="majorBidi" w:hAnsiTheme="majorBidi" w:cstheme="majorBidi"/>
        </w:rPr>
        <w:t xml:space="preserve"> supra note </w:t>
      </w:r>
      <w:r w:rsidRPr="006F7384">
        <w:rPr>
          <w:rFonts w:asciiTheme="majorBidi" w:hAnsiTheme="majorBidi" w:cstheme="majorBidi"/>
        </w:rPr>
        <w:fldChar w:fldCharType="begin"/>
      </w:r>
      <w:r w:rsidRPr="006F7384">
        <w:rPr>
          <w:rFonts w:asciiTheme="majorBidi" w:hAnsiTheme="majorBidi" w:cstheme="majorBidi"/>
        </w:rPr>
        <w:instrText xml:space="preserve"> NOTEREF _Ref518575999 \h </w:instrText>
      </w:r>
      <w:r w:rsidRPr="006F7384">
        <w:rPr>
          <w:rFonts w:asciiTheme="majorBidi" w:hAnsiTheme="majorBidi" w:cstheme="majorBidi"/>
        </w:rPr>
      </w:r>
      <w:r w:rsidRPr="006F7384">
        <w:rPr>
          <w:rFonts w:asciiTheme="majorBidi" w:hAnsiTheme="majorBidi" w:cstheme="majorBidi"/>
        </w:rPr>
        <w:fldChar w:fldCharType="separate"/>
      </w:r>
      <w:r w:rsidRPr="006F7384">
        <w:rPr>
          <w:rFonts w:asciiTheme="majorBidi" w:hAnsiTheme="majorBidi" w:cstheme="majorBidi"/>
        </w:rPr>
        <w:t>55</w:t>
      </w:r>
      <w:r w:rsidRPr="006F7384">
        <w:rPr>
          <w:rFonts w:asciiTheme="majorBidi" w:hAnsiTheme="majorBidi" w:cstheme="majorBidi"/>
        </w:rPr>
        <w:fldChar w:fldCharType="end"/>
      </w:r>
      <w:r w:rsidRPr="006F7384">
        <w:rPr>
          <w:rFonts w:asciiTheme="majorBidi" w:hAnsiTheme="majorBidi" w:cstheme="majorBidi"/>
        </w:rPr>
        <w:t>.</w:t>
      </w:r>
    </w:p>
  </w:footnote>
  <w:footnote w:id="72">
    <w:p w14:paraId="57777CE8" w14:textId="77777777" w:rsidR="00F46426" w:rsidRPr="006F7384" w:rsidRDefault="00F46426" w:rsidP="007D2175">
      <w:pPr>
        <w:pStyle w:val="FootnoteText"/>
        <w:bidi w:val="0"/>
        <w:rPr>
          <w:rFonts w:asciiTheme="majorBidi" w:hAnsiTheme="majorBidi" w:cstheme="majorBidi"/>
        </w:rPr>
      </w:pPr>
      <w:r w:rsidRPr="006F7384">
        <w:rPr>
          <w:rStyle w:val="FootnoteReference"/>
        </w:rPr>
        <w:footnoteRef/>
      </w:r>
      <w:r w:rsidRPr="006F7384">
        <w:rPr>
          <w:rtl/>
        </w:rPr>
        <w:t xml:space="preserve"> </w:t>
      </w:r>
      <w:r w:rsidRPr="006F7384">
        <w:rPr>
          <w:rFonts w:asciiTheme="majorBidi" w:hAnsiTheme="majorBidi" w:cstheme="majorBidi"/>
          <w:smallCaps/>
        </w:rPr>
        <w:t>Ganz</w:t>
      </w:r>
      <w:r w:rsidRPr="006F7384">
        <w:rPr>
          <w:rFonts w:asciiTheme="majorBidi" w:hAnsiTheme="majorBidi" w:cstheme="majorBidi"/>
        </w:rPr>
        <w:t xml:space="preserve"> case, supra note </w:t>
      </w:r>
      <w:r w:rsidRPr="006F7384">
        <w:rPr>
          <w:rFonts w:asciiTheme="majorBidi" w:hAnsiTheme="majorBidi" w:cstheme="majorBidi"/>
        </w:rPr>
        <w:fldChar w:fldCharType="begin"/>
      </w:r>
      <w:r w:rsidRPr="006F7384">
        <w:rPr>
          <w:rFonts w:asciiTheme="majorBidi" w:hAnsiTheme="majorBidi" w:cstheme="majorBidi"/>
        </w:rPr>
        <w:instrText xml:space="preserve"> NOTEREF _Ref518568858 \h </w:instrText>
      </w:r>
      <w:r w:rsidRPr="006F7384">
        <w:rPr>
          <w:rFonts w:asciiTheme="majorBidi" w:hAnsiTheme="majorBidi" w:cstheme="majorBidi"/>
        </w:rPr>
      </w:r>
      <w:r w:rsidRPr="006F7384">
        <w:rPr>
          <w:rFonts w:asciiTheme="majorBidi" w:hAnsiTheme="majorBidi" w:cstheme="majorBidi"/>
        </w:rPr>
        <w:fldChar w:fldCharType="separate"/>
      </w:r>
      <w:r w:rsidRPr="006F7384">
        <w:rPr>
          <w:rFonts w:asciiTheme="majorBidi" w:hAnsiTheme="majorBidi" w:cstheme="majorBidi"/>
        </w:rPr>
        <w:t>56</w:t>
      </w:r>
      <w:r w:rsidRPr="006F7384">
        <w:rPr>
          <w:rFonts w:asciiTheme="majorBidi" w:hAnsiTheme="majorBidi" w:cstheme="majorBidi"/>
        </w:rPr>
        <w:fldChar w:fldCharType="end"/>
      </w:r>
      <w:r w:rsidRPr="006F7384">
        <w:rPr>
          <w:rFonts w:asciiTheme="majorBidi" w:hAnsiTheme="majorBidi" w:cstheme="majorBidi"/>
        </w:rPr>
        <w:t>, at</w:t>
      </w:r>
      <w:r w:rsidRPr="006F7384">
        <w:rPr>
          <w:rFonts w:asciiTheme="majorBidi" w:hAnsiTheme="majorBidi" w:cstheme="majorBidi"/>
          <w:rtl/>
        </w:rPr>
        <w:t xml:space="preserve"> </w:t>
      </w:r>
      <w:r w:rsidRPr="006F7384">
        <w:rPr>
          <w:rFonts w:asciiTheme="majorBidi" w:hAnsiTheme="majorBidi" w:cstheme="majorBidi"/>
        </w:rPr>
        <w:t>418 (J.Levin), 431 (J.Rivlin)</w:t>
      </w:r>
    </w:p>
  </w:footnote>
  <w:footnote w:id="73">
    <w:p w14:paraId="1DFFA853" w14:textId="77777777" w:rsidR="00F46426" w:rsidRPr="006F7384" w:rsidRDefault="00F46426" w:rsidP="001921E3">
      <w:pPr>
        <w:pStyle w:val="FootnoteText"/>
        <w:bidi w:val="0"/>
      </w:pPr>
      <w:r w:rsidRPr="006F7384">
        <w:rPr>
          <w:rStyle w:val="FootnoteReference"/>
        </w:rPr>
        <w:footnoteRef/>
      </w:r>
      <w:r w:rsidRPr="006F7384">
        <w:rPr>
          <w:rtl/>
        </w:rPr>
        <w:t xml:space="preserve"> </w:t>
      </w:r>
      <w:r w:rsidRPr="006F7384">
        <w:t xml:space="preserve"> </w:t>
      </w:r>
      <w:r w:rsidRPr="006F7384">
        <w:rPr>
          <w:rFonts w:asciiTheme="majorBidi" w:hAnsiTheme="majorBidi" w:cstheme="majorBidi"/>
        </w:rPr>
        <w:t>Ibid, at 407.</w:t>
      </w:r>
    </w:p>
  </w:footnote>
  <w:footnote w:id="74">
    <w:p w14:paraId="543C7142" w14:textId="77777777" w:rsidR="003E2555" w:rsidRPr="006F7384" w:rsidRDefault="003E2555" w:rsidP="003E2555">
      <w:pPr>
        <w:pStyle w:val="FootnoteText"/>
        <w:bidi w:val="0"/>
      </w:pPr>
      <w:r w:rsidRPr="006F7384">
        <w:rPr>
          <w:rStyle w:val="FootnoteReference"/>
        </w:rPr>
        <w:footnoteRef/>
      </w:r>
      <w:r w:rsidRPr="006F7384">
        <w:rPr>
          <w:rtl/>
        </w:rPr>
        <w:t xml:space="preserve"> </w:t>
      </w:r>
      <w:r w:rsidRPr="006F7384">
        <w:rPr>
          <w:rFonts w:asciiTheme="majorBidi" w:hAnsiTheme="majorBidi" w:cstheme="majorBidi"/>
        </w:rPr>
        <w:t xml:space="preserve">C.A. 9245/99 </w:t>
      </w:r>
      <w:r w:rsidRPr="006F7384">
        <w:rPr>
          <w:rFonts w:asciiTheme="majorBidi" w:hAnsiTheme="majorBidi" w:cstheme="majorBidi"/>
          <w:smallCaps/>
        </w:rPr>
        <w:t>Weinberg v, Arian</w:t>
      </w:r>
      <w:r w:rsidRPr="006F7384">
        <w:rPr>
          <w:rFonts w:asciiTheme="majorBidi" w:hAnsiTheme="majorBidi" w:cstheme="majorBidi"/>
        </w:rPr>
        <w:t>, 58(4) PD 804-806 (2004</w:t>
      </w:r>
      <w:proofErr w:type="gramStart"/>
      <w:r w:rsidRPr="006F7384">
        <w:rPr>
          <w:rFonts w:asciiTheme="majorBidi" w:hAnsiTheme="majorBidi" w:cstheme="majorBidi"/>
        </w:rPr>
        <w:t>)(</w:t>
      </w:r>
      <w:proofErr w:type="gramEnd"/>
      <w:r w:rsidRPr="006F7384">
        <w:rPr>
          <w:rFonts w:asciiTheme="majorBidi" w:hAnsiTheme="majorBidi" w:cstheme="majorBidi"/>
        </w:rPr>
        <w:t xml:space="preserve">Hebrew); C.A. 8881/07 </w:t>
      </w:r>
      <w:r w:rsidRPr="006F7384">
        <w:rPr>
          <w:rFonts w:asciiTheme="majorBidi" w:hAnsiTheme="majorBidi" w:cstheme="majorBidi"/>
          <w:smallCaps/>
        </w:rPr>
        <w:t>Lev v. Tubi</w:t>
      </w:r>
      <w:r w:rsidRPr="006F7384">
        <w:rPr>
          <w:rFonts w:asciiTheme="majorBidi" w:hAnsiTheme="majorBidi" w:cstheme="majorBidi"/>
        </w:rPr>
        <w:t>, par.24-25 J.Melcer par. 3-4 J. Rivlin (Nevo, 27.8.2012)(Hebrew)</w:t>
      </w:r>
      <w:r w:rsidRPr="006F7384">
        <w:rPr>
          <w:rFonts w:ascii="David" w:hAnsi="David" w:cs="David"/>
          <w:rtl/>
        </w:rPr>
        <w:t>.</w:t>
      </w:r>
    </w:p>
  </w:footnote>
  <w:footnote w:id="75">
    <w:p w14:paraId="2DD1CAD1" w14:textId="77777777" w:rsidR="00880DA6" w:rsidRPr="006F7384" w:rsidRDefault="00880DA6" w:rsidP="00880DA6">
      <w:pPr>
        <w:pStyle w:val="FootnoteText"/>
        <w:bidi w:val="0"/>
      </w:pPr>
      <w:r w:rsidRPr="006F7384">
        <w:rPr>
          <w:rStyle w:val="FootnoteReference"/>
        </w:rPr>
        <w:footnoteRef/>
      </w:r>
      <w:r w:rsidRPr="006F7384">
        <w:rPr>
          <w:rtl/>
        </w:rPr>
        <w:t xml:space="preserve"> </w:t>
      </w:r>
      <w:r w:rsidRPr="006F7384">
        <w:rPr>
          <w:rFonts w:asciiTheme="majorBidi" w:hAnsiTheme="majorBidi" w:cstheme="majorBidi"/>
          <w:smallCaps/>
        </w:rPr>
        <w:t>Lev</w:t>
      </w:r>
      <w:r w:rsidRPr="006F7384">
        <w:rPr>
          <w:rFonts w:asciiTheme="majorBidi" w:hAnsiTheme="majorBidi" w:cstheme="majorBidi"/>
        </w:rPr>
        <w:t xml:space="preserve"> case, supra note </w:t>
      </w:r>
      <w:r w:rsidRPr="006F7384">
        <w:rPr>
          <w:rFonts w:asciiTheme="majorBidi" w:hAnsiTheme="majorBidi" w:cstheme="majorBidi"/>
        </w:rPr>
        <w:fldChar w:fldCharType="begin"/>
      </w:r>
      <w:r w:rsidRPr="006F7384">
        <w:rPr>
          <w:rFonts w:asciiTheme="majorBidi" w:hAnsiTheme="majorBidi" w:cstheme="majorBidi"/>
        </w:rPr>
        <w:instrText xml:space="preserve"> NOTEREF _Ref518578262 \h </w:instrText>
      </w:r>
      <w:r w:rsidRPr="006F7384">
        <w:rPr>
          <w:rFonts w:asciiTheme="majorBidi" w:hAnsiTheme="majorBidi" w:cstheme="majorBidi"/>
        </w:rPr>
      </w:r>
      <w:r w:rsidRPr="006F7384">
        <w:rPr>
          <w:rFonts w:asciiTheme="majorBidi" w:hAnsiTheme="majorBidi" w:cstheme="majorBidi"/>
        </w:rPr>
        <w:fldChar w:fldCharType="separate"/>
      </w:r>
      <w:r w:rsidRPr="006F7384">
        <w:rPr>
          <w:rFonts w:asciiTheme="majorBidi" w:hAnsiTheme="majorBidi" w:cstheme="majorBidi"/>
        </w:rPr>
        <w:t>74</w:t>
      </w:r>
      <w:r w:rsidRPr="006F7384">
        <w:rPr>
          <w:rFonts w:asciiTheme="majorBidi" w:hAnsiTheme="majorBidi" w:cstheme="majorBidi"/>
        </w:rPr>
        <w:fldChar w:fldCharType="end"/>
      </w:r>
      <w:r w:rsidRPr="006F7384">
        <w:rPr>
          <w:rFonts w:asciiTheme="majorBidi" w:hAnsiTheme="majorBidi" w:cstheme="majorBidi"/>
        </w:rPr>
        <w:t xml:space="preserve">, at par. 26-27 J.Melcer; C.A.1217/03 </w:t>
      </w:r>
      <w:r w:rsidRPr="006F7384">
        <w:rPr>
          <w:rFonts w:asciiTheme="majorBidi" w:hAnsiTheme="majorBidi" w:cstheme="majorBidi"/>
          <w:smallCaps/>
        </w:rPr>
        <w:t>Awnallah Group for Initiating and Investments Ltd. v. Khazen</w:t>
      </w:r>
      <w:r w:rsidRPr="006F7384">
        <w:rPr>
          <w:rFonts w:asciiTheme="majorBidi" w:hAnsiTheme="majorBidi" w:cstheme="majorBidi"/>
        </w:rPr>
        <w:t xml:space="preserve"> 58(1) PD 224, 236-240 (2003); </w:t>
      </w:r>
      <w:r w:rsidRPr="006F7384">
        <w:rPr>
          <w:rFonts w:ascii="David" w:hAnsi="David" w:cs="David"/>
        </w:rPr>
        <w:t xml:space="preserve">C.A.4836/06 </w:t>
      </w:r>
      <w:r w:rsidRPr="006F7384">
        <w:rPr>
          <w:rFonts w:ascii="David" w:hAnsi="David" w:cs="David"/>
          <w:smallCaps/>
        </w:rPr>
        <w:t>Hamoud v.Harb</w:t>
      </w:r>
      <w:r w:rsidRPr="006F7384">
        <w:rPr>
          <w:rFonts w:ascii="David" w:hAnsi="David" w:cs="David"/>
        </w:rPr>
        <w:t>, par. 36 J.Rubinsein (Nevo, 13.7.2008).</w:t>
      </w:r>
    </w:p>
  </w:footnote>
  <w:footnote w:id="76">
    <w:p w14:paraId="645E8599" w14:textId="77777777" w:rsidR="00880DA6" w:rsidRPr="006F7384" w:rsidRDefault="00880DA6" w:rsidP="00880DA6">
      <w:pPr>
        <w:pStyle w:val="FootnoteText"/>
        <w:bidi w:val="0"/>
      </w:pPr>
      <w:r w:rsidRPr="006F7384">
        <w:rPr>
          <w:rStyle w:val="FootnoteReference"/>
        </w:rPr>
        <w:footnoteRef/>
      </w:r>
      <w:r w:rsidRPr="006F7384">
        <w:rPr>
          <w:rtl/>
        </w:rPr>
        <w:t xml:space="preserve"> </w:t>
      </w:r>
      <w:r w:rsidRPr="006F7384">
        <w:rPr>
          <w:rFonts w:asciiTheme="majorBidi" w:hAnsiTheme="majorBidi" w:cstheme="majorBidi"/>
        </w:rPr>
        <w:t xml:space="preserve">C.A. 48/16 </w:t>
      </w:r>
      <w:r w:rsidRPr="006F7384">
        <w:rPr>
          <w:rFonts w:asciiTheme="majorBidi" w:hAnsiTheme="majorBidi" w:cstheme="majorBidi"/>
          <w:smallCaps/>
        </w:rPr>
        <w:t>Dahan v, Simhon</w:t>
      </w:r>
      <w:r w:rsidRPr="006F7384">
        <w:rPr>
          <w:rFonts w:asciiTheme="majorBidi" w:hAnsiTheme="majorBidi" w:cstheme="majorBidi"/>
        </w:rPr>
        <w:t>, par.45 J. Barak-Erez (Nevo, 9.8.2017).</w:t>
      </w:r>
    </w:p>
  </w:footnote>
  <w:footnote w:id="77">
    <w:p w14:paraId="193817F9" w14:textId="77777777" w:rsidR="00880DA6" w:rsidRPr="006F7384" w:rsidRDefault="00880DA6" w:rsidP="00880DA6">
      <w:pPr>
        <w:pStyle w:val="FootnoteText"/>
        <w:bidi w:val="0"/>
      </w:pPr>
      <w:r w:rsidRPr="006F7384">
        <w:rPr>
          <w:rStyle w:val="FootnoteReference"/>
        </w:rPr>
        <w:footnoteRef/>
      </w:r>
      <w:r w:rsidRPr="006F7384">
        <w:rPr>
          <w:rtl/>
        </w:rPr>
        <w:t xml:space="preserve"> </w:t>
      </w:r>
      <w:r w:rsidRPr="006F7384">
        <w:rPr>
          <w:rFonts w:asciiTheme="majorBidi" w:hAnsiTheme="majorBidi" w:cstheme="majorBidi"/>
        </w:rPr>
        <w:t xml:space="preserve">C.A. 580/10 </w:t>
      </w:r>
      <w:r w:rsidRPr="006F7384">
        <w:rPr>
          <w:rFonts w:asciiTheme="majorBidi" w:hAnsiTheme="majorBidi" w:cstheme="majorBidi"/>
          <w:smallCaps/>
        </w:rPr>
        <w:t>Nir Cooperative - National Cooperative Society for Settlement Workers v. Hod Hasharon Municipality</w:t>
      </w:r>
      <w:r w:rsidRPr="006F7384">
        <w:rPr>
          <w:rFonts w:asciiTheme="majorBidi" w:hAnsiTheme="majorBidi" w:cstheme="majorBidi"/>
        </w:rPr>
        <w:t xml:space="preserve">, pars. 24-26 J. Melcer (25.7.2013); C.A. 136/14 </w:t>
      </w:r>
      <w:r w:rsidRPr="006F7384">
        <w:rPr>
          <w:rFonts w:asciiTheme="majorBidi" w:hAnsiTheme="majorBidi" w:cstheme="majorBidi"/>
          <w:smallCaps/>
        </w:rPr>
        <w:t>Dan Op Ltd v. Cornucopia Equities Ltd</w:t>
      </w:r>
      <w:r w:rsidRPr="006F7384">
        <w:rPr>
          <w:rFonts w:asciiTheme="majorBidi" w:hAnsiTheme="majorBidi" w:cstheme="majorBidi"/>
        </w:rPr>
        <w:t>, pars. 62-63 J. Melcer (Nevo, 6.9.2017).</w:t>
      </w:r>
    </w:p>
  </w:footnote>
  <w:footnote w:id="78">
    <w:p w14:paraId="089FB0BB" w14:textId="2AA40FFA" w:rsidR="00856693" w:rsidRPr="006F7384" w:rsidRDefault="00856693" w:rsidP="00856693">
      <w:pPr>
        <w:pStyle w:val="FootnoteText"/>
        <w:bidi w:val="0"/>
      </w:pPr>
      <w:r w:rsidRPr="006F7384">
        <w:rPr>
          <w:rStyle w:val="FootnoteReference"/>
        </w:rPr>
        <w:footnoteRef/>
      </w:r>
      <w:r w:rsidRPr="006F7384">
        <w:rPr>
          <w:rtl/>
        </w:rPr>
        <w:t xml:space="preserve"> </w:t>
      </w:r>
      <w:r w:rsidRPr="006F7384">
        <w:rPr>
          <w:rFonts w:asciiTheme="majorBidi" w:hAnsiTheme="majorBidi" w:cstheme="majorBidi"/>
          <w:smallCaps/>
        </w:rPr>
        <w:t>Gadi</w:t>
      </w:r>
      <w:r w:rsidRPr="006F7384">
        <w:rPr>
          <w:rFonts w:asciiTheme="majorBidi" w:hAnsiTheme="majorBidi" w:cstheme="majorBidi"/>
        </w:rPr>
        <w:t xml:space="preserve"> case, supra note </w:t>
      </w:r>
      <w:r w:rsidRPr="006F7384">
        <w:rPr>
          <w:rFonts w:asciiTheme="majorBidi" w:hAnsiTheme="majorBidi" w:cstheme="majorBidi"/>
        </w:rPr>
        <w:fldChar w:fldCharType="begin"/>
      </w:r>
      <w:r w:rsidRPr="006F7384">
        <w:rPr>
          <w:rFonts w:asciiTheme="majorBidi" w:hAnsiTheme="majorBidi" w:cstheme="majorBidi"/>
        </w:rPr>
        <w:instrText xml:space="preserve"> NOTEREF _Ref518581301 \h </w:instrText>
      </w:r>
      <w:r w:rsidRPr="006F7384">
        <w:rPr>
          <w:rFonts w:asciiTheme="majorBidi" w:hAnsiTheme="majorBidi" w:cstheme="majorBidi"/>
        </w:rPr>
      </w:r>
      <w:r w:rsidRPr="006F7384">
        <w:rPr>
          <w:rFonts w:asciiTheme="majorBidi" w:hAnsiTheme="majorBidi" w:cstheme="majorBidi"/>
        </w:rPr>
        <w:fldChar w:fldCharType="separate"/>
      </w:r>
      <w:r w:rsidRPr="006F7384">
        <w:rPr>
          <w:rFonts w:asciiTheme="majorBidi" w:hAnsiTheme="majorBidi" w:cstheme="majorBidi"/>
        </w:rPr>
        <w:t>43</w:t>
      </w:r>
      <w:r w:rsidRPr="006F7384">
        <w:rPr>
          <w:rFonts w:asciiTheme="majorBidi" w:hAnsiTheme="majorBidi" w:cstheme="majorBidi"/>
        </w:rPr>
        <w:fldChar w:fldCharType="end"/>
      </w:r>
      <w:r w:rsidRPr="006F7384">
        <w:rPr>
          <w:rFonts w:asciiTheme="majorBidi" w:hAnsiTheme="majorBidi" w:cstheme="majorBidi"/>
        </w:rPr>
        <w:t xml:space="preserve">, at 707-708; Dagan </w:t>
      </w:r>
      <w:proofErr w:type="gramStart"/>
      <w:r w:rsidRPr="006F7384">
        <w:rPr>
          <w:rFonts w:asciiTheme="majorBidi" w:hAnsiTheme="majorBidi" w:cstheme="majorBidi"/>
          <w:i/>
          <w:iCs/>
        </w:rPr>
        <w:t>Codification</w:t>
      </w:r>
      <w:r w:rsidRPr="006F7384">
        <w:rPr>
          <w:rFonts w:asciiTheme="majorBidi" w:hAnsiTheme="majorBidi" w:cstheme="majorBidi"/>
        </w:rPr>
        <w:t xml:space="preserve"> ,</w:t>
      </w:r>
      <w:proofErr w:type="gramEnd"/>
      <w:r w:rsidRPr="006F7384">
        <w:rPr>
          <w:rFonts w:asciiTheme="majorBidi" w:hAnsiTheme="majorBidi" w:cstheme="majorBidi"/>
        </w:rPr>
        <w:t xml:space="preserve"> supra note </w:t>
      </w:r>
      <w:r w:rsidRPr="006F7384">
        <w:rPr>
          <w:rFonts w:asciiTheme="majorBidi" w:hAnsiTheme="majorBidi" w:cstheme="majorBidi"/>
        </w:rPr>
        <w:fldChar w:fldCharType="begin"/>
      </w:r>
      <w:r w:rsidRPr="006F7384">
        <w:rPr>
          <w:rFonts w:asciiTheme="majorBidi" w:hAnsiTheme="majorBidi" w:cstheme="majorBidi"/>
        </w:rPr>
        <w:instrText xml:space="preserve"> NOTEREF _Ref518547722 \h </w:instrText>
      </w:r>
      <w:r w:rsidRPr="006F7384">
        <w:rPr>
          <w:rFonts w:asciiTheme="majorBidi" w:hAnsiTheme="majorBidi" w:cstheme="majorBidi"/>
        </w:rPr>
      </w:r>
      <w:r w:rsidRPr="006F7384">
        <w:rPr>
          <w:rFonts w:asciiTheme="majorBidi" w:hAnsiTheme="majorBidi" w:cstheme="majorBidi"/>
        </w:rPr>
        <w:fldChar w:fldCharType="separate"/>
      </w:r>
      <w:r w:rsidRPr="006F7384">
        <w:rPr>
          <w:rFonts w:asciiTheme="majorBidi" w:hAnsiTheme="majorBidi" w:cstheme="majorBidi"/>
        </w:rPr>
        <w:t>31</w:t>
      </w:r>
      <w:r w:rsidRPr="006F7384">
        <w:rPr>
          <w:rFonts w:asciiTheme="majorBidi" w:hAnsiTheme="majorBidi" w:cstheme="majorBidi"/>
        </w:rPr>
        <w:fldChar w:fldCharType="end"/>
      </w:r>
      <w:r w:rsidRPr="006F7384">
        <w:rPr>
          <w:rFonts w:asciiTheme="majorBidi" w:hAnsiTheme="majorBidi" w:cstheme="majorBidi"/>
        </w:rPr>
        <w:t>, at 176-177.</w:t>
      </w:r>
    </w:p>
  </w:footnote>
  <w:footnote w:id="79">
    <w:p w14:paraId="2BCDDDDF" w14:textId="77777777" w:rsidR="00F46426" w:rsidRPr="006F7384" w:rsidRDefault="00F46426" w:rsidP="00741F63">
      <w:pPr>
        <w:pStyle w:val="FootnoteText"/>
        <w:bidi w:val="0"/>
      </w:pPr>
      <w:r w:rsidRPr="006F7384">
        <w:rPr>
          <w:rStyle w:val="FootnoteReference"/>
        </w:rPr>
        <w:footnoteRef/>
      </w:r>
      <w:r w:rsidRPr="006F7384">
        <w:rPr>
          <w:rtl/>
        </w:rPr>
        <w:t xml:space="preserve"> </w:t>
      </w:r>
      <w:r w:rsidRPr="006F7384">
        <w:rPr>
          <w:rFonts w:asciiTheme="majorBidi" w:hAnsiTheme="majorBidi" w:cstheme="majorBidi"/>
        </w:rPr>
        <w:t xml:space="preserve">C.A. 216/66 </w:t>
      </w:r>
      <w:r w:rsidRPr="006F7384">
        <w:rPr>
          <w:rFonts w:asciiTheme="majorBidi" w:hAnsiTheme="majorBidi" w:cstheme="majorBidi"/>
          <w:smallCaps/>
        </w:rPr>
        <w:t>City of Tel-Aviv v. Abu Daia</w:t>
      </w:r>
      <w:r w:rsidRPr="006F7384">
        <w:rPr>
          <w:rFonts w:asciiTheme="majorBidi" w:hAnsiTheme="majorBidi" w:cstheme="majorBidi"/>
        </w:rPr>
        <w:t xml:space="preserve"> 20(4) PD 522, 546 (1966</w:t>
      </w:r>
      <w:proofErr w:type="gramStart"/>
      <w:r w:rsidRPr="006F7384">
        <w:rPr>
          <w:rFonts w:asciiTheme="majorBidi" w:hAnsiTheme="majorBidi" w:cstheme="majorBidi"/>
        </w:rPr>
        <w:t>)(</w:t>
      </w:r>
      <w:proofErr w:type="gramEnd"/>
      <w:r w:rsidRPr="006F7384">
        <w:rPr>
          <w:rFonts w:asciiTheme="majorBidi" w:hAnsiTheme="majorBidi" w:cstheme="majorBidi"/>
        </w:rPr>
        <w:t xml:space="preserve">Hebrew); C.A. 695/76 </w:t>
      </w:r>
      <w:r w:rsidRPr="006F7384">
        <w:rPr>
          <w:rFonts w:asciiTheme="majorBidi" w:hAnsiTheme="majorBidi" w:cstheme="majorBidi"/>
          <w:smallCaps/>
        </w:rPr>
        <w:t>Rosen v. City of Haifa</w:t>
      </w:r>
      <w:r w:rsidRPr="006F7384">
        <w:rPr>
          <w:rFonts w:asciiTheme="majorBidi" w:hAnsiTheme="majorBidi" w:cstheme="majorBidi"/>
        </w:rPr>
        <w:t xml:space="preserve"> 33(1)PD 175, 188 (1978); Rachelle Alterman, </w:t>
      </w:r>
      <w:r w:rsidRPr="006F7384">
        <w:rPr>
          <w:rFonts w:asciiTheme="majorBidi" w:hAnsiTheme="majorBidi" w:cstheme="majorBidi"/>
          <w:smallCaps/>
        </w:rPr>
        <w:t>Takings international: A comparative perspective on land use regulations and compensation rights</w:t>
      </w:r>
      <w:r w:rsidRPr="006F7384">
        <w:rPr>
          <w:rFonts w:asciiTheme="majorBidi" w:hAnsiTheme="majorBidi" w:cstheme="majorBidi"/>
        </w:rPr>
        <w:t xml:space="preserve"> 315</w:t>
      </w:r>
      <w:r w:rsidRPr="006F7384">
        <w:rPr>
          <w:rFonts w:asciiTheme="majorBidi" w:hAnsiTheme="majorBidi" w:cstheme="majorBidi"/>
          <w:color w:val="333333"/>
        </w:rPr>
        <w:t> </w:t>
      </w:r>
      <w:r w:rsidRPr="006F7384">
        <w:rPr>
          <w:rFonts w:asciiTheme="majorBidi" w:hAnsiTheme="majorBidi" w:cstheme="majorBidi"/>
        </w:rPr>
        <w:t>(ABA 2010).</w:t>
      </w:r>
    </w:p>
  </w:footnote>
  <w:footnote w:id="80">
    <w:p w14:paraId="13C58670" w14:textId="77777777" w:rsidR="00F46426" w:rsidRPr="006F7384" w:rsidRDefault="00F46426" w:rsidP="00A03DA5">
      <w:pPr>
        <w:pStyle w:val="FootnoteText"/>
        <w:bidi w:val="0"/>
      </w:pPr>
      <w:r w:rsidRPr="006F7384">
        <w:rPr>
          <w:rStyle w:val="FootnoteReference"/>
        </w:rPr>
        <w:footnoteRef/>
      </w:r>
      <w:r w:rsidRPr="006F7384">
        <w:rPr>
          <w:rtl/>
        </w:rPr>
        <w:t xml:space="preserve"> </w:t>
      </w:r>
      <w:r w:rsidRPr="006F7384">
        <w:rPr>
          <w:rFonts w:asciiTheme="majorBidi" w:hAnsiTheme="majorBidi" w:cstheme="majorBidi"/>
        </w:rPr>
        <w:t xml:space="preserve">Lands (Expropriation) Ordinance, 1943, PG [Palestine Gazette—Official Gazette during the Mandatory Government], supp. I 32 (1943) § 4, 20; Planning and Building law 5725-1965, §190, 197, 200, 19 L.S.I 330 (Original text); Unofficial consolidated translation by the Israel Ministry of Environmental Protection (2008): </w:t>
      </w:r>
      <w:hyperlink r:id="rId26" w:history="1">
        <w:r w:rsidRPr="006F7384">
          <w:rPr>
            <w:rStyle w:val="Hyperlink"/>
            <w:rFonts w:asciiTheme="majorBidi" w:hAnsiTheme="majorBidi" w:cstheme="majorBidi"/>
          </w:rPr>
          <w:t>http://www.sviva.gov.il/English/Legislation/Documents/Planning%20and%20Building%20Laws%20and%20Regulations/PlanningAndBuildingLaw1965-Excerpts.pdf</w:t>
        </w:r>
      </w:hyperlink>
      <w:r w:rsidRPr="006F7384">
        <w:rPr>
          <w:rFonts w:asciiTheme="majorBidi" w:hAnsiTheme="majorBidi" w:cstheme="majorBidi"/>
        </w:rPr>
        <w:t>. Consolidated binding most updated version is available only in Hebrew. In the absence of updated translation, I shall refer to the combined updated Hebrew version published by Nevo Publishers.</w:t>
      </w:r>
    </w:p>
  </w:footnote>
  <w:footnote w:id="81">
    <w:p w14:paraId="1BC322AC" w14:textId="77777777" w:rsidR="00F46426" w:rsidRPr="006F7384" w:rsidRDefault="00F46426" w:rsidP="00A03DA5">
      <w:pPr>
        <w:pStyle w:val="FootnoteText"/>
        <w:bidi w:val="0"/>
      </w:pPr>
      <w:r w:rsidRPr="006F7384">
        <w:rPr>
          <w:rStyle w:val="FootnoteReference"/>
        </w:rPr>
        <w:footnoteRef/>
      </w:r>
      <w:r w:rsidRPr="006F7384">
        <w:rPr>
          <w:rtl/>
        </w:rPr>
        <w:t xml:space="preserve"> </w:t>
      </w:r>
      <w:r w:rsidRPr="006F7384">
        <w:rPr>
          <w:rFonts w:asciiTheme="majorBidi" w:hAnsiTheme="majorBidi" w:cstheme="majorBidi"/>
        </w:rPr>
        <w:t xml:space="preserve">Alterman, </w:t>
      </w:r>
      <w:r w:rsidRPr="006F7384">
        <w:rPr>
          <w:rFonts w:asciiTheme="majorBidi" w:hAnsiTheme="majorBidi" w:cstheme="majorBidi"/>
          <w:smallCaps/>
        </w:rPr>
        <w:t xml:space="preserve">Takings international, </w:t>
      </w:r>
      <w:r w:rsidRPr="006F7384">
        <w:rPr>
          <w:rFonts w:asciiTheme="majorBidi" w:hAnsiTheme="majorBidi" w:cstheme="majorBidi"/>
        </w:rPr>
        <w:t xml:space="preserve">supra note </w:t>
      </w:r>
      <w:r w:rsidRPr="006F7384">
        <w:rPr>
          <w:rFonts w:asciiTheme="majorBidi" w:hAnsiTheme="majorBidi" w:cstheme="majorBidi"/>
        </w:rPr>
        <w:fldChar w:fldCharType="begin"/>
      </w:r>
      <w:r w:rsidRPr="006F7384">
        <w:rPr>
          <w:rFonts w:asciiTheme="majorBidi" w:hAnsiTheme="majorBidi" w:cstheme="majorBidi"/>
        </w:rPr>
        <w:instrText xml:space="preserve"> NOTEREF _Ref518637374 \h </w:instrText>
      </w:r>
      <w:r w:rsidRPr="006F7384">
        <w:rPr>
          <w:rFonts w:asciiTheme="majorBidi" w:hAnsiTheme="majorBidi" w:cstheme="majorBidi"/>
        </w:rPr>
      </w:r>
      <w:r w:rsidRPr="006F7384">
        <w:rPr>
          <w:rFonts w:asciiTheme="majorBidi" w:hAnsiTheme="majorBidi" w:cstheme="majorBidi"/>
        </w:rPr>
        <w:fldChar w:fldCharType="separate"/>
      </w:r>
      <w:r w:rsidRPr="006F7384">
        <w:rPr>
          <w:rFonts w:asciiTheme="majorBidi" w:hAnsiTheme="majorBidi" w:cstheme="majorBidi"/>
        </w:rPr>
        <w:t>79</w:t>
      </w:r>
      <w:r w:rsidRPr="006F7384">
        <w:rPr>
          <w:rFonts w:asciiTheme="majorBidi" w:hAnsiTheme="majorBidi" w:cstheme="majorBidi"/>
        </w:rPr>
        <w:fldChar w:fldCharType="end"/>
      </w:r>
      <w:r w:rsidRPr="006F7384">
        <w:rPr>
          <w:rFonts w:asciiTheme="majorBidi" w:hAnsiTheme="majorBidi" w:cstheme="majorBidi"/>
        </w:rPr>
        <w:t>, at 316-317</w:t>
      </w:r>
    </w:p>
  </w:footnote>
  <w:footnote w:id="82">
    <w:p w14:paraId="2815EBDD" w14:textId="77777777" w:rsidR="00F46426" w:rsidRPr="006F7384" w:rsidRDefault="00F46426" w:rsidP="00FB6EC1">
      <w:pPr>
        <w:pStyle w:val="FootnoteText"/>
        <w:bidi w:val="0"/>
        <w:jc w:val="both"/>
        <w:rPr>
          <w:rFonts w:asciiTheme="majorBidi" w:hAnsiTheme="majorBidi" w:cstheme="majorBidi"/>
        </w:rPr>
      </w:pPr>
      <w:r w:rsidRPr="006F7384">
        <w:rPr>
          <w:rStyle w:val="FootnoteReference"/>
        </w:rPr>
        <w:footnoteRef/>
      </w:r>
      <w:r w:rsidRPr="006F7384">
        <w:rPr>
          <w:rtl/>
        </w:rPr>
        <w:t xml:space="preserve"> </w:t>
      </w:r>
      <w:r w:rsidRPr="006F7384">
        <w:rPr>
          <w:rFonts w:asciiTheme="majorBidi" w:hAnsiTheme="majorBidi" w:cstheme="majorBidi"/>
        </w:rPr>
        <w:t xml:space="preserve">CFH 2316/95 </w:t>
      </w:r>
      <w:r w:rsidRPr="006F7384">
        <w:rPr>
          <w:rFonts w:asciiTheme="majorBidi" w:hAnsiTheme="majorBidi" w:cstheme="majorBidi"/>
          <w:smallCaps/>
        </w:rPr>
        <w:t>Ganimat v. The State of Israel</w:t>
      </w:r>
      <w:r w:rsidRPr="006F7384">
        <w:rPr>
          <w:rFonts w:asciiTheme="majorBidi" w:hAnsiTheme="majorBidi" w:cstheme="majorBidi"/>
        </w:rPr>
        <w:t xml:space="preserve">  PD 49(4) 589, 652-654 (1995); FHCJ 4466/94 </w:t>
      </w:r>
      <w:r w:rsidRPr="006F7384">
        <w:rPr>
          <w:rFonts w:asciiTheme="majorBidi" w:hAnsiTheme="majorBidi" w:cstheme="majorBidi"/>
          <w:smallCaps/>
        </w:rPr>
        <w:t>Nusseibeh v. Minister of Finance</w:t>
      </w:r>
      <w:r w:rsidRPr="006F7384">
        <w:rPr>
          <w:rFonts w:asciiTheme="majorBidi" w:hAnsiTheme="majorBidi" w:cstheme="majorBidi"/>
        </w:rPr>
        <w:t xml:space="preserve">, PD 43 (4) 68, 85-89 (1995)(Hebrew)(Hereafter: </w:t>
      </w:r>
      <w:r w:rsidRPr="006F7384">
        <w:rPr>
          <w:rFonts w:asciiTheme="majorBidi" w:hAnsiTheme="majorBidi" w:cstheme="majorBidi"/>
          <w:smallCaps/>
        </w:rPr>
        <w:t>Nusseibeh</w:t>
      </w:r>
      <w:r w:rsidRPr="006F7384">
        <w:rPr>
          <w:rFonts w:asciiTheme="majorBidi" w:hAnsiTheme="majorBidi" w:cstheme="majorBidi"/>
        </w:rPr>
        <w:t xml:space="preserve"> case.</w:t>
      </w:r>
    </w:p>
  </w:footnote>
  <w:footnote w:id="83">
    <w:p w14:paraId="6C064CC8" w14:textId="77777777" w:rsidR="00F46426" w:rsidRPr="006F7384" w:rsidRDefault="00F46426" w:rsidP="00FB6EC1">
      <w:pPr>
        <w:pStyle w:val="FootnoteText"/>
        <w:bidi w:val="0"/>
      </w:pPr>
      <w:r w:rsidRPr="006F7384">
        <w:rPr>
          <w:rStyle w:val="FootnoteReference"/>
        </w:rPr>
        <w:footnoteRef/>
      </w:r>
      <w:r w:rsidRPr="006F7384">
        <w:rPr>
          <w:rtl/>
        </w:rPr>
        <w:t xml:space="preserve"> </w:t>
      </w:r>
      <w:r w:rsidRPr="006F7384">
        <w:rPr>
          <w:rFonts w:asciiTheme="majorBidi" w:hAnsiTheme="majorBidi" w:cstheme="majorBidi"/>
        </w:rPr>
        <w:t xml:space="preserve">Yifaat Holzman-Gazit, </w:t>
      </w:r>
      <w:r w:rsidRPr="006F7384">
        <w:rPr>
          <w:rFonts w:asciiTheme="majorBidi" w:hAnsiTheme="majorBidi" w:cstheme="majorBidi"/>
          <w:smallCaps/>
        </w:rPr>
        <w:t>Land expropriation in Israel: Law culture and society</w:t>
      </w:r>
      <w:r w:rsidRPr="006F7384">
        <w:rPr>
          <w:rFonts w:asciiTheme="majorBidi" w:hAnsiTheme="majorBidi" w:cstheme="majorBidi"/>
        </w:rPr>
        <w:t xml:space="preserve"> 167–168 (2007).</w:t>
      </w:r>
    </w:p>
  </w:footnote>
  <w:footnote w:id="84">
    <w:p w14:paraId="48BC8A25" w14:textId="77777777" w:rsidR="00F46426" w:rsidRPr="006F7384" w:rsidRDefault="00F46426" w:rsidP="00FB6EC1">
      <w:pPr>
        <w:pStyle w:val="FootnoteText"/>
        <w:bidi w:val="0"/>
      </w:pPr>
      <w:r w:rsidRPr="006F7384">
        <w:rPr>
          <w:rStyle w:val="FootnoteReference"/>
        </w:rPr>
        <w:footnoteRef/>
      </w:r>
      <w:r w:rsidRPr="006F7384">
        <w:rPr>
          <w:rtl/>
        </w:rPr>
        <w:t xml:space="preserve"> </w:t>
      </w:r>
      <w:r w:rsidRPr="006F7384">
        <w:rPr>
          <w:rFonts w:asciiTheme="majorBidi" w:hAnsiTheme="majorBidi" w:cstheme="majorBidi"/>
        </w:rPr>
        <w:t xml:space="preserve">Alterman, </w:t>
      </w:r>
      <w:r w:rsidRPr="006F7384">
        <w:rPr>
          <w:rFonts w:asciiTheme="majorBidi" w:hAnsiTheme="majorBidi" w:cstheme="majorBidi"/>
          <w:smallCaps/>
        </w:rPr>
        <w:t xml:space="preserve">Takings international, </w:t>
      </w:r>
      <w:r w:rsidRPr="006F7384">
        <w:rPr>
          <w:rFonts w:asciiTheme="majorBidi" w:hAnsiTheme="majorBidi" w:cstheme="majorBidi"/>
        </w:rPr>
        <w:t xml:space="preserve">supra note </w:t>
      </w:r>
      <w:r w:rsidRPr="006F7384">
        <w:rPr>
          <w:rFonts w:asciiTheme="majorBidi" w:hAnsiTheme="majorBidi" w:cstheme="majorBidi"/>
        </w:rPr>
        <w:fldChar w:fldCharType="begin"/>
      </w:r>
      <w:r w:rsidRPr="006F7384">
        <w:rPr>
          <w:rFonts w:asciiTheme="majorBidi" w:hAnsiTheme="majorBidi" w:cstheme="majorBidi"/>
        </w:rPr>
        <w:instrText xml:space="preserve"> NOTEREF _Ref518637374 \h </w:instrText>
      </w:r>
      <w:r w:rsidRPr="006F7384">
        <w:rPr>
          <w:rFonts w:asciiTheme="majorBidi" w:hAnsiTheme="majorBidi" w:cstheme="majorBidi"/>
        </w:rPr>
      </w:r>
      <w:r w:rsidRPr="006F7384">
        <w:rPr>
          <w:rFonts w:asciiTheme="majorBidi" w:hAnsiTheme="majorBidi" w:cstheme="majorBidi"/>
        </w:rPr>
        <w:fldChar w:fldCharType="separate"/>
      </w:r>
      <w:r w:rsidRPr="006F7384">
        <w:rPr>
          <w:rFonts w:asciiTheme="majorBidi" w:hAnsiTheme="majorBidi" w:cstheme="majorBidi"/>
        </w:rPr>
        <w:t>79</w:t>
      </w:r>
      <w:r w:rsidRPr="006F7384">
        <w:rPr>
          <w:rFonts w:asciiTheme="majorBidi" w:hAnsiTheme="majorBidi" w:cstheme="majorBidi"/>
        </w:rPr>
        <w:fldChar w:fldCharType="end"/>
      </w:r>
      <w:r w:rsidRPr="006F7384">
        <w:rPr>
          <w:rFonts w:asciiTheme="majorBidi" w:hAnsiTheme="majorBidi" w:cstheme="majorBidi"/>
        </w:rPr>
        <w:t>, at 316.</w:t>
      </w:r>
    </w:p>
  </w:footnote>
  <w:footnote w:id="85">
    <w:p w14:paraId="5A666601" w14:textId="77777777" w:rsidR="00F46426" w:rsidRPr="006F7384" w:rsidRDefault="00F46426" w:rsidP="006A5284">
      <w:pPr>
        <w:pStyle w:val="FootnoteText"/>
        <w:bidi w:val="0"/>
      </w:pPr>
      <w:r w:rsidRPr="006F7384">
        <w:rPr>
          <w:rStyle w:val="FootnoteReference"/>
        </w:rPr>
        <w:footnoteRef/>
      </w:r>
      <w:r w:rsidRPr="006F7384">
        <w:rPr>
          <w:rtl/>
        </w:rPr>
        <w:t xml:space="preserve"> </w:t>
      </w:r>
      <w:r w:rsidRPr="006F7384">
        <w:t xml:space="preserve"> </w:t>
      </w:r>
      <w:r w:rsidRPr="006F7384">
        <w:rPr>
          <w:rFonts w:asciiTheme="majorBidi" w:hAnsiTheme="majorBidi" w:cstheme="majorBidi"/>
        </w:rPr>
        <w:t xml:space="preserve">Supra note </w:t>
      </w:r>
      <w:r w:rsidRPr="006F7384">
        <w:rPr>
          <w:rFonts w:asciiTheme="majorBidi" w:hAnsiTheme="majorBidi" w:cstheme="majorBidi"/>
        </w:rPr>
        <w:fldChar w:fldCharType="begin"/>
      </w:r>
      <w:r w:rsidRPr="006F7384">
        <w:rPr>
          <w:rFonts w:asciiTheme="majorBidi" w:hAnsiTheme="majorBidi" w:cstheme="majorBidi"/>
        </w:rPr>
        <w:instrText xml:space="preserve"> NOTEREF _Ref518640772 \h  \* MERGEFORMAT </w:instrText>
      </w:r>
      <w:r w:rsidRPr="006F7384">
        <w:rPr>
          <w:rFonts w:asciiTheme="majorBidi" w:hAnsiTheme="majorBidi" w:cstheme="majorBidi"/>
        </w:rPr>
      </w:r>
      <w:r w:rsidRPr="006F7384">
        <w:rPr>
          <w:rFonts w:asciiTheme="majorBidi" w:hAnsiTheme="majorBidi" w:cstheme="majorBidi"/>
        </w:rPr>
        <w:fldChar w:fldCharType="separate"/>
      </w:r>
      <w:r w:rsidRPr="006F7384">
        <w:rPr>
          <w:rFonts w:asciiTheme="majorBidi" w:hAnsiTheme="majorBidi" w:cstheme="majorBidi"/>
        </w:rPr>
        <w:t>80</w:t>
      </w:r>
      <w:r w:rsidRPr="006F7384">
        <w:rPr>
          <w:rFonts w:asciiTheme="majorBidi" w:hAnsiTheme="majorBidi" w:cstheme="majorBidi"/>
        </w:rPr>
        <w:fldChar w:fldCharType="end"/>
      </w:r>
      <w:r w:rsidRPr="006F7384">
        <w:rPr>
          <w:rFonts w:asciiTheme="majorBidi" w:hAnsiTheme="majorBidi" w:cstheme="majorBidi"/>
        </w:rPr>
        <w:t>.</w:t>
      </w:r>
    </w:p>
  </w:footnote>
  <w:footnote w:id="86">
    <w:p w14:paraId="53AFEAC8" w14:textId="55470942" w:rsidR="00C91DE4" w:rsidRDefault="00C91DE4" w:rsidP="00C91DE4">
      <w:pPr>
        <w:pStyle w:val="FootnoteText"/>
        <w:bidi w:val="0"/>
      </w:pPr>
      <w:r>
        <w:rPr>
          <w:rStyle w:val="FootnoteReference"/>
        </w:rPr>
        <w:footnoteRef/>
      </w:r>
      <w:r>
        <w:rPr>
          <w:rtl/>
        </w:rPr>
        <w:t xml:space="preserve"> </w:t>
      </w:r>
      <w:r>
        <w:rPr>
          <w:rFonts w:asciiTheme="majorBidi" w:hAnsiTheme="majorBidi" w:cstheme="majorBidi"/>
        </w:rPr>
        <w:t xml:space="preserve">US Constitution, </w:t>
      </w:r>
      <w:r w:rsidRPr="004E7B4E">
        <w:rPr>
          <w:rFonts w:asciiTheme="majorBidi" w:hAnsiTheme="majorBidi" w:cstheme="majorBidi"/>
        </w:rPr>
        <w:t>Ame</w:t>
      </w:r>
      <w:r>
        <w:rPr>
          <w:rFonts w:asciiTheme="majorBidi" w:hAnsiTheme="majorBidi" w:cstheme="majorBidi"/>
        </w:rPr>
        <w:t>n</w:t>
      </w:r>
      <w:r w:rsidRPr="004E7B4E">
        <w:rPr>
          <w:rFonts w:asciiTheme="majorBidi" w:hAnsiTheme="majorBidi" w:cstheme="majorBidi"/>
        </w:rPr>
        <w:t>dme</w:t>
      </w:r>
      <w:r>
        <w:rPr>
          <w:rFonts w:asciiTheme="majorBidi" w:hAnsiTheme="majorBidi" w:cstheme="majorBidi"/>
        </w:rPr>
        <w:t>n</w:t>
      </w:r>
      <w:r w:rsidRPr="004E7B4E">
        <w:rPr>
          <w:rFonts w:asciiTheme="majorBidi" w:hAnsiTheme="majorBidi" w:cstheme="majorBidi"/>
        </w:rPr>
        <w:t>ts 5, 14</w:t>
      </w:r>
      <w:r>
        <w:rPr>
          <w:rFonts w:asciiTheme="majorBidi" w:hAnsiTheme="majorBidi" w:cstheme="majorBidi"/>
        </w:rPr>
        <w:t>.</w:t>
      </w:r>
    </w:p>
  </w:footnote>
  <w:footnote w:id="87">
    <w:p w14:paraId="256419BE" w14:textId="77777777" w:rsidR="00F46426" w:rsidRPr="006F7384" w:rsidRDefault="00F46426" w:rsidP="006A5284">
      <w:pPr>
        <w:pStyle w:val="FootnoteText"/>
        <w:bidi w:val="0"/>
      </w:pPr>
      <w:r w:rsidRPr="006F7384">
        <w:rPr>
          <w:rStyle w:val="FootnoteReference"/>
        </w:rPr>
        <w:footnoteRef/>
      </w:r>
      <w:r w:rsidRPr="006F7384">
        <w:rPr>
          <w:rtl/>
        </w:rPr>
        <w:t xml:space="preserve"> </w:t>
      </w:r>
      <w:r w:rsidRPr="006F7384">
        <w:rPr>
          <w:rFonts w:asciiTheme="majorBidi" w:hAnsiTheme="majorBidi" w:cstheme="majorBidi"/>
          <w:smallCaps/>
        </w:rPr>
        <w:t xml:space="preserve">Kelo v. City of </w:t>
      </w:r>
      <w:proofErr w:type="gramStart"/>
      <w:r w:rsidRPr="006F7384">
        <w:rPr>
          <w:rFonts w:asciiTheme="majorBidi" w:hAnsiTheme="majorBidi" w:cstheme="majorBidi"/>
          <w:smallCaps/>
        </w:rPr>
        <w:t>New London</w:t>
      </w:r>
      <w:proofErr w:type="gramEnd"/>
      <w:r w:rsidRPr="006F7384">
        <w:rPr>
          <w:rFonts w:asciiTheme="majorBidi" w:hAnsiTheme="majorBidi" w:cstheme="majorBidi"/>
        </w:rPr>
        <w:t>, 545</w:t>
      </w:r>
      <w:r w:rsidRPr="006F7384">
        <w:rPr>
          <w:rFonts w:asciiTheme="majorBidi" w:hAnsiTheme="majorBidi" w:cstheme="majorBidi"/>
          <w:smallCaps/>
        </w:rPr>
        <w:t xml:space="preserve"> U.S</w:t>
      </w:r>
      <w:r w:rsidRPr="006F7384">
        <w:rPr>
          <w:rFonts w:asciiTheme="majorBidi" w:hAnsiTheme="majorBidi" w:cstheme="majorBidi"/>
        </w:rPr>
        <w:t>. 469, 485 (2005)</w:t>
      </w:r>
      <w:r w:rsidRPr="006F7384">
        <w:t>.</w:t>
      </w:r>
    </w:p>
  </w:footnote>
  <w:footnote w:id="88">
    <w:p w14:paraId="188648D7" w14:textId="6617F3E8" w:rsidR="00F46426" w:rsidRPr="006F7384" w:rsidRDefault="00F46426" w:rsidP="004E50E8">
      <w:pPr>
        <w:pStyle w:val="FootnoteText"/>
        <w:bidi w:val="0"/>
      </w:pPr>
      <w:r w:rsidRPr="006F7384">
        <w:rPr>
          <w:rStyle w:val="FootnoteReference"/>
        </w:rPr>
        <w:footnoteRef/>
      </w:r>
      <w:r w:rsidRPr="006F7384">
        <w:rPr>
          <w:rtl/>
        </w:rPr>
        <w:t xml:space="preserve"> </w:t>
      </w:r>
      <w:r w:rsidRPr="006F7384">
        <w:rPr>
          <w:rFonts w:asciiTheme="majorBidi" w:hAnsiTheme="majorBidi" w:cstheme="majorBidi"/>
        </w:rPr>
        <w:t xml:space="preserve">Holzman-Gazit , supra note </w:t>
      </w:r>
      <w:r w:rsidRPr="006F7384">
        <w:rPr>
          <w:rFonts w:asciiTheme="majorBidi" w:hAnsiTheme="majorBidi" w:cstheme="majorBidi"/>
        </w:rPr>
        <w:fldChar w:fldCharType="begin"/>
      </w:r>
      <w:r w:rsidRPr="006F7384">
        <w:rPr>
          <w:rFonts w:asciiTheme="majorBidi" w:hAnsiTheme="majorBidi" w:cstheme="majorBidi"/>
        </w:rPr>
        <w:instrText xml:space="preserve"> NOTEREF _Ref518643409 \h </w:instrText>
      </w:r>
      <w:r w:rsidRPr="006F7384">
        <w:rPr>
          <w:rFonts w:asciiTheme="majorBidi" w:hAnsiTheme="majorBidi" w:cstheme="majorBidi"/>
        </w:rPr>
      </w:r>
      <w:r w:rsidRPr="006F7384">
        <w:rPr>
          <w:rFonts w:asciiTheme="majorBidi" w:hAnsiTheme="majorBidi" w:cstheme="majorBidi"/>
        </w:rPr>
        <w:fldChar w:fldCharType="separate"/>
      </w:r>
      <w:r w:rsidRPr="006F7384">
        <w:rPr>
          <w:rFonts w:asciiTheme="majorBidi" w:hAnsiTheme="majorBidi" w:cstheme="majorBidi"/>
        </w:rPr>
        <w:t>83</w:t>
      </w:r>
      <w:r w:rsidRPr="006F7384">
        <w:rPr>
          <w:rFonts w:asciiTheme="majorBidi" w:hAnsiTheme="majorBidi" w:cstheme="majorBidi"/>
        </w:rPr>
        <w:fldChar w:fldCharType="end"/>
      </w:r>
      <w:r w:rsidRPr="006F7384">
        <w:rPr>
          <w:rFonts w:asciiTheme="majorBidi" w:hAnsiTheme="majorBidi" w:cstheme="majorBidi"/>
        </w:rPr>
        <w:t xml:space="preserve">, at </w:t>
      </w:r>
      <w:r w:rsidRPr="006F7384">
        <w:rPr>
          <w:rFonts w:asciiTheme="majorBidi" w:hAnsiTheme="majorBidi" w:cstheme="majorBidi"/>
          <w:highlight w:val="yellow"/>
        </w:rPr>
        <w:t>???</w:t>
      </w:r>
      <w:r w:rsidRPr="006F7384">
        <w:rPr>
          <w:rFonts w:asciiTheme="majorBidi" w:hAnsiTheme="majorBidi" w:cstheme="majorBidi"/>
        </w:rPr>
        <w:t xml:space="preserve">; Haim Sandberg </w:t>
      </w:r>
      <w:r w:rsidRPr="006F7384">
        <w:rPr>
          <w:rFonts w:asciiTheme="majorBidi" w:hAnsiTheme="majorBidi" w:cstheme="majorBidi"/>
          <w:i/>
          <w:iCs/>
        </w:rPr>
        <w:t>Land Expropriations of Private Arab Land in Israel - An Empirical Analysis of the Regular Course of Business</w:t>
      </w:r>
      <w:r w:rsidRPr="006F7384">
        <w:rPr>
          <w:rFonts w:asciiTheme="majorBidi" w:hAnsiTheme="majorBidi" w:cstheme="majorBidi"/>
        </w:rPr>
        <w:t xml:space="preserve">, 43 </w:t>
      </w:r>
      <w:r w:rsidRPr="006F7384">
        <w:rPr>
          <w:rFonts w:asciiTheme="majorBidi" w:hAnsiTheme="majorBidi" w:cstheme="majorBidi"/>
          <w:smallCaps/>
        </w:rPr>
        <w:t>Israel Law Review</w:t>
      </w:r>
      <w:r w:rsidRPr="006F7384">
        <w:rPr>
          <w:rFonts w:asciiTheme="majorBidi" w:hAnsiTheme="majorBidi" w:cstheme="majorBidi"/>
          <w:i/>
          <w:iCs/>
        </w:rPr>
        <w:t xml:space="preserve"> </w:t>
      </w:r>
      <w:r w:rsidRPr="006F7384">
        <w:rPr>
          <w:rFonts w:asciiTheme="majorBidi" w:hAnsiTheme="majorBidi" w:cstheme="majorBidi"/>
        </w:rPr>
        <w:t xml:space="preserve">590, 605 (2010); Haim Sandberg </w:t>
      </w:r>
      <w:r w:rsidRPr="006F7384">
        <w:rPr>
          <w:rFonts w:asciiTheme="majorBidi" w:hAnsiTheme="majorBidi" w:cstheme="majorBidi"/>
          <w:bCs/>
          <w:i/>
          <w:iCs/>
        </w:rPr>
        <w:t>Land Title Settlement in Jerusalem - Legal Aspects</w:t>
      </w:r>
      <w:r w:rsidRPr="006F7384">
        <w:rPr>
          <w:rFonts w:asciiTheme="majorBidi" w:hAnsiTheme="majorBidi" w:cstheme="majorBidi"/>
        </w:rPr>
        <w:t xml:space="preserve">, </w:t>
      </w:r>
      <w:r w:rsidRPr="006F7384">
        <w:rPr>
          <w:rFonts w:asciiTheme="majorBidi" w:hAnsiTheme="majorBidi" w:cstheme="majorBidi"/>
          <w:smallCaps/>
        </w:rPr>
        <w:t>23  The Journal of Israeli History</w:t>
      </w:r>
      <w:r w:rsidRPr="006F7384">
        <w:rPr>
          <w:rFonts w:asciiTheme="majorBidi" w:hAnsiTheme="majorBidi" w:cstheme="majorBidi"/>
          <w:iCs/>
        </w:rPr>
        <w:t xml:space="preserve"> 216, 222-225 (2004).</w:t>
      </w:r>
    </w:p>
  </w:footnote>
  <w:footnote w:id="89">
    <w:p w14:paraId="77203873" w14:textId="35C71406" w:rsidR="00F46426" w:rsidRPr="006F7384" w:rsidRDefault="00F46426" w:rsidP="004E50E8">
      <w:pPr>
        <w:pStyle w:val="FootnoteText"/>
        <w:bidi w:val="0"/>
      </w:pPr>
      <w:r w:rsidRPr="006F7384">
        <w:rPr>
          <w:rStyle w:val="FootnoteReference"/>
        </w:rPr>
        <w:footnoteRef/>
      </w:r>
      <w:r w:rsidRPr="006F7384">
        <w:rPr>
          <w:rtl/>
        </w:rPr>
        <w:t xml:space="preserve"> </w:t>
      </w:r>
      <w:r w:rsidRPr="006F7384">
        <w:rPr>
          <w:rFonts w:asciiTheme="majorBidi" w:hAnsiTheme="majorBidi" w:cstheme="majorBidi"/>
          <w:smallCaps/>
        </w:rPr>
        <w:t>Nusseibeh</w:t>
      </w:r>
      <w:r w:rsidRPr="006F7384">
        <w:rPr>
          <w:rFonts w:asciiTheme="majorBidi" w:hAnsiTheme="majorBidi" w:cstheme="majorBidi"/>
        </w:rPr>
        <w:t xml:space="preserve"> case, supra note </w:t>
      </w:r>
      <w:r w:rsidRPr="006F7384">
        <w:rPr>
          <w:rFonts w:asciiTheme="majorBidi" w:hAnsiTheme="majorBidi" w:cstheme="majorBidi"/>
        </w:rPr>
        <w:fldChar w:fldCharType="begin"/>
      </w:r>
      <w:r w:rsidRPr="006F7384">
        <w:rPr>
          <w:rFonts w:asciiTheme="majorBidi" w:hAnsiTheme="majorBidi" w:cstheme="majorBidi"/>
        </w:rPr>
        <w:instrText xml:space="preserve"> NOTEREF _Ref518645762 \h </w:instrText>
      </w:r>
      <w:r w:rsidRPr="006F7384">
        <w:rPr>
          <w:rFonts w:asciiTheme="majorBidi" w:hAnsiTheme="majorBidi" w:cstheme="majorBidi"/>
        </w:rPr>
      </w:r>
      <w:r w:rsidRPr="006F7384">
        <w:rPr>
          <w:rFonts w:asciiTheme="majorBidi" w:hAnsiTheme="majorBidi" w:cstheme="majorBidi"/>
        </w:rPr>
        <w:fldChar w:fldCharType="separate"/>
      </w:r>
      <w:r w:rsidRPr="006F7384">
        <w:rPr>
          <w:rFonts w:asciiTheme="majorBidi" w:hAnsiTheme="majorBidi" w:cstheme="majorBidi"/>
        </w:rPr>
        <w:t>82</w:t>
      </w:r>
      <w:r w:rsidRPr="006F7384">
        <w:rPr>
          <w:rFonts w:asciiTheme="majorBidi" w:hAnsiTheme="majorBidi" w:cstheme="majorBidi"/>
        </w:rPr>
        <w:fldChar w:fldCharType="end"/>
      </w:r>
      <w:r w:rsidRPr="006F7384">
        <w:rPr>
          <w:rFonts w:asciiTheme="majorBidi" w:hAnsiTheme="majorBidi" w:cstheme="majorBidi"/>
        </w:rPr>
        <w:t>, at 76.</w:t>
      </w:r>
    </w:p>
  </w:footnote>
  <w:footnote w:id="90">
    <w:p w14:paraId="6E7F4362" w14:textId="2EBDE77A" w:rsidR="00F46426" w:rsidRPr="006F7384" w:rsidRDefault="00F46426" w:rsidP="004E50E8">
      <w:pPr>
        <w:pStyle w:val="FootnoteText"/>
        <w:bidi w:val="0"/>
      </w:pPr>
      <w:r w:rsidRPr="006F7384">
        <w:rPr>
          <w:rStyle w:val="FootnoteReference"/>
        </w:rPr>
        <w:footnoteRef/>
      </w:r>
      <w:r w:rsidRPr="006F7384">
        <w:rPr>
          <w:rtl/>
        </w:rPr>
        <w:t xml:space="preserve"> </w:t>
      </w:r>
      <w:r w:rsidRPr="006F7384">
        <w:rPr>
          <w:rFonts w:asciiTheme="majorBidi" w:hAnsiTheme="majorBidi" w:cstheme="majorBidi"/>
        </w:rPr>
        <w:t>Ibid, at  90-91 (J.Dorner), 93 (J.Matza), 93 (J.Levin)</w:t>
      </w:r>
    </w:p>
  </w:footnote>
  <w:footnote w:id="91">
    <w:p w14:paraId="17C07FAD" w14:textId="627DE04A" w:rsidR="00F46426" w:rsidRPr="006F7384" w:rsidRDefault="00F46426" w:rsidP="004E50E8">
      <w:pPr>
        <w:pStyle w:val="FootnoteText"/>
        <w:bidi w:val="0"/>
      </w:pPr>
      <w:r w:rsidRPr="006F7384">
        <w:rPr>
          <w:rStyle w:val="FootnoteReference"/>
        </w:rPr>
        <w:footnoteRef/>
      </w:r>
      <w:r w:rsidRPr="006F7384">
        <w:rPr>
          <w:rtl/>
        </w:rPr>
        <w:t xml:space="preserve"> </w:t>
      </w:r>
      <w:r w:rsidRPr="006F7384">
        <w:rPr>
          <w:rFonts w:asciiTheme="majorBidi" w:hAnsiTheme="majorBidi" w:cstheme="majorBidi"/>
        </w:rPr>
        <w:t>Ibid, at 81-83 (J.Goldberg), 93 (J.Or).</w:t>
      </w:r>
    </w:p>
  </w:footnote>
  <w:footnote w:id="92">
    <w:p w14:paraId="6EA605EA" w14:textId="3E836C3A" w:rsidR="00F46426" w:rsidRPr="006F7384" w:rsidRDefault="00F46426" w:rsidP="004E50E8">
      <w:pPr>
        <w:pStyle w:val="FootnoteText"/>
        <w:bidi w:val="0"/>
      </w:pPr>
      <w:r w:rsidRPr="006F7384">
        <w:rPr>
          <w:rStyle w:val="FootnoteReference"/>
        </w:rPr>
        <w:footnoteRef/>
      </w:r>
      <w:r w:rsidRPr="006F7384">
        <w:rPr>
          <w:rtl/>
        </w:rPr>
        <w:t xml:space="preserve"> </w:t>
      </w:r>
      <w:r w:rsidRPr="006F7384">
        <w:t xml:space="preserve"> </w:t>
      </w:r>
      <w:r w:rsidRPr="006F7384">
        <w:rPr>
          <w:rFonts w:asciiTheme="majorBidi" w:hAnsiTheme="majorBidi" w:cstheme="majorBidi"/>
        </w:rPr>
        <w:t xml:space="preserve">HCJ 10784/02 </w:t>
      </w:r>
      <w:r w:rsidRPr="006F7384">
        <w:rPr>
          <w:rFonts w:asciiTheme="majorBidi" w:hAnsiTheme="majorBidi" w:cstheme="majorBidi"/>
          <w:smallCaps/>
        </w:rPr>
        <w:t xml:space="preserve">Keren Kayemeth LeIsrael v. </w:t>
      </w:r>
      <w:r w:rsidRPr="006F7384">
        <w:rPr>
          <w:rFonts w:asciiTheme="majorBidi" w:hAnsiTheme="majorBidi" w:cstheme="majorBidi"/>
          <w:i/>
          <w:iCs/>
          <w:smallCaps/>
        </w:rPr>
        <w:t>Atarim</w:t>
      </w:r>
      <w:r w:rsidRPr="006F7384">
        <w:rPr>
          <w:rFonts w:asciiTheme="majorBidi" w:hAnsiTheme="majorBidi" w:cstheme="majorBidi"/>
          <w:smallCaps/>
        </w:rPr>
        <w:t xml:space="preserve"> on the Tel Aviv Coast-Tourism Development Company in Tel Aviv Jaffa</w:t>
      </w:r>
      <w:r w:rsidRPr="006F7384">
        <w:rPr>
          <w:rFonts w:asciiTheme="majorBidi" w:hAnsiTheme="majorBidi" w:cstheme="majorBidi"/>
        </w:rPr>
        <w:t>, PD 58(3) 757, 767-768 (2004)(Hebrew)</w:t>
      </w:r>
      <w:r w:rsidRPr="006F7384">
        <w:t>;</w:t>
      </w:r>
      <w:r w:rsidRPr="006F7384">
        <w:rPr>
          <w:rFonts w:asciiTheme="majorBidi" w:hAnsiTheme="majorBidi" w:cstheme="majorBidi"/>
        </w:rPr>
        <w:t xml:space="preserve"> A.A.A 859/11 </w:t>
      </w:r>
      <w:r w:rsidRPr="006F7384">
        <w:rPr>
          <w:rFonts w:asciiTheme="majorBidi" w:hAnsiTheme="majorBidi" w:cstheme="majorBidi"/>
          <w:smallCaps/>
        </w:rPr>
        <w:t>Rabbi HaLevi Krakovsky v. Local Planning and Building Committee Tel Aviv-Jaffa</w:t>
      </w:r>
      <w:r w:rsidRPr="006F7384">
        <w:rPr>
          <w:rFonts w:asciiTheme="majorBidi" w:hAnsiTheme="majorBidi" w:cstheme="majorBidi"/>
        </w:rPr>
        <w:t xml:space="preserve"> (Nevo, 22.7.2013)(Hebrew).</w:t>
      </w:r>
    </w:p>
  </w:footnote>
  <w:footnote w:id="93">
    <w:p w14:paraId="29F964CE" w14:textId="5C94D7E1" w:rsidR="00F46426" w:rsidRPr="006F7384" w:rsidRDefault="00F46426" w:rsidP="007B4CB2">
      <w:pPr>
        <w:pStyle w:val="FootnoteText"/>
        <w:bidi w:val="0"/>
      </w:pPr>
      <w:r w:rsidRPr="006F7384">
        <w:rPr>
          <w:rStyle w:val="FootnoteReference"/>
        </w:rPr>
        <w:footnoteRef/>
      </w:r>
      <w:r w:rsidRPr="006F7384">
        <w:rPr>
          <w:rtl/>
        </w:rPr>
        <w:t xml:space="preserve"> </w:t>
      </w:r>
      <w:r w:rsidRPr="006F7384">
        <w:rPr>
          <w:rFonts w:asciiTheme="majorBidi" w:hAnsiTheme="majorBidi" w:cstheme="majorBidi"/>
        </w:rPr>
        <w:t xml:space="preserve">Ibid, at 765-766; </w:t>
      </w:r>
      <w:r w:rsidRPr="006F7384">
        <w:rPr>
          <w:rFonts w:asciiTheme="majorBidi" w:hAnsiTheme="majorBidi" w:cstheme="majorBidi"/>
          <w:smallCaps/>
        </w:rPr>
        <w:t>Nusseibeh</w:t>
      </w:r>
      <w:r w:rsidRPr="006F7384">
        <w:rPr>
          <w:rFonts w:asciiTheme="majorBidi" w:hAnsiTheme="majorBidi" w:cstheme="majorBidi"/>
        </w:rPr>
        <w:t xml:space="preserve"> case, supra note </w:t>
      </w:r>
      <w:r w:rsidRPr="006F7384">
        <w:rPr>
          <w:rFonts w:asciiTheme="majorBidi" w:hAnsiTheme="majorBidi" w:cstheme="majorBidi"/>
        </w:rPr>
        <w:fldChar w:fldCharType="begin"/>
      </w:r>
      <w:r w:rsidRPr="006F7384">
        <w:rPr>
          <w:rFonts w:asciiTheme="majorBidi" w:hAnsiTheme="majorBidi" w:cstheme="majorBidi"/>
        </w:rPr>
        <w:instrText xml:space="preserve"> NOTEREF _Ref518645762 \h </w:instrText>
      </w:r>
      <w:r w:rsidRPr="006F7384">
        <w:rPr>
          <w:rFonts w:asciiTheme="majorBidi" w:hAnsiTheme="majorBidi" w:cstheme="majorBidi"/>
        </w:rPr>
      </w:r>
      <w:r w:rsidRPr="006F7384">
        <w:rPr>
          <w:rFonts w:asciiTheme="majorBidi" w:hAnsiTheme="majorBidi" w:cstheme="majorBidi"/>
        </w:rPr>
        <w:fldChar w:fldCharType="separate"/>
      </w:r>
      <w:r w:rsidRPr="006F7384">
        <w:rPr>
          <w:rFonts w:asciiTheme="majorBidi" w:hAnsiTheme="majorBidi" w:cstheme="majorBidi"/>
        </w:rPr>
        <w:t>82</w:t>
      </w:r>
      <w:r w:rsidRPr="006F7384">
        <w:rPr>
          <w:rFonts w:asciiTheme="majorBidi" w:hAnsiTheme="majorBidi" w:cstheme="majorBidi"/>
        </w:rPr>
        <w:fldChar w:fldCharType="end"/>
      </w:r>
      <w:r w:rsidRPr="006F7384">
        <w:rPr>
          <w:rFonts w:asciiTheme="majorBidi" w:hAnsiTheme="majorBidi" w:cstheme="majorBidi"/>
        </w:rPr>
        <w:t xml:space="preserve">, at 79; HCJ 3421/05 </w:t>
      </w:r>
      <w:r w:rsidRPr="006F7384">
        <w:rPr>
          <w:rFonts w:asciiTheme="majorBidi" w:hAnsiTheme="majorBidi" w:cstheme="majorBidi"/>
          <w:smallCaps/>
        </w:rPr>
        <w:t>Mahul v. Finance Minister</w:t>
      </w:r>
      <w:r w:rsidRPr="006F7384">
        <w:rPr>
          <w:rFonts w:asciiTheme="majorBidi" w:hAnsiTheme="majorBidi" w:cstheme="majorBidi"/>
        </w:rPr>
        <w:t>, J. Arbel par. 33 (18.6.2009).</w:t>
      </w:r>
    </w:p>
  </w:footnote>
  <w:footnote w:id="94">
    <w:p w14:paraId="32837F25" w14:textId="6D0D98D1" w:rsidR="00F46426" w:rsidRPr="006F7384" w:rsidRDefault="00F46426" w:rsidP="007B4CB2">
      <w:pPr>
        <w:pStyle w:val="FootnoteText"/>
        <w:bidi w:val="0"/>
      </w:pPr>
      <w:r w:rsidRPr="006F7384">
        <w:rPr>
          <w:rStyle w:val="FootnoteReference"/>
        </w:rPr>
        <w:footnoteRef/>
      </w:r>
      <w:r w:rsidRPr="006F7384">
        <w:rPr>
          <w:rtl/>
        </w:rPr>
        <w:t xml:space="preserve"> </w:t>
      </w:r>
      <w:r w:rsidRPr="006F7384">
        <w:rPr>
          <w:rFonts w:asciiTheme="majorBidi" w:hAnsiTheme="majorBidi" w:cstheme="majorBidi"/>
        </w:rPr>
        <w:t>Amendment of Land (Expropriation) Ordinance (No. 3) Law 2010–5770 SH 346 (Isr.) (Hereinafter:  The 2010 Amending Law).</w:t>
      </w:r>
    </w:p>
  </w:footnote>
  <w:footnote w:id="95">
    <w:p w14:paraId="3E845161" w14:textId="6EA5EC14" w:rsidR="00F46426" w:rsidRPr="006F7384" w:rsidRDefault="00F46426" w:rsidP="00C91DE4">
      <w:pPr>
        <w:pStyle w:val="FootnoteText"/>
        <w:bidi w:val="0"/>
        <w:rPr>
          <w:rFonts w:asciiTheme="majorBidi" w:hAnsiTheme="majorBidi" w:cstheme="majorBidi"/>
        </w:rPr>
      </w:pPr>
      <w:r w:rsidRPr="006F7384">
        <w:rPr>
          <w:rStyle w:val="FootnoteReference"/>
        </w:rPr>
        <w:footnoteRef/>
      </w:r>
      <w:r w:rsidRPr="006F7384">
        <w:rPr>
          <w:rtl/>
        </w:rPr>
        <w:t xml:space="preserve"> </w:t>
      </w:r>
      <w:r w:rsidRPr="006F7384">
        <w:rPr>
          <w:rFonts w:asciiTheme="majorBidi" w:hAnsiTheme="majorBidi" w:cstheme="majorBidi"/>
          <w:smallCaps/>
        </w:rPr>
        <w:t>Karsik</w:t>
      </w:r>
      <w:r w:rsidRPr="006F7384">
        <w:rPr>
          <w:rFonts w:asciiTheme="majorBidi" w:hAnsiTheme="majorBidi" w:cstheme="majorBidi"/>
        </w:rPr>
        <w:t xml:space="preserve"> case, supra note </w:t>
      </w:r>
      <w:r w:rsidRPr="006F7384">
        <w:rPr>
          <w:rFonts w:asciiTheme="majorBidi" w:hAnsiTheme="majorBidi" w:cstheme="majorBidi"/>
        </w:rPr>
        <w:fldChar w:fldCharType="begin"/>
      </w:r>
      <w:r w:rsidRPr="006F7384">
        <w:rPr>
          <w:rFonts w:asciiTheme="majorBidi" w:hAnsiTheme="majorBidi" w:cstheme="majorBidi"/>
        </w:rPr>
        <w:instrText xml:space="preserve"> NOTEREF _Ref518647705 \h </w:instrText>
      </w:r>
      <w:r w:rsidRPr="006F7384">
        <w:rPr>
          <w:rFonts w:asciiTheme="majorBidi" w:hAnsiTheme="majorBidi" w:cstheme="majorBidi"/>
        </w:rPr>
      </w:r>
      <w:r w:rsidRPr="006F7384">
        <w:rPr>
          <w:rFonts w:asciiTheme="majorBidi" w:hAnsiTheme="majorBidi" w:cstheme="majorBidi"/>
        </w:rPr>
        <w:fldChar w:fldCharType="separate"/>
      </w:r>
      <w:r w:rsidRPr="006F7384">
        <w:rPr>
          <w:rFonts w:asciiTheme="majorBidi" w:hAnsiTheme="majorBidi" w:cstheme="majorBidi"/>
        </w:rPr>
        <w:t>2</w:t>
      </w:r>
      <w:r w:rsidRPr="006F7384">
        <w:rPr>
          <w:rFonts w:asciiTheme="majorBidi" w:hAnsiTheme="majorBidi" w:cstheme="majorBidi"/>
        </w:rPr>
        <w:fldChar w:fldCharType="end"/>
      </w:r>
      <w:r w:rsidRPr="006F7384">
        <w:rPr>
          <w:rFonts w:asciiTheme="majorBidi" w:hAnsiTheme="majorBidi" w:cstheme="majorBidi"/>
        </w:rPr>
        <w:t>, at par. 31 J.Heshin; Holzman-</w:t>
      </w:r>
      <w:proofErr w:type="gramStart"/>
      <w:r w:rsidRPr="006F7384">
        <w:rPr>
          <w:rFonts w:asciiTheme="majorBidi" w:hAnsiTheme="majorBidi" w:cstheme="majorBidi"/>
        </w:rPr>
        <w:t>Gazit ,</w:t>
      </w:r>
      <w:proofErr w:type="gramEnd"/>
      <w:r w:rsidRPr="006F7384">
        <w:rPr>
          <w:rFonts w:asciiTheme="majorBidi" w:hAnsiTheme="majorBidi" w:cstheme="majorBidi"/>
        </w:rPr>
        <w:t xml:space="preserve"> supra note </w:t>
      </w:r>
      <w:r w:rsidRPr="006F7384">
        <w:rPr>
          <w:rFonts w:asciiTheme="majorBidi" w:hAnsiTheme="majorBidi" w:cstheme="majorBidi"/>
        </w:rPr>
        <w:fldChar w:fldCharType="begin"/>
      </w:r>
      <w:r w:rsidRPr="006F7384">
        <w:rPr>
          <w:rFonts w:asciiTheme="majorBidi" w:hAnsiTheme="majorBidi" w:cstheme="majorBidi"/>
        </w:rPr>
        <w:instrText xml:space="preserve"> NOTEREF _Ref518643409 \h </w:instrText>
      </w:r>
      <w:r w:rsidRPr="006F7384">
        <w:rPr>
          <w:rFonts w:asciiTheme="majorBidi" w:hAnsiTheme="majorBidi" w:cstheme="majorBidi"/>
        </w:rPr>
      </w:r>
      <w:r w:rsidRPr="006F7384">
        <w:rPr>
          <w:rFonts w:asciiTheme="majorBidi" w:hAnsiTheme="majorBidi" w:cstheme="majorBidi"/>
        </w:rPr>
        <w:fldChar w:fldCharType="separate"/>
      </w:r>
      <w:r w:rsidRPr="006F7384">
        <w:rPr>
          <w:rFonts w:asciiTheme="majorBidi" w:hAnsiTheme="majorBidi" w:cstheme="majorBidi"/>
        </w:rPr>
        <w:t>83</w:t>
      </w:r>
      <w:r w:rsidRPr="006F7384">
        <w:rPr>
          <w:rFonts w:asciiTheme="majorBidi" w:hAnsiTheme="majorBidi" w:cstheme="majorBidi"/>
        </w:rPr>
        <w:fldChar w:fldCharType="end"/>
      </w:r>
      <w:r w:rsidRPr="006F7384">
        <w:rPr>
          <w:rFonts w:asciiTheme="majorBidi" w:hAnsiTheme="majorBidi" w:cstheme="majorBidi"/>
        </w:rPr>
        <w:t xml:space="preserve">, at </w:t>
      </w:r>
      <w:r w:rsidRPr="006F7384">
        <w:rPr>
          <w:rFonts w:asciiTheme="majorBidi" w:hAnsiTheme="majorBidi" w:cstheme="majorBidi"/>
          <w:highlight w:val="yellow"/>
        </w:rPr>
        <w:t>???</w:t>
      </w:r>
      <w:r w:rsidRPr="006F7384">
        <w:rPr>
          <w:rFonts w:asciiTheme="majorBidi" w:hAnsiTheme="majorBidi" w:cstheme="majorBidi"/>
        </w:rPr>
        <w:t xml:space="preserve">; Danielle Marx </w:t>
      </w:r>
      <w:r w:rsidRPr="006F7384">
        <w:rPr>
          <w:rFonts w:asciiTheme="majorBidi" w:hAnsiTheme="majorBidi" w:cstheme="majorBidi"/>
          <w:i/>
          <w:iCs/>
        </w:rPr>
        <w:t>Takings and the Requirement of Ongoing Public Purpose: The Effect of the Constitutionalization of the Right to Property on the Law of Takings (Karsik v. the State of Israel, Israel Land Authority 55(II) P.D. 625)</w:t>
      </w:r>
      <w:r w:rsidRPr="006F7384">
        <w:rPr>
          <w:rFonts w:asciiTheme="majorBidi" w:hAnsiTheme="majorBidi" w:cstheme="majorBidi"/>
        </w:rPr>
        <w:t xml:space="preserve">, 36 </w:t>
      </w:r>
      <w:r w:rsidRPr="006F7384">
        <w:rPr>
          <w:rFonts w:asciiTheme="majorBidi" w:hAnsiTheme="majorBidi" w:cstheme="majorBidi"/>
          <w:smallCaps/>
        </w:rPr>
        <w:t>Isr. L. Rev.</w:t>
      </w:r>
      <w:r w:rsidRPr="006F7384">
        <w:rPr>
          <w:rFonts w:asciiTheme="majorBidi" w:hAnsiTheme="majorBidi" w:cstheme="majorBidi"/>
        </w:rPr>
        <w:t xml:space="preserve"> 149 (2002).</w:t>
      </w:r>
    </w:p>
  </w:footnote>
  <w:footnote w:id="96">
    <w:p w14:paraId="42193E42" w14:textId="334AEF80" w:rsidR="00F46426" w:rsidRPr="006F7384" w:rsidRDefault="00F46426" w:rsidP="00235B38">
      <w:pPr>
        <w:pStyle w:val="FootnoteText"/>
        <w:bidi w:val="0"/>
      </w:pPr>
      <w:r w:rsidRPr="006F7384">
        <w:rPr>
          <w:rStyle w:val="FootnoteReference"/>
        </w:rPr>
        <w:footnoteRef/>
      </w:r>
      <w:r w:rsidRPr="006F7384">
        <w:rPr>
          <w:rtl/>
        </w:rPr>
        <w:t xml:space="preserve"> </w:t>
      </w:r>
      <w:r w:rsidRPr="006F7384">
        <w:rPr>
          <w:rFonts w:asciiTheme="majorBidi" w:hAnsiTheme="majorBidi" w:cstheme="majorBidi"/>
          <w:smallCaps/>
        </w:rPr>
        <w:t>Karsik</w:t>
      </w:r>
      <w:r w:rsidRPr="006F7384">
        <w:rPr>
          <w:rFonts w:asciiTheme="majorBidi" w:hAnsiTheme="majorBidi" w:cstheme="majorBidi"/>
        </w:rPr>
        <w:t xml:space="preserve"> case, supra note </w:t>
      </w:r>
      <w:r w:rsidRPr="006F7384">
        <w:rPr>
          <w:rFonts w:asciiTheme="majorBidi" w:hAnsiTheme="majorBidi" w:cstheme="majorBidi"/>
        </w:rPr>
        <w:fldChar w:fldCharType="begin"/>
      </w:r>
      <w:r w:rsidRPr="006F7384">
        <w:rPr>
          <w:rFonts w:asciiTheme="majorBidi" w:hAnsiTheme="majorBidi" w:cstheme="majorBidi"/>
        </w:rPr>
        <w:instrText xml:space="preserve"> NOTEREF _Ref518647705 \h </w:instrText>
      </w:r>
      <w:r w:rsidRPr="006F7384">
        <w:rPr>
          <w:rFonts w:asciiTheme="majorBidi" w:hAnsiTheme="majorBidi" w:cstheme="majorBidi"/>
        </w:rPr>
      </w:r>
      <w:r w:rsidRPr="006F7384">
        <w:rPr>
          <w:rFonts w:asciiTheme="majorBidi" w:hAnsiTheme="majorBidi" w:cstheme="majorBidi"/>
        </w:rPr>
        <w:fldChar w:fldCharType="separate"/>
      </w:r>
      <w:r w:rsidRPr="006F7384">
        <w:rPr>
          <w:rFonts w:asciiTheme="majorBidi" w:hAnsiTheme="majorBidi" w:cstheme="majorBidi"/>
        </w:rPr>
        <w:t>2</w:t>
      </w:r>
      <w:r w:rsidRPr="006F7384">
        <w:rPr>
          <w:rFonts w:asciiTheme="majorBidi" w:hAnsiTheme="majorBidi" w:cstheme="majorBidi"/>
        </w:rPr>
        <w:fldChar w:fldCharType="end"/>
      </w:r>
      <w:r w:rsidRPr="006F7384">
        <w:rPr>
          <w:rFonts w:asciiTheme="majorBidi" w:hAnsiTheme="majorBidi" w:cstheme="majorBidi"/>
        </w:rPr>
        <w:t>, at par. 91 J. Heshin;</w:t>
      </w:r>
      <w:r w:rsidRPr="006F7384">
        <w:rPr>
          <w:rFonts w:asciiTheme="majorBidi" w:hAnsiTheme="majorBidi" w:cstheme="majorBidi"/>
          <w:b/>
          <w:bCs/>
        </w:rPr>
        <w:t xml:space="preserve"> </w:t>
      </w:r>
      <w:r w:rsidRPr="006F7384">
        <w:rPr>
          <w:rFonts w:asciiTheme="majorBidi" w:hAnsiTheme="majorBidi" w:cstheme="majorBidi"/>
        </w:rPr>
        <w:t xml:space="preserve">The 2010 Amending Law, supra note </w:t>
      </w:r>
      <w:r w:rsidRPr="006F7384">
        <w:rPr>
          <w:rFonts w:asciiTheme="majorBidi" w:hAnsiTheme="majorBidi" w:cstheme="majorBidi"/>
        </w:rPr>
        <w:fldChar w:fldCharType="begin"/>
      </w:r>
      <w:r w:rsidRPr="006F7384">
        <w:rPr>
          <w:rFonts w:asciiTheme="majorBidi" w:hAnsiTheme="majorBidi" w:cstheme="majorBidi"/>
        </w:rPr>
        <w:instrText xml:space="preserve"> NOTEREF _Ref518648326 \h </w:instrText>
      </w:r>
      <w:r w:rsidRPr="006F7384">
        <w:rPr>
          <w:rFonts w:asciiTheme="majorBidi" w:hAnsiTheme="majorBidi" w:cstheme="majorBidi"/>
        </w:rPr>
      </w:r>
      <w:r w:rsidRPr="006F7384">
        <w:rPr>
          <w:rFonts w:asciiTheme="majorBidi" w:hAnsiTheme="majorBidi" w:cstheme="majorBidi"/>
        </w:rPr>
        <w:fldChar w:fldCharType="separate"/>
      </w:r>
      <w:r w:rsidRPr="006F7384">
        <w:rPr>
          <w:rFonts w:asciiTheme="majorBidi" w:hAnsiTheme="majorBidi" w:cstheme="majorBidi"/>
        </w:rPr>
        <w:t>94</w:t>
      </w:r>
      <w:r w:rsidRPr="006F7384">
        <w:rPr>
          <w:rFonts w:asciiTheme="majorBidi" w:hAnsiTheme="majorBidi" w:cstheme="majorBidi"/>
        </w:rPr>
        <w:fldChar w:fldCharType="end"/>
      </w:r>
      <w:r w:rsidRPr="006F7384">
        <w:rPr>
          <w:rFonts w:asciiTheme="majorBidi" w:hAnsiTheme="majorBidi" w:cstheme="majorBidi"/>
        </w:rPr>
        <w:t>;</w:t>
      </w:r>
      <w:r w:rsidRPr="006F7384">
        <w:rPr>
          <w:rFonts w:asciiTheme="majorBidi" w:hAnsiTheme="majorBidi" w:cstheme="majorBidi"/>
          <w:b/>
          <w:bCs/>
        </w:rPr>
        <w:t xml:space="preserve"> </w:t>
      </w:r>
      <w:r w:rsidRPr="006F7384">
        <w:rPr>
          <w:rFonts w:asciiTheme="majorBidi" w:hAnsiTheme="majorBidi" w:cstheme="majorBidi"/>
          <w:lang w:bidi="ar-SY"/>
        </w:rPr>
        <w:t xml:space="preserve">Haim Sandberg, </w:t>
      </w:r>
      <w:r w:rsidRPr="006F7384">
        <w:rPr>
          <w:rFonts w:asciiTheme="majorBidi" w:hAnsiTheme="majorBidi" w:cstheme="majorBidi"/>
          <w:i/>
          <w:iCs/>
          <w:lang w:bidi="ar-SY"/>
        </w:rPr>
        <w:t>Strategic Considerations behind Normative Explanations – Lessons From Israel's Supreme Court Takings Cas</w:t>
      </w:r>
      <w:r w:rsidRPr="006F7384">
        <w:rPr>
          <w:rFonts w:asciiTheme="majorBidi" w:hAnsiTheme="majorBidi" w:cstheme="majorBidi"/>
          <w:lang w:bidi="ar-SY"/>
        </w:rPr>
        <w:t xml:space="preserve">e, </w:t>
      </w:r>
      <w:r w:rsidRPr="006F7384">
        <w:rPr>
          <w:rFonts w:asciiTheme="majorBidi" w:hAnsiTheme="majorBidi" w:cstheme="majorBidi"/>
          <w:smallCaps/>
          <w:lang w:bidi="ar-SY"/>
        </w:rPr>
        <w:t>11 International Journal of Constitutional Law 751</w:t>
      </w:r>
      <w:r w:rsidRPr="006F7384">
        <w:rPr>
          <w:rFonts w:asciiTheme="majorBidi" w:hAnsiTheme="majorBidi" w:cstheme="majorBidi"/>
          <w:lang w:bidi="ar-SY"/>
        </w:rPr>
        <w:t xml:space="preserve"> (2013).</w:t>
      </w:r>
    </w:p>
  </w:footnote>
  <w:footnote w:id="97">
    <w:p w14:paraId="68183F1C" w14:textId="5F340982" w:rsidR="00F46426" w:rsidRPr="006F7384" w:rsidRDefault="00F46426" w:rsidP="00235B38">
      <w:pPr>
        <w:pStyle w:val="FootnoteText"/>
        <w:bidi w:val="0"/>
      </w:pPr>
      <w:r w:rsidRPr="006F7384">
        <w:rPr>
          <w:rStyle w:val="FootnoteReference"/>
        </w:rPr>
        <w:footnoteRef/>
      </w:r>
      <w:r w:rsidRPr="006F7384">
        <w:rPr>
          <w:rtl/>
        </w:rPr>
        <w:t xml:space="preserve"> </w:t>
      </w:r>
      <w:r w:rsidRPr="006F7384">
        <w:rPr>
          <w:rFonts w:asciiTheme="majorBidi" w:hAnsiTheme="majorBidi" w:cstheme="majorBidi"/>
        </w:rPr>
        <w:t xml:space="preserve">HCJ 2254/13 </w:t>
      </w:r>
      <w:r w:rsidRPr="006F7384">
        <w:rPr>
          <w:rFonts w:asciiTheme="majorBidi" w:hAnsiTheme="majorBidi" w:cstheme="majorBidi"/>
          <w:smallCaps/>
        </w:rPr>
        <w:t>Samuel v. Minister of Finance</w:t>
      </w:r>
      <w:r w:rsidRPr="006F7384">
        <w:rPr>
          <w:rFonts w:asciiTheme="majorBidi" w:hAnsiTheme="majorBidi" w:cstheme="majorBidi"/>
        </w:rPr>
        <w:t xml:space="preserve"> (15.5.2014</w:t>
      </w:r>
      <w:proofErr w:type="gramStart"/>
      <w:r w:rsidRPr="006F7384">
        <w:rPr>
          <w:rFonts w:asciiTheme="majorBidi" w:hAnsiTheme="majorBidi" w:cstheme="majorBidi"/>
        </w:rPr>
        <w:t>)(</w:t>
      </w:r>
      <w:proofErr w:type="gramEnd"/>
      <w:r w:rsidRPr="006F7384">
        <w:rPr>
          <w:rFonts w:asciiTheme="majorBidi" w:hAnsiTheme="majorBidi" w:cstheme="majorBidi"/>
        </w:rPr>
        <w:t>Hebrew).</w:t>
      </w:r>
    </w:p>
  </w:footnote>
  <w:footnote w:id="98">
    <w:p w14:paraId="32DD8276" w14:textId="1E832319" w:rsidR="00F46426" w:rsidRPr="006F7384" w:rsidRDefault="00F46426" w:rsidP="00BC5A27">
      <w:pPr>
        <w:pStyle w:val="FootnoteText"/>
        <w:bidi w:val="0"/>
      </w:pPr>
      <w:r w:rsidRPr="006F7384">
        <w:rPr>
          <w:rStyle w:val="FootnoteReference"/>
        </w:rPr>
        <w:footnoteRef/>
      </w:r>
      <w:r w:rsidRPr="006F7384">
        <w:rPr>
          <w:rtl/>
        </w:rPr>
        <w:t xml:space="preserve"> </w:t>
      </w:r>
      <w:r w:rsidRPr="006F7384">
        <w:rPr>
          <w:rFonts w:asciiTheme="majorBidi" w:hAnsiTheme="majorBidi" w:cstheme="majorBidi"/>
        </w:rPr>
        <w:t xml:space="preserve">Supra note </w:t>
      </w:r>
      <w:r w:rsidRPr="006F7384">
        <w:rPr>
          <w:rFonts w:asciiTheme="majorBidi" w:hAnsiTheme="majorBidi" w:cstheme="majorBidi"/>
        </w:rPr>
        <w:fldChar w:fldCharType="begin"/>
      </w:r>
      <w:r w:rsidRPr="006F7384">
        <w:rPr>
          <w:rFonts w:asciiTheme="majorBidi" w:hAnsiTheme="majorBidi" w:cstheme="majorBidi"/>
        </w:rPr>
        <w:instrText xml:space="preserve"> NOTEREF _Ref518640772 \h  \* MERGEFORMAT </w:instrText>
      </w:r>
      <w:r w:rsidRPr="006F7384">
        <w:rPr>
          <w:rFonts w:asciiTheme="majorBidi" w:hAnsiTheme="majorBidi" w:cstheme="majorBidi"/>
        </w:rPr>
      </w:r>
      <w:r w:rsidRPr="006F7384">
        <w:rPr>
          <w:rFonts w:asciiTheme="majorBidi" w:hAnsiTheme="majorBidi" w:cstheme="majorBidi"/>
        </w:rPr>
        <w:fldChar w:fldCharType="separate"/>
      </w:r>
      <w:r w:rsidRPr="006F7384">
        <w:rPr>
          <w:rFonts w:asciiTheme="majorBidi" w:hAnsiTheme="majorBidi" w:cstheme="majorBidi"/>
        </w:rPr>
        <w:t>80</w:t>
      </w:r>
      <w:r w:rsidRPr="006F7384">
        <w:rPr>
          <w:rFonts w:asciiTheme="majorBidi" w:hAnsiTheme="majorBidi" w:cstheme="majorBidi"/>
        </w:rPr>
        <w:fldChar w:fldCharType="end"/>
      </w:r>
      <w:r w:rsidRPr="006F7384">
        <w:rPr>
          <w:rFonts w:asciiTheme="majorBidi" w:hAnsiTheme="majorBidi" w:cstheme="majorBidi"/>
        </w:rPr>
        <w:t xml:space="preserve">; Alterman, </w:t>
      </w:r>
      <w:r w:rsidRPr="006F7384">
        <w:rPr>
          <w:rFonts w:asciiTheme="majorBidi" w:hAnsiTheme="majorBidi" w:cstheme="majorBidi"/>
          <w:smallCaps/>
        </w:rPr>
        <w:t xml:space="preserve">Takings international, </w:t>
      </w:r>
      <w:r w:rsidRPr="006F7384">
        <w:rPr>
          <w:rFonts w:asciiTheme="majorBidi" w:hAnsiTheme="majorBidi" w:cstheme="majorBidi"/>
        </w:rPr>
        <w:t xml:space="preserve">supra note </w:t>
      </w:r>
      <w:r w:rsidRPr="006F7384">
        <w:rPr>
          <w:rFonts w:asciiTheme="majorBidi" w:hAnsiTheme="majorBidi" w:cstheme="majorBidi"/>
        </w:rPr>
        <w:fldChar w:fldCharType="begin"/>
      </w:r>
      <w:r w:rsidRPr="006F7384">
        <w:rPr>
          <w:rFonts w:asciiTheme="majorBidi" w:hAnsiTheme="majorBidi" w:cstheme="majorBidi"/>
        </w:rPr>
        <w:instrText xml:space="preserve"> NOTEREF _Ref518637374 \h </w:instrText>
      </w:r>
      <w:r w:rsidRPr="006F7384">
        <w:rPr>
          <w:rFonts w:asciiTheme="majorBidi" w:hAnsiTheme="majorBidi" w:cstheme="majorBidi"/>
        </w:rPr>
      </w:r>
      <w:r w:rsidRPr="006F7384">
        <w:rPr>
          <w:rFonts w:asciiTheme="majorBidi" w:hAnsiTheme="majorBidi" w:cstheme="majorBidi"/>
        </w:rPr>
        <w:fldChar w:fldCharType="separate"/>
      </w:r>
      <w:r w:rsidRPr="006F7384">
        <w:rPr>
          <w:rFonts w:asciiTheme="majorBidi" w:hAnsiTheme="majorBidi" w:cstheme="majorBidi"/>
        </w:rPr>
        <w:t>79</w:t>
      </w:r>
      <w:r w:rsidRPr="006F7384">
        <w:rPr>
          <w:rFonts w:asciiTheme="majorBidi" w:hAnsiTheme="majorBidi" w:cstheme="majorBidi"/>
        </w:rPr>
        <w:fldChar w:fldCharType="end"/>
      </w:r>
      <w:r w:rsidRPr="006F7384">
        <w:rPr>
          <w:rFonts w:asciiTheme="majorBidi" w:hAnsiTheme="majorBidi" w:cstheme="majorBidi"/>
        </w:rPr>
        <w:t>, at 318, 325-330.</w:t>
      </w:r>
    </w:p>
  </w:footnote>
  <w:footnote w:id="99">
    <w:p w14:paraId="44B3C8F0" w14:textId="70B3A65E" w:rsidR="003C0025" w:rsidRPr="006F7384" w:rsidRDefault="003C0025" w:rsidP="003C0025">
      <w:pPr>
        <w:pStyle w:val="FootnoteText"/>
        <w:bidi w:val="0"/>
      </w:pPr>
      <w:r w:rsidRPr="006F7384">
        <w:rPr>
          <w:rStyle w:val="FootnoteReference"/>
        </w:rPr>
        <w:footnoteRef/>
      </w:r>
      <w:r w:rsidRPr="006F7384">
        <w:rPr>
          <w:rtl/>
        </w:rPr>
        <w:t xml:space="preserve"> </w:t>
      </w:r>
      <w:r w:rsidRPr="006F7384">
        <w:t xml:space="preserve"> </w:t>
      </w:r>
      <w:r w:rsidRPr="006F7384">
        <w:rPr>
          <w:rFonts w:asciiTheme="majorBidi" w:hAnsiTheme="majorBidi" w:cstheme="majorBidi"/>
        </w:rPr>
        <w:t>Lands (Expropriation) Ordinance, 1943, § 20; Planning and Building law 5725-1965, §190.</w:t>
      </w:r>
    </w:p>
  </w:footnote>
  <w:footnote w:id="100">
    <w:p w14:paraId="2AFAAD9A" w14:textId="43677B0C" w:rsidR="00F46426" w:rsidRPr="006F7384" w:rsidRDefault="00F46426" w:rsidP="00C91DE4">
      <w:pPr>
        <w:pStyle w:val="FootnoteText"/>
        <w:bidi w:val="0"/>
      </w:pPr>
      <w:r w:rsidRPr="006F7384">
        <w:rPr>
          <w:rStyle w:val="FootnoteReference"/>
        </w:rPr>
        <w:footnoteRef/>
      </w:r>
      <w:r w:rsidRPr="006F7384">
        <w:rPr>
          <w:rtl/>
        </w:rPr>
        <w:t xml:space="preserve"> </w:t>
      </w:r>
      <w:r w:rsidRPr="006F7384">
        <w:t xml:space="preserve"> </w:t>
      </w:r>
      <w:r w:rsidRPr="006F7384">
        <w:rPr>
          <w:rFonts w:asciiTheme="majorBidi" w:hAnsiTheme="majorBidi" w:cstheme="majorBidi"/>
        </w:rPr>
        <w:t xml:space="preserve">Planning and Building </w:t>
      </w:r>
      <w:r w:rsidR="00C91DE4">
        <w:rPr>
          <w:rFonts w:asciiTheme="majorBidi" w:hAnsiTheme="majorBidi" w:cstheme="majorBidi"/>
        </w:rPr>
        <w:t>L</w:t>
      </w:r>
      <w:r w:rsidRPr="006F7384">
        <w:rPr>
          <w:rFonts w:asciiTheme="majorBidi" w:hAnsiTheme="majorBidi" w:cstheme="majorBidi"/>
        </w:rPr>
        <w:t xml:space="preserve">aw 5725-1965, §200; Alterman, </w:t>
      </w:r>
      <w:r w:rsidRPr="006F7384">
        <w:rPr>
          <w:rFonts w:asciiTheme="majorBidi" w:hAnsiTheme="majorBidi" w:cstheme="majorBidi"/>
          <w:smallCaps/>
        </w:rPr>
        <w:t xml:space="preserve">Takings international, </w:t>
      </w:r>
      <w:r w:rsidRPr="006F7384">
        <w:rPr>
          <w:rFonts w:asciiTheme="majorBidi" w:hAnsiTheme="majorBidi" w:cstheme="majorBidi"/>
        </w:rPr>
        <w:t xml:space="preserve">supra note </w:t>
      </w:r>
      <w:r w:rsidRPr="006F7384">
        <w:rPr>
          <w:rFonts w:asciiTheme="majorBidi" w:hAnsiTheme="majorBidi" w:cstheme="majorBidi"/>
        </w:rPr>
        <w:fldChar w:fldCharType="begin"/>
      </w:r>
      <w:r w:rsidRPr="006F7384">
        <w:rPr>
          <w:rFonts w:asciiTheme="majorBidi" w:hAnsiTheme="majorBidi" w:cstheme="majorBidi"/>
        </w:rPr>
        <w:instrText xml:space="preserve"> NOTEREF _Ref518637374 \h </w:instrText>
      </w:r>
      <w:r w:rsidRPr="006F7384">
        <w:rPr>
          <w:rFonts w:asciiTheme="majorBidi" w:hAnsiTheme="majorBidi" w:cstheme="majorBidi"/>
        </w:rPr>
      </w:r>
      <w:r w:rsidRPr="006F7384">
        <w:rPr>
          <w:rFonts w:asciiTheme="majorBidi" w:hAnsiTheme="majorBidi" w:cstheme="majorBidi"/>
        </w:rPr>
        <w:fldChar w:fldCharType="separate"/>
      </w:r>
      <w:r w:rsidRPr="006F7384">
        <w:rPr>
          <w:rFonts w:asciiTheme="majorBidi" w:hAnsiTheme="majorBidi" w:cstheme="majorBidi"/>
        </w:rPr>
        <w:t>79</w:t>
      </w:r>
      <w:r w:rsidRPr="006F7384">
        <w:rPr>
          <w:rFonts w:asciiTheme="majorBidi" w:hAnsiTheme="majorBidi" w:cstheme="majorBidi"/>
        </w:rPr>
        <w:fldChar w:fldCharType="end"/>
      </w:r>
      <w:r w:rsidRPr="006F7384">
        <w:rPr>
          <w:rFonts w:asciiTheme="majorBidi" w:hAnsiTheme="majorBidi" w:cstheme="majorBidi"/>
        </w:rPr>
        <w:t>, at 332-333.</w:t>
      </w:r>
    </w:p>
  </w:footnote>
  <w:footnote w:id="101">
    <w:p w14:paraId="06350CBD" w14:textId="7A498A4C" w:rsidR="00F46426" w:rsidRPr="006F7384" w:rsidRDefault="00F46426" w:rsidP="00A43C65">
      <w:pPr>
        <w:pStyle w:val="FootnoteText"/>
        <w:bidi w:val="0"/>
      </w:pPr>
      <w:r w:rsidRPr="006F7384">
        <w:rPr>
          <w:rStyle w:val="FootnoteReference"/>
        </w:rPr>
        <w:footnoteRef/>
      </w:r>
      <w:r w:rsidRPr="006F7384">
        <w:rPr>
          <w:rtl/>
        </w:rPr>
        <w:t xml:space="preserve"> </w:t>
      </w:r>
      <w:r w:rsidRPr="006F7384">
        <w:rPr>
          <w:rFonts w:asciiTheme="majorBidi" w:hAnsiTheme="majorBidi" w:cstheme="majorBidi"/>
        </w:rPr>
        <w:t>C.A. 377/79 </w:t>
      </w:r>
      <w:r w:rsidRPr="006F7384">
        <w:rPr>
          <w:rFonts w:asciiTheme="majorBidi" w:hAnsiTheme="majorBidi" w:cstheme="majorBidi"/>
          <w:smallCaps/>
        </w:rPr>
        <w:t>Faiser v. Local Construction and Planning Committee Ramat Gan</w:t>
      </w:r>
      <w:r w:rsidRPr="006F7384">
        <w:rPr>
          <w:rFonts w:asciiTheme="majorBidi" w:hAnsiTheme="majorBidi" w:cstheme="majorBidi"/>
        </w:rPr>
        <w:t>, PD 35(3) 645 (1981)</w:t>
      </w:r>
      <w:r w:rsidRPr="006F7384">
        <w:rPr>
          <w:rFonts w:ascii="Trade Gothic W01 Roman" w:hAnsi="Trade Gothic W01 Roman"/>
          <w:color w:val="606060"/>
          <w:sz w:val="21"/>
          <w:szCs w:val="21"/>
        </w:rPr>
        <w:t>.</w:t>
      </w:r>
    </w:p>
  </w:footnote>
  <w:footnote w:id="102">
    <w:p w14:paraId="29DFF147" w14:textId="0E9372F0" w:rsidR="00F46426" w:rsidRPr="006F7384" w:rsidRDefault="00F46426" w:rsidP="00C91DE4">
      <w:pPr>
        <w:pStyle w:val="FootnoteText"/>
        <w:bidi w:val="0"/>
        <w:jc w:val="both"/>
        <w:rPr>
          <w:rFonts w:asciiTheme="majorBidi" w:hAnsiTheme="majorBidi" w:cstheme="majorBidi"/>
        </w:rPr>
      </w:pPr>
      <w:r w:rsidRPr="006F7384">
        <w:rPr>
          <w:rStyle w:val="FootnoteReference"/>
        </w:rPr>
        <w:footnoteRef/>
      </w:r>
      <w:r w:rsidRPr="006F7384">
        <w:rPr>
          <w:rtl/>
        </w:rPr>
        <w:t xml:space="preserve"> </w:t>
      </w:r>
      <w:r w:rsidRPr="006F7384">
        <w:rPr>
          <w:rFonts w:asciiTheme="majorBidi" w:hAnsiTheme="majorBidi" w:cstheme="majorBidi"/>
        </w:rPr>
        <w:t xml:space="preserve">C.A. 5546/97 </w:t>
      </w:r>
      <w:r w:rsidRPr="006F7384">
        <w:rPr>
          <w:rFonts w:asciiTheme="majorBidi" w:hAnsiTheme="majorBidi" w:cstheme="majorBidi"/>
          <w:smallCaps/>
        </w:rPr>
        <w:t>Kiryat Ata Planning and Building Commission v. Holzman</w:t>
      </w:r>
      <w:r w:rsidRPr="006F7384">
        <w:rPr>
          <w:rFonts w:asciiTheme="majorBidi" w:hAnsiTheme="majorBidi" w:cstheme="majorBidi"/>
        </w:rPr>
        <w:t xml:space="preserve"> 55[4] PD 629 </w:t>
      </w:r>
      <w:r w:rsidR="00C91DE4">
        <w:rPr>
          <w:rFonts w:asciiTheme="majorBidi" w:hAnsiTheme="majorBidi" w:cstheme="majorBidi"/>
        </w:rPr>
        <w:t>(2001); English official t</w:t>
      </w:r>
      <w:r w:rsidRPr="006F7384">
        <w:rPr>
          <w:rFonts w:asciiTheme="majorBidi" w:hAnsiTheme="majorBidi" w:cstheme="majorBidi"/>
        </w:rPr>
        <w:t xml:space="preserve">ranslation: </w:t>
      </w:r>
      <w:hyperlink r:id="rId27" w:history="1">
        <w:r w:rsidRPr="006F7384">
          <w:rPr>
            <w:rStyle w:val="Hyperlink"/>
            <w:rFonts w:asciiTheme="majorBidi" w:hAnsiTheme="majorBidi" w:cstheme="majorBidi"/>
          </w:rPr>
          <w:t>http://elyon1.court.gov.il/files_eng/97/460/055/l06/97055460.l06.pdf</w:t>
        </w:r>
      </w:hyperlink>
      <w:r w:rsidRPr="006F7384">
        <w:rPr>
          <w:rFonts w:asciiTheme="majorBidi" w:hAnsiTheme="majorBidi" w:cstheme="majorBidi"/>
        </w:rPr>
        <w:t xml:space="preserve">; </w:t>
      </w:r>
      <w:r w:rsidRPr="006F7384">
        <w:rPr>
          <w:rFonts w:ascii="Times New Roman" w:hAnsi="Times New Roman" w:cs="Times New Roman"/>
          <w:smallCaps/>
        </w:rPr>
        <w:t>VERSA-Opinions of The Supreme Court of Israel, Translated Opinions,</w:t>
      </w:r>
      <w:r w:rsidRPr="006F7384">
        <w:rPr>
          <w:rFonts w:asciiTheme="majorBidi" w:hAnsiTheme="majorBidi" w:cstheme="majorBidi"/>
          <w:rtl/>
        </w:rPr>
        <w:t xml:space="preserve"> </w:t>
      </w:r>
      <w:hyperlink r:id="rId28" w:history="1">
        <w:r w:rsidRPr="006F7384">
          <w:rPr>
            <w:rStyle w:val="Hyperlink"/>
            <w:rFonts w:asciiTheme="majorBidi" w:hAnsiTheme="majorBidi" w:cstheme="majorBidi"/>
          </w:rPr>
          <w:t>http://versa.cardozo.yu.edu/opinions/local-building-v-holzman</w:t>
        </w:r>
      </w:hyperlink>
      <w:r w:rsidRPr="006F7384">
        <w:rPr>
          <w:rFonts w:asciiTheme="majorBidi" w:hAnsiTheme="majorBidi" w:cstheme="majorBidi"/>
        </w:rPr>
        <w:t>.</w:t>
      </w:r>
    </w:p>
  </w:footnote>
  <w:footnote w:id="103">
    <w:p w14:paraId="56DAB39C" w14:textId="7B17252B" w:rsidR="00F46426" w:rsidRPr="006F7384" w:rsidRDefault="00F46426" w:rsidP="006F0F72">
      <w:pPr>
        <w:pStyle w:val="FootnoteText"/>
        <w:bidi w:val="0"/>
      </w:pPr>
      <w:r w:rsidRPr="006F7384">
        <w:rPr>
          <w:rStyle w:val="FootnoteReference"/>
        </w:rPr>
        <w:footnoteRef/>
      </w:r>
      <w:r w:rsidRPr="006F7384">
        <w:rPr>
          <w:rtl/>
        </w:rPr>
        <w:t xml:space="preserve"> </w:t>
      </w:r>
      <w:r w:rsidRPr="006F7384">
        <w:rPr>
          <w:rFonts w:asciiTheme="majorBidi" w:hAnsiTheme="majorBidi" w:cstheme="majorBidi"/>
        </w:rPr>
        <w:t>Ibid, at pars. 7-8 J. Barak; par. 9 J. Dorner.</w:t>
      </w:r>
    </w:p>
  </w:footnote>
  <w:footnote w:id="104">
    <w:p w14:paraId="49689C2C" w14:textId="4F80DF24" w:rsidR="00F46426" w:rsidRPr="006F7384" w:rsidRDefault="00F46426" w:rsidP="006F0F72">
      <w:pPr>
        <w:pStyle w:val="FootnoteText"/>
        <w:bidi w:val="0"/>
      </w:pPr>
      <w:r w:rsidRPr="006F7384">
        <w:rPr>
          <w:rStyle w:val="FootnoteReference"/>
        </w:rPr>
        <w:footnoteRef/>
      </w:r>
      <w:r w:rsidRPr="006F7384">
        <w:rPr>
          <w:rtl/>
        </w:rPr>
        <w:t xml:space="preserve"> </w:t>
      </w:r>
      <w:r w:rsidRPr="006F7384">
        <w:rPr>
          <w:rFonts w:asciiTheme="majorBidi" w:hAnsiTheme="majorBidi" w:cstheme="majorBidi"/>
        </w:rPr>
        <w:t xml:space="preserve">CA 8622/07 </w:t>
      </w:r>
      <w:r w:rsidRPr="006F7384">
        <w:rPr>
          <w:rFonts w:asciiTheme="majorBidi" w:hAnsiTheme="majorBidi" w:cstheme="majorBidi"/>
          <w:smallCaps/>
        </w:rPr>
        <w:t>Rotman v. The Israel National Roads Company Ltd.</w:t>
      </w:r>
      <w:r w:rsidRPr="006F7384">
        <w:rPr>
          <w:rFonts w:asciiTheme="majorBidi" w:hAnsiTheme="majorBidi" w:cstheme="majorBidi"/>
        </w:rPr>
        <w:t>, par 110 J. Fogelman (Nevo, 14.5. 2012).</w:t>
      </w:r>
    </w:p>
  </w:footnote>
  <w:footnote w:id="105">
    <w:p w14:paraId="18C81B2F" w14:textId="3AFFD8F8" w:rsidR="00F46426" w:rsidRPr="006F7384" w:rsidRDefault="00F46426" w:rsidP="006F0F72">
      <w:pPr>
        <w:pStyle w:val="FootnoteText"/>
        <w:bidi w:val="0"/>
      </w:pPr>
      <w:r w:rsidRPr="006F7384">
        <w:rPr>
          <w:rStyle w:val="FootnoteReference"/>
        </w:rPr>
        <w:footnoteRef/>
      </w:r>
      <w:r w:rsidRPr="006F7384">
        <w:rPr>
          <w:rtl/>
        </w:rPr>
        <w:t xml:space="preserve"> </w:t>
      </w:r>
      <w:r w:rsidRPr="006F7384">
        <w:rPr>
          <w:rFonts w:asciiTheme="majorBidi" w:hAnsiTheme="majorBidi" w:cstheme="majorBidi"/>
        </w:rPr>
        <w:t xml:space="preserve">The 2010 Amending Law, supra note </w:t>
      </w:r>
      <w:r w:rsidRPr="006F7384">
        <w:rPr>
          <w:rFonts w:asciiTheme="majorBidi" w:hAnsiTheme="majorBidi" w:cstheme="majorBidi"/>
        </w:rPr>
        <w:fldChar w:fldCharType="begin"/>
      </w:r>
      <w:r w:rsidRPr="006F7384">
        <w:rPr>
          <w:rFonts w:asciiTheme="majorBidi" w:hAnsiTheme="majorBidi" w:cstheme="majorBidi"/>
        </w:rPr>
        <w:instrText xml:space="preserve"> NOTEREF _Ref518648326 \h </w:instrText>
      </w:r>
      <w:r w:rsidRPr="006F7384">
        <w:rPr>
          <w:rFonts w:asciiTheme="majorBidi" w:hAnsiTheme="majorBidi" w:cstheme="majorBidi"/>
        </w:rPr>
      </w:r>
      <w:r w:rsidRPr="006F7384">
        <w:rPr>
          <w:rFonts w:asciiTheme="majorBidi" w:hAnsiTheme="majorBidi" w:cstheme="majorBidi"/>
        </w:rPr>
        <w:fldChar w:fldCharType="separate"/>
      </w:r>
      <w:r w:rsidRPr="006F7384">
        <w:rPr>
          <w:rFonts w:asciiTheme="majorBidi" w:hAnsiTheme="majorBidi" w:cstheme="majorBidi"/>
        </w:rPr>
        <w:t>94</w:t>
      </w:r>
      <w:r w:rsidRPr="006F7384">
        <w:rPr>
          <w:rFonts w:asciiTheme="majorBidi" w:hAnsiTheme="majorBidi" w:cstheme="majorBidi"/>
        </w:rPr>
        <w:fldChar w:fldCharType="end"/>
      </w:r>
      <w:r w:rsidRPr="006F7384">
        <w:rPr>
          <w:rFonts w:asciiTheme="majorBidi" w:hAnsiTheme="majorBidi" w:cstheme="majorBidi"/>
        </w:rPr>
        <w:t>,</w:t>
      </w:r>
      <w:r w:rsidRPr="006F7384">
        <w:rPr>
          <w:rFonts w:asciiTheme="majorBidi" w:hAnsiTheme="majorBidi" w:cstheme="majorBidi"/>
          <w:rtl/>
        </w:rPr>
        <w:t xml:space="preserve"> </w:t>
      </w:r>
      <w:r w:rsidRPr="006F7384">
        <w:rPr>
          <w:rFonts w:asciiTheme="majorBidi" w:hAnsiTheme="majorBidi" w:cstheme="majorBidi"/>
        </w:rPr>
        <w:t>§ 23(5).</w:t>
      </w:r>
    </w:p>
  </w:footnote>
  <w:footnote w:id="106">
    <w:p w14:paraId="7DB9FAE2" w14:textId="47B5D93E" w:rsidR="00F46426" w:rsidRPr="006F7384" w:rsidRDefault="00F46426" w:rsidP="006F0F72">
      <w:pPr>
        <w:pStyle w:val="FootnoteText"/>
        <w:bidi w:val="0"/>
      </w:pPr>
      <w:r w:rsidRPr="006F7384">
        <w:rPr>
          <w:rStyle w:val="FootnoteReference"/>
        </w:rPr>
        <w:footnoteRef/>
      </w:r>
      <w:r w:rsidRPr="006F7384">
        <w:rPr>
          <w:rtl/>
        </w:rPr>
        <w:t xml:space="preserve"> </w:t>
      </w:r>
      <w:r w:rsidRPr="006F7384">
        <w:t xml:space="preserve"> </w:t>
      </w:r>
      <w:r w:rsidRPr="006F7384">
        <w:rPr>
          <w:rFonts w:asciiTheme="majorBidi" w:hAnsiTheme="majorBidi" w:cstheme="majorBidi"/>
        </w:rPr>
        <w:t xml:space="preserve">Ronit Levine-Schnur, Gideon Parchomovsky </w:t>
      </w:r>
      <w:r w:rsidRPr="006F7384">
        <w:rPr>
          <w:rFonts w:asciiTheme="majorBidi" w:hAnsiTheme="majorBidi" w:cstheme="majorBidi"/>
          <w:i/>
          <w:iCs/>
        </w:rPr>
        <w:t>Is the Government Fiscally Blind? An Empirical Examination of the Effect of the Compensation Requirement on Eminent-Domain Exercises</w:t>
      </w:r>
      <w:r w:rsidRPr="006F7384">
        <w:rPr>
          <w:rFonts w:asciiTheme="majorBidi" w:hAnsiTheme="majorBidi" w:cstheme="majorBidi"/>
        </w:rPr>
        <w:t xml:space="preserve"> 45 </w:t>
      </w:r>
      <w:r w:rsidRPr="006F7384">
        <w:rPr>
          <w:rFonts w:asciiTheme="majorBidi" w:hAnsiTheme="majorBidi" w:cstheme="majorBidi"/>
          <w:smallCaps/>
        </w:rPr>
        <w:t>Journal of Legal Studies</w:t>
      </w:r>
      <w:r w:rsidRPr="006F7384">
        <w:rPr>
          <w:rFonts w:asciiTheme="majorBidi" w:hAnsiTheme="majorBidi" w:cstheme="majorBidi"/>
        </w:rPr>
        <w:t xml:space="preserve"> 439, 458-463 (2016).</w:t>
      </w:r>
    </w:p>
  </w:footnote>
  <w:footnote w:id="107">
    <w:p w14:paraId="1552B4F9" w14:textId="77777777" w:rsidR="00F46426" w:rsidRPr="006F7384" w:rsidRDefault="00F46426" w:rsidP="00C65B41">
      <w:pPr>
        <w:pStyle w:val="FootnoteText"/>
        <w:bidi w:val="0"/>
      </w:pPr>
      <w:r w:rsidRPr="006F7384">
        <w:rPr>
          <w:rStyle w:val="FootnoteReference"/>
        </w:rPr>
        <w:footnoteRef/>
      </w:r>
      <w:r w:rsidRPr="006F7384">
        <w:rPr>
          <w:rtl/>
        </w:rPr>
        <w:t xml:space="preserve"> </w:t>
      </w:r>
      <w:r w:rsidRPr="006F7384">
        <w:rPr>
          <w:rFonts w:asciiTheme="majorBidi" w:hAnsiTheme="majorBidi" w:cstheme="majorBidi"/>
        </w:rPr>
        <w:t xml:space="preserve">Supra note </w:t>
      </w:r>
      <w:r w:rsidRPr="006F7384">
        <w:rPr>
          <w:rFonts w:asciiTheme="majorBidi" w:hAnsiTheme="majorBidi" w:cstheme="majorBidi"/>
        </w:rPr>
        <w:fldChar w:fldCharType="begin"/>
      </w:r>
      <w:r w:rsidRPr="006F7384">
        <w:rPr>
          <w:rFonts w:asciiTheme="majorBidi" w:hAnsiTheme="majorBidi" w:cstheme="majorBidi"/>
        </w:rPr>
        <w:instrText xml:space="preserve"> NOTEREF _Ref518654781 \h  \* MERGEFORMAT </w:instrText>
      </w:r>
      <w:r w:rsidRPr="006F7384">
        <w:rPr>
          <w:rFonts w:asciiTheme="majorBidi" w:hAnsiTheme="majorBidi" w:cstheme="majorBidi"/>
        </w:rPr>
      </w:r>
      <w:r w:rsidRPr="006F7384">
        <w:rPr>
          <w:rFonts w:asciiTheme="majorBidi" w:hAnsiTheme="majorBidi" w:cstheme="majorBidi"/>
        </w:rPr>
        <w:fldChar w:fldCharType="separate"/>
      </w:r>
      <w:r w:rsidRPr="006F7384">
        <w:rPr>
          <w:rFonts w:asciiTheme="majorBidi" w:hAnsiTheme="majorBidi" w:cstheme="majorBidi"/>
        </w:rPr>
        <w:t>100</w:t>
      </w:r>
      <w:r w:rsidRPr="006F7384">
        <w:rPr>
          <w:rFonts w:asciiTheme="majorBidi" w:hAnsiTheme="majorBidi" w:cstheme="majorBidi"/>
        </w:rPr>
        <w:fldChar w:fldCharType="end"/>
      </w:r>
      <w:r w:rsidRPr="006F7384">
        <w:rPr>
          <w:rFonts w:asciiTheme="majorBidi" w:hAnsiTheme="majorBidi" w:cstheme="majorBidi"/>
        </w:rPr>
        <w:t>.</w:t>
      </w:r>
    </w:p>
  </w:footnote>
  <w:footnote w:id="108">
    <w:p w14:paraId="20F568D6" w14:textId="77777777" w:rsidR="00F46426" w:rsidRPr="006F7384" w:rsidRDefault="00F46426" w:rsidP="00C65B41">
      <w:pPr>
        <w:pStyle w:val="FootnoteText"/>
        <w:bidi w:val="0"/>
      </w:pPr>
      <w:r w:rsidRPr="006F7384">
        <w:rPr>
          <w:rStyle w:val="FootnoteReference"/>
        </w:rPr>
        <w:footnoteRef/>
      </w:r>
      <w:r w:rsidRPr="006F7384">
        <w:rPr>
          <w:rtl/>
        </w:rPr>
        <w:t xml:space="preserve"> </w:t>
      </w:r>
      <w:r w:rsidRPr="006F7384">
        <w:t xml:space="preserve"> </w:t>
      </w:r>
      <w:r w:rsidRPr="006F7384">
        <w:rPr>
          <w:rFonts w:asciiTheme="majorBidi" w:hAnsiTheme="majorBidi" w:cstheme="majorBidi"/>
        </w:rPr>
        <w:t xml:space="preserve">CA 3901/96 </w:t>
      </w:r>
      <w:r w:rsidRPr="006F7384">
        <w:rPr>
          <w:rFonts w:asciiTheme="majorBidi" w:hAnsiTheme="majorBidi" w:cstheme="majorBidi"/>
          <w:smallCaps/>
        </w:rPr>
        <w:t>Ranana Local Planning Committee v. Horowitz</w:t>
      </w:r>
      <w:r w:rsidRPr="006F7384">
        <w:rPr>
          <w:rFonts w:asciiTheme="majorBidi" w:hAnsiTheme="majorBidi" w:cstheme="majorBidi"/>
        </w:rPr>
        <w:t>, PD 56(4) 913, 928-930 (2002) (Hebrew).</w:t>
      </w:r>
    </w:p>
  </w:footnote>
  <w:footnote w:id="109">
    <w:p w14:paraId="01C38BF3" w14:textId="77777777" w:rsidR="00F46426" w:rsidRPr="006F7384" w:rsidRDefault="00F46426" w:rsidP="00C65B41">
      <w:pPr>
        <w:pStyle w:val="FootnoteText"/>
        <w:bidi w:val="0"/>
      </w:pPr>
      <w:r w:rsidRPr="006F7384">
        <w:rPr>
          <w:rStyle w:val="FootnoteReference"/>
        </w:rPr>
        <w:footnoteRef/>
      </w:r>
      <w:r w:rsidRPr="006F7384">
        <w:rPr>
          <w:rtl/>
        </w:rPr>
        <w:t xml:space="preserve"> </w:t>
      </w:r>
      <w:r w:rsidRPr="006F7384">
        <w:t xml:space="preserve"> </w:t>
      </w:r>
      <w:r w:rsidRPr="006F7384">
        <w:rPr>
          <w:rFonts w:asciiTheme="majorBidi" w:hAnsiTheme="majorBidi" w:cstheme="majorBidi"/>
        </w:rPr>
        <w:t>Ibid, at</w:t>
      </w:r>
      <w:r w:rsidRPr="006F7384">
        <w:t xml:space="preserve"> </w:t>
      </w:r>
      <w:r w:rsidRPr="006F7384">
        <w:rPr>
          <w:rFonts w:asciiTheme="majorBidi" w:hAnsiTheme="majorBidi" w:cstheme="majorBidi"/>
        </w:rPr>
        <w:t>937-939.</w:t>
      </w:r>
    </w:p>
  </w:footnote>
  <w:footnote w:id="110">
    <w:p w14:paraId="45DC9137" w14:textId="77777777" w:rsidR="00F46426" w:rsidRPr="006F7384" w:rsidRDefault="00F46426" w:rsidP="00047493">
      <w:pPr>
        <w:pStyle w:val="FootnoteText"/>
        <w:bidi w:val="0"/>
      </w:pPr>
      <w:r w:rsidRPr="006F7384">
        <w:rPr>
          <w:rStyle w:val="FootnoteReference"/>
        </w:rPr>
        <w:footnoteRef/>
      </w:r>
      <w:r w:rsidRPr="006F7384">
        <w:rPr>
          <w:rtl/>
        </w:rPr>
        <w:t xml:space="preserve"> </w:t>
      </w:r>
      <w:r w:rsidRPr="006F7384">
        <w:rPr>
          <w:rFonts w:asciiTheme="majorBidi" w:hAnsiTheme="majorBidi" w:cstheme="majorBidi"/>
        </w:rPr>
        <w:t>Ibid, at 942-944.</w:t>
      </w:r>
    </w:p>
  </w:footnote>
  <w:footnote w:id="111">
    <w:p w14:paraId="39BBBDB4" w14:textId="77777777" w:rsidR="00F46426" w:rsidRPr="006F7384" w:rsidRDefault="00F46426" w:rsidP="00047493">
      <w:pPr>
        <w:pStyle w:val="FootnoteText"/>
        <w:bidi w:val="0"/>
      </w:pPr>
      <w:r w:rsidRPr="006F7384">
        <w:rPr>
          <w:rStyle w:val="FootnoteReference"/>
        </w:rPr>
        <w:footnoteRef/>
      </w:r>
      <w:r w:rsidRPr="006F7384">
        <w:rPr>
          <w:rtl/>
        </w:rPr>
        <w:t xml:space="preserve"> </w:t>
      </w:r>
      <w:r w:rsidRPr="006F7384">
        <w:rPr>
          <w:rFonts w:asciiTheme="majorBidi" w:hAnsiTheme="majorBidi" w:cstheme="majorBidi"/>
        </w:rPr>
        <w:t xml:space="preserve">SCA 1333/02 </w:t>
      </w:r>
      <w:r w:rsidRPr="006F7384">
        <w:rPr>
          <w:rFonts w:asciiTheme="majorBidi" w:hAnsiTheme="majorBidi" w:cstheme="majorBidi"/>
          <w:smallCaps/>
        </w:rPr>
        <w:t>Ranana Local Planning Committee v. Horowitz</w:t>
      </w:r>
      <w:r w:rsidRPr="006F7384">
        <w:rPr>
          <w:rFonts w:asciiTheme="majorBidi" w:hAnsiTheme="majorBidi" w:cstheme="majorBidi"/>
        </w:rPr>
        <w:t>, PD 68(6) 289 (2004) (Hebrew);</w:t>
      </w:r>
      <w:r w:rsidRPr="006F7384">
        <w:rPr>
          <w:rFonts w:asciiTheme="majorBidi" w:hAnsiTheme="majorBidi" w:cstheme="majorBidi"/>
          <w:rtl/>
        </w:rPr>
        <w:t xml:space="preserve"> </w:t>
      </w:r>
      <w:r w:rsidRPr="006F7384">
        <w:rPr>
          <w:rFonts w:asciiTheme="majorBidi" w:hAnsiTheme="majorBidi" w:cstheme="majorBidi"/>
        </w:rPr>
        <w:t xml:space="preserve">Alterman, </w:t>
      </w:r>
      <w:r w:rsidRPr="006F7384">
        <w:rPr>
          <w:rFonts w:asciiTheme="majorBidi" w:hAnsiTheme="majorBidi" w:cstheme="majorBidi"/>
          <w:smallCaps/>
        </w:rPr>
        <w:t xml:space="preserve">Takings international, </w:t>
      </w:r>
      <w:r w:rsidRPr="006F7384">
        <w:rPr>
          <w:rFonts w:asciiTheme="majorBidi" w:hAnsiTheme="majorBidi" w:cstheme="majorBidi"/>
        </w:rPr>
        <w:t xml:space="preserve">supra note </w:t>
      </w:r>
      <w:r w:rsidRPr="006F7384">
        <w:rPr>
          <w:rFonts w:asciiTheme="majorBidi" w:hAnsiTheme="majorBidi" w:cstheme="majorBidi"/>
        </w:rPr>
        <w:fldChar w:fldCharType="begin"/>
      </w:r>
      <w:r w:rsidRPr="006F7384">
        <w:rPr>
          <w:rFonts w:asciiTheme="majorBidi" w:hAnsiTheme="majorBidi" w:cstheme="majorBidi"/>
        </w:rPr>
        <w:instrText xml:space="preserve"> NOTEREF _Ref518637374 \h </w:instrText>
      </w:r>
      <w:r w:rsidRPr="006F7384">
        <w:rPr>
          <w:rFonts w:asciiTheme="majorBidi" w:hAnsiTheme="majorBidi" w:cstheme="majorBidi"/>
        </w:rPr>
      </w:r>
      <w:r w:rsidRPr="006F7384">
        <w:rPr>
          <w:rFonts w:asciiTheme="majorBidi" w:hAnsiTheme="majorBidi" w:cstheme="majorBidi"/>
        </w:rPr>
        <w:fldChar w:fldCharType="separate"/>
      </w:r>
      <w:r w:rsidRPr="006F7384">
        <w:rPr>
          <w:rFonts w:asciiTheme="majorBidi" w:hAnsiTheme="majorBidi" w:cstheme="majorBidi"/>
        </w:rPr>
        <w:t>79</w:t>
      </w:r>
      <w:r w:rsidRPr="006F7384">
        <w:rPr>
          <w:rFonts w:asciiTheme="majorBidi" w:hAnsiTheme="majorBidi" w:cstheme="majorBidi"/>
        </w:rPr>
        <w:fldChar w:fldCharType="end"/>
      </w:r>
      <w:r w:rsidRPr="006F7384">
        <w:rPr>
          <w:rFonts w:asciiTheme="majorBidi" w:hAnsiTheme="majorBidi" w:cstheme="majorBidi"/>
        </w:rPr>
        <w:t>, at 335.</w:t>
      </w:r>
    </w:p>
  </w:footnote>
  <w:footnote w:id="112">
    <w:p w14:paraId="0502ABF2" w14:textId="16AD06F8" w:rsidR="00F46426" w:rsidRPr="006F7384" w:rsidRDefault="00F46426" w:rsidP="00B845E2">
      <w:pPr>
        <w:pStyle w:val="FootnoteText"/>
        <w:bidi w:val="0"/>
      </w:pPr>
      <w:r w:rsidRPr="006F7384">
        <w:rPr>
          <w:rStyle w:val="FootnoteReference"/>
        </w:rPr>
        <w:footnoteRef/>
      </w:r>
      <w:r w:rsidRPr="006F7384">
        <w:rPr>
          <w:rtl/>
        </w:rPr>
        <w:t xml:space="preserve"> </w:t>
      </w:r>
      <w:r w:rsidRPr="006F7384">
        <w:rPr>
          <w:rFonts w:asciiTheme="majorBidi" w:hAnsiTheme="majorBidi" w:cstheme="majorBidi"/>
        </w:rPr>
        <w:t>Ibid, at 315-316.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D404FB"/>
    <w:multiLevelType w:val="hybridMultilevel"/>
    <w:tmpl w:val="4E9C22FA"/>
    <w:lvl w:ilvl="0" w:tplc="0409000F">
      <w:start w:val="1"/>
      <w:numFmt w:val="decimal"/>
      <w:lvlText w:val="%1."/>
      <w:lvlJc w:val="left"/>
      <w:pPr>
        <w:ind w:left="771" w:hanging="360"/>
      </w:pPr>
    </w:lvl>
    <w:lvl w:ilvl="1" w:tplc="04090019">
      <w:start w:val="1"/>
      <w:numFmt w:val="lowerLetter"/>
      <w:lvlText w:val="%2."/>
      <w:lvlJc w:val="left"/>
      <w:pPr>
        <w:ind w:left="1491" w:hanging="360"/>
      </w:pPr>
    </w:lvl>
    <w:lvl w:ilvl="2" w:tplc="0409001B">
      <w:start w:val="1"/>
      <w:numFmt w:val="lowerRoman"/>
      <w:lvlText w:val="%3."/>
      <w:lvlJc w:val="right"/>
      <w:pPr>
        <w:ind w:left="2211" w:hanging="180"/>
      </w:pPr>
    </w:lvl>
    <w:lvl w:ilvl="3" w:tplc="0409000F">
      <w:start w:val="1"/>
      <w:numFmt w:val="decimal"/>
      <w:lvlText w:val="%4."/>
      <w:lvlJc w:val="left"/>
      <w:pPr>
        <w:ind w:left="2931" w:hanging="360"/>
      </w:pPr>
    </w:lvl>
    <w:lvl w:ilvl="4" w:tplc="04090019">
      <w:start w:val="1"/>
      <w:numFmt w:val="lowerLetter"/>
      <w:lvlText w:val="%5."/>
      <w:lvlJc w:val="left"/>
      <w:pPr>
        <w:ind w:left="3651" w:hanging="360"/>
      </w:pPr>
    </w:lvl>
    <w:lvl w:ilvl="5" w:tplc="0409001B">
      <w:start w:val="1"/>
      <w:numFmt w:val="lowerRoman"/>
      <w:lvlText w:val="%6."/>
      <w:lvlJc w:val="right"/>
      <w:pPr>
        <w:ind w:left="4371" w:hanging="180"/>
      </w:pPr>
    </w:lvl>
    <w:lvl w:ilvl="6" w:tplc="0409000F">
      <w:start w:val="1"/>
      <w:numFmt w:val="decimal"/>
      <w:lvlText w:val="%7."/>
      <w:lvlJc w:val="left"/>
      <w:pPr>
        <w:ind w:left="5091" w:hanging="360"/>
      </w:pPr>
    </w:lvl>
    <w:lvl w:ilvl="7" w:tplc="04090019">
      <w:start w:val="1"/>
      <w:numFmt w:val="lowerLetter"/>
      <w:lvlText w:val="%8."/>
      <w:lvlJc w:val="left"/>
      <w:pPr>
        <w:ind w:left="5811" w:hanging="360"/>
      </w:pPr>
    </w:lvl>
    <w:lvl w:ilvl="8" w:tplc="0409001B">
      <w:start w:val="1"/>
      <w:numFmt w:val="lowerRoman"/>
      <w:lvlText w:val="%9."/>
      <w:lvlJc w:val="right"/>
      <w:pPr>
        <w:ind w:left="6531"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lanaC">
    <w15:presenceInfo w15:providerId="None" w15:userId="Elana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AFE"/>
    <w:rsid w:val="00006164"/>
    <w:rsid w:val="00007158"/>
    <w:rsid w:val="0002288E"/>
    <w:rsid w:val="000271B4"/>
    <w:rsid w:val="00036A08"/>
    <w:rsid w:val="00043931"/>
    <w:rsid w:val="00047493"/>
    <w:rsid w:val="00047B6D"/>
    <w:rsid w:val="00050D7D"/>
    <w:rsid w:val="00057B5D"/>
    <w:rsid w:val="000737AF"/>
    <w:rsid w:val="0007795E"/>
    <w:rsid w:val="000860EB"/>
    <w:rsid w:val="00091DDE"/>
    <w:rsid w:val="00094054"/>
    <w:rsid w:val="000A1264"/>
    <w:rsid w:val="000B036B"/>
    <w:rsid w:val="000B2A4F"/>
    <w:rsid w:val="000B5E5B"/>
    <w:rsid w:val="000B60EA"/>
    <w:rsid w:val="000C1C36"/>
    <w:rsid w:val="000C6E95"/>
    <w:rsid w:val="000E57CA"/>
    <w:rsid w:val="000E7024"/>
    <w:rsid w:val="000F154C"/>
    <w:rsid w:val="001006B7"/>
    <w:rsid w:val="001128E6"/>
    <w:rsid w:val="00116850"/>
    <w:rsid w:val="0011724B"/>
    <w:rsid w:val="0014169F"/>
    <w:rsid w:val="00141A1A"/>
    <w:rsid w:val="00141AEA"/>
    <w:rsid w:val="00144D25"/>
    <w:rsid w:val="00150C7A"/>
    <w:rsid w:val="00150E5A"/>
    <w:rsid w:val="00151240"/>
    <w:rsid w:val="0015401B"/>
    <w:rsid w:val="001705D1"/>
    <w:rsid w:val="00180501"/>
    <w:rsid w:val="001839C5"/>
    <w:rsid w:val="0018420F"/>
    <w:rsid w:val="0018524E"/>
    <w:rsid w:val="001921E3"/>
    <w:rsid w:val="00196439"/>
    <w:rsid w:val="00196E29"/>
    <w:rsid w:val="001A4FE0"/>
    <w:rsid w:val="001B1CD0"/>
    <w:rsid w:val="001B7A56"/>
    <w:rsid w:val="001B7F64"/>
    <w:rsid w:val="001C09E7"/>
    <w:rsid w:val="001C79F8"/>
    <w:rsid w:val="001D1388"/>
    <w:rsid w:val="001D7AB2"/>
    <w:rsid w:val="001E26B9"/>
    <w:rsid w:val="001E67EA"/>
    <w:rsid w:val="001F0978"/>
    <w:rsid w:val="002004EF"/>
    <w:rsid w:val="00215B59"/>
    <w:rsid w:val="00220955"/>
    <w:rsid w:val="00221BBD"/>
    <w:rsid w:val="00223AFB"/>
    <w:rsid w:val="00235B38"/>
    <w:rsid w:val="00236572"/>
    <w:rsid w:val="00236A75"/>
    <w:rsid w:val="00240665"/>
    <w:rsid w:val="00241BFB"/>
    <w:rsid w:val="0024223D"/>
    <w:rsid w:val="00263E1F"/>
    <w:rsid w:val="00277D09"/>
    <w:rsid w:val="002874AC"/>
    <w:rsid w:val="00295923"/>
    <w:rsid w:val="002A28BB"/>
    <w:rsid w:val="002B5C85"/>
    <w:rsid w:val="002C133A"/>
    <w:rsid w:val="002C1E1B"/>
    <w:rsid w:val="002D060F"/>
    <w:rsid w:val="002D15CD"/>
    <w:rsid w:val="002D77DF"/>
    <w:rsid w:val="002E2F78"/>
    <w:rsid w:val="003039D5"/>
    <w:rsid w:val="00306CF3"/>
    <w:rsid w:val="00317816"/>
    <w:rsid w:val="003246EF"/>
    <w:rsid w:val="00330B24"/>
    <w:rsid w:val="00342E65"/>
    <w:rsid w:val="00343610"/>
    <w:rsid w:val="00360D55"/>
    <w:rsid w:val="003750A0"/>
    <w:rsid w:val="003832E6"/>
    <w:rsid w:val="003930D3"/>
    <w:rsid w:val="00394FC1"/>
    <w:rsid w:val="00397534"/>
    <w:rsid w:val="003A3F7A"/>
    <w:rsid w:val="003A61E6"/>
    <w:rsid w:val="003B7C36"/>
    <w:rsid w:val="003B7D60"/>
    <w:rsid w:val="003C0025"/>
    <w:rsid w:val="003C1E9E"/>
    <w:rsid w:val="003C5BB3"/>
    <w:rsid w:val="003C5CB4"/>
    <w:rsid w:val="003C6418"/>
    <w:rsid w:val="003C7249"/>
    <w:rsid w:val="003D4612"/>
    <w:rsid w:val="003E01D0"/>
    <w:rsid w:val="003E2555"/>
    <w:rsid w:val="003E2F55"/>
    <w:rsid w:val="003E5079"/>
    <w:rsid w:val="004127CE"/>
    <w:rsid w:val="00412AC4"/>
    <w:rsid w:val="00413977"/>
    <w:rsid w:val="004165E2"/>
    <w:rsid w:val="00421891"/>
    <w:rsid w:val="00422035"/>
    <w:rsid w:val="00422F57"/>
    <w:rsid w:val="004471E0"/>
    <w:rsid w:val="0045467E"/>
    <w:rsid w:val="00454BA7"/>
    <w:rsid w:val="00464025"/>
    <w:rsid w:val="004654B4"/>
    <w:rsid w:val="004B25C1"/>
    <w:rsid w:val="004D49F6"/>
    <w:rsid w:val="004D58E6"/>
    <w:rsid w:val="004E40E9"/>
    <w:rsid w:val="004E50E8"/>
    <w:rsid w:val="004E754E"/>
    <w:rsid w:val="004E7B4E"/>
    <w:rsid w:val="004F0269"/>
    <w:rsid w:val="004F06A5"/>
    <w:rsid w:val="00513189"/>
    <w:rsid w:val="005166EC"/>
    <w:rsid w:val="00517986"/>
    <w:rsid w:val="005226ED"/>
    <w:rsid w:val="00526EF6"/>
    <w:rsid w:val="0053533A"/>
    <w:rsid w:val="005426F7"/>
    <w:rsid w:val="005511E7"/>
    <w:rsid w:val="0055362A"/>
    <w:rsid w:val="0056483C"/>
    <w:rsid w:val="00573BE3"/>
    <w:rsid w:val="00576AFE"/>
    <w:rsid w:val="00577064"/>
    <w:rsid w:val="00581F8E"/>
    <w:rsid w:val="00587C8D"/>
    <w:rsid w:val="005960CC"/>
    <w:rsid w:val="005A123F"/>
    <w:rsid w:val="005A5E4F"/>
    <w:rsid w:val="005B110C"/>
    <w:rsid w:val="005B18F1"/>
    <w:rsid w:val="005B4BA7"/>
    <w:rsid w:val="005B5645"/>
    <w:rsid w:val="005D0985"/>
    <w:rsid w:val="005D2179"/>
    <w:rsid w:val="005D3AD7"/>
    <w:rsid w:val="005E0977"/>
    <w:rsid w:val="005E2C40"/>
    <w:rsid w:val="005F0259"/>
    <w:rsid w:val="005F3772"/>
    <w:rsid w:val="00600D09"/>
    <w:rsid w:val="006020C7"/>
    <w:rsid w:val="0061088C"/>
    <w:rsid w:val="00615F39"/>
    <w:rsid w:val="00624B89"/>
    <w:rsid w:val="00625ED3"/>
    <w:rsid w:val="00640DEE"/>
    <w:rsid w:val="00666E69"/>
    <w:rsid w:val="00682C26"/>
    <w:rsid w:val="00695546"/>
    <w:rsid w:val="006A4096"/>
    <w:rsid w:val="006A5284"/>
    <w:rsid w:val="006C07B0"/>
    <w:rsid w:val="006C698A"/>
    <w:rsid w:val="006D2EBC"/>
    <w:rsid w:val="006D3896"/>
    <w:rsid w:val="006D5842"/>
    <w:rsid w:val="006E7D8E"/>
    <w:rsid w:val="006F0112"/>
    <w:rsid w:val="006F0579"/>
    <w:rsid w:val="006F0BD1"/>
    <w:rsid w:val="006F0F72"/>
    <w:rsid w:val="006F7384"/>
    <w:rsid w:val="00701A40"/>
    <w:rsid w:val="007022D6"/>
    <w:rsid w:val="007033AE"/>
    <w:rsid w:val="0071261C"/>
    <w:rsid w:val="00725CD5"/>
    <w:rsid w:val="00733FF4"/>
    <w:rsid w:val="00734058"/>
    <w:rsid w:val="00741F63"/>
    <w:rsid w:val="00742122"/>
    <w:rsid w:val="007441F1"/>
    <w:rsid w:val="00745AAD"/>
    <w:rsid w:val="00745B9E"/>
    <w:rsid w:val="00755CD9"/>
    <w:rsid w:val="00760F36"/>
    <w:rsid w:val="0076334D"/>
    <w:rsid w:val="00765304"/>
    <w:rsid w:val="00767DF1"/>
    <w:rsid w:val="00772939"/>
    <w:rsid w:val="0077406B"/>
    <w:rsid w:val="007756DA"/>
    <w:rsid w:val="007771BD"/>
    <w:rsid w:val="007A0B05"/>
    <w:rsid w:val="007A1F5B"/>
    <w:rsid w:val="007A686B"/>
    <w:rsid w:val="007B45FE"/>
    <w:rsid w:val="007B4CB2"/>
    <w:rsid w:val="007B6453"/>
    <w:rsid w:val="007C0EA3"/>
    <w:rsid w:val="007C49C5"/>
    <w:rsid w:val="007C6095"/>
    <w:rsid w:val="007C6A22"/>
    <w:rsid w:val="007D2175"/>
    <w:rsid w:val="007D311D"/>
    <w:rsid w:val="007E0261"/>
    <w:rsid w:val="007F29B3"/>
    <w:rsid w:val="007F2C05"/>
    <w:rsid w:val="007F46A2"/>
    <w:rsid w:val="007F4FB5"/>
    <w:rsid w:val="007F680B"/>
    <w:rsid w:val="007F6B9C"/>
    <w:rsid w:val="008067AC"/>
    <w:rsid w:val="00817E92"/>
    <w:rsid w:val="00820E77"/>
    <w:rsid w:val="00824892"/>
    <w:rsid w:val="00825DB6"/>
    <w:rsid w:val="00845D0B"/>
    <w:rsid w:val="00850A0D"/>
    <w:rsid w:val="00851590"/>
    <w:rsid w:val="00851764"/>
    <w:rsid w:val="00852302"/>
    <w:rsid w:val="00856528"/>
    <w:rsid w:val="00856693"/>
    <w:rsid w:val="00860208"/>
    <w:rsid w:val="00871BC5"/>
    <w:rsid w:val="00875367"/>
    <w:rsid w:val="00875F6A"/>
    <w:rsid w:val="00880DA6"/>
    <w:rsid w:val="00883BA8"/>
    <w:rsid w:val="00884B85"/>
    <w:rsid w:val="00896724"/>
    <w:rsid w:val="008A381B"/>
    <w:rsid w:val="008B2969"/>
    <w:rsid w:val="008D5D3F"/>
    <w:rsid w:val="008E22B9"/>
    <w:rsid w:val="008E3194"/>
    <w:rsid w:val="008E3C77"/>
    <w:rsid w:val="008E3F00"/>
    <w:rsid w:val="008E6ACE"/>
    <w:rsid w:val="008E6B50"/>
    <w:rsid w:val="00914C10"/>
    <w:rsid w:val="00921EBA"/>
    <w:rsid w:val="00923CAC"/>
    <w:rsid w:val="00924903"/>
    <w:rsid w:val="00952693"/>
    <w:rsid w:val="009619E9"/>
    <w:rsid w:val="00961D85"/>
    <w:rsid w:val="009701D3"/>
    <w:rsid w:val="00975A00"/>
    <w:rsid w:val="0098035F"/>
    <w:rsid w:val="00993548"/>
    <w:rsid w:val="0099463B"/>
    <w:rsid w:val="009A07F8"/>
    <w:rsid w:val="009A10DB"/>
    <w:rsid w:val="009A3C18"/>
    <w:rsid w:val="009A6F11"/>
    <w:rsid w:val="009A7DCB"/>
    <w:rsid w:val="009B31F0"/>
    <w:rsid w:val="009B6CC7"/>
    <w:rsid w:val="009B7BC2"/>
    <w:rsid w:val="009C4179"/>
    <w:rsid w:val="009D3D9C"/>
    <w:rsid w:val="009E0728"/>
    <w:rsid w:val="009E1596"/>
    <w:rsid w:val="009E62FF"/>
    <w:rsid w:val="009F47A3"/>
    <w:rsid w:val="009F694D"/>
    <w:rsid w:val="00A01C26"/>
    <w:rsid w:val="00A03DA5"/>
    <w:rsid w:val="00A0589B"/>
    <w:rsid w:val="00A06D6B"/>
    <w:rsid w:val="00A07F3A"/>
    <w:rsid w:val="00A07FCF"/>
    <w:rsid w:val="00A22B8F"/>
    <w:rsid w:val="00A244DB"/>
    <w:rsid w:val="00A251E5"/>
    <w:rsid w:val="00A354FD"/>
    <w:rsid w:val="00A41515"/>
    <w:rsid w:val="00A43699"/>
    <w:rsid w:val="00A437CE"/>
    <w:rsid w:val="00A43C65"/>
    <w:rsid w:val="00A4597D"/>
    <w:rsid w:val="00A46AB6"/>
    <w:rsid w:val="00A568CC"/>
    <w:rsid w:val="00A61081"/>
    <w:rsid w:val="00A93065"/>
    <w:rsid w:val="00AA77AF"/>
    <w:rsid w:val="00AB6B86"/>
    <w:rsid w:val="00AC0A33"/>
    <w:rsid w:val="00AD185A"/>
    <w:rsid w:val="00AD3F1A"/>
    <w:rsid w:val="00AE2B8F"/>
    <w:rsid w:val="00AE7346"/>
    <w:rsid w:val="00AE7674"/>
    <w:rsid w:val="00AF71BE"/>
    <w:rsid w:val="00B0680A"/>
    <w:rsid w:val="00B06A02"/>
    <w:rsid w:val="00B13E7D"/>
    <w:rsid w:val="00B21FE2"/>
    <w:rsid w:val="00B23B94"/>
    <w:rsid w:val="00B265B9"/>
    <w:rsid w:val="00B34049"/>
    <w:rsid w:val="00B523A8"/>
    <w:rsid w:val="00B531F5"/>
    <w:rsid w:val="00B53BE5"/>
    <w:rsid w:val="00B57DB4"/>
    <w:rsid w:val="00B603E4"/>
    <w:rsid w:val="00B60E1C"/>
    <w:rsid w:val="00B659BF"/>
    <w:rsid w:val="00B72F81"/>
    <w:rsid w:val="00B83456"/>
    <w:rsid w:val="00B845E2"/>
    <w:rsid w:val="00B949D0"/>
    <w:rsid w:val="00BA1836"/>
    <w:rsid w:val="00BA5E25"/>
    <w:rsid w:val="00BC03EA"/>
    <w:rsid w:val="00BC5A27"/>
    <w:rsid w:val="00BD3EC6"/>
    <w:rsid w:val="00BD3F61"/>
    <w:rsid w:val="00BD5300"/>
    <w:rsid w:val="00BF031D"/>
    <w:rsid w:val="00BF1D7D"/>
    <w:rsid w:val="00BF2C64"/>
    <w:rsid w:val="00BF4FC8"/>
    <w:rsid w:val="00BF74C2"/>
    <w:rsid w:val="00C1728D"/>
    <w:rsid w:val="00C23555"/>
    <w:rsid w:val="00C25D72"/>
    <w:rsid w:val="00C304A8"/>
    <w:rsid w:val="00C30D90"/>
    <w:rsid w:val="00C423C8"/>
    <w:rsid w:val="00C500BD"/>
    <w:rsid w:val="00C52450"/>
    <w:rsid w:val="00C571DF"/>
    <w:rsid w:val="00C62490"/>
    <w:rsid w:val="00C62E1A"/>
    <w:rsid w:val="00C62E77"/>
    <w:rsid w:val="00C65B41"/>
    <w:rsid w:val="00C707EA"/>
    <w:rsid w:val="00C82A19"/>
    <w:rsid w:val="00C87E60"/>
    <w:rsid w:val="00C91DE4"/>
    <w:rsid w:val="00CA3D49"/>
    <w:rsid w:val="00CC3470"/>
    <w:rsid w:val="00CC4084"/>
    <w:rsid w:val="00CD30A4"/>
    <w:rsid w:val="00CD4032"/>
    <w:rsid w:val="00CD7707"/>
    <w:rsid w:val="00CF02D7"/>
    <w:rsid w:val="00CF3F60"/>
    <w:rsid w:val="00CF6529"/>
    <w:rsid w:val="00D14BAF"/>
    <w:rsid w:val="00D20667"/>
    <w:rsid w:val="00D207E0"/>
    <w:rsid w:val="00D23324"/>
    <w:rsid w:val="00D373B2"/>
    <w:rsid w:val="00D64EBD"/>
    <w:rsid w:val="00D66267"/>
    <w:rsid w:val="00D85CA0"/>
    <w:rsid w:val="00D91AF0"/>
    <w:rsid w:val="00DB0D2C"/>
    <w:rsid w:val="00DB2725"/>
    <w:rsid w:val="00DB7CE6"/>
    <w:rsid w:val="00DC2E19"/>
    <w:rsid w:val="00DD64BC"/>
    <w:rsid w:val="00DE5ED8"/>
    <w:rsid w:val="00DF233A"/>
    <w:rsid w:val="00DF4E1E"/>
    <w:rsid w:val="00DF6590"/>
    <w:rsid w:val="00DF7F17"/>
    <w:rsid w:val="00E11F71"/>
    <w:rsid w:val="00E12200"/>
    <w:rsid w:val="00E16F89"/>
    <w:rsid w:val="00E24D97"/>
    <w:rsid w:val="00E26F89"/>
    <w:rsid w:val="00E320DE"/>
    <w:rsid w:val="00E321F6"/>
    <w:rsid w:val="00E4003E"/>
    <w:rsid w:val="00E41E0C"/>
    <w:rsid w:val="00E4268B"/>
    <w:rsid w:val="00E42FF8"/>
    <w:rsid w:val="00E50F34"/>
    <w:rsid w:val="00E87D40"/>
    <w:rsid w:val="00E94F5F"/>
    <w:rsid w:val="00E9671E"/>
    <w:rsid w:val="00EA3B3F"/>
    <w:rsid w:val="00EB081E"/>
    <w:rsid w:val="00EB1BB7"/>
    <w:rsid w:val="00EB3B8E"/>
    <w:rsid w:val="00EC1919"/>
    <w:rsid w:val="00EC490A"/>
    <w:rsid w:val="00ED3138"/>
    <w:rsid w:val="00ED7407"/>
    <w:rsid w:val="00ED770D"/>
    <w:rsid w:val="00EE29B9"/>
    <w:rsid w:val="00EF0C72"/>
    <w:rsid w:val="00F04219"/>
    <w:rsid w:val="00F10A1B"/>
    <w:rsid w:val="00F1109A"/>
    <w:rsid w:val="00F275CB"/>
    <w:rsid w:val="00F3106D"/>
    <w:rsid w:val="00F314B8"/>
    <w:rsid w:val="00F34873"/>
    <w:rsid w:val="00F36EE2"/>
    <w:rsid w:val="00F46426"/>
    <w:rsid w:val="00F5062B"/>
    <w:rsid w:val="00F649EA"/>
    <w:rsid w:val="00F671CB"/>
    <w:rsid w:val="00F67E47"/>
    <w:rsid w:val="00F73B2B"/>
    <w:rsid w:val="00F82B00"/>
    <w:rsid w:val="00F90029"/>
    <w:rsid w:val="00F91C21"/>
    <w:rsid w:val="00F9213D"/>
    <w:rsid w:val="00FA186E"/>
    <w:rsid w:val="00FA1CE5"/>
    <w:rsid w:val="00FA35F8"/>
    <w:rsid w:val="00FA4931"/>
    <w:rsid w:val="00FB6EC1"/>
    <w:rsid w:val="00FC730B"/>
    <w:rsid w:val="00FD7625"/>
    <w:rsid w:val="00FD7A53"/>
    <w:rsid w:val="00FE3474"/>
    <w:rsid w:val="00FF7DD6"/>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9A2946"/>
  <w15:chartTrackingRefBased/>
  <w15:docId w15:val="{EDA5EA4A-9A4A-465B-86DC-0B99B164C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6AFE"/>
    <w:pPr>
      <w:bidi/>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5362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31781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8067AC"/>
    <w:pPr>
      <w:bidi w:val="0"/>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576AFE"/>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rsid w:val="00576AFE"/>
    <w:rPr>
      <w:sz w:val="20"/>
      <w:szCs w:val="20"/>
    </w:rPr>
  </w:style>
  <w:style w:type="character" w:styleId="FootnoteReference">
    <w:name w:val="footnote reference"/>
    <w:basedOn w:val="DefaultParagraphFont"/>
    <w:unhideWhenUsed/>
    <w:rsid w:val="00576AFE"/>
    <w:rPr>
      <w:vertAlign w:val="superscript"/>
    </w:rPr>
  </w:style>
  <w:style w:type="character" w:customStyle="1" w:styleId="a">
    <w:name w:val="מראה_מקום"/>
    <w:basedOn w:val="DefaultParagraphFont"/>
    <w:rsid w:val="000271B4"/>
    <w:rPr>
      <w:rFonts w:ascii="Times New Roman" w:hAnsi="Times New Roman" w:cs="David"/>
      <w:color w:val="008000"/>
      <w:sz w:val="20"/>
      <w:szCs w:val="20"/>
      <w:u w:val="single" w:color="008000"/>
      <w:vertAlign w:val="baseline"/>
    </w:rPr>
  </w:style>
  <w:style w:type="character" w:customStyle="1" w:styleId="a0">
    <w:name w:val="סוג_הליך"/>
    <w:basedOn w:val="DefaultParagraphFont"/>
    <w:rsid w:val="000271B4"/>
    <w:rPr>
      <w:rFonts w:ascii="Times New Roman" w:hAnsi="Times New Roman" w:cs="David"/>
      <w:color w:val="FF0000"/>
      <w:sz w:val="20"/>
      <w:szCs w:val="20"/>
      <w:u w:val="single"/>
    </w:rPr>
  </w:style>
  <w:style w:type="paragraph" w:styleId="PlainText">
    <w:name w:val="Plain Text"/>
    <w:basedOn w:val="Normal"/>
    <w:link w:val="PlainTextChar"/>
    <w:rsid w:val="000271B4"/>
    <w:rPr>
      <w:rFonts w:ascii="Courier New" w:hAnsi="Courier New" w:cs="Courier New"/>
      <w:sz w:val="20"/>
      <w:szCs w:val="20"/>
      <w:lang w:eastAsia="he-IL"/>
    </w:rPr>
  </w:style>
  <w:style w:type="character" w:customStyle="1" w:styleId="PlainTextChar">
    <w:name w:val="Plain Text Char"/>
    <w:basedOn w:val="DefaultParagraphFont"/>
    <w:link w:val="PlainText"/>
    <w:semiHidden/>
    <w:rsid w:val="000271B4"/>
    <w:rPr>
      <w:rFonts w:ascii="Courier New" w:eastAsia="Times New Roman" w:hAnsi="Courier New" w:cs="Courier New"/>
      <w:sz w:val="20"/>
      <w:szCs w:val="20"/>
      <w:lang w:eastAsia="he-IL"/>
    </w:rPr>
  </w:style>
  <w:style w:type="character" w:styleId="Hyperlink">
    <w:name w:val="Hyperlink"/>
    <w:basedOn w:val="DefaultParagraphFont"/>
    <w:rsid w:val="000271B4"/>
    <w:rPr>
      <w:color w:val="0000FF"/>
      <w:u w:val="single"/>
    </w:rPr>
  </w:style>
  <w:style w:type="paragraph" w:styleId="Header">
    <w:name w:val="header"/>
    <w:basedOn w:val="Normal"/>
    <w:link w:val="HeaderChar"/>
    <w:rsid w:val="000271B4"/>
    <w:pPr>
      <w:tabs>
        <w:tab w:val="center" w:pos="4153"/>
        <w:tab w:val="right" w:pos="8306"/>
      </w:tabs>
      <w:jc w:val="both"/>
    </w:pPr>
    <w:rPr>
      <w:rFonts w:cs="David"/>
      <w:sz w:val="20"/>
      <w:szCs w:val="20"/>
      <w:lang w:eastAsia="he-IL"/>
    </w:rPr>
  </w:style>
  <w:style w:type="character" w:customStyle="1" w:styleId="HeaderChar">
    <w:name w:val="Header Char"/>
    <w:basedOn w:val="DefaultParagraphFont"/>
    <w:link w:val="Header"/>
    <w:semiHidden/>
    <w:rsid w:val="000271B4"/>
    <w:rPr>
      <w:rFonts w:ascii="Times New Roman" w:eastAsia="Times New Roman" w:hAnsi="Times New Roman" w:cs="David"/>
      <w:sz w:val="20"/>
      <w:szCs w:val="20"/>
      <w:lang w:eastAsia="he-IL"/>
    </w:rPr>
  </w:style>
  <w:style w:type="paragraph" w:customStyle="1" w:styleId="a1">
    <w:name w:val="אזכורים"/>
    <w:basedOn w:val="Normal"/>
    <w:rsid w:val="00343610"/>
    <w:pPr>
      <w:tabs>
        <w:tab w:val="left" w:pos="567"/>
      </w:tabs>
      <w:overflowPunct w:val="0"/>
      <w:autoSpaceDE w:val="0"/>
      <w:autoSpaceDN w:val="0"/>
      <w:adjustRightInd w:val="0"/>
      <w:spacing w:after="40" w:line="270" w:lineRule="exact"/>
      <w:ind w:left="567" w:hanging="567"/>
      <w:jc w:val="both"/>
      <w:textAlignment w:val="baseline"/>
    </w:pPr>
    <w:rPr>
      <w:rFonts w:cs="FrankRuehl"/>
      <w:sz w:val="20"/>
      <w:lang w:eastAsia="he-IL"/>
    </w:rPr>
  </w:style>
  <w:style w:type="paragraph" w:customStyle="1" w:styleId="a2">
    <w:name w:val="כללי"/>
    <w:basedOn w:val="Normal"/>
    <w:rsid w:val="00B21FE2"/>
    <w:pPr>
      <w:overflowPunct w:val="0"/>
      <w:autoSpaceDE w:val="0"/>
      <w:autoSpaceDN w:val="0"/>
      <w:adjustRightInd w:val="0"/>
      <w:spacing w:after="240" w:line="280" w:lineRule="exact"/>
      <w:ind w:firstLine="284"/>
      <w:jc w:val="both"/>
      <w:textAlignment w:val="baseline"/>
    </w:pPr>
    <w:rPr>
      <w:rFonts w:cs="FrankRuehl"/>
      <w:sz w:val="20"/>
      <w:lang w:eastAsia="he-IL"/>
    </w:rPr>
  </w:style>
  <w:style w:type="character" w:customStyle="1" w:styleId="Ruller5">
    <w:name w:val="Ruller5 תו"/>
    <w:link w:val="Ruller50"/>
    <w:locked/>
    <w:rsid w:val="002A28BB"/>
    <w:rPr>
      <w:rFonts w:ascii="Arial TUR" w:hAnsi="Arial TUR" w:cs="FrankRuehl"/>
      <w:spacing w:val="10"/>
      <w:szCs w:val="28"/>
    </w:rPr>
  </w:style>
  <w:style w:type="paragraph" w:customStyle="1" w:styleId="Ruller50">
    <w:name w:val="Ruller5"/>
    <w:basedOn w:val="Normal"/>
    <w:link w:val="Ruller5"/>
    <w:rsid w:val="002A28BB"/>
    <w:pPr>
      <w:tabs>
        <w:tab w:val="left" w:pos="720"/>
      </w:tabs>
      <w:overflowPunct w:val="0"/>
      <w:autoSpaceDE w:val="0"/>
      <w:autoSpaceDN w:val="0"/>
      <w:adjustRightInd w:val="0"/>
      <w:ind w:left="1642" w:right="1282"/>
      <w:jc w:val="both"/>
    </w:pPr>
    <w:rPr>
      <w:rFonts w:ascii="Arial TUR" w:eastAsiaTheme="minorHAnsi" w:hAnsi="Arial TUR" w:cs="FrankRuehl"/>
      <w:spacing w:val="10"/>
      <w:sz w:val="22"/>
      <w:szCs w:val="28"/>
    </w:rPr>
  </w:style>
  <w:style w:type="character" w:styleId="FollowedHyperlink">
    <w:name w:val="FollowedHyperlink"/>
    <w:basedOn w:val="DefaultParagraphFont"/>
    <w:uiPriority w:val="99"/>
    <w:semiHidden/>
    <w:unhideWhenUsed/>
    <w:rsid w:val="00921EBA"/>
    <w:rPr>
      <w:color w:val="954F72" w:themeColor="followedHyperlink"/>
      <w:u w:val="single"/>
    </w:rPr>
  </w:style>
  <w:style w:type="character" w:customStyle="1" w:styleId="Heading3Char">
    <w:name w:val="Heading 3 Char"/>
    <w:basedOn w:val="DefaultParagraphFont"/>
    <w:link w:val="Heading3"/>
    <w:uiPriority w:val="9"/>
    <w:rsid w:val="008067AC"/>
    <w:rPr>
      <w:rFonts w:ascii="Times New Roman" w:eastAsia="Times New Roman" w:hAnsi="Times New Roman" w:cs="Times New Roman"/>
      <w:b/>
      <w:bCs/>
      <w:sz w:val="27"/>
      <w:szCs w:val="27"/>
    </w:rPr>
  </w:style>
  <w:style w:type="character" w:customStyle="1" w:styleId="Heading1Char">
    <w:name w:val="Heading 1 Char"/>
    <w:basedOn w:val="DefaultParagraphFont"/>
    <w:link w:val="Heading1"/>
    <w:uiPriority w:val="9"/>
    <w:rsid w:val="0055362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317816"/>
    <w:rPr>
      <w:rFonts w:asciiTheme="majorHAnsi" w:eastAsiaTheme="majorEastAsia" w:hAnsiTheme="majorHAnsi" w:cstheme="majorBidi"/>
      <w:color w:val="2E74B5" w:themeColor="accent1" w:themeShade="BF"/>
      <w:sz w:val="26"/>
      <w:szCs w:val="26"/>
    </w:rPr>
  </w:style>
  <w:style w:type="character" w:customStyle="1" w:styleId="folderitem">
    <w:name w:val="folderitem"/>
    <w:basedOn w:val="DefaultParagraphFont"/>
    <w:rsid w:val="00412AC4"/>
  </w:style>
  <w:style w:type="character" w:customStyle="1" w:styleId="gsct1">
    <w:name w:val="gs_ct1"/>
    <w:basedOn w:val="DefaultParagraphFont"/>
    <w:rsid w:val="00412AC4"/>
  </w:style>
  <w:style w:type="character" w:styleId="HTMLCite">
    <w:name w:val="HTML Cite"/>
    <w:basedOn w:val="DefaultParagraphFont"/>
    <w:uiPriority w:val="99"/>
    <w:semiHidden/>
    <w:unhideWhenUsed/>
    <w:rsid w:val="009E0728"/>
    <w:rPr>
      <w:i/>
      <w:iCs/>
    </w:rPr>
  </w:style>
  <w:style w:type="character" w:customStyle="1" w:styleId="nlmarticle-title">
    <w:name w:val="nlm_article-title"/>
    <w:basedOn w:val="DefaultParagraphFont"/>
    <w:rsid w:val="004D49F6"/>
  </w:style>
  <w:style w:type="character" w:customStyle="1" w:styleId="contribdegrees">
    <w:name w:val="contribdegrees"/>
    <w:basedOn w:val="DefaultParagraphFont"/>
    <w:rsid w:val="004D49F6"/>
  </w:style>
  <w:style w:type="character" w:customStyle="1" w:styleId="addmd">
    <w:name w:val="addmd"/>
    <w:basedOn w:val="DefaultParagraphFont"/>
    <w:rsid w:val="006E7D8E"/>
  </w:style>
  <w:style w:type="character" w:styleId="Strong">
    <w:name w:val="Strong"/>
    <w:basedOn w:val="DefaultParagraphFont"/>
    <w:uiPriority w:val="22"/>
    <w:qFormat/>
    <w:rsid w:val="003B7D60"/>
    <w:rPr>
      <w:b/>
      <w:bCs/>
    </w:rPr>
  </w:style>
  <w:style w:type="character" w:customStyle="1" w:styleId="article-top-box-data-reporter-lbl-by">
    <w:name w:val="article-top-box-data-reporter-lbl-by"/>
    <w:basedOn w:val="DefaultParagraphFont"/>
    <w:rsid w:val="008E22B9"/>
  </w:style>
  <w:style w:type="character" w:customStyle="1" w:styleId="italic">
    <w:name w:val="italic"/>
    <w:basedOn w:val="DefaultParagraphFont"/>
    <w:rsid w:val="00CA3D49"/>
  </w:style>
  <w:style w:type="paragraph" w:styleId="ListParagraph">
    <w:name w:val="List Paragraph"/>
    <w:basedOn w:val="Normal"/>
    <w:uiPriority w:val="34"/>
    <w:qFormat/>
    <w:rsid w:val="00B53BE5"/>
    <w:pPr>
      <w:ind w:left="720"/>
      <w:contextualSpacing/>
    </w:pPr>
    <w:rPr>
      <w:noProof/>
      <w:sz w:val="22"/>
      <w:lang w:eastAsia="he-IL"/>
    </w:rPr>
  </w:style>
  <w:style w:type="character" w:styleId="Emphasis">
    <w:name w:val="Emphasis"/>
    <w:basedOn w:val="DefaultParagraphFont"/>
    <w:uiPriority w:val="20"/>
    <w:qFormat/>
    <w:rsid w:val="00E87D40"/>
    <w:rPr>
      <w:i/>
      <w:iCs/>
    </w:rPr>
  </w:style>
  <w:style w:type="character" w:customStyle="1" w:styleId="entryauthor">
    <w:name w:val="entryauthor"/>
    <w:basedOn w:val="DefaultParagraphFont"/>
    <w:rsid w:val="004B25C1"/>
  </w:style>
  <w:style w:type="character" w:styleId="CommentReference">
    <w:name w:val="annotation reference"/>
    <w:basedOn w:val="DefaultParagraphFont"/>
    <w:uiPriority w:val="99"/>
    <w:semiHidden/>
    <w:unhideWhenUsed/>
    <w:rsid w:val="003C7249"/>
    <w:rPr>
      <w:sz w:val="16"/>
      <w:szCs w:val="16"/>
    </w:rPr>
  </w:style>
  <w:style w:type="paragraph" w:styleId="CommentText">
    <w:name w:val="annotation text"/>
    <w:basedOn w:val="Normal"/>
    <w:link w:val="CommentTextChar"/>
    <w:uiPriority w:val="99"/>
    <w:semiHidden/>
    <w:unhideWhenUsed/>
    <w:rsid w:val="003C7249"/>
    <w:rPr>
      <w:sz w:val="20"/>
      <w:szCs w:val="20"/>
    </w:rPr>
  </w:style>
  <w:style w:type="character" w:customStyle="1" w:styleId="CommentTextChar">
    <w:name w:val="Comment Text Char"/>
    <w:basedOn w:val="DefaultParagraphFont"/>
    <w:link w:val="CommentText"/>
    <w:uiPriority w:val="99"/>
    <w:semiHidden/>
    <w:rsid w:val="003C724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C7249"/>
    <w:rPr>
      <w:b/>
      <w:bCs/>
    </w:rPr>
  </w:style>
  <w:style w:type="character" w:customStyle="1" w:styleId="CommentSubjectChar">
    <w:name w:val="Comment Subject Char"/>
    <w:basedOn w:val="CommentTextChar"/>
    <w:link w:val="CommentSubject"/>
    <w:uiPriority w:val="99"/>
    <w:semiHidden/>
    <w:rsid w:val="003C7249"/>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C724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7249"/>
    <w:rPr>
      <w:rFonts w:ascii="Segoe UI" w:eastAsia="Times New Roman" w:hAnsi="Segoe UI" w:cs="Segoe UI"/>
      <w:sz w:val="18"/>
      <w:szCs w:val="18"/>
    </w:rPr>
  </w:style>
  <w:style w:type="paragraph" w:styleId="z-TopofForm">
    <w:name w:val="HTML Top of Form"/>
    <w:basedOn w:val="Normal"/>
    <w:next w:val="Normal"/>
    <w:link w:val="z-TopofFormChar"/>
    <w:hidden/>
    <w:uiPriority w:val="99"/>
    <w:semiHidden/>
    <w:unhideWhenUsed/>
    <w:rsid w:val="00F10A1B"/>
    <w:pPr>
      <w:pBdr>
        <w:bottom w:val="single" w:sz="6" w:space="1" w:color="auto"/>
      </w:pBdr>
      <w:bidi w:val="0"/>
      <w:jc w:val="center"/>
    </w:pPr>
    <w:rPr>
      <w:rFonts w:ascii="Arial" w:hAnsi="Arial" w:cs="Arial"/>
      <w:vanish/>
      <w:sz w:val="16"/>
      <w:szCs w:val="16"/>
      <w:lang w:eastAsia="zh-CN"/>
    </w:rPr>
  </w:style>
  <w:style w:type="character" w:customStyle="1" w:styleId="z-TopofFormChar">
    <w:name w:val="z-Top of Form Char"/>
    <w:basedOn w:val="DefaultParagraphFont"/>
    <w:link w:val="z-TopofForm"/>
    <w:uiPriority w:val="99"/>
    <w:semiHidden/>
    <w:rsid w:val="00F10A1B"/>
    <w:rPr>
      <w:rFonts w:ascii="Arial" w:eastAsia="Times New Roman" w:hAnsi="Arial" w:cs="Arial"/>
      <w:vanish/>
      <w:sz w:val="16"/>
      <w:szCs w:val="16"/>
      <w:lang w:eastAsia="zh-CN"/>
    </w:rPr>
  </w:style>
  <w:style w:type="paragraph" w:styleId="z-BottomofForm">
    <w:name w:val="HTML Bottom of Form"/>
    <w:basedOn w:val="Normal"/>
    <w:next w:val="Normal"/>
    <w:link w:val="z-BottomofFormChar"/>
    <w:hidden/>
    <w:uiPriority w:val="99"/>
    <w:semiHidden/>
    <w:unhideWhenUsed/>
    <w:rsid w:val="00F10A1B"/>
    <w:pPr>
      <w:pBdr>
        <w:top w:val="single" w:sz="6" w:space="1" w:color="auto"/>
      </w:pBdr>
      <w:bidi w:val="0"/>
      <w:jc w:val="center"/>
    </w:pPr>
    <w:rPr>
      <w:rFonts w:ascii="Arial" w:hAnsi="Arial" w:cs="Arial"/>
      <w:vanish/>
      <w:sz w:val="16"/>
      <w:szCs w:val="16"/>
      <w:lang w:eastAsia="zh-CN"/>
    </w:rPr>
  </w:style>
  <w:style w:type="character" w:customStyle="1" w:styleId="z-BottomofFormChar">
    <w:name w:val="z-Bottom of Form Char"/>
    <w:basedOn w:val="DefaultParagraphFont"/>
    <w:link w:val="z-BottomofForm"/>
    <w:uiPriority w:val="99"/>
    <w:semiHidden/>
    <w:rsid w:val="00F10A1B"/>
    <w:rPr>
      <w:rFonts w:ascii="Arial" w:eastAsia="Times New Roman" w:hAnsi="Arial" w:cs="Arial"/>
      <w:vanish/>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6037">
      <w:bodyDiv w:val="1"/>
      <w:marLeft w:val="0"/>
      <w:marRight w:val="0"/>
      <w:marTop w:val="0"/>
      <w:marBottom w:val="0"/>
      <w:divBdr>
        <w:top w:val="none" w:sz="0" w:space="0" w:color="auto"/>
        <w:left w:val="none" w:sz="0" w:space="0" w:color="auto"/>
        <w:bottom w:val="none" w:sz="0" w:space="0" w:color="auto"/>
        <w:right w:val="none" w:sz="0" w:space="0" w:color="auto"/>
      </w:divBdr>
    </w:div>
    <w:div w:id="59906729">
      <w:bodyDiv w:val="1"/>
      <w:marLeft w:val="0"/>
      <w:marRight w:val="0"/>
      <w:marTop w:val="0"/>
      <w:marBottom w:val="0"/>
      <w:divBdr>
        <w:top w:val="none" w:sz="0" w:space="0" w:color="auto"/>
        <w:left w:val="none" w:sz="0" w:space="0" w:color="auto"/>
        <w:bottom w:val="none" w:sz="0" w:space="0" w:color="auto"/>
        <w:right w:val="none" w:sz="0" w:space="0" w:color="auto"/>
      </w:divBdr>
    </w:div>
    <w:div w:id="84768219">
      <w:bodyDiv w:val="1"/>
      <w:marLeft w:val="0"/>
      <w:marRight w:val="0"/>
      <w:marTop w:val="0"/>
      <w:marBottom w:val="0"/>
      <w:divBdr>
        <w:top w:val="none" w:sz="0" w:space="0" w:color="auto"/>
        <w:left w:val="none" w:sz="0" w:space="0" w:color="auto"/>
        <w:bottom w:val="none" w:sz="0" w:space="0" w:color="auto"/>
        <w:right w:val="none" w:sz="0" w:space="0" w:color="auto"/>
      </w:divBdr>
      <w:divsChild>
        <w:div w:id="446895746">
          <w:marLeft w:val="0"/>
          <w:marRight w:val="0"/>
          <w:marTop w:val="0"/>
          <w:marBottom w:val="0"/>
          <w:divBdr>
            <w:top w:val="none" w:sz="0" w:space="0" w:color="auto"/>
            <w:left w:val="none" w:sz="0" w:space="0" w:color="auto"/>
            <w:bottom w:val="none" w:sz="0" w:space="0" w:color="auto"/>
            <w:right w:val="none" w:sz="0" w:space="0" w:color="auto"/>
          </w:divBdr>
          <w:divsChild>
            <w:div w:id="44893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43165">
      <w:bodyDiv w:val="1"/>
      <w:marLeft w:val="0"/>
      <w:marRight w:val="0"/>
      <w:marTop w:val="0"/>
      <w:marBottom w:val="0"/>
      <w:divBdr>
        <w:top w:val="none" w:sz="0" w:space="0" w:color="auto"/>
        <w:left w:val="none" w:sz="0" w:space="0" w:color="auto"/>
        <w:bottom w:val="none" w:sz="0" w:space="0" w:color="auto"/>
        <w:right w:val="none" w:sz="0" w:space="0" w:color="auto"/>
      </w:divBdr>
    </w:div>
    <w:div w:id="204800380">
      <w:bodyDiv w:val="1"/>
      <w:marLeft w:val="0"/>
      <w:marRight w:val="0"/>
      <w:marTop w:val="0"/>
      <w:marBottom w:val="0"/>
      <w:divBdr>
        <w:top w:val="none" w:sz="0" w:space="0" w:color="auto"/>
        <w:left w:val="none" w:sz="0" w:space="0" w:color="auto"/>
        <w:bottom w:val="none" w:sz="0" w:space="0" w:color="auto"/>
        <w:right w:val="none" w:sz="0" w:space="0" w:color="auto"/>
      </w:divBdr>
    </w:div>
    <w:div w:id="330108138">
      <w:bodyDiv w:val="1"/>
      <w:marLeft w:val="0"/>
      <w:marRight w:val="0"/>
      <w:marTop w:val="0"/>
      <w:marBottom w:val="0"/>
      <w:divBdr>
        <w:top w:val="none" w:sz="0" w:space="0" w:color="auto"/>
        <w:left w:val="none" w:sz="0" w:space="0" w:color="auto"/>
        <w:bottom w:val="none" w:sz="0" w:space="0" w:color="auto"/>
        <w:right w:val="none" w:sz="0" w:space="0" w:color="auto"/>
      </w:divBdr>
    </w:div>
    <w:div w:id="387458540">
      <w:bodyDiv w:val="1"/>
      <w:marLeft w:val="0"/>
      <w:marRight w:val="0"/>
      <w:marTop w:val="0"/>
      <w:marBottom w:val="0"/>
      <w:divBdr>
        <w:top w:val="none" w:sz="0" w:space="0" w:color="auto"/>
        <w:left w:val="none" w:sz="0" w:space="0" w:color="auto"/>
        <w:bottom w:val="none" w:sz="0" w:space="0" w:color="auto"/>
        <w:right w:val="none" w:sz="0" w:space="0" w:color="auto"/>
      </w:divBdr>
    </w:div>
    <w:div w:id="444888447">
      <w:bodyDiv w:val="1"/>
      <w:marLeft w:val="0"/>
      <w:marRight w:val="0"/>
      <w:marTop w:val="0"/>
      <w:marBottom w:val="0"/>
      <w:divBdr>
        <w:top w:val="none" w:sz="0" w:space="0" w:color="auto"/>
        <w:left w:val="none" w:sz="0" w:space="0" w:color="auto"/>
        <w:bottom w:val="none" w:sz="0" w:space="0" w:color="auto"/>
        <w:right w:val="none" w:sz="0" w:space="0" w:color="auto"/>
      </w:divBdr>
      <w:divsChild>
        <w:div w:id="1186360949">
          <w:marLeft w:val="0"/>
          <w:marRight w:val="0"/>
          <w:marTop w:val="0"/>
          <w:marBottom w:val="0"/>
          <w:divBdr>
            <w:top w:val="none" w:sz="0" w:space="0" w:color="auto"/>
            <w:left w:val="none" w:sz="0" w:space="0" w:color="auto"/>
            <w:bottom w:val="none" w:sz="0" w:space="0" w:color="auto"/>
            <w:right w:val="none" w:sz="0" w:space="0" w:color="auto"/>
          </w:divBdr>
          <w:divsChild>
            <w:div w:id="897084839">
              <w:marLeft w:val="0"/>
              <w:marRight w:val="0"/>
              <w:marTop w:val="0"/>
              <w:marBottom w:val="0"/>
              <w:divBdr>
                <w:top w:val="none" w:sz="0" w:space="0" w:color="auto"/>
                <w:left w:val="none" w:sz="0" w:space="0" w:color="auto"/>
                <w:bottom w:val="none" w:sz="0" w:space="0" w:color="auto"/>
                <w:right w:val="none" w:sz="0" w:space="0" w:color="auto"/>
              </w:divBdr>
              <w:divsChild>
                <w:div w:id="158542679">
                  <w:marLeft w:val="0"/>
                  <w:marRight w:val="0"/>
                  <w:marTop w:val="0"/>
                  <w:marBottom w:val="0"/>
                  <w:divBdr>
                    <w:top w:val="none" w:sz="0" w:space="0" w:color="auto"/>
                    <w:left w:val="none" w:sz="0" w:space="0" w:color="auto"/>
                    <w:bottom w:val="none" w:sz="0" w:space="0" w:color="auto"/>
                    <w:right w:val="none" w:sz="0" w:space="0" w:color="auto"/>
                  </w:divBdr>
                  <w:divsChild>
                    <w:div w:id="787237997">
                      <w:marLeft w:val="0"/>
                      <w:marRight w:val="0"/>
                      <w:marTop w:val="0"/>
                      <w:marBottom w:val="0"/>
                      <w:divBdr>
                        <w:top w:val="none" w:sz="0" w:space="0" w:color="auto"/>
                        <w:left w:val="none" w:sz="0" w:space="0" w:color="auto"/>
                        <w:bottom w:val="none" w:sz="0" w:space="0" w:color="auto"/>
                        <w:right w:val="none" w:sz="0" w:space="0" w:color="auto"/>
                      </w:divBdr>
                      <w:divsChild>
                        <w:div w:id="199186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7019633">
      <w:bodyDiv w:val="1"/>
      <w:marLeft w:val="0"/>
      <w:marRight w:val="0"/>
      <w:marTop w:val="0"/>
      <w:marBottom w:val="0"/>
      <w:divBdr>
        <w:top w:val="none" w:sz="0" w:space="0" w:color="auto"/>
        <w:left w:val="none" w:sz="0" w:space="0" w:color="auto"/>
        <w:bottom w:val="none" w:sz="0" w:space="0" w:color="auto"/>
        <w:right w:val="none" w:sz="0" w:space="0" w:color="auto"/>
      </w:divBdr>
      <w:divsChild>
        <w:div w:id="1925988531">
          <w:marLeft w:val="0"/>
          <w:marRight w:val="0"/>
          <w:marTop w:val="0"/>
          <w:marBottom w:val="0"/>
          <w:divBdr>
            <w:top w:val="none" w:sz="0" w:space="0" w:color="auto"/>
            <w:left w:val="none" w:sz="0" w:space="0" w:color="auto"/>
            <w:bottom w:val="none" w:sz="0" w:space="0" w:color="auto"/>
            <w:right w:val="none" w:sz="0" w:space="0" w:color="auto"/>
          </w:divBdr>
          <w:divsChild>
            <w:div w:id="1029112124">
              <w:marLeft w:val="0"/>
              <w:marRight w:val="0"/>
              <w:marTop w:val="0"/>
              <w:marBottom w:val="0"/>
              <w:divBdr>
                <w:top w:val="none" w:sz="0" w:space="0" w:color="auto"/>
                <w:left w:val="none" w:sz="0" w:space="0" w:color="auto"/>
                <w:bottom w:val="none" w:sz="0" w:space="0" w:color="auto"/>
                <w:right w:val="none" w:sz="0" w:space="0" w:color="auto"/>
              </w:divBdr>
            </w:div>
          </w:divsChild>
        </w:div>
        <w:div w:id="931550678">
          <w:marLeft w:val="0"/>
          <w:marRight w:val="0"/>
          <w:marTop w:val="0"/>
          <w:marBottom w:val="0"/>
          <w:divBdr>
            <w:top w:val="none" w:sz="0" w:space="0" w:color="auto"/>
            <w:left w:val="none" w:sz="0" w:space="0" w:color="auto"/>
            <w:bottom w:val="none" w:sz="0" w:space="0" w:color="auto"/>
            <w:right w:val="none" w:sz="0" w:space="0" w:color="auto"/>
          </w:divBdr>
        </w:div>
        <w:div w:id="370957980">
          <w:marLeft w:val="0"/>
          <w:marRight w:val="0"/>
          <w:marTop w:val="0"/>
          <w:marBottom w:val="0"/>
          <w:divBdr>
            <w:top w:val="none" w:sz="0" w:space="0" w:color="auto"/>
            <w:left w:val="none" w:sz="0" w:space="0" w:color="auto"/>
            <w:bottom w:val="none" w:sz="0" w:space="0" w:color="auto"/>
            <w:right w:val="none" w:sz="0" w:space="0" w:color="auto"/>
          </w:divBdr>
        </w:div>
      </w:divsChild>
    </w:div>
    <w:div w:id="490293664">
      <w:bodyDiv w:val="1"/>
      <w:marLeft w:val="0"/>
      <w:marRight w:val="0"/>
      <w:marTop w:val="0"/>
      <w:marBottom w:val="0"/>
      <w:divBdr>
        <w:top w:val="none" w:sz="0" w:space="0" w:color="auto"/>
        <w:left w:val="none" w:sz="0" w:space="0" w:color="auto"/>
        <w:bottom w:val="none" w:sz="0" w:space="0" w:color="auto"/>
        <w:right w:val="none" w:sz="0" w:space="0" w:color="auto"/>
      </w:divBdr>
    </w:div>
    <w:div w:id="569536146">
      <w:bodyDiv w:val="1"/>
      <w:marLeft w:val="0"/>
      <w:marRight w:val="0"/>
      <w:marTop w:val="0"/>
      <w:marBottom w:val="0"/>
      <w:divBdr>
        <w:top w:val="none" w:sz="0" w:space="0" w:color="auto"/>
        <w:left w:val="none" w:sz="0" w:space="0" w:color="auto"/>
        <w:bottom w:val="none" w:sz="0" w:space="0" w:color="auto"/>
        <w:right w:val="none" w:sz="0" w:space="0" w:color="auto"/>
      </w:divBdr>
      <w:divsChild>
        <w:div w:id="225603600">
          <w:marLeft w:val="0"/>
          <w:marRight w:val="0"/>
          <w:marTop w:val="0"/>
          <w:marBottom w:val="0"/>
          <w:divBdr>
            <w:top w:val="none" w:sz="0" w:space="0" w:color="auto"/>
            <w:left w:val="none" w:sz="0" w:space="0" w:color="auto"/>
            <w:bottom w:val="none" w:sz="0" w:space="0" w:color="auto"/>
            <w:right w:val="none" w:sz="0" w:space="0" w:color="auto"/>
          </w:divBdr>
          <w:divsChild>
            <w:div w:id="1113407252">
              <w:marLeft w:val="0"/>
              <w:marRight w:val="0"/>
              <w:marTop w:val="0"/>
              <w:marBottom w:val="0"/>
              <w:divBdr>
                <w:top w:val="none" w:sz="0" w:space="0" w:color="auto"/>
                <w:left w:val="none" w:sz="0" w:space="0" w:color="auto"/>
                <w:bottom w:val="none" w:sz="0" w:space="0" w:color="auto"/>
                <w:right w:val="none" w:sz="0" w:space="0" w:color="auto"/>
              </w:divBdr>
            </w:div>
          </w:divsChild>
        </w:div>
        <w:div w:id="1258247302">
          <w:marLeft w:val="0"/>
          <w:marRight w:val="0"/>
          <w:marTop w:val="0"/>
          <w:marBottom w:val="0"/>
          <w:divBdr>
            <w:top w:val="none" w:sz="0" w:space="0" w:color="auto"/>
            <w:left w:val="none" w:sz="0" w:space="0" w:color="auto"/>
            <w:bottom w:val="none" w:sz="0" w:space="0" w:color="auto"/>
            <w:right w:val="none" w:sz="0" w:space="0" w:color="auto"/>
          </w:divBdr>
        </w:div>
        <w:div w:id="853155259">
          <w:marLeft w:val="0"/>
          <w:marRight w:val="0"/>
          <w:marTop w:val="0"/>
          <w:marBottom w:val="0"/>
          <w:divBdr>
            <w:top w:val="none" w:sz="0" w:space="0" w:color="auto"/>
            <w:left w:val="none" w:sz="0" w:space="0" w:color="auto"/>
            <w:bottom w:val="none" w:sz="0" w:space="0" w:color="auto"/>
            <w:right w:val="none" w:sz="0" w:space="0" w:color="auto"/>
          </w:divBdr>
        </w:div>
      </w:divsChild>
    </w:div>
    <w:div w:id="573708076">
      <w:bodyDiv w:val="1"/>
      <w:marLeft w:val="0"/>
      <w:marRight w:val="0"/>
      <w:marTop w:val="0"/>
      <w:marBottom w:val="0"/>
      <w:divBdr>
        <w:top w:val="none" w:sz="0" w:space="0" w:color="auto"/>
        <w:left w:val="none" w:sz="0" w:space="0" w:color="auto"/>
        <w:bottom w:val="none" w:sz="0" w:space="0" w:color="auto"/>
        <w:right w:val="none" w:sz="0" w:space="0" w:color="auto"/>
      </w:divBdr>
      <w:divsChild>
        <w:div w:id="362481639">
          <w:marLeft w:val="0"/>
          <w:marRight w:val="0"/>
          <w:marTop w:val="0"/>
          <w:marBottom w:val="0"/>
          <w:divBdr>
            <w:top w:val="none" w:sz="0" w:space="0" w:color="auto"/>
            <w:left w:val="none" w:sz="0" w:space="0" w:color="auto"/>
            <w:bottom w:val="none" w:sz="0" w:space="0" w:color="auto"/>
            <w:right w:val="none" w:sz="0" w:space="0" w:color="auto"/>
          </w:divBdr>
        </w:div>
      </w:divsChild>
    </w:div>
    <w:div w:id="610749438">
      <w:bodyDiv w:val="1"/>
      <w:marLeft w:val="0"/>
      <w:marRight w:val="0"/>
      <w:marTop w:val="0"/>
      <w:marBottom w:val="0"/>
      <w:divBdr>
        <w:top w:val="none" w:sz="0" w:space="0" w:color="auto"/>
        <w:left w:val="none" w:sz="0" w:space="0" w:color="auto"/>
        <w:bottom w:val="none" w:sz="0" w:space="0" w:color="auto"/>
        <w:right w:val="none" w:sz="0" w:space="0" w:color="auto"/>
      </w:divBdr>
    </w:div>
    <w:div w:id="627781868">
      <w:bodyDiv w:val="1"/>
      <w:marLeft w:val="0"/>
      <w:marRight w:val="0"/>
      <w:marTop w:val="0"/>
      <w:marBottom w:val="0"/>
      <w:divBdr>
        <w:top w:val="none" w:sz="0" w:space="0" w:color="auto"/>
        <w:left w:val="none" w:sz="0" w:space="0" w:color="auto"/>
        <w:bottom w:val="none" w:sz="0" w:space="0" w:color="auto"/>
        <w:right w:val="none" w:sz="0" w:space="0" w:color="auto"/>
      </w:divBdr>
    </w:div>
    <w:div w:id="638143981">
      <w:bodyDiv w:val="1"/>
      <w:marLeft w:val="0"/>
      <w:marRight w:val="0"/>
      <w:marTop w:val="0"/>
      <w:marBottom w:val="0"/>
      <w:divBdr>
        <w:top w:val="none" w:sz="0" w:space="0" w:color="auto"/>
        <w:left w:val="none" w:sz="0" w:space="0" w:color="auto"/>
        <w:bottom w:val="none" w:sz="0" w:space="0" w:color="auto"/>
        <w:right w:val="none" w:sz="0" w:space="0" w:color="auto"/>
      </w:divBdr>
    </w:div>
    <w:div w:id="662855889">
      <w:bodyDiv w:val="1"/>
      <w:marLeft w:val="0"/>
      <w:marRight w:val="0"/>
      <w:marTop w:val="0"/>
      <w:marBottom w:val="0"/>
      <w:divBdr>
        <w:top w:val="none" w:sz="0" w:space="0" w:color="auto"/>
        <w:left w:val="none" w:sz="0" w:space="0" w:color="auto"/>
        <w:bottom w:val="none" w:sz="0" w:space="0" w:color="auto"/>
        <w:right w:val="none" w:sz="0" w:space="0" w:color="auto"/>
      </w:divBdr>
    </w:div>
    <w:div w:id="672999568">
      <w:bodyDiv w:val="1"/>
      <w:marLeft w:val="0"/>
      <w:marRight w:val="0"/>
      <w:marTop w:val="0"/>
      <w:marBottom w:val="0"/>
      <w:divBdr>
        <w:top w:val="none" w:sz="0" w:space="0" w:color="auto"/>
        <w:left w:val="none" w:sz="0" w:space="0" w:color="auto"/>
        <w:bottom w:val="none" w:sz="0" w:space="0" w:color="auto"/>
        <w:right w:val="none" w:sz="0" w:space="0" w:color="auto"/>
      </w:divBdr>
    </w:div>
    <w:div w:id="717507057">
      <w:bodyDiv w:val="1"/>
      <w:marLeft w:val="0"/>
      <w:marRight w:val="0"/>
      <w:marTop w:val="0"/>
      <w:marBottom w:val="0"/>
      <w:divBdr>
        <w:top w:val="none" w:sz="0" w:space="0" w:color="auto"/>
        <w:left w:val="none" w:sz="0" w:space="0" w:color="auto"/>
        <w:bottom w:val="none" w:sz="0" w:space="0" w:color="auto"/>
        <w:right w:val="none" w:sz="0" w:space="0" w:color="auto"/>
      </w:divBdr>
    </w:div>
    <w:div w:id="1018848946">
      <w:bodyDiv w:val="1"/>
      <w:marLeft w:val="0"/>
      <w:marRight w:val="0"/>
      <w:marTop w:val="0"/>
      <w:marBottom w:val="0"/>
      <w:divBdr>
        <w:top w:val="none" w:sz="0" w:space="0" w:color="auto"/>
        <w:left w:val="none" w:sz="0" w:space="0" w:color="auto"/>
        <w:bottom w:val="none" w:sz="0" w:space="0" w:color="auto"/>
        <w:right w:val="none" w:sz="0" w:space="0" w:color="auto"/>
      </w:divBdr>
      <w:divsChild>
        <w:div w:id="1807041309">
          <w:marLeft w:val="0"/>
          <w:marRight w:val="0"/>
          <w:marTop w:val="0"/>
          <w:marBottom w:val="0"/>
          <w:divBdr>
            <w:top w:val="none" w:sz="0" w:space="0" w:color="auto"/>
            <w:left w:val="none" w:sz="0" w:space="0" w:color="auto"/>
            <w:bottom w:val="none" w:sz="0" w:space="0" w:color="auto"/>
            <w:right w:val="none" w:sz="0" w:space="0" w:color="auto"/>
          </w:divBdr>
          <w:divsChild>
            <w:div w:id="30667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274618">
      <w:bodyDiv w:val="1"/>
      <w:marLeft w:val="0"/>
      <w:marRight w:val="0"/>
      <w:marTop w:val="0"/>
      <w:marBottom w:val="0"/>
      <w:divBdr>
        <w:top w:val="none" w:sz="0" w:space="0" w:color="auto"/>
        <w:left w:val="none" w:sz="0" w:space="0" w:color="auto"/>
        <w:bottom w:val="none" w:sz="0" w:space="0" w:color="auto"/>
        <w:right w:val="none" w:sz="0" w:space="0" w:color="auto"/>
      </w:divBdr>
    </w:div>
    <w:div w:id="1092899762">
      <w:bodyDiv w:val="1"/>
      <w:marLeft w:val="0"/>
      <w:marRight w:val="0"/>
      <w:marTop w:val="0"/>
      <w:marBottom w:val="0"/>
      <w:divBdr>
        <w:top w:val="none" w:sz="0" w:space="0" w:color="auto"/>
        <w:left w:val="none" w:sz="0" w:space="0" w:color="auto"/>
        <w:bottom w:val="none" w:sz="0" w:space="0" w:color="auto"/>
        <w:right w:val="none" w:sz="0" w:space="0" w:color="auto"/>
      </w:divBdr>
      <w:divsChild>
        <w:div w:id="474491756">
          <w:marLeft w:val="0"/>
          <w:marRight w:val="0"/>
          <w:marTop w:val="0"/>
          <w:marBottom w:val="0"/>
          <w:divBdr>
            <w:top w:val="none" w:sz="0" w:space="0" w:color="auto"/>
            <w:left w:val="none" w:sz="0" w:space="0" w:color="auto"/>
            <w:bottom w:val="none" w:sz="0" w:space="0" w:color="auto"/>
            <w:right w:val="none" w:sz="0" w:space="0" w:color="auto"/>
          </w:divBdr>
        </w:div>
        <w:div w:id="1061827688">
          <w:marLeft w:val="0"/>
          <w:marRight w:val="0"/>
          <w:marTop w:val="0"/>
          <w:marBottom w:val="0"/>
          <w:divBdr>
            <w:top w:val="none" w:sz="0" w:space="0" w:color="auto"/>
            <w:left w:val="none" w:sz="0" w:space="0" w:color="auto"/>
            <w:bottom w:val="none" w:sz="0" w:space="0" w:color="auto"/>
            <w:right w:val="none" w:sz="0" w:space="0" w:color="auto"/>
          </w:divBdr>
        </w:div>
        <w:div w:id="1982151018">
          <w:marLeft w:val="0"/>
          <w:marRight w:val="0"/>
          <w:marTop w:val="0"/>
          <w:marBottom w:val="0"/>
          <w:divBdr>
            <w:top w:val="none" w:sz="0" w:space="0" w:color="auto"/>
            <w:left w:val="none" w:sz="0" w:space="0" w:color="auto"/>
            <w:bottom w:val="none" w:sz="0" w:space="0" w:color="auto"/>
            <w:right w:val="none" w:sz="0" w:space="0" w:color="auto"/>
          </w:divBdr>
        </w:div>
      </w:divsChild>
    </w:div>
    <w:div w:id="1181772173">
      <w:bodyDiv w:val="1"/>
      <w:marLeft w:val="0"/>
      <w:marRight w:val="0"/>
      <w:marTop w:val="0"/>
      <w:marBottom w:val="0"/>
      <w:divBdr>
        <w:top w:val="none" w:sz="0" w:space="0" w:color="auto"/>
        <w:left w:val="none" w:sz="0" w:space="0" w:color="auto"/>
        <w:bottom w:val="none" w:sz="0" w:space="0" w:color="auto"/>
        <w:right w:val="none" w:sz="0" w:space="0" w:color="auto"/>
      </w:divBdr>
      <w:divsChild>
        <w:div w:id="110631409">
          <w:marLeft w:val="0"/>
          <w:marRight w:val="0"/>
          <w:marTop w:val="0"/>
          <w:marBottom w:val="0"/>
          <w:divBdr>
            <w:top w:val="none" w:sz="0" w:space="0" w:color="auto"/>
            <w:left w:val="none" w:sz="0" w:space="0" w:color="auto"/>
            <w:bottom w:val="none" w:sz="0" w:space="0" w:color="auto"/>
            <w:right w:val="none" w:sz="0" w:space="0" w:color="auto"/>
          </w:divBdr>
        </w:div>
      </w:divsChild>
    </w:div>
    <w:div w:id="1217014865">
      <w:bodyDiv w:val="1"/>
      <w:marLeft w:val="0"/>
      <w:marRight w:val="0"/>
      <w:marTop w:val="0"/>
      <w:marBottom w:val="0"/>
      <w:divBdr>
        <w:top w:val="none" w:sz="0" w:space="0" w:color="auto"/>
        <w:left w:val="none" w:sz="0" w:space="0" w:color="auto"/>
        <w:bottom w:val="none" w:sz="0" w:space="0" w:color="auto"/>
        <w:right w:val="none" w:sz="0" w:space="0" w:color="auto"/>
      </w:divBdr>
    </w:div>
    <w:div w:id="1329988888">
      <w:bodyDiv w:val="1"/>
      <w:marLeft w:val="0"/>
      <w:marRight w:val="0"/>
      <w:marTop w:val="0"/>
      <w:marBottom w:val="0"/>
      <w:divBdr>
        <w:top w:val="none" w:sz="0" w:space="0" w:color="auto"/>
        <w:left w:val="none" w:sz="0" w:space="0" w:color="auto"/>
        <w:bottom w:val="none" w:sz="0" w:space="0" w:color="auto"/>
        <w:right w:val="none" w:sz="0" w:space="0" w:color="auto"/>
      </w:divBdr>
    </w:div>
    <w:div w:id="1352874305">
      <w:bodyDiv w:val="1"/>
      <w:marLeft w:val="0"/>
      <w:marRight w:val="0"/>
      <w:marTop w:val="0"/>
      <w:marBottom w:val="0"/>
      <w:divBdr>
        <w:top w:val="none" w:sz="0" w:space="0" w:color="auto"/>
        <w:left w:val="none" w:sz="0" w:space="0" w:color="auto"/>
        <w:bottom w:val="none" w:sz="0" w:space="0" w:color="auto"/>
        <w:right w:val="none" w:sz="0" w:space="0" w:color="auto"/>
      </w:divBdr>
    </w:div>
    <w:div w:id="1414744946">
      <w:bodyDiv w:val="1"/>
      <w:marLeft w:val="0"/>
      <w:marRight w:val="0"/>
      <w:marTop w:val="0"/>
      <w:marBottom w:val="0"/>
      <w:divBdr>
        <w:top w:val="none" w:sz="0" w:space="0" w:color="auto"/>
        <w:left w:val="none" w:sz="0" w:space="0" w:color="auto"/>
        <w:bottom w:val="none" w:sz="0" w:space="0" w:color="auto"/>
        <w:right w:val="none" w:sz="0" w:space="0" w:color="auto"/>
      </w:divBdr>
    </w:div>
    <w:div w:id="1472595911">
      <w:bodyDiv w:val="1"/>
      <w:marLeft w:val="0"/>
      <w:marRight w:val="0"/>
      <w:marTop w:val="0"/>
      <w:marBottom w:val="0"/>
      <w:divBdr>
        <w:top w:val="none" w:sz="0" w:space="0" w:color="auto"/>
        <w:left w:val="none" w:sz="0" w:space="0" w:color="auto"/>
        <w:bottom w:val="none" w:sz="0" w:space="0" w:color="auto"/>
        <w:right w:val="none" w:sz="0" w:space="0" w:color="auto"/>
      </w:divBdr>
      <w:divsChild>
        <w:div w:id="220792693">
          <w:marLeft w:val="0"/>
          <w:marRight w:val="0"/>
          <w:marTop w:val="0"/>
          <w:marBottom w:val="300"/>
          <w:divBdr>
            <w:top w:val="none" w:sz="0" w:space="0" w:color="auto"/>
            <w:left w:val="none" w:sz="0" w:space="0" w:color="auto"/>
            <w:bottom w:val="none" w:sz="0" w:space="0" w:color="auto"/>
            <w:right w:val="none" w:sz="0" w:space="0" w:color="auto"/>
          </w:divBdr>
        </w:div>
        <w:div w:id="573668276">
          <w:marLeft w:val="0"/>
          <w:marRight w:val="0"/>
          <w:marTop w:val="0"/>
          <w:marBottom w:val="0"/>
          <w:divBdr>
            <w:top w:val="none" w:sz="0" w:space="0" w:color="auto"/>
            <w:left w:val="none" w:sz="0" w:space="0" w:color="auto"/>
            <w:bottom w:val="none" w:sz="0" w:space="0" w:color="auto"/>
            <w:right w:val="none" w:sz="0" w:space="0" w:color="auto"/>
          </w:divBdr>
        </w:div>
        <w:div w:id="735055136">
          <w:marLeft w:val="0"/>
          <w:marRight w:val="0"/>
          <w:marTop w:val="0"/>
          <w:marBottom w:val="300"/>
          <w:divBdr>
            <w:top w:val="none" w:sz="0" w:space="0" w:color="auto"/>
            <w:left w:val="none" w:sz="0" w:space="0" w:color="auto"/>
            <w:bottom w:val="none" w:sz="0" w:space="0" w:color="auto"/>
            <w:right w:val="none" w:sz="0" w:space="0" w:color="auto"/>
          </w:divBdr>
        </w:div>
      </w:divsChild>
    </w:div>
    <w:div w:id="1538932277">
      <w:bodyDiv w:val="1"/>
      <w:marLeft w:val="0"/>
      <w:marRight w:val="0"/>
      <w:marTop w:val="0"/>
      <w:marBottom w:val="0"/>
      <w:divBdr>
        <w:top w:val="none" w:sz="0" w:space="0" w:color="auto"/>
        <w:left w:val="none" w:sz="0" w:space="0" w:color="auto"/>
        <w:bottom w:val="none" w:sz="0" w:space="0" w:color="auto"/>
        <w:right w:val="none" w:sz="0" w:space="0" w:color="auto"/>
      </w:divBdr>
    </w:div>
    <w:div w:id="1550337848">
      <w:bodyDiv w:val="1"/>
      <w:marLeft w:val="0"/>
      <w:marRight w:val="0"/>
      <w:marTop w:val="0"/>
      <w:marBottom w:val="0"/>
      <w:divBdr>
        <w:top w:val="none" w:sz="0" w:space="0" w:color="auto"/>
        <w:left w:val="none" w:sz="0" w:space="0" w:color="auto"/>
        <w:bottom w:val="none" w:sz="0" w:space="0" w:color="auto"/>
        <w:right w:val="none" w:sz="0" w:space="0" w:color="auto"/>
      </w:divBdr>
    </w:div>
    <w:div w:id="1660427116">
      <w:bodyDiv w:val="1"/>
      <w:marLeft w:val="0"/>
      <w:marRight w:val="0"/>
      <w:marTop w:val="0"/>
      <w:marBottom w:val="0"/>
      <w:divBdr>
        <w:top w:val="none" w:sz="0" w:space="0" w:color="auto"/>
        <w:left w:val="none" w:sz="0" w:space="0" w:color="auto"/>
        <w:bottom w:val="none" w:sz="0" w:space="0" w:color="auto"/>
        <w:right w:val="none" w:sz="0" w:space="0" w:color="auto"/>
      </w:divBdr>
    </w:div>
    <w:div w:id="1687557860">
      <w:bodyDiv w:val="1"/>
      <w:marLeft w:val="0"/>
      <w:marRight w:val="0"/>
      <w:marTop w:val="0"/>
      <w:marBottom w:val="0"/>
      <w:divBdr>
        <w:top w:val="none" w:sz="0" w:space="0" w:color="auto"/>
        <w:left w:val="none" w:sz="0" w:space="0" w:color="auto"/>
        <w:bottom w:val="none" w:sz="0" w:space="0" w:color="auto"/>
        <w:right w:val="none" w:sz="0" w:space="0" w:color="auto"/>
      </w:divBdr>
    </w:div>
    <w:div w:id="1690521851">
      <w:bodyDiv w:val="1"/>
      <w:marLeft w:val="0"/>
      <w:marRight w:val="0"/>
      <w:marTop w:val="0"/>
      <w:marBottom w:val="0"/>
      <w:divBdr>
        <w:top w:val="none" w:sz="0" w:space="0" w:color="auto"/>
        <w:left w:val="none" w:sz="0" w:space="0" w:color="auto"/>
        <w:bottom w:val="none" w:sz="0" w:space="0" w:color="auto"/>
        <w:right w:val="none" w:sz="0" w:space="0" w:color="auto"/>
      </w:divBdr>
      <w:divsChild>
        <w:div w:id="1912278246">
          <w:marLeft w:val="0"/>
          <w:marRight w:val="0"/>
          <w:marTop w:val="0"/>
          <w:marBottom w:val="0"/>
          <w:divBdr>
            <w:top w:val="none" w:sz="0" w:space="0" w:color="auto"/>
            <w:left w:val="none" w:sz="0" w:space="0" w:color="auto"/>
            <w:bottom w:val="none" w:sz="0" w:space="0" w:color="auto"/>
            <w:right w:val="none" w:sz="0" w:space="0" w:color="auto"/>
          </w:divBdr>
          <w:divsChild>
            <w:div w:id="128970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223017">
      <w:bodyDiv w:val="1"/>
      <w:marLeft w:val="0"/>
      <w:marRight w:val="0"/>
      <w:marTop w:val="0"/>
      <w:marBottom w:val="0"/>
      <w:divBdr>
        <w:top w:val="none" w:sz="0" w:space="0" w:color="auto"/>
        <w:left w:val="none" w:sz="0" w:space="0" w:color="auto"/>
        <w:bottom w:val="none" w:sz="0" w:space="0" w:color="auto"/>
        <w:right w:val="none" w:sz="0" w:space="0" w:color="auto"/>
      </w:divBdr>
    </w:div>
    <w:div w:id="1821574845">
      <w:bodyDiv w:val="1"/>
      <w:marLeft w:val="0"/>
      <w:marRight w:val="0"/>
      <w:marTop w:val="0"/>
      <w:marBottom w:val="0"/>
      <w:divBdr>
        <w:top w:val="none" w:sz="0" w:space="0" w:color="auto"/>
        <w:left w:val="none" w:sz="0" w:space="0" w:color="auto"/>
        <w:bottom w:val="none" w:sz="0" w:space="0" w:color="auto"/>
        <w:right w:val="none" w:sz="0" w:space="0" w:color="auto"/>
      </w:divBdr>
    </w:div>
    <w:div w:id="1872105841">
      <w:bodyDiv w:val="1"/>
      <w:marLeft w:val="0"/>
      <w:marRight w:val="0"/>
      <w:marTop w:val="0"/>
      <w:marBottom w:val="0"/>
      <w:divBdr>
        <w:top w:val="none" w:sz="0" w:space="0" w:color="auto"/>
        <w:left w:val="none" w:sz="0" w:space="0" w:color="auto"/>
        <w:bottom w:val="none" w:sz="0" w:space="0" w:color="auto"/>
        <w:right w:val="none" w:sz="0" w:space="0" w:color="auto"/>
      </w:divBdr>
    </w:div>
    <w:div w:id="1905682664">
      <w:bodyDiv w:val="1"/>
      <w:marLeft w:val="0"/>
      <w:marRight w:val="0"/>
      <w:marTop w:val="0"/>
      <w:marBottom w:val="0"/>
      <w:divBdr>
        <w:top w:val="none" w:sz="0" w:space="0" w:color="auto"/>
        <w:left w:val="none" w:sz="0" w:space="0" w:color="auto"/>
        <w:bottom w:val="none" w:sz="0" w:space="0" w:color="auto"/>
        <w:right w:val="none" w:sz="0" w:space="0" w:color="auto"/>
      </w:divBdr>
    </w:div>
    <w:div w:id="1989088113">
      <w:bodyDiv w:val="1"/>
      <w:marLeft w:val="0"/>
      <w:marRight w:val="0"/>
      <w:marTop w:val="0"/>
      <w:marBottom w:val="0"/>
      <w:divBdr>
        <w:top w:val="none" w:sz="0" w:space="0" w:color="auto"/>
        <w:left w:val="none" w:sz="0" w:space="0" w:color="auto"/>
        <w:bottom w:val="none" w:sz="0" w:space="0" w:color="auto"/>
        <w:right w:val="none" w:sz="0" w:space="0" w:color="auto"/>
      </w:divBdr>
    </w:div>
    <w:div w:id="1990400339">
      <w:bodyDiv w:val="1"/>
      <w:marLeft w:val="0"/>
      <w:marRight w:val="0"/>
      <w:marTop w:val="0"/>
      <w:marBottom w:val="0"/>
      <w:divBdr>
        <w:top w:val="none" w:sz="0" w:space="0" w:color="auto"/>
        <w:left w:val="none" w:sz="0" w:space="0" w:color="auto"/>
        <w:bottom w:val="none" w:sz="0" w:space="0" w:color="auto"/>
        <w:right w:val="none" w:sz="0" w:space="0" w:color="auto"/>
      </w:divBdr>
    </w:div>
    <w:div w:id="2010332046">
      <w:bodyDiv w:val="1"/>
      <w:marLeft w:val="0"/>
      <w:marRight w:val="0"/>
      <w:marTop w:val="0"/>
      <w:marBottom w:val="0"/>
      <w:divBdr>
        <w:top w:val="none" w:sz="0" w:space="0" w:color="auto"/>
        <w:left w:val="none" w:sz="0" w:space="0" w:color="auto"/>
        <w:bottom w:val="none" w:sz="0" w:space="0" w:color="auto"/>
        <w:right w:val="none" w:sz="0" w:space="0" w:color="auto"/>
      </w:divBdr>
    </w:div>
    <w:div w:id="2064940440">
      <w:bodyDiv w:val="1"/>
      <w:marLeft w:val="0"/>
      <w:marRight w:val="0"/>
      <w:marTop w:val="0"/>
      <w:marBottom w:val="0"/>
      <w:divBdr>
        <w:top w:val="none" w:sz="0" w:space="0" w:color="auto"/>
        <w:left w:val="none" w:sz="0" w:space="0" w:color="auto"/>
        <w:bottom w:val="none" w:sz="0" w:space="0" w:color="auto"/>
        <w:right w:val="none" w:sz="0" w:space="0" w:color="auto"/>
      </w:divBdr>
      <w:divsChild>
        <w:div w:id="1548028041">
          <w:marLeft w:val="0"/>
          <w:marRight w:val="0"/>
          <w:marTop w:val="0"/>
          <w:marBottom w:val="0"/>
          <w:divBdr>
            <w:top w:val="none" w:sz="0" w:space="0" w:color="auto"/>
            <w:left w:val="none" w:sz="0" w:space="0" w:color="auto"/>
            <w:bottom w:val="none" w:sz="0" w:space="0" w:color="auto"/>
            <w:right w:val="none" w:sz="0" w:space="0" w:color="auto"/>
          </w:divBdr>
          <w:divsChild>
            <w:div w:id="200817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s>
</file>

<file path=word/_rels/footnotes.xml.rels><?xml version="1.0" encoding="UTF-8" standalone="yes"?>
<Relationships xmlns="http://schemas.openxmlformats.org/package/2006/relationships"><Relationship Id="rId8" Type="http://schemas.openxmlformats.org/officeDocument/2006/relationships/hyperlink" Target="https://www-heinonline-org.ezproxy.colman.ac.il/HOL/Page?handle=hein.journals/miaicr15&amp;div=14&amp;start_page=303&amp;collection=journals&amp;set_as_cursor=0&amp;men_tab=srchresults" TargetMode="External"/><Relationship Id="rId13" Type="http://schemas.openxmlformats.org/officeDocument/2006/relationships/hyperlink" Target="https://samba.huji.ac.il/+CSCO+1h75676763663A2F2F6A6A6A2E617269622E70622E7679++/books/%d7%9b%d7%aa%d7%91%d7%99%20%d7%a2%d7%aa/%d7%9b%d7%aa%d7%91%d7%99%20%d7%a2%d7%aa/theoretical%20inquiries%20in%20law/vol.%2010.2/til-10-2-653.pdf" TargetMode="External"/><Relationship Id="rId18" Type="http://schemas.openxmlformats.org/officeDocument/2006/relationships/hyperlink" Target="https://www.jpost.com/Diplomatic-Conference/The-fiercest-warrior-against-judicial-activism-515595" TargetMode="External"/><Relationship Id="rId26" Type="http://schemas.openxmlformats.org/officeDocument/2006/relationships/hyperlink" Target="http://www.sviva.gov.il/English/Legislation/Documents/Planning%20and%20Building%20Laws%20and%20Regulations/PlanningAndBuildingLaw1965-Excerpts.pdf" TargetMode="External"/><Relationship Id="rId3" Type="http://schemas.openxmlformats.org/officeDocument/2006/relationships/hyperlink" Target="https://heinonline.org/hol-cgi-bin/get_pdf.cgi?handle=hein.journals/cdozo39&amp;section=34" TargetMode="External"/><Relationship Id="rId21" Type="http://schemas.openxmlformats.org/officeDocument/2006/relationships/hyperlink" Target="https://www.ynetnews.com/articles/0,7340,L-5252771,00.html" TargetMode="External"/><Relationship Id="rId7" Type="http://schemas.openxmlformats.org/officeDocument/2006/relationships/hyperlink" Target="http://versa.cardozo.yu.edu/opinions/united-mizrahi-bank-v-migdal-cooperative-village" TargetMode="External"/><Relationship Id="rId12" Type="http://schemas.openxmlformats.org/officeDocument/2006/relationships/hyperlink" Target="https://www.tandfonline.com/author/Sened%2C+Itai" TargetMode="External"/><Relationship Id="rId17" Type="http://schemas.openxmlformats.org/officeDocument/2006/relationships/hyperlink" Target="https://www.timesofisrael.com/mks-push-ahead-with-bill-curbing-high-court-in-west-bank-land-disputes/" TargetMode="External"/><Relationship Id="rId25" Type="http://schemas.openxmlformats.org/officeDocument/2006/relationships/hyperlink" Target="http://versa.cardozo.yu.edu/opinions/state-israel-v-apropim" TargetMode="External"/><Relationship Id="rId2" Type="http://schemas.openxmlformats.org/officeDocument/2006/relationships/hyperlink" Target="http://versa.cardozo.yu.edu/opinions/karsik-v-state-israel" TargetMode="External"/><Relationship Id="rId16" Type="http://schemas.openxmlformats.org/officeDocument/2006/relationships/hyperlink" Target="javascript:__doLinkPostBack('','mdb~~aph%7C%7Cjdb~~aphjnh%7C%7Css~~JN%20%22Israel%20Affairs%22%7C%7Csl~~jh','');" TargetMode="External"/><Relationship Id="rId20" Type="http://schemas.openxmlformats.org/officeDocument/2006/relationships/hyperlink" Target="http://fs.knesset.gov.il//20/law/20_lst_491213.docx" TargetMode="External"/><Relationship Id="rId1" Type="http://schemas.openxmlformats.org/officeDocument/2006/relationships/hyperlink" Target="http://elyon1.court.gov.il/files_eng/96/900/023/g10/96023900.g10.htm" TargetMode="External"/><Relationship Id="rId6" Type="http://schemas.openxmlformats.org/officeDocument/2006/relationships/hyperlink" Target="http://elyon1.court.gov.il/files_eng/93/210/068/z01/93068210.z01.pdf" TargetMode="External"/><Relationship Id="rId11" Type="http://schemas.openxmlformats.org/officeDocument/2006/relationships/hyperlink" Target="https://www.tandfonline.com/author/Nachmias%2C+David" TargetMode="External"/><Relationship Id="rId24" Type="http://schemas.openxmlformats.org/officeDocument/2006/relationships/hyperlink" Target="https://www.haaretz.com/1.5006533" TargetMode="External"/><Relationship Id="rId5" Type="http://schemas.openxmlformats.org/officeDocument/2006/relationships/hyperlink" Target="http://knesset.gov.il/laws/special/eng/BasicLawLiberty.pdf" TargetMode="External"/><Relationship Id="rId15" Type="http://schemas.openxmlformats.org/officeDocument/2006/relationships/hyperlink" Target="javascript:__doLinkPostBack('','ss~~AR%20%22Dotan%2C%20Yoav%22%7C%7Csl~~rl','');" TargetMode="External"/><Relationship Id="rId23" Type="http://schemas.openxmlformats.org/officeDocument/2006/relationships/hyperlink" Target="https://www.haaretz.com/misc/writers/1.4968505" TargetMode="External"/><Relationship Id="rId28" Type="http://schemas.openxmlformats.org/officeDocument/2006/relationships/hyperlink" Target="http://versa.cardozo.yu.edu/opinions/local-building-v-holzman" TargetMode="External"/><Relationship Id="rId10" Type="http://schemas.openxmlformats.org/officeDocument/2006/relationships/hyperlink" Target="https://heinonline.org/hol-cgi-bin/get_pdf.cgi?handle=hein.journals/telavusl15&amp;section=11" TargetMode="External"/><Relationship Id="rId19" Type="http://schemas.openxmlformats.org/officeDocument/2006/relationships/hyperlink" Target="https://www.jpost.com/Israel-News/Politics-And-Diplomacy/Left-calls-Right-wing-criticism-of-High-Court-criminal-410485" TargetMode="External"/><Relationship Id="rId4" Type="http://schemas.openxmlformats.org/officeDocument/2006/relationships/hyperlink" Target="http://www.kluwerlawonline.com/abstract.php?area=Journals&amp;id=EURO2016008" TargetMode="External"/><Relationship Id="rId9" Type="http://schemas.openxmlformats.org/officeDocument/2006/relationships/hyperlink" Target="http://www.tau.ac.il/law/barakerez/artmarch2010/38.pdf" TargetMode="External"/><Relationship Id="rId14" Type="http://schemas.openxmlformats.org/officeDocument/2006/relationships/hyperlink" Target="https://www.tandfonline.com/doi/pdf/10.1080/13537120208719628" TargetMode="External"/><Relationship Id="rId22" Type="http://schemas.openxmlformats.org/officeDocument/2006/relationships/hyperlink" Target="https://www.jpost.com/Israel-News/Top-Likud-minister-Well-even-go-to-election-to-limit-Supreme-Court-549850" TargetMode="External"/><Relationship Id="rId27" Type="http://schemas.openxmlformats.org/officeDocument/2006/relationships/hyperlink" Target="http://elyon1.court.gov.il/files_eng/97/460/055/l06/97055460.l06.pdf"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7BC036-7FAE-465C-A1AE-56D413258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4264</TotalTime>
  <Pages>32</Pages>
  <Words>9853</Words>
  <Characters>47988</Characters>
  <Application>Microsoft Office Word</Application>
  <DocSecurity>0</DocSecurity>
  <Lines>1170</Lines>
  <Paragraphs>608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57233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1</dc:creator>
  <cp:keywords/>
  <dc:description/>
  <cp:lastModifiedBy>ElanaC</cp:lastModifiedBy>
  <cp:revision>45</cp:revision>
  <dcterms:created xsi:type="dcterms:W3CDTF">2018-07-31T15:20:00Z</dcterms:created>
  <dcterms:modified xsi:type="dcterms:W3CDTF">2018-08-05T18:22:00Z</dcterms:modified>
</cp:coreProperties>
</file>