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09" w:rsidRPr="00B27E09" w:rsidRDefault="00B27E09">
      <w:pPr>
        <w:rPr>
          <w:u w:val="single"/>
        </w:rPr>
      </w:pPr>
      <w:r w:rsidRPr="00B27E09">
        <w:rPr>
          <w:u w:val="single"/>
        </w:rPr>
        <w:t>Changes due to new regulations:</w:t>
      </w:r>
    </w:p>
    <w:p w:rsidR="00B27E09" w:rsidRDefault="00B27E09"/>
    <w:p w:rsidR="004F5464" w:rsidRDefault="00D70666" w:rsidP="00670B72">
      <w:r>
        <w:t xml:space="preserve">Current text at </w:t>
      </w:r>
      <w:hyperlink r:id="rId6" w:anchor="extensions" w:history="1">
        <w:r w:rsidRPr="00C93AB4">
          <w:rPr>
            <w:rStyle w:val="Hyperlink"/>
          </w:rPr>
          <w:t>https://www.jmbdavis.com/jurisdiction-israel/from-filing-to-maintenance/#extensions</w:t>
        </w:r>
      </w:hyperlink>
      <w:r>
        <w:t xml:space="preserve"> </w:t>
      </w:r>
    </w:p>
    <w:p w:rsidR="00D70666" w:rsidRDefault="00D70666"/>
    <w:p w:rsidR="00D70666" w:rsidRPr="007E68CE" w:rsidRDefault="00D70666">
      <w:pPr>
        <w:rPr>
          <w:rFonts w:ascii="Arial" w:hAnsi="Arial" w:cs="Arial"/>
          <w:color w:val="555555"/>
          <w:sz w:val="21"/>
          <w:szCs w:val="21"/>
          <w:shd w:val="clear" w:color="auto" w:fill="FFFFFF"/>
        </w:rPr>
      </w:pPr>
      <w:bookmarkStart w:id="0" w:name="_GoBack"/>
      <w:r w:rsidRPr="007E68CE">
        <w:rPr>
          <w:rFonts w:ascii="Arial" w:hAnsi="Arial" w:cs="Arial"/>
          <w:color w:val="555555"/>
          <w:sz w:val="21"/>
          <w:szCs w:val="21"/>
          <w:shd w:val="clear" w:color="auto" w:fill="FFFFFF"/>
        </w:rPr>
        <w:t>In lieu of responding to a substantive Office Action by an Examiner by the due date, an extension of up to six months is available. However, no more than a total of 15 months of extensions are available during the entire examination period. The six months of extensions available for responding to the Notice Prior to Examination are not included in the 15 months.</w:t>
      </w:r>
    </w:p>
    <w:bookmarkEnd w:id="0"/>
    <w:p w:rsidR="00D70666" w:rsidRDefault="00D70666">
      <w:pPr>
        <w:rPr>
          <w:rFonts w:ascii="Arial" w:hAnsi="Arial" w:cs="Arial"/>
          <w:color w:val="555555"/>
          <w:sz w:val="21"/>
          <w:szCs w:val="21"/>
          <w:shd w:val="clear" w:color="auto" w:fill="FFFFFF"/>
        </w:rPr>
      </w:pPr>
    </w:p>
    <w:p w:rsidR="00D70666" w:rsidRDefault="00D70666">
      <w:pPr>
        <w:rPr>
          <w:rFonts w:ascii="Arial" w:hAnsi="Arial" w:cs="Arial"/>
          <w:color w:val="555555"/>
          <w:sz w:val="21"/>
          <w:szCs w:val="21"/>
          <w:shd w:val="clear" w:color="auto" w:fill="FFFFFF"/>
        </w:rPr>
      </w:pPr>
      <w:r>
        <w:rPr>
          <w:rFonts w:ascii="Arial" w:hAnsi="Arial" w:cs="Arial"/>
          <w:color w:val="555555"/>
          <w:sz w:val="21"/>
          <w:szCs w:val="21"/>
          <w:shd w:val="clear" w:color="auto" w:fill="FFFFFF"/>
        </w:rPr>
        <w:t>New text:</w:t>
      </w:r>
    </w:p>
    <w:p w:rsidR="00D70666" w:rsidRPr="00007672" w:rsidRDefault="00D70666" w:rsidP="00D70666">
      <w:pPr>
        <w:tabs>
          <w:tab w:val="left" w:pos="9072"/>
        </w:tabs>
        <w:ind w:right="708"/>
        <w:rPr>
          <w:b/>
          <w:bCs/>
          <w:sz w:val="20"/>
          <w:szCs w:val="20"/>
        </w:rPr>
      </w:pPr>
      <w:r w:rsidRPr="00007672">
        <w:rPr>
          <w:rFonts w:ascii="Arial" w:hAnsi="Arial" w:cs="Arial"/>
          <w:b/>
          <w:bCs/>
          <w:color w:val="555555"/>
          <w:sz w:val="21"/>
          <w:szCs w:val="21"/>
          <w:shd w:val="clear" w:color="auto" w:fill="FFFFFF"/>
        </w:rPr>
        <w:t>In lieu of responding to a substantive Office Action by an Examiner by the due date, the following extensions are available:</w:t>
      </w:r>
    </w:p>
    <w:p w:rsidR="00D70666" w:rsidRPr="007E68CE" w:rsidRDefault="00D70666" w:rsidP="00D70666">
      <w:pPr>
        <w:tabs>
          <w:tab w:val="left" w:pos="9072"/>
        </w:tabs>
        <w:ind w:right="708"/>
        <w:rPr>
          <w:b/>
          <w:bCs/>
          <w:sz w:val="20"/>
          <w:szCs w:val="20"/>
        </w:rPr>
      </w:pPr>
      <w:r w:rsidRPr="007E68CE">
        <w:rPr>
          <w:b/>
          <w:bCs/>
          <w:sz w:val="20"/>
          <w:szCs w:val="20"/>
        </w:rPr>
        <w:t xml:space="preserve">For an application whose examination commenced </w:t>
      </w:r>
      <w:r w:rsidRPr="007E68CE">
        <w:rPr>
          <w:b/>
          <w:bCs/>
          <w:sz w:val="20"/>
          <w:szCs w:val="20"/>
          <w:u w:val="single"/>
        </w:rPr>
        <w:t>before 27.3.2017</w:t>
      </w:r>
      <w:r w:rsidRPr="007E68CE">
        <w:rPr>
          <w:b/>
          <w:bCs/>
          <w:sz w:val="20"/>
          <w:szCs w:val="20"/>
        </w:rPr>
        <w:t>, a maximum of 6 months of extensions are available for each substantive Office Action, provided that the accumulated total during the course of examination is not greater than 15 months. The six months of extensions available for responding to the Notice Prior to Examination are not included in the 15 months.</w:t>
      </w:r>
    </w:p>
    <w:p w:rsidR="00D70666" w:rsidRPr="007E68CE" w:rsidRDefault="00D70666" w:rsidP="00D70666">
      <w:pPr>
        <w:tabs>
          <w:tab w:val="left" w:pos="9072"/>
        </w:tabs>
        <w:ind w:right="708"/>
        <w:rPr>
          <w:b/>
          <w:bCs/>
          <w:sz w:val="20"/>
          <w:szCs w:val="20"/>
        </w:rPr>
      </w:pPr>
      <w:r w:rsidRPr="007E68CE">
        <w:rPr>
          <w:b/>
          <w:bCs/>
          <w:sz w:val="20"/>
          <w:szCs w:val="20"/>
        </w:rPr>
        <w:t xml:space="preserve">For an application whose examination commenced </w:t>
      </w:r>
      <w:r w:rsidRPr="007E68CE">
        <w:rPr>
          <w:b/>
          <w:bCs/>
          <w:sz w:val="20"/>
          <w:szCs w:val="20"/>
          <w:u w:val="single"/>
        </w:rPr>
        <w:t>after 27.3.2017</w:t>
      </w:r>
      <w:r w:rsidRPr="007E68CE">
        <w:rPr>
          <w:b/>
          <w:bCs/>
          <w:sz w:val="20"/>
          <w:szCs w:val="20"/>
        </w:rPr>
        <w:t>, a maximum of 4 months of extensions are available for each substantive Office Action, provided that the accumulated total during the course of examination is not greater than 12 months. The six months of extensions available for responding to the Notice Prior to Examination are not included in the 12 months.</w:t>
      </w:r>
    </w:p>
    <w:p w:rsidR="00D70666" w:rsidRDefault="00D70666" w:rsidP="00D70666"/>
    <w:p w:rsidR="0085510F" w:rsidRDefault="0085510F" w:rsidP="0085510F">
      <w:pPr>
        <w:autoSpaceDE w:val="0"/>
        <w:autoSpaceDN w:val="0"/>
        <w:adjustRightInd w:val="0"/>
        <w:spacing w:after="0" w:line="240" w:lineRule="auto"/>
      </w:pPr>
    </w:p>
    <w:p w:rsidR="0085510F" w:rsidRDefault="0085510F" w:rsidP="00670B72">
      <w:pPr>
        <w:autoSpaceDE w:val="0"/>
        <w:autoSpaceDN w:val="0"/>
        <w:adjustRightInd w:val="0"/>
        <w:spacing w:after="0" w:line="240" w:lineRule="auto"/>
      </w:pPr>
      <w:r>
        <w:t>In the Patent timeline</w:t>
      </w:r>
      <w:r w:rsidR="00B27E09">
        <w:t xml:space="preserve"> (both on the web pages and in the downloadable doc)</w:t>
      </w:r>
      <w:r>
        <w:t>:</w:t>
      </w:r>
    </w:p>
    <w:p w:rsidR="0085510F" w:rsidRDefault="0085510F" w:rsidP="0085510F">
      <w:pPr>
        <w:autoSpaceDE w:val="0"/>
        <w:autoSpaceDN w:val="0"/>
        <w:adjustRightInd w:val="0"/>
        <w:spacing w:after="0" w:line="240" w:lineRule="auto"/>
      </w:pPr>
    </w:p>
    <w:p w:rsidR="0085510F" w:rsidRDefault="0085510F" w:rsidP="0085510F">
      <w:pPr>
        <w:autoSpaceDE w:val="0"/>
        <w:autoSpaceDN w:val="0"/>
        <w:adjustRightInd w:val="0"/>
        <w:spacing w:after="0" w:line="240" w:lineRule="auto"/>
      </w:pPr>
      <w:r>
        <w:t>Middle column adjacent to item #13, the text should be amended to:</w:t>
      </w:r>
    </w:p>
    <w:p w:rsidR="00670B72" w:rsidRDefault="00670B72" w:rsidP="0085510F">
      <w:pPr>
        <w:autoSpaceDE w:val="0"/>
        <w:autoSpaceDN w:val="0"/>
        <w:adjustRightInd w:val="0"/>
        <w:spacing w:after="0" w:line="240" w:lineRule="auto"/>
      </w:pPr>
    </w:p>
    <w:p w:rsidR="0085510F" w:rsidRPr="00670B72" w:rsidRDefault="0085510F" w:rsidP="0085510F">
      <w:pPr>
        <w:autoSpaceDE w:val="0"/>
        <w:autoSpaceDN w:val="0"/>
        <w:adjustRightInd w:val="0"/>
        <w:spacing w:after="0" w:line="240" w:lineRule="auto"/>
        <w:rPr>
          <w:rFonts w:asciiTheme="majorBidi" w:hAnsiTheme="majorBidi" w:cstheme="majorBidi"/>
          <w:b/>
          <w:bCs/>
          <w:sz w:val="24"/>
          <w:szCs w:val="24"/>
        </w:rPr>
      </w:pPr>
      <w:r w:rsidRPr="00670B72">
        <w:rPr>
          <w:rFonts w:asciiTheme="majorBidi" w:hAnsiTheme="majorBidi" w:cstheme="majorBidi"/>
          <w:b/>
          <w:bCs/>
          <w:sz w:val="24"/>
          <w:szCs w:val="24"/>
        </w:rPr>
        <w:t>Within 4 months of issua</w:t>
      </w:r>
      <w:r w:rsidR="00B27E09" w:rsidRPr="00670B72">
        <w:rPr>
          <w:rFonts w:asciiTheme="majorBidi" w:hAnsiTheme="majorBidi" w:cstheme="majorBidi"/>
          <w:b/>
          <w:bCs/>
          <w:sz w:val="24"/>
          <w:szCs w:val="24"/>
        </w:rPr>
        <w:t xml:space="preserve">nce; may be extended by up to 4 or </w:t>
      </w:r>
      <w:r w:rsidRPr="00670B72">
        <w:rPr>
          <w:rFonts w:asciiTheme="majorBidi" w:hAnsiTheme="majorBidi" w:cstheme="majorBidi"/>
          <w:b/>
          <w:bCs/>
          <w:sz w:val="24"/>
          <w:szCs w:val="24"/>
        </w:rPr>
        <w:t>6 months* provided total extensions for responding to Office Actions</w:t>
      </w:r>
      <w:r w:rsidR="00B27E09" w:rsidRPr="00670B72">
        <w:rPr>
          <w:rFonts w:asciiTheme="majorBidi" w:hAnsiTheme="majorBidi" w:cstheme="majorBidi"/>
          <w:b/>
          <w:bCs/>
          <w:sz w:val="24"/>
          <w:szCs w:val="24"/>
        </w:rPr>
        <w:t xml:space="preserve"> do not exceed 12 or </w:t>
      </w:r>
      <w:r w:rsidRPr="00670B72">
        <w:rPr>
          <w:rFonts w:asciiTheme="majorBidi" w:hAnsiTheme="majorBidi" w:cstheme="majorBidi"/>
          <w:b/>
          <w:bCs/>
          <w:sz w:val="24"/>
          <w:szCs w:val="24"/>
        </w:rPr>
        <w:t>15 months*; payment for extensions can be made in arrears.</w:t>
      </w:r>
    </w:p>
    <w:p w:rsidR="0085510F" w:rsidRPr="00670B72" w:rsidRDefault="0085510F" w:rsidP="0085510F">
      <w:pPr>
        <w:autoSpaceDE w:val="0"/>
        <w:autoSpaceDN w:val="0"/>
        <w:adjustRightInd w:val="0"/>
        <w:spacing w:after="0" w:line="240" w:lineRule="auto"/>
        <w:rPr>
          <w:rFonts w:asciiTheme="majorBidi" w:hAnsiTheme="majorBidi" w:cstheme="majorBidi"/>
          <w:b/>
          <w:bCs/>
          <w:sz w:val="24"/>
          <w:szCs w:val="24"/>
        </w:rPr>
      </w:pPr>
      <w:r w:rsidRPr="00670B72">
        <w:rPr>
          <w:rFonts w:asciiTheme="majorBidi" w:hAnsiTheme="majorBidi" w:cstheme="majorBidi"/>
          <w:b/>
          <w:bCs/>
          <w:sz w:val="24"/>
          <w:szCs w:val="24"/>
        </w:rPr>
        <w:t>*for applications whose substantive examination began after 27.3.2017, the shorter periods apply.</w:t>
      </w:r>
    </w:p>
    <w:p w:rsidR="0085510F" w:rsidRDefault="0085510F" w:rsidP="0085510F">
      <w:pPr>
        <w:autoSpaceDE w:val="0"/>
        <w:autoSpaceDN w:val="0"/>
        <w:adjustRightInd w:val="0"/>
        <w:spacing w:after="0" w:line="240" w:lineRule="auto"/>
        <w:rPr>
          <w:rFonts w:asciiTheme="majorBidi" w:hAnsiTheme="majorBidi" w:cstheme="majorBidi"/>
          <w:sz w:val="24"/>
          <w:szCs w:val="24"/>
        </w:rPr>
      </w:pPr>
    </w:p>
    <w:sectPr w:rsidR="008551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BB6"/>
    <w:multiLevelType w:val="hybridMultilevel"/>
    <w:tmpl w:val="65F25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66"/>
    <w:rsid w:val="00007672"/>
    <w:rsid w:val="00102F33"/>
    <w:rsid w:val="004F5464"/>
    <w:rsid w:val="005B65DB"/>
    <w:rsid w:val="00670B72"/>
    <w:rsid w:val="007E68CE"/>
    <w:rsid w:val="0085510F"/>
    <w:rsid w:val="00B27E09"/>
    <w:rsid w:val="00D336B7"/>
    <w:rsid w:val="00D706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666"/>
    <w:rPr>
      <w:color w:val="0563C1" w:themeColor="hyperlink"/>
      <w:u w:val="single"/>
    </w:rPr>
  </w:style>
  <w:style w:type="character" w:customStyle="1" w:styleId="Mention">
    <w:name w:val="Mention"/>
    <w:basedOn w:val="DefaultParagraphFont"/>
    <w:uiPriority w:val="99"/>
    <w:semiHidden/>
    <w:unhideWhenUsed/>
    <w:rsid w:val="00D70666"/>
    <w:rPr>
      <w:color w:val="2B579A"/>
      <w:shd w:val="clear" w:color="auto" w:fill="E6E6E6"/>
    </w:rPr>
  </w:style>
  <w:style w:type="character" w:styleId="Strong">
    <w:name w:val="Strong"/>
    <w:basedOn w:val="DefaultParagraphFont"/>
    <w:uiPriority w:val="22"/>
    <w:qFormat/>
    <w:rsid w:val="00102F33"/>
    <w:rPr>
      <w:b/>
      <w:bCs/>
    </w:rPr>
  </w:style>
  <w:style w:type="character" w:customStyle="1" w:styleId="apple-converted-space">
    <w:name w:val="apple-converted-space"/>
    <w:basedOn w:val="DefaultParagraphFont"/>
    <w:rsid w:val="00102F33"/>
  </w:style>
  <w:style w:type="paragraph" w:styleId="ListParagraph">
    <w:name w:val="List Paragraph"/>
    <w:basedOn w:val="Normal"/>
    <w:uiPriority w:val="34"/>
    <w:qFormat/>
    <w:rsid w:val="00B27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666"/>
    <w:rPr>
      <w:color w:val="0563C1" w:themeColor="hyperlink"/>
      <w:u w:val="single"/>
    </w:rPr>
  </w:style>
  <w:style w:type="character" w:customStyle="1" w:styleId="Mention">
    <w:name w:val="Mention"/>
    <w:basedOn w:val="DefaultParagraphFont"/>
    <w:uiPriority w:val="99"/>
    <w:semiHidden/>
    <w:unhideWhenUsed/>
    <w:rsid w:val="00D70666"/>
    <w:rPr>
      <w:color w:val="2B579A"/>
      <w:shd w:val="clear" w:color="auto" w:fill="E6E6E6"/>
    </w:rPr>
  </w:style>
  <w:style w:type="character" w:styleId="Strong">
    <w:name w:val="Strong"/>
    <w:basedOn w:val="DefaultParagraphFont"/>
    <w:uiPriority w:val="22"/>
    <w:qFormat/>
    <w:rsid w:val="00102F33"/>
    <w:rPr>
      <w:b/>
      <w:bCs/>
    </w:rPr>
  </w:style>
  <w:style w:type="character" w:customStyle="1" w:styleId="apple-converted-space">
    <w:name w:val="apple-converted-space"/>
    <w:basedOn w:val="DefaultParagraphFont"/>
    <w:rsid w:val="00102F33"/>
  </w:style>
  <w:style w:type="paragraph" w:styleId="ListParagraph">
    <w:name w:val="List Paragraph"/>
    <w:basedOn w:val="Normal"/>
    <w:uiPriority w:val="34"/>
    <w:qFormat/>
    <w:rsid w:val="00B27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mbdavis.com/jurisdiction-israel/from-filing-to-maintena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Irving Wiesen</cp:lastModifiedBy>
  <cp:revision>4</cp:revision>
  <dcterms:created xsi:type="dcterms:W3CDTF">2017-04-19T12:10:00Z</dcterms:created>
  <dcterms:modified xsi:type="dcterms:W3CDTF">2017-04-19T12:31:00Z</dcterms:modified>
</cp:coreProperties>
</file>