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CCB71" w14:textId="77777777" w:rsidR="00FA1B49" w:rsidRDefault="00FA1B49" w:rsidP="00FA1B49">
      <w:pPr>
        <w:rPr>
          <w:rFonts w:cs="David"/>
          <w:b/>
          <w:bCs/>
          <w:sz w:val="24"/>
          <w:szCs w:val="24"/>
          <w:u w:val="single"/>
          <w:rtl/>
        </w:rPr>
      </w:pPr>
      <w:bookmarkStart w:id="0" w:name="_GoBack"/>
      <w:bookmarkEnd w:id="0"/>
      <w:r w:rsidRPr="00BA6696">
        <w:rPr>
          <w:rFonts w:cs="David" w:hint="cs"/>
          <w:b/>
          <w:bCs/>
          <w:sz w:val="24"/>
          <w:szCs w:val="24"/>
          <w:u w:val="single"/>
          <w:rtl/>
        </w:rPr>
        <w:t xml:space="preserve">פרק ראשון </w:t>
      </w:r>
      <w:r w:rsidRPr="00BA6696">
        <w:rPr>
          <w:rFonts w:cs="David"/>
          <w:b/>
          <w:bCs/>
          <w:sz w:val="24"/>
          <w:szCs w:val="24"/>
          <w:u w:val="single"/>
          <w:rtl/>
        </w:rPr>
        <w:t>–</w:t>
      </w:r>
      <w:r w:rsidRPr="00BA6696">
        <w:rPr>
          <w:rFonts w:cs="David" w:hint="cs"/>
          <w:b/>
          <w:bCs/>
          <w:sz w:val="24"/>
          <w:szCs w:val="24"/>
          <w:u w:val="single"/>
          <w:rtl/>
        </w:rPr>
        <w:t xml:space="preserve"> </w:t>
      </w:r>
      <w:r>
        <w:rPr>
          <w:rFonts w:cs="David" w:hint="cs"/>
          <w:b/>
          <w:bCs/>
          <w:sz w:val="24"/>
          <w:szCs w:val="24"/>
          <w:u w:val="single"/>
          <w:rtl/>
        </w:rPr>
        <w:t xml:space="preserve">רקע </w:t>
      </w:r>
    </w:p>
    <w:p w14:paraId="748CCB72" w14:textId="77777777" w:rsidR="00FA1B49" w:rsidRPr="000E52D1" w:rsidRDefault="00FA1B49" w:rsidP="00FA1B49">
      <w:pPr>
        <w:pStyle w:val="ListParagraph"/>
        <w:numPr>
          <w:ilvl w:val="0"/>
          <w:numId w:val="1"/>
        </w:numPr>
        <w:rPr>
          <w:rFonts w:cs="David"/>
          <w:b/>
          <w:bCs/>
          <w:sz w:val="24"/>
          <w:szCs w:val="24"/>
          <w:u w:val="single"/>
          <w:rtl/>
        </w:rPr>
      </w:pPr>
      <w:r w:rsidRPr="000E52D1">
        <w:rPr>
          <w:rFonts w:cs="David" w:hint="cs"/>
          <w:b/>
          <w:bCs/>
          <w:sz w:val="24"/>
          <w:szCs w:val="24"/>
          <w:u w:val="single"/>
          <w:rtl/>
        </w:rPr>
        <w:t xml:space="preserve">התפתחות משטר זכויות האדם </w:t>
      </w:r>
    </w:p>
    <w:p w14:paraId="748CCB73" w14:textId="3DB2B33E" w:rsidR="00DA450B" w:rsidRDefault="00FA1B49" w:rsidP="00040382">
      <w:pPr>
        <w:spacing w:after="0" w:line="480" w:lineRule="auto"/>
        <w:jc w:val="both"/>
        <w:rPr>
          <w:rFonts w:ascii="David" w:hAnsi="David" w:cs="David"/>
          <w:sz w:val="24"/>
          <w:szCs w:val="24"/>
        </w:rPr>
      </w:pPr>
      <w:r>
        <w:rPr>
          <w:rFonts w:ascii="David" w:hAnsi="David" w:cs="David" w:hint="cs"/>
          <w:sz w:val="24"/>
          <w:szCs w:val="24"/>
          <w:rtl/>
        </w:rPr>
        <w:t>שורשיה של תנועת זכויות האדם המודרנית מצויים בתנועת הנאורות שהתפתחה באירופה במאות ה-17-18 ובכתיבה הפילוסופית של אותה התקופה. בדומה לתנועת זכויות האדם המודרנית, כתיבתם של פילוסופים כ</w:t>
      </w:r>
      <w:r w:rsidR="00040382">
        <w:rPr>
          <w:rFonts w:ascii="David" w:hAnsi="David" w:cs="David" w:hint="cs"/>
          <w:sz w:val="24"/>
          <w:szCs w:val="24"/>
          <w:rtl/>
        </w:rPr>
        <w:t>דוגמת</w:t>
      </w:r>
      <w:r>
        <w:rPr>
          <w:rFonts w:ascii="David" w:hAnsi="David" w:cs="David" w:hint="cs"/>
          <w:sz w:val="24"/>
          <w:szCs w:val="24"/>
          <w:rtl/>
        </w:rPr>
        <w:t xml:space="preserve"> קאנט</w:t>
      </w:r>
      <w:r w:rsidR="00040382">
        <w:rPr>
          <w:rFonts w:ascii="David" w:hAnsi="David" w:cs="David" w:hint="cs"/>
          <w:sz w:val="24"/>
          <w:szCs w:val="24"/>
          <w:rtl/>
        </w:rPr>
        <w:t xml:space="preserve"> </w:t>
      </w:r>
      <w:r w:rsidR="00040382" w:rsidRPr="00040382">
        <w:rPr>
          <w:rFonts w:cstheme="minorHAnsi"/>
          <w:sz w:val="24"/>
          <w:szCs w:val="24"/>
          <w:rtl/>
        </w:rPr>
        <w:t>(</w:t>
      </w:r>
      <w:r w:rsidR="00040382" w:rsidRPr="00040382">
        <w:rPr>
          <w:rFonts w:cstheme="minorHAnsi"/>
          <w:sz w:val="24"/>
          <w:szCs w:val="24"/>
        </w:rPr>
        <w:t>Kant</w:t>
      </w:r>
      <w:r w:rsidR="00040382" w:rsidRPr="00040382">
        <w:rPr>
          <w:rFonts w:cstheme="minorHAnsi"/>
          <w:sz w:val="24"/>
          <w:szCs w:val="24"/>
          <w:rtl/>
        </w:rPr>
        <w:t>)</w:t>
      </w:r>
      <w:r>
        <w:rPr>
          <w:rFonts w:ascii="David" w:hAnsi="David" w:cs="David" w:hint="cs"/>
          <w:sz w:val="24"/>
          <w:szCs w:val="24"/>
          <w:rtl/>
        </w:rPr>
        <w:t>, לוק</w:t>
      </w:r>
      <w:r w:rsidR="00040382">
        <w:rPr>
          <w:rFonts w:ascii="David" w:hAnsi="David" w:cs="David" w:hint="cs"/>
          <w:sz w:val="24"/>
          <w:szCs w:val="24"/>
          <w:rtl/>
        </w:rPr>
        <w:t xml:space="preserve"> </w:t>
      </w:r>
      <w:r w:rsidR="00040382" w:rsidRPr="00040382">
        <w:rPr>
          <w:rFonts w:cstheme="minorHAnsi" w:hint="cs"/>
          <w:sz w:val="24"/>
          <w:szCs w:val="24"/>
          <w:rtl/>
        </w:rPr>
        <w:t>(</w:t>
      </w:r>
      <w:r w:rsidR="00040382" w:rsidRPr="00040382">
        <w:rPr>
          <w:rFonts w:cstheme="minorHAnsi"/>
          <w:sz w:val="24"/>
          <w:szCs w:val="24"/>
        </w:rPr>
        <w:t>Locke</w:t>
      </w:r>
      <w:r w:rsidR="00040382" w:rsidRPr="00040382">
        <w:rPr>
          <w:rFonts w:cstheme="minorHAnsi" w:hint="cs"/>
          <w:sz w:val="24"/>
          <w:szCs w:val="24"/>
          <w:rtl/>
        </w:rPr>
        <w:t>)</w:t>
      </w:r>
      <w:r>
        <w:rPr>
          <w:rFonts w:ascii="David" w:hAnsi="David" w:cs="David" w:hint="cs"/>
          <w:sz w:val="24"/>
          <w:szCs w:val="24"/>
          <w:rtl/>
        </w:rPr>
        <w:t>, הובס</w:t>
      </w:r>
      <w:r w:rsidR="00040382">
        <w:rPr>
          <w:rFonts w:ascii="David" w:hAnsi="David" w:cs="David" w:hint="cs"/>
          <w:sz w:val="24"/>
          <w:szCs w:val="24"/>
          <w:rtl/>
        </w:rPr>
        <w:t xml:space="preserve"> </w:t>
      </w:r>
      <w:r w:rsidR="00040382" w:rsidRPr="00040382">
        <w:rPr>
          <w:rFonts w:cstheme="minorHAnsi" w:hint="cs"/>
          <w:sz w:val="24"/>
          <w:szCs w:val="24"/>
          <w:rtl/>
        </w:rPr>
        <w:t>(</w:t>
      </w:r>
      <w:r w:rsidR="00040382" w:rsidRPr="00040382">
        <w:rPr>
          <w:rFonts w:cstheme="minorHAnsi"/>
          <w:sz w:val="24"/>
          <w:szCs w:val="24"/>
        </w:rPr>
        <w:t>Hobbes</w:t>
      </w:r>
      <w:r w:rsidR="00040382" w:rsidRPr="00040382">
        <w:rPr>
          <w:rFonts w:cstheme="minorHAnsi" w:hint="cs"/>
          <w:sz w:val="24"/>
          <w:szCs w:val="24"/>
          <w:rtl/>
        </w:rPr>
        <w:t>)</w:t>
      </w:r>
      <w:r>
        <w:rPr>
          <w:rFonts w:ascii="David" w:hAnsi="David" w:cs="David" w:hint="cs"/>
          <w:sz w:val="24"/>
          <w:szCs w:val="24"/>
          <w:rtl/>
        </w:rPr>
        <w:t xml:space="preserve"> ורוסו </w:t>
      </w:r>
      <w:r w:rsidR="00040382" w:rsidRPr="00040382">
        <w:rPr>
          <w:rFonts w:cstheme="minorHAnsi" w:hint="cs"/>
          <w:sz w:val="24"/>
          <w:szCs w:val="24"/>
          <w:rtl/>
        </w:rPr>
        <w:t>(</w:t>
      </w:r>
      <w:r w:rsidR="00040382" w:rsidRPr="00040382">
        <w:rPr>
          <w:rFonts w:cstheme="minorHAnsi"/>
          <w:sz w:val="24"/>
          <w:szCs w:val="24"/>
        </w:rPr>
        <w:t>Rousseau</w:t>
      </w:r>
      <w:r w:rsidR="00040382" w:rsidRPr="00040382">
        <w:rPr>
          <w:rFonts w:cstheme="minorHAnsi" w:hint="cs"/>
          <w:sz w:val="24"/>
          <w:szCs w:val="24"/>
          <w:rtl/>
        </w:rPr>
        <w:t xml:space="preserve">) </w:t>
      </w:r>
      <w:r>
        <w:rPr>
          <w:rFonts w:ascii="David" w:hAnsi="David" w:cs="David" w:hint="cs"/>
          <w:sz w:val="24"/>
          <w:szCs w:val="24"/>
          <w:rtl/>
        </w:rPr>
        <w:t>הציבה את האדם במרכז, קידשה את חייו ואת כבודו וראתה במדינה מסגרת חברתית חיונית לשמירה על ה"זכויות הטבעיות" של הפרט</w:t>
      </w:r>
      <w:r w:rsidR="00DA450B">
        <w:rPr>
          <w:rStyle w:val="FootnoteReference"/>
          <w:rFonts w:ascii="David" w:hAnsi="David" w:cs="David"/>
          <w:sz w:val="24"/>
          <w:szCs w:val="24"/>
          <w:rtl/>
        </w:rPr>
        <w:footnoteReference w:id="1"/>
      </w:r>
      <w:r w:rsidR="00DA450B">
        <w:rPr>
          <w:rFonts w:ascii="David" w:hAnsi="David" w:cs="David" w:hint="cs"/>
          <w:sz w:val="24"/>
          <w:szCs w:val="24"/>
          <w:rtl/>
        </w:rPr>
        <w:t>. יש להבין את הרעיון של "זכויות טבעיות" על רקע האסכולה של האמנה החברתית במחשבה הפוליטית, אשר עסקה בנושא סמכותה של המסגרת המדינית על אזרחיה ושאלת תוקפו של החוק והחובה לציית לו</w:t>
      </w:r>
      <w:r w:rsidR="00DA450B">
        <w:rPr>
          <w:rStyle w:val="FootnoteReference"/>
          <w:rFonts w:ascii="David" w:hAnsi="David" w:cs="David"/>
          <w:sz w:val="24"/>
          <w:szCs w:val="24"/>
          <w:rtl/>
        </w:rPr>
        <w:footnoteReference w:id="2"/>
      </w:r>
      <w:r w:rsidR="00DA450B">
        <w:rPr>
          <w:rFonts w:ascii="David" w:hAnsi="David" w:cs="David" w:hint="cs"/>
          <w:sz w:val="24"/>
          <w:szCs w:val="24"/>
          <w:rtl/>
        </w:rPr>
        <w:t xml:space="preserve">. </w:t>
      </w:r>
    </w:p>
    <w:p w14:paraId="748CCB74" w14:textId="77777777" w:rsidR="00DA450B" w:rsidRPr="00BB5FF9" w:rsidRDefault="00DA450B" w:rsidP="00837798">
      <w:pPr>
        <w:spacing w:after="0" w:line="480" w:lineRule="auto"/>
        <w:jc w:val="both"/>
        <w:rPr>
          <w:rFonts w:ascii="David" w:hAnsi="David" w:cs="David"/>
          <w:sz w:val="24"/>
          <w:szCs w:val="24"/>
          <w:rtl/>
        </w:rPr>
      </w:pPr>
      <w:r>
        <w:rPr>
          <w:rFonts w:ascii="David" w:hAnsi="David" w:cs="David" w:hint="cs"/>
          <w:sz w:val="24"/>
          <w:szCs w:val="24"/>
          <w:rtl/>
        </w:rPr>
        <w:t xml:space="preserve">ההוגים השונים של זרם מחשבה זה נתנו תשובות שונות לשאלה מהי המוטיבציה האנושית להיכנס להסכם החברתי על פני הישארות ב"מצב הטבע", שהוא מצב טרום מדינתי. תשובתו של הובס </w:t>
      </w:r>
      <w:r>
        <w:rPr>
          <w:rFonts w:cs="David" w:hint="cs"/>
          <w:sz w:val="24"/>
          <w:szCs w:val="24"/>
          <w:rtl/>
        </w:rPr>
        <w:t xml:space="preserve"> לשאלה בדבר מקור הסמכות המדינית מדגישה את הבעייתיות בהישארות ב"מצב הטבע" </w:t>
      </w:r>
      <w:r>
        <w:rPr>
          <w:rFonts w:cs="David"/>
          <w:sz w:val="24"/>
          <w:szCs w:val="24"/>
          <w:rtl/>
        </w:rPr>
        <w:t>–</w:t>
      </w:r>
      <w:r>
        <w:rPr>
          <w:rFonts w:cs="David" w:hint="cs"/>
          <w:sz w:val="24"/>
          <w:szCs w:val="24"/>
          <w:rtl/>
        </w:rPr>
        <w:t xml:space="preserve"> מצב חסר חוקים שאין בו כל נורמה תקפה</w:t>
      </w:r>
      <w:r>
        <w:rPr>
          <w:rStyle w:val="FootnoteReference"/>
          <w:rFonts w:cs="David"/>
          <w:sz w:val="24"/>
          <w:szCs w:val="24"/>
          <w:rtl/>
        </w:rPr>
        <w:footnoteReference w:id="3"/>
      </w:r>
      <w:r>
        <w:rPr>
          <w:rFonts w:cs="David" w:hint="cs"/>
          <w:sz w:val="24"/>
          <w:szCs w:val="24"/>
          <w:rtl/>
        </w:rPr>
        <w:t>. לוק, לעומת זאת, מצייר תמונה אופטימית ושלווה יותר של "מצב הטבע", שלטענתו, כבר בו יש לאדם זכויות, ומכאן שמן "זכויות טבעיות". אלא, שבהיעדר מסגרת מדינית שתאכוף אותן, כדאי לבני האדם, להקים לעצמם ממשל שיעשה זאת עבורם ויבטיח הנאה מלאה יותר מהזכויות, באמצעות הגנה יותר יעילה עליהן. לוק מונה שלוש זכויות טבעיות: הזכות לחיים, הזכות לחירות והזכות לקניין. ברבות הימים הוחלף המושג "זכויות טבעיות" במושג "זכויות אדם"</w:t>
      </w:r>
      <w:r>
        <w:rPr>
          <w:rStyle w:val="FootnoteReference"/>
          <w:rFonts w:cs="David"/>
          <w:sz w:val="24"/>
          <w:szCs w:val="24"/>
          <w:rtl/>
        </w:rPr>
        <w:footnoteReference w:id="4"/>
      </w:r>
      <w:r>
        <w:rPr>
          <w:rFonts w:cs="David" w:hint="cs"/>
          <w:sz w:val="24"/>
          <w:szCs w:val="24"/>
          <w:rtl/>
        </w:rPr>
        <w:t>. הטיעון של לוק הוא שזכויות האדם קודמות למשפט או נמצאות בבסיסו, ואינן מוענקות על ידו. הזכויות הללו מגיעות לאדם בשל היותו אדם, ללא קשר למקום בו נמצא או למשטר תחתו חי. כלומר, לפי משנתו של לוק לא ניתן לשלול מהותית את זכויות האדם</w:t>
      </w:r>
      <w:r>
        <w:rPr>
          <w:rStyle w:val="FootnoteReference"/>
          <w:rFonts w:cs="David"/>
          <w:sz w:val="24"/>
          <w:szCs w:val="24"/>
          <w:rtl/>
        </w:rPr>
        <w:footnoteReference w:id="5"/>
      </w:r>
      <w:r>
        <w:rPr>
          <w:rFonts w:cs="David" w:hint="cs"/>
          <w:sz w:val="24"/>
          <w:szCs w:val="24"/>
          <w:rtl/>
        </w:rPr>
        <w:t xml:space="preserve">. </w:t>
      </w:r>
    </w:p>
    <w:p w14:paraId="748CCB75" w14:textId="77777777" w:rsidR="00DA450B" w:rsidRDefault="00DA450B" w:rsidP="00680F2D">
      <w:pPr>
        <w:spacing w:after="0" w:line="480" w:lineRule="auto"/>
        <w:jc w:val="both"/>
        <w:rPr>
          <w:rFonts w:ascii="David" w:hAnsi="David" w:cs="David"/>
          <w:sz w:val="24"/>
          <w:szCs w:val="24"/>
          <w:rtl/>
        </w:rPr>
      </w:pPr>
      <w:r>
        <w:rPr>
          <w:rFonts w:ascii="David" w:hAnsi="David" w:cs="David" w:hint="cs"/>
          <w:sz w:val="24"/>
          <w:szCs w:val="24"/>
          <w:rtl/>
        </w:rPr>
        <w:t xml:space="preserve">מאוחר יותר בשלהי המאה ה-19 ובמהלך המאה ה-20, התפתחה בכמה מדינות הגנה משפטית על קבוצה שנייה של זכויות: "הזכויות הכלכליות-חברתיות", אשר עמן נמנות הזכות לחינוך, הזכות לבריאות, הזכות לרמת חיים נאותה </w:t>
      </w:r>
      <w:proofErr w:type="spellStart"/>
      <w:r>
        <w:rPr>
          <w:rFonts w:ascii="David" w:hAnsi="David" w:cs="David" w:hint="cs"/>
          <w:sz w:val="24"/>
          <w:szCs w:val="24"/>
          <w:rtl/>
        </w:rPr>
        <w:t>וכו</w:t>
      </w:r>
      <w:proofErr w:type="spellEnd"/>
      <w:r>
        <w:rPr>
          <w:rFonts w:ascii="David" w:hAnsi="David" w:cs="David" w:hint="cs"/>
          <w:sz w:val="24"/>
          <w:szCs w:val="24"/>
          <w:rtl/>
        </w:rPr>
        <w:t xml:space="preserve">'. זכויות אלו, ששאבו את כוחן הפוליטי מרעיונות סוציאליסטיים ומעלייתה של מדינת הרווחה המודרנית, כללו בניגוד לזכויות מהדור הראשון מאפיינים פוזיטיביים (חובות "עשה"), והטילו על המדינה שורה ארוכה של חובות אקטיביות, אשר </w:t>
      </w:r>
      <w:r>
        <w:rPr>
          <w:rFonts w:ascii="David" w:hAnsi="David" w:cs="David" w:hint="cs"/>
          <w:sz w:val="24"/>
          <w:szCs w:val="24"/>
          <w:rtl/>
        </w:rPr>
        <w:lastRenderedPageBreak/>
        <w:t>הצריכו מימון ומשאבים</w:t>
      </w:r>
      <w:r>
        <w:rPr>
          <w:rStyle w:val="FootnoteReference"/>
          <w:rFonts w:ascii="David" w:hAnsi="David" w:cs="David"/>
          <w:sz w:val="24"/>
          <w:szCs w:val="24"/>
          <w:rtl/>
        </w:rPr>
        <w:footnoteReference w:id="6"/>
      </w:r>
      <w:r>
        <w:rPr>
          <w:rFonts w:ascii="David" w:hAnsi="David" w:cs="David" w:hint="cs"/>
          <w:sz w:val="24"/>
          <w:szCs w:val="24"/>
          <w:rtl/>
        </w:rPr>
        <w:t>. כיום, מדברים על קבוצה שלישית של זכויות הנפרדת משתי קבוצות  האדם המסורתיות, הזכויות בקטגוריה זו כוללות את הזכות להגדרה עצמית וכן שורה של ביטויים נורמטיביים שהגדרתם כ'זכויות אדם' שנויה במחלוקת כדוגמת הזכות לפיתוח, הזכות לשלום והזכות לסביבה בריאה</w:t>
      </w:r>
      <w:r>
        <w:rPr>
          <w:rStyle w:val="FootnoteReference"/>
          <w:rFonts w:ascii="David" w:hAnsi="David" w:cs="David"/>
          <w:sz w:val="24"/>
          <w:szCs w:val="24"/>
          <w:rtl/>
        </w:rPr>
        <w:footnoteReference w:id="7"/>
      </w:r>
      <w:r>
        <w:rPr>
          <w:rFonts w:ascii="David" w:hAnsi="David" w:cs="David" w:hint="cs"/>
          <w:sz w:val="24"/>
          <w:szCs w:val="24"/>
          <w:rtl/>
        </w:rPr>
        <w:t xml:space="preserve">. </w:t>
      </w:r>
    </w:p>
    <w:p w14:paraId="748CCB76" w14:textId="77777777" w:rsidR="00DA450B" w:rsidRDefault="00DA450B" w:rsidP="00215136">
      <w:pPr>
        <w:spacing w:after="0" w:line="480" w:lineRule="auto"/>
        <w:jc w:val="both"/>
        <w:rPr>
          <w:rFonts w:ascii="David" w:hAnsi="David" w:cs="David"/>
          <w:sz w:val="24"/>
          <w:szCs w:val="24"/>
          <w:rtl/>
        </w:rPr>
      </w:pPr>
      <w:r w:rsidRPr="00992DF7">
        <w:rPr>
          <w:rFonts w:ascii="David" w:hAnsi="David" w:cs="David" w:hint="cs"/>
          <w:sz w:val="24"/>
          <w:szCs w:val="24"/>
          <w:rtl/>
        </w:rPr>
        <w:t>עד</w:t>
      </w:r>
      <w:r>
        <w:rPr>
          <w:rFonts w:ascii="David" w:hAnsi="David" w:cs="David" w:hint="cs"/>
          <w:sz w:val="24"/>
          <w:szCs w:val="24"/>
          <w:rtl/>
        </w:rPr>
        <w:t xml:space="preserve"> למלחמת העולם השנייה ו</w:t>
      </w:r>
      <w:r w:rsidRPr="00992DF7">
        <w:rPr>
          <w:rFonts w:ascii="David" w:hAnsi="David" w:cs="David" w:hint="cs"/>
          <w:sz w:val="24"/>
          <w:szCs w:val="24"/>
          <w:rtl/>
        </w:rPr>
        <w:t>הקמתו של ארגון הא</w:t>
      </w:r>
      <w:r>
        <w:rPr>
          <w:rFonts w:ascii="David" w:hAnsi="David" w:cs="David" w:hint="cs"/>
          <w:sz w:val="24"/>
          <w:szCs w:val="24"/>
          <w:rtl/>
        </w:rPr>
        <w:t xml:space="preserve">ו"ם בשנת 1945 בעקבותיה, </w:t>
      </w:r>
      <w:r w:rsidRPr="00992DF7">
        <w:rPr>
          <w:rFonts w:ascii="David" w:hAnsi="David" w:cs="David" w:hint="cs"/>
          <w:sz w:val="24"/>
          <w:szCs w:val="24"/>
          <w:rtl/>
        </w:rPr>
        <w:t>התפיסה הרווחת הייתה כי המשפט הבינלאומי מהווה מסגרת שנועדה להסדיר את יחסי החוץ של המדינות</w:t>
      </w:r>
      <w:r>
        <w:rPr>
          <w:rFonts w:ascii="David" w:hAnsi="David" w:cs="David" w:hint="cs"/>
          <w:sz w:val="24"/>
          <w:szCs w:val="24"/>
          <w:rtl/>
        </w:rPr>
        <w:t xml:space="preserve">, וכי </w:t>
      </w:r>
      <w:r w:rsidRPr="00992DF7">
        <w:rPr>
          <w:rFonts w:ascii="David" w:hAnsi="David" w:cs="David" w:hint="cs"/>
          <w:sz w:val="24"/>
          <w:szCs w:val="24"/>
          <w:rtl/>
        </w:rPr>
        <w:t xml:space="preserve">אירועים שהתרחשו בתוך שטחן </w:t>
      </w:r>
      <w:r>
        <w:rPr>
          <w:rFonts w:ascii="David" w:hAnsi="David" w:cs="David" w:hint="cs"/>
          <w:sz w:val="24"/>
          <w:szCs w:val="24"/>
          <w:rtl/>
        </w:rPr>
        <w:t xml:space="preserve">נחשבים </w:t>
      </w:r>
      <w:r w:rsidRPr="00992DF7">
        <w:rPr>
          <w:rFonts w:ascii="David" w:hAnsi="David" w:cs="David" w:hint="cs"/>
          <w:sz w:val="24"/>
          <w:szCs w:val="24"/>
          <w:rtl/>
        </w:rPr>
        <w:t>כעניין פנימי ה</w:t>
      </w:r>
      <w:r>
        <w:rPr>
          <w:rFonts w:ascii="David" w:hAnsi="David" w:cs="David" w:hint="cs"/>
          <w:sz w:val="24"/>
          <w:szCs w:val="24"/>
          <w:rtl/>
        </w:rPr>
        <w:t>נתון</w:t>
      </w:r>
      <w:r w:rsidRPr="00992DF7">
        <w:rPr>
          <w:rFonts w:ascii="David" w:hAnsi="David" w:cs="David" w:hint="cs"/>
          <w:sz w:val="24"/>
          <w:szCs w:val="24"/>
          <w:rtl/>
        </w:rPr>
        <w:t xml:space="preserve"> באופן בלעדי לריבונותן</w:t>
      </w:r>
      <w:r w:rsidRPr="00992DF7">
        <w:rPr>
          <w:rStyle w:val="FootnoteReference"/>
          <w:rFonts w:ascii="David" w:hAnsi="David" w:cs="David"/>
          <w:sz w:val="24"/>
          <w:szCs w:val="24"/>
          <w:rtl/>
        </w:rPr>
        <w:footnoteReference w:id="8"/>
      </w:r>
      <w:r w:rsidRPr="00992DF7">
        <w:rPr>
          <w:rFonts w:ascii="David" w:hAnsi="David" w:cs="David" w:hint="cs"/>
          <w:sz w:val="24"/>
          <w:szCs w:val="24"/>
          <w:rtl/>
        </w:rPr>
        <w:t>.</w:t>
      </w:r>
      <w:r>
        <w:rPr>
          <w:rFonts w:ascii="David" w:hAnsi="David" w:cs="David" w:hint="cs"/>
          <w:sz w:val="24"/>
          <w:szCs w:val="24"/>
          <w:rtl/>
        </w:rPr>
        <w:t xml:space="preserve"> 'זכויות האדם' ושאלת הכללתן בחוקה או בחוק המדינתי הוסדרו על ידי הדין המדינתי </w:t>
      </w:r>
      <w:r w:rsidRPr="00992DF7">
        <w:rPr>
          <w:rFonts w:ascii="David" w:hAnsi="David" w:cs="David" w:hint="cs"/>
          <w:sz w:val="24"/>
          <w:szCs w:val="24"/>
          <w:rtl/>
        </w:rPr>
        <w:t xml:space="preserve">ולא </w:t>
      </w:r>
      <w:r>
        <w:rPr>
          <w:rFonts w:ascii="David" w:hAnsi="David" w:cs="David" w:hint="cs"/>
          <w:sz w:val="24"/>
          <w:szCs w:val="24"/>
          <w:rtl/>
        </w:rPr>
        <w:t xml:space="preserve">נתפסו כשאלות שצריכות להיות מוסדרות או מושפעות </w:t>
      </w:r>
      <w:r w:rsidRPr="00992DF7">
        <w:rPr>
          <w:rFonts w:ascii="David" w:hAnsi="David" w:cs="David" w:hint="cs"/>
          <w:sz w:val="24"/>
          <w:szCs w:val="24"/>
          <w:rtl/>
        </w:rPr>
        <w:t>על ידי הדין הבינלאומי</w:t>
      </w:r>
      <w:r>
        <w:rPr>
          <w:rFonts w:ascii="David" w:hAnsi="David" w:cs="David" w:hint="cs"/>
          <w:sz w:val="24"/>
          <w:szCs w:val="24"/>
          <w:rtl/>
        </w:rPr>
        <w:t xml:space="preserve"> או נורמות בינלאומיות</w:t>
      </w:r>
      <w:r w:rsidRPr="00992DF7">
        <w:rPr>
          <w:rStyle w:val="FootnoteReference"/>
          <w:rFonts w:ascii="David" w:hAnsi="David" w:cs="David"/>
          <w:sz w:val="24"/>
          <w:szCs w:val="24"/>
          <w:rtl/>
        </w:rPr>
        <w:footnoteReference w:id="9"/>
      </w:r>
      <w:r w:rsidRPr="00992DF7">
        <w:rPr>
          <w:rFonts w:ascii="David" w:hAnsi="David" w:cs="David" w:hint="cs"/>
          <w:sz w:val="24"/>
          <w:szCs w:val="24"/>
          <w:rtl/>
        </w:rPr>
        <w:t>.</w:t>
      </w:r>
      <w:r>
        <w:rPr>
          <w:rFonts w:ascii="David" w:hAnsi="David" w:cs="David" w:hint="cs"/>
          <w:sz w:val="24"/>
          <w:szCs w:val="24"/>
          <w:rtl/>
        </w:rPr>
        <w:t xml:space="preserve"> היכולת להפריד בין הדין המדינתי החל לדין הבינלאומיות הפכה למורכבת יותר ברבות בשנים מכמה סיבות, כשהבולטות שביניהן הן: התפתחות מוסד ההגנה הדיפלומטית אשר אפשר למדינות להגן על באמצעים דיפלומטיים ומשפטיים על אזרחיהם המצויים בשטחן של מדינות זרות, מפני פגיעה או יחס בלתי הולם מצד המדינה "המארחת". על אף שהרציונל העיקרי שבבסיס ההגנה הדיפלומטית היה הרצון להגן על האינטרסים של המדינות ולא של הפרטים (פגיעה בפרט נתפסה כשקולה לפגיעה במדינת האזרחות שלו), היה למוסד משפטי זה ערך תקדימי רב, מכיוון שכך נוצרה תשתית משפטית ותיאורטית להרחבה מאוחרת יותר של גדר ההגנה כלפי פרטים אחרים (כל בני האדם המצויים שבשטח המדינה)</w:t>
      </w:r>
      <w:r>
        <w:rPr>
          <w:rStyle w:val="FootnoteReference"/>
          <w:rFonts w:ascii="David" w:hAnsi="David" w:cs="David"/>
          <w:sz w:val="24"/>
          <w:szCs w:val="24"/>
          <w:rtl/>
        </w:rPr>
        <w:footnoteReference w:id="10"/>
      </w:r>
      <w:r>
        <w:rPr>
          <w:rFonts w:ascii="David" w:hAnsi="David" w:cs="David" w:hint="cs"/>
          <w:sz w:val="24"/>
          <w:szCs w:val="24"/>
          <w:rtl/>
        </w:rPr>
        <w:t>. התפתחות נוספת שתרמה להכרה הבינלאומית בזכויות האדם הינה התפתחות המשפט הבינלאומי ההומניטרי מן המחצית השנייה של המאה ה-19 ואילך, אשר יצר בהדרגה קודקס של זכויות בסיסיות המוענקות ללוחמים ולמי שאינם לוחמים בזמן מלחמות וסכסוכים חמושים</w:t>
      </w:r>
      <w:r>
        <w:rPr>
          <w:rStyle w:val="FootnoteReference"/>
          <w:rFonts w:ascii="David" w:hAnsi="David" w:cs="David"/>
          <w:sz w:val="24"/>
          <w:szCs w:val="24"/>
          <w:rtl/>
        </w:rPr>
        <w:footnoteReference w:id="11"/>
      </w:r>
      <w:r>
        <w:rPr>
          <w:rFonts w:ascii="David" w:hAnsi="David" w:cs="David" w:hint="cs"/>
          <w:sz w:val="24"/>
          <w:szCs w:val="24"/>
          <w:rtl/>
        </w:rPr>
        <w:t xml:space="preserve">. </w:t>
      </w:r>
    </w:p>
    <w:p w14:paraId="748CCB77" w14:textId="77777777" w:rsidR="00DA450B" w:rsidRDefault="00DA450B" w:rsidP="00FD1FB6">
      <w:pPr>
        <w:spacing w:after="0" w:line="480" w:lineRule="auto"/>
        <w:jc w:val="both"/>
        <w:rPr>
          <w:rFonts w:ascii="David" w:hAnsi="David" w:cs="David"/>
          <w:sz w:val="24"/>
          <w:szCs w:val="24"/>
          <w:rtl/>
        </w:rPr>
      </w:pPr>
      <w:r>
        <w:rPr>
          <w:rFonts w:ascii="David" w:hAnsi="David" w:cs="David" w:hint="cs"/>
          <w:sz w:val="24"/>
          <w:szCs w:val="24"/>
          <w:rtl/>
        </w:rPr>
        <w:t xml:space="preserve">בינואר 1920, עם תום מלחמת העולם הראשונה, נוסד ארגון 'חבר הלאומים' על פי החלטה של ועידת השלום בפריז, שהתקבלה ביוזמתו של נשיא ארצות הברית </w:t>
      </w:r>
      <w:proofErr w:type="spellStart"/>
      <w:r>
        <w:rPr>
          <w:rFonts w:ascii="David" w:hAnsi="David" w:cs="David" w:hint="cs"/>
          <w:sz w:val="24"/>
          <w:szCs w:val="24"/>
          <w:rtl/>
        </w:rPr>
        <w:t>וודרו</w:t>
      </w:r>
      <w:proofErr w:type="spellEnd"/>
      <w:r>
        <w:rPr>
          <w:rFonts w:ascii="David" w:hAnsi="David" w:cs="David" w:hint="cs"/>
          <w:sz w:val="24"/>
          <w:szCs w:val="24"/>
          <w:rtl/>
        </w:rPr>
        <w:t xml:space="preserve"> וילסון. מטרות העל של הארגון היו: מניעת </w:t>
      </w:r>
      <w:r w:rsidRPr="00BC5014">
        <w:rPr>
          <w:rFonts w:ascii="David" w:hAnsi="David" w:cs="David" w:hint="cs"/>
          <w:sz w:val="24"/>
          <w:szCs w:val="24"/>
          <w:rtl/>
        </w:rPr>
        <w:t>מלחמה</w:t>
      </w:r>
      <w:r w:rsidRPr="00BC5014">
        <w:rPr>
          <w:rFonts w:ascii="David" w:hAnsi="David" w:cs="David"/>
          <w:sz w:val="24"/>
          <w:szCs w:val="24"/>
          <w:rtl/>
        </w:rPr>
        <w:t xml:space="preserve"> </w:t>
      </w:r>
      <w:r w:rsidRPr="00BC5014">
        <w:rPr>
          <w:rFonts w:ascii="David" w:hAnsi="David" w:cs="David" w:hint="cs"/>
          <w:sz w:val="24"/>
          <w:szCs w:val="24"/>
          <w:rtl/>
        </w:rPr>
        <w:t>באמצעות</w:t>
      </w:r>
      <w:r w:rsidRPr="00BC5014">
        <w:rPr>
          <w:rFonts w:ascii="David" w:hAnsi="David" w:cs="David"/>
          <w:sz w:val="24"/>
          <w:szCs w:val="24"/>
          <w:rtl/>
        </w:rPr>
        <w:t xml:space="preserve"> </w:t>
      </w:r>
      <w:r w:rsidRPr="00BC5014">
        <w:rPr>
          <w:rFonts w:ascii="David" w:hAnsi="David" w:cs="David" w:hint="cs"/>
          <w:sz w:val="24"/>
          <w:szCs w:val="24"/>
          <w:rtl/>
        </w:rPr>
        <w:t>ביטחון</w:t>
      </w:r>
      <w:r w:rsidRPr="00BC5014">
        <w:rPr>
          <w:rFonts w:ascii="David" w:hAnsi="David" w:cs="David"/>
          <w:sz w:val="24"/>
          <w:szCs w:val="24"/>
          <w:rtl/>
        </w:rPr>
        <w:t xml:space="preserve"> </w:t>
      </w:r>
      <w:r w:rsidRPr="00BC5014">
        <w:rPr>
          <w:rFonts w:ascii="David" w:hAnsi="David" w:cs="David" w:hint="cs"/>
          <w:sz w:val="24"/>
          <w:szCs w:val="24"/>
          <w:rtl/>
        </w:rPr>
        <w:t>קיבוצי</w:t>
      </w:r>
      <w:r>
        <w:rPr>
          <w:rFonts w:ascii="David" w:hAnsi="David" w:cs="David" w:hint="cs"/>
          <w:sz w:val="24"/>
          <w:szCs w:val="24"/>
          <w:rtl/>
        </w:rPr>
        <w:t>;</w:t>
      </w:r>
      <w:r w:rsidRPr="00BC5014">
        <w:rPr>
          <w:rFonts w:ascii="David" w:hAnsi="David" w:cs="David"/>
          <w:sz w:val="24"/>
          <w:szCs w:val="24"/>
          <w:rtl/>
        </w:rPr>
        <w:t xml:space="preserve"> </w:t>
      </w:r>
      <w:r w:rsidRPr="00BC5014">
        <w:rPr>
          <w:rFonts w:ascii="David" w:hAnsi="David" w:cs="David" w:hint="cs"/>
          <w:sz w:val="24"/>
          <w:szCs w:val="24"/>
          <w:rtl/>
        </w:rPr>
        <w:t>פירוק</w:t>
      </w:r>
      <w:r w:rsidRPr="00BC5014">
        <w:rPr>
          <w:rFonts w:ascii="David" w:hAnsi="David" w:cs="David"/>
          <w:sz w:val="24"/>
          <w:szCs w:val="24"/>
          <w:rtl/>
        </w:rPr>
        <w:t xml:space="preserve"> </w:t>
      </w:r>
      <w:r w:rsidRPr="00BC5014">
        <w:rPr>
          <w:rFonts w:ascii="David" w:hAnsi="David" w:cs="David" w:hint="cs"/>
          <w:sz w:val="24"/>
          <w:szCs w:val="24"/>
          <w:rtl/>
        </w:rPr>
        <w:t>מנשק</w:t>
      </w:r>
      <w:r>
        <w:rPr>
          <w:rFonts w:ascii="David" w:hAnsi="David" w:cs="David" w:hint="cs"/>
          <w:sz w:val="24"/>
          <w:szCs w:val="24"/>
          <w:rtl/>
        </w:rPr>
        <w:t>;</w:t>
      </w:r>
      <w:r w:rsidRPr="00BC5014">
        <w:rPr>
          <w:rFonts w:ascii="David" w:hAnsi="David" w:cs="David"/>
          <w:sz w:val="24"/>
          <w:szCs w:val="24"/>
          <w:rtl/>
        </w:rPr>
        <w:t xml:space="preserve"> </w:t>
      </w:r>
      <w:r w:rsidRPr="00BC5014">
        <w:rPr>
          <w:rFonts w:ascii="David" w:hAnsi="David" w:cs="David" w:hint="cs"/>
          <w:sz w:val="24"/>
          <w:szCs w:val="24"/>
          <w:rtl/>
        </w:rPr>
        <w:t>יישוב</w:t>
      </w:r>
      <w:r w:rsidRPr="00BC5014">
        <w:rPr>
          <w:rFonts w:ascii="David" w:hAnsi="David" w:cs="David"/>
          <w:sz w:val="24"/>
          <w:szCs w:val="24"/>
          <w:rtl/>
        </w:rPr>
        <w:t xml:space="preserve"> </w:t>
      </w:r>
      <w:r w:rsidRPr="00BC5014">
        <w:rPr>
          <w:rFonts w:ascii="David" w:hAnsi="David" w:cs="David" w:hint="cs"/>
          <w:sz w:val="24"/>
          <w:szCs w:val="24"/>
          <w:rtl/>
        </w:rPr>
        <w:t>סכסוכים</w:t>
      </w:r>
      <w:r w:rsidRPr="00BC5014">
        <w:rPr>
          <w:rFonts w:ascii="David" w:hAnsi="David" w:cs="David"/>
          <w:sz w:val="24"/>
          <w:szCs w:val="24"/>
          <w:rtl/>
        </w:rPr>
        <w:t xml:space="preserve"> </w:t>
      </w:r>
      <w:r w:rsidRPr="00BC5014">
        <w:rPr>
          <w:rFonts w:ascii="David" w:hAnsi="David" w:cs="David" w:hint="cs"/>
          <w:sz w:val="24"/>
          <w:szCs w:val="24"/>
          <w:rtl/>
        </w:rPr>
        <w:t>בין</w:t>
      </w:r>
      <w:r w:rsidRPr="00BC5014">
        <w:rPr>
          <w:rFonts w:ascii="David" w:hAnsi="David" w:cs="David"/>
          <w:sz w:val="24"/>
          <w:szCs w:val="24"/>
          <w:rtl/>
        </w:rPr>
        <w:t xml:space="preserve"> </w:t>
      </w:r>
      <w:r w:rsidRPr="00BC5014">
        <w:rPr>
          <w:rFonts w:ascii="David" w:hAnsi="David" w:cs="David" w:hint="cs"/>
          <w:sz w:val="24"/>
          <w:szCs w:val="24"/>
          <w:rtl/>
        </w:rPr>
        <w:t>מדינות</w:t>
      </w:r>
      <w:r w:rsidRPr="00BC5014">
        <w:rPr>
          <w:rFonts w:ascii="David" w:hAnsi="David" w:cs="David"/>
          <w:sz w:val="24"/>
          <w:szCs w:val="24"/>
          <w:rtl/>
        </w:rPr>
        <w:t xml:space="preserve"> </w:t>
      </w:r>
      <w:r w:rsidRPr="00BC5014">
        <w:rPr>
          <w:rFonts w:ascii="David" w:hAnsi="David" w:cs="David" w:hint="cs"/>
          <w:sz w:val="24"/>
          <w:szCs w:val="24"/>
          <w:rtl/>
        </w:rPr>
        <w:t>באמצעות</w:t>
      </w:r>
      <w:r w:rsidRPr="00BC5014">
        <w:rPr>
          <w:rFonts w:ascii="David" w:hAnsi="David" w:cs="David"/>
          <w:sz w:val="24"/>
          <w:szCs w:val="24"/>
          <w:rtl/>
        </w:rPr>
        <w:t xml:space="preserve"> </w:t>
      </w:r>
      <w:r w:rsidRPr="00BC5014">
        <w:rPr>
          <w:rFonts w:ascii="David" w:hAnsi="David" w:cs="David" w:hint="cs"/>
          <w:sz w:val="24"/>
          <w:szCs w:val="24"/>
          <w:rtl/>
        </w:rPr>
        <w:t>משא</w:t>
      </w:r>
      <w:r w:rsidRPr="00BC5014">
        <w:rPr>
          <w:rFonts w:ascii="David" w:hAnsi="David" w:cs="David"/>
          <w:sz w:val="24"/>
          <w:szCs w:val="24"/>
          <w:rtl/>
        </w:rPr>
        <w:t xml:space="preserve"> </w:t>
      </w:r>
      <w:r w:rsidRPr="00BC5014">
        <w:rPr>
          <w:rFonts w:ascii="David" w:hAnsi="David" w:cs="David" w:hint="cs"/>
          <w:sz w:val="24"/>
          <w:szCs w:val="24"/>
          <w:rtl/>
        </w:rPr>
        <w:t>ומתן</w:t>
      </w:r>
      <w:r>
        <w:rPr>
          <w:rFonts w:ascii="David" w:hAnsi="David" w:cs="David" w:hint="cs"/>
          <w:sz w:val="24"/>
          <w:szCs w:val="24"/>
          <w:rtl/>
        </w:rPr>
        <w:t xml:space="preserve">; </w:t>
      </w:r>
      <w:r w:rsidRPr="00BC5014">
        <w:rPr>
          <w:rFonts w:ascii="David" w:hAnsi="David" w:cs="David" w:hint="cs"/>
          <w:sz w:val="24"/>
          <w:szCs w:val="24"/>
          <w:rtl/>
        </w:rPr>
        <w:t>דיפלומטיה</w:t>
      </w:r>
      <w:r w:rsidRPr="00BC5014">
        <w:rPr>
          <w:rFonts w:ascii="David" w:hAnsi="David" w:cs="David"/>
          <w:sz w:val="24"/>
          <w:szCs w:val="24"/>
          <w:rtl/>
        </w:rPr>
        <w:t xml:space="preserve"> </w:t>
      </w:r>
      <w:r w:rsidRPr="00BC5014">
        <w:rPr>
          <w:rFonts w:ascii="David" w:hAnsi="David" w:cs="David" w:hint="cs"/>
          <w:sz w:val="24"/>
          <w:szCs w:val="24"/>
          <w:rtl/>
        </w:rPr>
        <w:t>ושיפור</w:t>
      </w:r>
      <w:r w:rsidRPr="00BC5014">
        <w:rPr>
          <w:rFonts w:ascii="David" w:hAnsi="David" w:cs="David"/>
          <w:sz w:val="24"/>
          <w:szCs w:val="24"/>
          <w:rtl/>
        </w:rPr>
        <w:t xml:space="preserve"> </w:t>
      </w:r>
      <w:r w:rsidRPr="00BC5014">
        <w:rPr>
          <w:rFonts w:ascii="David" w:hAnsi="David" w:cs="David" w:hint="cs"/>
          <w:sz w:val="24"/>
          <w:szCs w:val="24"/>
          <w:rtl/>
        </w:rPr>
        <w:t>הרווחה</w:t>
      </w:r>
      <w:r w:rsidRPr="00BC5014">
        <w:rPr>
          <w:rFonts w:ascii="David" w:hAnsi="David" w:cs="David"/>
          <w:sz w:val="24"/>
          <w:szCs w:val="24"/>
          <w:rtl/>
        </w:rPr>
        <w:t xml:space="preserve"> </w:t>
      </w:r>
      <w:r w:rsidRPr="00BC5014">
        <w:rPr>
          <w:rFonts w:ascii="David" w:hAnsi="David" w:cs="David" w:hint="cs"/>
          <w:sz w:val="24"/>
          <w:szCs w:val="24"/>
          <w:rtl/>
        </w:rPr>
        <w:t>העולמית</w:t>
      </w:r>
      <w:r>
        <w:rPr>
          <w:rStyle w:val="FootnoteReference"/>
          <w:rFonts w:ascii="David" w:hAnsi="David" w:cs="David"/>
          <w:sz w:val="24"/>
          <w:szCs w:val="24"/>
          <w:rtl/>
        </w:rPr>
        <w:footnoteReference w:id="12"/>
      </w:r>
      <w:r w:rsidRPr="00BC5014">
        <w:rPr>
          <w:rFonts w:ascii="David" w:hAnsi="David" w:cs="David"/>
          <w:sz w:val="24"/>
          <w:szCs w:val="24"/>
          <w:rtl/>
        </w:rPr>
        <w:t>.</w:t>
      </w:r>
      <w:r>
        <w:rPr>
          <w:rFonts w:ascii="David" w:hAnsi="David" w:cs="David" w:hint="cs"/>
          <w:sz w:val="24"/>
          <w:szCs w:val="24"/>
          <w:rtl/>
        </w:rPr>
        <w:t xml:space="preserve"> חבר הלאומים עסק גם בהסדרת זכויות המיעוטים במדינות הלאום החדשות, שקמו לאחר מלחמת העולם הראשונה והופקדו בידיו סמכויות פיקוח על התנהלות המשטרים החדשים. המדינות החדשות התחייבו להעניק למיעוטים שבשטחן שוויון זכויות אזרחי ולשם כך נוסחו על ידי חבר הלאומים חוזים מיוחדים שהעניקו למיעוטים אוטונומיה תרבותית וחופש דת</w:t>
      </w:r>
      <w:r>
        <w:rPr>
          <w:rStyle w:val="FootnoteReference"/>
          <w:rFonts w:ascii="David" w:hAnsi="David" w:cs="David"/>
          <w:sz w:val="24"/>
          <w:szCs w:val="24"/>
          <w:rtl/>
        </w:rPr>
        <w:footnoteReference w:id="13"/>
      </w:r>
      <w:r>
        <w:rPr>
          <w:rFonts w:ascii="David" w:hAnsi="David" w:cs="David" w:hint="cs"/>
          <w:sz w:val="24"/>
          <w:szCs w:val="24"/>
          <w:rtl/>
        </w:rPr>
        <w:t xml:space="preserve">. ניתן לראות במוסד חבר הלאומים והסמכויות שניתנו לו כרסום נוסף בריבונות המדינות. </w:t>
      </w:r>
      <w:r w:rsidRPr="00BD4F04">
        <w:rPr>
          <w:rFonts w:ascii="David" w:hAnsi="David" w:cs="David" w:hint="cs"/>
          <w:sz w:val="24"/>
          <w:szCs w:val="24"/>
          <w:rtl/>
        </w:rPr>
        <w:t>לחבר</w:t>
      </w:r>
      <w:r>
        <w:rPr>
          <w:rFonts w:ascii="David" w:hAnsi="David" w:cs="David" w:hint="cs"/>
          <w:sz w:val="24"/>
          <w:szCs w:val="24"/>
          <w:rtl/>
        </w:rPr>
        <w:t xml:space="preserve"> הלאומים</w:t>
      </w:r>
      <w:r w:rsidRPr="00BD4F04">
        <w:rPr>
          <w:rFonts w:ascii="David" w:hAnsi="David" w:cs="David"/>
          <w:sz w:val="24"/>
          <w:szCs w:val="24"/>
          <w:rtl/>
        </w:rPr>
        <w:t xml:space="preserve"> </w:t>
      </w:r>
      <w:r w:rsidRPr="00BD4F04">
        <w:rPr>
          <w:rFonts w:ascii="David" w:hAnsi="David" w:cs="David" w:hint="cs"/>
          <w:sz w:val="24"/>
          <w:szCs w:val="24"/>
          <w:rtl/>
        </w:rPr>
        <w:t>הייתה</w:t>
      </w:r>
      <w:r>
        <w:rPr>
          <w:rFonts w:ascii="David" w:hAnsi="David" w:cs="David" w:hint="cs"/>
          <w:sz w:val="24"/>
          <w:szCs w:val="24"/>
          <w:rtl/>
        </w:rPr>
        <w:t xml:space="preserve"> גם </w:t>
      </w:r>
      <w:r w:rsidRPr="00BD4F04">
        <w:rPr>
          <w:rFonts w:ascii="David" w:hAnsi="David" w:cs="David"/>
          <w:sz w:val="24"/>
          <w:szCs w:val="24"/>
          <w:rtl/>
        </w:rPr>
        <w:t xml:space="preserve"> </w:t>
      </w:r>
      <w:r w:rsidRPr="00BD4F04">
        <w:rPr>
          <w:rFonts w:ascii="David" w:hAnsi="David" w:cs="David" w:hint="cs"/>
          <w:sz w:val="24"/>
          <w:szCs w:val="24"/>
          <w:rtl/>
        </w:rPr>
        <w:t>סמכות</w:t>
      </w:r>
      <w:r w:rsidRPr="00BD4F04">
        <w:rPr>
          <w:rFonts w:ascii="David" w:hAnsi="David" w:cs="David"/>
          <w:sz w:val="24"/>
          <w:szCs w:val="24"/>
          <w:rtl/>
        </w:rPr>
        <w:t xml:space="preserve"> </w:t>
      </w:r>
      <w:r w:rsidRPr="00BD4F04">
        <w:rPr>
          <w:rFonts w:ascii="David" w:hAnsi="David" w:cs="David" w:hint="cs"/>
          <w:sz w:val="24"/>
          <w:szCs w:val="24"/>
          <w:rtl/>
        </w:rPr>
        <w:t>פיקוח</w:t>
      </w:r>
      <w:r w:rsidRPr="00BD4F04">
        <w:rPr>
          <w:rFonts w:ascii="David" w:hAnsi="David" w:cs="David"/>
          <w:sz w:val="24"/>
          <w:szCs w:val="24"/>
          <w:rtl/>
        </w:rPr>
        <w:t xml:space="preserve"> </w:t>
      </w:r>
      <w:r w:rsidRPr="00BD4F04">
        <w:rPr>
          <w:rFonts w:ascii="David" w:hAnsi="David" w:cs="David" w:hint="cs"/>
          <w:sz w:val="24"/>
          <w:szCs w:val="24"/>
          <w:rtl/>
        </w:rPr>
        <w:t>על</w:t>
      </w:r>
      <w:r w:rsidRPr="00BD4F04">
        <w:rPr>
          <w:rFonts w:ascii="David" w:hAnsi="David" w:cs="David"/>
          <w:sz w:val="24"/>
          <w:szCs w:val="24"/>
          <w:rtl/>
        </w:rPr>
        <w:t xml:space="preserve"> </w:t>
      </w:r>
      <w:r w:rsidRPr="00BD4F04">
        <w:rPr>
          <w:rFonts w:ascii="David" w:hAnsi="David" w:cs="David" w:hint="cs"/>
          <w:sz w:val="24"/>
          <w:szCs w:val="24"/>
          <w:rtl/>
        </w:rPr>
        <w:t>בית</w:t>
      </w:r>
      <w:r w:rsidRPr="00BD4F04">
        <w:rPr>
          <w:rFonts w:ascii="David" w:hAnsi="David" w:cs="David"/>
          <w:sz w:val="24"/>
          <w:szCs w:val="24"/>
          <w:rtl/>
        </w:rPr>
        <w:t xml:space="preserve"> </w:t>
      </w:r>
      <w:r w:rsidRPr="00BD4F04">
        <w:rPr>
          <w:rFonts w:ascii="David" w:hAnsi="David" w:cs="David" w:hint="cs"/>
          <w:sz w:val="24"/>
          <w:szCs w:val="24"/>
          <w:rtl/>
        </w:rPr>
        <w:t>המשפט</w:t>
      </w:r>
      <w:r w:rsidRPr="00BD4F04">
        <w:rPr>
          <w:rFonts w:ascii="David" w:hAnsi="David" w:cs="David"/>
          <w:sz w:val="24"/>
          <w:szCs w:val="24"/>
          <w:rtl/>
        </w:rPr>
        <w:t xml:space="preserve"> </w:t>
      </w:r>
      <w:r w:rsidRPr="00BD4F04">
        <w:rPr>
          <w:rFonts w:ascii="David" w:hAnsi="David" w:cs="David" w:hint="cs"/>
          <w:sz w:val="24"/>
          <w:szCs w:val="24"/>
          <w:rtl/>
        </w:rPr>
        <w:t>הבינלאומי</w:t>
      </w:r>
      <w:r>
        <w:rPr>
          <w:rFonts w:ascii="David" w:hAnsi="David" w:cs="David" w:hint="cs"/>
          <w:sz w:val="24"/>
          <w:szCs w:val="24"/>
          <w:rtl/>
        </w:rPr>
        <w:t xml:space="preserve"> ותחת פיקוחו נוסדו </w:t>
      </w:r>
      <w:r w:rsidRPr="00BD4F04">
        <w:rPr>
          <w:rFonts w:ascii="David" w:hAnsi="David" w:cs="David" w:hint="cs"/>
          <w:sz w:val="24"/>
          <w:szCs w:val="24"/>
          <w:rtl/>
        </w:rPr>
        <w:t>גופים</w:t>
      </w:r>
      <w:r w:rsidRPr="00BD4F04">
        <w:rPr>
          <w:rFonts w:ascii="David" w:hAnsi="David" w:cs="David"/>
          <w:sz w:val="24"/>
          <w:szCs w:val="24"/>
          <w:rtl/>
        </w:rPr>
        <w:t xml:space="preserve"> </w:t>
      </w:r>
      <w:r w:rsidRPr="00BD4F04">
        <w:rPr>
          <w:rFonts w:ascii="David" w:hAnsi="David" w:cs="David" w:hint="cs"/>
          <w:sz w:val="24"/>
          <w:szCs w:val="24"/>
          <w:rtl/>
        </w:rPr>
        <w:t>וועדות</w:t>
      </w:r>
      <w:r w:rsidRPr="00BD4F04">
        <w:rPr>
          <w:rFonts w:ascii="David" w:hAnsi="David" w:cs="David"/>
          <w:sz w:val="24"/>
          <w:szCs w:val="24"/>
          <w:rtl/>
        </w:rPr>
        <w:t xml:space="preserve"> </w:t>
      </w:r>
      <w:r w:rsidRPr="00BD4F04">
        <w:rPr>
          <w:rFonts w:ascii="David" w:hAnsi="David" w:cs="David" w:hint="cs"/>
          <w:sz w:val="24"/>
          <w:szCs w:val="24"/>
          <w:rtl/>
        </w:rPr>
        <w:t>שנועדו</w:t>
      </w:r>
      <w:r w:rsidRPr="00BD4F04">
        <w:rPr>
          <w:rFonts w:ascii="David" w:hAnsi="David" w:cs="David"/>
          <w:sz w:val="24"/>
          <w:szCs w:val="24"/>
          <w:rtl/>
        </w:rPr>
        <w:t xml:space="preserve"> </w:t>
      </w:r>
      <w:r w:rsidRPr="00BD4F04">
        <w:rPr>
          <w:rFonts w:ascii="David" w:hAnsi="David" w:cs="David" w:hint="cs"/>
          <w:sz w:val="24"/>
          <w:szCs w:val="24"/>
          <w:rtl/>
        </w:rPr>
        <w:t>לטפל</w:t>
      </w:r>
      <w:r w:rsidRPr="00BD4F04">
        <w:rPr>
          <w:rFonts w:ascii="David" w:hAnsi="David" w:cs="David"/>
          <w:sz w:val="24"/>
          <w:szCs w:val="24"/>
          <w:rtl/>
        </w:rPr>
        <w:t xml:space="preserve"> </w:t>
      </w:r>
      <w:r w:rsidRPr="00BD4F04">
        <w:rPr>
          <w:rFonts w:ascii="David" w:hAnsi="David" w:cs="David" w:hint="cs"/>
          <w:sz w:val="24"/>
          <w:szCs w:val="24"/>
          <w:rtl/>
        </w:rPr>
        <w:t>בבעיות</w:t>
      </w:r>
      <w:r w:rsidRPr="00BD4F04">
        <w:rPr>
          <w:rFonts w:ascii="David" w:hAnsi="David" w:cs="David"/>
          <w:sz w:val="24"/>
          <w:szCs w:val="24"/>
          <w:rtl/>
        </w:rPr>
        <w:t xml:space="preserve"> </w:t>
      </w:r>
      <w:r w:rsidRPr="00BD4F04">
        <w:rPr>
          <w:rFonts w:ascii="David" w:hAnsi="David" w:cs="David" w:hint="cs"/>
          <w:sz w:val="24"/>
          <w:szCs w:val="24"/>
          <w:rtl/>
        </w:rPr>
        <w:t>בינלאומיות</w:t>
      </w:r>
      <w:r w:rsidRPr="00BD4F04">
        <w:rPr>
          <w:rFonts w:ascii="David" w:hAnsi="David" w:cs="David"/>
          <w:sz w:val="24"/>
          <w:szCs w:val="24"/>
          <w:rtl/>
        </w:rPr>
        <w:t xml:space="preserve"> </w:t>
      </w:r>
      <w:r w:rsidRPr="00BD4F04">
        <w:rPr>
          <w:rFonts w:ascii="David" w:hAnsi="David" w:cs="David" w:hint="cs"/>
          <w:sz w:val="24"/>
          <w:szCs w:val="24"/>
          <w:rtl/>
        </w:rPr>
        <w:t>שוטפות</w:t>
      </w:r>
      <w:r w:rsidRPr="00BD4F04">
        <w:rPr>
          <w:rFonts w:ascii="David" w:hAnsi="David" w:cs="David"/>
          <w:sz w:val="24"/>
          <w:szCs w:val="24"/>
          <w:rtl/>
        </w:rPr>
        <w:t xml:space="preserve">. </w:t>
      </w:r>
      <w:r w:rsidRPr="00BD4F04">
        <w:rPr>
          <w:rFonts w:ascii="David" w:hAnsi="David" w:cs="David" w:hint="cs"/>
          <w:sz w:val="24"/>
          <w:szCs w:val="24"/>
          <w:rtl/>
        </w:rPr>
        <w:t>אלו</w:t>
      </w:r>
      <w:r w:rsidRPr="00BD4F04">
        <w:rPr>
          <w:rFonts w:ascii="David" w:hAnsi="David" w:cs="David"/>
          <w:sz w:val="24"/>
          <w:szCs w:val="24"/>
          <w:rtl/>
        </w:rPr>
        <w:t xml:space="preserve"> </w:t>
      </w:r>
      <w:r w:rsidRPr="00BD4F04">
        <w:rPr>
          <w:rFonts w:ascii="David" w:hAnsi="David" w:cs="David" w:hint="cs"/>
          <w:sz w:val="24"/>
          <w:szCs w:val="24"/>
          <w:rtl/>
        </w:rPr>
        <w:t>כללו</w:t>
      </w:r>
      <w:r w:rsidRPr="00BD4F04">
        <w:rPr>
          <w:rFonts w:ascii="David" w:hAnsi="David" w:cs="David"/>
          <w:sz w:val="24"/>
          <w:szCs w:val="24"/>
          <w:rtl/>
        </w:rPr>
        <w:t xml:space="preserve"> </w:t>
      </w:r>
      <w:r w:rsidRPr="00BD4F04">
        <w:rPr>
          <w:rFonts w:ascii="David" w:hAnsi="David" w:cs="David" w:hint="cs"/>
          <w:sz w:val="24"/>
          <w:szCs w:val="24"/>
          <w:rtl/>
        </w:rPr>
        <w:t>את</w:t>
      </w:r>
      <w:r w:rsidRPr="00BD4F04">
        <w:rPr>
          <w:rFonts w:ascii="David" w:hAnsi="David" w:cs="David"/>
          <w:sz w:val="24"/>
          <w:szCs w:val="24"/>
          <w:rtl/>
        </w:rPr>
        <w:t xml:space="preserve"> </w:t>
      </w:r>
      <w:r w:rsidRPr="00BD4F04">
        <w:rPr>
          <w:rFonts w:ascii="David" w:hAnsi="David" w:cs="David" w:hint="cs"/>
          <w:sz w:val="24"/>
          <w:szCs w:val="24"/>
          <w:rtl/>
        </w:rPr>
        <w:t>ועדת</w:t>
      </w:r>
      <w:r w:rsidRPr="00BD4F04">
        <w:rPr>
          <w:rFonts w:ascii="David" w:hAnsi="David" w:cs="David"/>
          <w:sz w:val="24"/>
          <w:szCs w:val="24"/>
          <w:rtl/>
        </w:rPr>
        <w:t xml:space="preserve"> </w:t>
      </w:r>
      <w:r w:rsidRPr="00BD4F04">
        <w:rPr>
          <w:rFonts w:ascii="David" w:hAnsi="David" w:cs="David" w:hint="cs"/>
          <w:sz w:val="24"/>
          <w:szCs w:val="24"/>
          <w:rtl/>
        </w:rPr>
        <w:t>פירוק</w:t>
      </w:r>
      <w:r w:rsidRPr="00BD4F04">
        <w:rPr>
          <w:rFonts w:ascii="David" w:hAnsi="David" w:cs="David"/>
          <w:sz w:val="24"/>
          <w:szCs w:val="24"/>
          <w:rtl/>
        </w:rPr>
        <w:t xml:space="preserve"> </w:t>
      </w:r>
      <w:r w:rsidRPr="00BD4F04">
        <w:rPr>
          <w:rFonts w:ascii="David" w:hAnsi="David" w:cs="David" w:hint="cs"/>
          <w:sz w:val="24"/>
          <w:szCs w:val="24"/>
          <w:rtl/>
        </w:rPr>
        <w:t>הנשק</w:t>
      </w:r>
      <w:r w:rsidRPr="00BD4F04">
        <w:rPr>
          <w:rFonts w:ascii="David" w:hAnsi="David" w:cs="David"/>
          <w:sz w:val="24"/>
          <w:szCs w:val="24"/>
          <w:rtl/>
        </w:rPr>
        <w:t xml:space="preserve">, </w:t>
      </w:r>
      <w:r w:rsidRPr="00BD4F04">
        <w:rPr>
          <w:rFonts w:ascii="David" w:hAnsi="David" w:cs="David" w:hint="cs"/>
          <w:sz w:val="24"/>
          <w:szCs w:val="24"/>
          <w:rtl/>
        </w:rPr>
        <w:t>ארגון</w:t>
      </w:r>
      <w:r w:rsidRPr="00BD4F04">
        <w:rPr>
          <w:rFonts w:ascii="David" w:hAnsi="David" w:cs="David"/>
          <w:sz w:val="24"/>
          <w:szCs w:val="24"/>
          <w:rtl/>
        </w:rPr>
        <w:t xml:space="preserve"> </w:t>
      </w:r>
      <w:r w:rsidRPr="00BD4F04">
        <w:rPr>
          <w:rFonts w:ascii="David" w:hAnsi="David" w:cs="David" w:hint="cs"/>
          <w:sz w:val="24"/>
          <w:szCs w:val="24"/>
          <w:rtl/>
        </w:rPr>
        <w:t>הבריאות</w:t>
      </w:r>
      <w:r w:rsidRPr="00BD4F04">
        <w:rPr>
          <w:rFonts w:ascii="David" w:hAnsi="David" w:cs="David"/>
          <w:sz w:val="24"/>
          <w:szCs w:val="24"/>
          <w:rtl/>
        </w:rPr>
        <w:t xml:space="preserve"> </w:t>
      </w:r>
      <w:r w:rsidRPr="00BD4F04">
        <w:rPr>
          <w:rFonts w:ascii="David" w:hAnsi="David" w:cs="David" w:hint="cs"/>
          <w:sz w:val="24"/>
          <w:szCs w:val="24"/>
          <w:rtl/>
        </w:rPr>
        <w:t>העולמי</w:t>
      </w:r>
      <w:r w:rsidRPr="00BD4F04">
        <w:rPr>
          <w:rFonts w:ascii="David" w:hAnsi="David" w:cs="David"/>
          <w:sz w:val="24"/>
          <w:szCs w:val="24"/>
          <w:rtl/>
        </w:rPr>
        <w:t xml:space="preserve">, </w:t>
      </w:r>
      <w:r w:rsidRPr="00BD4F04">
        <w:rPr>
          <w:rFonts w:ascii="David" w:hAnsi="David" w:cs="David" w:hint="cs"/>
          <w:sz w:val="24"/>
          <w:szCs w:val="24"/>
          <w:rtl/>
        </w:rPr>
        <w:t>ארגון</w:t>
      </w:r>
      <w:r w:rsidRPr="00BD4F04">
        <w:rPr>
          <w:rFonts w:ascii="David" w:hAnsi="David" w:cs="David"/>
          <w:sz w:val="24"/>
          <w:szCs w:val="24"/>
          <w:rtl/>
        </w:rPr>
        <w:t xml:space="preserve"> </w:t>
      </w:r>
      <w:r w:rsidRPr="00BD4F04">
        <w:rPr>
          <w:rFonts w:ascii="David" w:hAnsi="David" w:cs="David" w:hint="cs"/>
          <w:sz w:val="24"/>
          <w:szCs w:val="24"/>
          <w:rtl/>
        </w:rPr>
        <w:t>העבודה</w:t>
      </w:r>
      <w:r w:rsidRPr="00BD4F04">
        <w:rPr>
          <w:rFonts w:ascii="David" w:hAnsi="David" w:cs="David"/>
          <w:sz w:val="24"/>
          <w:szCs w:val="24"/>
          <w:rtl/>
        </w:rPr>
        <w:t xml:space="preserve"> </w:t>
      </w:r>
      <w:r w:rsidRPr="00BD4F04">
        <w:rPr>
          <w:rFonts w:ascii="David" w:hAnsi="David" w:cs="David" w:hint="cs"/>
          <w:sz w:val="24"/>
          <w:szCs w:val="24"/>
          <w:rtl/>
        </w:rPr>
        <w:t>הבינלאומי</w:t>
      </w:r>
      <w:r w:rsidRPr="00BD4F04">
        <w:rPr>
          <w:rFonts w:ascii="David" w:hAnsi="David" w:cs="David"/>
          <w:sz w:val="24"/>
          <w:szCs w:val="24"/>
          <w:rtl/>
        </w:rPr>
        <w:t xml:space="preserve">, </w:t>
      </w:r>
      <w:r w:rsidRPr="00BD4F04">
        <w:rPr>
          <w:rFonts w:ascii="David" w:hAnsi="David" w:cs="David" w:hint="cs"/>
          <w:sz w:val="24"/>
          <w:szCs w:val="24"/>
          <w:rtl/>
        </w:rPr>
        <w:t>ועדת</w:t>
      </w:r>
      <w:r w:rsidRPr="00BD4F04">
        <w:rPr>
          <w:rFonts w:ascii="David" w:hAnsi="David" w:cs="David"/>
          <w:sz w:val="24"/>
          <w:szCs w:val="24"/>
          <w:rtl/>
        </w:rPr>
        <w:t xml:space="preserve"> </w:t>
      </w:r>
      <w:r w:rsidRPr="00BD4F04">
        <w:rPr>
          <w:rFonts w:ascii="David" w:hAnsi="David" w:cs="David" w:hint="cs"/>
          <w:sz w:val="24"/>
          <w:szCs w:val="24"/>
          <w:rtl/>
        </w:rPr>
        <w:t>המנדטים</w:t>
      </w:r>
      <w:r w:rsidRPr="00BD4F04">
        <w:rPr>
          <w:rFonts w:ascii="David" w:hAnsi="David" w:cs="David"/>
          <w:sz w:val="24"/>
          <w:szCs w:val="24"/>
          <w:rtl/>
        </w:rPr>
        <w:t xml:space="preserve">, </w:t>
      </w:r>
      <w:r w:rsidRPr="00BD4F04">
        <w:rPr>
          <w:rFonts w:ascii="David" w:hAnsi="David" w:cs="David" w:hint="cs"/>
          <w:sz w:val="24"/>
          <w:szCs w:val="24"/>
          <w:rtl/>
        </w:rPr>
        <w:t>הוועד</w:t>
      </w:r>
      <w:r w:rsidRPr="00BD4F04">
        <w:rPr>
          <w:rFonts w:ascii="David" w:hAnsi="David" w:cs="David"/>
          <w:sz w:val="24"/>
          <w:szCs w:val="24"/>
          <w:rtl/>
        </w:rPr>
        <w:t xml:space="preserve"> </w:t>
      </w:r>
      <w:r w:rsidRPr="00BD4F04">
        <w:rPr>
          <w:rFonts w:ascii="David" w:hAnsi="David" w:cs="David" w:hint="cs"/>
          <w:sz w:val="24"/>
          <w:szCs w:val="24"/>
          <w:rtl/>
        </w:rPr>
        <w:t>המרכזי</w:t>
      </w:r>
      <w:r w:rsidRPr="00BD4F04">
        <w:rPr>
          <w:rFonts w:ascii="David" w:hAnsi="David" w:cs="David"/>
          <w:sz w:val="24"/>
          <w:szCs w:val="24"/>
          <w:rtl/>
        </w:rPr>
        <w:t xml:space="preserve"> </w:t>
      </w:r>
      <w:r w:rsidRPr="00BD4F04">
        <w:rPr>
          <w:rFonts w:ascii="David" w:hAnsi="David" w:cs="David" w:hint="cs"/>
          <w:sz w:val="24"/>
          <w:szCs w:val="24"/>
          <w:rtl/>
        </w:rPr>
        <w:t>לעניין</w:t>
      </w:r>
      <w:r w:rsidRPr="00BD4F04">
        <w:rPr>
          <w:rFonts w:ascii="David" w:hAnsi="David" w:cs="David"/>
          <w:sz w:val="24"/>
          <w:szCs w:val="24"/>
          <w:rtl/>
        </w:rPr>
        <w:t xml:space="preserve"> </w:t>
      </w:r>
      <w:r w:rsidRPr="00BD4F04">
        <w:rPr>
          <w:rFonts w:ascii="David" w:hAnsi="David" w:cs="David" w:hint="cs"/>
          <w:sz w:val="24"/>
          <w:szCs w:val="24"/>
          <w:rtl/>
        </w:rPr>
        <w:t>האופיום</w:t>
      </w:r>
      <w:r w:rsidRPr="00BD4F04">
        <w:rPr>
          <w:rFonts w:ascii="David" w:hAnsi="David" w:cs="David"/>
          <w:sz w:val="24"/>
          <w:szCs w:val="24"/>
          <w:rtl/>
        </w:rPr>
        <w:t xml:space="preserve">, </w:t>
      </w:r>
      <w:r w:rsidRPr="00BD4F04">
        <w:rPr>
          <w:rFonts w:ascii="David" w:hAnsi="David" w:cs="David" w:hint="cs"/>
          <w:sz w:val="24"/>
          <w:szCs w:val="24"/>
          <w:rtl/>
        </w:rPr>
        <w:t>הוועדה</w:t>
      </w:r>
      <w:r w:rsidRPr="00BD4F04">
        <w:rPr>
          <w:rFonts w:ascii="David" w:hAnsi="David" w:cs="David"/>
          <w:sz w:val="24"/>
          <w:szCs w:val="24"/>
          <w:rtl/>
        </w:rPr>
        <w:t xml:space="preserve"> </w:t>
      </w:r>
      <w:r w:rsidRPr="00BD4F04">
        <w:rPr>
          <w:rFonts w:ascii="David" w:hAnsi="David" w:cs="David" w:hint="cs"/>
          <w:sz w:val="24"/>
          <w:szCs w:val="24"/>
          <w:rtl/>
        </w:rPr>
        <w:t>לענייני</w:t>
      </w:r>
      <w:r w:rsidRPr="00BD4F04">
        <w:rPr>
          <w:rFonts w:ascii="David" w:hAnsi="David" w:cs="David"/>
          <w:sz w:val="24"/>
          <w:szCs w:val="24"/>
          <w:rtl/>
        </w:rPr>
        <w:t xml:space="preserve"> </w:t>
      </w:r>
      <w:r w:rsidRPr="00BD4F04">
        <w:rPr>
          <w:rFonts w:ascii="David" w:hAnsi="David" w:cs="David" w:hint="cs"/>
          <w:sz w:val="24"/>
          <w:szCs w:val="24"/>
          <w:rtl/>
        </w:rPr>
        <w:t>פליטים</w:t>
      </w:r>
      <w:r w:rsidRPr="00BD4F04">
        <w:rPr>
          <w:rFonts w:ascii="David" w:hAnsi="David" w:cs="David"/>
          <w:sz w:val="24"/>
          <w:szCs w:val="24"/>
          <w:rtl/>
        </w:rPr>
        <w:t xml:space="preserve"> </w:t>
      </w:r>
      <w:r w:rsidRPr="00BD4F04">
        <w:rPr>
          <w:rFonts w:ascii="David" w:hAnsi="David" w:cs="David" w:hint="cs"/>
          <w:sz w:val="24"/>
          <w:szCs w:val="24"/>
          <w:rtl/>
        </w:rPr>
        <w:t>והוועדה</w:t>
      </w:r>
      <w:r w:rsidRPr="00BD4F04">
        <w:rPr>
          <w:rFonts w:ascii="David" w:hAnsi="David" w:cs="David"/>
          <w:sz w:val="24"/>
          <w:szCs w:val="24"/>
          <w:rtl/>
        </w:rPr>
        <w:t xml:space="preserve"> </w:t>
      </w:r>
      <w:r w:rsidRPr="00BD4F04">
        <w:rPr>
          <w:rFonts w:ascii="David" w:hAnsi="David" w:cs="David" w:hint="cs"/>
          <w:sz w:val="24"/>
          <w:szCs w:val="24"/>
          <w:rtl/>
        </w:rPr>
        <w:t>לענייני</w:t>
      </w:r>
      <w:r w:rsidRPr="00BD4F04">
        <w:rPr>
          <w:rFonts w:ascii="David" w:hAnsi="David" w:cs="David"/>
          <w:sz w:val="24"/>
          <w:szCs w:val="24"/>
          <w:rtl/>
        </w:rPr>
        <w:t xml:space="preserve"> </w:t>
      </w:r>
      <w:r w:rsidRPr="00BD4F04">
        <w:rPr>
          <w:rFonts w:ascii="David" w:hAnsi="David" w:cs="David" w:hint="cs"/>
          <w:sz w:val="24"/>
          <w:szCs w:val="24"/>
          <w:rtl/>
        </w:rPr>
        <w:t>עבדות</w:t>
      </w:r>
      <w:r>
        <w:rPr>
          <w:rStyle w:val="FootnoteReference"/>
          <w:rFonts w:ascii="David" w:hAnsi="David" w:cs="David"/>
          <w:sz w:val="24"/>
          <w:szCs w:val="24"/>
          <w:rtl/>
        </w:rPr>
        <w:footnoteReference w:id="14"/>
      </w:r>
      <w:r w:rsidRPr="00BD4F04">
        <w:rPr>
          <w:rFonts w:ascii="David" w:hAnsi="David" w:cs="David"/>
          <w:sz w:val="24"/>
          <w:szCs w:val="24"/>
          <w:rtl/>
        </w:rPr>
        <w:t xml:space="preserve">. </w:t>
      </w:r>
    </w:p>
    <w:p w14:paraId="748CCB78" w14:textId="77777777" w:rsidR="00DA450B" w:rsidRDefault="00DA450B" w:rsidP="00A62543">
      <w:pPr>
        <w:spacing w:after="0" w:line="480" w:lineRule="auto"/>
        <w:jc w:val="both"/>
        <w:rPr>
          <w:rFonts w:ascii="David" w:hAnsi="David" w:cs="David"/>
          <w:sz w:val="24"/>
          <w:szCs w:val="24"/>
          <w:rtl/>
        </w:rPr>
      </w:pPr>
      <w:r>
        <w:rPr>
          <w:rFonts w:ascii="David" w:hAnsi="David" w:cs="David" w:hint="cs"/>
          <w:sz w:val="24"/>
          <w:szCs w:val="24"/>
          <w:rtl/>
        </w:rPr>
        <w:t>נקודת המפנה בהתפתחות שיח זכויות האדם הייתה מלחמת העולם השנייה. במהלך המלחמה, חלק ממדינות בנות הברית ובמיוחד ארצות הברית ואנגליה, הצדיקו את מטרות הלחימה שלהן במונחים של מחויבות לכיבוד זכויות אזרח וזכויות פוליטיות  וזאת בניסיון לאחד את אזרחיהן סביב המטרה הצודקת של המלחמה. הנשיא פרנקלין רוזוולט, הגדיל לעשות בנאומו המפורסם מינואר 1941, 'נאום ארבע החירויות' (</w:t>
      </w:r>
      <w:r>
        <w:rPr>
          <w:rFonts w:cs="David"/>
          <w:sz w:val="24"/>
          <w:szCs w:val="24"/>
        </w:rPr>
        <w:t>'Four Freedoms Speech'</w:t>
      </w:r>
      <w:r>
        <w:rPr>
          <w:rFonts w:cs="David" w:hint="cs"/>
          <w:sz w:val="24"/>
          <w:szCs w:val="24"/>
          <w:rtl/>
        </w:rPr>
        <w:t>), שבו דיבר על ארבע חירויות, שלדבריו כל אדם זכאי להן בכל מקום בעולם: חופש הביטוי וההבעה; חופש הדת; חירות ממחסור; חירות מפחד. בעזרת נאום זה קיווה רוזוולט לגייס את תמיכת הציבור האמריקאי במלחמה וכן לכונן סדר עולמי חדש</w:t>
      </w:r>
      <w:r>
        <w:rPr>
          <w:rStyle w:val="FootnoteReference"/>
          <w:rFonts w:cs="David"/>
          <w:sz w:val="24"/>
          <w:szCs w:val="24"/>
          <w:rtl/>
        </w:rPr>
        <w:footnoteReference w:id="15"/>
      </w:r>
      <w:r>
        <w:rPr>
          <w:rFonts w:cs="David" w:hint="cs"/>
          <w:sz w:val="24"/>
          <w:szCs w:val="24"/>
          <w:rtl/>
        </w:rPr>
        <w:t xml:space="preserve">. </w:t>
      </w:r>
      <w:r>
        <w:rPr>
          <w:rFonts w:ascii="David" w:hAnsi="David" w:cs="David" w:hint="cs"/>
          <w:sz w:val="24"/>
          <w:szCs w:val="24"/>
          <w:rtl/>
        </w:rPr>
        <w:t>ההבנה המשותפת של אנגליה וארצות הברית קיבלה הכרה במסגרת הצ'רטר האטלנטי, שהוא תוצר של פגישה בין פרנקלין רוזוולט ווינסטון צ'רצ'יל באוגוסט 1941, על אניית מלחמה באוקיינוס האטלנטי. במרכז החזון של ארצות הברית ואנגליה לימים שאחרי המלחמה ניצבה ההגנה על זכויות חברתיות וכלכליות. כעבור יומיים ממועד הפגישה פורסמה האמנה כהצהרה משותפת למען השלום</w:t>
      </w:r>
      <w:r>
        <w:rPr>
          <w:rStyle w:val="FootnoteReference"/>
          <w:rFonts w:ascii="David" w:hAnsi="David" w:cs="David"/>
          <w:sz w:val="24"/>
          <w:szCs w:val="24"/>
          <w:rtl/>
        </w:rPr>
        <w:footnoteReference w:id="16"/>
      </w:r>
      <w:r>
        <w:rPr>
          <w:rFonts w:ascii="David" w:hAnsi="David" w:cs="David" w:hint="cs"/>
          <w:sz w:val="24"/>
          <w:szCs w:val="24"/>
          <w:rtl/>
        </w:rPr>
        <w:t xml:space="preserve">. </w:t>
      </w:r>
    </w:p>
    <w:p w14:paraId="748CCB79" w14:textId="77777777" w:rsidR="00DA450B" w:rsidRDefault="00DA450B" w:rsidP="001E33B8">
      <w:pPr>
        <w:spacing w:after="0" w:line="480" w:lineRule="auto"/>
        <w:jc w:val="both"/>
        <w:rPr>
          <w:rFonts w:ascii="David" w:hAnsi="David" w:cs="David"/>
          <w:sz w:val="24"/>
          <w:szCs w:val="24"/>
          <w:rtl/>
        </w:rPr>
      </w:pPr>
      <w:r>
        <w:rPr>
          <w:rFonts w:ascii="David" w:hAnsi="David" w:cs="David" w:hint="cs"/>
          <w:sz w:val="24"/>
          <w:szCs w:val="24"/>
          <w:rtl/>
        </w:rPr>
        <w:t>עם סיום מלחמת העולם השנייה, העיסוק בנושא זכויות אדם בינלאומיות הפך למרכזי. משפטי נירנברג שהתקיימו בשנת 1945 היוו אבן דרך בהתפתחות המשפט הפלילי הבינלאומי. לראשונה, במסגרת דיוני בית הדין בנירנברג נקבע כי ניתן להטיל במישרין חובה על פרטים, אנשי ממשל ומפקדי צבא בכירים, על בסיס נורמות של המשפט הבינלאומי. המשמעות של התפתחות זו הייתה שריבונות המדינה לא יכולה להגן יותר על פרטים שעברו על חוקי המשפט הבינלאומי, גם אם פעלו בהתאם לחוק הפנימי. כלומר, פסיקת בין הדין בנירנברג עיגנה את עדיפותם הנורמטיבית של כללי המשפט הבינלאומי על פני כללי המשפט הפנימי ככל שהדבר התייחס לחובות הבינלאומיות של פרטים</w:t>
      </w:r>
      <w:r>
        <w:rPr>
          <w:rStyle w:val="FootnoteReference"/>
          <w:rFonts w:ascii="David" w:hAnsi="David" w:cs="David"/>
          <w:sz w:val="24"/>
          <w:szCs w:val="24"/>
          <w:rtl/>
        </w:rPr>
        <w:footnoteReference w:id="17"/>
      </w:r>
      <w:r>
        <w:rPr>
          <w:rFonts w:ascii="David" w:hAnsi="David" w:cs="David" w:hint="cs"/>
          <w:sz w:val="24"/>
          <w:szCs w:val="24"/>
          <w:rtl/>
        </w:rPr>
        <w:t>.</w:t>
      </w:r>
    </w:p>
    <w:p w14:paraId="748CCB7A" w14:textId="77777777" w:rsidR="00DA450B" w:rsidRDefault="00DA450B" w:rsidP="00C85581">
      <w:pPr>
        <w:spacing w:after="0" w:line="480" w:lineRule="auto"/>
        <w:ind w:firstLine="720"/>
        <w:jc w:val="both"/>
        <w:rPr>
          <w:rFonts w:ascii="David" w:hAnsi="David" w:cs="David"/>
          <w:sz w:val="24"/>
          <w:szCs w:val="24"/>
          <w:rtl/>
        </w:rPr>
      </w:pPr>
      <w:r>
        <w:rPr>
          <w:rFonts w:ascii="David" w:hAnsi="David" w:cs="David" w:hint="cs"/>
          <w:sz w:val="24"/>
          <w:szCs w:val="24"/>
          <w:rtl/>
        </w:rPr>
        <w:t xml:space="preserve">המסמך הבינלאומי החשוב הראשון שבו יש הפניה מפורשת ומשמעותית לנושא זכויות האדם הנו מגילת האו"ם שנערכה בשנת 1945. המגילה נוסחה לאחר מלחמת העולם השנייה, ומנסחיה היו מודעים לצורך לבנות את הסדר העולמי החדש על בסיס עקרונות של צדק ומוסר ולא על שיקולים פרגמטיים ('ריאל </w:t>
      </w:r>
      <w:proofErr w:type="spellStart"/>
      <w:r>
        <w:rPr>
          <w:rFonts w:ascii="David" w:hAnsi="David" w:cs="David" w:hint="cs"/>
          <w:sz w:val="24"/>
          <w:szCs w:val="24"/>
          <w:rtl/>
        </w:rPr>
        <w:t>פוליטיק</w:t>
      </w:r>
      <w:proofErr w:type="spellEnd"/>
      <w:r>
        <w:rPr>
          <w:rStyle w:val="FootnoteReference"/>
          <w:rFonts w:ascii="David" w:hAnsi="David" w:cs="David"/>
          <w:sz w:val="24"/>
          <w:szCs w:val="24"/>
          <w:rtl/>
        </w:rPr>
        <w:footnoteReference w:id="18"/>
      </w:r>
      <w:r>
        <w:rPr>
          <w:rFonts w:ascii="David" w:hAnsi="David" w:cs="David" w:hint="cs"/>
          <w:sz w:val="24"/>
          <w:szCs w:val="24"/>
          <w:rtl/>
        </w:rPr>
        <w:t>'), כפי שהיה נהוגים בתקופות מוקדמות יותר. למרות הצורך בבניית נורמות חדשות ומחייבות, נציגי המעצמות הגדולות התנגדו ליצירתם של מנגנונים משפטיים אשר יאפשרו פיקוח על הנעשה במדינתם ויפגעו במידת מסוימת בריבונותם. מלבד החשש מפגיעה בריבונות, התעורר קושי בנוגע לפרשנות של המונח 'זכויות אדם', מדינות שבפועל ביצעו הפרות של זכויות אדם, לא ראו את עצמן כמי שביצעו מעשים המהווים הפרה של המשפט הבינלאומי. בסופו של דבר, המסמך הסופי כלל מספר הוראות בעלות אופי הצהרתי ולא אופרטיבי</w:t>
      </w:r>
      <w:r>
        <w:rPr>
          <w:rStyle w:val="FootnoteReference"/>
          <w:rFonts w:ascii="David" w:hAnsi="David" w:cs="David"/>
          <w:sz w:val="24"/>
          <w:szCs w:val="24"/>
          <w:rtl/>
        </w:rPr>
        <w:footnoteReference w:id="19"/>
      </w:r>
      <w:r>
        <w:rPr>
          <w:rFonts w:ascii="David" w:hAnsi="David" w:cs="David" w:hint="cs"/>
          <w:sz w:val="24"/>
          <w:szCs w:val="24"/>
          <w:rtl/>
        </w:rPr>
        <w:t>. בדצמבר 1948, אישרה העצרת הכללית של האו"ם את ההכרזה האוניברסלית, אשר הלקח מאירועי מלחמת העולם השנייה ושואת העם היהודי מופיעים בבירור במבוא להכרזה: "הואיל והזלזול בזכויות האדם וביזוין הבשילו מעשים פראיים שפגעו קשה במצפונה של האנושות"</w:t>
      </w:r>
      <w:r>
        <w:rPr>
          <w:rStyle w:val="FootnoteReference"/>
          <w:rFonts w:ascii="David" w:hAnsi="David" w:cs="David"/>
          <w:sz w:val="24"/>
          <w:szCs w:val="24"/>
          <w:rtl/>
        </w:rPr>
        <w:footnoteReference w:id="20"/>
      </w:r>
      <w:r>
        <w:rPr>
          <w:rFonts w:ascii="David" w:hAnsi="David" w:cs="David" w:hint="cs"/>
          <w:sz w:val="24"/>
          <w:szCs w:val="24"/>
          <w:rtl/>
        </w:rPr>
        <w:t>. בניגוד למגילת האו"ם וניסוחה העמום, בהכרזה נעשה ניסיון להגדיר את המונח 'זכויות אדם' ולפרקו לזכויות קונקרטיות. סעיפים 3-27 להכרזה כוללים רשימה ארוכה יחסית של זכויות, שרבות מהן מופיעות בחוקה האמריקאית או שפותחו לאורך השנים בבתי המשפט האמריקאים ובהן זכויות "דור ראשון" ו"דור שני", אשר מהוות עד היום את הבסיס הנורמטיבי לתנועת זכויות האדם. בין הזכויות שניתן למצוא בהכרזה: הזכות לחיים, לחירות, לשוויון, להליך משפטי הוגן, לפרטיות, למקלט מדיני, לחינוך, חופש התנועה, המחשבה הדת והמחשבה וכן את איוסר העבדות והעינויים</w:t>
      </w:r>
      <w:r>
        <w:rPr>
          <w:rStyle w:val="FootnoteReference"/>
          <w:rFonts w:ascii="David" w:hAnsi="David" w:cs="David"/>
          <w:sz w:val="24"/>
          <w:szCs w:val="24"/>
          <w:rtl/>
        </w:rPr>
        <w:footnoteReference w:id="21"/>
      </w:r>
      <w:r>
        <w:rPr>
          <w:rFonts w:ascii="David" w:hAnsi="David" w:cs="David" w:hint="cs"/>
          <w:sz w:val="24"/>
          <w:szCs w:val="24"/>
          <w:rtl/>
        </w:rPr>
        <w:t xml:space="preserve">. </w:t>
      </w:r>
    </w:p>
    <w:p w14:paraId="748CCB7B" w14:textId="77777777" w:rsidR="00DA450B" w:rsidRDefault="00DA450B" w:rsidP="008C4038">
      <w:pPr>
        <w:spacing w:after="0" w:line="480" w:lineRule="auto"/>
        <w:jc w:val="both"/>
        <w:rPr>
          <w:rFonts w:cs="David"/>
          <w:sz w:val="24"/>
          <w:szCs w:val="24"/>
          <w:rtl/>
        </w:rPr>
      </w:pPr>
      <w:r>
        <w:rPr>
          <w:rFonts w:ascii="David" w:hAnsi="David" w:cs="David" w:hint="cs"/>
          <w:sz w:val="24"/>
          <w:szCs w:val="24"/>
          <w:rtl/>
        </w:rPr>
        <w:t>על אף ש</w:t>
      </w:r>
      <w:r>
        <w:rPr>
          <w:rFonts w:cs="David" w:hint="cs"/>
          <w:sz w:val="24"/>
          <w:szCs w:val="24"/>
          <w:rtl/>
        </w:rPr>
        <w:t xml:space="preserve">ההכרזה אינה 'אמנה' במובן הפורמלי של המילה, והיות והמדינות לא נדרשו להתחייב אליה באופן מוצהר על ידי אשרורה, מנסחיה לא שיערו כי היא תיצור חיוב משפטי כלפי המדינות שחתמו עליה. אך למעשה, </w:t>
      </w:r>
      <w:r w:rsidRPr="009C650B">
        <w:rPr>
          <w:rFonts w:cs="David" w:hint="cs"/>
          <w:sz w:val="24"/>
          <w:szCs w:val="24"/>
          <w:rtl/>
        </w:rPr>
        <w:t>הכרזה זו מהווה, לראשונה, הכרה רשמית בזכויות הבסיסיות ובחירויות הבסיסיות המגיעות לכל אדם באשר הוא אדם, ומהווה את הבסיס למשפט זכויות האדם הבינלאומי, על אף שהיא אינה בעלת תוקף משפטי כשלעצמה</w:t>
      </w:r>
      <w:r w:rsidRPr="00D10075">
        <w:rPr>
          <w:rStyle w:val="FootnoteReference"/>
          <w:rFonts w:cs="David"/>
          <w:sz w:val="24"/>
          <w:szCs w:val="24"/>
          <w:rtl/>
        </w:rPr>
        <w:footnoteReference w:id="22"/>
      </w:r>
      <w:r w:rsidRPr="009C650B">
        <w:rPr>
          <w:rFonts w:cs="David" w:hint="cs"/>
          <w:sz w:val="24"/>
          <w:szCs w:val="24"/>
          <w:rtl/>
        </w:rPr>
        <w:t>.</w:t>
      </w:r>
      <w:r>
        <w:rPr>
          <w:rFonts w:cs="David" w:hint="cs"/>
          <w:sz w:val="24"/>
          <w:szCs w:val="24"/>
          <w:rtl/>
        </w:rPr>
        <w:t xml:space="preserve"> ההכרזה הביאה לשינוי תפיסתי ומהפכני - למדינות לא תהיה יותר האפשרות לנהוג באזרחיה כעולה על רוחה, בעוד שמדינות אחרות מנועות מלהתערב</w:t>
      </w:r>
      <w:r>
        <w:rPr>
          <w:rStyle w:val="FootnoteReference"/>
          <w:rFonts w:ascii="David" w:hAnsi="David" w:cs="David"/>
          <w:sz w:val="24"/>
          <w:szCs w:val="24"/>
          <w:rtl/>
        </w:rPr>
        <w:footnoteReference w:id="23"/>
      </w:r>
      <w:r>
        <w:rPr>
          <w:rFonts w:cs="David" w:hint="cs"/>
          <w:sz w:val="24"/>
          <w:szCs w:val="24"/>
          <w:rtl/>
        </w:rPr>
        <w:t>. ערכו של 'האדם היחיד' עלה בזכות ההגנה שמעניק המשפט הבינלאומי, שכן פגיעה בזכויות אדם היא פגיעה במצפונה של האנושות כולה, כפי שנכתב בהכרזה</w:t>
      </w:r>
      <w:r>
        <w:rPr>
          <w:rStyle w:val="FootnoteReference"/>
          <w:rFonts w:cs="David"/>
          <w:sz w:val="24"/>
          <w:szCs w:val="24"/>
          <w:rtl/>
        </w:rPr>
        <w:footnoteReference w:id="24"/>
      </w:r>
      <w:r>
        <w:rPr>
          <w:rFonts w:cs="David" w:hint="cs"/>
          <w:sz w:val="24"/>
          <w:szCs w:val="24"/>
          <w:rtl/>
        </w:rPr>
        <w:t xml:space="preserve">. </w:t>
      </w:r>
    </w:p>
    <w:p w14:paraId="748CCB7C" w14:textId="77777777" w:rsidR="00DA450B" w:rsidRPr="000E52D1" w:rsidRDefault="00DA450B" w:rsidP="00FA1B49">
      <w:pPr>
        <w:pStyle w:val="ListParagraph"/>
        <w:numPr>
          <w:ilvl w:val="0"/>
          <w:numId w:val="1"/>
        </w:numPr>
        <w:spacing w:after="0" w:line="480" w:lineRule="auto"/>
        <w:jc w:val="both"/>
        <w:rPr>
          <w:rFonts w:ascii="David" w:hAnsi="David" w:cs="David"/>
          <w:b/>
          <w:bCs/>
          <w:sz w:val="24"/>
          <w:szCs w:val="24"/>
          <w:u w:val="single"/>
          <w:rtl/>
        </w:rPr>
      </w:pPr>
      <w:r w:rsidRPr="000E52D1">
        <w:rPr>
          <w:rFonts w:ascii="David" w:hAnsi="David" w:cs="David" w:hint="cs"/>
          <w:b/>
          <w:bCs/>
          <w:sz w:val="24"/>
          <w:szCs w:val="24"/>
          <w:u w:val="single"/>
          <w:rtl/>
        </w:rPr>
        <w:t xml:space="preserve">אמנות זכויות האדם </w:t>
      </w:r>
    </w:p>
    <w:p w14:paraId="748CCB7D" w14:textId="77777777" w:rsidR="00DA450B" w:rsidRDefault="00DA450B" w:rsidP="008C4038">
      <w:pPr>
        <w:spacing w:after="0" w:line="480" w:lineRule="auto"/>
        <w:jc w:val="both"/>
        <w:rPr>
          <w:rFonts w:cs="David"/>
          <w:sz w:val="24"/>
          <w:szCs w:val="24"/>
          <w:rtl/>
        </w:rPr>
      </w:pPr>
      <w:r w:rsidRPr="009C650B">
        <w:rPr>
          <w:rFonts w:cs="David" w:hint="cs"/>
          <w:sz w:val="24"/>
          <w:szCs w:val="24"/>
          <w:rtl/>
        </w:rPr>
        <w:t xml:space="preserve">על רקע מעמדה הנורמטיבי </w:t>
      </w:r>
      <w:r>
        <w:rPr>
          <w:rFonts w:cs="David" w:hint="cs"/>
          <w:sz w:val="24"/>
          <w:szCs w:val="24"/>
          <w:rtl/>
        </w:rPr>
        <w:t>ו</w:t>
      </w:r>
      <w:r w:rsidRPr="009C650B">
        <w:rPr>
          <w:rFonts w:cs="David" w:hint="cs"/>
          <w:sz w:val="24"/>
          <w:szCs w:val="24"/>
          <w:rtl/>
        </w:rPr>
        <w:t xml:space="preserve">הלא ברור של ההכרזה האוניברסלית, יזמה נציבות זכויות האדם של האו"ם בשנת 1949 את </w:t>
      </w:r>
      <w:r>
        <w:rPr>
          <w:rFonts w:cs="David" w:hint="cs"/>
          <w:sz w:val="24"/>
          <w:szCs w:val="24"/>
          <w:rtl/>
        </w:rPr>
        <w:t>גיבושה</w:t>
      </w:r>
      <w:r w:rsidRPr="009C650B">
        <w:rPr>
          <w:rFonts w:cs="David" w:hint="cs"/>
          <w:sz w:val="24"/>
          <w:szCs w:val="24"/>
          <w:rtl/>
        </w:rPr>
        <w:t xml:space="preserve"> של אמנה בינלאומית, שבה </w:t>
      </w:r>
      <w:r>
        <w:rPr>
          <w:rFonts w:cs="David" w:hint="cs"/>
          <w:sz w:val="24"/>
          <w:szCs w:val="24"/>
          <w:rtl/>
        </w:rPr>
        <w:t>עוגנו</w:t>
      </w:r>
      <w:r w:rsidRPr="009C650B">
        <w:rPr>
          <w:rFonts w:cs="David" w:hint="cs"/>
          <w:sz w:val="24"/>
          <w:szCs w:val="24"/>
          <w:rtl/>
        </w:rPr>
        <w:t xml:space="preserve"> זכויות האדם המנויות בהכרזה באופן משפטי מחייב, הכפוף למנגנוני אכיפה מחייבים, אך רק 17 שנים לאחר מכן, בשנת 1966, נכנסו לתוקף שתי אמנות זכויות האדם המרכזיות: האמנה הבינלאומית לזכויות אזרחיות ומדיניות (</w:t>
      </w:r>
      <w:r w:rsidRPr="009C650B">
        <w:rPr>
          <w:rFonts w:cs="David" w:hint="cs"/>
          <w:sz w:val="24"/>
          <w:szCs w:val="24"/>
        </w:rPr>
        <w:t>ICCPR</w:t>
      </w:r>
      <w:r w:rsidRPr="009C650B">
        <w:rPr>
          <w:rFonts w:cs="David" w:hint="cs"/>
          <w:sz w:val="24"/>
          <w:szCs w:val="24"/>
          <w:rtl/>
        </w:rPr>
        <w:t>) והאמנה הבינלאומית לזכויות כלכליות, חברתיות ותרבותיות (</w:t>
      </w:r>
      <w:r w:rsidRPr="009C650B">
        <w:rPr>
          <w:rFonts w:cs="David" w:hint="cs"/>
          <w:sz w:val="24"/>
          <w:szCs w:val="24"/>
        </w:rPr>
        <w:t>ICESCR</w:t>
      </w:r>
      <w:r>
        <w:rPr>
          <w:rFonts w:cs="David" w:hint="cs"/>
          <w:sz w:val="24"/>
          <w:szCs w:val="24"/>
          <w:rtl/>
        </w:rPr>
        <w:t>)</w:t>
      </w:r>
      <w:r>
        <w:rPr>
          <w:rStyle w:val="FootnoteReference"/>
          <w:rFonts w:cs="David"/>
          <w:sz w:val="24"/>
          <w:szCs w:val="24"/>
          <w:rtl/>
        </w:rPr>
        <w:footnoteReference w:id="25"/>
      </w:r>
      <w:r>
        <w:rPr>
          <w:rFonts w:cs="David" w:hint="cs"/>
          <w:sz w:val="24"/>
          <w:szCs w:val="24"/>
          <w:rtl/>
        </w:rPr>
        <w:t xml:space="preserve">. </w:t>
      </w:r>
    </w:p>
    <w:p w14:paraId="748CCB7E" w14:textId="77777777" w:rsidR="00DA450B" w:rsidRDefault="00DA450B" w:rsidP="00FA1B49">
      <w:pPr>
        <w:spacing w:after="0" w:line="480" w:lineRule="auto"/>
        <w:jc w:val="both"/>
        <w:rPr>
          <w:rFonts w:cs="David"/>
          <w:sz w:val="24"/>
          <w:szCs w:val="24"/>
          <w:rtl/>
        </w:rPr>
      </w:pPr>
      <w:r>
        <w:rPr>
          <w:rFonts w:cs="David" w:hint="cs"/>
          <w:sz w:val="24"/>
          <w:szCs w:val="24"/>
          <w:rtl/>
        </w:rPr>
        <w:t xml:space="preserve">הסיבה שבגינה נוצרו שתי אמנות נפרדות, היא המלחמה  הקרה בין ארצות הברית לברית המועצות. ארצות הברית טענה שזכויות אדם כוללות גם זכויות פוליטיות: זכות ההצבעה, חופש הביטוי, חופש דת וכו' ואילו ברית המועצות טענה שזכויות אדם מורכבות מזכויות חברתיות וכלכליות: חופש העיסוק, הזכות לבריאות וחינוך. זכויות האדם "נקלעו" לקונפליקט האידיאולוגי בין ארצות הברית לברית המועצות, והיה ברור שהשיח סביב השאלה מהן 'זכויות אדם' הוא למעשה ויכוח בין תפיסת העולם הדמוקרטית של המערב אל מול התפיסה הסוציאל דמוקרטית של ברית המועצות. האמנה היחידה עליה הסכימו לחתום שני הצדדים היא </w:t>
      </w:r>
      <w:r>
        <w:rPr>
          <w:rFonts w:cs="David"/>
          <w:sz w:val="24"/>
          <w:szCs w:val="24"/>
        </w:rPr>
        <w:t>'The Genocide Convention'</w:t>
      </w:r>
      <w:r>
        <w:rPr>
          <w:rFonts w:cs="David" w:hint="cs"/>
          <w:sz w:val="24"/>
          <w:szCs w:val="24"/>
          <w:rtl/>
        </w:rPr>
        <w:t>, אשר אסרה על מדינות לבצע פשע של השמדת עם</w:t>
      </w:r>
      <w:r>
        <w:rPr>
          <w:rStyle w:val="FootnoteReference"/>
          <w:rFonts w:cs="David"/>
          <w:sz w:val="24"/>
          <w:szCs w:val="24"/>
          <w:rtl/>
        </w:rPr>
        <w:footnoteReference w:id="26"/>
      </w:r>
      <w:r>
        <w:rPr>
          <w:rFonts w:cs="David" w:hint="cs"/>
          <w:sz w:val="24"/>
          <w:szCs w:val="24"/>
          <w:rtl/>
        </w:rPr>
        <w:t xml:space="preserve">. </w:t>
      </w:r>
    </w:p>
    <w:p w14:paraId="748CCB7F" w14:textId="77777777" w:rsidR="00DA450B" w:rsidRDefault="00DA450B" w:rsidP="00B217F9">
      <w:pPr>
        <w:spacing w:after="0" w:line="480" w:lineRule="auto"/>
        <w:jc w:val="both"/>
        <w:rPr>
          <w:rFonts w:cs="David"/>
          <w:sz w:val="24"/>
          <w:szCs w:val="24"/>
          <w:rtl/>
        </w:rPr>
      </w:pPr>
      <w:r>
        <w:rPr>
          <w:rFonts w:cs="David" w:hint="cs"/>
          <w:sz w:val="24"/>
          <w:szCs w:val="24"/>
          <w:rtl/>
        </w:rPr>
        <w:t xml:space="preserve">כחלק ממדיניות </w:t>
      </w:r>
      <w:proofErr w:type="spellStart"/>
      <w:r>
        <w:rPr>
          <w:rFonts w:cs="David" w:hint="cs"/>
          <w:sz w:val="24"/>
          <w:szCs w:val="24"/>
          <w:rtl/>
        </w:rPr>
        <w:t>הדטאנט</w:t>
      </w:r>
      <w:proofErr w:type="spellEnd"/>
      <w:r>
        <w:rPr>
          <w:rStyle w:val="FootnoteReference"/>
          <w:rFonts w:cs="David"/>
          <w:sz w:val="24"/>
          <w:szCs w:val="24"/>
          <w:rtl/>
        </w:rPr>
        <w:footnoteReference w:id="27"/>
      </w:r>
      <w:r w:rsidRPr="0072690B">
        <w:rPr>
          <w:rFonts w:hint="cs"/>
          <w:rtl/>
        </w:rPr>
        <w:t xml:space="preserve"> </w:t>
      </w:r>
      <w:r w:rsidRPr="0072690B">
        <w:rPr>
          <w:rFonts w:cs="David" w:hint="cs"/>
          <w:sz w:val="24"/>
          <w:szCs w:val="24"/>
          <w:rtl/>
        </w:rPr>
        <w:t>במהלכה</w:t>
      </w:r>
      <w:r w:rsidRPr="0072690B">
        <w:rPr>
          <w:rFonts w:cs="David"/>
          <w:sz w:val="24"/>
          <w:szCs w:val="24"/>
          <w:rtl/>
        </w:rPr>
        <w:t xml:space="preserve"> </w:t>
      </w:r>
      <w:r w:rsidRPr="0072690B">
        <w:rPr>
          <w:rFonts w:cs="David" w:hint="cs"/>
          <w:sz w:val="24"/>
          <w:szCs w:val="24"/>
          <w:rtl/>
        </w:rPr>
        <w:t>הופשרו</w:t>
      </w:r>
      <w:r w:rsidRPr="0072690B">
        <w:rPr>
          <w:rFonts w:cs="David"/>
          <w:sz w:val="24"/>
          <w:szCs w:val="24"/>
          <w:rtl/>
        </w:rPr>
        <w:t xml:space="preserve"> </w:t>
      </w:r>
      <w:r w:rsidRPr="0072690B">
        <w:rPr>
          <w:rFonts w:cs="David" w:hint="cs"/>
          <w:sz w:val="24"/>
          <w:szCs w:val="24"/>
          <w:rtl/>
        </w:rPr>
        <w:t>היחסים</w:t>
      </w:r>
      <w:r w:rsidRPr="0072690B">
        <w:rPr>
          <w:rFonts w:cs="David"/>
          <w:sz w:val="24"/>
          <w:szCs w:val="24"/>
          <w:rtl/>
        </w:rPr>
        <w:t xml:space="preserve"> </w:t>
      </w:r>
      <w:r w:rsidRPr="0072690B">
        <w:rPr>
          <w:rFonts w:cs="David" w:hint="cs"/>
          <w:sz w:val="24"/>
          <w:szCs w:val="24"/>
          <w:rtl/>
        </w:rPr>
        <w:t>המתוחים</w:t>
      </w:r>
      <w:r w:rsidRPr="0072690B">
        <w:rPr>
          <w:rFonts w:cs="David"/>
          <w:sz w:val="24"/>
          <w:szCs w:val="24"/>
          <w:rtl/>
        </w:rPr>
        <w:t xml:space="preserve"> </w:t>
      </w:r>
      <w:r w:rsidRPr="0072690B">
        <w:rPr>
          <w:rFonts w:cs="David" w:hint="cs"/>
          <w:sz w:val="24"/>
          <w:szCs w:val="24"/>
          <w:rtl/>
        </w:rPr>
        <w:t>של</w:t>
      </w:r>
      <w:r w:rsidRPr="0072690B">
        <w:rPr>
          <w:rFonts w:cs="David"/>
          <w:sz w:val="24"/>
          <w:szCs w:val="24"/>
          <w:rtl/>
        </w:rPr>
        <w:t xml:space="preserve"> </w:t>
      </w:r>
      <w:r w:rsidRPr="0072690B">
        <w:rPr>
          <w:rFonts w:cs="David" w:hint="cs"/>
          <w:sz w:val="24"/>
          <w:szCs w:val="24"/>
          <w:rtl/>
        </w:rPr>
        <w:t>המלחמה</w:t>
      </w:r>
      <w:r w:rsidRPr="0072690B">
        <w:rPr>
          <w:rFonts w:cs="David"/>
          <w:sz w:val="24"/>
          <w:szCs w:val="24"/>
          <w:rtl/>
        </w:rPr>
        <w:t xml:space="preserve"> </w:t>
      </w:r>
      <w:r w:rsidRPr="0072690B">
        <w:rPr>
          <w:rFonts w:cs="David" w:hint="cs"/>
          <w:sz w:val="24"/>
          <w:szCs w:val="24"/>
          <w:rtl/>
        </w:rPr>
        <w:t>הקרה</w:t>
      </w:r>
      <w:r w:rsidRPr="0072690B">
        <w:rPr>
          <w:rFonts w:cs="David"/>
          <w:sz w:val="24"/>
          <w:szCs w:val="24"/>
          <w:rtl/>
        </w:rPr>
        <w:t xml:space="preserve"> </w:t>
      </w:r>
      <w:r w:rsidRPr="0072690B">
        <w:rPr>
          <w:rFonts w:cs="David" w:hint="cs"/>
          <w:sz w:val="24"/>
          <w:szCs w:val="24"/>
          <w:rtl/>
        </w:rPr>
        <w:t>בין</w:t>
      </w:r>
      <w:r w:rsidRPr="0072690B">
        <w:rPr>
          <w:rFonts w:cs="David"/>
          <w:sz w:val="24"/>
          <w:szCs w:val="24"/>
          <w:rtl/>
        </w:rPr>
        <w:t xml:space="preserve"> </w:t>
      </w:r>
      <w:r w:rsidRPr="0072690B">
        <w:rPr>
          <w:rFonts w:cs="David" w:hint="cs"/>
          <w:sz w:val="24"/>
          <w:szCs w:val="24"/>
          <w:rtl/>
        </w:rPr>
        <w:t>ארצות</w:t>
      </w:r>
      <w:r w:rsidRPr="0072690B">
        <w:rPr>
          <w:rFonts w:cs="David"/>
          <w:sz w:val="24"/>
          <w:szCs w:val="24"/>
          <w:rtl/>
        </w:rPr>
        <w:t xml:space="preserve"> </w:t>
      </w:r>
      <w:r w:rsidRPr="0072690B">
        <w:rPr>
          <w:rFonts w:cs="David" w:hint="cs"/>
          <w:sz w:val="24"/>
          <w:szCs w:val="24"/>
          <w:rtl/>
        </w:rPr>
        <w:t>הברית</w:t>
      </w:r>
      <w:r w:rsidRPr="0072690B">
        <w:rPr>
          <w:rFonts w:cs="David"/>
          <w:sz w:val="24"/>
          <w:szCs w:val="24"/>
          <w:rtl/>
        </w:rPr>
        <w:t xml:space="preserve"> </w:t>
      </w:r>
      <w:r w:rsidRPr="0072690B">
        <w:rPr>
          <w:rFonts w:cs="David" w:hint="cs"/>
          <w:sz w:val="24"/>
          <w:szCs w:val="24"/>
          <w:rtl/>
        </w:rPr>
        <w:t>וברית</w:t>
      </w:r>
      <w:r w:rsidRPr="0072690B">
        <w:rPr>
          <w:rFonts w:cs="David"/>
          <w:sz w:val="24"/>
          <w:szCs w:val="24"/>
          <w:rtl/>
        </w:rPr>
        <w:t xml:space="preserve"> </w:t>
      </w:r>
      <w:r w:rsidRPr="0072690B">
        <w:rPr>
          <w:rFonts w:cs="David" w:hint="cs"/>
          <w:sz w:val="24"/>
          <w:szCs w:val="24"/>
          <w:rtl/>
        </w:rPr>
        <w:t>המועצות</w:t>
      </w:r>
      <w:r w:rsidRPr="0072690B">
        <w:rPr>
          <w:rFonts w:cs="David"/>
          <w:sz w:val="24"/>
          <w:szCs w:val="24"/>
          <w:rtl/>
        </w:rPr>
        <w:t xml:space="preserve">, </w:t>
      </w:r>
      <w:r>
        <w:rPr>
          <w:rFonts w:cs="David" w:hint="cs"/>
          <w:sz w:val="24"/>
          <w:szCs w:val="24"/>
          <w:rtl/>
        </w:rPr>
        <w:t>בשנת 1975 חתמו</w:t>
      </w:r>
      <w:r w:rsidRPr="0072690B">
        <w:rPr>
          <w:rFonts w:cs="David"/>
          <w:sz w:val="24"/>
          <w:szCs w:val="24"/>
          <w:rtl/>
        </w:rPr>
        <w:t xml:space="preserve"> 33 </w:t>
      </w:r>
      <w:r w:rsidRPr="0072690B">
        <w:rPr>
          <w:rFonts w:cs="David" w:hint="cs"/>
          <w:sz w:val="24"/>
          <w:szCs w:val="24"/>
          <w:rtl/>
        </w:rPr>
        <w:t>מדינות</w:t>
      </w:r>
      <w:r w:rsidRPr="0072690B">
        <w:rPr>
          <w:rFonts w:cs="David"/>
          <w:sz w:val="24"/>
          <w:szCs w:val="24"/>
          <w:rtl/>
        </w:rPr>
        <w:t xml:space="preserve"> </w:t>
      </w:r>
      <w:r w:rsidRPr="0072690B">
        <w:rPr>
          <w:rFonts w:cs="David" w:hint="cs"/>
          <w:sz w:val="24"/>
          <w:szCs w:val="24"/>
          <w:rtl/>
        </w:rPr>
        <w:t>אירופה</w:t>
      </w:r>
      <w:r>
        <w:rPr>
          <w:rFonts w:cs="David" w:hint="cs"/>
          <w:sz w:val="24"/>
          <w:szCs w:val="24"/>
          <w:rtl/>
        </w:rPr>
        <w:t xml:space="preserve"> (שהיו קיימת דאז, מלבד אלבניה)</w:t>
      </w:r>
      <w:r w:rsidRPr="0072690B">
        <w:rPr>
          <w:rFonts w:cs="David"/>
          <w:sz w:val="24"/>
          <w:szCs w:val="24"/>
          <w:rtl/>
        </w:rPr>
        <w:t xml:space="preserve">, </w:t>
      </w:r>
      <w:r>
        <w:rPr>
          <w:rFonts w:cs="David" w:hint="cs"/>
          <w:sz w:val="24"/>
          <w:szCs w:val="24"/>
          <w:rtl/>
        </w:rPr>
        <w:t>בנוסף לארצות הברית וקנדה</w:t>
      </w:r>
      <w:r w:rsidRPr="0072690B">
        <w:rPr>
          <w:rFonts w:cs="David"/>
          <w:sz w:val="24"/>
          <w:szCs w:val="24"/>
          <w:rtl/>
        </w:rPr>
        <w:t xml:space="preserve">, </w:t>
      </w:r>
      <w:r w:rsidRPr="0072690B">
        <w:rPr>
          <w:rFonts w:cs="David" w:hint="cs"/>
          <w:sz w:val="24"/>
          <w:szCs w:val="24"/>
          <w:rtl/>
        </w:rPr>
        <w:t>על</w:t>
      </w:r>
      <w:r w:rsidRPr="0072690B">
        <w:rPr>
          <w:rFonts w:cs="David"/>
          <w:sz w:val="24"/>
          <w:szCs w:val="24"/>
          <w:rtl/>
        </w:rPr>
        <w:t xml:space="preserve"> </w:t>
      </w:r>
      <w:r w:rsidRPr="0072690B">
        <w:rPr>
          <w:rFonts w:cs="David" w:hint="cs"/>
          <w:sz w:val="24"/>
          <w:szCs w:val="24"/>
          <w:rtl/>
        </w:rPr>
        <w:t>הסכמי</w:t>
      </w:r>
      <w:r w:rsidRPr="0072690B">
        <w:rPr>
          <w:rFonts w:cs="David"/>
          <w:sz w:val="24"/>
          <w:szCs w:val="24"/>
          <w:rtl/>
        </w:rPr>
        <w:t xml:space="preserve"> </w:t>
      </w:r>
      <w:r w:rsidRPr="0072690B">
        <w:rPr>
          <w:rFonts w:cs="David" w:hint="cs"/>
          <w:sz w:val="24"/>
          <w:szCs w:val="24"/>
          <w:rtl/>
        </w:rPr>
        <w:t>הלסינקי</w:t>
      </w:r>
      <w:r>
        <w:rPr>
          <w:rStyle w:val="FootnoteReference"/>
          <w:rFonts w:cs="David"/>
          <w:sz w:val="24"/>
          <w:szCs w:val="24"/>
          <w:rtl/>
        </w:rPr>
        <w:footnoteReference w:id="28"/>
      </w:r>
      <w:r w:rsidRPr="0072690B">
        <w:rPr>
          <w:rFonts w:cs="David"/>
          <w:sz w:val="24"/>
          <w:szCs w:val="24"/>
          <w:rtl/>
        </w:rPr>
        <w:t xml:space="preserve">, </w:t>
      </w:r>
      <w:r w:rsidRPr="0072690B">
        <w:rPr>
          <w:rFonts w:cs="David" w:hint="cs"/>
          <w:sz w:val="24"/>
          <w:szCs w:val="24"/>
          <w:rtl/>
        </w:rPr>
        <w:t>שעיקרם</w:t>
      </w:r>
      <w:r w:rsidRPr="0072690B">
        <w:rPr>
          <w:rFonts w:cs="David"/>
          <w:sz w:val="24"/>
          <w:szCs w:val="24"/>
          <w:rtl/>
        </w:rPr>
        <w:t xml:space="preserve"> </w:t>
      </w:r>
      <w:r w:rsidRPr="0072690B">
        <w:rPr>
          <w:rFonts w:cs="David" w:hint="cs"/>
          <w:sz w:val="24"/>
          <w:szCs w:val="24"/>
          <w:rtl/>
        </w:rPr>
        <w:t>כיבוד</w:t>
      </w:r>
      <w:r w:rsidRPr="0072690B">
        <w:rPr>
          <w:rFonts w:cs="David"/>
          <w:sz w:val="24"/>
          <w:szCs w:val="24"/>
          <w:rtl/>
        </w:rPr>
        <w:t xml:space="preserve"> </w:t>
      </w:r>
      <w:r w:rsidRPr="0072690B">
        <w:rPr>
          <w:rFonts w:cs="David" w:hint="cs"/>
          <w:sz w:val="24"/>
          <w:szCs w:val="24"/>
          <w:rtl/>
        </w:rPr>
        <w:t>עיקרון</w:t>
      </w:r>
      <w:r w:rsidRPr="0072690B">
        <w:rPr>
          <w:rFonts w:cs="David"/>
          <w:sz w:val="24"/>
          <w:szCs w:val="24"/>
          <w:rtl/>
        </w:rPr>
        <w:t xml:space="preserve"> </w:t>
      </w:r>
      <w:r w:rsidRPr="0072690B">
        <w:rPr>
          <w:rFonts w:cs="David" w:hint="cs"/>
          <w:sz w:val="24"/>
          <w:szCs w:val="24"/>
          <w:rtl/>
        </w:rPr>
        <w:t>הריבונות</w:t>
      </w:r>
      <w:r w:rsidRPr="0072690B">
        <w:rPr>
          <w:rFonts w:cs="David"/>
          <w:sz w:val="24"/>
          <w:szCs w:val="24"/>
          <w:rtl/>
        </w:rPr>
        <w:t xml:space="preserve"> </w:t>
      </w:r>
      <w:r w:rsidRPr="0072690B">
        <w:rPr>
          <w:rFonts w:cs="David" w:hint="cs"/>
          <w:sz w:val="24"/>
          <w:szCs w:val="24"/>
          <w:rtl/>
        </w:rPr>
        <w:t>ושמירה</w:t>
      </w:r>
      <w:r w:rsidRPr="0072690B">
        <w:rPr>
          <w:rFonts w:cs="David"/>
          <w:sz w:val="24"/>
          <w:szCs w:val="24"/>
          <w:rtl/>
        </w:rPr>
        <w:t xml:space="preserve"> </w:t>
      </w:r>
      <w:r w:rsidRPr="0072690B">
        <w:rPr>
          <w:rFonts w:cs="David" w:hint="cs"/>
          <w:sz w:val="24"/>
          <w:szCs w:val="24"/>
          <w:rtl/>
        </w:rPr>
        <w:t>על</w:t>
      </w:r>
      <w:r w:rsidRPr="0072690B">
        <w:rPr>
          <w:rFonts w:cs="David"/>
          <w:sz w:val="24"/>
          <w:szCs w:val="24"/>
          <w:rtl/>
        </w:rPr>
        <w:t xml:space="preserve"> </w:t>
      </w:r>
      <w:r w:rsidRPr="0072690B">
        <w:rPr>
          <w:rFonts w:cs="David" w:hint="cs"/>
          <w:sz w:val="24"/>
          <w:szCs w:val="24"/>
          <w:rtl/>
        </w:rPr>
        <w:t>זכויות</w:t>
      </w:r>
      <w:r w:rsidRPr="0072690B">
        <w:rPr>
          <w:rFonts w:cs="David"/>
          <w:sz w:val="24"/>
          <w:szCs w:val="24"/>
          <w:rtl/>
        </w:rPr>
        <w:t xml:space="preserve"> </w:t>
      </w:r>
      <w:r w:rsidRPr="0072690B">
        <w:rPr>
          <w:rFonts w:cs="David" w:hint="cs"/>
          <w:sz w:val="24"/>
          <w:szCs w:val="24"/>
          <w:rtl/>
        </w:rPr>
        <w:t>אדם</w:t>
      </w:r>
      <w:r w:rsidRPr="0072690B">
        <w:rPr>
          <w:rFonts w:cs="David"/>
          <w:sz w:val="24"/>
          <w:szCs w:val="24"/>
          <w:rtl/>
        </w:rPr>
        <w:t xml:space="preserve"> </w:t>
      </w:r>
      <w:r w:rsidRPr="0072690B">
        <w:rPr>
          <w:rFonts w:cs="David" w:hint="cs"/>
          <w:sz w:val="24"/>
          <w:szCs w:val="24"/>
          <w:rtl/>
        </w:rPr>
        <w:t>וחירויות</w:t>
      </w:r>
      <w:r w:rsidRPr="0072690B">
        <w:rPr>
          <w:rFonts w:cs="David"/>
          <w:sz w:val="24"/>
          <w:szCs w:val="24"/>
          <w:rtl/>
        </w:rPr>
        <w:t xml:space="preserve"> </w:t>
      </w:r>
      <w:r w:rsidRPr="0072690B">
        <w:rPr>
          <w:rFonts w:cs="David" w:hint="cs"/>
          <w:sz w:val="24"/>
          <w:szCs w:val="24"/>
          <w:rtl/>
        </w:rPr>
        <w:t>יסוד</w:t>
      </w:r>
      <w:r w:rsidRPr="0072690B">
        <w:rPr>
          <w:rFonts w:cs="David"/>
          <w:sz w:val="24"/>
          <w:szCs w:val="24"/>
          <w:rtl/>
        </w:rPr>
        <w:t xml:space="preserve">. </w:t>
      </w:r>
      <w:r>
        <w:rPr>
          <w:rFonts w:cs="David" w:hint="cs"/>
          <w:sz w:val="24"/>
          <w:szCs w:val="24"/>
          <w:rtl/>
        </w:rPr>
        <w:t>כחלק מהחתימה על ההסכמים, התחייבה ברית המועצות לדאוג לכבד 'זכויות אדם' ואשררה את אמנת ה</w:t>
      </w:r>
      <w:r>
        <w:rPr>
          <w:rFonts w:cs="David" w:hint="cs"/>
          <w:sz w:val="24"/>
          <w:szCs w:val="24"/>
        </w:rPr>
        <w:t>ICCPR</w:t>
      </w:r>
      <w:r>
        <w:rPr>
          <w:rFonts w:cs="David" w:hint="cs"/>
          <w:sz w:val="24"/>
          <w:szCs w:val="24"/>
          <w:rtl/>
        </w:rPr>
        <w:t xml:space="preserve"> בשנת 1976</w:t>
      </w:r>
      <w:commentRangeStart w:id="87"/>
      <w:r>
        <w:rPr>
          <w:rStyle w:val="FootnoteReference"/>
          <w:rFonts w:cs="David"/>
          <w:sz w:val="24"/>
          <w:szCs w:val="24"/>
          <w:rtl/>
        </w:rPr>
        <w:footnoteReference w:id="29"/>
      </w:r>
      <w:commentRangeEnd w:id="87"/>
      <w:r w:rsidR="003B7CBA">
        <w:rPr>
          <w:rStyle w:val="CommentReference"/>
        </w:rPr>
        <w:commentReference w:id="87"/>
      </w:r>
      <w:r>
        <w:rPr>
          <w:rFonts w:cs="David" w:hint="cs"/>
          <w:sz w:val="24"/>
          <w:szCs w:val="24"/>
          <w:rtl/>
        </w:rPr>
        <w:t xml:space="preserve">.  </w:t>
      </w:r>
    </w:p>
    <w:p w14:paraId="748CCB80" w14:textId="77777777" w:rsidR="00DA450B" w:rsidRDefault="00DA450B" w:rsidP="00980B41">
      <w:pPr>
        <w:spacing w:after="0" w:line="480" w:lineRule="auto"/>
        <w:jc w:val="both"/>
        <w:rPr>
          <w:rFonts w:cs="David"/>
          <w:sz w:val="24"/>
          <w:szCs w:val="24"/>
          <w:rtl/>
        </w:rPr>
      </w:pPr>
      <w:r>
        <w:rPr>
          <w:rFonts w:cs="David" w:hint="cs"/>
          <w:sz w:val="24"/>
          <w:szCs w:val="24"/>
          <w:rtl/>
        </w:rPr>
        <w:t xml:space="preserve">על אף היחסים הקרים בין שני הגושים, במהלך השנים שלאחר </w:t>
      </w:r>
      <w:r w:rsidRPr="00980B41">
        <w:rPr>
          <w:rFonts w:cs="David" w:hint="cs"/>
          <w:sz w:val="24"/>
          <w:szCs w:val="24"/>
          <w:rtl/>
        </w:rPr>
        <w:t xml:space="preserve">ההכרזה </w:t>
      </w:r>
      <w:r>
        <w:rPr>
          <w:rFonts w:cs="David" w:hint="cs"/>
          <w:sz w:val="24"/>
          <w:szCs w:val="24"/>
          <w:rtl/>
        </w:rPr>
        <w:t>האוניברסלית נוצרה מערכת ענפה של אמנות, הצהרות ומנגנונים בינלאומיים, שעניינם הגנה על זכויות האדם, חלקם במישור העולמי וחלקם במישור האזורי. כיום, מערכת גופי האמנה כוללת 10 וועדות מומחים, שהמנדט שלהן נובע מכוחן של 9 אמנות ליבה והפרוטוקול האופציונלי של האמנה נגד עינויים</w:t>
      </w:r>
      <w:r>
        <w:rPr>
          <w:rStyle w:val="FootnoteReference"/>
          <w:rFonts w:cs="David"/>
          <w:sz w:val="24"/>
          <w:szCs w:val="24"/>
          <w:rtl/>
        </w:rPr>
        <w:footnoteReference w:id="30"/>
      </w:r>
      <w:r>
        <w:rPr>
          <w:rFonts w:cs="David" w:hint="cs"/>
          <w:sz w:val="24"/>
          <w:szCs w:val="24"/>
          <w:rtl/>
        </w:rPr>
        <w:t xml:space="preserve">. שלוש אמנות התקבלו בשנות ה-60': האמנה הבינלאומית בדבר ביעור כל הצורות של אפליה גזעית (1965); האמנה הבינלאומית בדבר זכויות אזרחיות ומדיניות (1966); האמנה הבינלאומית בדבר זכויות כלכליות, חברתיות ותרבותיות (1966); שלוש אמנות נוספות התקבלו בזמן </w:t>
      </w:r>
      <w:proofErr w:type="spellStart"/>
      <w:r>
        <w:rPr>
          <w:rFonts w:cs="David" w:hint="cs"/>
          <w:sz w:val="24"/>
          <w:szCs w:val="24"/>
          <w:rtl/>
        </w:rPr>
        <w:t>הדטאנט</w:t>
      </w:r>
      <w:proofErr w:type="spellEnd"/>
      <w:r>
        <w:rPr>
          <w:rFonts w:cs="David" w:hint="cs"/>
          <w:sz w:val="24"/>
          <w:szCs w:val="24"/>
          <w:rtl/>
        </w:rPr>
        <w:t>: האמנה בדבר ביטול אפליה נגד נשים לצורותיה (1979); האמנה נגד עינויים ונגד יחס ועונשים אכזריים, בלתי אנושיים ומשפילים (1984); האמנה בדבר זכויות הילד (1989); ושתיים נוספות לאחר נפילת הגוש הסובייטי: האמנה הבינלאומית בדבר הגנה על זכויותיהם של מהגרי עבודה ובני משפחותיהם (1990); האמנה הבינלאומית בדבר הגנה על בני אדם מפני היעלמות כפויה (2006); והאמנה בדבר אנשים עם מוגבלויות (2006)</w:t>
      </w:r>
      <w:r>
        <w:rPr>
          <w:rStyle w:val="FootnoteReference"/>
          <w:rFonts w:cs="David"/>
          <w:sz w:val="24"/>
          <w:szCs w:val="24"/>
          <w:rtl/>
        </w:rPr>
        <w:footnoteReference w:id="31"/>
      </w:r>
      <w:r>
        <w:rPr>
          <w:rFonts w:cs="David" w:hint="cs"/>
          <w:sz w:val="24"/>
          <w:szCs w:val="24"/>
          <w:rtl/>
        </w:rPr>
        <w:t>.</w:t>
      </w:r>
    </w:p>
    <w:p w14:paraId="748CCB81" w14:textId="77777777" w:rsidR="00DA450B" w:rsidRDefault="00DA450B" w:rsidP="00985C7F">
      <w:pPr>
        <w:spacing w:after="0" w:line="480" w:lineRule="auto"/>
        <w:jc w:val="both"/>
        <w:rPr>
          <w:rFonts w:cs="David"/>
          <w:sz w:val="24"/>
          <w:szCs w:val="24"/>
          <w:rtl/>
        </w:rPr>
      </w:pPr>
    </w:p>
    <w:p w14:paraId="748CCB82" w14:textId="77777777" w:rsidR="00DA450B" w:rsidRPr="007F0D48" w:rsidRDefault="00DA450B" w:rsidP="00AE7E2D">
      <w:pPr>
        <w:spacing w:after="0" w:line="480" w:lineRule="auto"/>
        <w:jc w:val="both"/>
        <w:rPr>
          <w:rFonts w:cs="David"/>
          <w:sz w:val="24"/>
          <w:szCs w:val="24"/>
          <w:rtl/>
        </w:rPr>
      </w:pPr>
      <w:r>
        <w:rPr>
          <w:rFonts w:cs="David" w:hint="cs"/>
          <w:sz w:val="24"/>
          <w:szCs w:val="24"/>
          <w:rtl/>
        </w:rPr>
        <w:t xml:space="preserve">תקופת </w:t>
      </w:r>
      <w:proofErr w:type="spellStart"/>
      <w:r>
        <w:rPr>
          <w:rFonts w:cs="David" w:hint="cs"/>
          <w:sz w:val="24"/>
          <w:szCs w:val="24"/>
          <w:rtl/>
        </w:rPr>
        <w:t>הדטאנט</w:t>
      </w:r>
      <w:proofErr w:type="spellEnd"/>
      <w:r>
        <w:rPr>
          <w:rFonts w:cs="David" w:hint="cs"/>
          <w:sz w:val="24"/>
          <w:szCs w:val="24"/>
          <w:rtl/>
        </w:rPr>
        <w:t xml:space="preserve"> ובהמשך התפרקות ברית המועצות, הובילה את "משטר" זכויות האדם הבינלאומי מהשלב ההצהרתי לשלב המעשי. הפשרת היחסים עם ברית המועצות הביאה להרחבת אזורי ההשפעה של '</w:t>
      </w:r>
      <w:r w:rsidRPr="008B37BF">
        <w:rPr>
          <w:rFonts w:cs="David" w:hint="cs"/>
          <w:sz w:val="24"/>
          <w:szCs w:val="24"/>
          <w:rtl/>
        </w:rPr>
        <w:t>משטר</w:t>
      </w:r>
      <w:r>
        <w:rPr>
          <w:rFonts w:cs="David" w:hint="cs"/>
          <w:sz w:val="24"/>
          <w:szCs w:val="24"/>
          <w:rtl/>
        </w:rPr>
        <w:t xml:space="preserve"> זכויות האדם' גם לאמריקה הלטינית ומזרח אירופה וכן נרשמה עלייה במספרן של המדינות הדמוקרטיות, תהליכים אשר הובילו לעליה במספר המדינות שהצטרפו לאמנות השונות ובהרחבת השפעת משפט זכויות האדם הבינלאומי</w:t>
      </w:r>
      <w:commentRangeStart w:id="118"/>
      <w:r>
        <w:rPr>
          <w:rStyle w:val="FootnoteReference"/>
          <w:rFonts w:cs="David"/>
          <w:sz w:val="24"/>
          <w:szCs w:val="24"/>
          <w:rtl/>
        </w:rPr>
        <w:footnoteReference w:id="32"/>
      </w:r>
      <w:commentRangeEnd w:id="118"/>
      <w:r w:rsidR="00BC0044">
        <w:rPr>
          <w:rStyle w:val="CommentReference"/>
        </w:rPr>
        <w:commentReference w:id="118"/>
      </w:r>
      <w:r>
        <w:rPr>
          <w:rFonts w:cs="David" w:hint="cs"/>
          <w:sz w:val="24"/>
          <w:szCs w:val="24"/>
          <w:rtl/>
        </w:rPr>
        <w:t>. שדולה אזרחית בינלאומיות הוקמה במטרה לסייע להתפתחותם של ארגוני זכויות אדם ברמה הלאומית במדינות השונות, כולל במדינות שלא אפשרו קיום לאופוזיציה פוליטית, פעילות שחיזקה עוד יותר את מעמדו של משפט זכויות האדם הבינלאומי</w:t>
      </w:r>
      <w:r>
        <w:rPr>
          <w:rStyle w:val="FootnoteReference"/>
          <w:rFonts w:cs="David"/>
          <w:sz w:val="24"/>
          <w:szCs w:val="24"/>
          <w:rtl/>
        </w:rPr>
        <w:footnoteReference w:id="33"/>
      </w:r>
      <w:r>
        <w:rPr>
          <w:rFonts w:cs="David" w:hint="cs"/>
          <w:sz w:val="24"/>
          <w:szCs w:val="24"/>
          <w:rtl/>
        </w:rPr>
        <w:t xml:space="preserve">. 'משטר זכויות אדם בינלאומי' התבסס בצורה משמעותית בתחילת שנות ה-90', במובן שהייתה הסכמה רחבה בקרב מרבית מדינות העולם כי יש לכבד 'זכויות אדם', על אף חילוקי הדעות ביחס למה נכנס תחת המטריה של 'זכויות אדם'. מגמה זו נמשכת עד לימנו, כשבממוצע </w:t>
      </w:r>
      <w:r w:rsidRPr="007F0D48">
        <w:rPr>
          <w:rFonts w:cs="David" w:hint="cs"/>
          <w:sz w:val="24"/>
          <w:szCs w:val="24"/>
          <w:rtl/>
        </w:rPr>
        <w:t>כל אחת מאמנות זכויות האדם אושררה על ידי כ-150 מדינות</w:t>
      </w:r>
      <w:r w:rsidRPr="007F0D48">
        <w:rPr>
          <w:rStyle w:val="FootnoteReference"/>
          <w:rFonts w:cs="David"/>
          <w:sz w:val="24"/>
          <w:szCs w:val="24"/>
          <w:rtl/>
        </w:rPr>
        <w:footnoteReference w:id="34"/>
      </w:r>
      <w:r w:rsidRPr="007F0D48">
        <w:rPr>
          <w:rFonts w:cs="David" w:hint="cs"/>
          <w:sz w:val="24"/>
          <w:szCs w:val="24"/>
          <w:rtl/>
        </w:rPr>
        <w:t xml:space="preserve">. </w:t>
      </w:r>
    </w:p>
    <w:p w14:paraId="748CCB83" w14:textId="77777777" w:rsidR="00DA450B" w:rsidRDefault="00DA450B" w:rsidP="00FA1B49">
      <w:pPr>
        <w:spacing w:after="0" w:line="480" w:lineRule="auto"/>
        <w:jc w:val="both"/>
        <w:rPr>
          <w:rFonts w:cs="David"/>
          <w:sz w:val="24"/>
          <w:szCs w:val="24"/>
          <w:u w:val="single"/>
          <w:rtl/>
        </w:rPr>
      </w:pPr>
      <w:r>
        <w:rPr>
          <w:rFonts w:cs="David" w:hint="cs"/>
          <w:sz w:val="24"/>
          <w:szCs w:val="24"/>
          <w:u w:val="single"/>
          <w:rtl/>
        </w:rPr>
        <w:t xml:space="preserve">2.1 </w:t>
      </w:r>
      <w:r w:rsidRPr="00243008">
        <w:rPr>
          <w:rFonts w:cs="David" w:hint="cs"/>
          <w:sz w:val="24"/>
          <w:szCs w:val="24"/>
          <w:u w:val="single"/>
          <w:rtl/>
        </w:rPr>
        <w:t xml:space="preserve">משמעות ההצטרפות לאמנות זכויות האדם </w:t>
      </w:r>
    </w:p>
    <w:p w14:paraId="748CCB84" w14:textId="77777777" w:rsidR="00DA450B" w:rsidRDefault="00DA450B" w:rsidP="00CF52DE">
      <w:pPr>
        <w:spacing w:after="0" w:line="480" w:lineRule="auto"/>
        <w:jc w:val="both"/>
        <w:rPr>
          <w:rFonts w:cs="David"/>
          <w:sz w:val="24"/>
          <w:szCs w:val="24"/>
          <w:rtl/>
        </w:rPr>
      </w:pPr>
      <w:r>
        <w:rPr>
          <w:rFonts w:cs="David" w:hint="cs"/>
          <w:sz w:val="24"/>
          <w:szCs w:val="24"/>
          <w:rtl/>
        </w:rPr>
        <w:t>בהצטרפות לאמנת זכויות אדם, מקבלת על עצמה המדינה התחייבות בעלת אופי משפטי כפול: ההצטרפות מהווה הצהרה משפטית מחייבת של המדינה על נכונותה וחובתה לפעול בהתאם לאמנה והוראותיה ובנוסף, המדינה מקבלת על עצמה התחייבות הדדית כלפי כל אחת מהמדינות האחרות החברות באמנה.</w:t>
      </w:r>
      <w:r>
        <w:rPr>
          <w:rStyle w:val="FootnoteReference"/>
          <w:rFonts w:cs="David"/>
          <w:sz w:val="24"/>
          <w:szCs w:val="24"/>
          <w:rtl/>
        </w:rPr>
        <w:footnoteReference w:id="35"/>
      </w:r>
      <w:r>
        <w:rPr>
          <w:rFonts w:cs="David" w:hint="cs"/>
          <w:sz w:val="24"/>
          <w:szCs w:val="24"/>
          <w:rtl/>
        </w:rPr>
        <w:t xml:space="preserve"> לאמנות זכויות האדם השונות ישנן מאפיינים דומים: העיקרון לפיו "חוזים יש לקיים" הינו עקרון מרכזי בדיני האמנות  הבינלאומיים, ועל פי אמנת וינה בדבר דיני אמנות (להלן: "</w:t>
      </w:r>
      <w:r w:rsidRPr="00024412">
        <w:rPr>
          <w:rFonts w:cs="David" w:hint="cs"/>
          <w:b/>
          <w:bCs/>
          <w:sz w:val="24"/>
          <w:szCs w:val="24"/>
          <w:rtl/>
        </w:rPr>
        <w:t>אמנת וינה</w:t>
      </w:r>
      <w:r>
        <w:rPr>
          <w:rFonts w:cs="David" w:hint="cs"/>
          <w:sz w:val="24"/>
          <w:szCs w:val="24"/>
          <w:rtl/>
        </w:rPr>
        <w:t>")</w:t>
      </w:r>
      <w:r>
        <w:rPr>
          <w:rStyle w:val="FootnoteReference"/>
          <w:rFonts w:cs="David"/>
          <w:sz w:val="24"/>
          <w:szCs w:val="24"/>
          <w:rtl/>
        </w:rPr>
        <w:footnoteReference w:id="36"/>
      </w:r>
      <w:r>
        <w:rPr>
          <w:rFonts w:cs="David" w:hint="cs"/>
          <w:sz w:val="24"/>
          <w:szCs w:val="24"/>
          <w:rtl/>
        </w:rPr>
        <w:t>, על מדינה שהצטרפה לאמנה בינלאומית מוטלת החובה למלא בתום-לב אחר ההתחייבות שנטלה על עצמה. על כן, מדינה אינה יכולה לטעון שאין ביכולתה לפעול בניגוד לאמור באמנה בשל החוק הפנימי שלה</w:t>
      </w:r>
      <w:r>
        <w:rPr>
          <w:rStyle w:val="FootnoteReference"/>
          <w:rFonts w:cs="David"/>
          <w:sz w:val="24"/>
          <w:szCs w:val="24"/>
          <w:rtl/>
        </w:rPr>
        <w:footnoteReference w:id="37"/>
      </w:r>
      <w:r>
        <w:rPr>
          <w:rFonts w:cs="David" w:hint="cs"/>
          <w:sz w:val="24"/>
          <w:szCs w:val="24"/>
          <w:rtl/>
        </w:rPr>
        <w:t>, הדרישה היא לשלב את השמירה על זכויות האדם בתוך חוקי המדינה ולהתאים את משפטה הפנימי להתחייבויותיה הבינלאומיות</w:t>
      </w:r>
      <w:r>
        <w:rPr>
          <w:rStyle w:val="FootnoteReference"/>
          <w:rFonts w:cs="David"/>
          <w:sz w:val="24"/>
          <w:szCs w:val="24"/>
          <w:rtl/>
        </w:rPr>
        <w:footnoteReference w:id="38"/>
      </w:r>
      <w:r>
        <w:rPr>
          <w:rFonts w:cs="David" w:hint="cs"/>
          <w:sz w:val="24"/>
          <w:szCs w:val="24"/>
          <w:rtl/>
        </w:rPr>
        <w:t xml:space="preserve">. </w:t>
      </w:r>
    </w:p>
    <w:p w14:paraId="748CCB85" w14:textId="77777777" w:rsidR="00DA450B" w:rsidRPr="007E7B80" w:rsidRDefault="00DA450B" w:rsidP="00334BA9">
      <w:pPr>
        <w:spacing w:after="0" w:line="480" w:lineRule="auto"/>
        <w:jc w:val="both"/>
        <w:rPr>
          <w:rFonts w:cs="David"/>
          <w:sz w:val="24"/>
          <w:szCs w:val="24"/>
          <w:highlight w:val="lightGray"/>
          <w:rtl/>
        </w:rPr>
      </w:pPr>
      <w:r w:rsidRPr="007E7B80">
        <w:rPr>
          <w:rFonts w:cs="David" w:hint="cs"/>
          <w:sz w:val="24"/>
          <w:szCs w:val="24"/>
          <w:rtl/>
        </w:rPr>
        <w:t>כהמשך לאמור באמנת וינה, בשנת 2004 יצא מטעם ה</w:t>
      </w:r>
      <w:r w:rsidRPr="007E7B80">
        <w:rPr>
          <w:rFonts w:cs="David" w:hint="cs"/>
          <w:sz w:val="24"/>
          <w:szCs w:val="24"/>
        </w:rPr>
        <w:t>ICCPR</w:t>
      </w:r>
      <w:r w:rsidRPr="007E7B80">
        <w:rPr>
          <w:rFonts w:cs="David" w:hint="cs"/>
          <w:sz w:val="24"/>
          <w:szCs w:val="24"/>
          <w:rtl/>
        </w:rPr>
        <w:t xml:space="preserve"> המלצה כללית מס' 31 </w:t>
      </w:r>
      <w:r>
        <w:rPr>
          <w:rFonts w:cs="David" w:hint="cs"/>
          <w:sz w:val="24"/>
          <w:szCs w:val="24"/>
          <w:rtl/>
        </w:rPr>
        <w:t>(</w:t>
      </w:r>
      <w:r>
        <w:rPr>
          <w:rFonts w:cs="David"/>
          <w:sz w:val="24"/>
          <w:szCs w:val="24"/>
        </w:rPr>
        <w:t xml:space="preserve">General </w:t>
      </w:r>
      <w:r w:rsidRPr="007E7B80">
        <w:rPr>
          <w:rFonts w:cs="David"/>
          <w:sz w:val="24"/>
          <w:szCs w:val="24"/>
        </w:rPr>
        <w:t>Comment No.31</w:t>
      </w:r>
      <w:r w:rsidRPr="007E7B80">
        <w:rPr>
          <w:rFonts w:cs="David" w:hint="cs"/>
          <w:sz w:val="24"/>
          <w:szCs w:val="24"/>
          <w:rtl/>
        </w:rPr>
        <w:t>) שכותרתה:</w:t>
      </w:r>
      <w:r w:rsidRPr="007E7B80">
        <w:rPr>
          <w:rFonts w:cs="David"/>
          <w:sz w:val="24"/>
          <w:szCs w:val="24"/>
          <w:rtl/>
        </w:rPr>
        <w:t xml:space="preserve"> </w:t>
      </w:r>
      <w:r w:rsidRPr="007E7B80">
        <w:rPr>
          <w:rFonts w:cs="David"/>
          <w:sz w:val="24"/>
          <w:szCs w:val="24"/>
        </w:rPr>
        <w:t>'The Nature of the General Legal Obligation Imposed on</w:t>
      </w:r>
      <w:r w:rsidRPr="00ED69C6">
        <w:rPr>
          <w:rFonts w:cs="David"/>
          <w:sz w:val="24"/>
          <w:szCs w:val="24"/>
        </w:rPr>
        <w:t xml:space="preserve"> States Parties to the Covenant</w:t>
      </w:r>
      <w:r>
        <w:rPr>
          <w:rFonts w:cs="David"/>
          <w:sz w:val="24"/>
          <w:szCs w:val="24"/>
        </w:rPr>
        <w:t>'</w:t>
      </w:r>
      <w:r>
        <w:rPr>
          <w:rStyle w:val="FootnoteReference"/>
          <w:rFonts w:cs="David"/>
          <w:sz w:val="24"/>
          <w:szCs w:val="24"/>
        </w:rPr>
        <w:footnoteReference w:id="39"/>
      </w:r>
      <w:r>
        <w:rPr>
          <w:rFonts w:cs="David" w:hint="cs"/>
          <w:sz w:val="24"/>
          <w:szCs w:val="24"/>
          <w:rtl/>
        </w:rPr>
        <w:t>, ושבמסגרתה פורטו המחויבויות של מדינות המאשררות אמנות ביחס לחוק הפנימי אל מול הסטנדרטים הבינלאומיים וכן מאזכרת את המחויבות של המדינות אל מול האמור באמנת וינה</w:t>
      </w:r>
      <w:r>
        <w:rPr>
          <w:rStyle w:val="FootnoteReference"/>
          <w:rFonts w:cs="David"/>
          <w:sz w:val="24"/>
          <w:szCs w:val="24"/>
          <w:rtl/>
        </w:rPr>
        <w:footnoteReference w:id="40"/>
      </w:r>
      <w:r>
        <w:rPr>
          <w:rFonts w:cs="David" w:hint="cs"/>
          <w:sz w:val="24"/>
          <w:szCs w:val="24"/>
          <w:rtl/>
        </w:rPr>
        <w:t>. עוד מודגש במסמך, כי מקום שבו החוק המדינתי לא תואם את הסטנדרטים הבינלאומיים, על המדינה לדאוג לגשר על הפער ובמצב אידיאלי המדינות החברות יאמצו את האמור באמנה לדין המקומי,  כדי להקל מימוש הזכויות האמורות באמנה</w:t>
      </w:r>
      <w:r>
        <w:rPr>
          <w:rStyle w:val="FootnoteReference"/>
          <w:rFonts w:cs="David"/>
          <w:sz w:val="24"/>
          <w:szCs w:val="24"/>
          <w:rtl/>
        </w:rPr>
        <w:footnoteReference w:id="41"/>
      </w:r>
      <w:r>
        <w:rPr>
          <w:rFonts w:cs="David" w:hint="cs"/>
          <w:sz w:val="24"/>
          <w:szCs w:val="24"/>
          <w:rtl/>
        </w:rPr>
        <w:t>. יצוין כי,  בעת ההצטרפות לאמנה המדינות רשאיות להכריז כי הן מסתייגות מסעיף או מסעיפים מסוימים באמנה ואינן רואות את עצמן מחויבות להם. על פי אמנת וינה, הסתייגות מהוראות אמנה אסורה כאשר האמנה אוסרת על כך או כאשר ההסתייגות אינה מתיישבת עם נושא האמנה ומטרתה</w:t>
      </w:r>
      <w:r>
        <w:rPr>
          <w:rStyle w:val="FootnoteReference"/>
          <w:rFonts w:cs="David"/>
          <w:sz w:val="24"/>
          <w:szCs w:val="24"/>
          <w:rtl/>
        </w:rPr>
        <w:footnoteReference w:id="42"/>
      </w:r>
      <w:r>
        <w:rPr>
          <w:rFonts w:cs="David" w:hint="cs"/>
          <w:sz w:val="24"/>
          <w:szCs w:val="24"/>
          <w:rtl/>
        </w:rPr>
        <w:t xml:space="preserve">. </w:t>
      </w:r>
    </w:p>
    <w:p w14:paraId="748CCB86" w14:textId="77777777" w:rsidR="00DA450B" w:rsidRDefault="00DA450B" w:rsidP="00FA1B49">
      <w:pPr>
        <w:spacing w:after="0" w:line="480" w:lineRule="auto"/>
        <w:jc w:val="both"/>
        <w:rPr>
          <w:rFonts w:cs="David"/>
          <w:sz w:val="24"/>
          <w:szCs w:val="24"/>
          <w:u w:val="single"/>
          <w:rtl/>
        </w:rPr>
      </w:pPr>
      <w:r w:rsidRPr="000E50A7">
        <w:rPr>
          <w:rFonts w:cs="David" w:hint="cs"/>
          <w:sz w:val="24"/>
          <w:szCs w:val="24"/>
          <w:u w:val="single"/>
          <w:rtl/>
        </w:rPr>
        <w:t xml:space="preserve">2.2 מנגנוני פיקוח על אמנות זכויות האדם </w:t>
      </w:r>
    </w:p>
    <w:p w14:paraId="748CCB87" w14:textId="77777777" w:rsidR="00DA450B" w:rsidRDefault="00DA450B" w:rsidP="00C66A70">
      <w:pPr>
        <w:spacing w:after="0" w:line="480" w:lineRule="auto"/>
        <w:jc w:val="both"/>
        <w:rPr>
          <w:rFonts w:cs="David"/>
          <w:sz w:val="24"/>
          <w:szCs w:val="24"/>
          <w:rtl/>
        </w:rPr>
      </w:pPr>
      <w:r>
        <w:rPr>
          <w:rFonts w:cs="David" w:hint="cs"/>
          <w:sz w:val="24"/>
          <w:szCs w:val="24"/>
          <w:rtl/>
        </w:rPr>
        <w:t>על מנת לפקח על יישום הוראות האמנות השונות ביד המדינות החברות, הוקמו עשר ועדות מומחים מיוחדות לתשע אמנות הליבה. הועדות הוקמו כדי לבחון האם המדינות עומדות בהתחייבויותיהן לכבד ולהבטיח את הזכויות האמורות באמנה</w:t>
      </w:r>
      <w:r>
        <w:rPr>
          <w:rStyle w:val="FootnoteReference"/>
          <w:rFonts w:cs="David"/>
          <w:sz w:val="24"/>
          <w:szCs w:val="24"/>
          <w:rtl/>
        </w:rPr>
        <w:footnoteReference w:id="43"/>
      </w:r>
      <w:r>
        <w:rPr>
          <w:rFonts w:cs="David" w:hint="cs"/>
          <w:sz w:val="24"/>
          <w:szCs w:val="24"/>
          <w:rtl/>
        </w:rPr>
        <w:t>. חברי הועדות נבחרים על סמך כישוריהם, מתוך מועמדים, שהמדינות החתומות על האמנה מציעות, והם אינם מייצגים את מדינתם ואינם משתתפים בדיונים על דוחות העוסקים במדינת המוצא שלהם. בבחירתם ניתן משקל לפיזור גיאוגרפי הולם ולמתן ייצוג לשיטות המשפט ולתרבויות השונות</w:t>
      </w:r>
      <w:r>
        <w:rPr>
          <w:rStyle w:val="FootnoteReference"/>
          <w:rFonts w:cs="David"/>
          <w:sz w:val="24"/>
          <w:szCs w:val="24"/>
          <w:rtl/>
        </w:rPr>
        <w:footnoteReference w:id="44"/>
      </w:r>
      <w:r>
        <w:rPr>
          <w:rFonts w:cs="David" w:hint="cs"/>
          <w:sz w:val="24"/>
          <w:szCs w:val="24"/>
          <w:rtl/>
        </w:rPr>
        <w:t>. מנגנון הפיקוח מתבסס על דוחות שכל מדינה חייבת להגיש, בתוך שנה ממועד הצטרפותה לאמנה ולאחר מכן בכל ארבע שנים בממוצע. בדוחות המדינה נדרשת לפרט מהם הצעדים שנקטה כדי למלא אחר התחייבויותיה וכן מהם הקשיים הניצבים בפניה. מכיוון שהמדינות הן אלו שמגישות את הדוחות לוועדות, הדוחות אינם יכולים לשמש מקור בלעדי לבחינה האם המדינה עמדה בהתחייבויותיה לכבד את זכויות האדם ולהגן עליהן. עם השנים פיתחו הוועדות פרקטיקה, שלפיה הן מקבלות חומר נוסף מארגונים בינלאומיים או מקומיים לזכויות אדם (</w:t>
      </w:r>
      <w:r>
        <w:rPr>
          <w:rFonts w:cs="David" w:hint="cs"/>
          <w:sz w:val="24"/>
          <w:szCs w:val="24"/>
        </w:rPr>
        <w:t>NGO</w:t>
      </w:r>
      <w:r>
        <w:rPr>
          <w:rFonts w:cs="David"/>
          <w:sz w:val="24"/>
          <w:szCs w:val="24"/>
        </w:rPr>
        <w:t>'s</w:t>
      </w:r>
      <w:r>
        <w:rPr>
          <w:rFonts w:cs="David" w:hint="cs"/>
          <w:sz w:val="24"/>
          <w:szCs w:val="24"/>
          <w:rtl/>
        </w:rPr>
        <w:t>) ומגופים אחרים כדוגמת מוסדות האו"ם, אשר יכולים לספק מידע על המתרחש במדינה הנדונה. דיווחים אלה המכונים גם "דוחות צללים" או "דוחות אלטרנטיביים" משמשים אמצעי פיקוח חשוב המאפשר להציג נקודות מבט נוספות ומידע נוסף בפני הוועדות. אחת לארבע שנים כל מדינה נדרשת להגיע להציג בפני הוועדה את התקדמותה וחברי הוועדות מציגים שאלות הנשענות לעיתים קרובות לא רק על הדוח הרשמי של המדינה עצמה אלא על המידע הנוסף שהתקבל בנוגע לאותה מדינה וזאת במתכונת של "דיאלוג קונסטרוקטיבי"</w:t>
      </w:r>
      <w:r>
        <w:rPr>
          <w:rStyle w:val="FootnoteReference"/>
          <w:rFonts w:cs="David"/>
          <w:sz w:val="24"/>
          <w:szCs w:val="24"/>
          <w:rtl/>
        </w:rPr>
        <w:footnoteReference w:id="45"/>
      </w:r>
      <w:r>
        <w:rPr>
          <w:rFonts w:cs="David" w:hint="cs"/>
          <w:sz w:val="24"/>
          <w:szCs w:val="24"/>
          <w:rtl/>
        </w:rPr>
        <w:t>. על סמך תשובת המדינה וכן ביחס לאמור בדוחות הצללים, בסוף הדיונים מנסחות הוועדות, "הערות מסכמות" (</w:t>
      </w:r>
      <w:r>
        <w:rPr>
          <w:rFonts w:cs="David"/>
          <w:sz w:val="24"/>
          <w:szCs w:val="24"/>
        </w:rPr>
        <w:t>Concluding Observations</w:t>
      </w:r>
      <w:r>
        <w:rPr>
          <w:rFonts w:cs="David" w:hint="cs"/>
          <w:sz w:val="24"/>
          <w:szCs w:val="24"/>
          <w:rtl/>
        </w:rPr>
        <w:t>) עבור כל מדינה ביחס לדוח המדינתי שהוגש. בהערות אלו מצוינים הישגי המדינה, התחומים שבהם המדינה אינה מקיימת את התחייבויותיה והמלצות על צעדים שיש לנקוט כדי לשפר את מצב זכויות האדם באותה מדינה</w:t>
      </w:r>
      <w:r>
        <w:rPr>
          <w:rStyle w:val="FootnoteReference"/>
          <w:rFonts w:cs="David"/>
          <w:sz w:val="24"/>
          <w:szCs w:val="24"/>
          <w:rtl/>
        </w:rPr>
        <w:footnoteReference w:id="46"/>
      </w:r>
      <w:r>
        <w:rPr>
          <w:rFonts w:cs="David" w:hint="cs"/>
          <w:sz w:val="24"/>
          <w:szCs w:val="24"/>
          <w:rtl/>
        </w:rPr>
        <w:t>. בדוח התקופתי הבא, נדרשת המדינה להתייחס להמלצות המסכמות של הוועדה ביחס לדוח הקודם ולפרט את הדרכים בהן פעלה להתמודדות עם הקשיים והאתגרים העומדים בפניה</w:t>
      </w:r>
      <w:r>
        <w:rPr>
          <w:rStyle w:val="FootnoteReference"/>
          <w:rFonts w:cs="David"/>
          <w:sz w:val="24"/>
          <w:szCs w:val="24"/>
          <w:rtl/>
        </w:rPr>
        <w:footnoteReference w:id="47"/>
      </w:r>
      <w:r>
        <w:rPr>
          <w:rFonts w:cs="David" w:hint="cs"/>
          <w:sz w:val="24"/>
          <w:szCs w:val="24"/>
          <w:rtl/>
        </w:rPr>
        <w:t xml:space="preserve">. כחלק מניסיון להפוך את עבודת הוועדות ליעילה יותר, קיים כיום גם מנגנון ביניים </w:t>
      </w:r>
      <w:r>
        <w:rPr>
          <w:rFonts w:cs="David"/>
          <w:sz w:val="24"/>
          <w:szCs w:val="24"/>
          <w:rtl/>
        </w:rPr>
        <w:t>–</w:t>
      </w:r>
      <w:r>
        <w:rPr>
          <w:rFonts w:cs="David" w:hint="cs"/>
          <w:sz w:val="24"/>
          <w:szCs w:val="24"/>
          <w:rtl/>
        </w:rPr>
        <w:t xml:space="preserve"> </w:t>
      </w:r>
      <w:r>
        <w:rPr>
          <w:rFonts w:cs="David"/>
          <w:sz w:val="24"/>
          <w:szCs w:val="24"/>
        </w:rPr>
        <w:t>'Follow Up'</w:t>
      </w:r>
      <w:r>
        <w:rPr>
          <w:rFonts w:cs="David" w:hint="cs"/>
          <w:sz w:val="24"/>
          <w:szCs w:val="24"/>
        </w:rPr>
        <w:t xml:space="preserve"> </w:t>
      </w:r>
      <w:r>
        <w:rPr>
          <w:rFonts w:cs="David" w:hint="cs"/>
          <w:sz w:val="24"/>
          <w:szCs w:val="24"/>
          <w:rtl/>
        </w:rPr>
        <w:t xml:space="preserve"> שבמסגרתו המדינות נדרשות לדווח על תמורות שביצעו בתוך שנה/שנתיים מרגע הגשת הדוח המרכזי וההופעה בפני הוועדה</w:t>
      </w:r>
      <w:r>
        <w:rPr>
          <w:rStyle w:val="FootnoteReference"/>
          <w:rFonts w:cs="David"/>
          <w:sz w:val="24"/>
          <w:szCs w:val="24"/>
          <w:rtl/>
        </w:rPr>
        <w:footnoteReference w:id="48"/>
      </w:r>
      <w:r>
        <w:rPr>
          <w:rFonts w:cs="David" w:hint="cs"/>
          <w:sz w:val="24"/>
          <w:szCs w:val="24"/>
          <w:rtl/>
        </w:rPr>
        <w:t xml:space="preserve">. </w:t>
      </w:r>
    </w:p>
    <w:p w14:paraId="748CCB88" w14:textId="77777777" w:rsidR="00DA450B" w:rsidRPr="00752B17" w:rsidRDefault="00DA450B" w:rsidP="00FA1B49">
      <w:pPr>
        <w:spacing w:after="0" w:line="480" w:lineRule="auto"/>
        <w:jc w:val="both"/>
        <w:rPr>
          <w:rFonts w:cs="David"/>
          <w:sz w:val="24"/>
          <w:szCs w:val="24"/>
          <w:rtl/>
        </w:rPr>
      </w:pPr>
      <w:r>
        <w:rPr>
          <w:rFonts w:cs="David" w:hint="cs"/>
          <w:sz w:val="24"/>
          <w:szCs w:val="24"/>
          <w:rtl/>
        </w:rPr>
        <w:t>נוסף על בחינת הדיווחים המוגשים להן בידי המדינות החברות ופרסומן של ההערות המסכמות, מוסמכות ועדות המומחים לפרסם גם "המלצות כלליות" (</w:t>
      </w:r>
      <w:r>
        <w:rPr>
          <w:rFonts w:cs="David"/>
          <w:sz w:val="24"/>
          <w:szCs w:val="24"/>
        </w:rPr>
        <w:t>General Recommendation</w:t>
      </w:r>
      <w:r>
        <w:rPr>
          <w:rFonts w:cs="David" w:hint="cs"/>
          <w:sz w:val="24"/>
          <w:szCs w:val="24"/>
          <w:rtl/>
        </w:rPr>
        <w:t>). במסמכים אלה עוסקות הוועדות בבעיות ובסוגיות רוחביות העולות מן הדיווחים שהן מקבלות ומציגות את הפרשנות הנכונה לדעתן להוראות האמנה. כמו כן, הן מצביעות על דרכים ליישום האמנה, וממליצות על צעדים שיש לנקוט על מנת להמשיך ולקדם את זכויות האדם. ועדות המומחים נעזרות בהמלצות הכלליות שפורסמו כמקור נורמטיבי נוסף המחייב את המדינות החברות בעת בחינת הדיווחים התקופתיים של המדינות</w:t>
      </w:r>
      <w:r>
        <w:rPr>
          <w:rStyle w:val="FootnoteReference"/>
          <w:rFonts w:cs="David"/>
          <w:sz w:val="24"/>
          <w:szCs w:val="24"/>
          <w:rtl/>
        </w:rPr>
        <w:footnoteReference w:id="49"/>
      </w:r>
      <w:r>
        <w:rPr>
          <w:rFonts w:cs="David" w:hint="cs"/>
          <w:sz w:val="24"/>
          <w:szCs w:val="24"/>
          <w:rtl/>
        </w:rPr>
        <w:t>.</w:t>
      </w:r>
    </w:p>
    <w:p w14:paraId="748CCB89" w14:textId="77777777" w:rsidR="00DA450B" w:rsidRDefault="00DA450B" w:rsidP="00D93E9E">
      <w:pPr>
        <w:spacing w:after="0" w:line="480" w:lineRule="auto"/>
        <w:jc w:val="both"/>
        <w:rPr>
          <w:rFonts w:cs="David"/>
          <w:sz w:val="24"/>
          <w:szCs w:val="24"/>
          <w:rtl/>
        </w:rPr>
      </w:pPr>
      <w:r w:rsidRPr="00F40E0B">
        <w:rPr>
          <w:rFonts w:cs="David" w:hint="cs"/>
          <w:sz w:val="24"/>
          <w:szCs w:val="24"/>
          <w:rtl/>
        </w:rPr>
        <w:t>מנגנון פיקוח נוסף הוא "הפרוטוקול האופציונלי" (</w:t>
      </w:r>
      <w:r w:rsidRPr="00F40E0B">
        <w:rPr>
          <w:rFonts w:cs="David"/>
          <w:sz w:val="24"/>
          <w:szCs w:val="24"/>
        </w:rPr>
        <w:t>Optional Protocol</w:t>
      </w:r>
      <w:r w:rsidRPr="00F40E0B">
        <w:rPr>
          <w:rFonts w:cs="David" w:hint="cs"/>
          <w:sz w:val="24"/>
          <w:szCs w:val="24"/>
          <w:rtl/>
        </w:rPr>
        <w:t>), המאפשר</w:t>
      </w:r>
      <w:r w:rsidRPr="00F40E0B">
        <w:rPr>
          <w:rFonts w:cs="David"/>
          <w:sz w:val="24"/>
          <w:szCs w:val="24"/>
          <w:rtl/>
        </w:rPr>
        <w:t xml:space="preserve"> </w:t>
      </w:r>
      <w:r w:rsidRPr="00F40E0B">
        <w:rPr>
          <w:rFonts w:cs="David" w:hint="cs"/>
          <w:sz w:val="24"/>
          <w:szCs w:val="24"/>
          <w:rtl/>
        </w:rPr>
        <w:t>לפרטים</w:t>
      </w:r>
      <w:r>
        <w:rPr>
          <w:rFonts w:cs="David" w:hint="cs"/>
          <w:sz w:val="24"/>
          <w:szCs w:val="24"/>
          <w:rtl/>
        </w:rPr>
        <w:t>,</w:t>
      </w:r>
      <w:r w:rsidRPr="00F40E0B">
        <w:rPr>
          <w:rFonts w:cs="David"/>
          <w:sz w:val="24"/>
          <w:szCs w:val="24"/>
          <w:rtl/>
        </w:rPr>
        <w:t xml:space="preserve"> </w:t>
      </w:r>
      <w:r w:rsidRPr="00F40E0B">
        <w:rPr>
          <w:rFonts w:cs="David" w:hint="cs"/>
          <w:sz w:val="24"/>
          <w:szCs w:val="24"/>
          <w:rtl/>
        </w:rPr>
        <w:t>שזכויותיהם</w:t>
      </w:r>
      <w:r w:rsidRPr="00F40E0B">
        <w:rPr>
          <w:rFonts w:cs="David"/>
          <w:sz w:val="24"/>
          <w:szCs w:val="24"/>
          <w:rtl/>
        </w:rPr>
        <w:t xml:space="preserve"> </w:t>
      </w:r>
      <w:r w:rsidRPr="00F40E0B">
        <w:rPr>
          <w:rFonts w:cs="David" w:hint="cs"/>
          <w:sz w:val="24"/>
          <w:szCs w:val="24"/>
          <w:rtl/>
        </w:rPr>
        <w:t>נפגעו</w:t>
      </w:r>
      <w:r>
        <w:rPr>
          <w:rFonts w:cs="David" w:hint="cs"/>
          <w:sz w:val="24"/>
          <w:szCs w:val="24"/>
          <w:rtl/>
        </w:rPr>
        <w:t>,</w:t>
      </w:r>
      <w:r w:rsidRPr="00F40E0B">
        <w:rPr>
          <w:rFonts w:cs="David"/>
          <w:sz w:val="24"/>
          <w:szCs w:val="24"/>
          <w:rtl/>
        </w:rPr>
        <w:t xml:space="preserve"> </w:t>
      </w:r>
      <w:r w:rsidRPr="00F40E0B">
        <w:rPr>
          <w:rFonts w:cs="David" w:hint="cs"/>
          <w:sz w:val="24"/>
          <w:szCs w:val="24"/>
          <w:rtl/>
        </w:rPr>
        <w:t>לפנות</w:t>
      </w:r>
      <w:r w:rsidRPr="00F40E0B">
        <w:rPr>
          <w:rFonts w:cs="David"/>
          <w:sz w:val="24"/>
          <w:szCs w:val="24"/>
          <w:rtl/>
        </w:rPr>
        <w:t xml:space="preserve"> </w:t>
      </w:r>
      <w:r w:rsidRPr="00F40E0B">
        <w:rPr>
          <w:rFonts w:cs="David" w:hint="cs"/>
          <w:sz w:val="24"/>
          <w:szCs w:val="24"/>
          <w:rtl/>
        </w:rPr>
        <w:t>אל</w:t>
      </w:r>
      <w:r w:rsidRPr="00F40E0B">
        <w:rPr>
          <w:rFonts w:cs="David"/>
          <w:sz w:val="24"/>
          <w:szCs w:val="24"/>
          <w:rtl/>
        </w:rPr>
        <w:t xml:space="preserve"> </w:t>
      </w:r>
      <w:r w:rsidRPr="00F40E0B">
        <w:rPr>
          <w:rFonts w:cs="David" w:hint="cs"/>
          <w:sz w:val="24"/>
          <w:szCs w:val="24"/>
          <w:rtl/>
        </w:rPr>
        <w:t>ועדות</w:t>
      </w:r>
      <w:r w:rsidRPr="00F40E0B">
        <w:rPr>
          <w:rFonts w:cs="David"/>
          <w:sz w:val="24"/>
          <w:szCs w:val="24"/>
          <w:rtl/>
        </w:rPr>
        <w:t xml:space="preserve"> </w:t>
      </w:r>
      <w:r w:rsidRPr="00F40E0B">
        <w:rPr>
          <w:rFonts w:cs="David" w:hint="cs"/>
          <w:sz w:val="24"/>
          <w:szCs w:val="24"/>
          <w:rtl/>
        </w:rPr>
        <w:t>המומחים</w:t>
      </w:r>
      <w:r w:rsidRPr="00F40E0B">
        <w:rPr>
          <w:rFonts w:cs="David"/>
          <w:sz w:val="24"/>
          <w:szCs w:val="24"/>
          <w:rtl/>
        </w:rPr>
        <w:t xml:space="preserve"> </w:t>
      </w:r>
      <w:r w:rsidRPr="00F40E0B">
        <w:rPr>
          <w:rFonts w:cs="David" w:hint="cs"/>
          <w:sz w:val="24"/>
          <w:szCs w:val="24"/>
          <w:rtl/>
        </w:rPr>
        <w:t>בתלונה</w:t>
      </w:r>
      <w:r w:rsidRPr="00F40E0B">
        <w:rPr>
          <w:rFonts w:cs="David"/>
          <w:sz w:val="24"/>
          <w:szCs w:val="24"/>
          <w:rtl/>
        </w:rPr>
        <w:t xml:space="preserve">, </w:t>
      </w:r>
      <w:r>
        <w:rPr>
          <w:rFonts w:cs="David" w:hint="cs"/>
          <w:sz w:val="24"/>
          <w:szCs w:val="24"/>
          <w:rtl/>
        </w:rPr>
        <w:t xml:space="preserve">לאחר שמיצו את כל ההליכים במדינתם והבינו כי אין ביכולתם לקבל סעד. </w:t>
      </w:r>
      <w:r w:rsidRPr="00F40E0B">
        <w:rPr>
          <w:rFonts w:cs="David" w:hint="cs"/>
          <w:sz w:val="24"/>
          <w:szCs w:val="24"/>
          <w:rtl/>
        </w:rPr>
        <w:t>בנוסף</w:t>
      </w:r>
      <w:r w:rsidRPr="00F40E0B">
        <w:rPr>
          <w:rFonts w:cs="David"/>
          <w:sz w:val="24"/>
          <w:szCs w:val="24"/>
          <w:rtl/>
        </w:rPr>
        <w:t xml:space="preserve">, </w:t>
      </w:r>
      <w:r w:rsidRPr="00F40E0B">
        <w:rPr>
          <w:rFonts w:cs="David" w:hint="cs"/>
          <w:sz w:val="24"/>
          <w:szCs w:val="24"/>
          <w:rtl/>
        </w:rPr>
        <w:t>הוא</w:t>
      </w:r>
      <w:r w:rsidRPr="00F40E0B">
        <w:rPr>
          <w:rFonts w:cs="David"/>
          <w:sz w:val="24"/>
          <w:szCs w:val="24"/>
          <w:rtl/>
        </w:rPr>
        <w:t xml:space="preserve"> </w:t>
      </w:r>
      <w:r w:rsidRPr="00F40E0B">
        <w:rPr>
          <w:rFonts w:cs="David" w:hint="cs"/>
          <w:sz w:val="24"/>
          <w:szCs w:val="24"/>
          <w:rtl/>
        </w:rPr>
        <w:t>מאפשר</w:t>
      </w:r>
      <w:r w:rsidRPr="00F40E0B">
        <w:rPr>
          <w:rFonts w:cs="David"/>
          <w:sz w:val="24"/>
          <w:szCs w:val="24"/>
          <w:rtl/>
        </w:rPr>
        <w:t xml:space="preserve"> </w:t>
      </w:r>
      <w:r w:rsidRPr="00F40E0B">
        <w:rPr>
          <w:rFonts w:cs="David" w:hint="cs"/>
          <w:sz w:val="24"/>
          <w:szCs w:val="24"/>
          <w:rtl/>
        </w:rPr>
        <w:t>לוועדות</w:t>
      </w:r>
      <w:r w:rsidRPr="00F40E0B">
        <w:rPr>
          <w:rFonts w:cs="David"/>
          <w:sz w:val="24"/>
          <w:szCs w:val="24"/>
          <w:rtl/>
        </w:rPr>
        <w:t xml:space="preserve"> </w:t>
      </w:r>
      <w:r w:rsidRPr="00F40E0B">
        <w:rPr>
          <w:rFonts w:cs="David" w:hint="cs"/>
          <w:sz w:val="24"/>
          <w:szCs w:val="24"/>
          <w:rtl/>
        </w:rPr>
        <w:t>ליזום</w:t>
      </w:r>
      <w:r w:rsidRPr="00F40E0B">
        <w:rPr>
          <w:rFonts w:cs="David"/>
          <w:sz w:val="24"/>
          <w:szCs w:val="24"/>
          <w:rtl/>
        </w:rPr>
        <w:t xml:space="preserve"> </w:t>
      </w:r>
      <w:r w:rsidRPr="00F40E0B">
        <w:rPr>
          <w:rFonts w:cs="David" w:hint="cs"/>
          <w:sz w:val="24"/>
          <w:szCs w:val="24"/>
          <w:rtl/>
        </w:rPr>
        <w:t>חקירות</w:t>
      </w:r>
      <w:r w:rsidRPr="00F40E0B">
        <w:rPr>
          <w:rFonts w:cs="David"/>
          <w:sz w:val="24"/>
          <w:szCs w:val="24"/>
          <w:rtl/>
        </w:rPr>
        <w:t xml:space="preserve"> </w:t>
      </w:r>
      <w:r w:rsidRPr="00F40E0B">
        <w:rPr>
          <w:rFonts w:cs="David" w:hint="cs"/>
          <w:sz w:val="24"/>
          <w:szCs w:val="24"/>
          <w:rtl/>
        </w:rPr>
        <w:t>עצמאיות</w:t>
      </w:r>
      <w:r w:rsidRPr="00F40E0B">
        <w:rPr>
          <w:rFonts w:cs="David"/>
          <w:sz w:val="24"/>
          <w:szCs w:val="24"/>
          <w:rtl/>
        </w:rPr>
        <w:t xml:space="preserve"> </w:t>
      </w:r>
      <w:r w:rsidRPr="00F40E0B">
        <w:rPr>
          <w:rFonts w:cs="David" w:hint="cs"/>
          <w:sz w:val="24"/>
          <w:szCs w:val="24"/>
          <w:rtl/>
        </w:rPr>
        <w:t>במקרים</w:t>
      </w:r>
      <w:r w:rsidRPr="00F40E0B">
        <w:rPr>
          <w:rFonts w:cs="David"/>
          <w:sz w:val="24"/>
          <w:szCs w:val="24"/>
          <w:rtl/>
        </w:rPr>
        <w:t xml:space="preserve"> </w:t>
      </w:r>
      <w:r w:rsidRPr="00F40E0B">
        <w:rPr>
          <w:rFonts w:cs="David" w:hint="cs"/>
          <w:sz w:val="24"/>
          <w:szCs w:val="24"/>
          <w:rtl/>
        </w:rPr>
        <w:t>של</w:t>
      </w:r>
      <w:r w:rsidRPr="00F40E0B">
        <w:rPr>
          <w:rFonts w:cs="David"/>
          <w:sz w:val="24"/>
          <w:szCs w:val="24"/>
          <w:rtl/>
        </w:rPr>
        <w:t xml:space="preserve"> </w:t>
      </w:r>
      <w:r w:rsidRPr="00F40E0B">
        <w:rPr>
          <w:rFonts w:cs="David" w:hint="cs"/>
          <w:sz w:val="24"/>
          <w:szCs w:val="24"/>
          <w:rtl/>
        </w:rPr>
        <w:t>הפרות</w:t>
      </w:r>
      <w:r w:rsidRPr="00F40E0B">
        <w:rPr>
          <w:rFonts w:cs="David"/>
          <w:sz w:val="24"/>
          <w:szCs w:val="24"/>
          <w:rtl/>
        </w:rPr>
        <w:t xml:space="preserve"> </w:t>
      </w:r>
      <w:r w:rsidRPr="00F40E0B">
        <w:rPr>
          <w:rFonts w:cs="David" w:hint="cs"/>
          <w:sz w:val="24"/>
          <w:szCs w:val="24"/>
          <w:rtl/>
        </w:rPr>
        <w:t>חמורות</w:t>
      </w:r>
      <w:r w:rsidRPr="00F40E0B">
        <w:rPr>
          <w:rFonts w:cs="David"/>
          <w:sz w:val="24"/>
          <w:szCs w:val="24"/>
          <w:rtl/>
        </w:rPr>
        <w:t xml:space="preserve"> </w:t>
      </w:r>
      <w:r w:rsidRPr="00F40E0B">
        <w:rPr>
          <w:rFonts w:cs="David" w:hint="cs"/>
          <w:sz w:val="24"/>
          <w:szCs w:val="24"/>
          <w:rtl/>
        </w:rPr>
        <w:t>ושיטתיות</w:t>
      </w:r>
      <w:r w:rsidRPr="00F40E0B">
        <w:rPr>
          <w:rFonts w:cs="David"/>
          <w:sz w:val="24"/>
          <w:szCs w:val="24"/>
          <w:rtl/>
        </w:rPr>
        <w:t xml:space="preserve"> </w:t>
      </w:r>
      <w:r w:rsidRPr="00F40E0B">
        <w:rPr>
          <w:rFonts w:cs="David" w:hint="cs"/>
          <w:sz w:val="24"/>
          <w:szCs w:val="24"/>
          <w:rtl/>
        </w:rPr>
        <w:t>של</w:t>
      </w:r>
      <w:r w:rsidRPr="00F40E0B">
        <w:rPr>
          <w:rFonts w:cs="David"/>
          <w:sz w:val="24"/>
          <w:szCs w:val="24"/>
          <w:rtl/>
        </w:rPr>
        <w:t xml:space="preserve"> </w:t>
      </w:r>
      <w:r w:rsidRPr="00F40E0B">
        <w:rPr>
          <w:rFonts w:cs="David" w:hint="cs"/>
          <w:sz w:val="24"/>
          <w:szCs w:val="24"/>
          <w:rtl/>
        </w:rPr>
        <w:t>הנורמות</w:t>
      </w:r>
      <w:r w:rsidRPr="00F40E0B">
        <w:rPr>
          <w:rFonts w:cs="David"/>
          <w:sz w:val="24"/>
          <w:szCs w:val="24"/>
          <w:rtl/>
        </w:rPr>
        <w:t xml:space="preserve"> </w:t>
      </w:r>
      <w:r w:rsidRPr="00F40E0B">
        <w:rPr>
          <w:rFonts w:cs="David" w:hint="cs"/>
          <w:sz w:val="24"/>
          <w:szCs w:val="24"/>
          <w:rtl/>
        </w:rPr>
        <w:t>הקבועות</w:t>
      </w:r>
      <w:r w:rsidRPr="00F40E0B">
        <w:rPr>
          <w:rFonts w:cs="David"/>
          <w:sz w:val="24"/>
          <w:szCs w:val="24"/>
          <w:rtl/>
        </w:rPr>
        <w:t xml:space="preserve"> </w:t>
      </w:r>
      <w:r w:rsidRPr="00F40E0B">
        <w:rPr>
          <w:rFonts w:cs="David" w:hint="cs"/>
          <w:sz w:val="24"/>
          <w:szCs w:val="24"/>
          <w:rtl/>
        </w:rPr>
        <w:t>באמנות</w:t>
      </w:r>
      <w:r w:rsidRPr="00F40E0B">
        <w:rPr>
          <w:rFonts w:cs="David"/>
          <w:sz w:val="24"/>
          <w:szCs w:val="24"/>
          <w:rtl/>
        </w:rPr>
        <w:t xml:space="preserve">. </w:t>
      </w:r>
      <w:r w:rsidRPr="00F40E0B">
        <w:rPr>
          <w:rFonts w:cs="David" w:hint="cs"/>
          <w:sz w:val="24"/>
          <w:szCs w:val="24"/>
          <w:rtl/>
        </w:rPr>
        <w:t>ההצטרפות</w:t>
      </w:r>
      <w:r w:rsidRPr="00F40E0B">
        <w:rPr>
          <w:rFonts w:cs="David"/>
          <w:sz w:val="24"/>
          <w:szCs w:val="24"/>
          <w:rtl/>
        </w:rPr>
        <w:t xml:space="preserve"> </w:t>
      </w:r>
      <w:r w:rsidRPr="00F40E0B">
        <w:rPr>
          <w:rFonts w:cs="David" w:hint="cs"/>
          <w:sz w:val="24"/>
          <w:szCs w:val="24"/>
          <w:rtl/>
        </w:rPr>
        <w:t>למנגנון</w:t>
      </w:r>
      <w:r w:rsidRPr="00F40E0B">
        <w:rPr>
          <w:rFonts w:cs="David"/>
          <w:sz w:val="24"/>
          <w:szCs w:val="24"/>
          <w:rtl/>
        </w:rPr>
        <w:t xml:space="preserve"> </w:t>
      </w:r>
      <w:r w:rsidRPr="00F40E0B">
        <w:rPr>
          <w:rFonts w:cs="David" w:hint="cs"/>
          <w:sz w:val="24"/>
          <w:szCs w:val="24"/>
          <w:rtl/>
        </w:rPr>
        <w:t>פיקוח</w:t>
      </w:r>
      <w:r w:rsidRPr="00F40E0B">
        <w:rPr>
          <w:rFonts w:cs="David"/>
          <w:sz w:val="24"/>
          <w:szCs w:val="24"/>
          <w:rtl/>
        </w:rPr>
        <w:t xml:space="preserve"> </w:t>
      </w:r>
      <w:r w:rsidRPr="00F40E0B">
        <w:rPr>
          <w:rFonts w:cs="David" w:hint="cs"/>
          <w:sz w:val="24"/>
          <w:szCs w:val="24"/>
          <w:rtl/>
        </w:rPr>
        <w:t>שכזה</w:t>
      </w:r>
      <w:r w:rsidRPr="00F40E0B">
        <w:rPr>
          <w:rFonts w:cs="David"/>
          <w:sz w:val="24"/>
          <w:szCs w:val="24"/>
          <w:rtl/>
        </w:rPr>
        <w:t xml:space="preserve"> </w:t>
      </w:r>
      <w:r w:rsidRPr="00F40E0B">
        <w:rPr>
          <w:rFonts w:cs="David" w:hint="cs"/>
          <w:sz w:val="24"/>
          <w:szCs w:val="24"/>
          <w:rtl/>
        </w:rPr>
        <w:t>נתונה</w:t>
      </w:r>
      <w:r w:rsidRPr="00F40E0B">
        <w:rPr>
          <w:rFonts w:cs="David"/>
          <w:sz w:val="24"/>
          <w:szCs w:val="24"/>
          <w:rtl/>
        </w:rPr>
        <w:t xml:space="preserve"> </w:t>
      </w:r>
      <w:r w:rsidRPr="00F40E0B">
        <w:rPr>
          <w:rFonts w:cs="David" w:hint="cs"/>
          <w:sz w:val="24"/>
          <w:szCs w:val="24"/>
          <w:rtl/>
        </w:rPr>
        <w:t>לבחירת</w:t>
      </w:r>
      <w:r w:rsidRPr="00F40E0B">
        <w:rPr>
          <w:rFonts w:cs="David"/>
          <w:sz w:val="24"/>
          <w:szCs w:val="24"/>
          <w:rtl/>
        </w:rPr>
        <w:t xml:space="preserve"> </w:t>
      </w:r>
      <w:r w:rsidRPr="00F40E0B">
        <w:rPr>
          <w:rFonts w:cs="David" w:hint="cs"/>
          <w:sz w:val="24"/>
          <w:szCs w:val="24"/>
          <w:rtl/>
        </w:rPr>
        <w:t>המדינות</w:t>
      </w:r>
      <w:r w:rsidRPr="00F40E0B">
        <w:rPr>
          <w:rFonts w:cs="David"/>
          <w:sz w:val="24"/>
          <w:szCs w:val="24"/>
          <w:rtl/>
        </w:rPr>
        <w:t xml:space="preserve"> </w:t>
      </w:r>
      <w:r w:rsidRPr="00F40E0B">
        <w:rPr>
          <w:rFonts w:cs="David" w:hint="cs"/>
          <w:sz w:val="24"/>
          <w:szCs w:val="24"/>
          <w:rtl/>
        </w:rPr>
        <w:t>ונעשית</w:t>
      </w:r>
      <w:r w:rsidRPr="00F40E0B">
        <w:rPr>
          <w:rFonts w:cs="David"/>
          <w:sz w:val="24"/>
          <w:szCs w:val="24"/>
          <w:rtl/>
        </w:rPr>
        <w:t xml:space="preserve"> </w:t>
      </w:r>
      <w:r w:rsidRPr="00F40E0B">
        <w:rPr>
          <w:rFonts w:cs="David" w:hint="cs"/>
          <w:sz w:val="24"/>
          <w:szCs w:val="24"/>
          <w:rtl/>
        </w:rPr>
        <w:t>על</w:t>
      </w:r>
      <w:r w:rsidRPr="00F40E0B">
        <w:rPr>
          <w:rFonts w:cs="David"/>
          <w:sz w:val="24"/>
          <w:szCs w:val="24"/>
          <w:rtl/>
        </w:rPr>
        <w:t xml:space="preserve"> </w:t>
      </w:r>
      <w:r w:rsidRPr="00F40E0B">
        <w:rPr>
          <w:rFonts w:cs="David" w:hint="cs"/>
          <w:sz w:val="24"/>
          <w:szCs w:val="24"/>
          <w:rtl/>
        </w:rPr>
        <w:t>ידי</w:t>
      </w:r>
      <w:r w:rsidRPr="00F40E0B">
        <w:rPr>
          <w:rFonts w:cs="David"/>
          <w:sz w:val="24"/>
          <w:szCs w:val="24"/>
          <w:rtl/>
        </w:rPr>
        <w:t xml:space="preserve"> </w:t>
      </w:r>
      <w:r w:rsidRPr="00F40E0B">
        <w:rPr>
          <w:rFonts w:cs="David" w:hint="cs"/>
          <w:sz w:val="24"/>
          <w:szCs w:val="24"/>
          <w:rtl/>
        </w:rPr>
        <w:t>הצטרפות</w:t>
      </w:r>
      <w:r w:rsidRPr="00F40E0B">
        <w:rPr>
          <w:rFonts w:cs="David"/>
          <w:sz w:val="24"/>
          <w:szCs w:val="24"/>
          <w:rtl/>
        </w:rPr>
        <w:t xml:space="preserve"> </w:t>
      </w:r>
      <w:r w:rsidRPr="00F40E0B">
        <w:rPr>
          <w:rFonts w:cs="David" w:hint="cs"/>
          <w:sz w:val="24"/>
          <w:szCs w:val="24"/>
          <w:rtl/>
        </w:rPr>
        <w:t>לפרוטוקולים</w:t>
      </w:r>
      <w:r w:rsidRPr="00F40E0B">
        <w:rPr>
          <w:rFonts w:cs="David"/>
          <w:sz w:val="24"/>
          <w:szCs w:val="24"/>
          <w:rtl/>
        </w:rPr>
        <w:t xml:space="preserve"> </w:t>
      </w:r>
      <w:r w:rsidRPr="00F40E0B">
        <w:rPr>
          <w:rFonts w:cs="David" w:hint="cs"/>
          <w:sz w:val="24"/>
          <w:szCs w:val="24"/>
          <w:rtl/>
        </w:rPr>
        <w:t>אופציונליים</w:t>
      </w:r>
      <w:r w:rsidRPr="00F40E0B">
        <w:rPr>
          <w:rFonts w:cs="David"/>
          <w:sz w:val="24"/>
          <w:szCs w:val="24"/>
          <w:rtl/>
        </w:rPr>
        <w:t xml:space="preserve"> </w:t>
      </w:r>
      <w:r w:rsidRPr="00F40E0B">
        <w:rPr>
          <w:rFonts w:cs="David" w:hint="cs"/>
          <w:sz w:val="24"/>
          <w:szCs w:val="24"/>
          <w:rtl/>
        </w:rPr>
        <w:t>נספחים</w:t>
      </w:r>
      <w:r w:rsidRPr="00F40E0B">
        <w:rPr>
          <w:rFonts w:cs="David"/>
          <w:sz w:val="24"/>
          <w:szCs w:val="24"/>
          <w:rtl/>
        </w:rPr>
        <w:t xml:space="preserve"> </w:t>
      </w:r>
      <w:r w:rsidRPr="00F40E0B">
        <w:rPr>
          <w:rFonts w:cs="David" w:hint="cs"/>
          <w:sz w:val="24"/>
          <w:szCs w:val="24"/>
          <w:rtl/>
        </w:rPr>
        <w:t>לאמנות</w:t>
      </w:r>
      <w:r w:rsidRPr="00F40E0B">
        <w:rPr>
          <w:rFonts w:cs="David"/>
          <w:sz w:val="24"/>
          <w:szCs w:val="24"/>
          <w:rtl/>
        </w:rPr>
        <w:t>.</w:t>
      </w:r>
      <w:r>
        <w:rPr>
          <w:rFonts w:hint="cs"/>
          <w:sz w:val="23"/>
          <w:szCs w:val="23"/>
          <w:rtl/>
        </w:rPr>
        <w:t xml:space="preserve"> </w:t>
      </w:r>
      <w:r>
        <w:rPr>
          <w:rFonts w:cs="David" w:hint="cs"/>
          <w:sz w:val="24"/>
          <w:szCs w:val="24"/>
          <w:rtl/>
        </w:rPr>
        <w:t xml:space="preserve">על אף שלחוות הדעת של הוועדה אין מעמד משפטי מחייב, וגם אין מנגנון שיכפה על המדינה לתת תרופה לאדם שזכותו הופרה, הרי שבמקרה זה אופיו </w:t>
      </w:r>
      <w:proofErr w:type="spellStart"/>
      <w:r>
        <w:rPr>
          <w:rFonts w:cs="David" w:hint="cs"/>
          <w:sz w:val="24"/>
          <w:szCs w:val="24"/>
          <w:rtl/>
        </w:rPr>
        <w:t>המעין</w:t>
      </w:r>
      <w:proofErr w:type="spellEnd"/>
      <w:r>
        <w:rPr>
          <w:rFonts w:cs="David" w:hint="cs"/>
          <w:sz w:val="24"/>
          <w:szCs w:val="24"/>
          <w:rtl/>
        </w:rPr>
        <w:t xml:space="preserve"> שיפוטי של ההליך, כמו גם יוקרתן של הוועדות, מקשה על מדינות להתנער מהממצאים העובדתיים והמשפטיים העשויים להיפסק כנגדן</w:t>
      </w:r>
      <w:r>
        <w:rPr>
          <w:rStyle w:val="FootnoteReference"/>
          <w:rFonts w:cs="David"/>
          <w:sz w:val="24"/>
          <w:szCs w:val="24"/>
          <w:rtl/>
        </w:rPr>
        <w:footnoteReference w:id="50"/>
      </w:r>
      <w:r>
        <w:rPr>
          <w:rFonts w:cs="David" w:hint="cs"/>
          <w:sz w:val="24"/>
          <w:szCs w:val="24"/>
          <w:rtl/>
        </w:rPr>
        <w:t xml:space="preserve">. </w:t>
      </w:r>
    </w:p>
    <w:p w14:paraId="748CCB8A" w14:textId="77777777" w:rsidR="00192BA1" w:rsidRPr="001D7FBA" w:rsidRDefault="00DA450B" w:rsidP="0036494C">
      <w:pPr>
        <w:spacing w:after="0" w:line="480" w:lineRule="auto"/>
        <w:jc w:val="both"/>
        <w:rPr>
          <w:rFonts w:cs="David"/>
          <w:sz w:val="24"/>
          <w:szCs w:val="24"/>
          <w:rtl/>
        </w:rPr>
      </w:pPr>
      <w:r>
        <w:rPr>
          <w:rFonts w:cs="David" w:hint="cs"/>
          <w:sz w:val="24"/>
          <w:szCs w:val="24"/>
          <w:rtl/>
        </w:rPr>
        <w:t>מנגנונים אופציונליים קיימים בוועדה לזכויות האדם (</w:t>
      </w:r>
      <w:r>
        <w:rPr>
          <w:rFonts w:cs="David" w:hint="cs"/>
          <w:sz w:val="24"/>
          <w:szCs w:val="24"/>
        </w:rPr>
        <w:t>ICCPR</w:t>
      </w:r>
      <w:r>
        <w:rPr>
          <w:rFonts w:cs="David" w:hint="cs"/>
          <w:sz w:val="24"/>
          <w:szCs w:val="24"/>
          <w:rtl/>
        </w:rPr>
        <w:t>) וכן באמנה נגד אפליה גזעית, הוועדה נגד עינויים, האמנה לביעור אפליה נגד נשים</w:t>
      </w:r>
      <w:r>
        <w:rPr>
          <w:rFonts w:cs="David"/>
          <w:sz w:val="24"/>
          <w:szCs w:val="24"/>
        </w:rPr>
        <w:t xml:space="preserve">' </w:t>
      </w:r>
      <w:r>
        <w:rPr>
          <w:rFonts w:cs="David" w:hint="cs"/>
          <w:sz w:val="24"/>
          <w:szCs w:val="24"/>
          <w:rtl/>
        </w:rPr>
        <w:t>האמנה לזכויות מהגרי עבודה</w:t>
      </w:r>
      <w:r>
        <w:rPr>
          <w:rStyle w:val="FootnoteReference"/>
          <w:rFonts w:cs="David"/>
          <w:sz w:val="24"/>
          <w:szCs w:val="24"/>
          <w:rtl/>
        </w:rPr>
        <w:footnoteReference w:id="51"/>
      </w:r>
      <w:r>
        <w:rPr>
          <w:rFonts w:cs="David" w:hint="cs"/>
          <w:sz w:val="24"/>
          <w:szCs w:val="24"/>
          <w:rtl/>
        </w:rPr>
        <w:t>. מנגנון החקירות העצמאיות מתקיים בשתי ועדות: הוועדה נגד עינויים והוועדה לביעור אפליה נגד נשים.</w:t>
      </w:r>
      <w:r>
        <w:rPr>
          <w:rStyle w:val="FootnoteReference"/>
          <w:rFonts w:cs="David"/>
          <w:sz w:val="24"/>
          <w:szCs w:val="24"/>
          <w:rtl/>
        </w:rPr>
        <w:footnoteReference w:id="52"/>
      </w:r>
      <w:r>
        <w:rPr>
          <w:rFonts w:cs="David" w:hint="cs"/>
          <w:sz w:val="24"/>
          <w:szCs w:val="24"/>
          <w:rtl/>
        </w:rPr>
        <w:t>.</w:t>
      </w:r>
      <w:r w:rsidR="00192BA1">
        <w:rPr>
          <w:rFonts w:cs="David" w:hint="cs"/>
          <w:sz w:val="24"/>
          <w:szCs w:val="24"/>
          <w:rtl/>
        </w:rPr>
        <w:t xml:space="preserve"> </w:t>
      </w:r>
    </w:p>
    <w:p w14:paraId="748CCB8B" w14:textId="77777777" w:rsidR="001D7FBA" w:rsidRDefault="001D7FBA" w:rsidP="001D7FBA">
      <w:pPr>
        <w:spacing w:after="0" w:line="480" w:lineRule="auto"/>
        <w:jc w:val="both"/>
        <w:rPr>
          <w:rFonts w:cs="David"/>
          <w:sz w:val="24"/>
          <w:szCs w:val="24"/>
          <w:rtl/>
        </w:rPr>
      </w:pPr>
    </w:p>
    <w:p w14:paraId="748CCB8C" w14:textId="77777777" w:rsidR="000B41B7" w:rsidRDefault="000B41B7"/>
    <w:sectPr w:rsidR="000B41B7" w:rsidSect="001C6F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Author" w:initials="A">
    <w:p w14:paraId="39535EAD" w14:textId="4FFD9A3F" w:rsidR="003B7CBA" w:rsidRDefault="003B7CBA">
      <w:pPr>
        <w:pStyle w:val="CommentText"/>
      </w:pPr>
      <w:r>
        <w:rPr>
          <w:rStyle w:val="CommentReference"/>
        </w:rPr>
        <w:annotationRef/>
      </w:r>
      <w:r>
        <w:t>In this footnote, should the 19 be part of the Posner citation – it isn’t clear.</w:t>
      </w:r>
    </w:p>
  </w:comment>
  <w:comment w:id="118" w:author="Author" w:initials="A">
    <w:p w14:paraId="5298C124" w14:textId="02FB1C99" w:rsidR="00BC0044" w:rsidRDefault="00BC0044">
      <w:pPr>
        <w:pStyle w:val="CommentText"/>
      </w:pPr>
      <w:r>
        <w:rPr>
          <w:rStyle w:val="CommentReference"/>
        </w:rPr>
        <w:annotationRef/>
      </w:r>
      <w:r>
        <w:t>The text currently of the English currently looks a little garbled due to the left-right/right-left formatting problem. We are seeking a solution – perhaps you have an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35EAD" w15:done="0"/>
  <w15:commentEx w15:paraId="5298C1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35EAD" w16cid:durableId="244D96D9"/>
  <w16cid:commentId w16cid:paraId="5298C124" w16cid:durableId="244D98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E2C49" w14:textId="77777777" w:rsidR="001819C5" w:rsidRDefault="001819C5" w:rsidP="00FA1B49">
      <w:pPr>
        <w:spacing w:after="0" w:line="240" w:lineRule="auto"/>
      </w:pPr>
      <w:r>
        <w:separator/>
      </w:r>
    </w:p>
  </w:endnote>
  <w:endnote w:type="continuationSeparator" w:id="0">
    <w:p w14:paraId="11C441A7" w14:textId="77777777" w:rsidR="001819C5" w:rsidRDefault="001819C5" w:rsidP="00FA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85E11" w14:textId="77777777" w:rsidR="001819C5" w:rsidRDefault="001819C5" w:rsidP="00FA1B49">
      <w:pPr>
        <w:spacing w:after="0" w:line="240" w:lineRule="auto"/>
      </w:pPr>
      <w:r>
        <w:separator/>
      </w:r>
    </w:p>
  </w:footnote>
  <w:footnote w:type="continuationSeparator" w:id="0">
    <w:p w14:paraId="71936426" w14:textId="77777777" w:rsidR="001819C5" w:rsidRDefault="001819C5" w:rsidP="00FA1B49">
      <w:pPr>
        <w:spacing w:after="0" w:line="240" w:lineRule="auto"/>
      </w:pPr>
      <w:r>
        <w:continuationSeparator/>
      </w:r>
    </w:p>
  </w:footnote>
  <w:footnote w:id="1">
    <w:p w14:paraId="748CCB91" w14:textId="77777777" w:rsidR="002333C1" w:rsidRPr="007D06B1" w:rsidRDefault="002333C1">
      <w:pPr>
        <w:pStyle w:val="FootnoteText"/>
        <w:rPr>
          <w:rtl/>
        </w:rPr>
        <w:pPrChange w:id="1" w:author="Author">
          <w:pPr>
            <w:pStyle w:val="FootnoteText"/>
            <w:bidi w:val="0"/>
          </w:pPr>
        </w:pPrChange>
      </w:pPr>
      <w:r w:rsidRPr="007D06B1">
        <w:rPr>
          <w:rStyle w:val="FootnoteReference"/>
        </w:rPr>
        <w:footnoteRef/>
      </w:r>
      <w:r w:rsidRPr="007D06B1">
        <w:rPr>
          <w:rtl/>
        </w:rPr>
        <w:t xml:space="preserve"> </w:t>
      </w:r>
      <w:r w:rsidRPr="007D06B1">
        <w:rPr>
          <w:rFonts w:cs="David" w:hint="cs"/>
          <w:rtl/>
        </w:rPr>
        <w:t xml:space="preserve">ארנה בן נפתלי ויובל שני, </w:t>
      </w:r>
      <w:r w:rsidRPr="007D06B1">
        <w:rPr>
          <w:rFonts w:cs="David" w:hint="cs"/>
          <w:b/>
          <w:bCs/>
          <w:rtl/>
        </w:rPr>
        <w:t>המשפט הבינלאומי בין מלחמה לשלום</w:t>
      </w:r>
      <w:r w:rsidRPr="007D06B1">
        <w:rPr>
          <w:rFonts w:cs="David" w:hint="cs"/>
          <w:rtl/>
        </w:rPr>
        <w:t>, 201 (2006).</w:t>
      </w:r>
    </w:p>
  </w:footnote>
  <w:footnote w:id="2">
    <w:p w14:paraId="748CCB92" w14:textId="77777777" w:rsidR="002333C1" w:rsidRPr="007D06B1" w:rsidRDefault="002333C1">
      <w:pPr>
        <w:pStyle w:val="FootnoteText"/>
        <w:rPr>
          <w:rtl/>
        </w:rPr>
        <w:pPrChange w:id="2" w:author="Author">
          <w:pPr>
            <w:pStyle w:val="FootnoteText"/>
            <w:bidi w:val="0"/>
          </w:pPr>
        </w:pPrChange>
      </w:pPr>
      <w:r w:rsidRPr="007D06B1">
        <w:rPr>
          <w:rStyle w:val="FootnoteReference"/>
        </w:rPr>
        <w:footnoteRef/>
      </w:r>
      <w:r w:rsidRPr="007D06B1">
        <w:rPr>
          <w:rtl/>
        </w:rPr>
        <w:t xml:space="preserve"> </w:t>
      </w:r>
      <w:r w:rsidRPr="007D06B1">
        <w:rPr>
          <w:rFonts w:cs="David" w:hint="cs"/>
          <w:rtl/>
        </w:rPr>
        <w:t xml:space="preserve">נעמה כרמי, </w:t>
      </w:r>
      <w:r w:rsidRPr="007D06B1">
        <w:rPr>
          <w:rFonts w:cs="David" w:hint="cs"/>
          <w:b/>
          <w:bCs/>
          <w:rtl/>
        </w:rPr>
        <w:t xml:space="preserve">זכויות אדם </w:t>
      </w:r>
      <w:r w:rsidRPr="007D06B1">
        <w:rPr>
          <w:rFonts w:cs="David"/>
          <w:b/>
          <w:bCs/>
          <w:rtl/>
        </w:rPr>
        <w:t>–</w:t>
      </w:r>
      <w:r w:rsidRPr="007D06B1">
        <w:rPr>
          <w:rFonts w:cs="David" w:hint="cs"/>
          <w:b/>
          <w:bCs/>
          <w:rtl/>
        </w:rPr>
        <w:t xml:space="preserve"> מבוא תיאורטי</w:t>
      </w:r>
      <w:r w:rsidRPr="007D06B1">
        <w:rPr>
          <w:rFonts w:cs="David" w:hint="cs"/>
          <w:rtl/>
        </w:rPr>
        <w:t>, 17 (2018).</w:t>
      </w:r>
      <w:r w:rsidRPr="007D06B1">
        <w:rPr>
          <w:rFonts w:hint="cs"/>
          <w:rtl/>
        </w:rPr>
        <w:t xml:space="preserve"> </w:t>
      </w:r>
    </w:p>
  </w:footnote>
  <w:footnote w:id="3">
    <w:p w14:paraId="748CCB93" w14:textId="77777777" w:rsidR="002333C1" w:rsidRPr="007D06B1" w:rsidRDefault="002333C1">
      <w:pPr>
        <w:pStyle w:val="FootnoteText"/>
        <w:rPr>
          <w:rtl/>
        </w:rPr>
        <w:pPrChange w:id="3" w:author="Author">
          <w:pPr>
            <w:pStyle w:val="FootnoteText"/>
            <w:bidi w:val="0"/>
          </w:pPr>
        </w:pPrChange>
      </w:pPr>
      <w:r w:rsidRPr="007D06B1">
        <w:rPr>
          <w:rStyle w:val="FootnoteReference"/>
        </w:rPr>
        <w:footnoteRef/>
      </w:r>
      <w:r w:rsidRPr="007D06B1">
        <w:rPr>
          <w:rtl/>
        </w:rPr>
        <w:t xml:space="preserve"> </w:t>
      </w:r>
      <w:r w:rsidRPr="007D06B1">
        <w:rPr>
          <w:rFonts w:cs="David" w:hint="cs"/>
          <w:rtl/>
        </w:rPr>
        <w:t>שם, שם.</w:t>
      </w:r>
      <w:r w:rsidRPr="007D06B1">
        <w:rPr>
          <w:rFonts w:hint="cs"/>
          <w:rtl/>
        </w:rPr>
        <w:t xml:space="preserve"> </w:t>
      </w:r>
    </w:p>
  </w:footnote>
  <w:footnote w:id="4">
    <w:p w14:paraId="748CCB94" w14:textId="77777777" w:rsidR="002333C1" w:rsidRPr="007D06B1" w:rsidRDefault="002333C1">
      <w:pPr>
        <w:pStyle w:val="FootnoteText"/>
        <w:rPr>
          <w:rtl/>
        </w:rPr>
        <w:pPrChange w:id="4" w:author="Author">
          <w:pPr>
            <w:pStyle w:val="FootnoteText"/>
            <w:bidi w:val="0"/>
          </w:pPr>
        </w:pPrChange>
      </w:pPr>
      <w:r w:rsidRPr="007D06B1">
        <w:rPr>
          <w:rStyle w:val="FootnoteReference"/>
        </w:rPr>
        <w:footnoteRef/>
      </w:r>
      <w:r w:rsidRPr="007D06B1">
        <w:rPr>
          <w:rtl/>
        </w:rPr>
        <w:t xml:space="preserve"> </w:t>
      </w:r>
      <w:r w:rsidRPr="007D06B1">
        <w:rPr>
          <w:rFonts w:cs="David" w:hint="cs"/>
          <w:rtl/>
        </w:rPr>
        <w:t xml:space="preserve">שם, בעמ' 18-19. </w:t>
      </w:r>
    </w:p>
  </w:footnote>
  <w:footnote w:id="5">
    <w:p w14:paraId="748CCB95" w14:textId="77777777" w:rsidR="002333C1" w:rsidRPr="007D06B1" w:rsidRDefault="002333C1">
      <w:pPr>
        <w:pStyle w:val="FootnoteText"/>
        <w:rPr>
          <w:rtl/>
        </w:rPr>
        <w:pPrChange w:id="5" w:author="Author">
          <w:pPr>
            <w:pStyle w:val="FootnoteText"/>
            <w:bidi w:val="0"/>
          </w:pPr>
        </w:pPrChange>
      </w:pPr>
      <w:r w:rsidRPr="007D06B1">
        <w:rPr>
          <w:rStyle w:val="FootnoteReference"/>
        </w:rPr>
        <w:footnoteRef/>
      </w:r>
      <w:r w:rsidRPr="007D06B1">
        <w:rPr>
          <w:rtl/>
        </w:rPr>
        <w:t xml:space="preserve"> </w:t>
      </w:r>
      <w:r w:rsidRPr="007D06B1">
        <w:rPr>
          <w:rFonts w:cs="David" w:hint="cs"/>
          <w:rtl/>
        </w:rPr>
        <w:t xml:space="preserve">ג'ון לוק, </w:t>
      </w:r>
      <w:r w:rsidRPr="007D06B1">
        <w:rPr>
          <w:rFonts w:cs="David" w:hint="cs"/>
          <w:b/>
          <w:bCs/>
          <w:rtl/>
        </w:rPr>
        <w:t>על הממשל המדיני</w:t>
      </w:r>
      <w:r w:rsidRPr="007D06B1">
        <w:rPr>
          <w:rFonts w:cs="David" w:hint="cs"/>
          <w:rtl/>
        </w:rPr>
        <w:t>, (יוסף אור מתרגם, תש"ח).</w:t>
      </w:r>
      <w:r w:rsidRPr="007D06B1">
        <w:rPr>
          <w:rFonts w:hint="cs"/>
          <w:rtl/>
        </w:rPr>
        <w:t xml:space="preserve"> </w:t>
      </w:r>
    </w:p>
  </w:footnote>
  <w:footnote w:id="6">
    <w:p w14:paraId="748CCB96" w14:textId="77777777" w:rsidR="002333C1" w:rsidRPr="007D06B1" w:rsidRDefault="002333C1">
      <w:pPr>
        <w:pStyle w:val="FootnoteText"/>
        <w:rPr>
          <w:rtl/>
        </w:rPr>
        <w:pPrChange w:id="6" w:author="Author">
          <w:pPr>
            <w:pStyle w:val="FootnoteText"/>
            <w:bidi w:val="0"/>
          </w:pPr>
        </w:pPrChange>
      </w:pPr>
      <w:r w:rsidRPr="007D06B1">
        <w:rPr>
          <w:rStyle w:val="FootnoteReference"/>
        </w:rPr>
        <w:footnoteRef/>
      </w:r>
      <w:r w:rsidRPr="007D06B1">
        <w:rPr>
          <w:rtl/>
        </w:rPr>
        <w:t xml:space="preserve"> </w:t>
      </w:r>
      <w:r w:rsidRPr="007D06B1">
        <w:rPr>
          <w:rFonts w:cs="David" w:hint="cs"/>
          <w:rtl/>
        </w:rPr>
        <w:t xml:space="preserve">המשפט הבינלאומי בין מלחמה לשלום, ראה לעיל </w:t>
      </w:r>
      <w:proofErr w:type="spellStart"/>
      <w:r w:rsidRPr="007D06B1">
        <w:rPr>
          <w:rFonts w:cs="David" w:hint="cs"/>
          <w:rtl/>
        </w:rPr>
        <w:t>ה"ש</w:t>
      </w:r>
      <w:proofErr w:type="spellEnd"/>
      <w:r w:rsidRPr="007D06B1">
        <w:rPr>
          <w:rFonts w:cs="David" w:hint="cs"/>
          <w:rtl/>
        </w:rPr>
        <w:t xml:space="preserve"> 2 בעמ' 202.</w:t>
      </w:r>
      <w:r w:rsidRPr="007D06B1">
        <w:rPr>
          <w:rFonts w:hint="cs"/>
          <w:rtl/>
        </w:rPr>
        <w:t xml:space="preserve"> </w:t>
      </w:r>
    </w:p>
  </w:footnote>
  <w:footnote w:id="7">
    <w:p w14:paraId="748CCB97" w14:textId="6E2904F4" w:rsidR="002333C1" w:rsidRPr="003918B1" w:rsidRDefault="002333C1">
      <w:pPr>
        <w:pStyle w:val="FootnoteText"/>
        <w:rPr>
          <w:rtl/>
          <w:rPrChange w:id="7" w:author="Author">
            <w:rPr>
              <w:highlight w:val="yellow"/>
              <w:rtl/>
            </w:rPr>
          </w:rPrChange>
        </w:rPr>
        <w:pPrChange w:id="8" w:author="Author">
          <w:pPr>
            <w:pStyle w:val="FootnoteText"/>
            <w:bidi w:val="0"/>
          </w:pPr>
        </w:pPrChange>
      </w:pPr>
      <w:r w:rsidRPr="007D06B1">
        <w:rPr>
          <w:rStyle w:val="FootnoteReference"/>
        </w:rPr>
        <w:footnoteRef/>
      </w:r>
      <w:r w:rsidRPr="007D06B1">
        <w:rPr>
          <w:rtl/>
        </w:rPr>
        <w:t xml:space="preserve"> </w:t>
      </w:r>
      <w:ins w:id="9" w:author="Author">
        <w:r w:rsidRPr="007D06B1">
          <w:rPr>
            <w:rFonts w:asciiTheme="majorBidi" w:hAnsiTheme="majorBidi" w:cstheme="majorBidi"/>
            <w:color w:val="222222"/>
            <w:shd w:val="clear" w:color="auto" w:fill="FFFFFF"/>
          </w:rPr>
          <w:t>Oliver C.</w:t>
        </w:r>
        <w:r w:rsidRPr="00D5325A">
          <w:rPr>
            <w:rFonts w:asciiTheme="majorBidi" w:hAnsiTheme="majorBidi" w:cstheme="majorBidi"/>
            <w:color w:val="222222"/>
            <w:shd w:val="clear" w:color="auto" w:fill="FFFFFF"/>
          </w:rPr>
          <w:t xml:space="preserve"> Ruppel, </w:t>
        </w:r>
        <w:r w:rsidRPr="00D5325A">
          <w:rPr>
            <w:rFonts w:asciiTheme="majorBidi" w:hAnsiTheme="majorBidi" w:cstheme="majorBidi"/>
            <w:i/>
            <w:iCs/>
            <w:color w:val="222222"/>
            <w:shd w:val="clear" w:color="auto" w:fill="FFFFFF"/>
          </w:rPr>
          <w:t>Third</w:t>
        </w:r>
        <w:r w:rsidRPr="00DA450B">
          <w:rPr>
            <w:rFonts w:asciiTheme="majorBidi" w:hAnsiTheme="majorBidi" w:cstheme="majorBidi"/>
            <w:i/>
            <w:iCs/>
            <w:color w:val="222222"/>
            <w:shd w:val="clear" w:color="auto" w:fill="FFFFFF"/>
          </w:rPr>
          <w:t>-Generation Human Rights and t</w:t>
        </w:r>
        <w:r w:rsidRPr="007D06B1">
          <w:rPr>
            <w:rFonts w:asciiTheme="majorBidi" w:hAnsiTheme="majorBidi" w:cstheme="majorBidi"/>
            <w:i/>
            <w:iCs/>
            <w:color w:val="222222"/>
            <w:shd w:val="clear" w:color="auto" w:fill="FFFFFF"/>
          </w:rPr>
          <w:t>he Protection of the Environment in Namibia, in</w:t>
        </w:r>
        <w:r w:rsidRPr="007D06B1">
          <w:rPr>
            <w:rFonts w:asciiTheme="majorBidi" w:hAnsiTheme="majorBidi" w:cstheme="majorBidi"/>
            <w:color w:val="222222"/>
            <w:shd w:val="clear" w:color="auto" w:fill="FFFFFF"/>
          </w:rPr>
          <w:t> </w:t>
        </w:r>
        <w:r w:rsidRPr="007D06B1">
          <w:rPr>
            <w:rFonts w:asciiTheme="majorBidi" w:hAnsiTheme="majorBidi" w:cstheme="majorBidi"/>
            <w:smallCaps/>
            <w:color w:val="222222"/>
            <w:shd w:val="clear" w:color="auto" w:fill="FFFFFF"/>
          </w:rPr>
          <w:t>Human Rights and the Rule of Law in Namibia</w:t>
        </w:r>
        <w:r w:rsidRPr="007D06B1">
          <w:rPr>
            <w:rFonts w:asciiTheme="majorBidi" w:hAnsiTheme="majorBidi" w:cstheme="majorBidi"/>
            <w:color w:val="222222"/>
            <w:shd w:val="clear" w:color="auto" w:fill="FFFFFF"/>
          </w:rPr>
          <w:t xml:space="preserve"> 101–20, 104 (2008)</w:t>
        </w:r>
      </w:ins>
      <w:del w:id="10" w:author="Author">
        <w:r w:rsidRPr="003918B1" w:rsidDel="004B1F03">
          <w:rPr>
            <w:rFonts w:asciiTheme="majorBidi" w:hAnsiTheme="majorBidi" w:cstheme="majorBidi"/>
            <w:color w:val="222222"/>
            <w:shd w:val="clear" w:color="auto" w:fill="FFFFFF"/>
            <w:rPrChange w:id="11" w:author="Author">
              <w:rPr>
                <w:rFonts w:asciiTheme="majorBidi" w:hAnsiTheme="majorBidi" w:cstheme="majorBidi"/>
                <w:color w:val="222222"/>
                <w:highlight w:val="yellow"/>
                <w:shd w:val="clear" w:color="auto" w:fill="FFFFFF"/>
              </w:rPr>
            </w:rPrChange>
          </w:rPr>
          <w:delText>Ruppel, Oliver C. "Third-generation human rights and the protection of the environment in Namibia." Human rights and the rule of law in Namibia. Windhoek: Macmillan Education Namibia (2008): 101-120, 104</w:delText>
        </w:r>
      </w:del>
      <w:r w:rsidRPr="003918B1">
        <w:rPr>
          <w:rFonts w:asciiTheme="majorBidi" w:hAnsiTheme="majorBidi" w:cstheme="majorBidi"/>
          <w:color w:val="222222"/>
          <w:shd w:val="clear" w:color="auto" w:fill="FFFFFF"/>
          <w:rPrChange w:id="12" w:author="Author">
            <w:rPr>
              <w:rFonts w:asciiTheme="majorBidi" w:hAnsiTheme="majorBidi" w:cstheme="majorBidi"/>
              <w:color w:val="222222"/>
              <w:highlight w:val="yellow"/>
              <w:shd w:val="clear" w:color="auto" w:fill="FFFFFF"/>
            </w:rPr>
          </w:rPrChange>
        </w:rPr>
        <w:t xml:space="preserve">. </w:t>
      </w:r>
      <w:r w:rsidRPr="003918B1">
        <w:rPr>
          <w:rFonts w:asciiTheme="majorBidi" w:hAnsiTheme="majorBidi" w:cstheme="majorBidi"/>
          <w:color w:val="222222"/>
          <w:shd w:val="clear" w:color="auto" w:fill="FFFFFF"/>
          <w:rtl/>
          <w:rPrChange w:id="13" w:author="Author">
            <w:rPr>
              <w:rFonts w:asciiTheme="majorBidi" w:hAnsiTheme="majorBidi" w:cstheme="majorBidi"/>
              <w:color w:val="222222"/>
              <w:highlight w:val="yellow"/>
              <w:shd w:val="clear" w:color="auto" w:fill="FFFFFF"/>
              <w:rtl/>
            </w:rPr>
          </w:rPrChange>
        </w:rPr>
        <w:t>‏</w:t>
      </w:r>
    </w:p>
  </w:footnote>
  <w:footnote w:id="8">
    <w:p w14:paraId="748CCB98" w14:textId="541C139C" w:rsidR="002333C1" w:rsidRPr="00D5325A" w:rsidRDefault="002333C1">
      <w:pPr>
        <w:pStyle w:val="FootnoteText"/>
        <w:rPr>
          <w:rtl/>
        </w:rPr>
        <w:pPrChange w:id="14" w:author="Author">
          <w:pPr>
            <w:pStyle w:val="FootnoteText"/>
            <w:bidi w:val="0"/>
          </w:pPr>
        </w:pPrChange>
      </w:pPr>
      <w:r w:rsidRPr="003918B1">
        <w:rPr>
          <w:rStyle w:val="FootnoteReference"/>
          <w:rPrChange w:id="15" w:author="Author">
            <w:rPr>
              <w:rStyle w:val="FootnoteReference"/>
              <w:highlight w:val="yellow"/>
            </w:rPr>
          </w:rPrChange>
        </w:rPr>
        <w:footnoteRef/>
      </w:r>
      <w:r w:rsidRPr="003918B1">
        <w:rPr>
          <w:rtl/>
          <w:rPrChange w:id="16" w:author="Author">
            <w:rPr>
              <w:highlight w:val="yellow"/>
              <w:rtl/>
            </w:rPr>
          </w:rPrChange>
        </w:rPr>
        <w:t xml:space="preserve"> </w:t>
      </w:r>
      <w:ins w:id="17" w:author="Author">
        <w:r w:rsidRPr="00D5325A">
          <w:rPr>
            <w:rFonts w:asciiTheme="majorBidi" w:hAnsiTheme="majorBidi" w:cstheme="majorBidi"/>
            <w:color w:val="222222"/>
            <w:shd w:val="clear" w:color="auto" w:fill="FFFFFF"/>
          </w:rPr>
          <w:t xml:space="preserve">Norman D. </w:t>
        </w:r>
        <w:r w:rsidRPr="00DA450B">
          <w:rPr>
            <w:rFonts w:asciiTheme="majorBidi" w:hAnsiTheme="majorBidi" w:cstheme="majorBidi"/>
            <w:color w:val="222222"/>
            <w:shd w:val="clear" w:color="auto" w:fill="FFFFFF"/>
          </w:rPr>
          <w:t>Palmer,</w:t>
        </w:r>
        <w:r w:rsidRPr="007D06B1">
          <w:rPr>
            <w:rFonts w:asciiTheme="majorBidi" w:hAnsiTheme="majorBidi" w:cstheme="majorBidi"/>
            <w:color w:val="222222"/>
            <w:shd w:val="clear" w:color="auto" w:fill="FFFFFF"/>
          </w:rPr>
          <w:t xml:space="preserve"> </w:t>
        </w:r>
        <w:r w:rsidRPr="007D06B1">
          <w:rPr>
            <w:rFonts w:asciiTheme="majorBidi" w:hAnsiTheme="majorBidi" w:cstheme="majorBidi"/>
            <w:i/>
            <w:iCs/>
            <w:color w:val="222222"/>
            <w:shd w:val="clear" w:color="auto" w:fill="FFFFFF"/>
          </w:rPr>
          <w:t>The Study of International Relations in the United States: Perspectives of Half a Century</w:t>
        </w:r>
        <w:r w:rsidRPr="007D06B1">
          <w:rPr>
            <w:rFonts w:asciiTheme="majorBidi" w:hAnsiTheme="majorBidi" w:cstheme="majorBidi"/>
            <w:color w:val="222222"/>
            <w:shd w:val="clear" w:color="auto" w:fill="FFFFFF"/>
          </w:rPr>
          <w:t xml:space="preserve">, 24(3) </w:t>
        </w:r>
        <w:r w:rsidRPr="007D06B1">
          <w:rPr>
            <w:rFonts w:asciiTheme="majorBidi" w:hAnsiTheme="majorBidi" w:cstheme="majorBidi"/>
            <w:smallCaps/>
            <w:color w:val="222222"/>
            <w:shd w:val="clear" w:color="auto" w:fill="FFFFFF"/>
          </w:rPr>
          <w:t xml:space="preserve">Int’l </w:t>
        </w:r>
        <w:proofErr w:type="gramStart"/>
        <w:r w:rsidRPr="007D06B1">
          <w:rPr>
            <w:rFonts w:asciiTheme="majorBidi" w:hAnsiTheme="majorBidi" w:cstheme="majorBidi"/>
            <w:smallCaps/>
            <w:color w:val="222222"/>
            <w:shd w:val="clear" w:color="auto" w:fill="FFFFFF"/>
          </w:rPr>
          <w:t>Stud</w:t>
        </w:r>
        <w:proofErr w:type="gramEnd"/>
        <w:r w:rsidRPr="007D06B1">
          <w:rPr>
            <w:rFonts w:asciiTheme="majorBidi" w:hAnsiTheme="majorBidi" w:cstheme="majorBidi"/>
            <w:smallCaps/>
            <w:color w:val="222222"/>
            <w:shd w:val="clear" w:color="auto" w:fill="FFFFFF"/>
          </w:rPr>
          <w:t>. Q</w:t>
        </w:r>
        <w:r w:rsidRPr="007D06B1">
          <w:rPr>
            <w:rFonts w:asciiTheme="majorBidi" w:hAnsiTheme="majorBidi" w:cstheme="majorBidi"/>
            <w:color w:val="222222"/>
            <w:shd w:val="clear" w:color="auto" w:fill="FFFFFF"/>
          </w:rPr>
          <w:t xml:space="preserve">. 346 (1980); </w:t>
        </w:r>
        <w:r w:rsidRPr="007D06B1">
          <w:rPr>
            <w:rFonts w:asciiTheme="majorBidi" w:hAnsiTheme="majorBidi" w:cstheme="majorBidi"/>
            <w:smallCaps/>
            <w:color w:val="222222"/>
            <w:shd w:val="clear" w:color="auto" w:fill="FFFFFF"/>
          </w:rPr>
          <w:t>John M. Hobson</w:t>
        </w:r>
        <w:r w:rsidRPr="007D06B1">
          <w:rPr>
            <w:rFonts w:asciiTheme="majorBidi" w:hAnsiTheme="majorBidi" w:cstheme="majorBidi"/>
            <w:color w:val="222222"/>
            <w:shd w:val="clear" w:color="auto" w:fill="FFFFFF"/>
          </w:rPr>
          <w:t xml:space="preserve">, </w:t>
        </w:r>
        <w:r w:rsidRPr="007D06B1">
          <w:rPr>
            <w:rFonts w:asciiTheme="majorBidi" w:hAnsiTheme="majorBidi" w:cstheme="majorBidi"/>
            <w:smallCaps/>
            <w:color w:val="222222"/>
            <w:shd w:val="clear" w:color="auto" w:fill="FFFFFF"/>
          </w:rPr>
          <w:t>The State and International Relations</w:t>
        </w:r>
        <w:r w:rsidRPr="007D06B1">
          <w:rPr>
            <w:rFonts w:asciiTheme="majorBidi" w:hAnsiTheme="majorBidi" w:cstheme="majorBidi"/>
            <w:color w:val="222222"/>
            <w:shd w:val="clear" w:color="auto" w:fill="FFFFFF"/>
          </w:rPr>
          <w:t xml:space="preserve"> 3 (2000).</w:t>
        </w:r>
      </w:ins>
      <w:del w:id="18" w:author="Author">
        <w:r w:rsidRPr="003918B1" w:rsidDel="0016543B">
          <w:rPr>
            <w:rFonts w:asciiTheme="majorBidi" w:hAnsiTheme="majorBidi" w:cstheme="majorBidi"/>
            <w:color w:val="222222"/>
            <w:shd w:val="clear" w:color="auto" w:fill="FFFFFF"/>
            <w:rPrChange w:id="19" w:author="Author">
              <w:rPr>
                <w:rFonts w:asciiTheme="majorBidi" w:hAnsiTheme="majorBidi" w:cstheme="majorBidi"/>
                <w:color w:val="222222"/>
                <w:highlight w:val="yellow"/>
                <w:shd w:val="clear" w:color="auto" w:fill="FFFFFF"/>
              </w:rPr>
            </w:rPrChange>
          </w:rPr>
          <w:delText>Palmer, Norman D, The Study of International Relations in the United States: Perspectives of Half a Century, International Studies Quarterly 24.3, 346 (1980); Hobson, John M, The State and International Relations, 3 (2000)</w:delText>
        </w:r>
      </w:del>
      <w:r w:rsidRPr="003918B1">
        <w:rPr>
          <w:rFonts w:asciiTheme="majorBidi" w:hAnsiTheme="majorBidi" w:cstheme="majorBidi"/>
          <w:color w:val="222222"/>
          <w:shd w:val="clear" w:color="auto" w:fill="FFFFFF"/>
          <w:rtl/>
          <w:rPrChange w:id="20" w:author="Author">
            <w:rPr>
              <w:rFonts w:asciiTheme="majorBidi" w:hAnsiTheme="majorBidi" w:cstheme="majorBidi"/>
              <w:color w:val="222222"/>
              <w:highlight w:val="yellow"/>
              <w:shd w:val="clear" w:color="auto" w:fill="FFFFFF"/>
              <w:rtl/>
            </w:rPr>
          </w:rPrChange>
        </w:rPr>
        <w:t>‏</w:t>
      </w:r>
      <w:r w:rsidRPr="003918B1">
        <w:rPr>
          <w:rFonts w:asciiTheme="majorBidi" w:hAnsiTheme="majorBidi" w:cstheme="majorBidi"/>
          <w:color w:val="222222"/>
          <w:shd w:val="clear" w:color="auto" w:fill="FFFFFF"/>
          <w:rPrChange w:id="21" w:author="Author">
            <w:rPr>
              <w:rFonts w:asciiTheme="majorBidi" w:hAnsiTheme="majorBidi" w:cstheme="majorBidi"/>
              <w:color w:val="222222"/>
              <w:highlight w:val="yellow"/>
              <w:shd w:val="clear" w:color="auto" w:fill="FFFFFF"/>
            </w:rPr>
          </w:rPrChange>
        </w:rPr>
        <w:t xml:space="preserve"> </w:t>
      </w:r>
      <w:r w:rsidRPr="003918B1">
        <w:rPr>
          <w:rFonts w:ascii="Arial" w:hAnsi="Arial" w:cs="Arial"/>
          <w:color w:val="222222"/>
          <w:shd w:val="clear" w:color="auto" w:fill="FFFFFF"/>
          <w:rtl/>
          <w:rPrChange w:id="22" w:author="Author">
            <w:rPr>
              <w:rFonts w:ascii="Arial" w:hAnsi="Arial" w:cs="Arial"/>
              <w:color w:val="222222"/>
              <w:highlight w:val="yellow"/>
              <w:shd w:val="clear" w:color="auto" w:fill="FFFFFF"/>
              <w:rtl/>
            </w:rPr>
          </w:rPrChange>
        </w:rPr>
        <w:t>‏</w:t>
      </w:r>
    </w:p>
  </w:footnote>
  <w:footnote w:id="9">
    <w:p w14:paraId="748CCB99" w14:textId="38D26505" w:rsidR="002333C1" w:rsidRPr="007D06B1" w:rsidRDefault="002333C1">
      <w:pPr>
        <w:pStyle w:val="FootnoteText"/>
        <w:jc w:val="both"/>
        <w:rPr>
          <w:rtl/>
        </w:rPr>
        <w:pPrChange w:id="23" w:author="Author">
          <w:pPr>
            <w:pStyle w:val="FootnoteText"/>
            <w:bidi w:val="0"/>
            <w:jc w:val="both"/>
          </w:pPr>
        </w:pPrChange>
      </w:pPr>
      <w:r w:rsidRPr="00D5325A">
        <w:rPr>
          <w:rStyle w:val="FootnoteReference"/>
        </w:rPr>
        <w:footnoteRef/>
      </w:r>
      <w:r w:rsidRPr="00D5325A">
        <w:rPr>
          <w:rtl/>
        </w:rPr>
        <w:t xml:space="preserve"> </w:t>
      </w:r>
      <w:r w:rsidRPr="00D5325A">
        <w:rPr>
          <w:rFonts w:cs="David" w:hint="cs"/>
          <w:rtl/>
        </w:rPr>
        <w:t xml:space="preserve">בהקשר זה, ניתן להזכיר כמקרה חריג את המאבק נגד העבדות שהחל בשנת 1787 באנגליה. קבוצת אזרחים תבעה לחדול ממסחר באנשים (אך לא יצאו נגד מוסד העבדות ולא דרשו את ביטולו). פעילותה של קבוצה זו </w:t>
      </w:r>
      <w:r w:rsidRPr="00DA450B">
        <w:rPr>
          <w:rFonts w:cs="David" w:hint="cs"/>
          <w:rtl/>
        </w:rPr>
        <w:t>בזירה הפנימית באנגליה, התבססה על כך שבשנת 1776 העביר הפרלמנט הבריטי החלטה הקובעת כי סחר העבדים "נוגד את החוק האלוהי ואת זכויות האדם" ודינו של המפר חוק זה הוא מוות. כמה שנים לאחר מכן חתמה בריטניה עם מדיניות ימיות אחרות על מספר הסכמים ובהם התחייבו שני הצדדים</w:t>
      </w:r>
      <w:r w:rsidRPr="007D06B1">
        <w:rPr>
          <w:rFonts w:cs="David"/>
          <w:rtl/>
        </w:rPr>
        <w:t xml:space="preserve"> למנוע סחר בעבדים ולאפשר בדיקה הדדית של המטען באניות הנושאות את דגלי המדינות החתומות עליהם. בשנת 1885 גובשה האמנה הרב צדדית הראשונה שבה הצהירו מדינות העולם המערבי על החלטתן להפסיק את סחר העבדים, וב-1926, בתקופת חבר הלאומים, גיבשו מדינות העולם אמנה בדבר ביטול מוסד העבדות בכללותו; המשפט הבינלאומי בין מלחמה לשלום, ראה לעיל </w:t>
      </w:r>
      <w:proofErr w:type="spellStart"/>
      <w:r w:rsidRPr="007D06B1">
        <w:rPr>
          <w:rFonts w:cs="David"/>
          <w:rtl/>
        </w:rPr>
        <w:t>ה"ש</w:t>
      </w:r>
      <w:proofErr w:type="spellEnd"/>
      <w:r w:rsidRPr="007D06B1">
        <w:rPr>
          <w:rFonts w:cs="David"/>
          <w:rtl/>
        </w:rPr>
        <w:t xml:space="preserve"> 2 בעמ' 202-203; </w:t>
      </w:r>
      <w:ins w:id="24" w:author="Author">
        <w:r w:rsidRPr="007D06B1">
          <w:rPr>
            <w:rFonts w:asciiTheme="majorBidi" w:hAnsiTheme="majorBidi" w:cstheme="majorBidi"/>
            <w:color w:val="222222"/>
            <w:shd w:val="clear" w:color="auto" w:fill="FFFFFF"/>
          </w:rPr>
          <w:t xml:space="preserve">David J. Singer, </w:t>
        </w:r>
        <w:r w:rsidRPr="007D06B1">
          <w:rPr>
            <w:rFonts w:asciiTheme="majorBidi" w:hAnsiTheme="majorBidi" w:cstheme="majorBidi"/>
            <w:i/>
            <w:iCs/>
            <w:color w:val="222222"/>
            <w:shd w:val="clear" w:color="auto" w:fill="FFFFFF"/>
          </w:rPr>
          <w:t>The Level-of-Analysis Problem in International Relations</w:t>
        </w:r>
        <w:r w:rsidRPr="007D06B1">
          <w:rPr>
            <w:rFonts w:asciiTheme="majorBidi" w:hAnsiTheme="majorBidi" w:cstheme="majorBidi"/>
            <w:color w:val="222222"/>
            <w:shd w:val="clear" w:color="auto" w:fill="FFFFFF"/>
          </w:rPr>
          <w:t xml:space="preserve">, 14(1) </w:t>
        </w:r>
        <w:r w:rsidRPr="007D06B1">
          <w:rPr>
            <w:rFonts w:asciiTheme="majorBidi" w:hAnsiTheme="majorBidi" w:cstheme="majorBidi"/>
            <w:smallCaps/>
            <w:color w:val="222222"/>
            <w:shd w:val="clear" w:color="auto" w:fill="FFFFFF"/>
          </w:rPr>
          <w:t>World Pol</w:t>
        </w:r>
        <w:r w:rsidRPr="007D06B1">
          <w:rPr>
            <w:rFonts w:asciiTheme="majorBidi" w:hAnsiTheme="majorBidi" w:cstheme="majorBidi"/>
            <w:color w:val="222222"/>
            <w:shd w:val="clear" w:color="auto" w:fill="FFFFFF"/>
          </w:rPr>
          <w:t>. 77–92, 81 (1961).</w:t>
        </w:r>
      </w:ins>
      <w:del w:id="25" w:author="Author">
        <w:r w:rsidRPr="003918B1" w:rsidDel="00BD0FA1">
          <w:rPr>
            <w:rFonts w:asciiTheme="majorBidi" w:hAnsiTheme="majorBidi" w:cstheme="majorBidi"/>
            <w:color w:val="222222"/>
            <w:shd w:val="clear" w:color="auto" w:fill="FFFFFF"/>
            <w:rPrChange w:id="26" w:author="Author">
              <w:rPr>
                <w:rFonts w:asciiTheme="majorBidi" w:hAnsiTheme="majorBidi" w:cstheme="majorBidi"/>
                <w:color w:val="222222"/>
                <w:highlight w:val="yellow"/>
                <w:shd w:val="clear" w:color="auto" w:fill="FFFFFF"/>
              </w:rPr>
            </w:rPrChange>
          </w:rPr>
          <w:delText>Singer, J. David, The Level of-Analysis Problem in International Relations, World Politics 14.1, 77-92, 81 (1961)</w:delText>
        </w:r>
        <w:r w:rsidRPr="007D06B1" w:rsidDel="00BD0FA1">
          <w:rPr>
            <w:rFonts w:asciiTheme="majorBidi" w:hAnsiTheme="majorBidi" w:cstheme="majorBidi"/>
            <w:color w:val="222222"/>
            <w:shd w:val="clear" w:color="auto" w:fill="FFFFFF"/>
          </w:rPr>
          <w:delText>.</w:delText>
        </w:r>
      </w:del>
    </w:p>
  </w:footnote>
  <w:footnote w:id="10">
    <w:p w14:paraId="748CCB9A" w14:textId="77777777" w:rsidR="002333C1" w:rsidRPr="007D06B1" w:rsidRDefault="002333C1">
      <w:pPr>
        <w:pStyle w:val="FootnoteText"/>
        <w:rPr>
          <w:rtl/>
        </w:rPr>
        <w:pPrChange w:id="27" w:author="Author">
          <w:pPr>
            <w:pStyle w:val="FootnoteText"/>
            <w:bidi w:val="0"/>
          </w:pPr>
        </w:pPrChange>
      </w:pPr>
      <w:r w:rsidRPr="00D5325A">
        <w:rPr>
          <w:rStyle w:val="FootnoteReference"/>
        </w:rPr>
        <w:footnoteRef/>
      </w:r>
      <w:r w:rsidRPr="00D5325A">
        <w:rPr>
          <w:rtl/>
        </w:rPr>
        <w:t xml:space="preserve"> </w:t>
      </w:r>
      <w:r w:rsidRPr="00D5325A">
        <w:rPr>
          <w:rFonts w:cs="David" w:hint="cs"/>
          <w:rtl/>
        </w:rPr>
        <w:t>המשפט הבינלאומי בין מלחמה לשלום</w:t>
      </w:r>
      <w:r w:rsidRPr="00DA450B">
        <w:rPr>
          <w:rFonts w:cs="David" w:hint="cs"/>
          <w:rtl/>
        </w:rPr>
        <w:t xml:space="preserve">, </w:t>
      </w:r>
      <w:r w:rsidRPr="007D06B1">
        <w:rPr>
          <w:rFonts w:cs="David" w:hint="eastAsia"/>
          <w:rtl/>
        </w:rPr>
        <w:t>ראה</w:t>
      </w:r>
      <w:r w:rsidRPr="007D06B1">
        <w:rPr>
          <w:rFonts w:cs="David"/>
          <w:rtl/>
        </w:rPr>
        <w:t xml:space="preserve"> לעיל </w:t>
      </w:r>
      <w:proofErr w:type="spellStart"/>
      <w:r w:rsidRPr="007D06B1">
        <w:rPr>
          <w:rFonts w:cs="David"/>
          <w:rtl/>
        </w:rPr>
        <w:t>ה"ש</w:t>
      </w:r>
      <w:proofErr w:type="spellEnd"/>
      <w:r w:rsidRPr="007D06B1">
        <w:rPr>
          <w:rFonts w:cs="David"/>
          <w:rtl/>
        </w:rPr>
        <w:t xml:space="preserve"> 2 בעמ' 203. </w:t>
      </w:r>
    </w:p>
  </w:footnote>
  <w:footnote w:id="11">
    <w:p w14:paraId="748CCB9B" w14:textId="77777777" w:rsidR="002333C1" w:rsidRPr="007D06B1" w:rsidRDefault="002333C1">
      <w:pPr>
        <w:pStyle w:val="FootnoteText"/>
        <w:rPr>
          <w:rtl/>
        </w:rPr>
        <w:pPrChange w:id="28" w:author="Author">
          <w:pPr>
            <w:pStyle w:val="FootnoteText"/>
            <w:bidi w:val="0"/>
          </w:pPr>
        </w:pPrChange>
      </w:pPr>
      <w:r w:rsidRPr="00D5325A">
        <w:rPr>
          <w:rStyle w:val="FootnoteReference"/>
        </w:rPr>
        <w:footnoteRef/>
      </w:r>
      <w:r w:rsidRPr="00D5325A">
        <w:rPr>
          <w:rtl/>
        </w:rPr>
        <w:t xml:space="preserve"> </w:t>
      </w:r>
      <w:r w:rsidRPr="00D5325A">
        <w:rPr>
          <w:rFonts w:cs="David" w:hint="cs"/>
          <w:rtl/>
        </w:rPr>
        <w:t>המשפט הבינלאומי בין מלחמה לשלום</w:t>
      </w:r>
      <w:r w:rsidRPr="00DA450B">
        <w:rPr>
          <w:rFonts w:cs="David" w:hint="cs"/>
          <w:rtl/>
        </w:rPr>
        <w:t xml:space="preserve">, </w:t>
      </w:r>
      <w:r w:rsidRPr="007D06B1">
        <w:rPr>
          <w:rFonts w:cs="David" w:hint="eastAsia"/>
          <w:rtl/>
        </w:rPr>
        <w:t>ראה</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2 </w:t>
      </w:r>
      <w:r w:rsidRPr="007D06B1">
        <w:rPr>
          <w:rFonts w:cs="David" w:hint="eastAsia"/>
          <w:rtl/>
        </w:rPr>
        <w:t>בעמ</w:t>
      </w:r>
      <w:r w:rsidRPr="007D06B1">
        <w:rPr>
          <w:rFonts w:cs="David"/>
          <w:rtl/>
        </w:rPr>
        <w:t>' 204.</w:t>
      </w:r>
    </w:p>
  </w:footnote>
  <w:footnote w:id="12">
    <w:p w14:paraId="748CCB9C" w14:textId="30AF8AD4" w:rsidR="002333C1" w:rsidRPr="00DA450B" w:rsidRDefault="002333C1">
      <w:pPr>
        <w:pStyle w:val="FootnoteText"/>
        <w:rPr>
          <w:rtl/>
        </w:rPr>
        <w:pPrChange w:id="29" w:author="Author">
          <w:pPr>
            <w:pStyle w:val="FootnoteText"/>
            <w:bidi w:val="0"/>
          </w:pPr>
        </w:pPrChange>
      </w:pPr>
      <w:r w:rsidRPr="00D5325A">
        <w:rPr>
          <w:rStyle w:val="FootnoteReference"/>
        </w:rPr>
        <w:footnoteRef/>
      </w:r>
      <w:r w:rsidRPr="00D5325A">
        <w:rPr>
          <w:rtl/>
        </w:rPr>
        <w:t xml:space="preserve"> </w:t>
      </w:r>
      <w:ins w:id="30" w:author="Author">
        <w:r w:rsidRPr="00D5325A">
          <w:rPr>
            <w:rFonts w:asciiTheme="majorBidi" w:hAnsiTheme="majorBidi" w:cstheme="majorBidi"/>
            <w:smallCaps/>
            <w:color w:val="222222"/>
            <w:shd w:val="clear" w:color="auto" w:fill="FFFFFF"/>
          </w:rPr>
          <w:t>23 Christian</w:t>
        </w:r>
        <w:r w:rsidRPr="00DA450B">
          <w:rPr>
            <w:rFonts w:asciiTheme="majorBidi" w:hAnsiTheme="majorBidi" w:cstheme="majorBidi"/>
            <w:smallCaps/>
            <w:color w:val="222222"/>
            <w:shd w:val="clear" w:color="auto" w:fill="FFFFFF"/>
          </w:rPr>
          <w:t xml:space="preserve"> </w:t>
        </w:r>
        <w:proofErr w:type="spellStart"/>
        <w:r w:rsidRPr="007D06B1">
          <w:rPr>
            <w:rFonts w:asciiTheme="majorBidi" w:hAnsiTheme="majorBidi" w:cstheme="majorBidi"/>
            <w:smallCaps/>
            <w:color w:val="222222"/>
            <w:shd w:val="clear" w:color="auto" w:fill="FFFFFF"/>
          </w:rPr>
          <w:t>Tomuschat</w:t>
        </w:r>
        <w:proofErr w:type="spellEnd"/>
        <w:r w:rsidRPr="007D06B1">
          <w:rPr>
            <w:rFonts w:asciiTheme="majorBidi" w:hAnsiTheme="majorBidi" w:cstheme="majorBidi"/>
            <w:smallCaps/>
            <w:color w:val="222222"/>
            <w:shd w:val="clear" w:color="auto" w:fill="FFFFFF"/>
          </w:rPr>
          <w:t>, ed</w:t>
        </w:r>
        <w:r w:rsidRPr="007D06B1">
          <w:rPr>
            <w:rFonts w:asciiTheme="majorBidi" w:hAnsiTheme="majorBidi" w:cstheme="majorBidi"/>
            <w:color w:val="222222"/>
            <w:shd w:val="clear" w:color="auto" w:fill="FFFFFF"/>
          </w:rPr>
          <w:t>., </w:t>
        </w:r>
        <w:r w:rsidRPr="007D06B1">
          <w:rPr>
            <w:rFonts w:asciiTheme="majorBidi" w:hAnsiTheme="majorBidi" w:cstheme="majorBidi"/>
            <w:smallCaps/>
            <w:color w:val="222222"/>
            <w:shd w:val="clear" w:color="auto" w:fill="FFFFFF"/>
          </w:rPr>
          <w:t>The United Nations at Age Fifty: A Legal Perspective</w:t>
        </w:r>
        <w:r w:rsidRPr="007D06B1">
          <w:rPr>
            <w:rFonts w:asciiTheme="majorBidi" w:hAnsiTheme="majorBidi" w:cstheme="majorBidi"/>
            <w:color w:val="222222"/>
            <w:shd w:val="clear" w:color="auto" w:fill="FFFFFF"/>
          </w:rPr>
          <w:t xml:space="preserve"> 77 (1995)</w:t>
        </w:r>
      </w:ins>
      <w:del w:id="31" w:author="Author">
        <w:r w:rsidRPr="003918B1" w:rsidDel="00C74463">
          <w:rPr>
            <w:rFonts w:asciiTheme="majorBidi" w:hAnsiTheme="majorBidi" w:cstheme="majorBidi"/>
            <w:color w:val="222222"/>
            <w:shd w:val="clear" w:color="auto" w:fill="FFFFFF"/>
            <w:rPrChange w:id="32" w:author="Author">
              <w:rPr>
                <w:rFonts w:asciiTheme="majorBidi" w:hAnsiTheme="majorBidi" w:cstheme="majorBidi"/>
                <w:color w:val="222222"/>
                <w:highlight w:val="yellow"/>
                <w:shd w:val="clear" w:color="auto" w:fill="FFFFFF"/>
              </w:rPr>
            </w:rPrChange>
          </w:rPr>
          <w:delText>Tomuschat, Christian, ed. </w:delText>
        </w:r>
        <w:r w:rsidRPr="003918B1" w:rsidDel="00C74463">
          <w:rPr>
            <w:rFonts w:asciiTheme="majorBidi" w:hAnsiTheme="majorBidi" w:cstheme="majorBidi"/>
            <w:i/>
            <w:iCs/>
            <w:color w:val="222222"/>
            <w:shd w:val="clear" w:color="auto" w:fill="FFFFFF"/>
            <w:rPrChange w:id="33" w:author="Author">
              <w:rPr>
                <w:rFonts w:asciiTheme="majorBidi" w:hAnsiTheme="majorBidi" w:cstheme="majorBidi"/>
                <w:i/>
                <w:iCs/>
                <w:color w:val="222222"/>
                <w:highlight w:val="yellow"/>
                <w:shd w:val="clear" w:color="auto" w:fill="FFFFFF"/>
              </w:rPr>
            </w:rPrChange>
          </w:rPr>
          <w:delText>the United Nations at age fifty: a legal perspective</w:delText>
        </w:r>
        <w:r w:rsidRPr="003918B1" w:rsidDel="00C74463">
          <w:rPr>
            <w:rFonts w:asciiTheme="majorBidi" w:hAnsiTheme="majorBidi" w:cstheme="majorBidi"/>
            <w:color w:val="222222"/>
            <w:shd w:val="clear" w:color="auto" w:fill="FFFFFF"/>
            <w:rPrChange w:id="34" w:author="Author">
              <w:rPr>
                <w:rFonts w:asciiTheme="majorBidi" w:hAnsiTheme="majorBidi" w:cstheme="majorBidi"/>
                <w:color w:val="222222"/>
                <w:highlight w:val="yellow"/>
                <w:shd w:val="clear" w:color="auto" w:fill="FFFFFF"/>
              </w:rPr>
            </w:rPrChange>
          </w:rPr>
          <w:delText>. Vol. 23. Martinus Nijhoff Publishers, 1995, 77</w:delText>
        </w:r>
      </w:del>
      <w:r w:rsidRPr="00D5325A">
        <w:rPr>
          <w:rFonts w:asciiTheme="majorBidi" w:hAnsiTheme="majorBidi" w:cstheme="majorBidi"/>
          <w:color w:val="222222"/>
          <w:shd w:val="clear" w:color="auto" w:fill="FFFFFF"/>
        </w:rPr>
        <w:t xml:space="preserve">. </w:t>
      </w:r>
      <w:r w:rsidRPr="00D5325A">
        <w:rPr>
          <w:rFonts w:ascii="Arial" w:hAnsi="Arial" w:cs="Arial"/>
          <w:color w:val="222222"/>
          <w:shd w:val="clear" w:color="auto" w:fill="FFFFFF"/>
          <w:rtl/>
        </w:rPr>
        <w:t>‏</w:t>
      </w:r>
      <w:r w:rsidRPr="00D5325A">
        <w:rPr>
          <w:rFonts w:hint="cs"/>
          <w:rtl/>
        </w:rPr>
        <w:t xml:space="preserve"> </w:t>
      </w:r>
    </w:p>
  </w:footnote>
  <w:footnote w:id="13">
    <w:p w14:paraId="748CCB9D" w14:textId="16E7E972" w:rsidR="002333C1" w:rsidRPr="007D06B1" w:rsidRDefault="002333C1">
      <w:pPr>
        <w:pStyle w:val="FootnoteText"/>
        <w:rPr>
          <w:rtl/>
        </w:rPr>
        <w:pPrChange w:id="35" w:author="Author">
          <w:pPr>
            <w:pStyle w:val="FootnoteText"/>
            <w:bidi w:val="0"/>
          </w:pPr>
        </w:pPrChange>
      </w:pPr>
      <w:r w:rsidRPr="00D5325A">
        <w:rPr>
          <w:rStyle w:val="FootnoteReference"/>
        </w:rPr>
        <w:footnoteRef/>
      </w:r>
      <w:r w:rsidRPr="00D5325A">
        <w:rPr>
          <w:rtl/>
        </w:rPr>
        <w:t xml:space="preserve"> </w:t>
      </w:r>
      <w:ins w:id="36" w:author="Author">
        <w:r w:rsidRPr="00D5325A">
          <w:rPr>
            <w:rFonts w:asciiTheme="majorBidi" w:hAnsiTheme="majorBidi" w:cstheme="majorBidi"/>
            <w:color w:val="222222"/>
            <w:shd w:val="clear" w:color="auto" w:fill="FFFFFF"/>
          </w:rPr>
          <w:t xml:space="preserve">Susan </w:t>
        </w:r>
        <w:r w:rsidRPr="00DA450B">
          <w:rPr>
            <w:rFonts w:asciiTheme="majorBidi" w:hAnsiTheme="majorBidi" w:cstheme="majorBidi"/>
            <w:color w:val="222222"/>
            <w:shd w:val="clear" w:color="auto" w:fill="FFFFFF"/>
          </w:rPr>
          <w:t>Pedersen,</w:t>
        </w:r>
        <w:r w:rsidRPr="007D06B1">
          <w:rPr>
            <w:rFonts w:asciiTheme="majorBidi" w:hAnsiTheme="majorBidi" w:cstheme="majorBidi"/>
            <w:color w:val="222222"/>
            <w:shd w:val="clear" w:color="auto" w:fill="FFFFFF"/>
          </w:rPr>
          <w:t xml:space="preserve"> </w:t>
        </w:r>
        <w:r w:rsidRPr="007D06B1">
          <w:rPr>
            <w:rFonts w:asciiTheme="majorBidi" w:hAnsiTheme="majorBidi" w:cstheme="majorBidi"/>
            <w:i/>
            <w:iCs/>
            <w:color w:val="222222"/>
            <w:shd w:val="clear" w:color="auto" w:fill="FFFFFF"/>
          </w:rPr>
          <w:t>Back to the League of Nations</w:t>
        </w:r>
        <w:r w:rsidRPr="007D06B1">
          <w:rPr>
            <w:rFonts w:asciiTheme="majorBidi" w:hAnsiTheme="majorBidi" w:cstheme="majorBidi"/>
            <w:color w:val="222222"/>
            <w:shd w:val="clear" w:color="auto" w:fill="FFFFFF"/>
          </w:rPr>
          <w:t xml:space="preserve">, 112(4), </w:t>
        </w:r>
        <w:r w:rsidRPr="007D06B1">
          <w:rPr>
            <w:rFonts w:asciiTheme="majorBidi" w:hAnsiTheme="majorBidi" w:cstheme="majorBidi"/>
            <w:smallCaps/>
            <w:color w:val="222222"/>
            <w:shd w:val="clear" w:color="auto" w:fill="FFFFFF"/>
          </w:rPr>
          <w:t>Am. Hist. Rev</w:t>
        </w:r>
        <w:r w:rsidRPr="007D06B1">
          <w:rPr>
            <w:rFonts w:asciiTheme="majorBidi" w:hAnsiTheme="majorBidi" w:cstheme="majorBidi"/>
            <w:color w:val="222222"/>
            <w:shd w:val="clear" w:color="auto" w:fill="FFFFFF"/>
          </w:rPr>
          <w:t>. 1099–1100 (2007).</w:t>
        </w:r>
      </w:ins>
      <w:del w:id="37" w:author="Author">
        <w:r w:rsidRPr="003918B1" w:rsidDel="00AC5F9A">
          <w:rPr>
            <w:rFonts w:asciiTheme="majorBidi" w:hAnsiTheme="majorBidi" w:cstheme="majorBidi"/>
            <w:color w:val="222222"/>
            <w:shd w:val="clear" w:color="auto" w:fill="FFFFFF"/>
            <w:rPrChange w:id="38" w:author="Author">
              <w:rPr>
                <w:rFonts w:asciiTheme="majorBidi" w:hAnsiTheme="majorBidi" w:cstheme="majorBidi"/>
                <w:color w:val="222222"/>
                <w:highlight w:val="yellow"/>
                <w:shd w:val="clear" w:color="auto" w:fill="FFFFFF"/>
              </w:rPr>
            </w:rPrChange>
          </w:rPr>
          <w:delText>Pedersen, Susan, Back to the League of Nations Susan Pedersen Back to the League of Nations, The American Historical Review 112.4, 1099-1100 (2007)</w:delText>
        </w:r>
        <w:r w:rsidRPr="007D06B1" w:rsidDel="00AC5F9A">
          <w:rPr>
            <w:rFonts w:asciiTheme="majorBidi" w:hAnsiTheme="majorBidi" w:cstheme="majorBidi"/>
            <w:color w:val="222222"/>
            <w:shd w:val="clear" w:color="auto" w:fill="FFFFFF"/>
          </w:rPr>
          <w:delText>.</w:delText>
        </w:r>
      </w:del>
      <w:r w:rsidRPr="007D06B1">
        <w:rPr>
          <w:rFonts w:asciiTheme="majorBidi" w:hAnsiTheme="majorBidi" w:cstheme="majorBidi"/>
          <w:color w:val="222222"/>
          <w:shd w:val="clear" w:color="auto" w:fill="FFFFFF"/>
        </w:rPr>
        <w:t xml:space="preserve"> </w:t>
      </w:r>
      <w:r w:rsidRPr="007D06B1">
        <w:rPr>
          <w:rFonts w:ascii="Arial" w:hAnsi="Arial" w:cs="Arial"/>
          <w:color w:val="222222"/>
          <w:shd w:val="clear" w:color="auto" w:fill="FFFFFF"/>
          <w:rtl/>
        </w:rPr>
        <w:t>‏</w:t>
      </w:r>
    </w:p>
  </w:footnote>
  <w:footnote w:id="14">
    <w:p w14:paraId="748CCB9E" w14:textId="77777777" w:rsidR="002333C1" w:rsidRPr="007D06B1" w:rsidRDefault="002333C1">
      <w:pPr>
        <w:pStyle w:val="FootnoteText"/>
        <w:rPr>
          <w:rFonts w:cs="David"/>
          <w:rtl/>
        </w:rPr>
        <w:pPrChange w:id="39" w:author="Author">
          <w:pPr>
            <w:pStyle w:val="FootnoteText"/>
            <w:bidi w:val="0"/>
          </w:pPr>
        </w:pPrChange>
      </w:pPr>
      <w:r w:rsidRPr="00D5325A">
        <w:rPr>
          <w:rStyle w:val="FootnoteReference"/>
          <w:rFonts w:cs="David"/>
        </w:rPr>
        <w:footnoteRef/>
      </w:r>
      <w:r w:rsidRPr="00D5325A">
        <w:rPr>
          <w:rFonts w:cs="David"/>
          <w:rtl/>
        </w:rPr>
        <w:t xml:space="preserve"> </w:t>
      </w:r>
      <w:r w:rsidRPr="00D5325A">
        <w:rPr>
          <w:rFonts w:cs="David" w:hint="cs"/>
          <w:rtl/>
        </w:rPr>
        <w:t xml:space="preserve">המשפט הבינלאומי בין מלחמה לשלום, </w:t>
      </w:r>
      <w:r w:rsidRPr="00DA450B">
        <w:rPr>
          <w:rFonts w:cs="David" w:hint="cs"/>
          <w:rtl/>
        </w:rPr>
        <w:t xml:space="preserve">ראה לעיל </w:t>
      </w:r>
      <w:proofErr w:type="spellStart"/>
      <w:r w:rsidRPr="00DA450B">
        <w:rPr>
          <w:rFonts w:cs="David" w:hint="cs"/>
          <w:rtl/>
        </w:rPr>
        <w:t>ה"ש</w:t>
      </w:r>
      <w:proofErr w:type="spellEnd"/>
      <w:r w:rsidRPr="00DA450B">
        <w:rPr>
          <w:rFonts w:cs="David" w:hint="cs"/>
          <w:rtl/>
        </w:rPr>
        <w:t xml:space="preserve"> 2 בעמ' 204</w:t>
      </w:r>
    </w:p>
  </w:footnote>
  <w:footnote w:id="15">
    <w:p w14:paraId="748CCB9F" w14:textId="4DA215ED" w:rsidR="002333C1" w:rsidRPr="003918B1" w:rsidRDefault="002333C1">
      <w:pPr>
        <w:pStyle w:val="FootnoteText"/>
        <w:rPr>
          <w:rtl/>
          <w:rPrChange w:id="40" w:author="Author">
            <w:rPr>
              <w:highlight w:val="yellow"/>
              <w:rtl/>
            </w:rPr>
          </w:rPrChange>
        </w:rPr>
        <w:pPrChange w:id="41" w:author="Author">
          <w:pPr>
            <w:pStyle w:val="FootnoteText"/>
            <w:bidi w:val="0"/>
          </w:pPr>
        </w:pPrChange>
      </w:pPr>
      <w:r w:rsidRPr="00D5325A">
        <w:rPr>
          <w:rStyle w:val="FootnoteReference"/>
        </w:rPr>
        <w:footnoteRef/>
      </w:r>
      <w:r w:rsidRPr="00D5325A">
        <w:rPr>
          <w:rtl/>
        </w:rPr>
        <w:t xml:space="preserve"> </w:t>
      </w:r>
      <w:ins w:id="42" w:author="Author">
        <w:r w:rsidRPr="00D5325A">
          <w:rPr>
            <w:rFonts w:asciiTheme="majorBidi" w:hAnsiTheme="majorBidi" w:cstheme="majorBidi"/>
            <w:smallCaps/>
          </w:rPr>
          <w:t>Beth A.</w:t>
        </w:r>
        <w:r w:rsidRPr="00DA450B">
          <w:rPr>
            <w:rFonts w:asciiTheme="majorBidi" w:hAnsiTheme="majorBidi" w:cstheme="majorBidi"/>
            <w:smallCaps/>
          </w:rPr>
          <w:t xml:space="preserve"> </w:t>
        </w:r>
        <w:r w:rsidRPr="007D06B1">
          <w:rPr>
            <w:rFonts w:asciiTheme="majorBidi" w:hAnsiTheme="majorBidi" w:cstheme="majorBidi"/>
            <w:smallCaps/>
          </w:rPr>
          <w:t>Simmons, Mobilizing for Human Rights: International Law in Domestic Politics</w:t>
        </w:r>
        <w:r w:rsidRPr="007D06B1">
          <w:rPr>
            <w:rFonts w:asciiTheme="majorBidi" w:hAnsiTheme="majorBidi" w:cstheme="majorBidi"/>
          </w:rPr>
          <w:t>, 39 (2009).</w:t>
        </w:r>
      </w:ins>
      <w:del w:id="43" w:author="Author">
        <w:r w:rsidRPr="003918B1" w:rsidDel="00717C42">
          <w:rPr>
            <w:rPrChange w:id="44" w:author="Author">
              <w:rPr>
                <w:highlight w:val="yellow"/>
              </w:rPr>
            </w:rPrChange>
          </w:rPr>
          <w:delText>Simmons, Beth A</w:delText>
        </w:r>
        <w:r w:rsidRPr="003918B1" w:rsidDel="00717C42">
          <w:rPr>
            <w:b/>
            <w:bCs/>
            <w:rPrChange w:id="45" w:author="Author">
              <w:rPr>
                <w:b/>
                <w:bCs/>
                <w:highlight w:val="yellow"/>
              </w:rPr>
            </w:rPrChange>
          </w:rPr>
          <w:delText xml:space="preserve">., </w:delText>
        </w:r>
        <w:r w:rsidRPr="003918B1" w:rsidDel="00717C42">
          <w:rPr>
            <w:rPrChange w:id="46" w:author="Author">
              <w:rPr>
                <w:highlight w:val="yellow"/>
              </w:rPr>
            </w:rPrChange>
          </w:rPr>
          <w:delText>Mobilizing for human rights: international law in domestic politics, 39 (2009)</w:delText>
        </w:r>
      </w:del>
      <w:r w:rsidRPr="003918B1">
        <w:rPr>
          <w:rPrChange w:id="47" w:author="Author">
            <w:rPr>
              <w:highlight w:val="yellow"/>
            </w:rPr>
          </w:rPrChange>
        </w:rPr>
        <w:t xml:space="preserve"> </w:t>
      </w:r>
    </w:p>
  </w:footnote>
  <w:footnote w:id="16">
    <w:p w14:paraId="748CCBA0" w14:textId="1CC49962" w:rsidR="002333C1" w:rsidRPr="00D5325A" w:rsidRDefault="002333C1">
      <w:pPr>
        <w:pStyle w:val="FootnoteText"/>
        <w:rPr>
          <w:rtl/>
        </w:rPr>
        <w:pPrChange w:id="48" w:author="Author">
          <w:pPr>
            <w:pStyle w:val="FootnoteText"/>
            <w:bidi w:val="0"/>
          </w:pPr>
        </w:pPrChange>
      </w:pPr>
      <w:r w:rsidRPr="003918B1">
        <w:rPr>
          <w:rStyle w:val="FootnoteReference"/>
          <w:rPrChange w:id="49" w:author="Author">
            <w:rPr>
              <w:rStyle w:val="FootnoteReference"/>
              <w:highlight w:val="yellow"/>
            </w:rPr>
          </w:rPrChange>
        </w:rPr>
        <w:footnoteRef/>
      </w:r>
      <w:r w:rsidRPr="003918B1">
        <w:rPr>
          <w:rtl/>
          <w:rPrChange w:id="50" w:author="Author">
            <w:rPr>
              <w:highlight w:val="yellow"/>
              <w:rtl/>
            </w:rPr>
          </w:rPrChange>
        </w:rPr>
        <w:t xml:space="preserve"> </w:t>
      </w:r>
      <w:ins w:id="51" w:author="Author">
        <w:r w:rsidRPr="00D5325A">
          <w:rPr>
            <w:rFonts w:asciiTheme="majorBidi" w:hAnsiTheme="majorBidi" w:cstheme="majorBidi"/>
            <w:color w:val="222222"/>
            <w:shd w:val="clear" w:color="auto" w:fill="FFFFFF"/>
          </w:rPr>
          <w:t xml:space="preserve">Daniel J. </w:t>
        </w:r>
        <w:r w:rsidRPr="00DA450B">
          <w:rPr>
            <w:rFonts w:asciiTheme="majorBidi" w:hAnsiTheme="majorBidi" w:cstheme="majorBidi"/>
            <w:color w:val="222222"/>
            <w:shd w:val="clear" w:color="auto" w:fill="FFFFFF"/>
          </w:rPr>
          <w:t>Whelan</w:t>
        </w:r>
        <w:r w:rsidRPr="007D06B1">
          <w:rPr>
            <w:rFonts w:asciiTheme="majorBidi" w:hAnsiTheme="majorBidi" w:cstheme="majorBidi"/>
            <w:color w:val="222222"/>
            <w:shd w:val="clear" w:color="auto" w:fill="FFFFFF"/>
          </w:rPr>
          <w:t xml:space="preserve"> &amp; Jack Donnelly, </w:t>
        </w:r>
        <w:r w:rsidRPr="007D06B1">
          <w:rPr>
            <w:rFonts w:asciiTheme="majorBidi" w:hAnsiTheme="majorBidi" w:cstheme="majorBidi"/>
            <w:i/>
            <w:iCs/>
            <w:color w:val="222222"/>
            <w:shd w:val="clear" w:color="auto" w:fill="FFFFFF"/>
          </w:rPr>
          <w:t>The West, Economic and Social Rights, and the Global Human Rights Regime: Setting the Record Straight</w:t>
        </w:r>
        <w:r w:rsidRPr="007D06B1">
          <w:rPr>
            <w:rFonts w:asciiTheme="majorBidi" w:hAnsiTheme="majorBidi" w:cstheme="majorBidi"/>
            <w:color w:val="222222"/>
            <w:shd w:val="clear" w:color="auto" w:fill="FFFFFF"/>
          </w:rPr>
          <w:t xml:space="preserve">, 29 </w:t>
        </w:r>
        <w:proofErr w:type="gramStart"/>
        <w:r w:rsidRPr="007D06B1">
          <w:rPr>
            <w:rFonts w:asciiTheme="majorBidi" w:hAnsiTheme="majorBidi" w:cstheme="majorBidi"/>
            <w:smallCaps/>
            <w:color w:val="222222"/>
            <w:shd w:val="clear" w:color="auto" w:fill="FFFFFF"/>
          </w:rPr>
          <w:t>Hum</w:t>
        </w:r>
        <w:proofErr w:type="gramEnd"/>
        <w:r w:rsidRPr="007D06B1">
          <w:rPr>
            <w:rFonts w:asciiTheme="majorBidi" w:hAnsiTheme="majorBidi" w:cstheme="majorBidi"/>
            <w:smallCaps/>
            <w:color w:val="222222"/>
            <w:shd w:val="clear" w:color="auto" w:fill="FFFFFF"/>
          </w:rPr>
          <w:t xml:space="preserve">. </w:t>
        </w:r>
        <w:proofErr w:type="spellStart"/>
        <w:r w:rsidRPr="007D06B1">
          <w:rPr>
            <w:rFonts w:asciiTheme="majorBidi" w:hAnsiTheme="majorBidi" w:cstheme="majorBidi"/>
            <w:smallCaps/>
            <w:color w:val="222222"/>
            <w:shd w:val="clear" w:color="auto" w:fill="FFFFFF"/>
          </w:rPr>
          <w:t>Rts</w:t>
        </w:r>
        <w:proofErr w:type="spellEnd"/>
        <w:r w:rsidRPr="007D06B1">
          <w:rPr>
            <w:rFonts w:asciiTheme="majorBidi" w:hAnsiTheme="majorBidi" w:cstheme="majorBidi"/>
            <w:smallCaps/>
            <w:color w:val="222222"/>
            <w:shd w:val="clear" w:color="auto" w:fill="FFFFFF"/>
          </w:rPr>
          <w:t xml:space="preserve">. </w:t>
        </w:r>
        <w:r w:rsidRPr="007D06B1">
          <w:rPr>
            <w:rFonts w:asciiTheme="majorBidi" w:hAnsiTheme="majorBidi" w:cstheme="majorBidi"/>
            <w:color w:val="222222"/>
            <w:shd w:val="clear" w:color="auto" w:fill="FFFFFF"/>
          </w:rPr>
          <w:t>911 (2007)</w:t>
        </w:r>
      </w:ins>
      <w:del w:id="52" w:author="Author">
        <w:r w:rsidRPr="003918B1" w:rsidDel="00312EA6">
          <w:rPr>
            <w:rFonts w:asciiTheme="majorBidi" w:hAnsiTheme="majorBidi" w:cstheme="majorBidi"/>
            <w:color w:val="222222"/>
            <w:shd w:val="clear" w:color="auto" w:fill="FFFFFF"/>
            <w:rPrChange w:id="53" w:author="Author">
              <w:rPr>
                <w:rFonts w:asciiTheme="majorBidi" w:hAnsiTheme="majorBidi" w:cstheme="majorBidi"/>
                <w:color w:val="222222"/>
                <w:highlight w:val="yellow"/>
                <w:shd w:val="clear" w:color="auto" w:fill="FFFFFF"/>
              </w:rPr>
            </w:rPrChange>
          </w:rPr>
          <w:delText>Whelan, Daniel J. and Jack Donnelly, The West, Economic and Social Rights, and the Global Human Rights Regime: Setting the Record Straight, Human Rights Quarterly 29, 911 (2007)</w:delText>
        </w:r>
      </w:del>
      <w:r w:rsidRPr="003918B1">
        <w:rPr>
          <w:rFonts w:asciiTheme="majorBidi" w:hAnsiTheme="majorBidi" w:cstheme="majorBidi"/>
          <w:color w:val="222222"/>
          <w:shd w:val="clear" w:color="auto" w:fill="FFFFFF"/>
          <w:rPrChange w:id="54" w:author="Author">
            <w:rPr>
              <w:rFonts w:asciiTheme="majorBidi" w:hAnsiTheme="majorBidi" w:cstheme="majorBidi"/>
              <w:color w:val="222222"/>
              <w:highlight w:val="yellow"/>
              <w:shd w:val="clear" w:color="auto" w:fill="FFFFFF"/>
            </w:rPr>
          </w:rPrChange>
        </w:rPr>
        <w:t>.</w:t>
      </w:r>
      <w:r w:rsidRPr="003918B1">
        <w:rPr>
          <w:rFonts w:asciiTheme="majorBidi" w:hAnsiTheme="majorBidi" w:cstheme="majorBidi"/>
          <w:color w:val="222222"/>
          <w:shd w:val="clear" w:color="auto" w:fill="FFFFFF"/>
          <w:rtl/>
          <w:rPrChange w:id="55" w:author="Author">
            <w:rPr>
              <w:rFonts w:asciiTheme="majorBidi" w:hAnsiTheme="majorBidi" w:cstheme="majorBidi"/>
              <w:color w:val="222222"/>
              <w:highlight w:val="yellow"/>
              <w:shd w:val="clear" w:color="auto" w:fill="FFFFFF"/>
              <w:rtl/>
            </w:rPr>
          </w:rPrChange>
        </w:rPr>
        <w:t>‏</w:t>
      </w:r>
    </w:p>
  </w:footnote>
  <w:footnote w:id="17">
    <w:p w14:paraId="748CCBA1" w14:textId="77777777" w:rsidR="002333C1" w:rsidRPr="007D06B1" w:rsidRDefault="002333C1">
      <w:pPr>
        <w:pStyle w:val="FootnoteText"/>
        <w:rPr>
          <w:rtl/>
        </w:rPr>
        <w:pPrChange w:id="56" w:author="Author">
          <w:pPr>
            <w:pStyle w:val="FootnoteText"/>
            <w:bidi w:val="0"/>
          </w:pPr>
        </w:pPrChange>
      </w:pPr>
      <w:r w:rsidRPr="00D5325A">
        <w:rPr>
          <w:rStyle w:val="FootnoteReference"/>
          <w:rFonts w:cs="David"/>
        </w:rPr>
        <w:footnoteRef/>
      </w:r>
      <w:r w:rsidRPr="00D5325A">
        <w:rPr>
          <w:rFonts w:cs="David" w:hint="cs"/>
          <w:rtl/>
        </w:rPr>
        <w:t>המשפט הבינלאומי בין מלחמה לשלום,</w:t>
      </w:r>
      <w:r w:rsidRPr="00DA450B">
        <w:rPr>
          <w:rFonts w:cs="David" w:hint="cs"/>
          <w:rtl/>
        </w:rPr>
        <w:t xml:space="preserve"> ראה לעיל </w:t>
      </w:r>
      <w:proofErr w:type="spellStart"/>
      <w:r w:rsidRPr="00DA450B">
        <w:rPr>
          <w:rFonts w:cs="David" w:hint="cs"/>
          <w:rtl/>
        </w:rPr>
        <w:t>ה"ש</w:t>
      </w:r>
      <w:proofErr w:type="spellEnd"/>
      <w:r w:rsidRPr="00DA450B">
        <w:rPr>
          <w:rFonts w:cs="David" w:hint="cs"/>
          <w:rtl/>
        </w:rPr>
        <w:t xml:space="preserve"> 2 בעמ' </w:t>
      </w:r>
      <w:r w:rsidRPr="007D06B1">
        <w:rPr>
          <w:rFonts w:cs="David"/>
          <w:rtl/>
        </w:rPr>
        <w:t>205</w:t>
      </w:r>
      <w:r w:rsidRPr="007D06B1">
        <w:rPr>
          <w:rtl/>
        </w:rPr>
        <w:t>, 252</w:t>
      </w:r>
    </w:p>
  </w:footnote>
  <w:footnote w:id="18">
    <w:p w14:paraId="748CCBA2" w14:textId="77777777" w:rsidR="002333C1" w:rsidRPr="007D06B1" w:rsidRDefault="002333C1">
      <w:pPr>
        <w:pStyle w:val="FootnoteText"/>
        <w:rPr>
          <w:rtl/>
        </w:rPr>
        <w:pPrChange w:id="57" w:author="Author">
          <w:pPr>
            <w:pStyle w:val="FootnoteText"/>
            <w:bidi w:val="0"/>
          </w:pPr>
        </w:pPrChange>
      </w:pPr>
      <w:r w:rsidRPr="00D5325A">
        <w:rPr>
          <w:rStyle w:val="FootnoteReference"/>
        </w:rPr>
        <w:footnoteRef/>
      </w:r>
      <w:r w:rsidRPr="00D5325A">
        <w:rPr>
          <w:rtl/>
        </w:rPr>
        <w:t xml:space="preserve"> </w:t>
      </w:r>
      <w:r w:rsidRPr="00D5325A">
        <w:rPr>
          <w:rFonts w:cs="David" w:hint="cs"/>
          <w:rtl/>
        </w:rPr>
        <w:t xml:space="preserve">ריאל </w:t>
      </w:r>
      <w:proofErr w:type="spellStart"/>
      <w:r w:rsidRPr="00D5325A">
        <w:rPr>
          <w:rFonts w:cs="David" w:hint="cs"/>
          <w:rtl/>
        </w:rPr>
        <w:t>פוליטיק</w:t>
      </w:r>
      <w:proofErr w:type="spellEnd"/>
      <w:r w:rsidRPr="00D5325A">
        <w:rPr>
          <w:rFonts w:cs="David" w:hint="cs"/>
          <w:rtl/>
        </w:rPr>
        <w:t xml:space="preserve"> -  היא</w:t>
      </w:r>
      <w:r w:rsidRPr="00DA450B">
        <w:rPr>
          <w:rFonts w:cs="David"/>
          <w:rtl/>
        </w:rPr>
        <w:t xml:space="preserve"> </w:t>
      </w:r>
      <w:r w:rsidRPr="007D06B1">
        <w:rPr>
          <w:rFonts w:cs="David" w:hint="eastAsia"/>
          <w:rtl/>
        </w:rPr>
        <w:t>פוליטיקה</w:t>
      </w:r>
      <w:r w:rsidRPr="007D06B1">
        <w:rPr>
          <w:rFonts w:cs="David"/>
          <w:rtl/>
        </w:rPr>
        <w:t xml:space="preserve"> </w:t>
      </w:r>
      <w:r w:rsidRPr="007D06B1">
        <w:rPr>
          <w:rFonts w:cs="David" w:hint="eastAsia"/>
          <w:rtl/>
        </w:rPr>
        <w:t>או</w:t>
      </w:r>
      <w:r w:rsidRPr="007D06B1">
        <w:rPr>
          <w:rFonts w:cs="David"/>
          <w:rtl/>
        </w:rPr>
        <w:t xml:space="preserve"> </w:t>
      </w:r>
      <w:r w:rsidRPr="007D06B1">
        <w:rPr>
          <w:rFonts w:cs="David" w:hint="eastAsia"/>
          <w:rtl/>
        </w:rPr>
        <w:t>דיפלומטיה</w:t>
      </w:r>
      <w:r w:rsidRPr="007D06B1">
        <w:rPr>
          <w:rFonts w:cs="David"/>
          <w:rtl/>
        </w:rPr>
        <w:t xml:space="preserve"> </w:t>
      </w:r>
      <w:r w:rsidRPr="007D06B1">
        <w:rPr>
          <w:rFonts w:cs="David" w:hint="eastAsia"/>
          <w:rtl/>
        </w:rPr>
        <w:t>המבוססת</w:t>
      </w:r>
      <w:r w:rsidRPr="007D06B1">
        <w:rPr>
          <w:rFonts w:cs="David"/>
          <w:rtl/>
        </w:rPr>
        <w:t xml:space="preserve"> </w:t>
      </w:r>
      <w:r w:rsidRPr="007D06B1">
        <w:rPr>
          <w:rFonts w:cs="David" w:hint="eastAsia"/>
          <w:rtl/>
        </w:rPr>
        <w:t>בעיקר</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שיקולים</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נסיבות</w:t>
      </w:r>
      <w:r w:rsidRPr="007D06B1">
        <w:rPr>
          <w:rFonts w:cs="David"/>
          <w:rtl/>
        </w:rPr>
        <w:t xml:space="preserve"> </w:t>
      </w:r>
      <w:r w:rsidRPr="007D06B1">
        <w:rPr>
          <w:rFonts w:cs="David" w:hint="eastAsia"/>
          <w:rtl/>
        </w:rPr>
        <w:t>וגורמים</w:t>
      </w:r>
      <w:r w:rsidRPr="007D06B1">
        <w:rPr>
          <w:rFonts w:cs="David"/>
          <w:rtl/>
        </w:rPr>
        <w:t xml:space="preserve">, </w:t>
      </w:r>
      <w:r w:rsidRPr="007D06B1">
        <w:rPr>
          <w:rFonts w:cs="David" w:hint="eastAsia"/>
          <w:rtl/>
        </w:rPr>
        <w:t>ולא</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תפיסות</w:t>
      </w:r>
      <w:r w:rsidRPr="007D06B1">
        <w:rPr>
          <w:rFonts w:cs="David"/>
          <w:rtl/>
        </w:rPr>
        <w:t xml:space="preserve"> </w:t>
      </w:r>
      <w:r w:rsidRPr="007D06B1">
        <w:rPr>
          <w:rFonts w:cs="David" w:hint="eastAsia"/>
          <w:rtl/>
        </w:rPr>
        <w:t>אידיאולוגיות</w:t>
      </w:r>
      <w:r w:rsidRPr="007D06B1">
        <w:rPr>
          <w:rFonts w:cs="David"/>
          <w:rtl/>
        </w:rPr>
        <w:t xml:space="preserve"> </w:t>
      </w:r>
      <w:r w:rsidRPr="007D06B1">
        <w:rPr>
          <w:rFonts w:cs="David" w:hint="eastAsia"/>
          <w:rtl/>
        </w:rPr>
        <w:t>מפורשות</w:t>
      </w:r>
      <w:r w:rsidRPr="007D06B1">
        <w:rPr>
          <w:rFonts w:cs="David"/>
          <w:rtl/>
        </w:rPr>
        <w:t xml:space="preserve"> </w:t>
      </w:r>
      <w:r w:rsidRPr="007D06B1">
        <w:rPr>
          <w:rFonts w:cs="David" w:hint="eastAsia"/>
          <w:rtl/>
        </w:rPr>
        <w:t>או</w:t>
      </w:r>
      <w:r w:rsidRPr="007D06B1">
        <w:rPr>
          <w:rFonts w:cs="David"/>
          <w:rtl/>
        </w:rPr>
        <w:t xml:space="preserve"> </w:t>
      </w:r>
      <w:r w:rsidRPr="007D06B1">
        <w:rPr>
          <w:rFonts w:cs="David" w:hint="eastAsia"/>
          <w:rtl/>
        </w:rPr>
        <w:t>הנחות</w:t>
      </w:r>
      <w:r w:rsidRPr="007D06B1">
        <w:rPr>
          <w:rFonts w:cs="David"/>
          <w:rtl/>
        </w:rPr>
        <w:t xml:space="preserve"> </w:t>
      </w:r>
      <w:r w:rsidRPr="007D06B1">
        <w:rPr>
          <w:rFonts w:cs="David" w:hint="eastAsia"/>
          <w:rtl/>
        </w:rPr>
        <w:t>מוסריות</w:t>
      </w:r>
      <w:r w:rsidRPr="007D06B1">
        <w:rPr>
          <w:rFonts w:cs="David"/>
          <w:rtl/>
        </w:rPr>
        <w:t xml:space="preserve"> </w:t>
      </w:r>
      <w:r w:rsidRPr="007D06B1">
        <w:rPr>
          <w:rFonts w:cs="David" w:hint="eastAsia"/>
          <w:rtl/>
        </w:rPr>
        <w:t>ומוסריות</w:t>
      </w:r>
      <w:r w:rsidRPr="007D06B1">
        <w:rPr>
          <w:rFonts w:cs="David"/>
          <w:rtl/>
        </w:rPr>
        <w:t xml:space="preserve">. </w:t>
      </w:r>
      <w:r w:rsidRPr="007D06B1">
        <w:rPr>
          <w:rFonts w:cs="David" w:hint="eastAsia"/>
          <w:rtl/>
        </w:rPr>
        <w:t>מבחינה</w:t>
      </w:r>
      <w:r w:rsidRPr="007D06B1">
        <w:rPr>
          <w:rFonts w:cs="David"/>
          <w:rtl/>
        </w:rPr>
        <w:t xml:space="preserve"> </w:t>
      </w:r>
      <w:r w:rsidRPr="007D06B1">
        <w:rPr>
          <w:rFonts w:cs="David" w:hint="eastAsia"/>
          <w:rtl/>
        </w:rPr>
        <w:t>זו</w:t>
      </w:r>
      <w:r w:rsidRPr="007D06B1">
        <w:rPr>
          <w:rFonts w:cs="David"/>
          <w:rtl/>
        </w:rPr>
        <w:t xml:space="preserve">, </w:t>
      </w:r>
      <w:r w:rsidRPr="007D06B1">
        <w:rPr>
          <w:rFonts w:cs="David" w:hint="eastAsia"/>
          <w:rtl/>
        </w:rPr>
        <w:t>היא</w:t>
      </w:r>
      <w:r w:rsidRPr="007D06B1">
        <w:rPr>
          <w:rFonts w:cs="David"/>
          <w:rtl/>
        </w:rPr>
        <w:t xml:space="preserve"> </w:t>
      </w:r>
      <w:r w:rsidRPr="007D06B1">
        <w:rPr>
          <w:rFonts w:cs="David" w:hint="eastAsia"/>
          <w:rtl/>
        </w:rPr>
        <w:t>חולקת</w:t>
      </w:r>
      <w:r w:rsidRPr="007D06B1">
        <w:rPr>
          <w:rFonts w:cs="David"/>
          <w:rtl/>
        </w:rPr>
        <w:t xml:space="preserve"> </w:t>
      </w:r>
      <w:r w:rsidRPr="007D06B1">
        <w:rPr>
          <w:rFonts w:cs="David" w:hint="eastAsia"/>
          <w:rtl/>
        </w:rPr>
        <w:t>היבטים</w:t>
      </w:r>
      <w:r w:rsidRPr="007D06B1">
        <w:rPr>
          <w:rFonts w:cs="David"/>
          <w:rtl/>
        </w:rPr>
        <w:t xml:space="preserve"> </w:t>
      </w:r>
      <w:r w:rsidRPr="007D06B1">
        <w:rPr>
          <w:rFonts w:cs="David" w:hint="eastAsia"/>
          <w:rtl/>
        </w:rPr>
        <w:t>בגישה</w:t>
      </w:r>
      <w:r w:rsidRPr="007D06B1">
        <w:rPr>
          <w:rFonts w:cs="David"/>
          <w:rtl/>
        </w:rPr>
        <w:t xml:space="preserve"> </w:t>
      </w:r>
      <w:r w:rsidRPr="007D06B1">
        <w:rPr>
          <w:rFonts w:cs="David" w:hint="eastAsia"/>
          <w:rtl/>
        </w:rPr>
        <w:t>הפילוסופית</w:t>
      </w:r>
      <w:r w:rsidRPr="007D06B1">
        <w:rPr>
          <w:rFonts w:cs="David"/>
          <w:rtl/>
        </w:rPr>
        <w:t xml:space="preserve"> </w:t>
      </w:r>
      <w:r w:rsidRPr="007D06B1">
        <w:rPr>
          <w:rFonts w:cs="David" w:hint="eastAsia"/>
          <w:rtl/>
        </w:rPr>
        <w:t>שלה</w:t>
      </w:r>
      <w:r w:rsidRPr="007D06B1">
        <w:rPr>
          <w:rFonts w:cs="David"/>
          <w:rtl/>
        </w:rPr>
        <w:t xml:space="preserve"> </w:t>
      </w:r>
      <w:r w:rsidRPr="007D06B1">
        <w:rPr>
          <w:rFonts w:cs="David" w:hint="eastAsia"/>
          <w:rtl/>
        </w:rPr>
        <w:t>עם</w:t>
      </w:r>
      <w:r w:rsidRPr="007D06B1">
        <w:rPr>
          <w:rFonts w:cs="David"/>
          <w:rtl/>
        </w:rPr>
        <w:t xml:space="preserve"> </w:t>
      </w:r>
      <w:r w:rsidRPr="007D06B1">
        <w:rPr>
          <w:rFonts w:cs="David" w:hint="eastAsia"/>
          <w:rtl/>
        </w:rPr>
        <w:t>אלה</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ריאליזם</w:t>
      </w:r>
      <w:r w:rsidRPr="007D06B1">
        <w:rPr>
          <w:rFonts w:cs="David"/>
          <w:rtl/>
        </w:rPr>
        <w:t xml:space="preserve"> </w:t>
      </w:r>
      <w:r w:rsidRPr="007D06B1">
        <w:rPr>
          <w:rFonts w:cs="David" w:hint="eastAsia"/>
          <w:rtl/>
        </w:rPr>
        <w:t>ופרגמטיזם</w:t>
      </w:r>
      <w:r w:rsidRPr="007D06B1">
        <w:rPr>
          <w:rFonts w:cs="David"/>
          <w:rtl/>
        </w:rPr>
        <w:t xml:space="preserve">. </w:t>
      </w:r>
      <w:r w:rsidRPr="007D06B1">
        <w:rPr>
          <w:rFonts w:cs="David" w:hint="eastAsia"/>
          <w:rtl/>
        </w:rPr>
        <w:t>לעתים</w:t>
      </w:r>
      <w:r w:rsidRPr="007D06B1">
        <w:rPr>
          <w:rFonts w:cs="David"/>
          <w:rtl/>
        </w:rPr>
        <w:t xml:space="preserve"> </w:t>
      </w:r>
      <w:r w:rsidRPr="007D06B1">
        <w:rPr>
          <w:rFonts w:cs="David" w:hint="eastAsia"/>
          <w:rtl/>
        </w:rPr>
        <w:t>קרובות</w:t>
      </w:r>
      <w:r w:rsidRPr="007D06B1">
        <w:rPr>
          <w:rFonts w:cs="David"/>
          <w:rtl/>
        </w:rPr>
        <w:t xml:space="preserve"> </w:t>
      </w:r>
      <w:r w:rsidRPr="007D06B1">
        <w:rPr>
          <w:rFonts w:cs="David" w:hint="eastAsia"/>
          <w:rtl/>
        </w:rPr>
        <w:t>הוא</w:t>
      </w:r>
      <w:r w:rsidRPr="007D06B1">
        <w:rPr>
          <w:rFonts w:cs="David"/>
          <w:rtl/>
        </w:rPr>
        <w:t xml:space="preserve"> </w:t>
      </w:r>
      <w:r w:rsidRPr="007D06B1">
        <w:rPr>
          <w:rFonts w:cs="David" w:hint="eastAsia"/>
          <w:rtl/>
        </w:rPr>
        <w:t>מכונה</w:t>
      </w:r>
      <w:r w:rsidRPr="007D06B1">
        <w:rPr>
          <w:rFonts w:cs="David"/>
          <w:rtl/>
        </w:rPr>
        <w:t xml:space="preserve"> </w:t>
      </w:r>
      <w:r w:rsidRPr="007D06B1">
        <w:rPr>
          <w:rFonts w:cs="David" w:hint="eastAsia"/>
          <w:rtl/>
        </w:rPr>
        <w:t>בפשטות</w:t>
      </w:r>
      <w:r w:rsidRPr="007D06B1">
        <w:rPr>
          <w:rFonts w:cs="David"/>
          <w:rtl/>
        </w:rPr>
        <w:t xml:space="preserve"> "</w:t>
      </w:r>
      <w:r w:rsidRPr="007D06B1">
        <w:rPr>
          <w:rFonts w:cs="David" w:hint="eastAsia"/>
          <w:rtl/>
        </w:rPr>
        <w:t>פרגמטיזם</w:t>
      </w:r>
      <w:r w:rsidRPr="007D06B1">
        <w:rPr>
          <w:rFonts w:cs="David"/>
          <w:rtl/>
        </w:rPr>
        <w:t xml:space="preserve">" </w:t>
      </w:r>
      <w:r w:rsidRPr="007D06B1">
        <w:rPr>
          <w:rFonts w:cs="David" w:hint="eastAsia"/>
          <w:rtl/>
        </w:rPr>
        <w:t>בפוליטיקה</w:t>
      </w:r>
      <w:r w:rsidRPr="007D06B1">
        <w:rPr>
          <w:rFonts w:cs="David"/>
          <w:rtl/>
        </w:rPr>
        <w:t xml:space="preserve">, </w:t>
      </w:r>
      <w:r w:rsidRPr="007D06B1">
        <w:rPr>
          <w:rFonts w:cs="David" w:hint="eastAsia"/>
          <w:rtl/>
        </w:rPr>
        <w:t>למשל</w:t>
      </w:r>
      <w:r w:rsidRPr="007D06B1">
        <w:rPr>
          <w:rFonts w:cs="David"/>
          <w:rtl/>
        </w:rPr>
        <w:t>. "</w:t>
      </w:r>
      <w:r w:rsidRPr="007D06B1">
        <w:rPr>
          <w:rFonts w:cs="David" w:hint="eastAsia"/>
          <w:rtl/>
        </w:rPr>
        <w:t>רודף</w:t>
      </w:r>
      <w:r w:rsidRPr="007D06B1">
        <w:rPr>
          <w:rFonts w:cs="David"/>
          <w:rtl/>
        </w:rPr>
        <w:t xml:space="preserve"> </w:t>
      </w:r>
      <w:r w:rsidRPr="007D06B1">
        <w:rPr>
          <w:rFonts w:cs="David" w:hint="eastAsia"/>
          <w:rtl/>
        </w:rPr>
        <w:t>מדיניות</w:t>
      </w:r>
      <w:r w:rsidRPr="007D06B1">
        <w:rPr>
          <w:rFonts w:cs="David"/>
          <w:rtl/>
        </w:rPr>
        <w:t xml:space="preserve"> </w:t>
      </w:r>
      <w:r w:rsidRPr="007D06B1">
        <w:rPr>
          <w:rFonts w:cs="David" w:hint="eastAsia"/>
          <w:rtl/>
        </w:rPr>
        <w:t>פרגמטית</w:t>
      </w:r>
      <w:r w:rsidRPr="007D06B1">
        <w:rPr>
          <w:rFonts w:cs="David"/>
          <w:rtl/>
        </w:rPr>
        <w:t xml:space="preserve">". </w:t>
      </w:r>
      <w:r w:rsidRPr="007D06B1">
        <w:rPr>
          <w:rFonts w:cs="David" w:hint="eastAsia"/>
          <w:rtl/>
        </w:rPr>
        <w:t>המונח</w:t>
      </w:r>
      <w:r w:rsidRPr="007D06B1">
        <w:rPr>
          <w:rFonts w:cs="David"/>
          <w:rtl/>
        </w:rPr>
        <w:t xml:space="preserve"> </w:t>
      </w:r>
      <w:r w:rsidRPr="007D06B1">
        <w:rPr>
          <w:rFonts w:cs="David"/>
        </w:rPr>
        <w:t>Realpolitik</w:t>
      </w:r>
      <w:r w:rsidRPr="007D06B1">
        <w:rPr>
          <w:rFonts w:cs="David"/>
          <w:rtl/>
        </w:rPr>
        <w:t xml:space="preserve"> </w:t>
      </w:r>
      <w:r w:rsidRPr="007D06B1">
        <w:rPr>
          <w:rFonts w:cs="David" w:hint="eastAsia"/>
          <w:rtl/>
        </w:rPr>
        <w:t>משמש</w:t>
      </w:r>
      <w:r w:rsidRPr="007D06B1">
        <w:rPr>
          <w:rFonts w:cs="David"/>
          <w:rtl/>
        </w:rPr>
        <w:t xml:space="preserve"> </w:t>
      </w:r>
      <w:r w:rsidRPr="007D06B1">
        <w:rPr>
          <w:rFonts w:cs="David" w:hint="eastAsia"/>
          <w:rtl/>
        </w:rPr>
        <w:t>לעתים</w:t>
      </w:r>
      <w:r w:rsidRPr="007D06B1">
        <w:rPr>
          <w:rFonts w:cs="David"/>
          <w:rtl/>
        </w:rPr>
        <w:t xml:space="preserve"> </w:t>
      </w:r>
      <w:r w:rsidRPr="007D06B1">
        <w:rPr>
          <w:rFonts w:cs="David" w:hint="eastAsia"/>
          <w:rtl/>
        </w:rPr>
        <w:t>בזלזול</w:t>
      </w:r>
      <w:r w:rsidRPr="007D06B1">
        <w:rPr>
          <w:rFonts w:cs="David"/>
          <w:rtl/>
        </w:rPr>
        <w:t xml:space="preserve"> </w:t>
      </w:r>
      <w:r w:rsidRPr="007D06B1">
        <w:rPr>
          <w:rFonts w:cs="David" w:hint="eastAsia"/>
          <w:rtl/>
        </w:rPr>
        <w:t>לרמוז</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פוליטיקה</w:t>
      </w:r>
      <w:r w:rsidRPr="007D06B1">
        <w:rPr>
          <w:rFonts w:cs="David"/>
          <w:rtl/>
        </w:rPr>
        <w:t xml:space="preserve"> </w:t>
      </w:r>
      <w:r w:rsidRPr="007D06B1">
        <w:rPr>
          <w:rFonts w:cs="David" w:hint="eastAsia"/>
          <w:rtl/>
        </w:rPr>
        <w:t>הנתפסת</w:t>
      </w:r>
      <w:r w:rsidRPr="007D06B1">
        <w:rPr>
          <w:rFonts w:cs="David"/>
          <w:rtl/>
        </w:rPr>
        <w:t xml:space="preserve"> </w:t>
      </w:r>
      <w:r w:rsidRPr="007D06B1">
        <w:rPr>
          <w:rFonts w:cs="David" w:hint="eastAsia"/>
          <w:rtl/>
        </w:rPr>
        <w:t>ככפייה</w:t>
      </w:r>
      <w:r w:rsidRPr="007D06B1">
        <w:rPr>
          <w:rFonts w:cs="David"/>
          <w:rtl/>
        </w:rPr>
        <w:t xml:space="preserve">, </w:t>
      </w:r>
      <w:r w:rsidRPr="007D06B1">
        <w:rPr>
          <w:rFonts w:cs="David" w:hint="eastAsia"/>
          <w:rtl/>
        </w:rPr>
        <w:t>לא</w:t>
      </w:r>
      <w:r w:rsidRPr="007D06B1">
        <w:rPr>
          <w:rFonts w:cs="David"/>
          <w:rtl/>
        </w:rPr>
        <w:t xml:space="preserve"> </w:t>
      </w:r>
      <w:r w:rsidRPr="007D06B1">
        <w:rPr>
          <w:rFonts w:cs="David" w:hint="eastAsia"/>
          <w:rtl/>
        </w:rPr>
        <w:t>מוסרית</w:t>
      </w:r>
      <w:r w:rsidRPr="007D06B1">
        <w:rPr>
          <w:rFonts w:cs="David"/>
          <w:rtl/>
        </w:rPr>
        <w:t xml:space="preserve"> </w:t>
      </w:r>
      <w:r w:rsidRPr="007D06B1">
        <w:rPr>
          <w:rFonts w:cs="David" w:hint="eastAsia"/>
          <w:rtl/>
        </w:rPr>
        <w:t>או</w:t>
      </w:r>
      <w:r w:rsidRPr="007D06B1">
        <w:rPr>
          <w:rFonts w:cs="David"/>
          <w:rtl/>
        </w:rPr>
        <w:t xml:space="preserve"> </w:t>
      </w:r>
      <w:r w:rsidRPr="007D06B1">
        <w:rPr>
          <w:rFonts w:cs="David" w:hint="eastAsia"/>
          <w:rtl/>
        </w:rPr>
        <w:t>מקיאווליסטית</w:t>
      </w:r>
      <w:r w:rsidRPr="007D06B1">
        <w:rPr>
          <w:rFonts w:cs="David"/>
          <w:rtl/>
        </w:rPr>
        <w:t>.</w:t>
      </w:r>
    </w:p>
  </w:footnote>
  <w:footnote w:id="19">
    <w:p w14:paraId="748CCBA3" w14:textId="4C7E75E3" w:rsidR="002333C1" w:rsidRPr="00D5325A" w:rsidRDefault="002333C1">
      <w:pPr>
        <w:pStyle w:val="FootnoteText"/>
        <w:rPr>
          <w:rtl/>
        </w:rPr>
        <w:pPrChange w:id="58" w:author="Author">
          <w:pPr>
            <w:pStyle w:val="FootnoteText"/>
            <w:bidi w:val="0"/>
          </w:pPr>
        </w:pPrChange>
      </w:pPr>
      <w:r w:rsidRPr="00D5325A">
        <w:rPr>
          <w:rStyle w:val="FootnoteReference"/>
        </w:rPr>
        <w:footnoteRef/>
      </w:r>
      <w:r w:rsidRPr="00D5325A">
        <w:rPr>
          <w:rtl/>
        </w:rPr>
        <w:t xml:space="preserve"> </w:t>
      </w:r>
      <w:r w:rsidRPr="00D5325A">
        <w:rPr>
          <w:rFonts w:cs="David" w:hint="cs"/>
          <w:rtl/>
        </w:rPr>
        <w:t>המשפט הבינלאומי בין מלחמה לשלום</w:t>
      </w:r>
      <w:r w:rsidRPr="00DA450B">
        <w:rPr>
          <w:rFonts w:cs="David" w:hint="cs"/>
          <w:rtl/>
        </w:rPr>
        <w:t xml:space="preserve">, </w:t>
      </w:r>
      <w:r w:rsidRPr="007D06B1">
        <w:rPr>
          <w:rFonts w:cs="David" w:hint="eastAsia"/>
          <w:rtl/>
        </w:rPr>
        <w:t>ראה</w:t>
      </w:r>
      <w:r w:rsidRPr="007D06B1">
        <w:rPr>
          <w:rFonts w:cs="David"/>
          <w:rtl/>
        </w:rPr>
        <w:t xml:space="preserve"> לעיל </w:t>
      </w:r>
      <w:proofErr w:type="spellStart"/>
      <w:r w:rsidRPr="007D06B1">
        <w:rPr>
          <w:rFonts w:cs="David"/>
          <w:rtl/>
        </w:rPr>
        <w:t>ה"ש</w:t>
      </w:r>
      <w:proofErr w:type="spellEnd"/>
      <w:r w:rsidRPr="007D06B1">
        <w:rPr>
          <w:rFonts w:cs="David"/>
          <w:rtl/>
        </w:rPr>
        <w:t xml:space="preserve"> 2 בעמ' 205; </w:t>
      </w:r>
      <w:ins w:id="59" w:author="Author">
        <w:r w:rsidRPr="007D06B1">
          <w:rPr>
            <w:rFonts w:asciiTheme="majorBidi" w:hAnsiTheme="majorBidi" w:cstheme="majorBidi"/>
          </w:rPr>
          <w:t xml:space="preserve">Adrienne </w:t>
        </w:r>
        <w:proofErr w:type="spellStart"/>
        <w:r w:rsidRPr="007D06B1">
          <w:rPr>
            <w:rFonts w:asciiTheme="majorBidi" w:hAnsiTheme="majorBidi" w:cstheme="majorBidi"/>
          </w:rPr>
          <w:t>Komanovics</w:t>
        </w:r>
        <w:proofErr w:type="spellEnd"/>
        <w:r w:rsidRPr="007D06B1">
          <w:rPr>
            <w:rFonts w:asciiTheme="majorBidi" w:hAnsiTheme="majorBidi" w:cstheme="majorBidi"/>
          </w:rPr>
          <w:t xml:space="preserve">, </w:t>
        </w:r>
        <w:r w:rsidRPr="007D06B1">
          <w:rPr>
            <w:rFonts w:asciiTheme="majorBidi" w:hAnsiTheme="majorBidi" w:cstheme="majorBidi"/>
            <w:i/>
            <w:iCs/>
          </w:rPr>
          <w:t>Strengthening the Human Rights Treaty Bodies: A Modest But Important Step Forward</w:t>
        </w:r>
        <w:r w:rsidRPr="007D06B1">
          <w:rPr>
            <w:rFonts w:asciiTheme="majorBidi" w:hAnsiTheme="majorBidi" w:cstheme="majorBidi"/>
          </w:rPr>
          <w:t xml:space="preserve">, </w:t>
        </w:r>
        <w:r w:rsidRPr="007D06B1">
          <w:rPr>
            <w:rFonts w:asciiTheme="majorBidi" w:hAnsiTheme="majorBidi" w:cstheme="majorBidi"/>
            <w:smallCaps/>
          </w:rPr>
          <w:t>Pecs J. Int’l &amp; Eur. L</w:t>
        </w:r>
        <w:r w:rsidRPr="007D06B1">
          <w:rPr>
            <w:rFonts w:asciiTheme="majorBidi" w:hAnsiTheme="majorBidi" w:cstheme="majorBidi"/>
          </w:rPr>
          <w:t>. 7, 7 (2014).</w:t>
        </w:r>
      </w:ins>
      <w:del w:id="60" w:author="Author">
        <w:r w:rsidRPr="003918B1" w:rsidDel="00522AB1">
          <w:rPr>
            <w:rPrChange w:id="61" w:author="Author">
              <w:rPr>
                <w:highlight w:val="yellow"/>
              </w:rPr>
            </w:rPrChange>
          </w:rPr>
          <w:delText xml:space="preserve">Komanovics, Adrienne. "Strengthening the Human Rights Treaty Bodies: A Modest but Important Step Forward." Pecs J. Int'l &amp; Eur. L. (2014): 7, 7. </w:delText>
        </w:r>
        <w:r w:rsidRPr="003918B1" w:rsidDel="00522AB1">
          <w:rPr>
            <w:rtl/>
            <w:rPrChange w:id="62" w:author="Author">
              <w:rPr>
                <w:highlight w:val="yellow"/>
                <w:rtl/>
              </w:rPr>
            </w:rPrChange>
          </w:rPr>
          <w:delText>.</w:delText>
        </w:r>
      </w:del>
    </w:p>
  </w:footnote>
  <w:footnote w:id="20">
    <w:p w14:paraId="748CCBA4" w14:textId="77777777" w:rsidR="002333C1" w:rsidRPr="007D06B1" w:rsidRDefault="002333C1">
      <w:pPr>
        <w:pStyle w:val="FootnoteText"/>
        <w:rPr>
          <w:rtl/>
        </w:rPr>
        <w:pPrChange w:id="63" w:author="Author">
          <w:pPr>
            <w:pStyle w:val="FootnoteText"/>
            <w:bidi w:val="0"/>
          </w:pPr>
        </w:pPrChange>
      </w:pPr>
      <w:r w:rsidRPr="00D5325A">
        <w:rPr>
          <w:rStyle w:val="FootnoteReference"/>
        </w:rPr>
        <w:footnoteRef/>
      </w:r>
      <w:r w:rsidRPr="00D5325A">
        <w:rPr>
          <w:rtl/>
        </w:rPr>
        <w:t xml:space="preserve"> </w:t>
      </w:r>
      <w:r w:rsidRPr="00D5325A">
        <w:rPr>
          <w:rFonts w:cs="David" w:hint="cs"/>
          <w:rtl/>
        </w:rPr>
        <w:t xml:space="preserve">זכויות אדם </w:t>
      </w:r>
      <w:r w:rsidRPr="00DA450B">
        <w:rPr>
          <w:rFonts w:cs="David"/>
          <w:rtl/>
        </w:rPr>
        <w:t>–</w:t>
      </w:r>
      <w:r w:rsidRPr="007D06B1">
        <w:rPr>
          <w:rFonts w:cs="David"/>
          <w:rtl/>
        </w:rPr>
        <w:t xml:space="preserve"> מבואי תיאורטי' ראה לעיל </w:t>
      </w:r>
      <w:proofErr w:type="spellStart"/>
      <w:r w:rsidRPr="007D06B1">
        <w:rPr>
          <w:rFonts w:cs="David"/>
          <w:rtl/>
        </w:rPr>
        <w:t>ה"ש</w:t>
      </w:r>
      <w:proofErr w:type="spellEnd"/>
      <w:r w:rsidRPr="007D06B1">
        <w:rPr>
          <w:rFonts w:cs="David"/>
          <w:rtl/>
        </w:rPr>
        <w:t xml:space="preserve"> 3 בעמ' 23.</w:t>
      </w:r>
    </w:p>
  </w:footnote>
  <w:footnote w:id="21">
    <w:p w14:paraId="748CCBA5" w14:textId="79369BE1" w:rsidR="002333C1" w:rsidRPr="00D5325A" w:rsidRDefault="002333C1">
      <w:pPr>
        <w:pStyle w:val="FootnoteText"/>
        <w:rPr>
          <w:rtl/>
        </w:rPr>
        <w:pPrChange w:id="64" w:author="Author">
          <w:pPr>
            <w:pStyle w:val="FootnoteText"/>
            <w:bidi w:val="0"/>
          </w:pPr>
        </w:pPrChange>
      </w:pPr>
      <w:r w:rsidRPr="00D5325A">
        <w:rPr>
          <w:rStyle w:val="FootnoteReference"/>
        </w:rPr>
        <w:footnoteRef/>
      </w:r>
      <w:r w:rsidRPr="00D5325A">
        <w:rPr>
          <w:rtl/>
        </w:rPr>
        <w:t xml:space="preserve"> </w:t>
      </w:r>
      <w:r w:rsidRPr="00D5325A">
        <w:rPr>
          <w:rFonts w:cs="David" w:hint="cs"/>
          <w:rtl/>
        </w:rPr>
        <w:t>המשפט הבינלאומי בין מלחמה לשלום</w:t>
      </w:r>
      <w:r w:rsidRPr="00DA450B">
        <w:rPr>
          <w:rFonts w:cs="David" w:hint="cs"/>
          <w:rtl/>
        </w:rPr>
        <w:t xml:space="preserve">, </w:t>
      </w:r>
      <w:r w:rsidRPr="007D06B1">
        <w:rPr>
          <w:rFonts w:cs="David" w:hint="eastAsia"/>
          <w:rtl/>
        </w:rPr>
        <w:t>ראה</w:t>
      </w:r>
      <w:r w:rsidRPr="007D06B1">
        <w:rPr>
          <w:rFonts w:cs="David"/>
          <w:rtl/>
        </w:rPr>
        <w:t xml:space="preserve"> לעיל </w:t>
      </w:r>
      <w:proofErr w:type="spellStart"/>
      <w:r w:rsidRPr="007D06B1">
        <w:rPr>
          <w:rFonts w:cs="David"/>
          <w:rtl/>
        </w:rPr>
        <w:t>ה"ש</w:t>
      </w:r>
      <w:proofErr w:type="spellEnd"/>
      <w:r w:rsidRPr="007D06B1">
        <w:rPr>
          <w:rFonts w:cs="David"/>
          <w:rtl/>
        </w:rPr>
        <w:t xml:space="preserve"> 2 בעמ' 206-207</w:t>
      </w:r>
      <w:ins w:id="65" w:author="Author">
        <w:r>
          <w:rPr>
            <w:rFonts w:cs="David"/>
          </w:rPr>
          <w:t>;</w:t>
        </w:r>
      </w:ins>
      <w:del w:id="66" w:author="Author">
        <w:r w:rsidRPr="007D06B1" w:rsidDel="00F23C39">
          <w:rPr>
            <w:rFonts w:cs="David"/>
            <w:rtl/>
          </w:rPr>
          <w:delText>;</w:delText>
        </w:r>
      </w:del>
      <w:r w:rsidRPr="007D06B1">
        <w:rPr>
          <w:rFonts w:cs="David"/>
          <w:rtl/>
        </w:rPr>
        <w:t xml:space="preserve"> </w:t>
      </w:r>
      <w:ins w:id="67" w:author="Author">
        <w:r w:rsidRPr="007D06B1">
          <w:rPr>
            <w:rFonts w:asciiTheme="majorBidi" w:hAnsiTheme="majorBidi" w:cstheme="majorBidi"/>
            <w:smallCaps/>
          </w:rPr>
          <w:t>Eric A. Posner, The Twilight of Human Rights Law</w:t>
        </w:r>
        <w:r w:rsidRPr="007D06B1">
          <w:rPr>
            <w:rFonts w:asciiTheme="majorBidi" w:hAnsiTheme="majorBidi" w:cstheme="majorBidi"/>
          </w:rPr>
          <w:t>, 15–16 (2014).</w:t>
        </w:r>
      </w:ins>
      <w:del w:id="68" w:author="Author">
        <w:r w:rsidRPr="003918B1" w:rsidDel="00836A98">
          <w:rPr>
            <w:rPrChange w:id="69" w:author="Author">
              <w:rPr>
                <w:highlight w:val="yellow"/>
              </w:rPr>
            </w:rPrChange>
          </w:rPr>
          <w:delText>Posner, Eric A, The twilight of human rights law, 15-16 (2014)</w:delText>
        </w:r>
      </w:del>
      <w:r w:rsidRPr="003918B1">
        <w:rPr>
          <w:rtl/>
          <w:rPrChange w:id="70" w:author="Author">
            <w:rPr>
              <w:highlight w:val="yellow"/>
              <w:rtl/>
            </w:rPr>
          </w:rPrChange>
        </w:rPr>
        <w:t>‏</w:t>
      </w:r>
    </w:p>
  </w:footnote>
  <w:footnote w:id="22">
    <w:p w14:paraId="748CCBA6" w14:textId="19D880C6" w:rsidR="002333C1" w:rsidRPr="00D5325A" w:rsidRDefault="002333C1">
      <w:pPr>
        <w:pStyle w:val="FootnoteText"/>
        <w:spacing w:line="288" w:lineRule="auto"/>
        <w:rPr>
          <w:rtl/>
        </w:rPr>
        <w:pPrChange w:id="71" w:author="Author">
          <w:pPr>
            <w:pStyle w:val="FootnoteText"/>
            <w:bidi w:val="0"/>
            <w:spacing w:line="288" w:lineRule="auto"/>
          </w:pPr>
        </w:pPrChange>
      </w:pPr>
      <w:r w:rsidRPr="00D5325A">
        <w:rPr>
          <w:rStyle w:val="FootnoteReference"/>
        </w:rPr>
        <w:footnoteRef/>
      </w:r>
      <w:r w:rsidRPr="00D5325A">
        <w:rPr>
          <w:rtl/>
        </w:rPr>
        <w:t xml:space="preserve"> </w:t>
      </w:r>
      <w:r w:rsidRPr="00D5325A">
        <w:rPr>
          <w:rFonts w:cs="David" w:hint="cs"/>
          <w:rtl/>
        </w:rPr>
        <w:t>המשפט הבינלאומי בין מלחמה לשלום</w:t>
      </w:r>
      <w:r w:rsidRPr="00DA450B">
        <w:rPr>
          <w:rFonts w:cs="David" w:hint="cs"/>
          <w:rtl/>
        </w:rPr>
        <w:t xml:space="preserve">, ראה לעיל </w:t>
      </w:r>
      <w:proofErr w:type="spellStart"/>
      <w:r w:rsidRPr="00DA450B">
        <w:rPr>
          <w:rFonts w:cs="David" w:hint="cs"/>
          <w:rtl/>
        </w:rPr>
        <w:t>ה"ש</w:t>
      </w:r>
      <w:proofErr w:type="spellEnd"/>
      <w:r w:rsidRPr="00DA450B">
        <w:rPr>
          <w:rFonts w:cs="David" w:hint="cs"/>
          <w:rtl/>
        </w:rPr>
        <w:t xml:space="preserve"> 2 בעמ' 197; </w:t>
      </w:r>
      <w:ins w:id="72" w:author="Author">
        <w:r w:rsidRPr="007D06B1">
          <w:rPr>
            <w:rFonts w:asciiTheme="majorBidi" w:hAnsiTheme="majorBidi" w:cstheme="majorBidi"/>
            <w:smallCaps/>
          </w:rPr>
          <w:t>Posner, Twilight of Human Rights Law</w:t>
        </w:r>
        <w:r w:rsidRPr="007D06B1">
          <w:rPr>
            <w:rFonts w:asciiTheme="majorBidi" w:hAnsiTheme="majorBidi" w:cstheme="majorBidi"/>
          </w:rPr>
          <w:t>, 15–16.</w:t>
        </w:r>
      </w:ins>
      <w:del w:id="73" w:author="Author">
        <w:r w:rsidRPr="003918B1" w:rsidDel="004119CA">
          <w:rPr>
            <w:rPrChange w:id="74" w:author="Author">
              <w:rPr>
                <w:highlight w:val="yellow"/>
              </w:rPr>
            </w:rPrChange>
          </w:rPr>
          <w:delText>Posner, Eric A, The twilight of human rights law, 15-16 (2014)</w:delText>
        </w:r>
      </w:del>
      <w:r w:rsidRPr="00D5325A">
        <w:rPr>
          <w:rtl/>
        </w:rPr>
        <w:t>‏</w:t>
      </w:r>
    </w:p>
  </w:footnote>
  <w:footnote w:id="23">
    <w:p w14:paraId="748CCBA7" w14:textId="77777777" w:rsidR="002333C1" w:rsidRPr="007D06B1" w:rsidRDefault="002333C1">
      <w:pPr>
        <w:pStyle w:val="FootnoteText"/>
        <w:rPr>
          <w:rFonts w:cs="David"/>
        </w:rPr>
        <w:pPrChange w:id="75" w:author="Author">
          <w:pPr>
            <w:pStyle w:val="FootnoteText"/>
            <w:bidi w:val="0"/>
          </w:pPr>
        </w:pPrChange>
      </w:pPr>
      <w:r w:rsidRPr="00D5325A">
        <w:rPr>
          <w:rStyle w:val="FootnoteReference"/>
          <w:rFonts w:cs="David"/>
        </w:rPr>
        <w:footnoteRef/>
      </w:r>
      <w:r w:rsidRPr="00D5325A">
        <w:rPr>
          <w:rFonts w:cs="David"/>
          <w:rtl/>
        </w:rPr>
        <w:t xml:space="preserve"> </w:t>
      </w:r>
      <w:r w:rsidRPr="00D5325A">
        <w:t xml:space="preserve">Mobilizing for </w:t>
      </w:r>
      <w:r w:rsidRPr="00DA450B">
        <w:t>H</w:t>
      </w:r>
      <w:r w:rsidRPr="007D06B1">
        <w:t>uman Rights</w:t>
      </w:r>
      <w:r w:rsidRPr="007D06B1">
        <w:rPr>
          <w:rFonts w:cs="David"/>
          <w:rtl/>
        </w:rPr>
        <w:t xml:space="preserve">, ראה לעיל </w:t>
      </w:r>
      <w:proofErr w:type="spellStart"/>
      <w:r w:rsidRPr="007D06B1">
        <w:rPr>
          <w:rFonts w:cs="David"/>
          <w:rtl/>
        </w:rPr>
        <w:t>ה"ש</w:t>
      </w:r>
      <w:proofErr w:type="spellEnd"/>
      <w:r w:rsidRPr="007D06B1">
        <w:rPr>
          <w:rFonts w:cs="David"/>
          <w:rtl/>
        </w:rPr>
        <w:t xml:space="preserve"> 13 בעמ' 23. </w:t>
      </w:r>
    </w:p>
  </w:footnote>
  <w:footnote w:id="24">
    <w:p w14:paraId="748CCBA8" w14:textId="77777777" w:rsidR="002333C1" w:rsidRPr="007D06B1" w:rsidRDefault="002333C1">
      <w:pPr>
        <w:pStyle w:val="FootnoteText"/>
        <w:rPr>
          <w:rtl/>
        </w:rPr>
        <w:pPrChange w:id="76" w:author="Author">
          <w:pPr>
            <w:pStyle w:val="FootnoteText"/>
            <w:bidi w:val="0"/>
          </w:pPr>
        </w:pPrChange>
      </w:pPr>
      <w:r w:rsidRPr="00D5325A">
        <w:rPr>
          <w:rStyle w:val="FootnoteReference"/>
        </w:rPr>
        <w:footnoteRef/>
      </w:r>
      <w:r w:rsidRPr="00D5325A">
        <w:rPr>
          <w:rtl/>
        </w:rPr>
        <w:t xml:space="preserve"> </w:t>
      </w:r>
      <w:r w:rsidRPr="00D5325A">
        <w:rPr>
          <w:rFonts w:cs="David" w:hint="cs"/>
          <w:rtl/>
        </w:rPr>
        <w:t xml:space="preserve">זכויות אדם </w:t>
      </w:r>
      <w:r w:rsidRPr="00DA450B">
        <w:rPr>
          <w:rFonts w:cs="David"/>
          <w:rtl/>
        </w:rPr>
        <w:t>–</w:t>
      </w:r>
      <w:r w:rsidRPr="007D06B1">
        <w:rPr>
          <w:rFonts w:cs="David"/>
          <w:rtl/>
        </w:rPr>
        <w:t xml:space="preserve"> מבואי תיאורטי, ראה לעיל </w:t>
      </w:r>
      <w:proofErr w:type="spellStart"/>
      <w:r w:rsidRPr="007D06B1">
        <w:rPr>
          <w:rFonts w:cs="David"/>
          <w:rtl/>
        </w:rPr>
        <w:t>ה"ש</w:t>
      </w:r>
      <w:proofErr w:type="spellEnd"/>
      <w:r w:rsidRPr="007D06B1">
        <w:rPr>
          <w:rFonts w:cs="David"/>
          <w:rtl/>
        </w:rPr>
        <w:t xml:space="preserve"> 3 בעמ' 24.</w:t>
      </w:r>
    </w:p>
  </w:footnote>
  <w:footnote w:id="25">
    <w:p w14:paraId="748CCBA9" w14:textId="77777777" w:rsidR="002333C1" w:rsidRPr="007D06B1" w:rsidRDefault="002333C1">
      <w:pPr>
        <w:pStyle w:val="FootnoteText"/>
        <w:rPr>
          <w:rtl/>
        </w:rPr>
        <w:pPrChange w:id="77" w:author="Author">
          <w:pPr>
            <w:pStyle w:val="FootnoteText"/>
            <w:bidi w:val="0"/>
          </w:pPr>
        </w:pPrChange>
      </w:pPr>
      <w:r w:rsidRPr="00D5325A">
        <w:rPr>
          <w:rStyle w:val="FootnoteReference"/>
          <w:rFonts w:cs="David"/>
        </w:rPr>
        <w:footnoteRef/>
      </w:r>
      <w:r w:rsidRPr="00D5325A">
        <w:rPr>
          <w:rFonts w:cs="David"/>
          <w:rtl/>
        </w:rPr>
        <w:t xml:space="preserve"> </w:t>
      </w:r>
      <w:r w:rsidRPr="00D5325A">
        <w:rPr>
          <w:rFonts w:cs="David" w:hint="cs"/>
          <w:rtl/>
        </w:rPr>
        <w:t xml:space="preserve">זכויות אדם </w:t>
      </w:r>
      <w:r w:rsidRPr="00DA450B">
        <w:rPr>
          <w:rFonts w:cs="David"/>
          <w:rtl/>
        </w:rPr>
        <w:t>–</w:t>
      </w:r>
      <w:r w:rsidRPr="007D06B1">
        <w:rPr>
          <w:rFonts w:cs="David"/>
          <w:rtl/>
        </w:rPr>
        <w:t xml:space="preserve"> מבואי תיאורטי, ראה לעיל </w:t>
      </w:r>
      <w:proofErr w:type="spellStart"/>
      <w:r w:rsidRPr="007D06B1">
        <w:rPr>
          <w:rFonts w:cs="David"/>
          <w:rtl/>
        </w:rPr>
        <w:t>ה"ש</w:t>
      </w:r>
      <w:proofErr w:type="spellEnd"/>
      <w:r w:rsidRPr="007D06B1">
        <w:rPr>
          <w:rFonts w:cs="David"/>
          <w:rtl/>
        </w:rPr>
        <w:t xml:space="preserve"> 3 בעמ' 27.</w:t>
      </w:r>
      <w:r w:rsidRPr="007D06B1">
        <w:rPr>
          <w:rtl/>
        </w:rPr>
        <w:t xml:space="preserve"> </w:t>
      </w:r>
    </w:p>
  </w:footnote>
  <w:footnote w:id="26">
    <w:p w14:paraId="748CCBAA" w14:textId="10895EF5" w:rsidR="002333C1" w:rsidRPr="00D5325A" w:rsidRDefault="002333C1">
      <w:pPr>
        <w:pStyle w:val="FootnoteText"/>
        <w:pPrChange w:id="78" w:author="Author">
          <w:pPr>
            <w:pStyle w:val="FootnoteText"/>
            <w:bidi w:val="0"/>
          </w:pPr>
        </w:pPrChange>
      </w:pPr>
      <w:r w:rsidRPr="00D5325A">
        <w:rPr>
          <w:rStyle w:val="FootnoteReference"/>
        </w:rPr>
        <w:footnoteRef/>
      </w:r>
      <w:r w:rsidRPr="00D5325A">
        <w:rPr>
          <w:rtl/>
        </w:rPr>
        <w:t xml:space="preserve"> </w:t>
      </w:r>
      <w:ins w:id="79" w:author="Author">
        <w:r w:rsidRPr="00D5325A">
          <w:rPr>
            <w:rFonts w:asciiTheme="majorBidi" w:hAnsiTheme="majorBidi" w:cstheme="majorBidi"/>
            <w:smallCaps/>
          </w:rPr>
          <w:t>Posner,</w:t>
        </w:r>
        <w:r w:rsidRPr="00DA450B">
          <w:rPr>
            <w:rFonts w:asciiTheme="majorBidi" w:hAnsiTheme="majorBidi" w:cstheme="majorBidi"/>
            <w:smallCaps/>
          </w:rPr>
          <w:t xml:space="preserve"> </w:t>
        </w:r>
        <w:r w:rsidRPr="007D06B1">
          <w:rPr>
            <w:rFonts w:asciiTheme="majorBidi" w:hAnsiTheme="majorBidi" w:cstheme="majorBidi"/>
            <w:smallCaps/>
          </w:rPr>
          <w:t>Twilight of Human Rights Law</w:t>
        </w:r>
        <w:r w:rsidRPr="007D06B1">
          <w:rPr>
            <w:rFonts w:asciiTheme="majorBidi" w:hAnsiTheme="majorBidi" w:cstheme="majorBidi"/>
          </w:rPr>
          <w:t>, 15–16.</w:t>
        </w:r>
      </w:ins>
      <w:del w:id="80" w:author="Author">
        <w:r w:rsidRPr="003918B1" w:rsidDel="004119CA">
          <w:rPr>
            <w:rPrChange w:id="81" w:author="Author">
              <w:rPr>
                <w:highlight w:val="yellow"/>
              </w:rPr>
            </w:rPrChange>
          </w:rPr>
          <w:delText>Posner, Eric A, The twilight of human rights law, 26 (2014)</w:delText>
        </w:r>
      </w:del>
    </w:p>
  </w:footnote>
  <w:footnote w:id="27">
    <w:p w14:paraId="748CCBAB" w14:textId="77777777" w:rsidR="002333C1" w:rsidRPr="007D06B1" w:rsidRDefault="002333C1">
      <w:pPr>
        <w:pStyle w:val="FootnoteText"/>
        <w:jc w:val="both"/>
        <w:pPrChange w:id="82" w:author="Author">
          <w:pPr>
            <w:pStyle w:val="FootnoteText"/>
            <w:bidi w:val="0"/>
            <w:jc w:val="both"/>
          </w:pPr>
        </w:pPrChange>
      </w:pPr>
      <w:r w:rsidRPr="00D5325A">
        <w:rPr>
          <w:rStyle w:val="FootnoteReference"/>
        </w:rPr>
        <w:footnoteRef/>
      </w:r>
      <w:r w:rsidRPr="00D5325A">
        <w:rPr>
          <w:b/>
          <w:bCs/>
          <w:rtl/>
        </w:rPr>
        <w:t xml:space="preserve"> </w:t>
      </w:r>
      <w:proofErr w:type="spellStart"/>
      <w:r w:rsidRPr="00D5325A">
        <w:rPr>
          <w:rFonts w:cs="David" w:hint="cs"/>
          <w:b/>
          <w:bCs/>
          <w:rtl/>
        </w:rPr>
        <w:t>דטאנט</w:t>
      </w:r>
      <w:proofErr w:type="spellEnd"/>
      <w:r w:rsidRPr="00DA450B">
        <w:rPr>
          <w:rFonts w:cs="David"/>
          <w:rtl/>
        </w:rPr>
        <w:t xml:space="preserve"> (</w:t>
      </w:r>
      <w:r w:rsidRPr="007D06B1">
        <w:rPr>
          <w:rFonts w:cs="David"/>
        </w:rPr>
        <w:t>Détente</w:t>
      </w:r>
      <w:r w:rsidRPr="007D06B1">
        <w:rPr>
          <w:rFonts w:cs="David"/>
          <w:rtl/>
        </w:rPr>
        <w:t xml:space="preserve"> </w:t>
      </w:r>
      <w:r w:rsidRPr="007D06B1">
        <w:rPr>
          <w:rFonts w:cs="David" w:hint="eastAsia"/>
          <w:rtl/>
        </w:rPr>
        <w:t>מצרפתית</w:t>
      </w:r>
      <w:r w:rsidRPr="007D06B1">
        <w:rPr>
          <w:rFonts w:cs="David"/>
          <w:rtl/>
        </w:rPr>
        <w:t xml:space="preserve">) </w:t>
      </w:r>
      <w:r w:rsidRPr="007D06B1">
        <w:rPr>
          <w:rFonts w:cs="David" w:hint="eastAsia"/>
          <w:rtl/>
        </w:rPr>
        <w:t>הוא</w:t>
      </w:r>
      <w:r w:rsidRPr="007D06B1">
        <w:rPr>
          <w:rFonts w:cs="David"/>
          <w:rtl/>
        </w:rPr>
        <w:t xml:space="preserve"> </w:t>
      </w:r>
      <w:r w:rsidRPr="007D06B1">
        <w:rPr>
          <w:rFonts w:cs="David" w:hint="eastAsia"/>
          <w:rtl/>
        </w:rPr>
        <w:t>תהליך</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הפסקת</w:t>
      </w:r>
      <w:r w:rsidRPr="007D06B1">
        <w:rPr>
          <w:rFonts w:cs="David"/>
          <w:rtl/>
        </w:rPr>
        <w:t xml:space="preserve"> </w:t>
      </w:r>
      <w:r w:rsidRPr="007D06B1">
        <w:rPr>
          <w:rFonts w:cs="David" w:hint="eastAsia"/>
          <w:rtl/>
        </w:rPr>
        <w:t>מתיחות</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בהיסטוריה</w:t>
      </w:r>
      <w:r w:rsidRPr="007D06B1">
        <w:rPr>
          <w:rFonts w:cs="David"/>
          <w:rtl/>
        </w:rPr>
        <w:t xml:space="preserve"> </w:t>
      </w:r>
      <w:r w:rsidRPr="007D06B1">
        <w:rPr>
          <w:rFonts w:cs="David" w:hint="eastAsia"/>
          <w:rtl/>
        </w:rPr>
        <w:t>המודרנית</w:t>
      </w:r>
      <w:r w:rsidRPr="007D06B1">
        <w:rPr>
          <w:rFonts w:cs="David"/>
          <w:rtl/>
        </w:rPr>
        <w:t>, "</w:t>
      </w:r>
      <w:proofErr w:type="spellStart"/>
      <w:r w:rsidRPr="007D06B1">
        <w:rPr>
          <w:rFonts w:cs="David" w:hint="eastAsia"/>
          <w:rtl/>
        </w:rPr>
        <w:t>הדטאנט</w:t>
      </w:r>
      <w:proofErr w:type="spellEnd"/>
      <w:r w:rsidRPr="007D06B1">
        <w:rPr>
          <w:rFonts w:cs="David"/>
          <w:rtl/>
        </w:rPr>
        <w:t xml:space="preserve">" </w:t>
      </w:r>
      <w:r w:rsidRPr="007D06B1">
        <w:rPr>
          <w:rFonts w:cs="David" w:hint="eastAsia"/>
          <w:rtl/>
        </w:rPr>
        <w:t>הוא</w:t>
      </w:r>
      <w:r w:rsidRPr="007D06B1">
        <w:rPr>
          <w:rFonts w:cs="David"/>
          <w:rtl/>
        </w:rPr>
        <w:t xml:space="preserve"> </w:t>
      </w:r>
      <w:r w:rsidRPr="007D06B1">
        <w:rPr>
          <w:rFonts w:cs="David" w:hint="eastAsia"/>
          <w:rtl/>
        </w:rPr>
        <w:t>תהליך</w:t>
      </w:r>
      <w:r w:rsidRPr="007D06B1">
        <w:rPr>
          <w:rFonts w:cs="David"/>
          <w:rtl/>
        </w:rPr>
        <w:t xml:space="preserve"> </w:t>
      </w:r>
      <w:r w:rsidRPr="007D06B1">
        <w:rPr>
          <w:rFonts w:cs="David" w:hint="eastAsia"/>
          <w:rtl/>
        </w:rPr>
        <w:t>הפשרת</w:t>
      </w:r>
      <w:r w:rsidRPr="007D06B1">
        <w:rPr>
          <w:rFonts w:cs="David"/>
          <w:rtl/>
        </w:rPr>
        <w:t xml:space="preserve"> </w:t>
      </w:r>
      <w:r w:rsidRPr="007D06B1">
        <w:rPr>
          <w:rFonts w:cs="David" w:hint="eastAsia"/>
          <w:rtl/>
        </w:rPr>
        <w:t>היחסים</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הגוש</w:t>
      </w:r>
      <w:r w:rsidRPr="007D06B1">
        <w:rPr>
          <w:rFonts w:cs="David"/>
          <w:rtl/>
        </w:rPr>
        <w:t xml:space="preserve"> </w:t>
      </w:r>
      <w:r w:rsidRPr="007D06B1">
        <w:rPr>
          <w:rFonts w:cs="David" w:hint="eastAsia"/>
          <w:rtl/>
        </w:rPr>
        <w:t>המערבי</w:t>
      </w:r>
      <w:r w:rsidRPr="007D06B1">
        <w:rPr>
          <w:rFonts w:cs="David"/>
          <w:rtl/>
        </w:rPr>
        <w:t xml:space="preserve"> </w:t>
      </w:r>
      <w:r w:rsidRPr="007D06B1">
        <w:rPr>
          <w:rFonts w:cs="David" w:hint="eastAsia"/>
          <w:rtl/>
        </w:rPr>
        <w:t>לגוש</w:t>
      </w:r>
      <w:r w:rsidRPr="007D06B1">
        <w:rPr>
          <w:rFonts w:cs="David"/>
          <w:rtl/>
        </w:rPr>
        <w:t xml:space="preserve"> </w:t>
      </w:r>
      <w:r w:rsidRPr="007D06B1">
        <w:rPr>
          <w:rFonts w:cs="David" w:hint="eastAsia"/>
          <w:rtl/>
        </w:rPr>
        <w:t>המזרחי</w:t>
      </w:r>
      <w:r w:rsidRPr="007D06B1">
        <w:rPr>
          <w:rFonts w:cs="David"/>
          <w:rtl/>
        </w:rPr>
        <w:t xml:space="preserve"> </w:t>
      </w:r>
      <w:r w:rsidRPr="007D06B1">
        <w:rPr>
          <w:rFonts w:cs="David" w:hint="eastAsia"/>
          <w:rtl/>
        </w:rPr>
        <w:t>והיחלשותה</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המלחמה</w:t>
      </w:r>
      <w:r w:rsidRPr="007D06B1">
        <w:rPr>
          <w:rFonts w:cs="David"/>
          <w:rtl/>
        </w:rPr>
        <w:t xml:space="preserve"> </w:t>
      </w:r>
      <w:r w:rsidRPr="007D06B1">
        <w:rPr>
          <w:rFonts w:cs="David" w:hint="eastAsia"/>
          <w:rtl/>
        </w:rPr>
        <w:t>הקרה</w:t>
      </w:r>
      <w:r w:rsidRPr="007D06B1">
        <w:rPr>
          <w:rFonts w:cs="David"/>
          <w:rtl/>
        </w:rPr>
        <w:t xml:space="preserve">. </w:t>
      </w:r>
      <w:r w:rsidRPr="007D06B1">
        <w:rPr>
          <w:rFonts w:cs="David" w:hint="eastAsia"/>
          <w:rtl/>
        </w:rPr>
        <w:t>תהליך</w:t>
      </w:r>
      <w:r w:rsidRPr="007D06B1">
        <w:rPr>
          <w:rFonts w:cs="David"/>
          <w:rtl/>
        </w:rPr>
        <w:t xml:space="preserve"> </w:t>
      </w:r>
      <w:r w:rsidRPr="007D06B1">
        <w:rPr>
          <w:rFonts w:cs="David" w:hint="eastAsia"/>
          <w:rtl/>
        </w:rPr>
        <w:t>זה</w:t>
      </w:r>
      <w:r w:rsidRPr="007D06B1">
        <w:rPr>
          <w:rFonts w:cs="David"/>
          <w:rtl/>
        </w:rPr>
        <w:t xml:space="preserve"> </w:t>
      </w:r>
      <w:r w:rsidRPr="007D06B1">
        <w:rPr>
          <w:rFonts w:cs="David" w:hint="eastAsia"/>
          <w:rtl/>
        </w:rPr>
        <w:t>החל</w:t>
      </w:r>
      <w:r w:rsidRPr="007D06B1">
        <w:rPr>
          <w:rFonts w:cs="David"/>
          <w:rtl/>
        </w:rPr>
        <w:t xml:space="preserve"> </w:t>
      </w:r>
      <w:r w:rsidRPr="007D06B1">
        <w:rPr>
          <w:rFonts w:cs="David" w:hint="eastAsia"/>
          <w:rtl/>
        </w:rPr>
        <w:t>בסוף</w:t>
      </w:r>
      <w:r w:rsidRPr="007D06B1">
        <w:rPr>
          <w:rFonts w:cs="David"/>
          <w:rtl/>
        </w:rPr>
        <w:t xml:space="preserve"> </w:t>
      </w:r>
      <w:r w:rsidRPr="007D06B1">
        <w:rPr>
          <w:rFonts w:cs="David" w:hint="eastAsia"/>
          <w:rtl/>
        </w:rPr>
        <w:t>שנות</w:t>
      </w:r>
      <w:r w:rsidRPr="007D06B1">
        <w:rPr>
          <w:rFonts w:cs="David"/>
          <w:rtl/>
        </w:rPr>
        <w:t xml:space="preserve"> </w:t>
      </w:r>
      <w:r w:rsidRPr="007D06B1">
        <w:rPr>
          <w:rFonts w:cs="David" w:hint="eastAsia"/>
          <w:rtl/>
        </w:rPr>
        <w:t>ה</w:t>
      </w:r>
      <w:r w:rsidRPr="007D06B1">
        <w:rPr>
          <w:rFonts w:cs="David"/>
          <w:rtl/>
        </w:rPr>
        <w:t xml:space="preserve">-60 </w:t>
      </w:r>
      <w:r w:rsidRPr="007D06B1">
        <w:rPr>
          <w:rFonts w:cs="David" w:hint="eastAsia"/>
          <w:rtl/>
        </w:rPr>
        <w:t>של</w:t>
      </w:r>
      <w:r w:rsidRPr="007D06B1">
        <w:rPr>
          <w:rFonts w:cs="David"/>
          <w:rtl/>
        </w:rPr>
        <w:t xml:space="preserve"> </w:t>
      </w:r>
      <w:r w:rsidRPr="007D06B1">
        <w:rPr>
          <w:rFonts w:cs="David" w:hint="eastAsia"/>
          <w:rtl/>
        </w:rPr>
        <w:t>המאה</w:t>
      </w:r>
      <w:r w:rsidRPr="007D06B1">
        <w:rPr>
          <w:rFonts w:cs="David"/>
          <w:rtl/>
        </w:rPr>
        <w:t xml:space="preserve"> </w:t>
      </w:r>
      <w:r w:rsidRPr="007D06B1">
        <w:rPr>
          <w:rFonts w:cs="David" w:hint="eastAsia"/>
          <w:rtl/>
        </w:rPr>
        <w:t>ה</w:t>
      </w:r>
      <w:r w:rsidRPr="007D06B1">
        <w:rPr>
          <w:rFonts w:cs="David"/>
          <w:rtl/>
        </w:rPr>
        <w:t xml:space="preserve">-20 </w:t>
      </w:r>
      <w:r w:rsidRPr="007D06B1">
        <w:rPr>
          <w:rFonts w:cs="David" w:hint="eastAsia"/>
          <w:rtl/>
        </w:rPr>
        <w:t>ונמשך</w:t>
      </w:r>
      <w:r w:rsidRPr="007D06B1">
        <w:rPr>
          <w:rFonts w:cs="David"/>
          <w:rtl/>
        </w:rPr>
        <w:t xml:space="preserve"> </w:t>
      </w:r>
      <w:r w:rsidRPr="007D06B1">
        <w:rPr>
          <w:rFonts w:cs="David" w:hint="eastAsia"/>
          <w:rtl/>
        </w:rPr>
        <w:t>עד</w:t>
      </w:r>
      <w:r w:rsidRPr="007D06B1">
        <w:rPr>
          <w:rFonts w:cs="David"/>
          <w:rtl/>
        </w:rPr>
        <w:t xml:space="preserve"> </w:t>
      </w:r>
      <w:r w:rsidRPr="007D06B1">
        <w:rPr>
          <w:rFonts w:cs="David" w:hint="eastAsia"/>
          <w:rtl/>
        </w:rPr>
        <w:t>תחילת</w:t>
      </w:r>
      <w:r w:rsidRPr="007D06B1">
        <w:rPr>
          <w:rFonts w:cs="David"/>
          <w:rtl/>
        </w:rPr>
        <w:t xml:space="preserve"> </w:t>
      </w:r>
      <w:r w:rsidRPr="007D06B1">
        <w:rPr>
          <w:rFonts w:cs="David" w:hint="eastAsia"/>
          <w:rtl/>
        </w:rPr>
        <w:t>שנות</w:t>
      </w:r>
      <w:r w:rsidRPr="007D06B1">
        <w:rPr>
          <w:rFonts w:cs="David"/>
          <w:rtl/>
        </w:rPr>
        <w:t xml:space="preserve"> </w:t>
      </w:r>
      <w:r w:rsidRPr="007D06B1">
        <w:rPr>
          <w:rFonts w:cs="David" w:hint="eastAsia"/>
          <w:rtl/>
        </w:rPr>
        <w:t>ה</w:t>
      </w:r>
      <w:r w:rsidRPr="007D06B1">
        <w:rPr>
          <w:rFonts w:cs="David"/>
          <w:rtl/>
        </w:rPr>
        <w:t xml:space="preserve">-80 </w:t>
      </w:r>
      <w:r w:rsidRPr="007D06B1">
        <w:rPr>
          <w:rFonts w:cs="David" w:hint="eastAsia"/>
          <w:rtl/>
        </w:rPr>
        <w:t>של</w:t>
      </w:r>
      <w:r w:rsidRPr="007D06B1">
        <w:rPr>
          <w:rFonts w:cs="David"/>
          <w:rtl/>
        </w:rPr>
        <w:t xml:space="preserve"> </w:t>
      </w:r>
      <w:r w:rsidRPr="007D06B1">
        <w:rPr>
          <w:rFonts w:cs="David" w:hint="eastAsia"/>
          <w:rtl/>
        </w:rPr>
        <w:t>אותה</w:t>
      </w:r>
      <w:r w:rsidRPr="007D06B1">
        <w:rPr>
          <w:rFonts w:cs="David"/>
          <w:rtl/>
        </w:rPr>
        <w:t xml:space="preserve"> </w:t>
      </w:r>
      <w:r w:rsidRPr="007D06B1">
        <w:rPr>
          <w:rFonts w:cs="David" w:hint="eastAsia"/>
          <w:rtl/>
        </w:rPr>
        <w:t>המאה</w:t>
      </w:r>
      <w:r w:rsidRPr="007D06B1">
        <w:rPr>
          <w:rFonts w:cs="David"/>
          <w:rtl/>
        </w:rPr>
        <w:t xml:space="preserve">. </w:t>
      </w:r>
      <w:r w:rsidRPr="007D06B1">
        <w:rPr>
          <w:rFonts w:cs="David" w:hint="eastAsia"/>
          <w:rtl/>
        </w:rPr>
        <w:t>התקופה</w:t>
      </w:r>
      <w:r w:rsidRPr="007D06B1">
        <w:rPr>
          <w:rFonts w:cs="David"/>
          <w:rtl/>
        </w:rPr>
        <w:t xml:space="preserve"> </w:t>
      </w:r>
      <w:r w:rsidRPr="007D06B1">
        <w:rPr>
          <w:rFonts w:cs="David" w:hint="eastAsia"/>
          <w:rtl/>
        </w:rPr>
        <w:t>אופיינה</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השאר</w:t>
      </w:r>
      <w:r w:rsidRPr="007D06B1">
        <w:rPr>
          <w:rFonts w:cs="David"/>
          <w:rtl/>
        </w:rPr>
        <w:t xml:space="preserve">, </w:t>
      </w:r>
      <w:r w:rsidRPr="007D06B1">
        <w:rPr>
          <w:rFonts w:cs="David" w:hint="eastAsia"/>
          <w:rtl/>
        </w:rPr>
        <w:t>בסחר</w:t>
      </w:r>
      <w:r w:rsidRPr="007D06B1">
        <w:rPr>
          <w:rFonts w:cs="David"/>
          <w:rtl/>
        </w:rPr>
        <w:t xml:space="preserve"> </w:t>
      </w:r>
      <w:r w:rsidRPr="007D06B1">
        <w:rPr>
          <w:rFonts w:cs="David" w:hint="eastAsia"/>
          <w:rtl/>
        </w:rPr>
        <w:t>גובר</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הגוש</w:t>
      </w:r>
      <w:r w:rsidRPr="007D06B1">
        <w:rPr>
          <w:rFonts w:cs="David"/>
          <w:rtl/>
        </w:rPr>
        <w:t xml:space="preserve"> </w:t>
      </w:r>
      <w:r w:rsidRPr="007D06B1">
        <w:rPr>
          <w:rFonts w:cs="David" w:hint="eastAsia"/>
          <w:rtl/>
        </w:rPr>
        <w:t>הקומוניסטי</w:t>
      </w:r>
      <w:r w:rsidRPr="007D06B1">
        <w:rPr>
          <w:rFonts w:cs="David"/>
          <w:rtl/>
        </w:rPr>
        <w:t xml:space="preserve"> </w:t>
      </w:r>
      <w:r w:rsidRPr="007D06B1">
        <w:rPr>
          <w:rFonts w:cs="David" w:hint="eastAsia"/>
          <w:rtl/>
        </w:rPr>
        <w:t>בראשות</w:t>
      </w:r>
      <w:r w:rsidRPr="007D06B1">
        <w:rPr>
          <w:rFonts w:cs="David"/>
          <w:rtl/>
        </w:rPr>
        <w:t xml:space="preserve"> </w:t>
      </w:r>
      <w:r w:rsidRPr="007D06B1">
        <w:rPr>
          <w:rFonts w:cs="David" w:hint="eastAsia"/>
          <w:rtl/>
        </w:rPr>
        <w:t>ברית</w:t>
      </w:r>
      <w:r w:rsidRPr="007D06B1">
        <w:rPr>
          <w:rFonts w:cs="David"/>
          <w:rtl/>
        </w:rPr>
        <w:t xml:space="preserve"> </w:t>
      </w:r>
      <w:r w:rsidRPr="007D06B1">
        <w:rPr>
          <w:rFonts w:cs="David" w:hint="eastAsia"/>
          <w:rtl/>
        </w:rPr>
        <w:t>המועצות</w:t>
      </w:r>
      <w:r w:rsidRPr="007D06B1">
        <w:rPr>
          <w:rFonts w:cs="David"/>
          <w:rtl/>
        </w:rPr>
        <w:t xml:space="preserve"> </w:t>
      </w:r>
      <w:r w:rsidRPr="007D06B1">
        <w:rPr>
          <w:rFonts w:cs="David" w:hint="eastAsia"/>
          <w:rtl/>
        </w:rPr>
        <w:t>לארצות</w:t>
      </w:r>
      <w:r w:rsidRPr="007D06B1">
        <w:rPr>
          <w:rFonts w:cs="David"/>
          <w:rtl/>
        </w:rPr>
        <w:t xml:space="preserve"> </w:t>
      </w:r>
      <w:r w:rsidRPr="007D06B1">
        <w:rPr>
          <w:rFonts w:cs="David" w:hint="eastAsia"/>
          <w:rtl/>
        </w:rPr>
        <w:t>הברית</w:t>
      </w:r>
      <w:r w:rsidRPr="007D06B1">
        <w:rPr>
          <w:rFonts w:cs="David"/>
          <w:rtl/>
        </w:rPr>
        <w:t xml:space="preserve"> </w:t>
      </w:r>
      <w:r w:rsidRPr="007D06B1">
        <w:rPr>
          <w:rFonts w:cs="David" w:hint="eastAsia"/>
          <w:rtl/>
        </w:rPr>
        <w:t>ומערב</w:t>
      </w:r>
      <w:r w:rsidRPr="007D06B1">
        <w:rPr>
          <w:rFonts w:cs="David"/>
          <w:rtl/>
        </w:rPr>
        <w:t xml:space="preserve"> </w:t>
      </w:r>
      <w:r w:rsidRPr="007D06B1">
        <w:rPr>
          <w:rFonts w:cs="David" w:hint="eastAsia"/>
          <w:rtl/>
        </w:rPr>
        <w:t>אירופה</w:t>
      </w:r>
      <w:r w:rsidRPr="007D06B1">
        <w:rPr>
          <w:rFonts w:cs="David"/>
          <w:rtl/>
        </w:rPr>
        <w:t xml:space="preserve">, </w:t>
      </w:r>
      <w:r w:rsidRPr="007D06B1">
        <w:rPr>
          <w:rFonts w:cs="David" w:hint="eastAsia"/>
          <w:rtl/>
        </w:rPr>
        <w:t>בסובלנות</w:t>
      </w:r>
      <w:r w:rsidRPr="007D06B1">
        <w:rPr>
          <w:rFonts w:cs="David"/>
          <w:rtl/>
        </w:rPr>
        <w:t xml:space="preserve"> </w:t>
      </w:r>
      <w:r w:rsidRPr="007D06B1">
        <w:rPr>
          <w:rFonts w:cs="David" w:hint="eastAsia"/>
          <w:rtl/>
        </w:rPr>
        <w:t>ובניסיונות</w:t>
      </w:r>
      <w:r w:rsidRPr="007D06B1">
        <w:rPr>
          <w:rFonts w:cs="David"/>
          <w:rtl/>
        </w:rPr>
        <w:t xml:space="preserve"> </w:t>
      </w:r>
      <w:r w:rsidRPr="007D06B1">
        <w:rPr>
          <w:rFonts w:cs="David" w:hint="eastAsia"/>
          <w:rtl/>
        </w:rPr>
        <w:t>להימנע</w:t>
      </w:r>
      <w:r w:rsidRPr="007D06B1">
        <w:rPr>
          <w:rFonts w:cs="David"/>
          <w:rtl/>
        </w:rPr>
        <w:t xml:space="preserve"> </w:t>
      </w:r>
      <w:r w:rsidRPr="007D06B1">
        <w:rPr>
          <w:rFonts w:cs="David" w:hint="eastAsia"/>
          <w:rtl/>
        </w:rPr>
        <w:t>ממלחמה</w:t>
      </w:r>
      <w:r w:rsidRPr="007D06B1">
        <w:rPr>
          <w:rFonts w:cs="David"/>
          <w:rtl/>
        </w:rPr>
        <w:t xml:space="preserve"> </w:t>
      </w:r>
      <w:r w:rsidRPr="007D06B1">
        <w:rPr>
          <w:rFonts w:cs="David" w:hint="eastAsia"/>
          <w:rtl/>
        </w:rPr>
        <w:t>גרעינית</w:t>
      </w:r>
      <w:r w:rsidRPr="007D06B1">
        <w:rPr>
          <w:rFonts w:cs="David"/>
          <w:rtl/>
        </w:rPr>
        <w:t xml:space="preserve">. </w:t>
      </w:r>
      <w:r w:rsidRPr="007D06B1">
        <w:rPr>
          <w:rFonts w:cs="David" w:hint="eastAsia"/>
          <w:rtl/>
        </w:rPr>
        <w:t>עם</w:t>
      </w:r>
      <w:r w:rsidRPr="007D06B1">
        <w:rPr>
          <w:rFonts w:cs="David"/>
          <w:rtl/>
        </w:rPr>
        <w:t xml:space="preserve"> </w:t>
      </w:r>
      <w:r w:rsidRPr="007D06B1">
        <w:rPr>
          <w:rFonts w:cs="David" w:hint="eastAsia"/>
          <w:rtl/>
        </w:rPr>
        <w:t>זאת</w:t>
      </w:r>
      <w:r w:rsidRPr="007D06B1">
        <w:rPr>
          <w:rFonts w:cs="David"/>
          <w:rtl/>
        </w:rPr>
        <w:t xml:space="preserve">, </w:t>
      </w:r>
      <w:proofErr w:type="spellStart"/>
      <w:r w:rsidRPr="007D06B1">
        <w:rPr>
          <w:rFonts w:cs="David" w:hint="eastAsia"/>
          <w:rtl/>
        </w:rPr>
        <w:t>לדטאנט</w:t>
      </w:r>
      <w:proofErr w:type="spellEnd"/>
      <w:r w:rsidRPr="007D06B1">
        <w:rPr>
          <w:rFonts w:cs="David"/>
          <w:rtl/>
        </w:rPr>
        <w:t xml:space="preserve"> </w:t>
      </w:r>
      <w:r w:rsidRPr="007D06B1">
        <w:rPr>
          <w:rFonts w:cs="David" w:hint="eastAsia"/>
          <w:rtl/>
        </w:rPr>
        <w:t>היו</w:t>
      </w:r>
      <w:r w:rsidRPr="007D06B1">
        <w:rPr>
          <w:rFonts w:cs="David"/>
          <w:rtl/>
        </w:rPr>
        <w:t xml:space="preserve"> </w:t>
      </w:r>
      <w:r w:rsidRPr="007D06B1">
        <w:rPr>
          <w:rFonts w:cs="David" w:hint="eastAsia"/>
          <w:rtl/>
        </w:rPr>
        <w:t>למעשה</w:t>
      </w:r>
      <w:r w:rsidRPr="007D06B1">
        <w:rPr>
          <w:rFonts w:cs="David"/>
          <w:rtl/>
        </w:rPr>
        <w:t xml:space="preserve"> </w:t>
      </w:r>
      <w:r w:rsidRPr="007D06B1">
        <w:rPr>
          <w:rFonts w:cs="David" w:hint="eastAsia"/>
          <w:rtl/>
        </w:rPr>
        <w:t>מעט</w:t>
      </w:r>
      <w:r w:rsidRPr="007D06B1">
        <w:rPr>
          <w:rFonts w:cs="David"/>
          <w:rtl/>
        </w:rPr>
        <w:t xml:space="preserve"> </w:t>
      </w:r>
      <w:r w:rsidRPr="007D06B1">
        <w:rPr>
          <w:rFonts w:cs="David" w:hint="eastAsia"/>
          <w:rtl/>
        </w:rPr>
        <w:t>מאוד</w:t>
      </w:r>
      <w:r w:rsidRPr="007D06B1">
        <w:rPr>
          <w:rFonts w:cs="David"/>
          <w:rtl/>
        </w:rPr>
        <w:t xml:space="preserve"> </w:t>
      </w:r>
      <w:r w:rsidRPr="007D06B1">
        <w:rPr>
          <w:rFonts w:cs="David" w:hint="eastAsia"/>
          <w:rtl/>
        </w:rPr>
        <w:t>ביטויים</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פני</w:t>
      </w:r>
      <w:r w:rsidRPr="007D06B1">
        <w:rPr>
          <w:rFonts w:cs="David"/>
          <w:rtl/>
        </w:rPr>
        <w:t xml:space="preserve"> </w:t>
      </w:r>
      <w:r w:rsidRPr="007D06B1">
        <w:rPr>
          <w:rFonts w:cs="David" w:hint="eastAsia"/>
          <w:rtl/>
        </w:rPr>
        <w:t>השטח</w:t>
      </w:r>
      <w:r w:rsidRPr="007D06B1">
        <w:rPr>
          <w:rFonts w:cs="David"/>
          <w:rtl/>
        </w:rPr>
        <w:t xml:space="preserve">. </w:t>
      </w:r>
      <w:r w:rsidRPr="007D06B1">
        <w:rPr>
          <w:rFonts w:cs="David" w:hint="eastAsia"/>
          <w:rtl/>
        </w:rPr>
        <w:t>מרוץ</w:t>
      </w:r>
      <w:r w:rsidRPr="007D06B1">
        <w:rPr>
          <w:rFonts w:cs="David"/>
          <w:rtl/>
        </w:rPr>
        <w:t xml:space="preserve"> </w:t>
      </w:r>
      <w:r w:rsidRPr="007D06B1">
        <w:rPr>
          <w:rFonts w:cs="David" w:hint="eastAsia"/>
          <w:rtl/>
        </w:rPr>
        <w:t>החימוש</w:t>
      </w:r>
      <w:r w:rsidRPr="007D06B1">
        <w:rPr>
          <w:rFonts w:cs="David"/>
          <w:rtl/>
        </w:rPr>
        <w:t xml:space="preserve"> </w:t>
      </w:r>
      <w:r w:rsidRPr="007D06B1">
        <w:rPr>
          <w:rFonts w:cs="David" w:hint="eastAsia"/>
          <w:rtl/>
        </w:rPr>
        <w:t>המשיך</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אף</w:t>
      </w:r>
      <w:r w:rsidRPr="007D06B1">
        <w:rPr>
          <w:rFonts w:cs="David"/>
          <w:rtl/>
        </w:rPr>
        <w:t xml:space="preserve"> </w:t>
      </w:r>
      <w:r w:rsidRPr="007D06B1">
        <w:rPr>
          <w:rFonts w:cs="David" w:hint="eastAsia"/>
          <w:rtl/>
        </w:rPr>
        <w:t>הסכמי</w:t>
      </w:r>
      <w:r w:rsidRPr="007D06B1">
        <w:rPr>
          <w:rFonts w:cs="David"/>
          <w:rtl/>
        </w:rPr>
        <w:t xml:space="preserve"> </w:t>
      </w:r>
      <w:proofErr w:type="spellStart"/>
      <w:r w:rsidRPr="007D06B1">
        <w:rPr>
          <w:rFonts w:cs="David" w:hint="eastAsia"/>
          <w:rtl/>
        </w:rPr>
        <w:t>סאל</w:t>
      </w:r>
      <w:r w:rsidRPr="007D06B1">
        <w:rPr>
          <w:rFonts w:cs="David"/>
          <w:rtl/>
        </w:rPr>
        <w:t>"</w:t>
      </w:r>
      <w:r w:rsidRPr="007D06B1">
        <w:rPr>
          <w:rFonts w:cs="David" w:hint="eastAsia"/>
          <w:rtl/>
        </w:rPr>
        <w:t>ט</w:t>
      </w:r>
      <w:proofErr w:type="spellEnd"/>
      <w:r w:rsidRPr="007D06B1">
        <w:rPr>
          <w:rFonts w:cs="David"/>
          <w:rtl/>
        </w:rPr>
        <w:t xml:space="preserve"> </w:t>
      </w:r>
      <w:r w:rsidRPr="007D06B1">
        <w:rPr>
          <w:rFonts w:cs="David" w:hint="eastAsia"/>
          <w:rtl/>
        </w:rPr>
        <w:t>שנחתמו</w:t>
      </w:r>
      <w:r w:rsidRPr="007D06B1">
        <w:rPr>
          <w:rFonts w:cs="David"/>
          <w:rtl/>
        </w:rPr>
        <w:t xml:space="preserve">, </w:t>
      </w:r>
      <w:r w:rsidRPr="007D06B1">
        <w:rPr>
          <w:rFonts w:cs="David" w:hint="eastAsia"/>
          <w:rtl/>
        </w:rPr>
        <w:t>וברית</w:t>
      </w:r>
      <w:r w:rsidRPr="007D06B1">
        <w:rPr>
          <w:rFonts w:cs="David"/>
          <w:rtl/>
        </w:rPr>
        <w:t xml:space="preserve"> </w:t>
      </w:r>
      <w:r w:rsidRPr="007D06B1">
        <w:rPr>
          <w:rFonts w:cs="David" w:hint="eastAsia"/>
          <w:rtl/>
        </w:rPr>
        <w:t>המועצות</w:t>
      </w:r>
      <w:r w:rsidRPr="007D06B1">
        <w:rPr>
          <w:rFonts w:cs="David"/>
          <w:rtl/>
        </w:rPr>
        <w:t xml:space="preserve"> </w:t>
      </w:r>
      <w:r w:rsidRPr="007D06B1">
        <w:rPr>
          <w:rFonts w:cs="David" w:hint="eastAsia"/>
          <w:rtl/>
        </w:rPr>
        <w:t>וארצות</w:t>
      </w:r>
      <w:r w:rsidRPr="007D06B1">
        <w:rPr>
          <w:rtl/>
        </w:rPr>
        <w:t xml:space="preserve"> </w:t>
      </w:r>
      <w:r w:rsidRPr="007D06B1">
        <w:rPr>
          <w:rFonts w:cs="David" w:hint="eastAsia"/>
          <w:rtl/>
        </w:rPr>
        <w:t>הברית</w:t>
      </w:r>
      <w:r w:rsidRPr="007D06B1">
        <w:rPr>
          <w:rFonts w:cs="David"/>
          <w:rtl/>
        </w:rPr>
        <w:t xml:space="preserve"> </w:t>
      </w:r>
      <w:r w:rsidRPr="007D06B1">
        <w:rPr>
          <w:rFonts w:cs="David" w:hint="eastAsia"/>
          <w:rtl/>
        </w:rPr>
        <w:t>עדיין</w:t>
      </w:r>
      <w:r w:rsidRPr="007D06B1">
        <w:rPr>
          <w:rFonts w:cs="David"/>
          <w:rtl/>
        </w:rPr>
        <w:t xml:space="preserve"> </w:t>
      </w:r>
      <w:r w:rsidRPr="007D06B1">
        <w:rPr>
          <w:rFonts w:cs="David" w:hint="eastAsia"/>
          <w:rtl/>
        </w:rPr>
        <w:t>המשיכו</w:t>
      </w:r>
      <w:r w:rsidRPr="007D06B1">
        <w:rPr>
          <w:rFonts w:cs="David"/>
          <w:rtl/>
        </w:rPr>
        <w:t xml:space="preserve"> </w:t>
      </w:r>
      <w:r w:rsidRPr="007D06B1">
        <w:rPr>
          <w:rFonts w:cs="David" w:hint="eastAsia"/>
          <w:rtl/>
        </w:rPr>
        <w:t>במגמות</w:t>
      </w:r>
      <w:r w:rsidRPr="007D06B1">
        <w:rPr>
          <w:rFonts w:cs="David"/>
          <w:rtl/>
        </w:rPr>
        <w:t xml:space="preserve"> </w:t>
      </w:r>
      <w:r w:rsidRPr="007D06B1">
        <w:rPr>
          <w:rFonts w:cs="David" w:hint="eastAsia"/>
          <w:rtl/>
        </w:rPr>
        <w:t>ההתרחבות</w:t>
      </w:r>
      <w:r w:rsidRPr="007D06B1">
        <w:rPr>
          <w:rFonts w:cs="David"/>
          <w:rtl/>
        </w:rPr>
        <w:t xml:space="preserve"> </w:t>
      </w:r>
      <w:r w:rsidRPr="007D06B1">
        <w:rPr>
          <w:rFonts w:cs="David" w:hint="eastAsia"/>
          <w:rtl/>
        </w:rPr>
        <w:t>שלהן</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אדריכלי</w:t>
      </w:r>
      <w:r w:rsidRPr="007D06B1">
        <w:rPr>
          <w:rFonts w:cs="David"/>
          <w:rtl/>
        </w:rPr>
        <w:t xml:space="preserve"> </w:t>
      </w:r>
      <w:proofErr w:type="spellStart"/>
      <w:r w:rsidRPr="007D06B1">
        <w:rPr>
          <w:rFonts w:cs="David" w:hint="eastAsia"/>
          <w:rtl/>
        </w:rPr>
        <w:t>הדטאנט</w:t>
      </w:r>
      <w:proofErr w:type="spellEnd"/>
      <w:r w:rsidRPr="007D06B1">
        <w:rPr>
          <w:rFonts w:cs="David"/>
          <w:rtl/>
        </w:rPr>
        <w:t xml:space="preserve"> </w:t>
      </w:r>
      <w:r w:rsidRPr="007D06B1">
        <w:rPr>
          <w:rFonts w:cs="David" w:hint="eastAsia"/>
          <w:rtl/>
        </w:rPr>
        <w:t>היו</w:t>
      </w:r>
      <w:r w:rsidRPr="007D06B1">
        <w:rPr>
          <w:rFonts w:cs="David"/>
          <w:rtl/>
        </w:rPr>
        <w:t xml:space="preserve"> </w:t>
      </w:r>
      <w:proofErr w:type="spellStart"/>
      <w:r w:rsidRPr="007D06B1">
        <w:rPr>
          <w:rFonts w:cs="David" w:hint="eastAsia"/>
          <w:rtl/>
        </w:rPr>
        <w:t>ליאוניד</w:t>
      </w:r>
      <w:proofErr w:type="spellEnd"/>
      <w:r w:rsidRPr="007D06B1">
        <w:rPr>
          <w:rFonts w:cs="David"/>
          <w:rtl/>
        </w:rPr>
        <w:t xml:space="preserve"> </w:t>
      </w:r>
      <w:proofErr w:type="spellStart"/>
      <w:r w:rsidRPr="007D06B1">
        <w:rPr>
          <w:rFonts w:cs="David" w:hint="eastAsia"/>
          <w:rtl/>
        </w:rPr>
        <w:t>ברז</w:t>
      </w:r>
      <w:r w:rsidRPr="007D06B1">
        <w:rPr>
          <w:rFonts w:cs="David"/>
          <w:rtl/>
        </w:rPr>
        <w:t>'</w:t>
      </w:r>
      <w:r w:rsidRPr="007D06B1">
        <w:rPr>
          <w:rFonts w:cs="David" w:hint="eastAsia"/>
          <w:rtl/>
        </w:rPr>
        <w:t>נייב</w:t>
      </w:r>
      <w:proofErr w:type="spellEnd"/>
      <w:r w:rsidRPr="007D06B1">
        <w:rPr>
          <w:rFonts w:cs="David"/>
          <w:rtl/>
        </w:rPr>
        <w:t xml:space="preserve">, </w:t>
      </w:r>
      <w:r w:rsidRPr="007D06B1">
        <w:rPr>
          <w:rFonts w:cs="David" w:hint="eastAsia"/>
          <w:rtl/>
        </w:rPr>
        <w:t>מנהיג</w:t>
      </w:r>
      <w:r w:rsidRPr="007D06B1">
        <w:rPr>
          <w:rFonts w:cs="David"/>
          <w:rtl/>
        </w:rPr>
        <w:t xml:space="preserve"> </w:t>
      </w:r>
      <w:r w:rsidRPr="007D06B1">
        <w:rPr>
          <w:rFonts w:cs="David" w:hint="eastAsia"/>
          <w:rtl/>
        </w:rPr>
        <w:t>ברית</w:t>
      </w:r>
      <w:r w:rsidRPr="007D06B1">
        <w:rPr>
          <w:rFonts w:cs="David"/>
          <w:rtl/>
        </w:rPr>
        <w:t xml:space="preserve"> </w:t>
      </w:r>
      <w:r w:rsidRPr="007D06B1">
        <w:rPr>
          <w:rFonts w:cs="David" w:hint="eastAsia"/>
          <w:rtl/>
        </w:rPr>
        <w:t>המועצות</w:t>
      </w:r>
      <w:r w:rsidRPr="007D06B1">
        <w:rPr>
          <w:rFonts w:cs="David"/>
          <w:rtl/>
        </w:rPr>
        <w:t xml:space="preserve">, </w:t>
      </w:r>
      <w:r w:rsidRPr="007D06B1">
        <w:rPr>
          <w:rFonts w:cs="David" w:hint="eastAsia"/>
          <w:rtl/>
        </w:rPr>
        <w:t>וריצ</w:t>
      </w:r>
      <w:r w:rsidRPr="007D06B1">
        <w:rPr>
          <w:rFonts w:cs="David"/>
          <w:rtl/>
        </w:rPr>
        <w:t>'</w:t>
      </w:r>
      <w:r w:rsidRPr="007D06B1">
        <w:rPr>
          <w:rFonts w:cs="David" w:hint="eastAsia"/>
          <w:rtl/>
        </w:rPr>
        <w:t>רד</w:t>
      </w:r>
      <w:r w:rsidRPr="007D06B1">
        <w:rPr>
          <w:rFonts w:cs="David"/>
          <w:rtl/>
        </w:rPr>
        <w:t xml:space="preserve"> </w:t>
      </w:r>
      <w:r w:rsidRPr="007D06B1">
        <w:rPr>
          <w:rFonts w:cs="David" w:hint="eastAsia"/>
          <w:rtl/>
        </w:rPr>
        <w:t>ניקסון</w:t>
      </w:r>
      <w:r w:rsidRPr="007D06B1">
        <w:rPr>
          <w:rFonts w:cs="David"/>
          <w:rtl/>
        </w:rPr>
        <w:t xml:space="preserve">, </w:t>
      </w:r>
      <w:r w:rsidRPr="007D06B1">
        <w:rPr>
          <w:rFonts w:cs="David" w:hint="eastAsia"/>
          <w:rtl/>
        </w:rPr>
        <w:t>נשיא</w:t>
      </w:r>
      <w:r w:rsidRPr="007D06B1">
        <w:rPr>
          <w:rFonts w:cs="David"/>
          <w:rtl/>
        </w:rPr>
        <w:t xml:space="preserve"> </w:t>
      </w:r>
      <w:r w:rsidRPr="007D06B1">
        <w:rPr>
          <w:rFonts w:cs="David" w:hint="eastAsia"/>
          <w:rtl/>
        </w:rPr>
        <w:t>ארצות</w:t>
      </w:r>
      <w:r w:rsidRPr="007D06B1">
        <w:rPr>
          <w:rFonts w:cs="David"/>
          <w:rtl/>
        </w:rPr>
        <w:t xml:space="preserve"> </w:t>
      </w:r>
      <w:r w:rsidRPr="007D06B1">
        <w:rPr>
          <w:rFonts w:cs="David" w:hint="eastAsia"/>
          <w:rtl/>
        </w:rPr>
        <w:t>הברית</w:t>
      </w:r>
      <w:r w:rsidRPr="007D06B1">
        <w:rPr>
          <w:rFonts w:cs="David"/>
          <w:rtl/>
        </w:rPr>
        <w:t>.</w:t>
      </w:r>
    </w:p>
  </w:footnote>
  <w:footnote w:id="28">
    <w:p w14:paraId="748CCBAC" w14:textId="77777777" w:rsidR="002333C1" w:rsidRPr="007D06B1" w:rsidRDefault="002333C1">
      <w:pPr>
        <w:pStyle w:val="FootnoteText"/>
        <w:jc w:val="both"/>
        <w:rPr>
          <w:rtl/>
        </w:rPr>
        <w:pPrChange w:id="83" w:author="Author">
          <w:pPr>
            <w:pStyle w:val="FootnoteText"/>
            <w:bidi w:val="0"/>
            <w:jc w:val="both"/>
          </w:pPr>
        </w:pPrChange>
      </w:pPr>
      <w:r w:rsidRPr="00D5325A">
        <w:rPr>
          <w:rStyle w:val="FootnoteReference"/>
        </w:rPr>
        <w:footnoteRef/>
      </w:r>
      <w:r w:rsidRPr="00D5325A">
        <w:rPr>
          <w:rtl/>
        </w:rPr>
        <w:t xml:space="preserve"> </w:t>
      </w:r>
      <w:r w:rsidRPr="00D5325A">
        <w:rPr>
          <w:rFonts w:cs="David" w:hint="cs"/>
          <w:b/>
          <w:bCs/>
          <w:rtl/>
        </w:rPr>
        <w:t>הסכמי הלסינקי</w:t>
      </w:r>
      <w:r w:rsidRPr="00DA450B">
        <w:rPr>
          <w:rFonts w:cs="David" w:hint="cs"/>
          <w:rtl/>
        </w:rPr>
        <w:t xml:space="preserve"> הם תוצר של ועידה שהתקיימה בהלסינקי </w:t>
      </w:r>
      <w:r w:rsidRPr="007D06B1">
        <w:rPr>
          <w:rFonts w:cs="David" w:hint="eastAsia"/>
          <w:rtl/>
        </w:rPr>
        <w:t>בשנת</w:t>
      </w:r>
      <w:r w:rsidRPr="007D06B1">
        <w:rPr>
          <w:rFonts w:cs="David"/>
          <w:rtl/>
        </w:rPr>
        <w:t xml:space="preserve"> 1975 ועסקה בביטחון אירופה. בוועידה זו, בהנחיית הנרי קיסינג'ר והלמוט </w:t>
      </w:r>
      <w:proofErr w:type="spellStart"/>
      <w:r w:rsidRPr="007D06B1">
        <w:rPr>
          <w:rFonts w:cs="David"/>
          <w:rtl/>
        </w:rPr>
        <w:t>סוננפלד</w:t>
      </w:r>
      <w:proofErr w:type="spellEnd"/>
      <w:r w:rsidRPr="007D06B1">
        <w:rPr>
          <w:rFonts w:cs="David"/>
          <w:rtl/>
        </w:rPr>
        <w:t xml:space="preserve">, הציעו מדינות אירופה לברית המועצות עסקה שכללה הכרה בגבולות אירופה וצעדים בוני אמון בתחום הביטחון. </w:t>
      </w:r>
      <w:r w:rsidRPr="007D06B1">
        <w:rPr>
          <w:rFonts w:cs="David"/>
          <w:rtl/>
        </w:rPr>
        <w:t>ההסכם שנחתם</w:t>
      </w:r>
      <w:r w:rsidRPr="007D06B1">
        <w:rPr>
          <w:rFonts w:ascii="Arial" w:hAnsi="Arial" w:cs="Arial"/>
          <w:color w:val="202122"/>
          <w:sz w:val="21"/>
          <w:szCs w:val="21"/>
          <w:shd w:val="clear" w:color="auto" w:fill="FFFFFF"/>
          <w:rtl/>
        </w:rPr>
        <w:t xml:space="preserve"> </w:t>
      </w:r>
      <w:r w:rsidRPr="007D06B1">
        <w:rPr>
          <w:rFonts w:cs="David"/>
          <w:rtl/>
        </w:rPr>
        <w:t>באוגוסט של אותה שנה היה הסכם הצהרתי שיצר את </w:t>
      </w:r>
      <w:r w:rsidRPr="00D5325A">
        <w:rPr>
          <w:rFonts w:cstheme="minorBidi"/>
        </w:rPr>
        <w:fldChar w:fldCharType="begin"/>
      </w:r>
      <w:r w:rsidRPr="007D06B1">
        <w:instrText xml:space="preserve"> HYPERLINK "https://he.wikipedia.org/wiki/%D7%94%D7%90%D7%A8%D7%92%D7%95%D7%9F_%D7%9C%D7%91%D7%99%D7%98%D7%97%D7%95%D7%9F_%D7%95%D7%9C%D7%A9%D7%99%D7%AA%D7%95%D7%A3_%D7%A4%D7%A2%D7%95%D7%9C%D7%94_%D7%91%D7%90%D7%99%D7%A8%D7%95%D7%A4%D7%94" \o "</w:instrText>
      </w:r>
      <w:r w:rsidRPr="007D06B1">
        <w:rPr>
          <w:rtl/>
        </w:rPr>
        <w:instrText>הארגון לביטחון ולשיתוף פעולה באירופה</w:instrText>
      </w:r>
      <w:r w:rsidRPr="007D06B1">
        <w:instrText xml:space="preserve">" </w:instrText>
      </w:r>
      <w:r w:rsidRPr="00D5325A">
        <w:rPr>
          <w:rFonts w:cstheme="minorBidi"/>
          <w:rPrChange w:id="84" w:author="Author">
            <w:rPr>
              <w:rFonts w:cs="David"/>
            </w:rPr>
          </w:rPrChange>
        </w:rPr>
        <w:fldChar w:fldCharType="separate"/>
      </w:r>
      <w:r w:rsidRPr="00D5325A">
        <w:rPr>
          <w:rFonts w:cs="David"/>
          <w:rtl/>
        </w:rPr>
        <w:t>הארגון לביטחון ולשיתוף פעולה באירופה</w:t>
      </w:r>
      <w:r w:rsidRPr="00D5325A">
        <w:rPr>
          <w:rFonts w:cs="David"/>
        </w:rPr>
        <w:fldChar w:fldCharType="end"/>
      </w:r>
      <w:r w:rsidRPr="00D5325A">
        <w:rPr>
          <w:rFonts w:cs="David"/>
        </w:rPr>
        <w:t xml:space="preserve"> (OSCE) </w:t>
      </w:r>
      <w:r w:rsidRPr="00D5325A">
        <w:rPr>
          <w:rFonts w:cs="David"/>
          <w:rtl/>
        </w:rPr>
        <w:t xml:space="preserve">והיווה נקודת ציון ומפנה חשוב במאבק </w:t>
      </w:r>
      <w:r w:rsidRPr="00DA450B">
        <w:rPr>
          <w:rFonts w:cs="David"/>
          <w:rtl/>
        </w:rPr>
        <w:t>העולמי למען זכויות מיעוטים במדינות דיקטטוריות, וכן ייצג תפנית חשובה עבור </w:t>
      </w:r>
      <w:r w:rsidRPr="00D5325A">
        <w:rPr>
          <w:rFonts w:cstheme="minorBidi"/>
        </w:rPr>
        <w:fldChar w:fldCharType="begin"/>
      </w:r>
      <w:r w:rsidRPr="007D06B1">
        <w:instrText xml:space="preserve"> HYPERLINK "https://he.wikipedia.org/wiki/%D7%99%D7%94%D7%93%D7%95%D7%AA_%D7%91%D7%A8%D7%99%D7%AA_%D7%94%D7%9E%D7%95%D7%A2%D7%A6%D7%95%D7%AA" \o "</w:instrText>
      </w:r>
      <w:r w:rsidRPr="007D06B1">
        <w:rPr>
          <w:rtl/>
        </w:rPr>
        <w:instrText>יהדות ברית המועצות</w:instrText>
      </w:r>
      <w:r w:rsidRPr="007D06B1">
        <w:instrText xml:space="preserve">" </w:instrText>
      </w:r>
      <w:r w:rsidRPr="00D5325A">
        <w:rPr>
          <w:rFonts w:cstheme="minorBidi"/>
          <w:rPrChange w:id="85" w:author="Author">
            <w:rPr>
              <w:rFonts w:cs="David"/>
            </w:rPr>
          </w:rPrChange>
        </w:rPr>
        <w:fldChar w:fldCharType="separate"/>
      </w:r>
      <w:r w:rsidRPr="00D5325A">
        <w:rPr>
          <w:rFonts w:cs="David"/>
          <w:rtl/>
        </w:rPr>
        <w:t>יהדות ברית המועצו</w:t>
      </w:r>
      <w:r w:rsidRPr="00DA450B">
        <w:rPr>
          <w:rFonts w:cs="David"/>
          <w:rtl/>
        </w:rPr>
        <w:t>ת</w:t>
      </w:r>
      <w:r w:rsidRPr="00D5325A">
        <w:rPr>
          <w:rFonts w:cs="David"/>
        </w:rPr>
        <w:fldChar w:fldCharType="end"/>
      </w:r>
      <w:r w:rsidRPr="00D5325A">
        <w:rPr>
          <w:rFonts w:cs="David"/>
        </w:rPr>
        <w:t>.</w:t>
      </w:r>
      <w:r w:rsidRPr="00D5325A">
        <w:rPr>
          <w:rFonts w:cs="David" w:hint="cs"/>
          <w:rtl/>
        </w:rPr>
        <w:t xml:space="preserve"> </w:t>
      </w:r>
      <w:r w:rsidRPr="00DA450B">
        <w:rPr>
          <w:rFonts w:cs="David"/>
          <w:rtl/>
        </w:rPr>
        <w:t>החתומים על ההסכם הסכימו להכיר בגבולות אירופה ו</w:t>
      </w:r>
      <w:r w:rsidRPr="00D5325A">
        <w:rPr>
          <w:rFonts w:cstheme="minorBidi"/>
        </w:rPr>
        <w:fldChar w:fldCharType="begin"/>
      </w:r>
      <w:r w:rsidRPr="007D06B1">
        <w:instrText xml:space="preserve"> HYPERLINK "https://he.wikipedia.org/wiki/%D7%94%D7%9E%D7%96%D7%A8%D7%97_%D7%94%D7%AA%D7%99%D7%9B%D7%95%D7%9F" \o "</w:instrText>
      </w:r>
      <w:r w:rsidRPr="007D06B1">
        <w:rPr>
          <w:rtl/>
        </w:rPr>
        <w:instrText>המזרח התיכון</w:instrText>
      </w:r>
      <w:r w:rsidRPr="007D06B1">
        <w:instrText xml:space="preserve">" </w:instrText>
      </w:r>
      <w:r w:rsidRPr="00D5325A">
        <w:rPr>
          <w:rFonts w:cstheme="minorBidi"/>
          <w:rPrChange w:id="86" w:author="Author">
            <w:rPr>
              <w:rFonts w:cs="David"/>
            </w:rPr>
          </w:rPrChange>
        </w:rPr>
        <w:fldChar w:fldCharType="separate"/>
      </w:r>
      <w:r w:rsidRPr="00D5325A">
        <w:rPr>
          <w:rFonts w:cs="David"/>
          <w:rtl/>
        </w:rPr>
        <w:t>המזרח התיכון</w:t>
      </w:r>
      <w:r w:rsidRPr="00D5325A">
        <w:rPr>
          <w:rFonts w:cs="David"/>
        </w:rPr>
        <w:fldChar w:fldCharType="end"/>
      </w:r>
      <w:r w:rsidRPr="00D5325A">
        <w:rPr>
          <w:rFonts w:cs="David"/>
        </w:rPr>
        <w:t> </w:t>
      </w:r>
      <w:r w:rsidRPr="00D5325A">
        <w:rPr>
          <w:rFonts w:cs="David"/>
          <w:rtl/>
        </w:rPr>
        <w:t>והבטיחו שיתוף פעולה כלכלי עתי</w:t>
      </w:r>
      <w:r w:rsidRPr="00DA450B">
        <w:rPr>
          <w:rFonts w:cs="David" w:hint="cs"/>
          <w:rtl/>
        </w:rPr>
        <w:t xml:space="preserve">די. </w:t>
      </w:r>
      <w:r w:rsidRPr="007D06B1">
        <w:rPr>
          <w:rFonts w:ascii="Arial" w:hAnsi="Arial" w:cs="Arial"/>
          <w:color w:val="202122"/>
          <w:sz w:val="21"/>
          <w:szCs w:val="21"/>
          <w:shd w:val="clear" w:color="auto" w:fill="FFFFFF"/>
        </w:rPr>
        <w:t> </w:t>
      </w:r>
    </w:p>
  </w:footnote>
  <w:footnote w:id="29">
    <w:p w14:paraId="748CCBAD" w14:textId="65093C5A" w:rsidR="002333C1" w:rsidRPr="00D5325A" w:rsidRDefault="002333C1">
      <w:pPr>
        <w:pStyle w:val="FootnoteText"/>
        <w:pPrChange w:id="88" w:author="Author">
          <w:pPr>
            <w:pStyle w:val="FootnoteText"/>
            <w:bidi w:val="0"/>
          </w:pPr>
        </w:pPrChange>
      </w:pPr>
      <w:r w:rsidRPr="00D5325A">
        <w:rPr>
          <w:rStyle w:val="FootnoteReference"/>
        </w:rPr>
        <w:footnoteRef/>
      </w:r>
      <w:r w:rsidRPr="00D5325A">
        <w:rPr>
          <w:rtl/>
        </w:rPr>
        <w:t xml:space="preserve"> </w:t>
      </w:r>
      <w:ins w:id="89" w:author="Author">
        <w:r w:rsidRPr="00D5325A">
          <w:rPr>
            <w:rFonts w:asciiTheme="majorBidi" w:hAnsiTheme="majorBidi" w:cstheme="majorBidi"/>
            <w:smallCaps/>
          </w:rPr>
          <w:t>Posner,</w:t>
        </w:r>
        <w:r w:rsidRPr="00DA450B">
          <w:rPr>
            <w:rFonts w:asciiTheme="majorBidi" w:hAnsiTheme="majorBidi" w:cstheme="majorBidi"/>
            <w:smallCaps/>
          </w:rPr>
          <w:t xml:space="preserve"> </w:t>
        </w:r>
        <w:r w:rsidRPr="007D06B1">
          <w:rPr>
            <w:rFonts w:asciiTheme="majorBidi" w:hAnsiTheme="majorBidi" w:cstheme="majorBidi"/>
            <w:smallCaps/>
          </w:rPr>
          <w:t>Twilight of Human Rights Law</w:t>
        </w:r>
      </w:ins>
      <w:del w:id="90" w:author="Author">
        <w:r w:rsidRPr="003918B1" w:rsidDel="00335ED8">
          <w:rPr>
            <w:rFonts w:cs="David"/>
            <w:rPrChange w:id="91" w:author="Author">
              <w:rPr>
                <w:rFonts w:cs="David"/>
                <w:highlight w:val="cyan"/>
              </w:rPr>
            </w:rPrChange>
          </w:rPr>
          <w:delText>The Twilight of Human Rights Law</w:delText>
        </w:r>
      </w:del>
      <w:r w:rsidRPr="003918B1">
        <w:rPr>
          <w:rFonts w:cs="David"/>
          <w:rtl/>
          <w:rPrChange w:id="92" w:author="Author">
            <w:rPr>
              <w:rFonts w:cs="David"/>
              <w:highlight w:val="cyan"/>
              <w:rtl/>
            </w:rPr>
          </w:rPrChange>
        </w:rPr>
        <w:t xml:space="preserve">, </w:t>
      </w:r>
      <w:r w:rsidRPr="003918B1">
        <w:rPr>
          <w:rFonts w:cs="David" w:hint="eastAsia"/>
          <w:rtl/>
          <w:rPrChange w:id="93" w:author="Author">
            <w:rPr>
              <w:rFonts w:cs="David" w:hint="eastAsia"/>
              <w:highlight w:val="cyan"/>
              <w:rtl/>
            </w:rPr>
          </w:rPrChange>
        </w:rPr>
        <w:t>ראה</w:t>
      </w:r>
      <w:r w:rsidRPr="003918B1">
        <w:rPr>
          <w:rFonts w:cs="David"/>
          <w:rtl/>
          <w:rPrChange w:id="94" w:author="Author">
            <w:rPr>
              <w:rFonts w:cs="David"/>
              <w:highlight w:val="cyan"/>
              <w:rtl/>
            </w:rPr>
          </w:rPrChange>
        </w:rPr>
        <w:t xml:space="preserve"> </w:t>
      </w:r>
      <w:r w:rsidRPr="003918B1">
        <w:rPr>
          <w:rFonts w:cs="David" w:hint="eastAsia"/>
          <w:rtl/>
          <w:rPrChange w:id="95" w:author="Author">
            <w:rPr>
              <w:rFonts w:cs="David" w:hint="eastAsia"/>
              <w:highlight w:val="cyan"/>
              <w:rtl/>
            </w:rPr>
          </w:rPrChange>
        </w:rPr>
        <w:t>לעיל</w:t>
      </w:r>
      <w:r w:rsidRPr="003918B1">
        <w:rPr>
          <w:rFonts w:cs="David"/>
          <w:rtl/>
          <w:rPrChange w:id="96" w:author="Author">
            <w:rPr>
              <w:rFonts w:cs="David"/>
              <w:highlight w:val="cyan"/>
              <w:rtl/>
            </w:rPr>
          </w:rPrChange>
        </w:rPr>
        <w:t xml:space="preserve"> </w:t>
      </w:r>
      <w:proofErr w:type="spellStart"/>
      <w:r w:rsidRPr="003918B1">
        <w:rPr>
          <w:rFonts w:cs="David" w:hint="eastAsia"/>
          <w:rtl/>
          <w:rPrChange w:id="97" w:author="Author">
            <w:rPr>
              <w:rFonts w:cs="David" w:hint="eastAsia"/>
              <w:highlight w:val="cyan"/>
              <w:rtl/>
            </w:rPr>
          </w:rPrChange>
        </w:rPr>
        <w:t>ה</w:t>
      </w:r>
      <w:r w:rsidRPr="003918B1">
        <w:rPr>
          <w:rFonts w:cs="David"/>
          <w:rtl/>
          <w:rPrChange w:id="98" w:author="Author">
            <w:rPr>
              <w:rFonts w:cs="David"/>
              <w:highlight w:val="cyan"/>
              <w:rtl/>
            </w:rPr>
          </w:rPrChange>
        </w:rPr>
        <w:t>"ש</w:t>
      </w:r>
      <w:proofErr w:type="spellEnd"/>
      <w:r w:rsidRPr="003918B1">
        <w:rPr>
          <w:rFonts w:cs="David"/>
          <w:rtl/>
          <w:rPrChange w:id="99" w:author="Author">
            <w:rPr>
              <w:rFonts w:cs="David"/>
              <w:highlight w:val="cyan"/>
              <w:rtl/>
            </w:rPr>
          </w:rPrChange>
        </w:rPr>
        <w:t xml:space="preserve"> 17, </w:t>
      </w:r>
      <w:r w:rsidRPr="003918B1">
        <w:rPr>
          <w:rFonts w:cs="David" w:hint="eastAsia"/>
          <w:rtl/>
          <w:rPrChange w:id="100" w:author="Author">
            <w:rPr>
              <w:rFonts w:cs="David" w:hint="eastAsia"/>
              <w:highlight w:val="cyan"/>
              <w:rtl/>
            </w:rPr>
          </w:rPrChange>
        </w:rPr>
        <w:t>בעמ</w:t>
      </w:r>
      <w:r w:rsidRPr="003918B1">
        <w:rPr>
          <w:rFonts w:cs="David"/>
          <w:rtl/>
          <w:rPrChange w:id="101" w:author="Author">
            <w:rPr>
              <w:rFonts w:cs="David"/>
              <w:highlight w:val="cyan"/>
              <w:rtl/>
            </w:rPr>
          </w:rPrChange>
        </w:rPr>
        <w:t>'</w:t>
      </w:r>
      <w:r w:rsidRPr="003918B1">
        <w:rPr>
          <w:rtl/>
          <w:rPrChange w:id="102" w:author="Author">
            <w:rPr>
              <w:highlight w:val="cyan"/>
              <w:rtl/>
            </w:rPr>
          </w:rPrChange>
        </w:rPr>
        <w:t xml:space="preserve"> 19.</w:t>
      </w:r>
      <w:del w:id="103" w:author="Author">
        <w:r w:rsidRPr="00D5325A" w:rsidDel="00B72B6F">
          <w:rPr>
            <w:rFonts w:hint="cs"/>
            <w:rtl/>
          </w:rPr>
          <w:delText xml:space="preserve"> </w:delText>
        </w:r>
      </w:del>
    </w:p>
  </w:footnote>
  <w:footnote w:id="30">
    <w:p w14:paraId="748CCBAE" w14:textId="72945567" w:rsidR="002333C1" w:rsidRPr="00DA450B" w:rsidRDefault="002333C1">
      <w:pPr>
        <w:pStyle w:val="FootnoteText"/>
        <w:rPr>
          <w:rtl/>
        </w:rPr>
        <w:pPrChange w:id="104" w:author="Author">
          <w:pPr>
            <w:pStyle w:val="FootnoteText"/>
            <w:bidi w:val="0"/>
          </w:pPr>
        </w:pPrChange>
      </w:pPr>
      <w:r w:rsidRPr="00D5325A">
        <w:rPr>
          <w:rStyle w:val="FootnoteReference"/>
        </w:rPr>
        <w:footnoteRef/>
      </w:r>
      <w:del w:id="105" w:author="Author">
        <w:r w:rsidRPr="00D5325A" w:rsidDel="00720BA8">
          <w:rPr>
            <w:rtl/>
          </w:rPr>
          <w:delText xml:space="preserve"> </w:delText>
        </w:r>
        <w:r w:rsidRPr="00D5325A" w:rsidDel="00720BA8">
          <w:rPr>
            <w:position w:val="-4"/>
          </w:rPr>
          <w:delText>A</w:delText>
        </w:r>
        <w:r w:rsidRPr="00DA450B" w:rsidDel="00720BA8">
          <w:rPr>
            <w:position w:val="-4"/>
          </w:rPr>
          <w:delText>/73/309</w:delText>
        </w:r>
      </w:del>
      <w:ins w:id="106" w:author="Author">
        <w:del w:id="107" w:author="Author">
          <w:r w:rsidDel="00720BA8">
            <w:rPr>
              <w:position w:val="-4"/>
            </w:rPr>
            <w:delText>.</w:delText>
          </w:r>
        </w:del>
        <w:r>
          <w:rPr>
            <w:position w:val="-4"/>
          </w:rPr>
          <w:t xml:space="preserve">UNGA, </w:t>
        </w:r>
        <w:r>
          <w:rPr>
            <w:i/>
            <w:iCs/>
            <w:position w:val="-4"/>
          </w:rPr>
          <w:t>Promotion and Protection of Human Rights: Implementation of Human Rights Instruments; S</w:t>
        </w:r>
        <w:r w:rsidRPr="003918B1">
          <w:rPr>
            <w:i/>
            <w:iCs/>
            <w:position w:val="-4"/>
            <w:rPrChange w:id="108" w:author="Author">
              <w:rPr>
                <w:position w:val="-4"/>
              </w:rPr>
            </w:rPrChange>
          </w:rPr>
          <w:t>tatus of the Human Rights Body Treaty</w:t>
        </w:r>
        <w:r>
          <w:rPr>
            <w:i/>
            <w:iCs/>
            <w:position w:val="-4"/>
          </w:rPr>
          <w:t xml:space="preserve">: Report of the Secretary </w:t>
        </w:r>
        <w:proofErr w:type="spellStart"/>
        <w:r>
          <w:rPr>
            <w:i/>
            <w:iCs/>
            <w:position w:val="-4"/>
          </w:rPr>
          <w:t>Genera</w:t>
        </w:r>
        <w:proofErr w:type="spellEnd"/>
        <w:del w:id="109" w:author="Author">
          <w:r w:rsidDel="00E5235E">
            <w:rPr>
              <w:i/>
              <w:iCs/>
              <w:position w:val="-4"/>
            </w:rPr>
            <w:delText>.</w:delText>
          </w:r>
        </w:del>
        <w:r>
          <w:rPr>
            <w:i/>
            <w:iCs/>
            <w:position w:val="-4"/>
          </w:rPr>
          <w:t xml:space="preserve">, </w:t>
        </w:r>
        <w:r>
          <w:rPr>
            <w:position w:val="-4"/>
          </w:rPr>
          <w:t>UNGAOR, 63</w:t>
        </w:r>
        <w:r w:rsidRPr="003918B1">
          <w:rPr>
            <w:position w:val="-4"/>
            <w:vertAlign w:val="superscript"/>
            <w:rPrChange w:id="110" w:author="Author">
              <w:rPr>
                <w:position w:val="-4"/>
              </w:rPr>
            </w:rPrChange>
          </w:rPr>
          <w:t>rd</w:t>
        </w:r>
        <w:r>
          <w:rPr>
            <w:position w:val="-4"/>
          </w:rPr>
          <w:t xml:space="preserve"> Session, UN Doc</w:t>
        </w:r>
        <w:r w:rsidR="00E5235E">
          <w:rPr>
            <w:position w:val="-4"/>
          </w:rPr>
          <w:t>.</w:t>
        </w:r>
        <w:r>
          <w:rPr>
            <w:position w:val="-4"/>
          </w:rPr>
          <w:t xml:space="preserve"> A73/309</w:t>
        </w:r>
        <w:del w:id="111" w:author="Author">
          <w:r w:rsidDel="00E5235E">
            <w:rPr>
              <w:position w:val="-4"/>
            </w:rPr>
            <w:delText>,</w:delText>
          </w:r>
        </w:del>
        <w:r>
          <w:rPr>
            <w:position w:val="-4"/>
          </w:rPr>
          <w:t xml:space="preserve"> (</w:t>
        </w:r>
        <w:del w:id="112" w:author="Author">
          <w:r w:rsidDel="00E5235E">
            <w:rPr>
              <w:position w:val="-4"/>
            </w:rPr>
            <w:delText xml:space="preserve">6 </w:delText>
          </w:r>
        </w:del>
        <w:r>
          <w:rPr>
            <w:position w:val="-4"/>
          </w:rPr>
          <w:t xml:space="preserve">August </w:t>
        </w:r>
        <w:r w:rsidR="00E5235E">
          <w:rPr>
            <w:position w:val="-4"/>
          </w:rPr>
          <w:t xml:space="preserve">6, </w:t>
        </w:r>
        <w:r>
          <w:rPr>
            <w:position w:val="-4"/>
          </w:rPr>
          <w:t xml:space="preserve">2018) </w:t>
        </w:r>
        <w:r>
          <w:rPr>
            <w:rFonts w:ascii="Calibri" w:hAnsi="Calibri" w:cs="Calibri"/>
            <w:position w:val="-4"/>
          </w:rPr>
          <w:fldChar w:fldCharType="begin"/>
        </w:r>
        <w:r w:rsidR="00DC79A2">
          <w:rPr>
            <w:rFonts w:ascii="Calibri" w:hAnsi="Calibri" w:cs="Calibri"/>
            <w:position w:val="-4"/>
          </w:rPr>
          <w:instrText>HYPERLINK "C:\\Users\\Susan\\Google Drive\\MANAGING EDITING\\2021\\MAY\\NETA MUALEM\\&lt; https:\\undocs.org\\A\\73\\309"</w:instrText>
        </w:r>
        <w:r>
          <w:rPr>
            <w:rFonts w:ascii="Calibri" w:hAnsi="Calibri" w:cs="Calibri"/>
            <w:position w:val="-4"/>
          </w:rPr>
          <w:fldChar w:fldCharType="separate"/>
        </w:r>
        <w:r w:rsidRPr="00D47400">
          <w:rPr>
            <w:rStyle w:val="Hyperlink"/>
            <w:rFonts w:ascii="Calibri" w:hAnsi="Calibri" w:cs="Calibri"/>
            <w:position w:val="-4"/>
          </w:rPr>
          <w:t>&lt;</w:t>
        </w:r>
        <w:r w:rsidRPr="00D47400">
          <w:rPr>
            <w:rStyle w:val="Hyperlink"/>
            <w:position w:val="-4"/>
          </w:rPr>
          <w:t xml:space="preserve"> https://undocs.org/A/73/309</w:t>
        </w:r>
        <w:r>
          <w:rPr>
            <w:rFonts w:ascii="Calibri" w:hAnsi="Calibri" w:cs="Calibri"/>
            <w:position w:val="-4"/>
          </w:rPr>
          <w:fldChar w:fldCharType="end"/>
        </w:r>
        <w:r>
          <w:rPr>
            <w:rFonts w:ascii="Calibri" w:hAnsi="Calibri" w:cs="Calibri"/>
            <w:position w:val="-4"/>
          </w:rPr>
          <w:t>&gt;</w:t>
        </w:r>
        <w:r>
          <w:rPr>
            <w:position w:val="-4"/>
          </w:rPr>
          <w:t xml:space="preserve"> </w:t>
        </w:r>
      </w:ins>
    </w:p>
  </w:footnote>
  <w:footnote w:id="31">
    <w:p w14:paraId="748CCBAF" w14:textId="5422B579" w:rsidR="002333C1" w:rsidRPr="00D5325A" w:rsidRDefault="002333C1">
      <w:pPr>
        <w:pStyle w:val="FootnoteText"/>
        <w:pPrChange w:id="113" w:author="Author">
          <w:pPr>
            <w:pStyle w:val="FootnoteText"/>
            <w:bidi w:val="0"/>
          </w:pPr>
        </w:pPrChange>
      </w:pPr>
      <w:r w:rsidRPr="00D5325A">
        <w:rPr>
          <w:rStyle w:val="FootnoteReference"/>
        </w:rPr>
        <w:footnoteRef/>
      </w:r>
      <w:r w:rsidRPr="00D5325A">
        <w:rPr>
          <w:rtl/>
        </w:rPr>
        <w:t xml:space="preserve"> </w:t>
      </w:r>
      <w:ins w:id="114" w:author="Author">
        <w:r w:rsidRPr="00D5325A">
          <w:rPr>
            <w:rFonts w:asciiTheme="majorBidi" w:hAnsiTheme="majorBidi" w:cstheme="majorBidi"/>
            <w:smallCaps/>
          </w:rPr>
          <w:t>Hel</w:t>
        </w:r>
        <w:r w:rsidRPr="00DA450B">
          <w:rPr>
            <w:rFonts w:asciiTheme="majorBidi" w:hAnsiTheme="majorBidi" w:cstheme="majorBidi"/>
            <w:smallCaps/>
          </w:rPr>
          <w:t>en Keller</w:t>
        </w:r>
        <w:r w:rsidRPr="007D06B1">
          <w:rPr>
            <w:rFonts w:asciiTheme="majorBidi" w:hAnsiTheme="majorBidi" w:cstheme="majorBidi"/>
            <w:smallCaps/>
          </w:rPr>
          <w:t>, UN Human Rights Treaty Bodies</w:t>
        </w:r>
        <w:del w:id="115" w:author="Author">
          <w:r w:rsidRPr="007D06B1" w:rsidDel="00BC0044">
            <w:rPr>
              <w:rFonts w:asciiTheme="majorBidi" w:hAnsiTheme="majorBidi" w:cstheme="majorBidi"/>
              <w:smallCaps/>
            </w:rPr>
            <w:delText xml:space="preserve"> </w:delText>
          </w:r>
        </w:del>
        <w:r w:rsidRPr="007D06B1">
          <w:rPr>
            <w:rFonts w:asciiTheme="majorBidi" w:hAnsiTheme="majorBidi" w:cstheme="majorBidi"/>
          </w:rPr>
          <w:t>, 73</w:t>
        </w:r>
        <w:r w:rsidRPr="007D06B1">
          <w:rPr>
            <w:rFonts w:asciiTheme="majorBidi" w:hAnsiTheme="majorBidi" w:cstheme="majorBidi"/>
            <w:smallCaps/>
          </w:rPr>
          <w:t xml:space="preserve"> (2012).</w:t>
        </w:r>
      </w:ins>
      <w:del w:id="116" w:author="Author">
        <w:r w:rsidRPr="003918B1" w:rsidDel="008022AE">
          <w:rPr>
            <w:rPrChange w:id="117" w:author="Author">
              <w:rPr>
                <w:highlight w:val="yellow"/>
              </w:rPr>
            </w:rPrChange>
          </w:rPr>
          <w:delText>UN Human Rights Treaty Bodies (Hellen Keller), 73</w:delText>
        </w:r>
      </w:del>
    </w:p>
  </w:footnote>
  <w:footnote w:id="32">
    <w:p w14:paraId="748CCBB0" w14:textId="6EFBCC3A" w:rsidR="002333C1" w:rsidRPr="007D06B1" w:rsidRDefault="002333C1">
      <w:pPr>
        <w:pStyle w:val="FootnoteText"/>
        <w:rPr>
          <w:rtl/>
        </w:rPr>
        <w:pPrChange w:id="119" w:author="Author">
          <w:pPr>
            <w:pStyle w:val="FootnoteText"/>
            <w:bidi w:val="0"/>
          </w:pPr>
        </w:pPrChange>
      </w:pPr>
      <w:r w:rsidRPr="00D5325A">
        <w:rPr>
          <w:rStyle w:val="FootnoteReference"/>
        </w:rPr>
        <w:footnoteRef/>
      </w:r>
      <w:r w:rsidRPr="00D5325A">
        <w:rPr>
          <w:rtl/>
        </w:rPr>
        <w:t xml:space="preserve"> </w:t>
      </w:r>
      <w:ins w:id="120" w:author="Author">
        <w:r w:rsidRPr="00D5325A">
          <w:rPr>
            <w:rFonts w:asciiTheme="majorBidi" w:hAnsiTheme="majorBidi" w:cstheme="majorBidi"/>
            <w:smallCaps/>
          </w:rPr>
          <w:t>Simmons,</w:t>
        </w:r>
        <w:r w:rsidRPr="00DA450B">
          <w:rPr>
            <w:rFonts w:asciiTheme="majorBidi" w:hAnsiTheme="majorBidi" w:cstheme="majorBidi"/>
            <w:smallCaps/>
          </w:rPr>
          <w:t xml:space="preserve"> </w:t>
        </w:r>
        <w:r w:rsidRPr="007D06B1">
          <w:rPr>
            <w:rFonts w:asciiTheme="majorBidi" w:hAnsiTheme="majorBidi" w:cstheme="majorBidi"/>
            <w:smallCaps/>
          </w:rPr>
          <w:t>Mobilizing for Human Rights</w:t>
        </w:r>
        <w:r w:rsidRPr="003918B1" w:rsidDel="00F7184F">
          <w:rPr>
            <w:rPrChange w:id="121" w:author="Author">
              <w:rPr>
                <w:highlight w:val="yellow"/>
              </w:rPr>
            </w:rPrChange>
          </w:rPr>
          <w:t xml:space="preserve"> </w:t>
        </w:r>
      </w:ins>
      <w:del w:id="122" w:author="Author">
        <w:r w:rsidRPr="003918B1" w:rsidDel="00F7184F">
          <w:rPr>
            <w:rPrChange w:id="123" w:author="Author">
              <w:rPr>
                <w:highlight w:val="yellow"/>
              </w:rPr>
            </w:rPrChange>
          </w:rPr>
          <w:delText>Mobilizing for Human Rights</w:delText>
        </w:r>
      </w:del>
      <w:r w:rsidRPr="00D5325A">
        <w:rPr>
          <w:rFonts w:cs="David" w:hint="cs"/>
          <w:rtl/>
        </w:rPr>
        <w:t xml:space="preserve">, ראה לעיל </w:t>
      </w:r>
      <w:proofErr w:type="spellStart"/>
      <w:r w:rsidRPr="00D5325A">
        <w:rPr>
          <w:rFonts w:cs="David" w:hint="cs"/>
          <w:rtl/>
        </w:rPr>
        <w:t>ה"ש</w:t>
      </w:r>
      <w:proofErr w:type="spellEnd"/>
      <w:r w:rsidRPr="00D5325A">
        <w:rPr>
          <w:rFonts w:cs="David" w:hint="cs"/>
          <w:rtl/>
        </w:rPr>
        <w:t xml:space="preserve"> </w:t>
      </w:r>
      <w:r w:rsidRPr="00DA450B">
        <w:rPr>
          <w:rFonts w:cs="David"/>
        </w:rPr>
        <w:t>13</w:t>
      </w:r>
      <w:r w:rsidRPr="007D06B1">
        <w:rPr>
          <w:rFonts w:cs="David"/>
          <w:rtl/>
        </w:rPr>
        <w:t xml:space="preserve">, </w:t>
      </w:r>
      <w:r w:rsidRPr="007D06B1">
        <w:rPr>
          <w:rFonts w:cs="David" w:hint="eastAsia"/>
          <w:rtl/>
        </w:rPr>
        <w:t>בעמ</w:t>
      </w:r>
      <w:r w:rsidRPr="007D06B1">
        <w:rPr>
          <w:rFonts w:cs="David"/>
          <w:rtl/>
        </w:rPr>
        <w:t>'</w:t>
      </w:r>
      <w:r w:rsidRPr="007D06B1">
        <w:t>26</w:t>
      </w:r>
      <w:r w:rsidRPr="007D06B1">
        <w:rPr>
          <w:rtl/>
        </w:rPr>
        <w:t xml:space="preserve">; </w:t>
      </w:r>
      <w:ins w:id="124" w:author="Author">
        <w:r w:rsidRPr="007D06B1">
          <w:rPr>
            <w:rFonts w:asciiTheme="majorBidi" w:hAnsiTheme="majorBidi" w:cstheme="majorBidi"/>
            <w:smallCaps/>
          </w:rPr>
          <w:t>Posner, Twilight of Human Rights Law</w:t>
        </w:r>
        <w:r w:rsidRPr="003918B1" w:rsidDel="003A619B">
          <w:rPr>
            <w:rFonts w:cs="David"/>
            <w:rPrChange w:id="125" w:author="Author">
              <w:rPr>
                <w:rFonts w:cs="David"/>
                <w:highlight w:val="yellow"/>
              </w:rPr>
            </w:rPrChange>
          </w:rPr>
          <w:t xml:space="preserve"> </w:t>
        </w:r>
      </w:ins>
      <w:del w:id="126" w:author="Author">
        <w:r w:rsidRPr="003918B1" w:rsidDel="003A619B">
          <w:rPr>
            <w:rFonts w:cs="David"/>
            <w:rPrChange w:id="127" w:author="Author">
              <w:rPr>
                <w:rFonts w:cs="David"/>
                <w:highlight w:val="yellow"/>
              </w:rPr>
            </w:rPrChange>
          </w:rPr>
          <w:delText>The Twilight of Human Rights Law</w:delText>
        </w:r>
        <w:r w:rsidRPr="007D06B1" w:rsidDel="003A619B">
          <w:rPr>
            <w:rFonts w:cs="David"/>
            <w:rtl/>
          </w:rPr>
          <w:delText>,</w:delText>
        </w:r>
        <w:r w:rsidRPr="007D06B1" w:rsidDel="003A619B">
          <w:rPr>
            <w:rFonts w:cs="David"/>
          </w:rPr>
          <w:delText xml:space="preserve"> </w:delText>
        </w:r>
      </w:del>
      <w:r w:rsidRPr="007D06B1">
        <w:rPr>
          <w:rFonts w:cs="David" w:hint="eastAsia"/>
          <w:rtl/>
        </w:rPr>
        <w:t>ראה</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17, </w:t>
      </w:r>
      <w:r w:rsidRPr="007D06B1">
        <w:rPr>
          <w:rFonts w:cs="David" w:hint="eastAsia"/>
          <w:rtl/>
        </w:rPr>
        <w:t>בעמ</w:t>
      </w:r>
      <w:r w:rsidRPr="007D06B1">
        <w:rPr>
          <w:rFonts w:cs="David"/>
          <w:rtl/>
        </w:rPr>
        <w:t>'</w:t>
      </w:r>
      <w:r w:rsidRPr="007D06B1">
        <w:rPr>
          <w:rtl/>
        </w:rPr>
        <w:t xml:space="preserve"> 22; </w:t>
      </w:r>
      <w:r w:rsidRPr="007D06B1">
        <w:rPr>
          <w:rFonts w:cs="David" w:hint="eastAsia"/>
          <w:rtl/>
        </w:rPr>
        <w:t>אדי</w:t>
      </w:r>
      <w:r w:rsidRPr="007D06B1">
        <w:rPr>
          <w:rFonts w:cs="David"/>
          <w:rtl/>
        </w:rPr>
        <w:t xml:space="preserve"> קאופמן, </w:t>
      </w:r>
      <w:r w:rsidRPr="007D06B1">
        <w:rPr>
          <w:rFonts w:cs="David" w:hint="eastAsia"/>
          <w:b/>
          <w:bCs/>
          <w:rtl/>
        </w:rPr>
        <w:t>זכויות</w:t>
      </w:r>
      <w:r w:rsidRPr="007D06B1">
        <w:rPr>
          <w:rFonts w:cs="David"/>
          <w:b/>
          <w:bCs/>
          <w:rtl/>
        </w:rPr>
        <w:t xml:space="preserve"> </w:t>
      </w:r>
      <w:r w:rsidRPr="007D06B1">
        <w:rPr>
          <w:rFonts w:cs="David" w:hint="eastAsia"/>
          <w:b/>
          <w:bCs/>
          <w:rtl/>
        </w:rPr>
        <w:t>אדם</w:t>
      </w:r>
      <w:r w:rsidRPr="007D06B1">
        <w:rPr>
          <w:rFonts w:cs="David"/>
          <w:rtl/>
        </w:rPr>
        <w:t>, 64 (2001</w:t>
      </w:r>
      <w:proofErr w:type="gramStart"/>
      <w:r w:rsidRPr="007D06B1">
        <w:rPr>
          <w:rFonts w:cs="David"/>
          <w:rtl/>
        </w:rPr>
        <w:t>).</w:t>
      </w:r>
      <w:r w:rsidRPr="007D06B1">
        <w:rPr>
          <w:rtl/>
        </w:rPr>
        <w:t>.</w:t>
      </w:r>
      <w:proofErr w:type="gramEnd"/>
      <w:r w:rsidRPr="007D06B1">
        <w:rPr>
          <w:rtl/>
        </w:rPr>
        <w:t xml:space="preserve"> </w:t>
      </w:r>
    </w:p>
  </w:footnote>
  <w:footnote w:id="33">
    <w:p w14:paraId="748CCBB1" w14:textId="77777777" w:rsidR="002333C1" w:rsidRPr="007D06B1" w:rsidRDefault="002333C1">
      <w:pPr>
        <w:pStyle w:val="FootnoteText"/>
        <w:rPr>
          <w:rtl/>
        </w:rPr>
        <w:pPrChange w:id="128" w:author="Author">
          <w:pPr>
            <w:pStyle w:val="FootnoteText"/>
            <w:bidi w:val="0"/>
          </w:pPr>
        </w:pPrChange>
      </w:pPr>
      <w:r w:rsidRPr="00D5325A">
        <w:rPr>
          <w:rStyle w:val="FootnoteReference"/>
        </w:rPr>
        <w:footnoteRef/>
      </w:r>
      <w:r w:rsidRPr="00D5325A">
        <w:rPr>
          <w:rtl/>
        </w:rPr>
        <w:t xml:space="preserve"> </w:t>
      </w:r>
      <w:r w:rsidRPr="00D5325A">
        <w:rPr>
          <w:rFonts w:cs="David" w:hint="cs"/>
          <w:rtl/>
        </w:rPr>
        <w:t xml:space="preserve">אדי קאופמן, </w:t>
      </w:r>
      <w:r w:rsidRPr="00DA450B">
        <w:rPr>
          <w:rFonts w:cs="David" w:hint="cs"/>
          <w:b/>
          <w:bCs/>
          <w:rtl/>
        </w:rPr>
        <w:t>זכויות אדם</w:t>
      </w:r>
      <w:r w:rsidRPr="007D06B1">
        <w:rPr>
          <w:rFonts w:cs="David"/>
          <w:rtl/>
        </w:rPr>
        <w:t>, 64 (2001).</w:t>
      </w:r>
    </w:p>
  </w:footnote>
  <w:footnote w:id="34">
    <w:p w14:paraId="748CCBB2" w14:textId="012F166D" w:rsidR="002333C1" w:rsidRPr="007D06B1" w:rsidRDefault="002333C1">
      <w:pPr>
        <w:pStyle w:val="FootnoteText"/>
        <w:jc w:val="both"/>
        <w:rPr>
          <w:rFonts w:asciiTheme="majorBidi" w:hAnsiTheme="majorBidi" w:cstheme="majorBidi"/>
          <w:rtl/>
        </w:rPr>
        <w:pPrChange w:id="129" w:author="Author">
          <w:pPr>
            <w:pStyle w:val="FootnoteText"/>
            <w:bidi w:val="0"/>
            <w:jc w:val="both"/>
          </w:pPr>
        </w:pPrChange>
      </w:pPr>
      <w:r w:rsidRPr="00D5325A">
        <w:rPr>
          <w:rStyle w:val="FootnoteReference"/>
        </w:rPr>
        <w:footnoteRef/>
      </w:r>
      <w:r w:rsidRPr="00D5325A">
        <w:rPr>
          <w:rtl/>
        </w:rPr>
        <w:t xml:space="preserve"> </w:t>
      </w:r>
      <w:ins w:id="130" w:author="Author">
        <w:r w:rsidRPr="00D5325A">
          <w:rPr>
            <w:rFonts w:asciiTheme="majorBidi" w:hAnsiTheme="majorBidi" w:cstheme="majorBidi"/>
            <w:smallCaps/>
          </w:rPr>
          <w:t>Posner,</w:t>
        </w:r>
        <w:r w:rsidRPr="00DA450B">
          <w:rPr>
            <w:rFonts w:asciiTheme="majorBidi" w:hAnsiTheme="majorBidi" w:cstheme="majorBidi"/>
            <w:smallCaps/>
          </w:rPr>
          <w:t xml:space="preserve"> </w:t>
        </w:r>
        <w:r w:rsidRPr="007D06B1">
          <w:rPr>
            <w:rFonts w:asciiTheme="majorBidi" w:hAnsiTheme="majorBidi" w:cstheme="majorBidi"/>
            <w:smallCaps/>
          </w:rPr>
          <w:t>Twilight of Human Rights Law</w:t>
        </w:r>
      </w:ins>
      <w:del w:id="131" w:author="Author">
        <w:r w:rsidRPr="007D06B1" w:rsidDel="00CA3470">
          <w:rPr>
            <w:rFonts w:cs="David"/>
          </w:rPr>
          <w:delText>The Twilight of Human Rights Law</w:delText>
        </w:r>
        <w:r w:rsidRPr="007D06B1" w:rsidDel="0004656F">
          <w:rPr>
            <w:rFonts w:cs="David"/>
            <w:rtl/>
          </w:rPr>
          <w:delText>,</w:delText>
        </w:r>
        <w:r w:rsidRPr="007D06B1" w:rsidDel="00150D5E">
          <w:rPr>
            <w:rFonts w:cs="David"/>
          </w:rPr>
          <w:delText xml:space="preserve"> </w:delText>
        </w:r>
      </w:del>
      <w:r w:rsidRPr="007D06B1">
        <w:rPr>
          <w:rFonts w:cs="David" w:hint="eastAsia"/>
          <w:rtl/>
        </w:rPr>
        <w:t>ראה</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17, </w:t>
      </w:r>
      <w:r w:rsidRPr="007D06B1">
        <w:rPr>
          <w:rFonts w:cs="David" w:hint="eastAsia"/>
          <w:rtl/>
        </w:rPr>
        <w:t>בעמ</w:t>
      </w:r>
      <w:r w:rsidRPr="007D06B1">
        <w:rPr>
          <w:rFonts w:cs="David"/>
          <w:rtl/>
        </w:rPr>
        <w:t>'</w:t>
      </w:r>
      <w:r w:rsidRPr="007D06B1">
        <w:rPr>
          <w:rtl/>
        </w:rPr>
        <w:t xml:space="preserve"> 22; </w:t>
      </w:r>
      <w:ins w:id="132" w:author="Author">
        <w:r w:rsidRPr="007D06B1">
          <w:rPr>
            <w:rFonts w:asciiTheme="majorBidi" w:hAnsiTheme="majorBidi" w:cstheme="majorBidi"/>
            <w:color w:val="222222"/>
            <w:shd w:val="clear" w:color="auto" w:fill="FFFFFF"/>
          </w:rPr>
          <w:t xml:space="preserve">Emilie M. Hafner-Burton, </w:t>
        </w:r>
        <w:proofErr w:type="spellStart"/>
        <w:r w:rsidRPr="007D06B1">
          <w:rPr>
            <w:rFonts w:asciiTheme="majorBidi" w:hAnsiTheme="majorBidi" w:cstheme="majorBidi"/>
            <w:color w:val="222222"/>
            <w:shd w:val="clear" w:color="auto" w:fill="FFFFFF"/>
          </w:rPr>
          <w:t>Kiyoteru</w:t>
        </w:r>
        <w:proofErr w:type="spellEnd"/>
        <w:r w:rsidRPr="007D06B1">
          <w:rPr>
            <w:rFonts w:asciiTheme="majorBidi" w:hAnsiTheme="majorBidi" w:cstheme="majorBidi"/>
            <w:color w:val="222222"/>
            <w:shd w:val="clear" w:color="auto" w:fill="FFFFFF"/>
          </w:rPr>
          <w:t xml:space="preserve"> </w:t>
        </w:r>
        <w:proofErr w:type="spellStart"/>
        <w:r w:rsidRPr="007D06B1">
          <w:rPr>
            <w:rFonts w:asciiTheme="majorBidi" w:hAnsiTheme="majorBidi" w:cstheme="majorBidi"/>
            <w:color w:val="222222"/>
            <w:shd w:val="clear" w:color="auto" w:fill="FFFFFF"/>
          </w:rPr>
          <w:t>Tsutsui</w:t>
        </w:r>
        <w:proofErr w:type="spellEnd"/>
        <w:r w:rsidRPr="007D06B1">
          <w:rPr>
            <w:rFonts w:asciiTheme="majorBidi" w:hAnsiTheme="majorBidi" w:cstheme="majorBidi"/>
            <w:color w:val="222222"/>
            <w:shd w:val="clear" w:color="auto" w:fill="FFFFFF"/>
          </w:rPr>
          <w:t xml:space="preserve">, &amp; John W. Meyer, </w:t>
        </w:r>
        <w:r w:rsidRPr="007D06B1">
          <w:rPr>
            <w:rFonts w:asciiTheme="majorBidi" w:hAnsiTheme="majorBidi" w:cstheme="majorBidi"/>
            <w:i/>
            <w:iCs/>
            <w:color w:val="222222"/>
            <w:shd w:val="clear" w:color="auto" w:fill="FFFFFF"/>
          </w:rPr>
          <w:t>International Human Rights Law and the Politics of Legitimation</w:t>
        </w:r>
        <w:r w:rsidRPr="007D06B1">
          <w:rPr>
            <w:rFonts w:asciiTheme="majorBidi" w:hAnsiTheme="majorBidi" w:cstheme="majorBidi"/>
            <w:color w:val="222222"/>
            <w:shd w:val="clear" w:color="auto" w:fill="FFFFFF"/>
          </w:rPr>
          <w:t xml:space="preserve">, 23(1) </w:t>
        </w:r>
        <w:r w:rsidRPr="007D06B1">
          <w:rPr>
            <w:rFonts w:asciiTheme="majorBidi" w:hAnsiTheme="majorBidi" w:cstheme="majorBidi"/>
            <w:smallCaps/>
          </w:rPr>
          <w:t>Int’l</w:t>
        </w:r>
        <w:r w:rsidRPr="007D06B1">
          <w:rPr>
            <w:rFonts w:asciiTheme="majorBidi" w:hAnsiTheme="majorBidi" w:cstheme="majorBidi"/>
            <w:color w:val="222222"/>
            <w:shd w:val="clear" w:color="auto" w:fill="FFFFFF"/>
          </w:rPr>
          <w:t xml:space="preserve"> </w:t>
        </w:r>
        <w:r w:rsidRPr="007D06B1">
          <w:rPr>
            <w:rFonts w:asciiTheme="majorBidi" w:hAnsiTheme="majorBidi" w:cstheme="majorBidi"/>
            <w:smallCaps/>
            <w:color w:val="222222"/>
            <w:shd w:val="clear" w:color="auto" w:fill="FFFFFF"/>
          </w:rPr>
          <w:t>Soc</w:t>
        </w:r>
        <w:r w:rsidRPr="007D06B1">
          <w:rPr>
            <w:rFonts w:asciiTheme="majorBidi" w:hAnsiTheme="majorBidi" w:cstheme="majorBidi"/>
            <w:color w:val="222222"/>
            <w:shd w:val="clear" w:color="auto" w:fill="FFFFFF"/>
          </w:rPr>
          <w:t>. 115–41, 119 (2008)</w:t>
        </w:r>
      </w:ins>
      <w:del w:id="133" w:author="Author">
        <w:r w:rsidRPr="003918B1" w:rsidDel="009A2993">
          <w:rPr>
            <w:rFonts w:asciiTheme="majorBidi" w:hAnsiTheme="majorBidi" w:cstheme="majorBidi"/>
            <w:color w:val="222222"/>
            <w:shd w:val="clear" w:color="auto" w:fill="FFFFFF"/>
            <w:rPrChange w:id="134" w:author="Author">
              <w:rPr>
                <w:rFonts w:asciiTheme="majorBidi" w:hAnsiTheme="majorBidi" w:cstheme="majorBidi"/>
                <w:color w:val="222222"/>
                <w:highlight w:val="yellow"/>
                <w:shd w:val="clear" w:color="auto" w:fill="FFFFFF"/>
              </w:rPr>
            </w:rPrChange>
          </w:rPr>
          <w:delText>Hafner-Burton, Emilie M., Kiyoteru Tsutsui, and John W. Meyer. "International Human Rights Law and the Politics of Legitimation." </w:delText>
        </w:r>
        <w:r w:rsidRPr="003918B1" w:rsidDel="009A2993">
          <w:rPr>
            <w:rFonts w:asciiTheme="majorBidi" w:hAnsiTheme="majorBidi" w:cstheme="majorBidi"/>
            <w:i/>
            <w:iCs/>
            <w:color w:val="222222"/>
            <w:shd w:val="clear" w:color="auto" w:fill="FFFFFF"/>
            <w:rPrChange w:id="135" w:author="Author">
              <w:rPr>
                <w:rFonts w:asciiTheme="majorBidi" w:hAnsiTheme="majorBidi" w:cstheme="majorBidi"/>
                <w:i/>
                <w:iCs/>
                <w:color w:val="222222"/>
                <w:highlight w:val="yellow"/>
                <w:shd w:val="clear" w:color="auto" w:fill="FFFFFF"/>
              </w:rPr>
            </w:rPrChange>
          </w:rPr>
          <w:delText>International Sociology</w:delText>
        </w:r>
        <w:r w:rsidRPr="003918B1" w:rsidDel="009A2993">
          <w:rPr>
            <w:rFonts w:asciiTheme="majorBidi" w:hAnsiTheme="majorBidi" w:cstheme="majorBidi"/>
            <w:color w:val="222222"/>
            <w:shd w:val="clear" w:color="auto" w:fill="FFFFFF"/>
            <w:rPrChange w:id="136" w:author="Author">
              <w:rPr>
                <w:rFonts w:asciiTheme="majorBidi" w:hAnsiTheme="majorBidi" w:cstheme="majorBidi"/>
                <w:color w:val="222222"/>
                <w:highlight w:val="yellow"/>
                <w:shd w:val="clear" w:color="auto" w:fill="FFFFFF"/>
              </w:rPr>
            </w:rPrChange>
          </w:rPr>
          <w:delText> 23.1 (2008): 115-141, 119</w:delText>
        </w:r>
      </w:del>
      <w:r w:rsidRPr="00D5325A">
        <w:rPr>
          <w:rFonts w:asciiTheme="majorBidi" w:hAnsiTheme="majorBidi" w:cstheme="majorBidi"/>
          <w:color w:val="222222"/>
          <w:shd w:val="clear" w:color="auto" w:fill="FFFFFF"/>
        </w:rPr>
        <w:t xml:space="preserve">. </w:t>
      </w:r>
      <w:r w:rsidRPr="00DA450B">
        <w:rPr>
          <w:rFonts w:asciiTheme="majorBidi" w:hAnsiTheme="majorBidi" w:cstheme="majorBidi"/>
          <w:color w:val="222222"/>
          <w:shd w:val="clear" w:color="auto" w:fill="FFFFFF"/>
          <w:rtl/>
        </w:rPr>
        <w:t>‏</w:t>
      </w:r>
    </w:p>
  </w:footnote>
  <w:footnote w:id="35">
    <w:p w14:paraId="748CCBB3" w14:textId="77777777" w:rsidR="002333C1" w:rsidRPr="007D06B1" w:rsidRDefault="002333C1">
      <w:pPr>
        <w:pStyle w:val="FootnoteText"/>
        <w:rPr>
          <w:rFonts w:cs="David"/>
          <w:rtl/>
        </w:rPr>
        <w:pPrChange w:id="137"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רות הלפרין </w:t>
      </w:r>
      <w:proofErr w:type="spellStart"/>
      <w:r w:rsidRPr="00DA450B">
        <w:rPr>
          <w:rFonts w:cs="David" w:hint="cs"/>
          <w:rtl/>
        </w:rPr>
        <w:t>קדרי</w:t>
      </w:r>
      <w:proofErr w:type="spellEnd"/>
      <w:r w:rsidRPr="00DA450B">
        <w:rPr>
          <w:rFonts w:cs="David" w:hint="cs"/>
          <w:rtl/>
        </w:rPr>
        <w:t xml:space="preserve">, תמר מגידו, </w:t>
      </w:r>
      <w:r w:rsidRPr="007D06B1">
        <w:rPr>
          <w:rFonts w:cs="David" w:hint="eastAsia"/>
          <w:b/>
          <w:bCs/>
          <w:rtl/>
        </w:rPr>
        <w:t>מדריך</w:t>
      </w:r>
      <w:r w:rsidRPr="007D06B1">
        <w:rPr>
          <w:rFonts w:cs="David"/>
          <w:b/>
          <w:bCs/>
          <w:rtl/>
        </w:rPr>
        <w:t xml:space="preserve"> </w:t>
      </w:r>
      <w:r w:rsidRPr="007D06B1">
        <w:rPr>
          <w:rFonts w:cs="David" w:hint="eastAsia"/>
          <w:b/>
          <w:bCs/>
          <w:rtl/>
        </w:rPr>
        <w:t>האמנה</w:t>
      </w:r>
      <w:r w:rsidRPr="007D06B1">
        <w:rPr>
          <w:rFonts w:cs="David"/>
          <w:b/>
          <w:bCs/>
          <w:rtl/>
        </w:rPr>
        <w:t xml:space="preserve"> </w:t>
      </w:r>
      <w:r w:rsidRPr="007D06B1">
        <w:rPr>
          <w:rFonts w:cs="David" w:hint="eastAsia"/>
          <w:b/>
          <w:bCs/>
          <w:rtl/>
        </w:rPr>
        <w:t>בדבר</w:t>
      </w:r>
      <w:r w:rsidRPr="007D06B1">
        <w:rPr>
          <w:rFonts w:cs="David"/>
          <w:b/>
          <w:bCs/>
          <w:rtl/>
        </w:rPr>
        <w:t xml:space="preserve"> </w:t>
      </w:r>
      <w:r w:rsidRPr="007D06B1">
        <w:rPr>
          <w:rFonts w:cs="David" w:hint="eastAsia"/>
          <w:b/>
          <w:bCs/>
          <w:rtl/>
        </w:rPr>
        <w:t>ביטול</w:t>
      </w:r>
      <w:r w:rsidRPr="007D06B1">
        <w:rPr>
          <w:rFonts w:cs="David"/>
          <w:b/>
          <w:bCs/>
          <w:rtl/>
        </w:rPr>
        <w:t xml:space="preserve"> </w:t>
      </w:r>
      <w:r w:rsidRPr="007D06B1">
        <w:rPr>
          <w:rFonts w:cs="David" w:hint="eastAsia"/>
          <w:b/>
          <w:bCs/>
          <w:rtl/>
        </w:rPr>
        <w:t>אפליה</w:t>
      </w:r>
      <w:r w:rsidRPr="007D06B1">
        <w:rPr>
          <w:rFonts w:cs="David"/>
          <w:b/>
          <w:bCs/>
          <w:rtl/>
        </w:rPr>
        <w:t xml:space="preserve"> </w:t>
      </w:r>
      <w:r w:rsidRPr="007D06B1">
        <w:rPr>
          <w:rFonts w:cs="David" w:hint="eastAsia"/>
          <w:b/>
          <w:bCs/>
          <w:rtl/>
        </w:rPr>
        <w:t>נגד</w:t>
      </w:r>
      <w:r w:rsidRPr="007D06B1">
        <w:rPr>
          <w:rFonts w:cs="David"/>
          <w:b/>
          <w:bCs/>
          <w:rtl/>
        </w:rPr>
        <w:t xml:space="preserve"> </w:t>
      </w:r>
      <w:r w:rsidRPr="007D06B1">
        <w:rPr>
          <w:rFonts w:cs="David" w:hint="eastAsia"/>
          <w:b/>
          <w:bCs/>
          <w:rtl/>
        </w:rPr>
        <w:t>נשים</w:t>
      </w:r>
      <w:r w:rsidRPr="007D06B1">
        <w:rPr>
          <w:rFonts w:cs="David"/>
          <w:b/>
          <w:bCs/>
          <w:rtl/>
        </w:rPr>
        <w:t xml:space="preserve"> </w:t>
      </w:r>
      <w:r w:rsidRPr="007D06B1">
        <w:rPr>
          <w:rFonts w:cs="David" w:hint="eastAsia"/>
          <w:b/>
          <w:bCs/>
          <w:rtl/>
        </w:rPr>
        <w:t>לצורותיה</w:t>
      </w:r>
      <w:r w:rsidRPr="007D06B1">
        <w:rPr>
          <w:rFonts w:cs="David"/>
          <w:rtl/>
        </w:rPr>
        <w:t xml:space="preserve">, 11 (2011). </w:t>
      </w:r>
    </w:p>
  </w:footnote>
  <w:footnote w:id="36">
    <w:p w14:paraId="748CCBB4" w14:textId="77777777" w:rsidR="002333C1" w:rsidRPr="007D06B1" w:rsidRDefault="002333C1">
      <w:pPr>
        <w:pStyle w:val="FootnoteText"/>
        <w:rPr>
          <w:rtl/>
        </w:rPr>
        <w:pPrChange w:id="138" w:author="Author">
          <w:pPr>
            <w:pStyle w:val="FootnoteText"/>
            <w:bidi w:val="0"/>
          </w:pPr>
        </w:pPrChange>
      </w:pPr>
      <w:r w:rsidRPr="00D5325A">
        <w:rPr>
          <w:rStyle w:val="FootnoteReference"/>
        </w:rPr>
        <w:footnoteRef/>
      </w:r>
      <w:r w:rsidRPr="00D5325A">
        <w:rPr>
          <w:rtl/>
        </w:rPr>
        <w:t xml:space="preserve"> </w:t>
      </w:r>
      <w:r w:rsidRPr="00DA450B">
        <w:rPr>
          <w:rFonts w:cs="David" w:hint="cs"/>
          <w:b/>
          <w:bCs/>
          <w:rtl/>
        </w:rPr>
        <w:t xml:space="preserve">אמנת וינה </w:t>
      </w:r>
      <w:r w:rsidRPr="007D06B1">
        <w:rPr>
          <w:rFonts w:cs="David" w:hint="eastAsia"/>
          <w:b/>
          <w:bCs/>
          <w:rtl/>
        </w:rPr>
        <w:t>בדבר</w:t>
      </w:r>
      <w:r w:rsidRPr="007D06B1">
        <w:rPr>
          <w:rFonts w:cs="David"/>
          <w:b/>
          <w:bCs/>
          <w:rtl/>
        </w:rPr>
        <w:t xml:space="preserve"> </w:t>
      </w:r>
      <w:r w:rsidRPr="007D06B1">
        <w:rPr>
          <w:rFonts w:cs="David" w:hint="eastAsia"/>
          <w:b/>
          <w:bCs/>
          <w:rtl/>
        </w:rPr>
        <w:t>דיני</w:t>
      </w:r>
      <w:r w:rsidRPr="007D06B1">
        <w:rPr>
          <w:rFonts w:cs="David"/>
          <w:b/>
          <w:bCs/>
          <w:rtl/>
        </w:rPr>
        <w:t xml:space="preserve"> </w:t>
      </w:r>
      <w:r w:rsidRPr="007D06B1">
        <w:rPr>
          <w:rFonts w:cs="David" w:hint="eastAsia"/>
          <w:b/>
          <w:bCs/>
          <w:rtl/>
        </w:rPr>
        <w:t>אמנות</w:t>
      </w:r>
      <w:r w:rsidRPr="007D06B1">
        <w:rPr>
          <w:rFonts w:cs="David"/>
          <w:rtl/>
        </w:rPr>
        <w:t>,</w:t>
      </w:r>
      <w:r w:rsidRPr="007D06B1">
        <w:rPr>
          <w:rtl/>
        </w:rPr>
        <w:t xml:space="preserve"> ה</w:t>
      </w:r>
      <w:r w:rsidRPr="007D06B1">
        <w:rPr>
          <w:rFonts w:cs="David" w:hint="eastAsia"/>
          <w:rtl/>
        </w:rPr>
        <w:t>מכונה</w:t>
      </w:r>
      <w:r w:rsidRPr="007D06B1">
        <w:rPr>
          <w:rFonts w:cs="David"/>
          <w:rtl/>
        </w:rPr>
        <w:t xml:space="preserve"> </w:t>
      </w:r>
      <w:r w:rsidRPr="007D06B1">
        <w:rPr>
          <w:rFonts w:cs="David" w:hint="eastAsia"/>
          <w:rtl/>
        </w:rPr>
        <w:t>גם</w:t>
      </w:r>
      <w:r w:rsidRPr="007D06B1">
        <w:rPr>
          <w:rFonts w:cs="David"/>
          <w:rtl/>
        </w:rPr>
        <w:t xml:space="preserve"> </w:t>
      </w:r>
      <w:r w:rsidRPr="007D06B1">
        <w:rPr>
          <w:rFonts w:cs="David" w:hint="eastAsia"/>
          <w:rtl/>
        </w:rPr>
        <w:t>אמנת</w:t>
      </w:r>
      <w:r w:rsidRPr="007D06B1">
        <w:rPr>
          <w:rFonts w:cs="David"/>
          <w:rtl/>
        </w:rPr>
        <w:t xml:space="preserve"> </w:t>
      </w:r>
      <w:r w:rsidRPr="007D06B1">
        <w:rPr>
          <w:rFonts w:cs="David" w:hint="eastAsia"/>
          <w:rtl/>
        </w:rPr>
        <w:t>האמנות</w:t>
      </w:r>
      <w:r w:rsidRPr="007D06B1">
        <w:rPr>
          <w:rFonts w:cs="David"/>
          <w:rtl/>
        </w:rPr>
        <w:t xml:space="preserve">, </w:t>
      </w:r>
      <w:r w:rsidRPr="007D06B1">
        <w:rPr>
          <w:rFonts w:cs="David" w:hint="eastAsia"/>
          <w:rtl/>
        </w:rPr>
        <w:t>התקבלה</w:t>
      </w:r>
      <w:r w:rsidRPr="007D06B1">
        <w:rPr>
          <w:rFonts w:cs="David"/>
          <w:rtl/>
        </w:rPr>
        <w:t xml:space="preserve"> </w:t>
      </w:r>
      <w:r w:rsidRPr="007D06B1">
        <w:rPr>
          <w:rFonts w:cs="David" w:hint="eastAsia"/>
          <w:rtl/>
        </w:rPr>
        <w:t>ב</w:t>
      </w:r>
      <w:r w:rsidRPr="007D06B1">
        <w:rPr>
          <w:rFonts w:cs="David"/>
          <w:rtl/>
        </w:rPr>
        <w:t xml:space="preserve">-22 </w:t>
      </w:r>
      <w:r w:rsidRPr="007D06B1">
        <w:rPr>
          <w:rFonts w:cs="David" w:hint="eastAsia"/>
          <w:rtl/>
        </w:rPr>
        <w:t>במאי</w:t>
      </w:r>
      <w:r w:rsidRPr="007D06B1">
        <w:rPr>
          <w:rFonts w:cs="David"/>
          <w:rtl/>
        </w:rPr>
        <w:t xml:space="preserve"> 1969. </w:t>
      </w:r>
      <w:r w:rsidRPr="007D06B1">
        <w:rPr>
          <w:rFonts w:cs="David" w:hint="eastAsia"/>
          <w:rtl/>
        </w:rPr>
        <w:t>האמנה</w:t>
      </w:r>
      <w:r w:rsidRPr="007D06B1">
        <w:rPr>
          <w:rFonts w:cs="David"/>
          <w:rtl/>
        </w:rPr>
        <w:t xml:space="preserve"> </w:t>
      </w:r>
      <w:r w:rsidRPr="007D06B1">
        <w:rPr>
          <w:rFonts w:cs="David" w:hint="eastAsia"/>
          <w:rtl/>
        </w:rPr>
        <w:t>קובעת</w:t>
      </w:r>
      <w:r w:rsidRPr="007D06B1">
        <w:rPr>
          <w:rFonts w:cs="David"/>
          <w:rtl/>
        </w:rPr>
        <w:t xml:space="preserve"> </w:t>
      </w:r>
      <w:r w:rsidRPr="007D06B1">
        <w:rPr>
          <w:rFonts w:cs="David" w:hint="eastAsia"/>
          <w:rtl/>
        </w:rPr>
        <w:t>את</w:t>
      </w:r>
      <w:r w:rsidRPr="007D06B1">
        <w:rPr>
          <w:rFonts w:cs="David"/>
          <w:rtl/>
        </w:rPr>
        <w:t xml:space="preserve"> </w:t>
      </w:r>
      <w:r w:rsidRPr="007D06B1">
        <w:rPr>
          <w:rFonts w:cs="David" w:hint="eastAsia"/>
          <w:rtl/>
        </w:rPr>
        <w:t>הכללים</w:t>
      </w:r>
      <w:r w:rsidRPr="007D06B1">
        <w:rPr>
          <w:rFonts w:cs="David"/>
          <w:rtl/>
        </w:rPr>
        <w:t xml:space="preserve"> </w:t>
      </w:r>
      <w:r w:rsidRPr="007D06B1">
        <w:rPr>
          <w:rFonts w:cs="David" w:hint="eastAsia"/>
          <w:rtl/>
        </w:rPr>
        <w:t>להתקשרות</w:t>
      </w:r>
      <w:r w:rsidRPr="007D06B1">
        <w:rPr>
          <w:rFonts w:cs="David"/>
          <w:rtl/>
        </w:rPr>
        <w:t xml:space="preserve"> </w:t>
      </w:r>
      <w:r w:rsidRPr="007D06B1">
        <w:rPr>
          <w:rFonts w:cs="David" w:hint="eastAsia"/>
          <w:rtl/>
        </w:rPr>
        <w:t>באמנות</w:t>
      </w:r>
      <w:r w:rsidRPr="007D06B1">
        <w:rPr>
          <w:rFonts w:cs="David"/>
          <w:rtl/>
        </w:rPr>
        <w:t xml:space="preserve">, </w:t>
      </w:r>
      <w:r w:rsidRPr="007D06B1">
        <w:rPr>
          <w:rFonts w:cs="David" w:hint="eastAsia"/>
          <w:rtl/>
        </w:rPr>
        <w:t>יציאה</w:t>
      </w:r>
      <w:r w:rsidRPr="007D06B1">
        <w:rPr>
          <w:rFonts w:cs="David"/>
          <w:rtl/>
        </w:rPr>
        <w:t xml:space="preserve"> </w:t>
      </w:r>
      <w:r w:rsidRPr="007D06B1">
        <w:rPr>
          <w:rFonts w:cs="David" w:hint="eastAsia"/>
          <w:rtl/>
        </w:rPr>
        <w:t>מהן</w:t>
      </w:r>
      <w:r w:rsidRPr="007D06B1">
        <w:rPr>
          <w:rFonts w:cs="David"/>
          <w:rtl/>
        </w:rPr>
        <w:t xml:space="preserve">, </w:t>
      </w:r>
      <w:r w:rsidRPr="007D06B1">
        <w:rPr>
          <w:rFonts w:cs="David" w:hint="eastAsia"/>
          <w:rtl/>
        </w:rPr>
        <w:t>תיקונן</w:t>
      </w:r>
      <w:r w:rsidRPr="007D06B1">
        <w:rPr>
          <w:rFonts w:cs="David"/>
          <w:rtl/>
        </w:rPr>
        <w:t xml:space="preserve"> </w:t>
      </w:r>
      <w:r w:rsidRPr="007D06B1">
        <w:rPr>
          <w:rFonts w:cs="David" w:hint="eastAsia"/>
          <w:rtl/>
        </w:rPr>
        <w:t>ועוד</w:t>
      </w:r>
      <w:r w:rsidRPr="007D06B1">
        <w:rPr>
          <w:rFonts w:cs="David"/>
          <w:rtl/>
        </w:rPr>
        <w:t xml:space="preserve">. </w:t>
      </w:r>
      <w:r w:rsidRPr="007D06B1">
        <w:rPr>
          <w:rFonts w:cs="David" w:hint="eastAsia"/>
          <w:rtl/>
        </w:rPr>
        <w:t>היא</w:t>
      </w:r>
      <w:r w:rsidRPr="007D06B1">
        <w:rPr>
          <w:rFonts w:cs="David"/>
          <w:rtl/>
        </w:rPr>
        <w:t xml:space="preserve"> </w:t>
      </w:r>
      <w:r w:rsidRPr="007D06B1">
        <w:rPr>
          <w:rFonts w:cs="David" w:hint="eastAsia"/>
          <w:rtl/>
        </w:rPr>
        <w:t>כוללת</w:t>
      </w:r>
      <w:r w:rsidRPr="007D06B1">
        <w:rPr>
          <w:rFonts w:cs="David"/>
          <w:rtl/>
        </w:rPr>
        <w:t xml:space="preserve"> </w:t>
      </w:r>
      <w:r w:rsidRPr="007D06B1">
        <w:rPr>
          <w:rFonts w:cs="David" w:hint="eastAsia"/>
          <w:rtl/>
        </w:rPr>
        <w:t>כללים</w:t>
      </w:r>
      <w:r w:rsidRPr="007D06B1">
        <w:rPr>
          <w:rFonts w:cs="David"/>
          <w:rtl/>
        </w:rPr>
        <w:t xml:space="preserve"> </w:t>
      </w:r>
      <w:r w:rsidRPr="007D06B1">
        <w:rPr>
          <w:rFonts w:cs="David" w:hint="eastAsia"/>
          <w:rtl/>
        </w:rPr>
        <w:t>שהיו</w:t>
      </w:r>
      <w:r w:rsidRPr="007D06B1">
        <w:rPr>
          <w:rFonts w:cs="David"/>
          <w:rtl/>
        </w:rPr>
        <w:t xml:space="preserve"> </w:t>
      </w:r>
      <w:r w:rsidRPr="007D06B1">
        <w:rPr>
          <w:rFonts w:cs="David" w:hint="eastAsia"/>
          <w:rtl/>
        </w:rPr>
        <w:t>חלק</w:t>
      </w:r>
      <w:r w:rsidRPr="007D06B1">
        <w:rPr>
          <w:rFonts w:cs="David"/>
          <w:rtl/>
        </w:rPr>
        <w:t xml:space="preserve"> </w:t>
      </w:r>
      <w:r w:rsidRPr="007D06B1">
        <w:rPr>
          <w:rFonts w:cs="David" w:hint="eastAsia"/>
          <w:rtl/>
        </w:rPr>
        <w:t>מהמשפט</w:t>
      </w:r>
      <w:r w:rsidRPr="007D06B1">
        <w:rPr>
          <w:rFonts w:cs="David"/>
          <w:rtl/>
        </w:rPr>
        <w:t xml:space="preserve"> </w:t>
      </w:r>
      <w:r w:rsidRPr="007D06B1">
        <w:rPr>
          <w:rFonts w:cs="David" w:hint="eastAsia"/>
          <w:rtl/>
        </w:rPr>
        <w:t>הבינלאומי</w:t>
      </w:r>
      <w:r w:rsidRPr="007D06B1">
        <w:rPr>
          <w:rFonts w:cs="David"/>
          <w:rtl/>
        </w:rPr>
        <w:t xml:space="preserve"> </w:t>
      </w:r>
      <w:proofErr w:type="spellStart"/>
      <w:r w:rsidRPr="007D06B1">
        <w:rPr>
          <w:rFonts w:cs="David" w:hint="eastAsia"/>
          <w:rtl/>
        </w:rPr>
        <w:t>המנהגי</w:t>
      </w:r>
      <w:proofErr w:type="spellEnd"/>
      <w:r w:rsidRPr="007D06B1">
        <w:rPr>
          <w:rFonts w:cs="David"/>
          <w:rtl/>
        </w:rPr>
        <w:t xml:space="preserve"> </w:t>
      </w:r>
      <w:r w:rsidRPr="007D06B1">
        <w:rPr>
          <w:rFonts w:cs="David" w:hint="eastAsia"/>
          <w:rtl/>
        </w:rPr>
        <w:t>עוד</w:t>
      </w:r>
      <w:r w:rsidRPr="007D06B1">
        <w:rPr>
          <w:rFonts w:cs="David"/>
          <w:rtl/>
        </w:rPr>
        <w:t xml:space="preserve"> </w:t>
      </w:r>
      <w:r w:rsidRPr="007D06B1">
        <w:rPr>
          <w:rFonts w:cs="David" w:hint="eastAsia"/>
          <w:rtl/>
        </w:rPr>
        <w:t>לפני</w:t>
      </w:r>
      <w:r w:rsidRPr="007D06B1">
        <w:rPr>
          <w:rFonts w:cs="David"/>
          <w:rtl/>
        </w:rPr>
        <w:t xml:space="preserve"> </w:t>
      </w:r>
      <w:r w:rsidRPr="007D06B1">
        <w:rPr>
          <w:rFonts w:cs="David" w:hint="eastAsia"/>
          <w:rtl/>
        </w:rPr>
        <w:t>אימוצה</w:t>
      </w:r>
      <w:r w:rsidRPr="007D06B1">
        <w:rPr>
          <w:rFonts w:cs="David"/>
          <w:rtl/>
        </w:rPr>
        <w:t xml:space="preserve">, </w:t>
      </w:r>
      <w:r w:rsidRPr="007D06B1">
        <w:rPr>
          <w:rFonts w:cs="David" w:hint="eastAsia"/>
          <w:rtl/>
        </w:rPr>
        <w:t>וכן</w:t>
      </w:r>
      <w:r w:rsidRPr="007D06B1">
        <w:rPr>
          <w:rFonts w:cs="David"/>
          <w:rtl/>
        </w:rPr>
        <w:t xml:space="preserve"> </w:t>
      </w:r>
      <w:r w:rsidRPr="007D06B1">
        <w:rPr>
          <w:rFonts w:cs="David" w:hint="eastAsia"/>
          <w:rtl/>
        </w:rPr>
        <w:t>הוראות</w:t>
      </w:r>
      <w:r w:rsidRPr="007D06B1">
        <w:rPr>
          <w:rFonts w:cs="David"/>
          <w:rtl/>
        </w:rPr>
        <w:t xml:space="preserve"> </w:t>
      </w:r>
      <w:r w:rsidRPr="007D06B1">
        <w:rPr>
          <w:rFonts w:cs="David" w:hint="eastAsia"/>
          <w:rtl/>
        </w:rPr>
        <w:t>שהיו</w:t>
      </w:r>
      <w:r w:rsidRPr="007D06B1">
        <w:rPr>
          <w:rFonts w:cs="David"/>
          <w:rtl/>
        </w:rPr>
        <w:t xml:space="preserve"> </w:t>
      </w:r>
      <w:r w:rsidRPr="007D06B1">
        <w:rPr>
          <w:rFonts w:cs="David" w:hint="eastAsia"/>
          <w:rtl/>
        </w:rPr>
        <w:t>חדשות</w:t>
      </w:r>
      <w:r w:rsidRPr="007D06B1">
        <w:rPr>
          <w:rFonts w:cs="David"/>
          <w:rtl/>
        </w:rPr>
        <w:t xml:space="preserve"> </w:t>
      </w:r>
      <w:r w:rsidRPr="007D06B1">
        <w:rPr>
          <w:rFonts w:cs="David" w:hint="eastAsia"/>
          <w:rtl/>
        </w:rPr>
        <w:t>ב</w:t>
      </w:r>
      <w:r w:rsidRPr="007D06B1">
        <w:rPr>
          <w:rFonts w:cs="David"/>
          <w:rtl/>
        </w:rPr>
        <w:t>-1969.</w:t>
      </w:r>
      <w:r w:rsidRPr="007D06B1">
        <w:rPr>
          <w:rFonts w:cs="David" w:hint="eastAsia"/>
          <w:rtl/>
        </w:rPr>
        <w:t>האמנה</w:t>
      </w:r>
      <w:r w:rsidRPr="007D06B1">
        <w:rPr>
          <w:rFonts w:cs="David"/>
          <w:rtl/>
        </w:rPr>
        <w:t xml:space="preserve"> </w:t>
      </w:r>
      <w:r w:rsidRPr="007D06B1">
        <w:rPr>
          <w:rFonts w:cs="David" w:hint="eastAsia"/>
          <w:rtl/>
        </w:rPr>
        <w:t>נכנסה</w:t>
      </w:r>
      <w:r w:rsidRPr="007D06B1">
        <w:rPr>
          <w:rFonts w:cs="David"/>
          <w:rtl/>
        </w:rPr>
        <w:t xml:space="preserve"> </w:t>
      </w:r>
      <w:r w:rsidRPr="007D06B1">
        <w:rPr>
          <w:rFonts w:cs="David" w:hint="eastAsia"/>
          <w:rtl/>
        </w:rPr>
        <w:t>לתוקף</w:t>
      </w:r>
      <w:r w:rsidRPr="007D06B1">
        <w:rPr>
          <w:rFonts w:cs="David"/>
          <w:rtl/>
        </w:rPr>
        <w:t xml:space="preserve"> </w:t>
      </w:r>
      <w:r w:rsidRPr="007D06B1">
        <w:rPr>
          <w:rFonts w:cs="David" w:hint="eastAsia"/>
          <w:rtl/>
        </w:rPr>
        <w:t>לאחר</w:t>
      </w:r>
      <w:r w:rsidRPr="007D06B1">
        <w:rPr>
          <w:rFonts w:cs="David"/>
          <w:rtl/>
        </w:rPr>
        <w:t xml:space="preserve"> </w:t>
      </w:r>
      <w:r w:rsidRPr="007D06B1">
        <w:rPr>
          <w:rFonts w:cs="David" w:hint="eastAsia"/>
          <w:rtl/>
        </w:rPr>
        <w:t>אשרורה</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ידי</w:t>
      </w:r>
      <w:r w:rsidRPr="007D06B1">
        <w:rPr>
          <w:rFonts w:cs="David"/>
          <w:rtl/>
        </w:rPr>
        <w:t xml:space="preserve"> </w:t>
      </w:r>
      <w:r w:rsidRPr="007D06B1">
        <w:rPr>
          <w:rFonts w:cs="David" w:hint="eastAsia"/>
          <w:rtl/>
        </w:rPr>
        <w:t>שלושים</w:t>
      </w:r>
      <w:r w:rsidRPr="007D06B1">
        <w:rPr>
          <w:rFonts w:cs="David"/>
          <w:rtl/>
        </w:rPr>
        <w:t xml:space="preserve"> </w:t>
      </w:r>
      <w:r w:rsidRPr="007D06B1">
        <w:rPr>
          <w:rFonts w:cs="David" w:hint="eastAsia"/>
          <w:rtl/>
        </w:rPr>
        <w:t>וחמש</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ב</w:t>
      </w:r>
      <w:r w:rsidRPr="007D06B1">
        <w:rPr>
          <w:rFonts w:cs="David"/>
          <w:rtl/>
        </w:rPr>
        <w:t xml:space="preserve">-27 </w:t>
      </w:r>
      <w:r w:rsidRPr="007D06B1">
        <w:rPr>
          <w:rFonts w:cs="David" w:hint="eastAsia"/>
          <w:rtl/>
        </w:rPr>
        <w:t>בינואר</w:t>
      </w:r>
      <w:r w:rsidRPr="007D06B1">
        <w:rPr>
          <w:rFonts w:cs="David"/>
          <w:rtl/>
        </w:rPr>
        <w:t xml:space="preserve"> 1980. </w:t>
      </w:r>
      <w:r w:rsidRPr="007D06B1">
        <w:rPr>
          <w:rFonts w:cs="David" w:hint="eastAsia"/>
          <w:rtl/>
        </w:rPr>
        <w:t>העבודה</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ניסוח</w:t>
      </w:r>
      <w:r w:rsidRPr="007D06B1">
        <w:rPr>
          <w:rFonts w:cs="David"/>
          <w:rtl/>
        </w:rPr>
        <w:t xml:space="preserve"> </w:t>
      </w:r>
      <w:r w:rsidRPr="007D06B1">
        <w:rPr>
          <w:rFonts w:cs="David" w:hint="eastAsia"/>
          <w:rtl/>
        </w:rPr>
        <w:t>האמנה</w:t>
      </w:r>
      <w:r w:rsidRPr="007D06B1">
        <w:rPr>
          <w:rFonts w:cs="David"/>
          <w:rtl/>
        </w:rPr>
        <w:t xml:space="preserve"> </w:t>
      </w:r>
      <w:r w:rsidRPr="007D06B1">
        <w:rPr>
          <w:rFonts w:cs="David" w:hint="eastAsia"/>
          <w:rtl/>
        </w:rPr>
        <w:t>החלה</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ידי</w:t>
      </w:r>
      <w:r w:rsidRPr="007D06B1">
        <w:rPr>
          <w:rFonts w:cs="David"/>
          <w:rtl/>
        </w:rPr>
        <w:t xml:space="preserve"> </w:t>
      </w:r>
      <w:r w:rsidRPr="007D06B1">
        <w:rPr>
          <w:rFonts w:cs="David" w:hint="eastAsia"/>
          <w:rtl/>
        </w:rPr>
        <w:t>נציבות</w:t>
      </w:r>
      <w:r w:rsidRPr="007D06B1">
        <w:rPr>
          <w:rFonts w:cs="David"/>
          <w:rtl/>
        </w:rPr>
        <w:t xml:space="preserve"> </w:t>
      </w:r>
      <w:r w:rsidRPr="007D06B1">
        <w:rPr>
          <w:rFonts w:cs="David" w:hint="eastAsia"/>
          <w:rtl/>
        </w:rPr>
        <w:t>החקיקה</w:t>
      </w:r>
      <w:r w:rsidRPr="007D06B1">
        <w:rPr>
          <w:rFonts w:cs="David"/>
          <w:rtl/>
        </w:rPr>
        <w:t xml:space="preserve"> </w:t>
      </w:r>
      <w:r w:rsidRPr="007D06B1">
        <w:rPr>
          <w:rFonts w:cs="David" w:hint="eastAsia"/>
          <w:rtl/>
        </w:rPr>
        <w:t>הבינלאומית</w:t>
      </w:r>
      <w:r w:rsidRPr="007D06B1">
        <w:rPr>
          <w:rFonts w:cs="David"/>
          <w:rtl/>
        </w:rPr>
        <w:t>(</w:t>
      </w:r>
      <w:r w:rsidRPr="007D06B1">
        <w:rPr>
          <w:rFonts w:cs="David"/>
        </w:rPr>
        <w:t>International Law Commission</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ארגון</w:t>
      </w:r>
      <w:r w:rsidRPr="007D06B1">
        <w:rPr>
          <w:rFonts w:cs="David"/>
          <w:rtl/>
        </w:rPr>
        <w:t xml:space="preserve"> </w:t>
      </w:r>
      <w:r w:rsidRPr="007D06B1">
        <w:rPr>
          <w:rFonts w:cs="David" w:hint="eastAsia"/>
          <w:rtl/>
        </w:rPr>
        <w:t>האו</w:t>
      </w:r>
      <w:r w:rsidRPr="007D06B1">
        <w:rPr>
          <w:rFonts w:cs="David"/>
          <w:rtl/>
        </w:rPr>
        <w:t>"</w:t>
      </w:r>
      <w:r w:rsidRPr="007D06B1">
        <w:rPr>
          <w:rFonts w:cs="David" w:hint="eastAsia"/>
          <w:rtl/>
        </w:rPr>
        <w:t>ם</w:t>
      </w:r>
      <w:r w:rsidRPr="007D06B1">
        <w:rPr>
          <w:rFonts w:cs="David"/>
          <w:rtl/>
        </w:rPr>
        <w:t xml:space="preserve"> </w:t>
      </w:r>
      <w:r w:rsidRPr="007D06B1">
        <w:rPr>
          <w:rFonts w:cs="David" w:hint="eastAsia"/>
          <w:rtl/>
        </w:rPr>
        <w:t>בשנת</w:t>
      </w:r>
      <w:r w:rsidRPr="007D06B1">
        <w:rPr>
          <w:rFonts w:cs="David"/>
          <w:rtl/>
        </w:rPr>
        <w:t xml:space="preserve"> 1949, </w:t>
      </w:r>
      <w:r w:rsidRPr="007D06B1">
        <w:rPr>
          <w:rFonts w:cs="David" w:hint="eastAsia"/>
          <w:rtl/>
        </w:rPr>
        <w:t>והנציבות</w:t>
      </w:r>
      <w:r w:rsidRPr="007D06B1">
        <w:rPr>
          <w:rFonts w:cs="David"/>
          <w:rtl/>
        </w:rPr>
        <w:t xml:space="preserve"> </w:t>
      </w:r>
      <w:r w:rsidRPr="007D06B1">
        <w:rPr>
          <w:rFonts w:cs="David" w:hint="eastAsia"/>
          <w:rtl/>
        </w:rPr>
        <w:t>סיימה</w:t>
      </w:r>
      <w:r w:rsidRPr="007D06B1">
        <w:rPr>
          <w:rFonts w:cs="David"/>
          <w:rtl/>
        </w:rPr>
        <w:t xml:space="preserve"> </w:t>
      </w:r>
      <w:r w:rsidRPr="007D06B1">
        <w:rPr>
          <w:rFonts w:cs="David" w:hint="eastAsia"/>
          <w:rtl/>
        </w:rPr>
        <w:t>את</w:t>
      </w:r>
      <w:r w:rsidRPr="007D06B1">
        <w:rPr>
          <w:rFonts w:cs="David"/>
          <w:rtl/>
        </w:rPr>
        <w:t xml:space="preserve"> </w:t>
      </w:r>
      <w:r w:rsidRPr="007D06B1">
        <w:rPr>
          <w:rFonts w:cs="David" w:hint="eastAsia"/>
          <w:rtl/>
        </w:rPr>
        <w:t>עבודתה</w:t>
      </w:r>
      <w:r w:rsidRPr="007D06B1">
        <w:rPr>
          <w:rFonts w:cs="David"/>
          <w:rtl/>
        </w:rPr>
        <w:t xml:space="preserve"> </w:t>
      </w:r>
      <w:r w:rsidRPr="007D06B1">
        <w:rPr>
          <w:rFonts w:cs="David" w:hint="eastAsia"/>
          <w:rtl/>
        </w:rPr>
        <w:t>בשנת</w:t>
      </w:r>
      <w:r w:rsidRPr="007D06B1">
        <w:rPr>
          <w:rFonts w:cs="David"/>
          <w:rtl/>
        </w:rPr>
        <w:t xml:space="preserve"> 1969 </w:t>
      </w:r>
      <w:r w:rsidRPr="007D06B1">
        <w:rPr>
          <w:rFonts w:cs="David" w:hint="eastAsia"/>
          <w:rtl/>
        </w:rPr>
        <w:t>בדיון</w:t>
      </w:r>
      <w:r w:rsidRPr="007D06B1">
        <w:rPr>
          <w:rFonts w:cs="David"/>
          <w:rtl/>
        </w:rPr>
        <w:t xml:space="preserve"> </w:t>
      </w:r>
      <w:r w:rsidRPr="007D06B1">
        <w:rPr>
          <w:rFonts w:cs="David" w:hint="eastAsia"/>
          <w:rtl/>
        </w:rPr>
        <w:t>של</w:t>
      </w:r>
      <w:r w:rsidRPr="007D06B1">
        <w:rPr>
          <w:rFonts w:cs="David"/>
          <w:rtl/>
        </w:rPr>
        <w:t xml:space="preserve"> </w:t>
      </w:r>
      <w:r w:rsidRPr="007D06B1">
        <w:rPr>
          <w:rFonts w:cs="David" w:hint="eastAsia"/>
          <w:rtl/>
        </w:rPr>
        <w:t>האו</w:t>
      </w:r>
      <w:r w:rsidRPr="007D06B1">
        <w:rPr>
          <w:rFonts w:cs="David"/>
          <w:rtl/>
        </w:rPr>
        <w:t>"</w:t>
      </w:r>
      <w:r w:rsidRPr="007D06B1">
        <w:rPr>
          <w:rFonts w:cs="David" w:hint="eastAsia"/>
          <w:rtl/>
        </w:rPr>
        <w:t>ם</w:t>
      </w:r>
      <w:r w:rsidRPr="007D06B1">
        <w:rPr>
          <w:rFonts w:cs="David"/>
          <w:rtl/>
        </w:rPr>
        <w:t xml:space="preserve"> </w:t>
      </w:r>
      <w:r w:rsidRPr="007D06B1">
        <w:rPr>
          <w:rFonts w:cs="David" w:hint="eastAsia"/>
          <w:rtl/>
        </w:rPr>
        <w:t>שנערך</w:t>
      </w:r>
      <w:r w:rsidRPr="007D06B1">
        <w:rPr>
          <w:rFonts w:cs="David"/>
          <w:rtl/>
        </w:rPr>
        <w:t xml:space="preserve"> </w:t>
      </w:r>
      <w:r w:rsidRPr="007D06B1">
        <w:rPr>
          <w:rFonts w:cs="David" w:hint="eastAsia"/>
          <w:rtl/>
        </w:rPr>
        <w:t>בשני</w:t>
      </w:r>
      <w:r w:rsidRPr="007D06B1">
        <w:rPr>
          <w:rFonts w:cs="David"/>
          <w:rtl/>
        </w:rPr>
        <w:t xml:space="preserve"> </w:t>
      </w:r>
      <w:r w:rsidRPr="007D06B1">
        <w:rPr>
          <w:rFonts w:cs="David" w:hint="eastAsia"/>
          <w:rtl/>
        </w:rPr>
        <w:t>מושבים</w:t>
      </w:r>
      <w:r w:rsidRPr="007D06B1">
        <w:rPr>
          <w:rFonts w:cs="David"/>
          <w:rtl/>
        </w:rPr>
        <w:t xml:space="preserve"> </w:t>
      </w:r>
      <w:r w:rsidRPr="007D06B1">
        <w:rPr>
          <w:rFonts w:cs="David" w:hint="eastAsia"/>
          <w:rtl/>
        </w:rPr>
        <w:t>בעיר</w:t>
      </w:r>
      <w:r w:rsidRPr="007D06B1">
        <w:rPr>
          <w:rFonts w:cs="David"/>
          <w:rtl/>
        </w:rPr>
        <w:t xml:space="preserve"> </w:t>
      </w:r>
      <w:r w:rsidRPr="007D06B1">
        <w:rPr>
          <w:rFonts w:cs="David" w:hint="eastAsia"/>
          <w:rtl/>
        </w:rPr>
        <w:t>וינה</w:t>
      </w:r>
      <w:r w:rsidRPr="007D06B1">
        <w:rPr>
          <w:rFonts w:cs="David"/>
          <w:rtl/>
        </w:rPr>
        <w:t xml:space="preserve"> </w:t>
      </w:r>
      <w:r w:rsidRPr="007D06B1">
        <w:rPr>
          <w:rFonts w:cs="David" w:hint="eastAsia"/>
          <w:rtl/>
        </w:rPr>
        <w:t>שבאוסטריה</w:t>
      </w:r>
      <w:r w:rsidRPr="007D06B1">
        <w:rPr>
          <w:rFonts w:cs="David"/>
          <w:rtl/>
        </w:rPr>
        <w:t xml:space="preserve">. אף </w:t>
      </w:r>
      <w:r w:rsidRPr="007D06B1">
        <w:rPr>
          <w:rFonts w:cs="David" w:hint="eastAsia"/>
          <w:rtl/>
        </w:rPr>
        <w:t>שרק</w:t>
      </w:r>
      <w:r w:rsidRPr="007D06B1">
        <w:rPr>
          <w:rFonts w:cs="David"/>
          <w:rtl/>
        </w:rPr>
        <w:t xml:space="preserve"> 108 </w:t>
      </w:r>
      <w:r w:rsidRPr="007D06B1">
        <w:rPr>
          <w:rFonts w:cs="David" w:hint="eastAsia"/>
          <w:rtl/>
        </w:rPr>
        <w:t>מדינות</w:t>
      </w:r>
      <w:r w:rsidRPr="007D06B1">
        <w:rPr>
          <w:rFonts w:cs="David"/>
          <w:rtl/>
        </w:rPr>
        <w:t xml:space="preserve"> </w:t>
      </w:r>
      <w:r w:rsidRPr="007D06B1">
        <w:rPr>
          <w:rFonts w:cs="David" w:hint="eastAsia"/>
          <w:rtl/>
        </w:rPr>
        <w:t>אשררו</w:t>
      </w:r>
      <w:r w:rsidRPr="007D06B1">
        <w:rPr>
          <w:rFonts w:cs="David"/>
          <w:rtl/>
        </w:rPr>
        <w:t xml:space="preserve"> </w:t>
      </w:r>
      <w:r w:rsidRPr="007D06B1">
        <w:rPr>
          <w:rFonts w:cs="David" w:hint="eastAsia"/>
          <w:rtl/>
        </w:rPr>
        <w:t>את</w:t>
      </w:r>
      <w:r w:rsidRPr="007D06B1">
        <w:rPr>
          <w:rFonts w:cs="David"/>
          <w:rtl/>
        </w:rPr>
        <w:t xml:space="preserve"> </w:t>
      </w:r>
      <w:r w:rsidRPr="007D06B1">
        <w:rPr>
          <w:rFonts w:cs="David" w:hint="eastAsia"/>
          <w:rtl/>
        </w:rPr>
        <w:t>האמנה</w:t>
      </w:r>
      <w:r w:rsidRPr="007D06B1">
        <w:rPr>
          <w:rFonts w:cs="David"/>
          <w:rtl/>
        </w:rPr>
        <w:t xml:space="preserve"> </w:t>
      </w:r>
      <w:r w:rsidRPr="007D06B1">
        <w:rPr>
          <w:rFonts w:cs="David" w:hint="eastAsia"/>
          <w:rtl/>
        </w:rPr>
        <w:t>עד</w:t>
      </w:r>
      <w:r w:rsidRPr="007D06B1">
        <w:rPr>
          <w:rFonts w:cs="David"/>
          <w:rtl/>
        </w:rPr>
        <w:t xml:space="preserve"> </w:t>
      </w:r>
      <w:r w:rsidRPr="007D06B1">
        <w:rPr>
          <w:rFonts w:cs="David" w:hint="eastAsia"/>
          <w:rtl/>
        </w:rPr>
        <w:t>היום</w:t>
      </w:r>
      <w:r w:rsidRPr="007D06B1">
        <w:rPr>
          <w:rFonts w:cs="David"/>
          <w:rtl/>
        </w:rPr>
        <w:t xml:space="preserve"> (</w:t>
      </w:r>
      <w:r w:rsidRPr="007D06B1">
        <w:rPr>
          <w:rFonts w:cs="David" w:hint="eastAsia"/>
          <w:rtl/>
        </w:rPr>
        <w:t>ישראל</w:t>
      </w:r>
      <w:r w:rsidRPr="007D06B1">
        <w:rPr>
          <w:rFonts w:cs="David"/>
          <w:rtl/>
        </w:rPr>
        <w:t xml:space="preserve"> </w:t>
      </w:r>
      <w:r w:rsidRPr="007D06B1">
        <w:rPr>
          <w:rFonts w:cs="David" w:hint="eastAsia"/>
          <w:rtl/>
        </w:rPr>
        <w:t>אינה</w:t>
      </w:r>
      <w:r w:rsidRPr="007D06B1">
        <w:rPr>
          <w:rFonts w:cs="David"/>
          <w:rtl/>
        </w:rPr>
        <w:t xml:space="preserve"> </w:t>
      </w:r>
      <w:r w:rsidRPr="007D06B1">
        <w:rPr>
          <w:rFonts w:cs="David" w:hint="eastAsia"/>
          <w:rtl/>
        </w:rPr>
        <w:t>נמנית</w:t>
      </w:r>
      <w:r w:rsidRPr="007D06B1">
        <w:rPr>
          <w:rFonts w:cs="David"/>
          <w:rtl/>
        </w:rPr>
        <w:t xml:space="preserve"> </w:t>
      </w:r>
      <w:r w:rsidRPr="007D06B1">
        <w:rPr>
          <w:rFonts w:cs="David" w:hint="eastAsia"/>
          <w:rtl/>
        </w:rPr>
        <w:t>עם</w:t>
      </w:r>
      <w:r w:rsidRPr="007D06B1">
        <w:rPr>
          <w:rFonts w:cs="David"/>
          <w:rtl/>
        </w:rPr>
        <w:t xml:space="preserve"> </w:t>
      </w:r>
      <w:r w:rsidRPr="007D06B1">
        <w:rPr>
          <w:rFonts w:cs="David" w:hint="eastAsia"/>
          <w:rtl/>
        </w:rPr>
        <w:t>המדינות</w:t>
      </w:r>
      <w:r w:rsidRPr="007D06B1">
        <w:rPr>
          <w:rFonts w:cs="David"/>
          <w:rtl/>
        </w:rPr>
        <w:t xml:space="preserve"> </w:t>
      </w:r>
      <w:r w:rsidRPr="007D06B1">
        <w:rPr>
          <w:rFonts w:cs="David" w:hint="eastAsia"/>
          <w:rtl/>
        </w:rPr>
        <w:t>שאשררו</w:t>
      </w:r>
      <w:r w:rsidRPr="007D06B1">
        <w:rPr>
          <w:rFonts w:cs="David"/>
          <w:rtl/>
        </w:rPr>
        <w:t xml:space="preserve">), </w:t>
      </w:r>
      <w:r w:rsidRPr="007D06B1">
        <w:rPr>
          <w:rFonts w:cs="David" w:hint="eastAsia"/>
          <w:rtl/>
        </w:rPr>
        <w:t>רוב</w:t>
      </w:r>
      <w:r w:rsidRPr="007D06B1">
        <w:rPr>
          <w:rFonts w:cs="David"/>
          <w:rtl/>
        </w:rPr>
        <w:t xml:space="preserve"> </w:t>
      </w:r>
      <w:r w:rsidRPr="007D06B1">
        <w:rPr>
          <w:rFonts w:cs="David" w:hint="eastAsia"/>
          <w:rtl/>
        </w:rPr>
        <w:t>סעיפי</w:t>
      </w:r>
      <w:r w:rsidRPr="007D06B1">
        <w:rPr>
          <w:rFonts w:cs="David"/>
          <w:rtl/>
        </w:rPr>
        <w:t xml:space="preserve"> </w:t>
      </w:r>
      <w:r w:rsidRPr="007D06B1">
        <w:rPr>
          <w:rFonts w:cs="David" w:hint="eastAsia"/>
          <w:rtl/>
        </w:rPr>
        <w:t>האמנה</w:t>
      </w:r>
      <w:r w:rsidRPr="007D06B1">
        <w:rPr>
          <w:rFonts w:cs="David"/>
          <w:rtl/>
        </w:rPr>
        <w:t xml:space="preserve"> </w:t>
      </w:r>
      <w:r w:rsidRPr="007D06B1">
        <w:rPr>
          <w:rFonts w:cs="David" w:hint="eastAsia"/>
          <w:rtl/>
        </w:rPr>
        <w:t>הפכו</w:t>
      </w:r>
      <w:r w:rsidRPr="007D06B1">
        <w:rPr>
          <w:rFonts w:cs="David"/>
          <w:rtl/>
        </w:rPr>
        <w:t xml:space="preserve"> </w:t>
      </w:r>
      <w:r w:rsidRPr="007D06B1">
        <w:rPr>
          <w:rFonts w:cs="David" w:hint="eastAsia"/>
          <w:rtl/>
        </w:rPr>
        <w:t>למעשה</w:t>
      </w:r>
      <w:r w:rsidRPr="007D06B1">
        <w:rPr>
          <w:rFonts w:cs="David"/>
          <w:rtl/>
        </w:rPr>
        <w:t xml:space="preserve"> </w:t>
      </w:r>
      <w:r w:rsidRPr="007D06B1">
        <w:rPr>
          <w:rFonts w:cs="David" w:hint="eastAsia"/>
          <w:rtl/>
        </w:rPr>
        <w:t>למנהג</w:t>
      </w:r>
      <w:r w:rsidRPr="007D06B1">
        <w:rPr>
          <w:rFonts w:cs="David"/>
          <w:rtl/>
        </w:rPr>
        <w:t xml:space="preserve"> </w:t>
      </w:r>
      <w:r w:rsidRPr="007D06B1">
        <w:rPr>
          <w:rFonts w:cs="David" w:hint="eastAsia"/>
          <w:rtl/>
        </w:rPr>
        <w:t>בינלאומי</w:t>
      </w:r>
      <w:r w:rsidRPr="007D06B1">
        <w:rPr>
          <w:rFonts w:cs="David"/>
          <w:rtl/>
        </w:rPr>
        <w:t xml:space="preserve"> </w:t>
      </w:r>
      <w:r w:rsidRPr="007D06B1">
        <w:rPr>
          <w:rFonts w:cs="David" w:hint="eastAsia"/>
          <w:rtl/>
        </w:rPr>
        <w:t>המחייב</w:t>
      </w:r>
      <w:r w:rsidRPr="007D06B1">
        <w:rPr>
          <w:rFonts w:cs="David"/>
          <w:rtl/>
        </w:rPr>
        <w:t xml:space="preserve"> </w:t>
      </w:r>
      <w:r w:rsidRPr="007D06B1">
        <w:rPr>
          <w:rFonts w:cs="David" w:hint="eastAsia"/>
          <w:rtl/>
        </w:rPr>
        <w:t>את</w:t>
      </w:r>
      <w:r w:rsidRPr="007D06B1">
        <w:rPr>
          <w:rFonts w:cs="David"/>
          <w:rtl/>
        </w:rPr>
        <w:t xml:space="preserve"> </w:t>
      </w:r>
      <w:r w:rsidRPr="007D06B1">
        <w:rPr>
          <w:rFonts w:cs="David" w:hint="eastAsia"/>
          <w:rtl/>
        </w:rPr>
        <w:t>כל</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העולם</w:t>
      </w:r>
      <w:r w:rsidRPr="007D06B1">
        <w:rPr>
          <w:rFonts w:cs="David"/>
          <w:rtl/>
        </w:rPr>
        <w:t xml:space="preserve">. האמנה </w:t>
      </w:r>
      <w:r w:rsidRPr="007D06B1">
        <w:rPr>
          <w:rFonts w:cs="David" w:hint="eastAsia"/>
          <w:rtl/>
        </w:rPr>
        <w:t>חלה</w:t>
      </w:r>
      <w:r w:rsidRPr="007D06B1">
        <w:rPr>
          <w:rFonts w:cs="David"/>
          <w:rtl/>
        </w:rPr>
        <w:t xml:space="preserve"> </w:t>
      </w:r>
      <w:r w:rsidRPr="007D06B1">
        <w:rPr>
          <w:rFonts w:cs="David" w:hint="eastAsia"/>
          <w:rtl/>
        </w:rPr>
        <w:t>רק</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אמנות</w:t>
      </w:r>
      <w:r w:rsidRPr="007D06B1">
        <w:rPr>
          <w:rFonts w:cs="David"/>
          <w:rtl/>
        </w:rPr>
        <w:t xml:space="preserve"> </w:t>
      </w:r>
      <w:r w:rsidRPr="007D06B1">
        <w:rPr>
          <w:rFonts w:cs="David" w:hint="eastAsia"/>
          <w:rtl/>
        </w:rPr>
        <w:t>בכתב</w:t>
      </w:r>
      <w:r w:rsidRPr="007D06B1">
        <w:rPr>
          <w:rFonts w:cs="David"/>
          <w:rtl/>
        </w:rPr>
        <w:t xml:space="preserve"> </w:t>
      </w:r>
      <w:r w:rsidRPr="007D06B1">
        <w:rPr>
          <w:rFonts w:cs="David" w:hint="eastAsia"/>
          <w:rtl/>
        </w:rPr>
        <w:t>שנכרתו</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ואינה</w:t>
      </w:r>
      <w:r w:rsidRPr="007D06B1">
        <w:rPr>
          <w:rFonts w:cs="David"/>
          <w:rtl/>
        </w:rPr>
        <w:t xml:space="preserve"> </w:t>
      </w:r>
      <w:r w:rsidRPr="007D06B1">
        <w:rPr>
          <w:rFonts w:cs="David" w:hint="eastAsia"/>
          <w:rtl/>
        </w:rPr>
        <w:t>חלה</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אמנות</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לבין</w:t>
      </w:r>
      <w:r w:rsidRPr="007D06B1">
        <w:rPr>
          <w:rFonts w:cs="David"/>
          <w:rtl/>
        </w:rPr>
        <w:t xml:space="preserve"> </w:t>
      </w:r>
      <w:r w:rsidRPr="007D06B1">
        <w:rPr>
          <w:rFonts w:cs="David" w:hint="eastAsia"/>
          <w:rtl/>
        </w:rPr>
        <w:t>ארגונים</w:t>
      </w:r>
      <w:r w:rsidRPr="007D06B1">
        <w:rPr>
          <w:rFonts w:cs="David"/>
          <w:rtl/>
        </w:rPr>
        <w:t xml:space="preserve"> </w:t>
      </w:r>
      <w:r w:rsidRPr="007D06B1">
        <w:rPr>
          <w:rFonts w:cs="David" w:hint="eastAsia"/>
          <w:rtl/>
        </w:rPr>
        <w:t>בינלאומיים</w:t>
      </w:r>
      <w:r w:rsidRPr="007D06B1">
        <w:rPr>
          <w:rFonts w:cs="David"/>
          <w:rtl/>
        </w:rPr>
        <w:t xml:space="preserve"> </w:t>
      </w:r>
      <w:r w:rsidRPr="007D06B1">
        <w:rPr>
          <w:rFonts w:cs="David" w:hint="eastAsia"/>
          <w:rtl/>
        </w:rPr>
        <w:t>או</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ארגונים</w:t>
      </w:r>
      <w:r w:rsidRPr="007D06B1">
        <w:rPr>
          <w:rFonts w:cs="David"/>
          <w:rtl/>
        </w:rPr>
        <w:t xml:space="preserve"> </w:t>
      </w:r>
      <w:r w:rsidRPr="007D06B1">
        <w:rPr>
          <w:rFonts w:cs="David" w:hint="eastAsia"/>
          <w:rtl/>
        </w:rPr>
        <w:t>בינלאומיים</w:t>
      </w:r>
      <w:r w:rsidRPr="007D06B1">
        <w:rPr>
          <w:rFonts w:cs="David"/>
          <w:rtl/>
        </w:rPr>
        <w:t xml:space="preserve"> </w:t>
      </w:r>
      <w:r w:rsidRPr="007D06B1">
        <w:rPr>
          <w:rFonts w:cs="David" w:hint="eastAsia"/>
          <w:rtl/>
        </w:rPr>
        <w:t>לבין</w:t>
      </w:r>
      <w:r w:rsidRPr="007D06B1">
        <w:rPr>
          <w:rFonts w:cs="David"/>
          <w:rtl/>
        </w:rPr>
        <w:t xml:space="preserve"> </w:t>
      </w:r>
      <w:r w:rsidRPr="007D06B1">
        <w:rPr>
          <w:rFonts w:cs="David" w:hint="eastAsia"/>
          <w:rtl/>
        </w:rPr>
        <w:t>עצמם</w:t>
      </w:r>
      <w:r w:rsidRPr="007D06B1">
        <w:rPr>
          <w:rFonts w:cs="David"/>
          <w:rtl/>
        </w:rPr>
        <w:t xml:space="preserve">. </w:t>
      </w:r>
      <w:r w:rsidRPr="007D06B1">
        <w:rPr>
          <w:rFonts w:cs="David" w:hint="eastAsia"/>
          <w:rtl/>
        </w:rPr>
        <w:t>הכללים</w:t>
      </w:r>
      <w:r w:rsidRPr="007D06B1">
        <w:rPr>
          <w:rFonts w:cs="David"/>
          <w:rtl/>
        </w:rPr>
        <w:t xml:space="preserve"> </w:t>
      </w:r>
      <w:r w:rsidRPr="007D06B1">
        <w:rPr>
          <w:rFonts w:cs="David" w:hint="eastAsia"/>
          <w:rtl/>
        </w:rPr>
        <w:t>החלים</w:t>
      </w:r>
      <w:r w:rsidRPr="007D06B1">
        <w:rPr>
          <w:rFonts w:cs="David"/>
          <w:rtl/>
        </w:rPr>
        <w:t xml:space="preserve"> </w:t>
      </w:r>
      <w:r w:rsidRPr="007D06B1">
        <w:rPr>
          <w:rFonts w:cs="David" w:hint="eastAsia"/>
          <w:rtl/>
        </w:rPr>
        <w:t>על</w:t>
      </w:r>
      <w:r w:rsidRPr="007D06B1">
        <w:rPr>
          <w:rFonts w:cs="David"/>
          <w:rtl/>
        </w:rPr>
        <w:t xml:space="preserve"> </w:t>
      </w:r>
      <w:r w:rsidRPr="007D06B1">
        <w:rPr>
          <w:rFonts w:cs="David" w:hint="eastAsia"/>
          <w:rtl/>
        </w:rPr>
        <w:t>אמנות</w:t>
      </w:r>
      <w:r w:rsidRPr="007D06B1">
        <w:rPr>
          <w:rFonts w:cs="David"/>
          <w:rtl/>
        </w:rPr>
        <w:t xml:space="preserve"> </w:t>
      </w:r>
      <w:r w:rsidRPr="007D06B1">
        <w:rPr>
          <w:rFonts w:cs="David" w:hint="eastAsia"/>
          <w:rtl/>
        </w:rPr>
        <w:t>שארגונים</w:t>
      </w:r>
      <w:r w:rsidRPr="007D06B1">
        <w:rPr>
          <w:rFonts w:cs="David"/>
          <w:rtl/>
        </w:rPr>
        <w:t xml:space="preserve"> </w:t>
      </w:r>
      <w:r w:rsidRPr="007D06B1">
        <w:rPr>
          <w:rFonts w:cs="David" w:hint="eastAsia"/>
          <w:rtl/>
        </w:rPr>
        <w:t>בינלאומיים</w:t>
      </w:r>
      <w:r w:rsidRPr="007D06B1">
        <w:rPr>
          <w:rFonts w:cs="David"/>
          <w:rtl/>
        </w:rPr>
        <w:t xml:space="preserve"> </w:t>
      </w:r>
      <w:r w:rsidRPr="007D06B1">
        <w:rPr>
          <w:rFonts w:cs="David" w:hint="eastAsia"/>
          <w:rtl/>
        </w:rPr>
        <w:t>צד</w:t>
      </w:r>
      <w:r w:rsidRPr="007D06B1">
        <w:rPr>
          <w:rFonts w:cs="David"/>
          <w:rtl/>
        </w:rPr>
        <w:t xml:space="preserve"> </w:t>
      </w:r>
      <w:r w:rsidRPr="007D06B1">
        <w:rPr>
          <w:rFonts w:cs="David" w:hint="eastAsia"/>
          <w:rtl/>
        </w:rPr>
        <w:t>להם</w:t>
      </w:r>
      <w:r w:rsidRPr="007D06B1">
        <w:rPr>
          <w:rFonts w:cs="David"/>
          <w:rtl/>
        </w:rPr>
        <w:t xml:space="preserve"> </w:t>
      </w:r>
      <w:r w:rsidRPr="007D06B1">
        <w:rPr>
          <w:rFonts w:cs="David" w:hint="eastAsia"/>
          <w:rtl/>
        </w:rPr>
        <w:t>נקבעו</w:t>
      </w:r>
      <w:r w:rsidRPr="007D06B1">
        <w:rPr>
          <w:rFonts w:cs="David"/>
          <w:rtl/>
        </w:rPr>
        <w:t xml:space="preserve"> </w:t>
      </w:r>
      <w:r w:rsidRPr="007D06B1">
        <w:rPr>
          <w:rFonts w:cs="David" w:hint="eastAsia"/>
          <w:rtl/>
        </w:rPr>
        <w:t>באמנת</w:t>
      </w:r>
      <w:r w:rsidRPr="007D06B1">
        <w:rPr>
          <w:rFonts w:cs="David"/>
          <w:rtl/>
        </w:rPr>
        <w:t xml:space="preserve"> </w:t>
      </w:r>
      <w:r w:rsidRPr="007D06B1">
        <w:rPr>
          <w:rFonts w:cs="David" w:hint="eastAsia"/>
          <w:rtl/>
        </w:rPr>
        <w:t>וינה</w:t>
      </w:r>
      <w:r w:rsidRPr="007D06B1">
        <w:rPr>
          <w:rFonts w:cs="David"/>
          <w:rtl/>
        </w:rPr>
        <w:t xml:space="preserve"> </w:t>
      </w:r>
      <w:r w:rsidRPr="007D06B1">
        <w:rPr>
          <w:rFonts w:cs="David" w:hint="eastAsia"/>
          <w:rtl/>
        </w:rPr>
        <w:t>משנת</w:t>
      </w:r>
      <w:r w:rsidRPr="007D06B1">
        <w:rPr>
          <w:rFonts w:cs="David"/>
          <w:rtl/>
        </w:rPr>
        <w:t xml:space="preserve"> 1986 </w:t>
      </w:r>
      <w:r w:rsidRPr="007D06B1">
        <w:rPr>
          <w:rFonts w:cs="David" w:hint="eastAsia"/>
          <w:rtl/>
        </w:rPr>
        <w:t>בדבר</w:t>
      </w:r>
      <w:r w:rsidRPr="007D06B1">
        <w:rPr>
          <w:rFonts w:cs="David"/>
          <w:rtl/>
        </w:rPr>
        <w:t xml:space="preserve"> </w:t>
      </w:r>
      <w:r w:rsidRPr="007D06B1">
        <w:rPr>
          <w:rFonts w:cs="David" w:hint="eastAsia"/>
          <w:rtl/>
        </w:rPr>
        <w:t>אמנות</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מדינות</w:t>
      </w:r>
      <w:r w:rsidRPr="007D06B1">
        <w:rPr>
          <w:rFonts w:cs="David"/>
          <w:rtl/>
        </w:rPr>
        <w:t xml:space="preserve"> </w:t>
      </w:r>
      <w:r w:rsidRPr="007D06B1">
        <w:rPr>
          <w:rFonts w:cs="David" w:hint="eastAsia"/>
          <w:rtl/>
        </w:rPr>
        <w:t>לארגונים</w:t>
      </w:r>
      <w:r w:rsidRPr="007D06B1">
        <w:rPr>
          <w:rFonts w:cs="David"/>
          <w:rtl/>
        </w:rPr>
        <w:t xml:space="preserve"> </w:t>
      </w:r>
      <w:r w:rsidRPr="007D06B1">
        <w:rPr>
          <w:rFonts w:cs="David" w:hint="eastAsia"/>
          <w:rtl/>
        </w:rPr>
        <w:t>בינלאומיים</w:t>
      </w:r>
      <w:r w:rsidRPr="007D06B1">
        <w:rPr>
          <w:rFonts w:cs="David"/>
          <w:rtl/>
        </w:rPr>
        <w:t xml:space="preserve"> </w:t>
      </w:r>
      <w:r w:rsidRPr="007D06B1">
        <w:rPr>
          <w:rFonts w:cs="David" w:hint="eastAsia"/>
          <w:rtl/>
        </w:rPr>
        <w:t>ובין</w:t>
      </w:r>
      <w:r w:rsidRPr="007D06B1">
        <w:rPr>
          <w:rFonts w:cs="David"/>
          <w:rtl/>
        </w:rPr>
        <w:t xml:space="preserve"> </w:t>
      </w:r>
      <w:r w:rsidRPr="007D06B1">
        <w:rPr>
          <w:rFonts w:cs="David" w:hint="eastAsia"/>
          <w:rtl/>
        </w:rPr>
        <w:t>ארגונים</w:t>
      </w:r>
      <w:r w:rsidRPr="007D06B1">
        <w:rPr>
          <w:rFonts w:cs="David"/>
          <w:rtl/>
        </w:rPr>
        <w:t xml:space="preserve"> </w:t>
      </w:r>
      <w:r w:rsidRPr="007D06B1">
        <w:rPr>
          <w:rFonts w:cs="David" w:hint="eastAsia"/>
          <w:rtl/>
        </w:rPr>
        <w:t>בינלאומיים</w:t>
      </w:r>
      <w:r w:rsidRPr="007D06B1">
        <w:rPr>
          <w:rFonts w:cs="David"/>
          <w:rtl/>
        </w:rPr>
        <w:t xml:space="preserve"> </w:t>
      </w:r>
      <w:r w:rsidRPr="007D06B1">
        <w:rPr>
          <w:rFonts w:cs="David" w:hint="eastAsia"/>
          <w:rtl/>
        </w:rPr>
        <w:t>לבין</w:t>
      </w:r>
      <w:r w:rsidRPr="007D06B1">
        <w:rPr>
          <w:rFonts w:cs="David"/>
          <w:rtl/>
        </w:rPr>
        <w:t xml:space="preserve"> </w:t>
      </w:r>
      <w:r w:rsidRPr="007D06B1">
        <w:rPr>
          <w:rFonts w:cs="David" w:hint="eastAsia"/>
          <w:rtl/>
        </w:rPr>
        <w:t>עצמם</w:t>
      </w:r>
      <w:r w:rsidRPr="007D06B1">
        <w:rPr>
          <w:rFonts w:cs="David"/>
          <w:rtl/>
        </w:rPr>
        <w:t>.</w:t>
      </w:r>
    </w:p>
  </w:footnote>
  <w:footnote w:id="37">
    <w:p w14:paraId="748CCBB5" w14:textId="77777777" w:rsidR="002333C1" w:rsidRPr="007D06B1" w:rsidRDefault="002333C1">
      <w:pPr>
        <w:pStyle w:val="FootnoteText"/>
        <w:pPrChange w:id="139"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אמנת וינה בדבר </w:t>
      </w:r>
      <w:r w:rsidRPr="007D06B1">
        <w:rPr>
          <w:rFonts w:cs="David" w:hint="eastAsia"/>
          <w:u w:val="single"/>
          <w:rtl/>
        </w:rPr>
        <w:t>דיני</w:t>
      </w:r>
      <w:r w:rsidRPr="007D06B1">
        <w:rPr>
          <w:rFonts w:cs="David"/>
          <w:rtl/>
        </w:rPr>
        <w:t xml:space="preserve"> אמנות (נפתחה לחתימה בשנת 1969), סעיפים 26 ו-27. </w:t>
      </w:r>
    </w:p>
  </w:footnote>
  <w:footnote w:id="38">
    <w:p w14:paraId="748CCBB6" w14:textId="77777777" w:rsidR="002333C1" w:rsidRPr="007D06B1" w:rsidRDefault="002333C1">
      <w:pPr>
        <w:pStyle w:val="FootnoteText"/>
        <w:pPrChange w:id="140"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זכויות אדם </w:t>
      </w:r>
      <w:r w:rsidRPr="007D06B1">
        <w:rPr>
          <w:rFonts w:cs="David"/>
          <w:rtl/>
        </w:rPr>
        <w:t xml:space="preserve">– מבואי תיאורטי, ראה לעיל </w:t>
      </w:r>
      <w:proofErr w:type="spellStart"/>
      <w:r w:rsidRPr="007D06B1">
        <w:rPr>
          <w:rFonts w:cs="David"/>
          <w:rtl/>
        </w:rPr>
        <w:t>ה"ש</w:t>
      </w:r>
      <w:proofErr w:type="spellEnd"/>
      <w:r w:rsidRPr="007D06B1">
        <w:rPr>
          <w:rFonts w:cs="David"/>
          <w:rtl/>
        </w:rPr>
        <w:t xml:space="preserve"> 3 בעמ' 226-227;</w:t>
      </w:r>
      <w:r w:rsidRPr="007D06B1">
        <w:rPr>
          <w:rtl/>
        </w:rPr>
        <w:t xml:space="preserve"> </w:t>
      </w:r>
      <w:r w:rsidRPr="007D06B1">
        <w:rPr>
          <w:rFonts w:cs="David" w:hint="eastAsia"/>
          <w:rtl/>
        </w:rPr>
        <w:t>מדריך</w:t>
      </w:r>
      <w:r w:rsidRPr="007D06B1">
        <w:rPr>
          <w:rFonts w:cs="David"/>
          <w:rtl/>
        </w:rPr>
        <w:t xml:space="preserve"> </w:t>
      </w:r>
      <w:r w:rsidRPr="007D06B1">
        <w:rPr>
          <w:rFonts w:cs="David" w:hint="eastAsia"/>
          <w:rtl/>
        </w:rPr>
        <w:t>האמנה</w:t>
      </w:r>
      <w:r w:rsidRPr="007D06B1">
        <w:rPr>
          <w:rFonts w:cs="David"/>
          <w:rtl/>
        </w:rPr>
        <w:t xml:space="preserve"> </w:t>
      </w:r>
      <w:r w:rsidRPr="007D06B1">
        <w:rPr>
          <w:rFonts w:cs="David" w:hint="eastAsia"/>
          <w:rtl/>
        </w:rPr>
        <w:t>בדבר</w:t>
      </w:r>
      <w:r w:rsidRPr="007D06B1">
        <w:rPr>
          <w:rFonts w:cs="David"/>
          <w:rtl/>
        </w:rPr>
        <w:t xml:space="preserve"> </w:t>
      </w:r>
      <w:r w:rsidRPr="007D06B1">
        <w:rPr>
          <w:rFonts w:cs="David" w:hint="eastAsia"/>
          <w:rtl/>
        </w:rPr>
        <w:t>ביטול</w:t>
      </w:r>
      <w:r w:rsidRPr="007D06B1">
        <w:rPr>
          <w:rFonts w:cs="David"/>
          <w:rtl/>
        </w:rPr>
        <w:t xml:space="preserve"> </w:t>
      </w:r>
      <w:r w:rsidRPr="007D06B1">
        <w:rPr>
          <w:rFonts w:cs="David" w:hint="eastAsia"/>
          <w:rtl/>
        </w:rPr>
        <w:t>אפליה</w:t>
      </w:r>
      <w:r w:rsidRPr="007D06B1">
        <w:rPr>
          <w:rFonts w:cs="David"/>
          <w:rtl/>
        </w:rPr>
        <w:t xml:space="preserve"> </w:t>
      </w:r>
      <w:r w:rsidRPr="007D06B1">
        <w:rPr>
          <w:rFonts w:cs="David" w:hint="eastAsia"/>
          <w:rtl/>
        </w:rPr>
        <w:t>נגד</w:t>
      </w:r>
      <w:r w:rsidRPr="007D06B1">
        <w:rPr>
          <w:rFonts w:cs="David"/>
          <w:rtl/>
        </w:rPr>
        <w:t xml:space="preserve"> </w:t>
      </w:r>
      <w:r w:rsidRPr="007D06B1">
        <w:rPr>
          <w:rFonts w:cs="David" w:hint="eastAsia"/>
          <w:rtl/>
        </w:rPr>
        <w:t>נשים</w:t>
      </w:r>
      <w:r w:rsidRPr="007D06B1">
        <w:rPr>
          <w:rFonts w:cs="David"/>
          <w:rtl/>
        </w:rPr>
        <w:t xml:space="preserve"> </w:t>
      </w:r>
      <w:r w:rsidRPr="007D06B1">
        <w:rPr>
          <w:rFonts w:cs="David" w:hint="eastAsia"/>
          <w:rtl/>
        </w:rPr>
        <w:t>לצורותיה</w:t>
      </w:r>
      <w:r w:rsidRPr="007D06B1">
        <w:rPr>
          <w:rFonts w:cs="David"/>
          <w:rtl/>
        </w:rPr>
        <w:t xml:space="preserve">, </w:t>
      </w:r>
      <w:r w:rsidRPr="007D06B1">
        <w:rPr>
          <w:rFonts w:cs="David" w:hint="eastAsia"/>
          <w:rtl/>
        </w:rPr>
        <w:t>ראה</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31, </w:t>
      </w:r>
      <w:r w:rsidRPr="007D06B1">
        <w:rPr>
          <w:rFonts w:cs="David" w:hint="eastAsia"/>
          <w:rtl/>
        </w:rPr>
        <w:t>בעמ</w:t>
      </w:r>
      <w:r w:rsidRPr="007D06B1">
        <w:rPr>
          <w:rFonts w:cs="David"/>
          <w:rtl/>
        </w:rPr>
        <w:t>' 9.</w:t>
      </w:r>
      <w:r w:rsidRPr="007D06B1">
        <w:rPr>
          <w:rtl/>
        </w:rPr>
        <w:t xml:space="preserve"> </w:t>
      </w:r>
    </w:p>
  </w:footnote>
  <w:footnote w:id="39">
    <w:p w14:paraId="748CCBB7" w14:textId="4534A695" w:rsidR="002333C1" w:rsidRPr="00DA450B" w:rsidRDefault="002333C1">
      <w:pPr>
        <w:pStyle w:val="FootnoteText"/>
        <w:rPr>
          <w:rtl/>
        </w:rPr>
        <w:pPrChange w:id="141" w:author="Author">
          <w:pPr>
            <w:pStyle w:val="FootnoteText"/>
            <w:bidi w:val="0"/>
          </w:pPr>
        </w:pPrChange>
      </w:pPr>
      <w:r w:rsidRPr="00D5325A">
        <w:rPr>
          <w:rStyle w:val="FootnoteReference"/>
        </w:rPr>
        <w:footnoteRef/>
      </w:r>
      <w:r w:rsidRPr="00D5325A">
        <w:rPr>
          <w:rtl/>
        </w:rPr>
        <w:t xml:space="preserve"> </w:t>
      </w:r>
      <w:ins w:id="142" w:author="Author">
        <w:r>
          <w:t>UN/</w:t>
        </w:r>
      </w:ins>
      <w:r w:rsidRPr="003918B1">
        <w:rPr>
          <w:rFonts w:asciiTheme="majorBidi" w:hAnsiTheme="majorBidi" w:cstheme="majorBidi"/>
          <w:rPrChange w:id="143" w:author="Author">
            <w:rPr>
              <w:rFonts w:cs="David"/>
            </w:rPr>
          </w:rPrChange>
        </w:rPr>
        <w:t>CCPR</w:t>
      </w:r>
      <w:ins w:id="144" w:author="Author">
        <w:r>
          <w:rPr>
            <w:rFonts w:asciiTheme="majorBidi" w:hAnsiTheme="majorBidi" w:cstheme="majorBidi"/>
          </w:rPr>
          <w:t>, T</w:t>
        </w:r>
        <w:r w:rsidRPr="003918B1">
          <w:rPr>
            <w:rFonts w:asciiTheme="majorBidi" w:hAnsiTheme="majorBidi" w:cstheme="majorBidi"/>
            <w:i/>
            <w:iCs/>
            <w:rPrChange w:id="145" w:author="Author">
              <w:rPr>
                <w:rFonts w:asciiTheme="majorBidi" w:hAnsiTheme="majorBidi" w:cstheme="majorBidi"/>
              </w:rPr>
            </w:rPrChange>
          </w:rPr>
          <w:t xml:space="preserve">he Nature of the General Legal Obligation Imposed on State Parties to the Covenant, </w:t>
        </w:r>
        <w:r>
          <w:rPr>
            <w:rFonts w:asciiTheme="majorBidi" w:hAnsiTheme="majorBidi" w:cstheme="majorBidi"/>
          </w:rPr>
          <w:t>General Comment, CCPR/C/ 31</w:t>
        </w:r>
      </w:ins>
      <w:del w:id="146" w:author="Author">
        <w:r w:rsidRPr="003918B1" w:rsidDel="00D47400">
          <w:rPr>
            <w:rFonts w:asciiTheme="majorBidi" w:hAnsiTheme="majorBidi" w:cstheme="majorBidi"/>
            <w:rPrChange w:id="147" w:author="Author">
              <w:rPr>
                <w:rFonts w:cs="David"/>
              </w:rPr>
            </w:rPrChange>
          </w:rPr>
          <w:delText>/C/21</w:delText>
        </w:r>
      </w:del>
      <w:r w:rsidRPr="003918B1">
        <w:rPr>
          <w:rFonts w:asciiTheme="majorBidi" w:hAnsiTheme="majorBidi" w:cstheme="majorBidi"/>
          <w:rPrChange w:id="148" w:author="Author">
            <w:rPr>
              <w:rFonts w:cs="David"/>
            </w:rPr>
          </w:rPrChange>
        </w:rPr>
        <w:t>/Rev.1/Add.13</w:t>
      </w:r>
      <w:ins w:id="149" w:author="Author">
        <w:r>
          <w:rPr>
            <w:rFonts w:asciiTheme="majorBidi" w:hAnsiTheme="majorBidi" w:cstheme="majorBidi"/>
          </w:rPr>
          <w:t xml:space="preserve">, 26 May 2004 </w:t>
        </w:r>
        <w:r>
          <w:rPr>
            <w:rFonts w:ascii="Calibri" w:hAnsi="Calibri" w:cs="Calibri"/>
          </w:rPr>
          <w:t>&lt;</w:t>
        </w:r>
        <w:r w:rsidRPr="00D47400">
          <w:t xml:space="preserve"> </w:t>
        </w:r>
        <w:r>
          <w:rPr>
            <w:rFonts w:ascii="Calibri" w:hAnsi="Calibri" w:cs="Calibri"/>
          </w:rPr>
          <w:fldChar w:fldCharType="begin"/>
        </w:r>
        <w:r>
          <w:rPr>
            <w:rFonts w:ascii="Calibri" w:hAnsi="Calibri" w:cs="Calibri"/>
          </w:rPr>
          <w:instrText xml:space="preserve"> HYPERLINK "</w:instrText>
        </w:r>
        <w:r w:rsidRPr="00D47400">
          <w:rPr>
            <w:rFonts w:ascii="Calibri" w:hAnsi="Calibri" w:cs="Calibri"/>
          </w:rPr>
          <w:instrText>https://undocs.org/CCPR/C/21/Rev.1/Add.13</w:instrText>
        </w:r>
        <w:r>
          <w:rPr>
            <w:rFonts w:ascii="Calibri" w:hAnsi="Calibri" w:cs="Calibri"/>
          </w:rPr>
          <w:instrText xml:space="preserve">" </w:instrText>
        </w:r>
        <w:r>
          <w:rPr>
            <w:rFonts w:ascii="Calibri" w:hAnsi="Calibri" w:cs="Calibri"/>
          </w:rPr>
          <w:fldChar w:fldCharType="separate"/>
        </w:r>
        <w:r w:rsidRPr="00CE31FD">
          <w:rPr>
            <w:rStyle w:val="Hyperlink"/>
            <w:rFonts w:ascii="Calibri" w:hAnsi="Calibri" w:cs="Calibri"/>
          </w:rPr>
          <w:t>https://undocs.org/CCPR/C/21/Rev.1/Add.13</w:t>
        </w:r>
        <w:r>
          <w:rPr>
            <w:rFonts w:ascii="Calibri" w:hAnsi="Calibri" w:cs="Calibri"/>
          </w:rPr>
          <w:fldChar w:fldCharType="end"/>
        </w:r>
        <w:r>
          <w:rPr>
            <w:rFonts w:ascii="Calibri" w:hAnsi="Calibri" w:cs="Calibri"/>
          </w:rPr>
          <w:t xml:space="preserve"> &gt;</w:t>
        </w:r>
        <w:r>
          <w:rPr>
            <w:rFonts w:asciiTheme="majorBidi" w:hAnsiTheme="majorBidi" w:cstheme="majorBidi"/>
          </w:rPr>
          <w:t>.</w:t>
        </w:r>
      </w:ins>
    </w:p>
  </w:footnote>
  <w:footnote w:id="40">
    <w:p w14:paraId="748CCBB8" w14:textId="77777777" w:rsidR="002333C1" w:rsidRPr="00DA450B" w:rsidRDefault="002333C1">
      <w:pPr>
        <w:pStyle w:val="FootnoteText"/>
        <w:rPr>
          <w:rtl/>
        </w:rPr>
        <w:pPrChange w:id="150" w:author="Author">
          <w:pPr>
            <w:pStyle w:val="FootnoteText"/>
            <w:bidi w:val="0"/>
          </w:pPr>
        </w:pPrChange>
      </w:pPr>
      <w:r w:rsidRPr="00D5325A">
        <w:rPr>
          <w:rStyle w:val="FootnoteReference"/>
        </w:rPr>
        <w:footnoteRef/>
      </w:r>
      <w:r w:rsidRPr="00D5325A">
        <w:rPr>
          <w:rtl/>
        </w:rPr>
        <w:t xml:space="preserve"> </w:t>
      </w:r>
      <w:r w:rsidRPr="003918B1">
        <w:rPr>
          <w:rFonts w:asciiTheme="majorBidi" w:hAnsiTheme="majorBidi" w:cstheme="majorBidi"/>
          <w:rPrChange w:id="151" w:author="Author">
            <w:rPr>
              <w:highlight w:val="yellow"/>
            </w:rPr>
          </w:rPrChange>
        </w:rPr>
        <w:t>Para. 4, General comment No. 31: The Nature of the General Legal Obligation. Adopted on 29th March 2004, its 2187 meeting</w:t>
      </w:r>
      <w:r w:rsidRPr="00D5325A">
        <w:t>.</w:t>
      </w:r>
    </w:p>
  </w:footnote>
  <w:footnote w:id="41">
    <w:p w14:paraId="748CCBB9" w14:textId="0AAE3276" w:rsidR="002333C1" w:rsidRPr="00D5325A" w:rsidRDefault="002333C1">
      <w:pPr>
        <w:pStyle w:val="FootnoteText"/>
        <w:rPr>
          <w:rtl/>
        </w:rPr>
        <w:pPrChange w:id="152" w:author="Author">
          <w:pPr>
            <w:pStyle w:val="FootnoteText"/>
            <w:bidi w:val="0"/>
          </w:pPr>
        </w:pPrChange>
      </w:pPr>
      <w:r w:rsidRPr="00D5325A">
        <w:rPr>
          <w:rStyle w:val="FootnoteReference"/>
        </w:rPr>
        <w:footnoteRef/>
      </w:r>
      <w:r w:rsidRPr="00D5325A">
        <w:rPr>
          <w:rtl/>
        </w:rPr>
        <w:t xml:space="preserve"> </w:t>
      </w:r>
      <w:r w:rsidRPr="003918B1">
        <w:rPr>
          <w:rFonts w:asciiTheme="majorBidi" w:hAnsiTheme="majorBidi" w:cstheme="majorBidi"/>
          <w:rPrChange w:id="153" w:author="Author">
            <w:rPr/>
          </w:rPrChange>
        </w:rPr>
        <w:t>Para. 13, General comment No. 31: The Nature of the General Legal Obligation. Adopted on 29th March 2004, its 2187 meeting</w:t>
      </w:r>
      <w:ins w:id="154" w:author="Author">
        <w:r>
          <w:rPr>
            <w:rFonts w:asciiTheme="majorBidi" w:hAnsiTheme="majorBidi" w:cstheme="majorBidi"/>
          </w:rPr>
          <w:t>.</w:t>
        </w:r>
      </w:ins>
    </w:p>
  </w:footnote>
  <w:footnote w:id="42">
    <w:p w14:paraId="748CCBBA" w14:textId="77777777" w:rsidR="002333C1" w:rsidRPr="007D06B1" w:rsidRDefault="002333C1">
      <w:pPr>
        <w:pStyle w:val="FootnoteText"/>
        <w:rPr>
          <w:rtl/>
        </w:rPr>
        <w:pPrChange w:id="155"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מדריך האמנה, לעיל </w:t>
      </w:r>
      <w:proofErr w:type="spellStart"/>
      <w:r w:rsidRPr="00DA450B">
        <w:rPr>
          <w:rFonts w:cs="David" w:hint="cs"/>
          <w:rtl/>
        </w:rPr>
        <w:t>ה"ש</w:t>
      </w:r>
      <w:proofErr w:type="spellEnd"/>
      <w:r w:rsidRPr="00DA450B">
        <w:rPr>
          <w:rFonts w:cs="David" w:hint="cs"/>
          <w:rtl/>
        </w:rPr>
        <w:t xml:space="preserve"> 31, עמ'</w:t>
      </w:r>
      <w:r w:rsidRPr="007D06B1">
        <w:rPr>
          <w:rtl/>
        </w:rPr>
        <w:t xml:space="preserve"> 11;  </w:t>
      </w:r>
      <w:r w:rsidRPr="007D06B1">
        <w:rPr>
          <w:rFonts w:cs="David" w:hint="eastAsia"/>
          <w:rtl/>
        </w:rPr>
        <w:t>אמנת</w:t>
      </w:r>
      <w:r w:rsidRPr="007D06B1">
        <w:rPr>
          <w:rFonts w:cs="David"/>
          <w:rtl/>
        </w:rPr>
        <w:t xml:space="preserve"> וינה, לעיל </w:t>
      </w:r>
      <w:proofErr w:type="spellStart"/>
      <w:r w:rsidRPr="007D06B1">
        <w:rPr>
          <w:rFonts w:cs="David"/>
          <w:rtl/>
        </w:rPr>
        <w:t>ה"ש</w:t>
      </w:r>
      <w:proofErr w:type="spellEnd"/>
      <w:r w:rsidRPr="007D06B1">
        <w:rPr>
          <w:rFonts w:cs="David"/>
          <w:rtl/>
        </w:rPr>
        <w:t xml:space="preserve"> 32, סעיף 19. </w:t>
      </w:r>
      <w:r w:rsidRPr="007D06B1">
        <w:rPr>
          <w:rtl/>
        </w:rPr>
        <w:t xml:space="preserve"> </w:t>
      </w:r>
    </w:p>
  </w:footnote>
  <w:footnote w:id="43">
    <w:p w14:paraId="748CCBBB" w14:textId="542E2716" w:rsidR="002333C1" w:rsidRPr="007D06B1" w:rsidRDefault="002333C1">
      <w:pPr>
        <w:pStyle w:val="FootnoteText"/>
        <w:rPr>
          <w:rtl/>
        </w:rPr>
        <w:pPrChange w:id="156" w:author="Author">
          <w:pPr>
            <w:pStyle w:val="FootnoteText"/>
            <w:bidi w:val="0"/>
          </w:pPr>
        </w:pPrChange>
      </w:pPr>
      <w:r w:rsidRPr="00D5325A">
        <w:rPr>
          <w:rStyle w:val="FootnoteReference"/>
        </w:rPr>
        <w:footnoteRef/>
      </w:r>
      <w:r w:rsidRPr="00D5325A">
        <w:rPr>
          <w:rtl/>
        </w:rPr>
        <w:t xml:space="preserve"> </w:t>
      </w:r>
      <w:ins w:id="157" w:author="Author">
        <w:r w:rsidRPr="00DA450B">
          <w:rPr>
            <w:rFonts w:asciiTheme="majorBidi" w:hAnsiTheme="majorBidi" w:cstheme="majorBidi"/>
            <w:smallCaps/>
          </w:rPr>
          <w:t>Posner,</w:t>
        </w:r>
        <w:r w:rsidRPr="007D06B1">
          <w:rPr>
            <w:rFonts w:asciiTheme="majorBidi" w:hAnsiTheme="majorBidi" w:cstheme="majorBidi"/>
            <w:smallCaps/>
          </w:rPr>
          <w:t xml:space="preserve"> Twilight of Human Rights Law;</w:t>
        </w:r>
        <w:r w:rsidRPr="007D06B1" w:rsidDel="00A47A90">
          <w:rPr>
            <w:rFonts w:cs="David"/>
          </w:rPr>
          <w:t xml:space="preserve"> </w:t>
        </w:r>
      </w:ins>
      <w:del w:id="158" w:author="Author">
        <w:r w:rsidRPr="007D06B1" w:rsidDel="00A47A90">
          <w:rPr>
            <w:rFonts w:cs="David"/>
          </w:rPr>
          <w:delText>The twilight of human rights law</w:delText>
        </w:r>
      </w:del>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28</w:t>
      </w:r>
      <w:r w:rsidRPr="007D06B1">
        <w:rPr>
          <w:rtl/>
        </w:rPr>
        <w:t xml:space="preserve">; </w:t>
      </w:r>
      <w:r w:rsidRPr="007D06B1">
        <w:rPr>
          <w:rFonts w:cs="David" w:hint="eastAsia"/>
          <w:rtl/>
        </w:rPr>
        <w:t>זכויות</w:t>
      </w:r>
      <w:r w:rsidRPr="007D06B1">
        <w:rPr>
          <w:rFonts w:cs="David"/>
          <w:rtl/>
        </w:rPr>
        <w:t xml:space="preserve"> אדם – מבואי תיאורטי, ראה לעיל </w:t>
      </w:r>
      <w:proofErr w:type="spellStart"/>
      <w:r w:rsidRPr="007D06B1">
        <w:rPr>
          <w:rFonts w:cs="David"/>
          <w:rtl/>
        </w:rPr>
        <w:t>ה"ש</w:t>
      </w:r>
      <w:proofErr w:type="spellEnd"/>
      <w:r w:rsidRPr="007D06B1">
        <w:rPr>
          <w:rFonts w:cs="David"/>
          <w:rtl/>
        </w:rPr>
        <w:t xml:space="preserve"> 3 בעמ' 222; 226-227. </w:t>
      </w:r>
    </w:p>
  </w:footnote>
  <w:footnote w:id="44">
    <w:p w14:paraId="748CCBBC" w14:textId="3F9D4CCD" w:rsidR="002333C1" w:rsidRPr="007D06B1" w:rsidRDefault="002333C1">
      <w:pPr>
        <w:pStyle w:val="FootnoteText"/>
        <w:rPr>
          <w:rtl/>
        </w:rPr>
        <w:pPrChange w:id="159" w:author="Author">
          <w:pPr>
            <w:pStyle w:val="FootnoteText"/>
            <w:bidi w:val="0"/>
          </w:pPr>
        </w:pPrChange>
      </w:pPr>
      <w:r w:rsidRPr="00D5325A">
        <w:rPr>
          <w:rStyle w:val="FootnoteReference"/>
        </w:rPr>
        <w:footnoteRef/>
      </w:r>
      <w:r w:rsidRPr="00D5325A">
        <w:rPr>
          <w:rtl/>
        </w:rPr>
        <w:t xml:space="preserve"> </w:t>
      </w:r>
      <w:ins w:id="160" w:author="Author">
        <w:r w:rsidRPr="00E5235E">
          <w:rPr>
            <w:iCs/>
            <w:rPrChange w:id="161" w:author="Author">
              <w:rPr/>
            </w:rPrChange>
          </w:rPr>
          <w:t>UNGA,</w:t>
        </w:r>
        <w:r w:rsidRPr="003918B1">
          <w:rPr>
            <w:i/>
            <w:iCs/>
            <w:rPrChange w:id="162" w:author="Author">
              <w:rPr/>
            </w:rPrChange>
          </w:rPr>
          <w:t xml:space="preserve"> Promotion and Protection of Human </w:t>
        </w:r>
        <w:r w:rsidRPr="003918B1">
          <w:t>Rights</w:t>
        </w:r>
        <w:r w:rsidR="0035169A">
          <w:t xml:space="preserve">, </w:t>
        </w:r>
        <w:r w:rsidR="0035169A" w:rsidRPr="003918B1">
          <w:rPr>
            <w:i/>
            <w:iCs/>
            <w:rPrChange w:id="163" w:author="Author">
              <w:rPr/>
            </w:rPrChange>
          </w:rPr>
          <w:t>supra</w:t>
        </w:r>
        <w:r w:rsidR="0035169A">
          <w:t>, note</w:t>
        </w:r>
        <w:r w:rsidR="00E5235E">
          <w:t xml:space="preserve"> </w:t>
        </w:r>
        <w:r w:rsidR="0035169A">
          <w:t>30</w:t>
        </w:r>
      </w:ins>
      <w:del w:id="164" w:author="Author">
        <w:r w:rsidRPr="003918B1" w:rsidDel="00D47400">
          <w:rPr>
            <w:i/>
            <w:iCs/>
            <w:position w:val="-4"/>
            <w:rPrChange w:id="165" w:author="Author">
              <w:rPr>
                <w:position w:val="-4"/>
              </w:rPr>
            </w:rPrChange>
          </w:rPr>
          <w:delText>A/73/309</w:delText>
        </w:r>
        <w:r w:rsidRPr="003918B1" w:rsidDel="00D47400">
          <w:rPr>
            <w:rFonts w:cs="David"/>
            <w:i/>
            <w:iCs/>
            <w:rtl/>
            <w:rPrChange w:id="166" w:author="Author">
              <w:rPr>
                <w:rFonts w:cs="David"/>
                <w:rtl/>
              </w:rPr>
            </w:rPrChange>
          </w:rPr>
          <w:delText>;</w:delText>
        </w:r>
      </w:del>
      <w:r w:rsidRPr="003918B1">
        <w:rPr>
          <w:rFonts w:cs="David"/>
          <w:i/>
          <w:iCs/>
          <w:rtl/>
          <w:rPrChange w:id="167" w:author="Author">
            <w:rPr>
              <w:rFonts w:cs="David"/>
              <w:rtl/>
            </w:rPr>
          </w:rPrChange>
        </w:rPr>
        <w:t xml:space="preserve"> </w:t>
      </w:r>
      <w:ins w:id="168" w:author="Author">
        <w:r>
          <w:rPr>
            <w:rFonts w:cs="David"/>
          </w:rPr>
          <w:t>;</w:t>
        </w:r>
      </w:ins>
      <w:r w:rsidRPr="007D06B1">
        <w:rPr>
          <w:rFonts w:cs="David" w:hint="eastAsia"/>
          <w:rtl/>
        </w:rPr>
        <w:t>מדריך</w:t>
      </w:r>
      <w:r w:rsidRPr="007D06B1">
        <w:rPr>
          <w:rFonts w:cs="David"/>
          <w:rtl/>
        </w:rPr>
        <w:t xml:space="preserve"> </w:t>
      </w:r>
      <w:r w:rsidRPr="007D06B1">
        <w:rPr>
          <w:rFonts w:cs="David" w:hint="eastAsia"/>
          <w:rtl/>
        </w:rPr>
        <w:t>האמנה</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31 </w:t>
      </w:r>
      <w:r w:rsidRPr="007D06B1">
        <w:rPr>
          <w:rFonts w:cs="David" w:hint="eastAsia"/>
          <w:rtl/>
        </w:rPr>
        <w:t>בעמ</w:t>
      </w:r>
      <w:r w:rsidRPr="007D06B1">
        <w:rPr>
          <w:rFonts w:cs="David"/>
          <w:rtl/>
        </w:rPr>
        <w:t>' 10</w:t>
      </w:r>
      <w:r w:rsidRPr="007D06B1">
        <w:rPr>
          <w:rtl/>
        </w:rPr>
        <w:t xml:space="preserve"> </w:t>
      </w:r>
    </w:p>
  </w:footnote>
  <w:footnote w:id="45">
    <w:p w14:paraId="748CCBBD" w14:textId="77777777" w:rsidR="002333C1" w:rsidRPr="007D06B1" w:rsidRDefault="002333C1">
      <w:pPr>
        <w:pStyle w:val="FootnoteText"/>
        <w:pPrChange w:id="169"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מדריך האמנה, לעיל </w:t>
      </w:r>
      <w:proofErr w:type="spellStart"/>
      <w:r w:rsidRPr="00DA450B">
        <w:rPr>
          <w:rFonts w:cs="David" w:hint="cs"/>
          <w:rtl/>
        </w:rPr>
        <w:t>ה"ש</w:t>
      </w:r>
      <w:proofErr w:type="spellEnd"/>
      <w:r w:rsidRPr="00DA450B">
        <w:rPr>
          <w:rFonts w:cs="David" w:hint="cs"/>
          <w:rtl/>
        </w:rPr>
        <w:t xml:space="preserve"> 31 בעמ' 10</w:t>
      </w:r>
      <w:r w:rsidRPr="007D06B1">
        <w:rPr>
          <w:rtl/>
        </w:rPr>
        <w:t xml:space="preserve">; </w:t>
      </w:r>
      <w:r w:rsidRPr="007D06B1">
        <w:rPr>
          <w:rFonts w:cs="David" w:hint="eastAsia"/>
          <w:rtl/>
        </w:rPr>
        <w:t>זכויות</w:t>
      </w:r>
      <w:r w:rsidRPr="007D06B1">
        <w:rPr>
          <w:rFonts w:cs="David"/>
          <w:rtl/>
        </w:rPr>
        <w:t xml:space="preserve"> אדם – מבואי תיאורטי, לעיל </w:t>
      </w:r>
      <w:proofErr w:type="spellStart"/>
      <w:r w:rsidRPr="007D06B1">
        <w:rPr>
          <w:rFonts w:cs="David"/>
          <w:rtl/>
        </w:rPr>
        <w:t>ה"ש</w:t>
      </w:r>
      <w:proofErr w:type="spellEnd"/>
      <w:r w:rsidRPr="007D06B1">
        <w:rPr>
          <w:rFonts w:cs="David"/>
          <w:rtl/>
        </w:rPr>
        <w:t xml:space="preserve"> 36.</w:t>
      </w:r>
      <w:r w:rsidRPr="007D06B1">
        <w:rPr>
          <w:rtl/>
        </w:rPr>
        <w:t xml:space="preserve"> </w:t>
      </w:r>
    </w:p>
  </w:footnote>
  <w:footnote w:id="46">
    <w:p w14:paraId="748CCBBE" w14:textId="77777777" w:rsidR="002333C1" w:rsidRPr="007D06B1" w:rsidRDefault="002333C1">
      <w:pPr>
        <w:pStyle w:val="FootnoteText"/>
        <w:rPr>
          <w:rtl/>
        </w:rPr>
        <w:pPrChange w:id="170"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זכויות אדם </w:t>
      </w:r>
      <w:r w:rsidRPr="007D06B1">
        <w:rPr>
          <w:rFonts w:cs="David"/>
          <w:rtl/>
        </w:rPr>
        <w:t>– מבואי תיאורטי</w:t>
      </w:r>
      <w:r w:rsidRPr="007D06B1">
        <w:rPr>
          <w:rtl/>
        </w:rPr>
        <w:t xml:space="preserve">, </w:t>
      </w:r>
      <w:r w:rsidRPr="007D06B1">
        <w:rPr>
          <w:rFonts w:cs="David" w:hint="eastAsia"/>
          <w:rtl/>
        </w:rPr>
        <w:t>שם</w:t>
      </w:r>
      <w:r w:rsidRPr="007D06B1">
        <w:rPr>
          <w:rtl/>
        </w:rPr>
        <w:t xml:space="preserve">. </w:t>
      </w:r>
    </w:p>
  </w:footnote>
  <w:footnote w:id="47">
    <w:p w14:paraId="748CCBBF" w14:textId="77777777" w:rsidR="002333C1" w:rsidRPr="007D06B1" w:rsidRDefault="002333C1">
      <w:pPr>
        <w:pStyle w:val="FootnoteText"/>
        <w:rPr>
          <w:rtl/>
        </w:rPr>
        <w:pPrChange w:id="171"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מדריך האמנה, לעיל </w:t>
      </w:r>
      <w:proofErr w:type="spellStart"/>
      <w:r w:rsidRPr="00DA450B">
        <w:rPr>
          <w:rFonts w:cs="David" w:hint="cs"/>
          <w:rtl/>
        </w:rPr>
        <w:t>ה"ש</w:t>
      </w:r>
      <w:proofErr w:type="spellEnd"/>
      <w:r w:rsidRPr="00DA450B">
        <w:rPr>
          <w:rFonts w:cs="David" w:hint="cs"/>
          <w:rtl/>
        </w:rPr>
        <w:t xml:space="preserve"> </w:t>
      </w:r>
      <w:r w:rsidRPr="007D06B1">
        <w:rPr>
          <w:rFonts w:cs="David"/>
          <w:rtl/>
        </w:rPr>
        <w:t xml:space="preserve">37. </w:t>
      </w:r>
    </w:p>
  </w:footnote>
  <w:footnote w:id="48">
    <w:p w14:paraId="748CCBC0" w14:textId="3678244A" w:rsidR="002333C1" w:rsidRPr="007D06B1" w:rsidRDefault="002333C1">
      <w:pPr>
        <w:pStyle w:val="FootnoteText"/>
        <w:pPrChange w:id="172" w:author="Author">
          <w:pPr>
            <w:pStyle w:val="FootnoteText"/>
            <w:bidi w:val="0"/>
          </w:pPr>
        </w:pPrChange>
      </w:pPr>
      <w:r w:rsidRPr="00D5325A">
        <w:rPr>
          <w:rStyle w:val="FootnoteReference"/>
        </w:rPr>
        <w:footnoteRef/>
      </w:r>
      <w:del w:id="173" w:author="Author">
        <w:r w:rsidRPr="00D5325A" w:rsidDel="002333C1">
          <w:rPr>
            <w:rtl/>
          </w:rPr>
          <w:delText xml:space="preserve"> </w:delText>
        </w:r>
        <w:r w:rsidRPr="00DA450B" w:rsidDel="002333C1">
          <w:delText>A/RES/68/268</w:delText>
        </w:r>
      </w:del>
      <w:ins w:id="174" w:author="Author">
        <w:r>
          <w:t>G. A Res. 68/268, Strengthening and Enhancing the Effective Functioning of the Human Rights Treaty Body System (</w:t>
        </w:r>
        <w:del w:id="175" w:author="Author">
          <w:r w:rsidDel="00E5235E">
            <w:delText xml:space="preserve">21 </w:delText>
          </w:r>
        </w:del>
        <w:r>
          <w:t>April</w:t>
        </w:r>
        <w:r w:rsidR="00E5235E">
          <w:t xml:space="preserve"> 21</w:t>
        </w:r>
        <w:r>
          <w:t xml:space="preserve">, 2014) </w:t>
        </w:r>
      </w:ins>
    </w:p>
  </w:footnote>
  <w:footnote w:id="49">
    <w:p w14:paraId="748CCBC1" w14:textId="77777777" w:rsidR="002333C1" w:rsidRPr="007D06B1" w:rsidRDefault="002333C1">
      <w:pPr>
        <w:pStyle w:val="FootnoteText"/>
        <w:rPr>
          <w:rtl/>
        </w:rPr>
        <w:pPrChange w:id="176" w:author="Author">
          <w:pPr>
            <w:pStyle w:val="FootnoteText"/>
            <w:bidi w:val="0"/>
          </w:pPr>
        </w:pPrChange>
      </w:pPr>
      <w:r w:rsidRPr="00D5325A">
        <w:rPr>
          <w:rStyle w:val="FootnoteReference"/>
        </w:rPr>
        <w:footnoteRef/>
      </w:r>
      <w:r w:rsidRPr="00D5325A">
        <w:rPr>
          <w:rtl/>
        </w:rPr>
        <w:t xml:space="preserve"> </w:t>
      </w:r>
      <w:r w:rsidRPr="00DA450B">
        <w:rPr>
          <w:rFonts w:cs="David" w:hint="cs"/>
          <w:rtl/>
        </w:rPr>
        <w:t>שם, בעמ' 11.</w:t>
      </w:r>
      <w:r w:rsidRPr="007D06B1">
        <w:rPr>
          <w:rtl/>
        </w:rPr>
        <w:t xml:space="preserve">  </w:t>
      </w:r>
    </w:p>
  </w:footnote>
  <w:footnote w:id="50">
    <w:p w14:paraId="748CCBC2" w14:textId="77777777" w:rsidR="002333C1" w:rsidRPr="007D06B1" w:rsidRDefault="002333C1">
      <w:pPr>
        <w:pStyle w:val="FootnoteText"/>
        <w:rPr>
          <w:rtl/>
        </w:rPr>
        <w:pPrChange w:id="177"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המשפט הבינלאומי בין מלחמה לשלום, לעיל </w:t>
      </w:r>
      <w:proofErr w:type="spellStart"/>
      <w:r w:rsidRPr="00DA450B">
        <w:rPr>
          <w:rFonts w:cs="David" w:hint="cs"/>
          <w:rtl/>
        </w:rPr>
        <w:t>ה"ש</w:t>
      </w:r>
      <w:proofErr w:type="spellEnd"/>
      <w:r w:rsidRPr="00DA450B">
        <w:rPr>
          <w:rFonts w:cs="David" w:hint="cs"/>
          <w:rtl/>
        </w:rPr>
        <w:t xml:space="preserve"> 2 בעמ' 231</w:t>
      </w:r>
      <w:r w:rsidRPr="007D06B1">
        <w:rPr>
          <w:rFonts w:cs="David"/>
          <w:rtl/>
        </w:rPr>
        <w:t xml:space="preserve">; זכויות אדם – מבואי תיאורטי, ראה לעיל </w:t>
      </w:r>
      <w:proofErr w:type="spellStart"/>
      <w:r w:rsidRPr="007D06B1">
        <w:rPr>
          <w:rFonts w:cs="David"/>
          <w:rtl/>
        </w:rPr>
        <w:t>ה"ש</w:t>
      </w:r>
      <w:proofErr w:type="spellEnd"/>
      <w:r w:rsidRPr="007D06B1">
        <w:rPr>
          <w:rFonts w:cs="David"/>
          <w:rtl/>
        </w:rPr>
        <w:t xml:space="preserve"> 3 בעמ' 227</w:t>
      </w:r>
    </w:p>
  </w:footnote>
  <w:footnote w:id="51">
    <w:p w14:paraId="748CCBC3" w14:textId="272D6425" w:rsidR="002333C1" w:rsidRPr="00D5325A" w:rsidRDefault="002333C1">
      <w:pPr>
        <w:pStyle w:val="FootnoteText"/>
        <w:pPrChange w:id="178" w:author="Author">
          <w:pPr>
            <w:pStyle w:val="FootnoteText"/>
            <w:bidi w:val="0"/>
          </w:pPr>
        </w:pPrChange>
      </w:pPr>
      <w:r w:rsidRPr="00D5325A">
        <w:rPr>
          <w:rStyle w:val="FootnoteReference"/>
        </w:rPr>
        <w:footnoteRef/>
      </w:r>
      <w:r w:rsidRPr="00D5325A">
        <w:rPr>
          <w:rtl/>
        </w:rPr>
        <w:t xml:space="preserve"> </w:t>
      </w:r>
      <w:ins w:id="179" w:author="Author">
        <w:r w:rsidRPr="00DA450B">
          <w:rPr>
            <w:rFonts w:asciiTheme="majorBidi" w:hAnsiTheme="majorBidi" w:cstheme="majorBidi"/>
            <w:color w:val="222222"/>
            <w:shd w:val="clear" w:color="auto" w:fill="FFFFFF"/>
          </w:rPr>
          <w:t>Andrew C.</w:t>
        </w:r>
        <w:r w:rsidRPr="007D06B1">
          <w:rPr>
            <w:rFonts w:asciiTheme="majorBidi" w:hAnsiTheme="majorBidi" w:cstheme="majorBidi"/>
            <w:color w:val="222222"/>
            <w:shd w:val="clear" w:color="auto" w:fill="FFFFFF"/>
          </w:rPr>
          <w:t xml:space="preserve"> Byrnes &amp; Marsha Freeman, The Impact of the CEDAW Convention: Paths to Equality, UNSW Law Research Paper 2012-7, 7 (2012)</w:t>
        </w:r>
      </w:ins>
      <w:del w:id="180" w:author="Author">
        <w:r w:rsidRPr="003918B1" w:rsidDel="00957A2C">
          <w:rPr>
            <w:rFonts w:asciiTheme="majorBidi" w:hAnsiTheme="majorBidi" w:cstheme="majorBidi"/>
            <w:color w:val="222222"/>
            <w:shd w:val="clear" w:color="auto" w:fill="FFFFFF"/>
            <w:rPrChange w:id="181" w:author="Author">
              <w:rPr>
                <w:rFonts w:asciiTheme="majorBidi" w:hAnsiTheme="majorBidi" w:cstheme="majorBidi"/>
                <w:color w:val="222222"/>
                <w:highlight w:val="yellow"/>
                <w:shd w:val="clear" w:color="auto" w:fill="FFFFFF"/>
              </w:rPr>
            </w:rPrChange>
          </w:rPr>
          <w:delText>Byrnes, Andrew C., and Marsha Freeman, The Impact of the CEDAW Convention: Paths to Equality, UNSW Law Research Paper 2012-7, 7 (2012)</w:delText>
        </w:r>
      </w:del>
      <w:r w:rsidRPr="003918B1">
        <w:rPr>
          <w:rFonts w:asciiTheme="majorBidi" w:hAnsiTheme="majorBidi" w:cstheme="majorBidi"/>
          <w:color w:val="222222"/>
          <w:shd w:val="clear" w:color="auto" w:fill="FFFFFF"/>
          <w:rPrChange w:id="182" w:author="Author">
            <w:rPr>
              <w:rFonts w:asciiTheme="majorBidi" w:hAnsiTheme="majorBidi" w:cstheme="majorBidi"/>
              <w:color w:val="222222"/>
              <w:highlight w:val="yellow"/>
              <w:shd w:val="clear" w:color="auto" w:fill="FFFFFF"/>
            </w:rPr>
          </w:rPrChange>
        </w:rPr>
        <w:t>.</w:t>
      </w:r>
      <w:r w:rsidRPr="003918B1">
        <w:rPr>
          <w:rFonts w:asciiTheme="majorBidi" w:hAnsiTheme="majorBidi" w:cstheme="majorBidi"/>
          <w:color w:val="222222"/>
          <w:shd w:val="clear" w:color="auto" w:fill="FFFFFF"/>
          <w:rtl/>
          <w:rPrChange w:id="183" w:author="Author">
            <w:rPr>
              <w:rFonts w:asciiTheme="majorBidi" w:hAnsiTheme="majorBidi" w:cstheme="majorBidi"/>
              <w:color w:val="222222"/>
              <w:highlight w:val="yellow"/>
              <w:shd w:val="clear" w:color="auto" w:fill="FFFFFF"/>
              <w:rtl/>
            </w:rPr>
          </w:rPrChange>
        </w:rPr>
        <w:t>‏</w:t>
      </w:r>
    </w:p>
  </w:footnote>
  <w:footnote w:id="52">
    <w:p w14:paraId="748CCBC4" w14:textId="77777777" w:rsidR="002333C1" w:rsidRDefault="002333C1">
      <w:pPr>
        <w:pStyle w:val="FootnoteText"/>
        <w:rPr>
          <w:rtl/>
        </w:rPr>
        <w:pPrChange w:id="184" w:author="Author">
          <w:pPr>
            <w:pStyle w:val="FootnoteText"/>
            <w:bidi w:val="0"/>
          </w:pPr>
        </w:pPrChange>
      </w:pPr>
      <w:r w:rsidRPr="00D5325A">
        <w:rPr>
          <w:rStyle w:val="FootnoteReference"/>
        </w:rPr>
        <w:footnoteRef/>
      </w:r>
      <w:r w:rsidRPr="00D5325A">
        <w:rPr>
          <w:rtl/>
        </w:rPr>
        <w:t xml:space="preserve"> </w:t>
      </w:r>
      <w:r w:rsidRPr="00DA450B">
        <w:rPr>
          <w:rFonts w:cs="David" w:hint="cs"/>
          <w:rtl/>
        </w:rPr>
        <w:t xml:space="preserve">מדריך האמנה, לעיל </w:t>
      </w:r>
      <w:proofErr w:type="spellStart"/>
      <w:r w:rsidRPr="00DA450B">
        <w:rPr>
          <w:rFonts w:cs="David" w:hint="cs"/>
          <w:rtl/>
        </w:rPr>
        <w:t>ה"ש</w:t>
      </w:r>
      <w:proofErr w:type="spellEnd"/>
      <w:r w:rsidRPr="00DA450B">
        <w:rPr>
          <w:rFonts w:cs="David" w:hint="cs"/>
          <w:rtl/>
        </w:rPr>
        <w:t xml:space="preserve"> 31 בעמ' 11</w:t>
      </w:r>
      <w:r w:rsidRPr="007D06B1">
        <w:rPr>
          <w:rtl/>
        </w:rPr>
        <w:t xml:space="preserve"> ; </w:t>
      </w:r>
      <w:r w:rsidRPr="007D06B1">
        <w:rPr>
          <w:rFonts w:cs="David" w:hint="eastAsia"/>
          <w:rtl/>
        </w:rPr>
        <w:t>המשפט</w:t>
      </w:r>
      <w:r w:rsidRPr="007D06B1">
        <w:rPr>
          <w:rFonts w:cs="David"/>
          <w:rtl/>
        </w:rPr>
        <w:t xml:space="preserve"> </w:t>
      </w:r>
      <w:r w:rsidRPr="007D06B1">
        <w:rPr>
          <w:rFonts w:cs="David" w:hint="eastAsia"/>
          <w:rtl/>
        </w:rPr>
        <w:t>הבינלאומי</w:t>
      </w:r>
      <w:r w:rsidRPr="007D06B1">
        <w:rPr>
          <w:rFonts w:cs="David"/>
          <w:rtl/>
        </w:rPr>
        <w:t xml:space="preserve"> </w:t>
      </w:r>
      <w:r w:rsidRPr="007D06B1">
        <w:rPr>
          <w:rFonts w:cs="David" w:hint="eastAsia"/>
          <w:rtl/>
        </w:rPr>
        <w:t>בין</w:t>
      </w:r>
      <w:r w:rsidRPr="007D06B1">
        <w:rPr>
          <w:rFonts w:cs="David"/>
          <w:rtl/>
        </w:rPr>
        <w:t xml:space="preserve"> </w:t>
      </w:r>
      <w:r w:rsidRPr="007D06B1">
        <w:rPr>
          <w:rFonts w:cs="David" w:hint="eastAsia"/>
          <w:rtl/>
        </w:rPr>
        <w:t>מלחמה</w:t>
      </w:r>
      <w:r w:rsidRPr="007D06B1">
        <w:rPr>
          <w:rFonts w:cs="David"/>
          <w:rtl/>
        </w:rPr>
        <w:t xml:space="preserve"> </w:t>
      </w:r>
      <w:r w:rsidRPr="007D06B1">
        <w:rPr>
          <w:rFonts w:cs="David" w:hint="eastAsia"/>
          <w:rtl/>
        </w:rPr>
        <w:t>לשלום</w:t>
      </w:r>
      <w:r w:rsidRPr="007D06B1">
        <w:rPr>
          <w:rFonts w:cs="David"/>
          <w:rtl/>
        </w:rPr>
        <w:t xml:space="preserve">, </w:t>
      </w:r>
      <w:r w:rsidRPr="007D06B1">
        <w:rPr>
          <w:rFonts w:cs="David" w:hint="eastAsia"/>
          <w:rtl/>
        </w:rPr>
        <w:t>לעיל</w:t>
      </w:r>
      <w:r w:rsidRPr="007D06B1">
        <w:rPr>
          <w:rFonts w:cs="David"/>
          <w:rtl/>
        </w:rPr>
        <w:t xml:space="preserve"> </w:t>
      </w:r>
      <w:proofErr w:type="spellStart"/>
      <w:r w:rsidRPr="007D06B1">
        <w:rPr>
          <w:rFonts w:cs="David" w:hint="eastAsia"/>
          <w:rtl/>
        </w:rPr>
        <w:t>ה</w:t>
      </w:r>
      <w:r w:rsidRPr="007D06B1">
        <w:rPr>
          <w:rFonts w:cs="David"/>
          <w:rtl/>
        </w:rPr>
        <w:t>"ש</w:t>
      </w:r>
      <w:proofErr w:type="spellEnd"/>
      <w:r w:rsidRPr="007D06B1">
        <w:rPr>
          <w:rFonts w:cs="David"/>
          <w:rtl/>
        </w:rPr>
        <w:t xml:space="preserve"> 2 </w:t>
      </w:r>
      <w:r w:rsidRPr="007D06B1">
        <w:rPr>
          <w:rFonts w:cs="David" w:hint="eastAsia"/>
          <w:rtl/>
        </w:rPr>
        <w:t>בעמ</w:t>
      </w:r>
      <w:r w:rsidRPr="007D06B1">
        <w:rPr>
          <w:rFonts w:cs="David"/>
          <w:rtl/>
        </w:rPr>
        <w:t>' 231.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6282E"/>
    <w:multiLevelType w:val="hybridMultilevel"/>
    <w:tmpl w:val="F2BA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oNotTrackMove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49"/>
    <w:rsid w:val="0000154E"/>
    <w:rsid w:val="0000176B"/>
    <w:rsid w:val="00001928"/>
    <w:rsid w:val="00005B55"/>
    <w:rsid w:val="000076D0"/>
    <w:rsid w:val="00024412"/>
    <w:rsid w:val="00027139"/>
    <w:rsid w:val="00030090"/>
    <w:rsid w:val="00040382"/>
    <w:rsid w:val="0004656F"/>
    <w:rsid w:val="00050B3F"/>
    <w:rsid w:val="00051B8C"/>
    <w:rsid w:val="00057322"/>
    <w:rsid w:val="000652A7"/>
    <w:rsid w:val="00071E08"/>
    <w:rsid w:val="00074104"/>
    <w:rsid w:val="00075063"/>
    <w:rsid w:val="00085A9E"/>
    <w:rsid w:val="000928DB"/>
    <w:rsid w:val="000B0F93"/>
    <w:rsid w:val="000B41B7"/>
    <w:rsid w:val="000B75D6"/>
    <w:rsid w:val="000D51B0"/>
    <w:rsid w:val="000E2A8E"/>
    <w:rsid w:val="000E4702"/>
    <w:rsid w:val="000E52D1"/>
    <w:rsid w:val="000E77A1"/>
    <w:rsid w:val="0010130A"/>
    <w:rsid w:val="00103E85"/>
    <w:rsid w:val="0010582F"/>
    <w:rsid w:val="001104B6"/>
    <w:rsid w:val="00113C0F"/>
    <w:rsid w:val="00130E3B"/>
    <w:rsid w:val="00132CBF"/>
    <w:rsid w:val="00150D5E"/>
    <w:rsid w:val="0016543B"/>
    <w:rsid w:val="00175381"/>
    <w:rsid w:val="00176017"/>
    <w:rsid w:val="001819C5"/>
    <w:rsid w:val="00192BA1"/>
    <w:rsid w:val="001A1C46"/>
    <w:rsid w:val="001A563E"/>
    <w:rsid w:val="001B15D0"/>
    <w:rsid w:val="001C6F10"/>
    <w:rsid w:val="001D3650"/>
    <w:rsid w:val="001D6D32"/>
    <w:rsid w:val="001D7FBA"/>
    <w:rsid w:val="001E33B8"/>
    <w:rsid w:val="001E4FF5"/>
    <w:rsid w:val="001E6ED5"/>
    <w:rsid w:val="001F41B9"/>
    <w:rsid w:val="001F53CE"/>
    <w:rsid w:val="001F6FF8"/>
    <w:rsid w:val="00201A16"/>
    <w:rsid w:val="00203CB9"/>
    <w:rsid w:val="0020567C"/>
    <w:rsid w:val="00210E12"/>
    <w:rsid w:val="00215136"/>
    <w:rsid w:val="00220FEE"/>
    <w:rsid w:val="002333C1"/>
    <w:rsid w:val="00235B80"/>
    <w:rsid w:val="00251F0F"/>
    <w:rsid w:val="00255491"/>
    <w:rsid w:val="00256A77"/>
    <w:rsid w:val="00260EB7"/>
    <w:rsid w:val="00293CDC"/>
    <w:rsid w:val="002964BA"/>
    <w:rsid w:val="002964CF"/>
    <w:rsid w:val="002A0A55"/>
    <w:rsid w:val="002A3AEF"/>
    <w:rsid w:val="002C140D"/>
    <w:rsid w:val="002C4181"/>
    <w:rsid w:val="002D0EE5"/>
    <w:rsid w:val="002F4B7C"/>
    <w:rsid w:val="002F75DA"/>
    <w:rsid w:val="003023CD"/>
    <w:rsid w:val="00312EA6"/>
    <w:rsid w:val="003254D8"/>
    <w:rsid w:val="003258BE"/>
    <w:rsid w:val="00327CD1"/>
    <w:rsid w:val="00334BA9"/>
    <w:rsid w:val="00335ED8"/>
    <w:rsid w:val="00350638"/>
    <w:rsid w:val="0035169A"/>
    <w:rsid w:val="00356DA3"/>
    <w:rsid w:val="0036494C"/>
    <w:rsid w:val="00366971"/>
    <w:rsid w:val="0037234A"/>
    <w:rsid w:val="003918B1"/>
    <w:rsid w:val="00394DD0"/>
    <w:rsid w:val="003A619B"/>
    <w:rsid w:val="003B1A64"/>
    <w:rsid w:val="003B7CBA"/>
    <w:rsid w:val="003C5E6B"/>
    <w:rsid w:val="004059AA"/>
    <w:rsid w:val="004119CA"/>
    <w:rsid w:val="004311FD"/>
    <w:rsid w:val="00432AD6"/>
    <w:rsid w:val="00464697"/>
    <w:rsid w:val="00476670"/>
    <w:rsid w:val="00487EC2"/>
    <w:rsid w:val="004A6F97"/>
    <w:rsid w:val="004B1B1A"/>
    <w:rsid w:val="004B1EFB"/>
    <w:rsid w:val="004B1F03"/>
    <w:rsid w:val="004D108B"/>
    <w:rsid w:val="004D1220"/>
    <w:rsid w:val="004E6867"/>
    <w:rsid w:val="004F4634"/>
    <w:rsid w:val="004F4FE3"/>
    <w:rsid w:val="00506DF5"/>
    <w:rsid w:val="00513928"/>
    <w:rsid w:val="00522AB1"/>
    <w:rsid w:val="005274F5"/>
    <w:rsid w:val="00540B95"/>
    <w:rsid w:val="005521E3"/>
    <w:rsid w:val="00554D2E"/>
    <w:rsid w:val="00564FF3"/>
    <w:rsid w:val="00587A02"/>
    <w:rsid w:val="005C1DAD"/>
    <w:rsid w:val="005C3B5D"/>
    <w:rsid w:val="005C730E"/>
    <w:rsid w:val="005D39E8"/>
    <w:rsid w:val="005D7D03"/>
    <w:rsid w:val="005F030A"/>
    <w:rsid w:val="005F1BF6"/>
    <w:rsid w:val="005F227B"/>
    <w:rsid w:val="00612B91"/>
    <w:rsid w:val="006150C5"/>
    <w:rsid w:val="006150F3"/>
    <w:rsid w:val="00621AED"/>
    <w:rsid w:val="006241F8"/>
    <w:rsid w:val="00656D3E"/>
    <w:rsid w:val="00656EDD"/>
    <w:rsid w:val="00660A12"/>
    <w:rsid w:val="00676568"/>
    <w:rsid w:val="00680F2D"/>
    <w:rsid w:val="00692FDA"/>
    <w:rsid w:val="006A185D"/>
    <w:rsid w:val="006A687C"/>
    <w:rsid w:val="006C4FFD"/>
    <w:rsid w:val="006D3B05"/>
    <w:rsid w:val="006D5063"/>
    <w:rsid w:val="006D6BEC"/>
    <w:rsid w:val="006E3A40"/>
    <w:rsid w:val="006F65F1"/>
    <w:rsid w:val="007024B7"/>
    <w:rsid w:val="00717C42"/>
    <w:rsid w:val="00720BA8"/>
    <w:rsid w:val="00726CD8"/>
    <w:rsid w:val="00735492"/>
    <w:rsid w:val="00737902"/>
    <w:rsid w:val="00744B4E"/>
    <w:rsid w:val="00752DF9"/>
    <w:rsid w:val="00754DAB"/>
    <w:rsid w:val="00755FDA"/>
    <w:rsid w:val="00760F35"/>
    <w:rsid w:val="00764955"/>
    <w:rsid w:val="00767D7A"/>
    <w:rsid w:val="0078216B"/>
    <w:rsid w:val="00787747"/>
    <w:rsid w:val="007953B2"/>
    <w:rsid w:val="007B4394"/>
    <w:rsid w:val="007D06B1"/>
    <w:rsid w:val="007E7B80"/>
    <w:rsid w:val="007F0D48"/>
    <w:rsid w:val="007F4C88"/>
    <w:rsid w:val="007F7E94"/>
    <w:rsid w:val="008022AE"/>
    <w:rsid w:val="008022E5"/>
    <w:rsid w:val="00811F0A"/>
    <w:rsid w:val="0082240E"/>
    <w:rsid w:val="00836A98"/>
    <w:rsid w:val="00837798"/>
    <w:rsid w:val="00854C66"/>
    <w:rsid w:val="0087072A"/>
    <w:rsid w:val="008739A2"/>
    <w:rsid w:val="0088009B"/>
    <w:rsid w:val="008B37BF"/>
    <w:rsid w:val="008C0B04"/>
    <w:rsid w:val="008C4038"/>
    <w:rsid w:val="008C6C3B"/>
    <w:rsid w:val="008D14E8"/>
    <w:rsid w:val="008D6B64"/>
    <w:rsid w:val="00900CB1"/>
    <w:rsid w:val="00903788"/>
    <w:rsid w:val="00936DE2"/>
    <w:rsid w:val="0094136A"/>
    <w:rsid w:val="00957A2C"/>
    <w:rsid w:val="009706E1"/>
    <w:rsid w:val="00975494"/>
    <w:rsid w:val="009779F3"/>
    <w:rsid w:val="00980B41"/>
    <w:rsid w:val="0098505A"/>
    <w:rsid w:val="00985C7F"/>
    <w:rsid w:val="00986365"/>
    <w:rsid w:val="00992DF7"/>
    <w:rsid w:val="009945E3"/>
    <w:rsid w:val="0099636C"/>
    <w:rsid w:val="009A0943"/>
    <w:rsid w:val="009A2993"/>
    <w:rsid w:val="009A2E61"/>
    <w:rsid w:val="009D1D41"/>
    <w:rsid w:val="009D24D0"/>
    <w:rsid w:val="00A0295E"/>
    <w:rsid w:val="00A07A68"/>
    <w:rsid w:val="00A47A90"/>
    <w:rsid w:val="00A50073"/>
    <w:rsid w:val="00A62543"/>
    <w:rsid w:val="00A8547C"/>
    <w:rsid w:val="00A96054"/>
    <w:rsid w:val="00AA5FD3"/>
    <w:rsid w:val="00AB2D42"/>
    <w:rsid w:val="00AC5F9A"/>
    <w:rsid w:val="00AD37A3"/>
    <w:rsid w:val="00AE2F4A"/>
    <w:rsid w:val="00AE43C9"/>
    <w:rsid w:val="00AE7E2D"/>
    <w:rsid w:val="00AF02D6"/>
    <w:rsid w:val="00B045AD"/>
    <w:rsid w:val="00B16684"/>
    <w:rsid w:val="00B217F9"/>
    <w:rsid w:val="00B2650F"/>
    <w:rsid w:val="00B40B2E"/>
    <w:rsid w:val="00B46EB0"/>
    <w:rsid w:val="00B72B6F"/>
    <w:rsid w:val="00B8601F"/>
    <w:rsid w:val="00B915C8"/>
    <w:rsid w:val="00B9789F"/>
    <w:rsid w:val="00BC0044"/>
    <w:rsid w:val="00BC5014"/>
    <w:rsid w:val="00BD0FA1"/>
    <w:rsid w:val="00BD4F04"/>
    <w:rsid w:val="00BE1843"/>
    <w:rsid w:val="00BF6399"/>
    <w:rsid w:val="00C10E94"/>
    <w:rsid w:val="00C37BCB"/>
    <w:rsid w:val="00C47223"/>
    <w:rsid w:val="00C62577"/>
    <w:rsid w:val="00C662F9"/>
    <w:rsid w:val="00C66A70"/>
    <w:rsid w:val="00C71697"/>
    <w:rsid w:val="00C72A19"/>
    <w:rsid w:val="00C74463"/>
    <w:rsid w:val="00C76666"/>
    <w:rsid w:val="00C85581"/>
    <w:rsid w:val="00C94C65"/>
    <w:rsid w:val="00C975F4"/>
    <w:rsid w:val="00CA1D5C"/>
    <w:rsid w:val="00CA3470"/>
    <w:rsid w:val="00CC5A76"/>
    <w:rsid w:val="00CD0160"/>
    <w:rsid w:val="00CD5DE9"/>
    <w:rsid w:val="00CD6FD3"/>
    <w:rsid w:val="00CD74C4"/>
    <w:rsid w:val="00CD7AB5"/>
    <w:rsid w:val="00CF52DE"/>
    <w:rsid w:val="00D06C68"/>
    <w:rsid w:val="00D22509"/>
    <w:rsid w:val="00D24046"/>
    <w:rsid w:val="00D35B9F"/>
    <w:rsid w:val="00D47400"/>
    <w:rsid w:val="00D477EE"/>
    <w:rsid w:val="00D5325A"/>
    <w:rsid w:val="00D539F9"/>
    <w:rsid w:val="00D800F6"/>
    <w:rsid w:val="00D8521E"/>
    <w:rsid w:val="00D93E9E"/>
    <w:rsid w:val="00DA450B"/>
    <w:rsid w:val="00DB29FC"/>
    <w:rsid w:val="00DC093E"/>
    <w:rsid w:val="00DC4948"/>
    <w:rsid w:val="00DC79A2"/>
    <w:rsid w:val="00DD3ECA"/>
    <w:rsid w:val="00DE4D18"/>
    <w:rsid w:val="00DE52B6"/>
    <w:rsid w:val="00DF1606"/>
    <w:rsid w:val="00DF35F0"/>
    <w:rsid w:val="00DF4BED"/>
    <w:rsid w:val="00DF6B77"/>
    <w:rsid w:val="00E12701"/>
    <w:rsid w:val="00E5235E"/>
    <w:rsid w:val="00E5367E"/>
    <w:rsid w:val="00E659DE"/>
    <w:rsid w:val="00E70A5E"/>
    <w:rsid w:val="00E750AC"/>
    <w:rsid w:val="00E81DF4"/>
    <w:rsid w:val="00EA3DB7"/>
    <w:rsid w:val="00EB0D30"/>
    <w:rsid w:val="00EB4838"/>
    <w:rsid w:val="00EC3A68"/>
    <w:rsid w:val="00ED69C6"/>
    <w:rsid w:val="00EE2F75"/>
    <w:rsid w:val="00EE4573"/>
    <w:rsid w:val="00F0177A"/>
    <w:rsid w:val="00F039E4"/>
    <w:rsid w:val="00F03D67"/>
    <w:rsid w:val="00F23C39"/>
    <w:rsid w:val="00F25090"/>
    <w:rsid w:val="00F40E0B"/>
    <w:rsid w:val="00F52EC5"/>
    <w:rsid w:val="00F7184F"/>
    <w:rsid w:val="00F820EB"/>
    <w:rsid w:val="00F90E91"/>
    <w:rsid w:val="00F979A9"/>
    <w:rsid w:val="00FA1B49"/>
    <w:rsid w:val="00FA4655"/>
    <w:rsid w:val="00FA5608"/>
    <w:rsid w:val="00FB1FC8"/>
    <w:rsid w:val="00FB32B3"/>
    <w:rsid w:val="00FD1FB6"/>
    <w:rsid w:val="00FE0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CCB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B4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B49"/>
    <w:pPr>
      <w:spacing w:after="200" w:line="276" w:lineRule="auto"/>
      <w:ind w:left="720"/>
      <w:contextualSpacing/>
    </w:pPr>
  </w:style>
  <w:style w:type="paragraph" w:styleId="FootnoteText">
    <w:name w:val="footnote text"/>
    <w:basedOn w:val="Normal"/>
    <w:link w:val="FootnoteTextChar"/>
    <w:uiPriority w:val="99"/>
    <w:unhideWhenUsed/>
    <w:rsid w:val="00FA1B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A1B4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A1B49"/>
    <w:rPr>
      <w:vertAlign w:val="superscript"/>
    </w:rPr>
  </w:style>
  <w:style w:type="character" w:styleId="Hyperlink">
    <w:name w:val="Hyperlink"/>
    <w:basedOn w:val="DefaultParagraphFont"/>
    <w:uiPriority w:val="99"/>
    <w:unhideWhenUsed/>
    <w:rsid w:val="00621AED"/>
    <w:rPr>
      <w:color w:val="0000FF"/>
      <w:u w:val="single"/>
    </w:rPr>
  </w:style>
  <w:style w:type="paragraph" w:styleId="HTMLPreformatted">
    <w:name w:val="HTML Preformatted"/>
    <w:basedOn w:val="Normal"/>
    <w:link w:val="HTMLPreformattedChar"/>
    <w:uiPriority w:val="99"/>
    <w:semiHidden/>
    <w:unhideWhenUsed/>
    <w:rsid w:val="00101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130A"/>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811F0A"/>
    <w:rPr>
      <w:color w:val="954F72" w:themeColor="followedHyperlink"/>
      <w:u w:val="single"/>
    </w:rPr>
  </w:style>
  <w:style w:type="paragraph" w:styleId="EndnoteText">
    <w:name w:val="endnote text"/>
    <w:basedOn w:val="Normal"/>
    <w:link w:val="EndnoteTextChar"/>
    <w:uiPriority w:val="99"/>
    <w:semiHidden/>
    <w:unhideWhenUsed/>
    <w:rsid w:val="00C766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6666"/>
    <w:rPr>
      <w:sz w:val="20"/>
      <w:szCs w:val="20"/>
    </w:rPr>
  </w:style>
  <w:style w:type="character" w:styleId="EndnoteReference">
    <w:name w:val="endnote reference"/>
    <w:basedOn w:val="DefaultParagraphFont"/>
    <w:uiPriority w:val="99"/>
    <w:semiHidden/>
    <w:unhideWhenUsed/>
    <w:rsid w:val="00C76666"/>
    <w:rPr>
      <w:vertAlign w:val="superscript"/>
    </w:rPr>
  </w:style>
  <w:style w:type="character" w:customStyle="1" w:styleId="UnresolvedMention1">
    <w:name w:val="Unresolved Mention1"/>
    <w:basedOn w:val="DefaultParagraphFont"/>
    <w:uiPriority w:val="99"/>
    <w:semiHidden/>
    <w:unhideWhenUsed/>
    <w:rsid w:val="00D47400"/>
    <w:rPr>
      <w:color w:val="605E5C"/>
      <w:shd w:val="clear" w:color="auto" w:fill="E1DFDD"/>
    </w:rPr>
  </w:style>
  <w:style w:type="character" w:styleId="CommentReference">
    <w:name w:val="annotation reference"/>
    <w:basedOn w:val="DefaultParagraphFont"/>
    <w:uiPriority w:val="99"/>
    <w:semiHidden/>
    <w:unhideWhenUsed/>
    <w:rsid w:val="003B7CBA"/>
    <w:rPr>
      <w:sz w:val="16"/>
      <w:szCs w:val="16"/>
    </w:rPr>
  </w:style>
  <w:style w:type="paragraph" w:styleId="CommentText">
    <w:name w:val="annotation text"/>
    <w:basedOn w:val="Normal"/>
    <w:link w:val="CommentTextChar"/>
    <w:uiPriority w:val="99"/>
    <w:semiHidden/>
    <w:unhideWhenUsed/>
    <w:rsid w:val="003B7CBA"/>
    <w:pPr>
      <w:spacing w:line="240" w:lineRule="auto"/>
    </w:pPr>
    <w:rPr>
      <w:sz w:val="20"/>
      <w:szCs w:val="20"/>
    </w:rPr>
  </w:style>
  <w:style w:type="character" w:customStyle="1" w:styleId="CommentTextChar">
    <w:name w:val="Comment Text Char"/>
    <w:basedOn w:val="DefaultParagraphFont"/>
    <w:link w:val="CommentText"/>
    <w:uiPriority w:val="99"/>
    <w:semiHidden/>
    <w:rsid w:val="003B7CBA"/>
    <w:rPr>
      <w:sz w:val="20"/>
      <w:szCs w:val="20"/>
    </w:rPr>
  </w:style>
  <w:style w:type="paragraph" w:styleId="CommentSubject">
    <w:name w:val="annotation subject"/>
    <w:basedOn w:val="CommentText"/>
    <w:next w:val="CommentText"/>
    <w:link w:val="CommentSubjectChar"/>
    <w:uiPriority w:val="99"/>
    <w:semiHidden/>
    <w:unhideWhenUsed/>
    <w:rsid w:val="003B7CBA"/>
    <w:rPr>
      <w:b/>
      <w:bCs/>
    </w:rPr>
  </w:style>
  <w:style w:type="character" w:customStyle="1" w:styleId="CommentSubjectChar">
    <w:name w:val="Comment Subject Char"/>
    <w:basedOn w:val="CommentTextChar"/>
    <w:link w:val="CommentSubject"/>
    <w:uiPriority w:val="99"/>
    <w:semiHidden/>
    <w:rsid w:val="003B7CBA"/>
    <w:rPr>
      <w:b/>
      <w:bCs/>
      <w:sz w:val="20"/>
      <w:szCs w:val="20"/>
    </w:rPr>
  </w:style>
  <w:style w:type="paragraph" w:styleId="BalloonText">
    <w:name w:val="Balloon Text"/>
    <w:basedOn w:val="Normal"/>
    <w:link w:val="BalloonTextChar"/>
    <w:uiPriority w:val="99"/>
    <w:semiHidden/>
    <w:unhideWhenUsed/>
    <w:rsid w:val="003B7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CBA"/>
    <w:rPr>
      <w:rFonts w:ascii="Segoe UI" w:hAnsi="Segoe UI" w:cs="Segoe UI"/>
      <w:sz w:val="18"/>
      <w:szCs w:val="18"/>
    </w:rPr>
  </w:style>
  <w:style w:type="paragraph" w:styleId="Header">
    <w:name w:val="header"/>
    <w:basedOn w:val="Normal"/>
    <w:link w:val="HeaderChar"/>
    <w:uiPriority w:val="99"/>
    <w:unhideWhenUsed/>
    <w:rsid w:val="003918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18B1"/>
  </w:style>
  <w:style w:type="paragraph" w:styleId="Footer">
    <w:name w:val="footer"/>
    <w:basedOn w:val="Normal"/>
    <w:link w:val="FooterChar"/>
    <w:uiPriority w:val="99"/>
    <w:unhideWhenUsed/>
    <w:rsid w:val="003918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0844">
      <w:bodyDiv w:val="1"/>
      <w:marLeft w:val="0"/>
      <w:marRight w:val="0"/>
      <w:marTop w:val="0"/>
      <w:marBottom w:val="0"/>
      <w:divBdr>
        <w:top w:val="none" w:sz="0" w:space="0" w:color="auto"/>
        <w:left w:val="none" w:sz="0" w:space="0" w:color="auto"/>
        <w:bottom w:val="none" w:sz="0" w:space="0" w:color="auto"/>
        <w:right w:val="none" w:sz="0" w:space="0" w:color="auto"/>
      </w:divBdr>
      <w:divsChild>
        <w:div w:id="529026368">
          <w:marLeft w:val="0"/>
          <w:marRight w:val="0"/>
          <w:marTop w:val="0"/>
          <w:marBottom w:val="0"/>
          <w:divBdr>
            <w:top w:val="none" w:sz="0" w:space="0" w:color="auto"/>
            <w:left w:val="none" w:sz="0" w:space="0" w:color="auto"/>
            <w:bottom w:val="none" w:sz="0" w:space="0" w:color="auto"/>
            <w:right w:val="none" w:sz="0" w:space="0" w:color="auto"/>
          </w:divBdr>
        </w:div>
      </w:divsChild>
    </w:div>
    <w:div w:id="433670722">
      <w:bodyDiv w:val="1"/>
      <w:marLeft w:val="0"/>
      <w:marRight w:val="0"/>
      <w:marTop w:val="0"/>
      <w:marBottom w:val="0"/>
      <w:divBdr>
        <w:top w:val="none" w:sz="0" w:space="0" w:color="auto"/>
        <w:left w:val="none" w:sz="0" w:space="0" w:color="auto"/>
        <w:bottom w:val="none" w:sz="0" w:space="0" w:color="auto"/>
        <w:right w:val="none" w:sz="0" w:space="0" w:color="auto"/>
      </w:divBdr>
    </w:div>
    <w:div w:id="749541138">
      <w:bodyDiv w:val="1"/>
      <w:marLeft w:val="0"/>
      <w:marRight w:val="0"/>
      <w:marTop w:val="0"/>
      <w:marBottom w:val="0"/>
      <w:divBdr>
        <w:top w:val="none" w:sz="0" w:space="0" w:color="auto"/>
        <w:left w:val="none" w:sz="0" w:space="0" w:color="auto"/>
        <w:bottom w:val="none" w:sz="0" w:space="0" w:color="auto"/>
        <w:right w:val="none" w:sz="0" w:space="0" w:color="auto"/>
      </w:divBdr>
      <w:divsChild>
        <w:div w:id="1436512481">
          <w:marLeft w:val="0"/>
          <w:marRight w:val="0"/>
          <w:marTop w:val="0"/>
          <w:marBottom w:val="0"/>
          <w:divBdr>
            <w:top w:val="none" w:sz="0" w:space="0" w:color="auto"/>
            <w:left w:val="none" w:sz="0" w:space="0" w:color="auto"/>
            <w:bottom w:val="none" w:sz="0" w:space="0" w:color="auto"/>
            <w:right w:val="none" w:sz="0" w:space="0" w:color="auto"/>
          </w:divBdr>
        </w:div>
      </w:divsChild>
    </w:div>
    <w:div w:id="102972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33882-AC0F-4FC8-8858-F0C1BB0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2021-05-18T00:35:00Z</dcterms:created>
  <dcterms:modified xsi:type="dcterms:W3CDTF">2021-05-18T00:35:00Z</dcterms:modified>
</cp:coreProperties>
</file>