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F9050" w14:textId="554F737B" w:rsidR="00A2558A" w:rsidRPr="00436363" w:rsidRDefault="00436363" w:rsidP="00436363">
      <w:pPr>
        <w:rPr>
          <w:rFonts w:asciiTheme="majorBidi" w:hAnsiTheme="majorBidi" w:cstheme="majorBidi"/>
          <w:sz w:val="24"/>
          <w:szCs w:val="24"/>
          <w:u w:val="single"/>
          <w:rtl/>
          <w:lang w:val="en-US"/>
        </w:rPr>
      </w:pPr>
      <w:r w:rsidRPr="00436363">
        <w:rPr>
          <w:rFonts w:asciiTheme="majorBidi" w:hAnsiTheme="majorBidi" w:cstheme="majorBidi"/>
          <w:sz w:val="24"/>
          <w:szCs w:val="24"/>
          <w:lang w:val="en-US"/>
        </w:rPr>
        <w:t xml:space="preserve">1. </w:t>
      </w:r>
      <w:r w:rsidRPr="00436363">
        <w:rPr>
          <w:rFonts w:asciiTheme="majorBidi" w:hAnsiTheme="majorBidi" w:cstheme="majorBidi"/>
          <w:sz w:val="24"/>
          <w:szCs w:val="24"/>
          <w:u w:val="single"/>
          <w:lang w:val="en-US"/>
        </w:rPr>
        <w:t>Double check the yellow sentence</w:t>
      </w:r>
    </w:p>
    <w:p w14:paraId="4200A240" w14:textId="72576C43" w:rsidR="00436363" w:rsidRPr="00436363" w:rsidRDefault="00436363" w:rsidP="00436363">
      <w:pPr>
        <w:rPr>
          <w:rFonts w:asciiTheme="majorBidi" w:hAnsiTheme="majorBidi" w:cstheme="majorBidi"/>
          <w:sz w:val="24"/>
          <w:szCs w:val="24"/>
        </w:rPr>
      </w:pPr>
      <w:r w:rsidRPr="00436363">
        <w:rPr>
          <w:rFonts w:asciiTheme="majorBidi" w:hAnsiTheme="majorBidi" w:cstheme="majorBidi"/>
          <w:sz w:val="24"/>
          <w:szCs w:val="24"/>
          <w:lang w:val="en-US"/>
        </w:rPr>
        <w:t>I</w:t>
      </w:r>
      <w:r w:rsidRPr="00436363">
        <w:rPr>
          <w:rFonts w:asciiTheme="majorBidi" w:hAnsiTheme="majorBidi" w:cstheme="majorBidi"/>
          <w:sz w:val="24"/>
          <w:szCs w:val="24"/>
        </w:rPr>
        <w:t>t is worth noting that in the Peshitta, the Book of Job is usually placed after the Pentateuch, and it is clear that this placement assumes Mosaic authorship, se</w:t>
      </w:r>
      <w:r w:rsidRPr="00436363">
        <w:rPr>
          <w:rFonts w:asciiTheme="majorBidi" w:hAnsiTheme="majorBidi" w:cstheme="majorBidi"/>
          <w:sz w:val="24"/>
          <w:szCs w:val="24"/>
          <w:lang w:val="en-US"/>
        </w:rPr>
        <w:t>e ...</w:t>
      </w:r>
      <w:r w:rsidRPr="00436363">
        <w:rPr>
          <w:rFonts w:asciiTheme="majorBidi" w:hAnsiTheme="majorBidi" w:cstheme="majorBidi"/>
          <w:sz w:val="24"/>
          <w:szCs w:val="24"/>
        </w:rPr>
        <w:t>;</w:t>
      </w:r>
      <w:r w:rsidRPr="00436363">
        <w:rPr>
          <w:rFonts w:asciiTheme="majorBidi" w:hAnsiTheme="majorBidi" w:cstheme="majorBidi"/>
          <w:sz w:val="24"/>
          <w:szCs w:val="24"/>
          <w:highlight w:val="yellow"/>
        </w:rPr>
        <w:t xml:space="preserve"> see also 4QpaleoJob</w:t>
      </w:r>
      <w:r w:rsidRPr="00436363">
        <w:rPr>
          <w:rFonts w:asciiTheme="majorBidi" w:hAnsiTheme="majorBidi" w:cstheme="majorBidi"/>
          <w:sz w:val="24"/>
          <w:szCs w:val="24"/>
          <w:highlight w:val="yellow"/>
          <w:vertAlign w:val="superscript"/>
        </w:rPr>
        <w:t>c</w:t>
      </w:r>
      <w:r w:rsidRPr="00436363">
        <w:rPr>
          <w:rFonts w:asciiTheme="majorBidi" w:hAnsiTheme="majorBidi" w:cstheme="majorBidi"/>
          <w:sz w:val="24"/>
          <w:szCs w:val="24"/>
          <w:highlight w:val="yellow"/>
        </w:rPr>
        <w:t>, the only paleo-</w:t>
      </w:r>
      <w:proofErr w:type="spellStart"/>
      <w:r w:rsidRPr="00436363">
        <w:rPr>
          <w:rFonts w:asciiTheme="majorBidi" w:hAnsiTheme="majorBidi" w:cstheme="majorBidi"/>
          <w:sz w:val="24"/>
          <w:szCs w:val="24"/>
          <w:highlight w:val="yellow"/>
        </w:rPr>
        <w:t>hebrew</w:t>
      </w:r>
      <w:proofErr w:type="spellEnd"/>
      <w:r w:rsidRPr="00436363">
        <w:rPr>
          <w:rFonts w:asciiTheme="majorBidi" w:hAnsiTheme="majorBidi" w:cstheme="majorBidi"/>
          <w:sz w:val="24"/>
          <w:szCs w:val="24"/>
          <w:highlight w:val="yellow"/>
        </w:rPr>
        <w:t xml:space="preserve"> scroll that does not contains the Pentateuch and therefore might reflected Mosaic authorship to the book of Job</w:t>
      </w:r>
      <w:r w:rsidRPr="00436363">
        <w:rPr>
          <w:rFonts w:asciiTheme="majorBidi" w:hAnsiTheme="majorBidi" w:cstheme="majorBidi"/>
          <w:sz w:val="24"/>
          <w:szCs w:val="24"/>
        </w:rPr>
        <w:t>.</w:t>
      </w:r>
    </w:p>
    <w:p w14:paraId="20004EEE" w14:textId="77777777" w:rsidR="00436363" w:rsidRPr="00436363" w:rsidRDefault="00436363" w:rsidP="00436363">
      <w:pPr>
        <w:rPr>
          <w:rFonts w:asciiTheme="majorBidi" w:hAnsiTheme="majorBidi" w:cstheme="majorBidi"/>
          <w:sz w:val="24"/>
          <w:szCs w:val="24"/>
        </w:rPr>
      </w:pPr>
    </w:p>
    <w:p w14:paraId="0E7B6B0E" w14:textId="0CE8287D" w:rsidR="00436363" w:rsidRPr="00436363" w:rsidRDefault="00436363" w:rsidP="00436363">
      <w:pPr>
        <w:rPr>
          <w:rFonts w:asciiTheme="majorBidi" w:hAnsiTheme="majorBidi" w:cstheme="majorBidi"/>
          <w:sz w:val="24"/>
          <w:szCs w:val="24"/>
        </w:rPr>
      </w:pPr>
      <w:r w:rsidRPr="00436363">
        <w:rPr>
          <w:rFonts w:asciiTheme="majorBidi" w:hAnsiTheme="majorBidi" w:cstheme="majorBidi"/>
          <w:sz w:val="24"/>
          <w:szCs w:val="24"/>
        </w:rPr>
        <w:t xml:space="preserve">2. </w:t>
      </w:r>
      <w:r w:rsidRPr="00436363">
        <w:rPr>
          <w:rFonts w:asciiTheme="majorBidi" w:hAnsiTheme="majorBidi" w:cstheme="majorBidi"/>
          <w:sz w:val="24"/>
          <w:szCs w:val="24"/>
          <w:u w:val="single"/>
        </w:rPr>
        <w:t>Translate the yellow sentences</w:t>
      </w:r>
    </w:p>
    <w:p w14:paraId="20378F8E" w14:textId="6579EF4C" w:rsidR="00436363" w:rsidRPr="00436363" w:rsidRDefault="00436363" w:rsidP="00436363">
      <w:pPr>
        <w:rPr>
          <w:rFonts w:ascii="FrankRuehl" w:hAnsi="FrankRuehl" w:cs="FrankRuehl"/>
          <w:color w:val="FF0000"/>
          <w:sz w:val="24"/>
          <w:szCs w:val="24"/>
          <w:rtl/>
        </w:rPr>
      </w:pPr>
      <w:r w:rsidRPr="00436363">
        <w:rPr>
          <w:rFonts w:asciiTheme="majorBidi" w:hAnsiTheme="majorBidi" w:cstheme="majorBidi"/>
          <w:sz w:val="24"/>
          <w:szCs w:val="24"/>
        </w:rPr>
        <w:t xml:space="preserve">From the discussion so </w:t>
      </w:r>
      <w:proofErr w:type="gramStart"/>
      <w:r w:rsidRPr="00436363">
        <w:rPr>
          <w:rFonts w:asciiTheme="majorBidi" w:hAnsiTheme="majorBidi" w:cstheme="majorBidi"/>
          <w:sz w:val="24"/>
          <w:szCs w:val="24"/>
        </w:rPr>
        <w:t>far</w:t>
      </w:r>
      <w:proofErr w:type="gramEnd"/>
      <w:r w:rsidRPr="00436363">
        <w:rPr>
          <w:rFonts w:asciiTheme="majorBidi" w:hAnsiTheme="majorBidi" w:cstheme="majorBidi"/>
          <w:sz w:val="24"/>
          <w:szCs w:val="24"/>
        </w:rPr>
        <w:t xml:space="preserve"> it is clear that the </w:t>
      </w:r>
      <w:proofErr w:type="spellStart"/>
      <w:r w:rsidRPr="00436363">
        <w:rPr>
          <w:rFonts w:asciiTheme="majorBidi" w:hAnsiTheme="majorBidi" w:cstheme="majorBidi"/>
          <w:sz w:val="24"/>
          <w:szCs w:val="24"/>
        </w:rPr>
        <w:t>baraita</w:t>
      </w:r>
      <w:proofErr w:type="spellEnd"/>
      <w:r w:rsidRPr="00436363">
        <w:rPr>
          <w:rFonts w:asciiTheme="majorBidi" w:hAnsiTheme="majorBidi" w:cstheme="majorBidi"/>
          <w:sz w:val="24"/>
          <w:szCs w:val="24"/>
        </w:rPr>
        <w:t xml:space="preserve"> tends to attribute books of prophecy to the prophets themselves. </w:t>
      </w:r>
      <w:r w:rsidRPr="00436363">
        <w:rPr>
          <w:rFonts w:ascii="FrankRuehl" w:hAnsi="FrankRuehl" w:cs="FrankRuehl" w:hint="cs"/>
          <w:color w:val="FF0000"/>
          <w:sz w:val="24"/>
          <w:szCs w:val="24"/>
          <w:highlight w:val="yellow"/>
          <w:rtl/>
        </w:rPr>
        <w:t>אשר לדניאל,</w:t>
      </w:r>
      <w:r w:rsidRPr="00436363">
        <w:rPr>
          <w:rFonts w:ascii="FrankRuehl" w:hAnsi="FrankRuehl" w:cs="FrankRuehl"/>
          <w:color w:val="FF0000"/>
          <w:sz w:val="24"/>
          <w:szCs w:val="24"/>
          <w:highlight w:val="yellow"/>
          <w:rtl/>
        </w:rPr>
        <w:t xml:space="preserve"> מקורות </w:t>
      </w:r>
      <w:r w:rsidRPr="00436363">
        <w:rPr>
          <w:rFonts w:ascii="FrankRuehl" w:hAnsi="FrankRuehl" w:cs="FrankRuehl" w:hint="cs"/>
          <w:color w:val="FF0000"/>
          <w:sz w:val="24"/>
          <w:szCs w:val="24"/>
          <w:highlight w:val="yellow"/>
          <w:rtl/>
        </w:rPr>
        <w:t>שונים מסוף ימי הבית השני מקרבים את המסקנה כי נתפס כנביא. ואף על פי כן, בספרות חז"ל גם היגדים הקובעים בפשטות כי לא היה נביא.</w:t>
      </w:r>
      <w:r w:rsidRPr="00436363">
        <w:rPr>
          <w:rFonts w:ascii="FrankRuehl" w:hAnsi="FrankRuehl" w:cs="FrankRuehl" w:hint="cs"/>
          <w:color w:val="FF0000"/>
          <w:sz w:val="24"/>
          <w:szCs w:val="24"/>
          <w:highlight w:val="yellow"/>
          <w:vertAlign w:val="superscript"/>
          <w:rtl/>
        </w:rPr>
        <w:t>1</w:t>
      </w:r>
      <w:r w:rsidRPr="00436363">
        <w:rPr>
          <w:rFonts w:ascii="FrankRuehl" w:hAnsi="FrankRuehl" w:cs="FrankRuehl"/>
          <w:color w:val="FF0000"/>
          <w:sz w:val="24"/>
          <w:szCs w:val="24"/>
          <w:highlight w:val="yellow"/>
          <w:rtl/>
        </w:rPr>
        <w:t xml:space="preserve"> </w:t>
      </w:r>
      <w:r w:rsidRPr="00436363">
        <w:rPr>
          <w:rFonts w:ascii="FrankRuehl" w:hAnsi="FrankRuehl" w:cs="FrankRuehl" w:hint="cs"/>
          <w:color w:val="FF0000"/>
          <w:sz w:val="24"/>
          <w:szCs w:val="24"/>
          <w:highlight w:val="yellow"/>
          <w:rtl/>
        </w:rPr>
        <w:t>עוד יש לציין כי לפנינו היגדים לא מעטים בספרות חז"ל המדגישים צדדים שונים באופיו ובפעילותו של דניאל, שאינם נבואיים דווקא. כך בין היתר הוא מוצג כפוסק הלכה, ונאמר שתפילתו (דניאל ט) שימשה בסיס לווידוי הכוהן הגדול ביום הכיפורים. לצד זאת, מספר היגדים (בבליים בעיקר) מתאפיינים בביקורת מסוימת כלפי דניאל.</w:t>
      </w:r>
      <w:r w:rsidRPr="00436363">
        <w:rPr>
          <w:rStyle w:val="FootnoteReference"/>
          <w:rFonts w:ascii="FrankRuehl" w:hAnsi="FrankRuehl" w:cs="FrankRuehl"/>
          <w:color w:val="FF0000"/>
          <w:sz w:val="24"/>
          <w:szCs w:val="24"/>
          <w:highlight w:val="yellow"/>
          <w:rtl/>
        </w:rPr>
        <w:footnoteReference w:id="1"/>
      </w:r>
      <w:r w:rsidRPr="00436363">
        <w:rPr>
          <w:rFonts w:ascii="FrankRuehl" w:hAnsi="FrankRuehl" w:cs="FrankRuehl" w:hint="cs"/>
          <w:color w:val="FF0000"/>
          <w:sz w:val="24"/>
          <w:szCs w:val="24"/>
          <w:highlight w:val="yellow"/>
          <w:rtl/>
        </w:rPr>
        <w:t xml:space="preserve"> כלל המקורות הללו מלמדים על גיוון מסוים בדמותו של דניאל ודומה שלא נתפס בפשטות כאחד מנביאי המקרא הקלאסיים. מסקנה דומה ניתן להסיק באשר למרדכי ואסתר, הם הדמויות המרכזיות במגילה</w:t>
      </w:r>
      <w:r w:rsidRPr="00436363">
        <w:rPr>
          <w:rFonts w:ascii="FrankRuehl" w:hAnsi="FrankRuehl" w:cs="FrankRuehl" w:hint="cs"/>
          <w:color w:val="FF0000"/>
          <w:sz w:val="24"/>
          <w:szCs w:val="24"/>
          <w:rtl/>
        </w:rPr>
        <w:t>.</w:t>
      </w:r>
    </w:p>
    <w:p w14:paraId="11DE17CB" w14:textId="39F061FD" w:rsidR="00436363" w:rsidRPr="00436363" w:rsidRDefault="00436363" w:rsidP="00436363">
      <w:pPr>
        <w:rPr>
          <w:sz w:val="24"/>
          <w:szCs w:val="24"/>
        </w:rPr>
      </w:pPr>
      <w:r w:rsidRPr="00436363">
        <w:rPr>
          <w:rFonts w:ascii="FrankRuehl" w:hAnsi="FrankRuehl" w:cs="FrankRuehl" w:hint="cs"/>
          <w:color w:val="FF0000"/>
          <w:sz w:val="24"/>
          <w:szCs w:val="24"/>
          <w:highlight w:val="yellow"/>
          <w:vertAlign w:val="superscript"/>
          <w:rtl/>
        </w:rPr>
        <w:t>1.</w:t>
      </w:r>
      <w:r w:rsidRPr="00436363">
        <w:rPr>
          <w:rFonts w:ascii="FrankRuehl" w:hAnsi="FrankRuehl" w:cs="FrankRuehl" w:hint="cs"/>
          <w:color w:val="FF0000"/>
          <w:sz w:val="24"/>
          <w:szCs w:val="24"/>
          <w:highlight w:val="yellow"/>
          <w:rtl/>
        </w:rPr>
        <w:t xml:space="preserve"> </w:t>
      </w:r>
      <w:r>
        <w:rPr>
          <w:rFonts w:ascii="FrankRuehl" w:hAnsi="FrankRuehl" w:cs="FrankRuehl" w:hint="cs"/>
          <w:color w:val="FF0000"/>
          <w:sz w:val="24"/>
          <w:szCs w:val="24"/>
          <w:highlight w:val="yellow"/>
          <w:rtl/>
        </w:rPr>
        <w:t xml:space="preserve">... </w:t>
      </w:r>
      <w:r w:rsidRPr="00436363">
        <w:rPr>
          <w:rFonts w:ascii="FrankRuehl" w:hAnsi="FrankRuehl" w:cs="FrankRuehl" w:hint="cs"/>
          <w:color w:val="FF0000"/>
          <w:sz w:val="24"/>
          <w:szCs w:val="24"/>
          <w:highlight w:val="yellow"/>
          <w:rtl/>
        </w:rPr>
        <w:t xml:space="preserve">עם זאת, </w:t>
      </w:r>
      <w:r w:rsidRPr="00436363">
        <w:rPr>
          <w:rFonts w:ascii="FrankRuehl" w:hAnsi="FrankRuehl" w:cs="FrankRuehl" w:hint="cs"/>
          <w:color w:val="FF0000"/>
          <w:sz w:val="24"/>
          <w:szCs w:val="24"/>
          <w:highlight w:val="yellow"/>
          <w:rtl/>
        </w:rPr>
        <w:t>הקביעה שדניאל לא היה נביא אינה חלק אורגאני מהדיון התלמודי</w:t>
      </w:r>
    </w:p>
    <w:sectPr w:rsidR="00436363" w:rsidRPr="004363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DEC30" w14:textId="77777777" w:rsidR="00E0330A" w:rsidRDefault="00E0330A" w:rsidP="00436363">
      <w:pPr>
        <w:spacing w:after="0" w:line="240" w:lineRule="auto"/>
      </w:pPr>
      <w:r>
        <w:separator/>
      </w:r>
    </w:p>
  </w:endnote>
  <w:endnote w:type="continuationSeparator" w:id="0">
    <w:p w14:paraId="0B41D114" w14:textId="77777777" w:rsidR="00E0330A" w:rsidRDefault="00E0330A" w:rsidP="0043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CAA22" w14:textId="77777777" w:rsidR="00E0330A" w:rsidRDefault="00E0330A" w:rsidP="00436363">
      <w:pPr>
        <w:spacing w:after="0" w:line="240" w:lineRule="auto"/>
      </w:pPr>
      <w:r>
        <w:separator/>
      </w:r>
    </w:p>
  </w:footnote>
  <w:footnote w:type="continuationSeparator" w:id="0">
    <w:p w14:paraId="6E69355C" w14:textId="77777777" w:rsidR="00E0330A" w:rsidRDefault="00E0330A" w:rsidP="00436363">
      <w:pPr>
        <w:spacing w:after="0" w:line="240" w:lineRule="auto"/>
      </w:pPr>
      <w:r>
        <w:continuationSeparator/>
      </w:r>
    </w:p>
  </w:footnote>
  <w:footnote w:id="1">
    <w:p w14:paraId="2C676CAF" w14:textId="77777777" w:rsidR="00436363" w:rsidRPr="0013263E" w:rsidRDefault="00436363" w:rsidP="00436363">
      <w:pPr>
        <w:pStyle w:val="FootnoteText"/>
        <w:rPr>
          <w:rFonts w:ascii="FrankRuehl" w:hAnsi="FrankRuehl" w:cs="FrankRuehl"/>
          <w:sz w:val="22"/>
          <w:szCs w:val="22"/>
          <w:rtl/>
        </w:rPr>
      </w:pPr>
      <w:r w:rsidRPr="00435B30">
        <w:rPr>
          <w:rStyle w:val="FootnoteReference"/>
          <w:rFonts w:ascii="FrankRuehl" w:hAnsi="FrankRuehl" w:cs="FrankRuehl"/>
          <w:sz w:val="22"/>
          <w:szCs w:val="22"/>
        </w:rPr>
        <w:footnoteRef/>
      </w:r>
      <w:r w:rsidRPr="00435B30">
        <w:rPr>
          <w:rFonts w:ascii="FrankRuehl" w:hAnsi="FrankRuehl" w:cs="FrankRuehl"/>
          <w:sz w:val="22"/>
          <w:szCs w:val="22"/>
        </w:rPr>
        <w:t xml:space="preserve"> </w:t>
      </w:r>
      <w:r w:rsidRPr="00435B30">
        <w:rPr>
          <w:rFonts w:ascii="FrankRuehl" w:hAnsi="FrankRuehl" w:cs="FrankRuehl"/>
          <w:sz w:val="22"/>
          <w:szCs w:val="22"/>
          <w:rtl/>
        </w:rPr>
        <w:t xml:space="preserve"> </w:t>
      </w:r>
      <w:r w:rsidRPr="00ED1EE4">
        <w:rPr>
          <w:rFonts w:ascii="FrankRuehl" w:hAnsi="FrankRuehl" w:cs="FrankRuehl" w:hint="cs"/>
          <w:color w:val="FF0000"/>
          <w:sz w:val="22"/>
          <w:szCs w:val="22"/>
          <w:rtl/>
        </w:rPr>
        <w:t xml:space="preserve">ראו בפרט סנהדרין צג ע"א; בבא </w:t>
      </w:r>
      <w:proofErr w:type="spellStart"/>
      <w:r w:rsidRPr="00ED1EE4">
        <w:rPr>
          <w:rFonts w:ascii="FrankRuehl" w:hAnsi="FrankRuehl" w:cs="FrankRuehl" w:hint="cs"/>
          <w:color w:val="FF0000"/>
          <w:sz w:val="22"/>
          <w:szCs w:val="22"/>
          <w:rtl/>
        </w:rPr>
        <w:t>בתרא</w:t>
      </w:r>
      <w:proofErr w:type="spellEnd"/>
      <w:r w:rsidRPr="00ED1EE4">
        <w:rPr>
          <w:rFonts w:ascii="FrankRuehl" w:hAnsi="FrankRuehl" w:cs="FrankRuehl" w:hint="cs"/>
          <w:color w:val="FF0000"/>
          <w:sz w:val="22"/>
          <w:szCs w:val="22"/>
          <w:rtl/>
        </w:rPr>
        <w:t xml:space="preserve"> ד ע"א, י ע"ב; מגילה </w:t>
      </w:r>
      <w:proofErr w:type="spellStart"/>
      <w:r w:rsidRPr="00ED1EE4">
        <w:rPr>
          <w:rFonts w:ascii="FrankRuehl" w:hAnsi="FrankRuehl" w:cs="FrankRuehl" w:hint="cs"/>
          <w:color w:val="FF0000"/>
          <w:sz w:val="22"/>
          <w:szCs w:val="22"/>
          <w:rtl/>
        </w:rPr>
        <w:t>יב</w:t>
      </w:r>
      <w:proofErr w:type="spellEnd"/>
      <w:r w:rsidRPr="00ED1EE4">
        <w:rPr>
          <w:rFonts w:ascii="FrankRuehl" w:hAnsi="FrankRuehl" w:cs="FrankRuehl" w:hint="cs"/>
          <w:color w:val="FF0000"/>
          <w:sz w:val="22"/>
          <w:szCs w:val="22"/>
          <w:rtl/>
        </w:rPr>
        <w:t xml:space="preserve"> ע"א;</w:t>
      </w:r>
      <w:r>
        <w:rPr>
          <w:rFonts w:ascii="FrankRuehl" w:hAnsi="FrankRuehl" w:cs="FrankRuehl" w:hint="cs"/>
          <w:sz w:val="22"/>
          <w:szCs w:val="22"/>
          <w:rtl/>
        </w:rPr>
        <w:t xml:space="preserve"> </w:t>
      </w:r>
      <w:r w:rsidRPr="00ED1EE4">
        <w:rPr>
          <w:rFonts w:ascii="FrankRuehl" w:hAnsi="FrankRuehl" w:cs="FrankRuehl" w:hint="cs"/>
          <w:color w:val="FF0000"/>
          <w:sz w:val="22"/>
          <w:szCs w:val="22"/>
          <w:highlight w:val="yellow"/>
          <w:rtl/>
        </w:rPr>
        <w:t>לסיבות האפשריות לביקורת זו</w:t>
      </w:r>
      <w:r>
        <w:rPr>
          <w:rFonts w:ascii="FrankRuehl" w:hAnsi="FrankRuehl" w:cs="FrankRuehl" w:hint="cs"/>
          <w:sz w:val="22"/>
          <w:szCs w:val="22"/>
          <w:rtl/>
        </w:rPr>
        <w:t xml:space="preserve"> </w:t>
      </w:r>
      <w:r w:rsidRPr="00ED1EE4">
        <w:rPr>
          <w:rFonts w:ascii="FrankRuehl" w:hAnsi="FrankRuehl" w:cs="FrankRuehl" w:hint="cs"/>
          <w:color w:val="FF0000"/>
          <w:sz w:val="22"/>
          <w:szCs w:val="22"/>
          <w:rtl/>
        </w:rPr>
        <w:t xml:space="preserve">ראו </w:t>
      </w:r>
      <w:r w:rsidRPr="00ED1EE4">
        <w:rPr>
          <w:rFonts w:ascii="FrankRuehl" w:hAnsi="FrankRuehl" w:cs="FrankRuehl"/>
          <w:color w:val="FF0000"/>
          <w:sz w:val="22"/>
          <w:szCs w:val="22"/>
          <w:rtl/>
        </w:rPr>
        <w:t xml:space="preserve">רביב, </w:t>
      </w:r>
      <w:r w:rsidRPr="00ED1EE4">
        <w:rPr>
          <w:rFonts w:ascii="FrankRuehl" w:hAnsi="FrankRuehl" w:cs="FrankRuehl" w:hint="cs"/>
          <w:color w:val="FF0000"/>
          <w:sz w:val="22"/>
          <w:szCs w:val="22"/>
          <w:rtl/>
        </w:rPr>
        <w:t>חמודות</w:t>
      </w:r>
      <w:r w:rsidRPr="00ED1EE4">
        <w:rPr>
          <w:rFonts w:ascii="FrankRuehl" w:hAnsi="FrankRuehl" w:cs="FrankRuehl"/>
          <w:color w:val="FF0000"/>
          <w:sz w:val="22"/>
          <w:szCs w:val="22"/>
          <w:rtl/>
        </w:rPr>
        <w:t xml:space="preserve">, </w:t>
      </w:r>
      <w:r w:rsidRPr="00ED1EE4">
        <w:rPr>
          <w:rFonts w:ascii="FrankRuehl" w:hAnsi="FrankRuehl" w:cs="FrankRuehl" w:hint="cs"/>
          <w:color w:val="FF0000"/>
          <w:sz w:val="22"/>
          <w:szCs w:val="22"/>
          <w:rtl/>
        </w:rPr>
        <w:t>עמ' 290</w:t>
      </w:r>
      <w:r w:rsidRPr="00ED1EE4">
        <w:rPr>
          <w:rFonts w:ascii="FrankRuehl" w:hAnsi="FrankRuehl" w:cs="FrankRuehl"/>
          <w:color w:val="FF0000"/>
          <w:sz w:val="22"/>
          <w:szCs w:val="22"/>
          <w:rtl/>
        </w:rPr>
        <w:t>–</w:t>
      </w:r>
      <w:r w:rsidRPr="00ED1EE4">
        <w:rPr>
          <w:rFonts w:ascii="FrankRuehl" w:hAnsi="FrankRuehl" w:cs="FrankRuehl" w:hint="cs"/>
          <w:color w:val="FF0000"/>
          <w:sz w:val="22"/>
          <w:szCs w:val="22"/>
          <w:rtl/>
        </w:rPr>
        <w:t>295</w:t>
      </w:r>
      <w:r w:rsidRPr="0013263E">
        <w:rPr>
          <w:rFonts w:ascii="FrankRuehl" w:hAnsi="FrankRuehl" w:cs="FrankRuehl"/>
          <w:sz w:val="22"/>
          <w:szCs w:val="22"/>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363"/>
    <w:rsid w:val="00436363"/>
    <w:rsid w:val="00A2558A"/>
    <w:rsid w:val="00E0330A"/>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2D9FD"/>
  <w15:chartTrackingRefBased/>
  <w15:docId w15:val="{95E33AF7-E016-4882-9975-8EC4C3507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ע,Footnote Text1,Footnote Text2,Footnote Text3,הערות שוליים דוקטורט,Footnote Text Char Char Char"/>
    <w:basedOn w:val="Normal"/>
    <w:link w:val="FootnoteTextChar"/>
    <w:unhideWhenUsed/>
    <w:qFormat/>
    <w:rsid w:val="00436363"/>
    <w:pPr>
      <w:spacing w:after="0" w:line="240" w:lineRule="auto"/>
    </w:pPr>
    <w:rPr>
      <w:sz w:val="20"/>
      <w:szCs w:val="20"/>
      <w:lang w:val="en-US"/>
    </w:rPr>
  </w:style>
  <w:style w:type="character" w:customStyle="1" w:styleId="FootnoteTextChar">
    <w:name w:val="Footnote Text Char"/>
    <w:aliases w:val="ע Char,Footnote Text1 Char,Footnote Text2 Char,Footnote Text3 Char,הערות שוליים דוקטורט Char,Footnote Text Char Char Char Char"/>
    <w:basedOn w:val="DefaultParagraphFont"/>
    <w:link w:val="FootnoteText"/>
    <w:rsid w:val="00436363"/>
    <w:rPr>
      <w:sz w:val="20"/>
      <w:szCs w:val="20"/>
      <w:lang w:val="en-US"/>
    </w:rPr>
  </w:style>
  <w:style w:type="character" w:styleId="FootnoteReference">
    <w:name w:val="footnote reference"/>
    <w:basedOn w:val="DefaultParagraphFont"/>
    <w:unhideWhenUsed/>
    <w:rsid w:val="004363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Eran Viezel</dc:creator>
  <cp:keywords/>
  <dc:description/>
  <cp:lastModifiedBy>Eran Viezel</cp:lastModifiedBy>
  <cp:revision>1</cp:revision>
  <dcterms:created xsi:type="dcterms:W3CDTF">2021-04-26T09:05:00Z</dcterms:created>
  <dcterms:modified xsi:type="dcterms:W3CDTF">2021-04-26T09:13:00Z</dcterms:modified>
</cp:coreProperties>
</file>