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3A293" w14:textId="141AC632" w:rsidR="00C47B8B" w:rsidRDefault="00FE26AF" w:rsidP="00FE26AF">
      <w:pPr>
        <w:jc w:val="both"/>
      </w:pPr>
      <w:r>
        <w:t xml:space="preserve">This study explores the “philosophical </w:t>
      </w:r>
      <w:commentRangeStart w:id="0"/>
      <w:r>
        <w:t>scholarship</w:t>
      </w:r>
      <w:commentRangeEnd w:id="0"/>
      <w:r>
        <w:rPr>
          <w:rStyle w:val="CommentReference"/>
        </w:rPr>
        <w:commentReference w:id="0"/>
      </w:r>
      <w:r>
        <w:t>” of R. Joseph Rosen (1858-1936</w:t>
      </w:r>
      <w:r w:rsidR="00681137">
        <w:t>;</w:t>
      </w:r>
      <w:r>
        <w:t xml:space="preserve"> also known as the Rogatchover). “Philosophical scholarship” is a unique method of learning developed by the Rogatchover for studying Talmud and Halakha, which employs philosophical tools and language. The philosophy the Rogatchover used to create his “philosophical scholarship” is primarily the philosophy of Maimonides’ </w:t>
      </w:r>
      <w:r w:rsidRPr="00193220">
        <w:rPr>
          <w:i/>
          <w:iCs/>
        </w:rPr>
        <w:t>Guide to the Perplexed</w:t>
      </w:r>
      <w:r>
        <w:t xml:space="preserve">. Therefore, the crux of this study is an examination of the Rogatchover’s attitude towards the </w:t>
      </w:r>
      <w:r w:rsidRPr="00193220">
        <w:rPr>
          <w:i/>
          <w:iCs/>
        </w:rPr>
        <w:t>Guide to the Perplexed</w:t>
      </w:r>
      <w:r>
        <w:t xml:space="preserve">, demonstrating the connections he forged between </w:t>
      </w:r>
      <w:r w:rsidRPr="00193220">
        <w:rPr>
          <w:i/>
          <w:iCs/>
        </w:rPr>
        <w:t>the Guide</w:t>
      </w:r>
      <w:r>
        <w:t xml:space="preserve">’s philosophy and </w:t>
      </w:r>
      <w:r w:rsidRPr="00FE26AF">
        <w:rPr>
          <w:highlight w:val="yellow"/>
        </w:rPr>
        <w:t>his</w:t>
      </w:r>
      <w:r>
        <w:t xml:space="preserve"> Talmudic and Halakhic thought, and emphasizing the </w:t>
      </w:r>
      <w:r w:rsidRPr="00E90CE4">
        <w:t>scholarly</w:t>
      </w:r>
      <w:r>
        <w:t xml:space="preserve"> product of the synthesis between both worlds of thought. </w:t>
      </w:r>
    </w:p>
    <w:p w14:paraId="17BC9D5E" w14:textId="7A692F42" w:rsidR="005A1C2B" w:rsidRDefault="00FE26AF" w:rsidP="00624991">
      <w:pPr>
        <w:ind w:firstLine="720"/>
        <w:jc w:val="both"/>
      </w:pPr>
      <w:r>
        <w:t xml:space="preserve">After presenting the Rogatchover’s biography and writings in the first chapter by means of a basic bio-bibliography, the second chapter serves as a comprehensive introduction to the Rogatchover’s scholarly method, and it highlights the primary and original characteristics that </w:t>
      </w:r>
      <w:commentRangeStart w:id="1"/>
      <w:r>
        <w:t xml:space="preserve">shape </w:t>
      </w:r>
      <w:commentRangeEnd w:id="1"/>
      <w:r>
        <w:rPr>
          <w:rStyle w:val="CommentReference"/>
        </w:rPr>
        <w:commentReference w:id="1"/>
      </w:r>
      <w:r>
        <w:t xml:space="preserve">it. These characteristics are presented by </w:t>
      </w:r>
      <w:r w:rsidR="00902FC5">
        <w:t>analyzing</w:t>
      </w:r>
      <w:r>
        <w:t xml:space="preserve"> one </w:t>
      </w:r>
      <w:r w:rsidR="007F06B1">
        <w:t xml:space="preserve">unique </w:t>
      </w:r>
      <w:r w:rsidR="00FB1240">
        <w:t>respons</w:t>
      </w:r>
      <w:r w:rsidR="00F92D08">
        <w:t>um</w:t>
      </w:r>
      <w:r w:rsidR="007F06B1">
        <w:t xml:space="preserve"> he wrote (which includes elements of each of the said characteristics) </w:t>
      </w:r>
      <w:r w:rsidR="006E0586">
        <w:t>that</w:t>
      </w:r>
      <w:r w:rsidR="007F06B1">
        <w:t xml:space="preserve"> includes a request to point </w:t>
      </w:r>
      <w:r w:rsidR="00C3311F">
        <w:t>out</w:t>
      </w:r>
      <w:r w:rsidR="007F06B1">
        <w:t xml:space="preserve"> the connection</w:t>
      </w:r>
      <w:r w:rsidR="00C3311F">
        <w:t>s</w:t>
      </w:r>
      <w:r w:rsidR="007F06B1">
        <w:t xml:space="preserve"> (direct or indirect) between most of the characteristics and the notion of “philosophical scholarship”. The characteristics discussed in the chapter are: speedy, shorthanded writing with many references, in response to any petitioner and touching on any </w:t>
      </w:r>
      <w:r w:rsidR="00C3311F">
        <w:t>H</w:t>
      </w:r>
      <w:r w:rsidR="007F06B1">
        <w:t>alakhic-religious topic; a synthesis between different topics, usually by identifying one abstract idea that</w:t>
      </w:r>
      <w:r w:rsidR="00C3311F">
        <w:t xml:space="preserve"> is</w:t>
      </w:r>
      <w:r w:rsidR="007F06B1">
        <w:t xml:space="preserve"> common to all of them; admiration for Maimonides and his work; </w:t>
      </w:r>
      <w:r w:rsidR="004C7A84">
        <w:t xml:space="preserve">commentary </w:t>
      </w:r>
      <w:r w:rsidR="00890909">
        <w:t>by means of “analytic scholarship”</w:t>
      </w:r>
      <w:r w:rsidR="00C3311F">
        <w:t>,</w:t>
      </w:r>
      <w:r w:rsidR="00890909">
        <w:t xml:space="preserve"> “philosophical </w:t>
      </w:r>
      <w:r w:rsidR="005851F9">
        <w:t>scholarship” and “philosophical-theological scholarship”</w:t>
      </w:r>
      <w:r w:rsidR="00E2486F">
        <w:t xml:space="preserve"> grounded in the philosophy and theology of the </w:t>
      </w:r>
      <w:r w:rsidR="00E2486F" w:rsidRPr="00D92E32">
        <w:rPr>
          <w:i/>
          <w:iCs/>
        </w:rPr>
        <w:t>Guide to the Perplexed</w:t>
      </w:r>
      <w:r w:rsidR="001E7DAD">
        <w:t xml:space="preserve">; use of the </w:t>
      </w:r>
      <w:r w:rsidR="001E7DAD" w:rsidRPr="00D92E32">
        <w:rPr>
          <w:i/>
          <w:iCs/>
        </w:rPr>
        <w:t>Guide to the Perplexed</w:t>
      </w:r>
      <w:r w:rsidR="001E7DAD">
        <w:t xml:space="preserve">, which he consistently interpreted according to </w:t>
      </w:r>
      <w:r w:rsidR="00D92E32" w:rsidRPr="00D92E32">
        <w:rPr>
          <w:highlight w:val="yellow"/>
        </w:rPr>
        <w:t>Talmudic/</w:t>
      </w:r>
      <w:r w:rsidR="0096042E" w:rsidRPr="00D92E32">
        <w:rPr>
          <w:highlight w:val="yellow"/>
        </w:rPr>
        <w:t>Rabbinic</w:t>
      </w:r>
      <w:r w:rsidR="0096042E">
        <w:t xml:space="preserve"> literature, including </w:t>
      </w:r>
      <w:r w:rsidR="00D955B1">
        <w:t xml:space="preserve">discussions of a </w:t>
      </w:r>
      <w:r w:rsidR="00322F59">
        <w:t xml:space="preserve">homiletical or </w:t>
      </w:r>
      <w:r w:rsidR="00D92E32">
        <w:rPr>
          <w:i/>
          <w:iCs/>
        </w:rPr>
        <w:t>A</w:t>
      </w:r>
      <w:r w:rsidR="00322F59" w:rsidRPr="00322F59">
        <w:rPr>
          <w:i/>
          <w:iCs/>
        </w:rPr>
        <w:t>ggadic</w:t>
      </w:r>
      <w:r w:rsidR="00322F59">
        <w:t xml:space="preserve"> nature</w:t>
      </w:r>
      <w:r w:rsidR="0044606F">
        <w:t xml:space="preserve">; a perception of Halakha as </w:t>
      </w:r>
      <w:r w:rsidR="003E158A">
        <w:t xml:space="preserve">dealing with ontological essences, </w:t>
      </w:r>
      <w:r w:rsidR="00764275">
        <w:t xml:space="preserve">as well as allowing space for the natural world within the framework of the Halakhic world; </w:t>
      </w:r>
      <w:r w:rsidR="00740153">
        <w:t xml:space="preserve">integrating </w:t>
      </w:r>
      <w:r w:rsidR="002E7216">
        <w:t>Aggadah</w:t>
      </w:r>
      <w:r w:rsidR="00740153">
        <w:t xml:space="preserve"> and homiletics </w:t>
      </w:r>
      <w:r w:rsidR="00FD1A58">
        <w:t xml:space="preserve">within halakhic discourse; </w:t>
      </w:r>
      <w:r w:rsidR="00F45C54">
        <w:t xml:space="preserve">independent </w:t>
      </w:r>
      <w:r w:rsidR="00537617">
        <w:t>halakhic rulings based on the Talmud</w:t>
      </w:r>
      <w:r w:rsidR="006A6593">
        <w:t xml:space="preserve"> as part of his strict </w:t>
      </w:r>
      <w:r w:rsidR="009877A7" w:rsidRPr="009877A7">
        <w:rPr>
          <w:highlight w:val="yellow"/>
        </w:rPr>
        <w:t>adherence</w:t>
      </w:r>
      <w:r w:rsidR="006A6593">
        <w:t xml:space="preserve"> to </w:t>
      </w:r>
      <w:r w:rsidR="002E7216" w:rsidRPr="002E7216">
        <w:rPr>
          <w:highlight w:val="yellow"/>
        </w:rPr>
        <w:t>Talmudic/</w:t>
      </w:r>
      <w:r w:rsidR="001C533F" w:rsidRPr="002E7216">
        <w:rPr>
          <w:highlight w:val="yellow"/>
        </w:rPr>
        <w:t>Rabbinic</w:t>
      </w:r>
      <w:r w:rsidR="001C533F">
        <w:t xml:space="preserve"> discourse, including: </w:t>
      </w:r>
      <w:r w:rsidR="00A635A8">
        <w:t xml:space="preserve">a high regard </w:t>
      </w:r>
      <w:r w:rsidR="00932BDF">
        <w:t>for</w:t>
      </w:r>
      <w:r w:rsidR="00A635A8">
        <w:t xml:space="preserve"> the </w:t>
      </w:r>
      <w:r w:rsidR="00440BA4" w:rsidRPr="00932BDF">
        <w:rPr>
          <w:highlight w:val="yellow"/>
        </w:rPr>
        <w:t>Palestinian</w:t>
      </w:r>
      <w:r w:rsidR="00932BDF" w:rsidRPr="00932BDF">
        <w:rPr>
          <w:highlight w:val="yellow"/>
        </w:rPr>
        <w:t>/Jerusalem</w:t>
      </w:r>
      <w:r w:rsidR="00440BA4">
        <w:t xml:space="preserve"> Talmud</w:t>
      </w:r>
      <w:r w:rsidR="00932BDF">
        <w:t xml:space="preserve"> and </w:t>
      </w:r>
      <w:r w:rsidR="00E62670">
        <w:t xml:space="preserve">perceiving everyday reality through </w:t>
      </w:r>
      <w:r w:rsidR="00F341F4">
        <w:t xml:space="preserve">the lens of </w:t>
      </w:r>
      <w:r w:rsidR="002D1DAE" w:rsidRPr="002D1DAE">
        <w:rPr>
          <w:highlight w:val="yellow"/>
        </w:rPr>
        <w:t>Talmudic/</w:t>
      </w:r>
      <w:r w:rsidR="00F341F4" w:rsidRPr="002D1DAE">
        <w:rPr>
          <w:highlight w:val="yellow"/>
        </w:rPr>
        <w:t>Rabbinic</w:t>
      </w:r>
      <w:r w:rsidR="00F341F4">
        <w:t xml:space="preserve"> discourse, </w:t>
      </w:r>
      <w:r w:rsidR="000A7B58">
        <w:t xml:space="preserve">while </w:t>
      </w:r>
      <w:r w:rsidR="00D51299">
        <w:t xml:space="preserve">at the same time </w:t>
      </w:r>
      <w:r w:rsidR="00B84A9E">
        <w:t xml:space="preserve">rejecting – and sometimes ignoring completely </w:t>
      </w:r>
      <w:r w:rsidR="00CE2120">
        <w:t>– the accepted</w:t>
      </w:r>
      <w:r w:rsidR="00B84A9E">
        <w:t xml:space="preserve"> </w:t>
      </w:r>
      <w:r w:rsidR="00CE2120">
        <w:t>post-Talmudic literature</w:t>
      </w:r>
      <w:r w:rsidR="00CC045B">
        <w:t xml:space="preserve">; a critical stance towards </w:t>
      </w:r>
      <w:r w:rsidR="00D51299">
        <w:t xml:space="preserve">commentators of the </w:t>
      </w:r>
      <w:r w:rsidR="00D51299" w:rsidRPr="002D1DAE">
        <w:rPr>
          <w:i/>
          <w:iCs/>
        </w:rPr>
        <w:t>Guide to the Perplexed</w:t>
      </w:r>
      <w:r w:rsidR="00D51299">
        <w:t xml:space="preserve"> a</w:t>
      </w:r>
      <w:r w:rsidR="001D045E">
        <w:t xml:space="preserve">long with </w:t>
      </w:r>
      <w:r w:rsidR="00F94AC5">
        <w:t xml:space="preserve">a willingness to accept some of their </w:t>
      </w:r>
      <w:r w:rsidR="0017651A">
        <w:t>writings;</w:t>
      </w:r>
      <w:r w:rsidR="00336840">
        <w:t xml:space="preserve"> a measure of influence from the world of Kabbalah and </w:t>
      </w:r>
      <w:r w:rsidR="00506DE3">
        <w:t xml:space="preserve">Hasidism; interpretation of </w:t>
      </w:r>
      <w:r w:rsidR="0060627D">
        <w:t>customs</w:t>
      </w:r>
      <w:r w:rsidR="00D474E3">
        <w:t>/</w:t>
      </w:r>
      <w:proofErr w:type="spellStart"/>
      <w:r w:rsidR="002D1DAE">
        <w:t>M</w:t>
      </w:r>
      <w:r w:rsidR="00D474E3">
        <w:t>inhagim</w:t>
      </w:r>
      <w:proofErr w:type="spellEnd"/>
      <w:r w:rsidR="00D474E3">
        <w:t xml:space="preserve"> in a way that grounds them in Talmudic literature and </w:t>
      </w:r>
      <w:r w:rsidR="005A1C2B">
        <w:t>is</w:t>
      </w:r>
      <w:r w:rsidR="006177FB">
        <w:t xml:space="preserve"> </w:t>
      </w:r>
      <w:r w:rsidR="005A1C2B">
        <w:t>Halakhically</w:t>
      </w:r>
      <w:r w:rsidR="006177FB">
        <w:t xml:space="preserve"> orientat</w:t>
      </w:r>
      <w:r w:rsidR="005A1C2B">
        <w:t>ed</w:t>
      </w:r>
      <w:r w:rsidR="006177FB">
        <w:t xml:space="preserve">.  </w:t>
      </w:r>
      <w:r w:rsidR="0060627D">
        <w:t xml:space="preserve"> </w:t>
      </w:r>
      <w:r w:rsidR="00336840">
        <w:t xml:space="preserve"> </w:t>
      </w:r>
      <w:r w:rsidR="0017651A">
        <w:t xml:space="preserve"> </w:t>
      </w:r>
    </w:p>
    <w:p w14:paraId="3931CC4C" w14:textId="5B83D1B4" w:rsidR="00F359FD" w:rsidRDefault="005A1C2B" w:rsidP="0043573A">
      <w:pPr>
        <w:ind w:firstLine="720"/>
        <w:jc w:val="both"/>
      </w:pPr>
      <w:r>
        <w:t xml:space="preserve">The third chapter is dedicated to the </w:t>
      </w:r>
      <w:r w:rsidR="00335C0C">
        <w:t>Rogatchover</w:t>
      </w:r>
      <w:r w:rsidR="00335C0C">
        <w:t>’s</w:t>
      </w:r>
      <w:r w:rsidR="00335C0C">
        <w:t xml:space="preserve"> </w:t>
      </w:r>
      <w:r w:rsidRPr="00335C0C">
        <w:rPr>
          <w:highlight w:val="yellow"/>
        </w:rPr>
        <w:t>comments</w:t>
      </w:r>
      <w:r w:rsidR="00335C0C" w:rsidRPr="00335C0C">
        <w:rPr>
          <w:highlight w:val="yellow"/>
        </w:rPr>
        <w:t>/commentary</w:t>
      </w:r>
      <w:r w:rsidR="00335C0C">
        <w:t xml:space="preserve"> on the </w:t>
      </w:r>
      <w:r w:rsidR="00335C0C" w:rsidRPr="002D1DAE">
        <w:rPr>
          <w:i/>
          <w:iCs/>
        </w:rPr>
        <w:t>Guide to the Perplexed</w:t>
      </w:r>
      <w:r w:rsidR="00335C0C">
        <w:t xml:space="preserve">, </w:t>
      </w:r>
      <w:r w:rsidR="00506BB8">
        <w:t>which serve</w:t>
      </w:r>
      <w:r w:rsidR="009D23CC">
        <w:t>s</w:t>
      </w:r>
      <w:r w:rsidR="00506BB8">
        <w:t xml:space="preserve"> as a means for characterizing </w:t>
      </w:r>
      <w:r w:rsidR="00126EB3">
        <w:t xml:space="preserve">his hermeneutic method for the </w:t>
      </w:r>
      <w:r w:rsidR="00126EB3" w:rsidRPr="009C7FD3">
        <w:rPr>
          <w:i/>
          <w:iCs/>
        </w:rPr>
        <w:t>Guide to the Perplexed</w:t>
      </w:r>
      <w:r w:rsidR="009D23CC">
        <w:t>,</w:t>
      </w:r>
      <w:r w:rsidR="00126EB3">
        <w:t xml:space="preserve"> </w:t>
      </w:r>
      <w:r w:rsidR="00A63B77">
        <w:t xml:space="preserve">and </w:t>
      </w:r>
      <w:r w:rsidR="009D23CC">
        <w:t xml:space="preserve">for </w:t>
      </w:r>
      <w:r w:rsidR="00A63B77">
        <w:t xml:space="preserve">comparing it to other </w:t>
      </w:r>
      <w:r w:rsidR="00E62984" w:rsidRPr="00E62984">
        <w:rPr>
          <w:highlight w:val="yellow"/>
        </w:rPr>
        <w:t>modes of exegesis</w:t>
      </w:r>
      <w:r w:rsidR="00E62984">
        <w:t xml:space="preserve">. </w:t>
      </w:r>
      <w:r w:rsidR="001E3E5D">
        <w:t xml:space="preserve">Research has shown that </w:t>
      </w:r>
      <w:commentRangeStart w:id="2"/>
      <w:r w:rsidR="001E3E5D">
        <w:t>this</w:t>
      </w:r>
      <w:commentRangeEnd w:id="2"/>
      <w:r w:rsidR="0044783B">
        <w:rPr>
          <w:rStyle w:val="CommentReference"/>
        </w:rPr>
        <w:commentReference w:id="2"/>
      </w:r>
      <w:r w:rsidR="001E3E5D">
        <w:t xml:space="preserve"> </w:t>
      </w:r>
      <w:r w:rsidR="0044783B">
        <w:t xml:space="preserve">exegesis </w:t>
      </w:r>
      <w:commentRangeStart w:id="3"/>
      <w:r w:rsidR="00AF04FF">
        <w:t>is</w:t>
      </w:r>
      <w:commentRangeEnd w:id="3"/>
      <w:r w:rsidR="00AF04FF">
        <w:rPr>
          <w:rStyle w:val="CommentReference"/>
        </w:rPr>
        <w:commentReference w:id="3"/>
      </w:r>
      <w:r w:rsidR="00AF04FF">
        <w:t xml:space="preserve"> </w:t>
      </w:r>
      <w:r w:rsidR="006F29AA">
        <w:t xml:space="preserve">one of the most </w:t>
      </w:r>
      <w:r w:rsidR="0083307B">
        <w:t xml:space="preserve">original </w:t>
      </w:r>
      <w:r w:rsidR="005C161B">
        <w:t xml:space="preserve">of all of the different interpretations to the </w:t>
      </w:r>
      <w:r w:rsidR="005C161B" w:rsidRPr="009C7FD3">
        <w:rPr>
          <w:i/>
          <w:iCs/>
        </w:rPr>
        <w:t>Guide to the Perplexed</w:t>
      </w:r>
      <w:r w:rsidR="00AF37EF">
        <w:t>, and that this originality is the flip</w:t>
      </w:r>
      <w:r w:rsidR="00FF15D1">
        <w:t>-</w:t>
      </w:r>
      <w:r w:rsidR="00AF37EF">
        <w:t>side of a</w:t>
      </w:r>
      <w:r w:rsidR="00275919">
        <w:t xml:space="preserve"> coin that is traditional to the extreme</w:t>
      </w:r>
      <w:r w:rsidR="00121E58">
        <w:t xml:space="preserve">: the </w:t>
      </w:r>
      <w:r w:rsidR="00EF3028">
        <w:t xml:space="preserve">way in which the </w:t>
      </w:r>
      <w:r w:rsidR="007F4D43">
        <w:rPr>
          <w:rFonts w:hint="cs"/>
        </w:rPr>
        <w:t>R</w:t>
      </w:r>
      <w:r w:rsidR="007F4D43">
        <w:t>ogatchover</w:t>
      </w:r>
      <w:r w:rsidR="00EF3028">
        <w:t xml:space="preserve"> interpreted the </w:t>
      </w:r>
      <w:r w:rsidR="00EF3028" w:rsidRPr="009C7FD3">
        <w:rPr>
          <w:i/>
          <w:iCs/>
        </w:rPr>
        <w:t>Guide to the Perplexed</w:t>
      </w:r>
      <w:r w:rsidR="00EF3028">
        <w:t xml:space="preserve"> </w:t>
      </w:r>
      <w:r w:rsidR="00F4733B">
        <w:t xml:space="preserve">according to </w:t>
      </w:r>
      <w:r w:rsidR="00730066">
        <w:t xml:space="preserve">the </w:t>
      </w:r>
      <w:r w:rsidR="00736104">
        <w:t>Talmudic scholars (per Maimonides’ instructions in the introduction to the book)</w:t>
      </w:r>
      <w:r w:rsidR="006A46EB">
        <w:t xml:space="preserve"> was what led him to take note of </w:t>
      </w:r>
      <w:r w:rsidR="00E45A3B">
        <w:t xml:space="preserve">philosophical </w:t>
      </w:r>
      <w:r w:rsidR="00E45A3B" w:rsidRPr="002072B5">
        <w:rPr>
          <w:highlight w:val="yellow"/>
        </w:rPr>
        <w:t>thinking/thoughts</w:t>
      </w:r>
      <w:r w:rsidR="00E45A3B">
        <w:t xml:space="preserve"> hidden in the Talmud</w:t>
      </w:r>
      <w:r w:rsidR="00896849">
        <w:t xml:space="preserve">, not only in its Aggadic parts but also </w:t>
      </w:r>
      <w:r w:rsidR="002072B5">
        <w:t xml:space="preserve">in the Talmud’s Halakhic details. </w:t>
      </w:r>
      <w:r w:rsidR="00C13AE4">
        <w:t xml:space="preserve">The “philosophical scholarship” is </w:t>
      </w:r>
      <w:r w:rsidR="009C7FD3">
        <w:t>but</w:t>
      </w:r>
      <w:r w:rsidR="00C13AE4">
        <w:t xml:space="preserve"> </w:t>
      </w:r>
      <w:r w:rsidR="005A2B66">
        <w:t xml:space="preserve">one </w:t>
      </w:r>
      <w:r w:rsidR="00E14CA4">
        <w:t>dimension</w:t>
      </w:r>
      <w:r w:rsidR="005A2B66">
        <w:t xml:space="preserve"> of </w:t>
      </w:r>
      <w:r w:rsidR="009C7FD3">
        <w:t>a broader</w:t>
      </w:r>
      <w:r w:rsidR="00C13AE4">
        <w:t xml:space="preserve"> </w:t>
      </w:r>
      <w:r w:rsidR="005A2B66">
        <w:t>hermeneutic approach</w:t>
      </w:r>
      <w:r w:rsidR="00E14CA4">
        <w:t xml:space="preserve">, which examines Talmudic Halakha </w:t>
      </w:r>
      <w:r w:rsidR="00F43648">
        <w:t xml:space="preserve">in relation to the thought of </w:t>
      </w:r>
      <w:r w:rsidR="00F43648" w:rsidRPr="00F43648">
        <w:rPr>
          <w:i/>
          <w:iCs/>
        </w:rPr>
        <w:t>the Guide</w:t>
      </w:r>
      <w:r w:rsidR="00F43648">
        <w:t xml:space="preserve">. </w:t>
      </w:r>
      <w:r w:rsidR="002C6953" w:rsidRPr="002C6953">
        <w:rPr>
          <w:highlight w:val="yellow"/>
        </w:rPr>
        <w:t>The/Our</w:t>
      </w:r>
      <w:r w:rsidR="002C6953">
        <w:t xml:space="preserve"> study shows </w:t>
      </w:r>
      <w:r w:rsidR="00374D60">
        <w:t>that this interpretation should not be perceived as mere</w:t>
      </w:r>
      <w:r w:rsidR="003F7536">
        <w:t>ly</w:t>
      </w:r>
      <w:r w:rsidR="00D74C5E">
        <w:t xml:space="preserve"> homiletic</w:t>
      </w:r>
      <w:r w:rsidR="003F7536">
        <w:t xml:space="preserve">al in its interpretation of the philosophical </w:t>
      </w:r>
      <w:r w:rsidR="00F54791">
        <w:t>book, in service of the scholarly-Halakhic discourse</w:t>
      </w:r>
      <w:r w:rsidR="00AC2D5D">
        <w:t xml:space="preserve">: one can see how the Rogatchover </w:t>
      </w:r>
      <w:r w:rsidR="00F01EB5">
        <w:t>felt</w:t>
      </w:r>
      <w:r w:rsidR="00AC2D5D">
        <w:t xml:space="preserve"> </w:t>
      </w:r>
      <w:r w:rsidR="00F01EB5">
        <w:t xml:space="preserve">at home </w:t>
      </w:r>
      <w:r w:rsidR="00B95CB7">
        <w:t>with</w:t>
      </w:r>
      <w:r w:rsidR="00F01EB5">
        <w:t xml:space="preserve"> the philosophical</w:t>
      </w:r>
      <w:r w:rsidR="00580D57">
        <w:t xml:space="preserve"> discussions of </w:t>
      </w:r>
      <w:r w:rsidR="00580D57" w:rsidRPr="00B95CB7">
        <w:rPr>
          <w:i/>
          <w:iCs/>
        </w:rPr>
        <w:t>the Guide</w:t>
      </w:r>
      <w:r w:rsidR="00580D57">
        <w:t xml:space="preserve"> and </w:t>
      </w:r>
      <w:r w:rsidR="00B95CB7">
        <w:t xml:space="preserve">was </w:t>
      </w:r>
      <w:r w:rsidR="00580D57">
        <w:t xml:space="preserve">fully aware of the </w:t>
      </w:r>
      <w:r w:rsidR="00AF4009">
        <w:t xml:space="preserve">“radical interpretation” of </w:t>
      </w:r>
      <w:r w:rsidR="00AF4009" w:rsidRPr="00B95CB7">
        <w:rPr>
          <w:i/>
          <w:iCs/>
        </w:rPr>
        <w:t>the Guide</w:t>
      </w:r>
      <w:r w:rsidR="00AF4009">
        <w:t xml:space="preserve">, and that from this framework </w:t>
      </w:r>
      <w:r w:rsidR="00AF4009">
        <w:lastRenderedPageBreak/>
        <w:t xml:space="preserve">he perceived himself as someone who fully </w:t>
      </w:r>
      <w:r w:rsidR="00AF218C">
        <w:t xml:space="preserve">grasped Maimonides’ view. Even when the Rogatchover chooses to disagree with Maimonides by </w:t>
      </w:r>
      <w:r w:rsidR="00333FBC">
        <w:t xml:space="preserve">juxtaposing Talmudic Halakhic rulings to Maimonides’ </w:t>
      </w:r>
      <w:r w:rsidR="006D5E62">
        <w:t xml:space="preserve">philosophical approach, he </w:t>
      </w:r>
      <w:r w:rsidR="00E7649E">
        <w:t xml:space="preserve">maintains </w:t>
      </w:r>
      <w:r w:rsidR="00FE78DB">
        <w:t>his</w:t>
      </w:r>
      <w:r w:rsidR="00E7649E">
        <w:t xml:space="preserve"> belief in the philosophical discourse presented in </w:t>
      </w:r>
      <w:r w:rsidR="00E7649E" w:rsidRPr="00B95CB7">
        <w:rPr>
          <w:i/>
          <w:iCs/>
        </w:rPr>
        <w:t>the Guide</w:t>
      </w:r>
      <w:r w:rsidR="00FE78DB">
        <w:t xml:space="preserve"> and </w:t>
      </w:r>
      <w:r w:rsidR="00F359FD">
        <w:t xml:space="preserve">sees the questions that it presents as relevant to the Talmudic discourse. </w:t>
      </w:r>
    </w:p>
    <w:p w14:paraId="29B0D41F" w14:textId="421E6DBC" w:rsidR="00FE26AF" w:rsidRDefault="00402858" w:rsidP="0043573A">
      <w:pPr>
        <w:ind w:firstLine="720"/>
        <w:jc w:val="both"/>
      </w:pPr>
      <w:r>
        <w:t xml:space="preserve">After the third chapter sought to </w:t>
      </w:r>
      <w:r w:rsidR="00733A5A">
        <w:t xml:space="preserve">clarify </w:t>
      </w:r>
      <w:r w:rsidR="007479D4">
        <w:t xml:space="preserve">the way in which the Rogatchover read and interpreted </w:t>
      </w:r>
      <w:r w:rsidR="007479D4" w:rsidRPr="00B95CB7">
        <w:t>the</w:t>
      </w:r>
      <w:r w:rsidR="007479D4" w:rsidRPr="00B95CB7">
        <w:rPr>
          <w:i/>
          <w:iCs/>
        </w:rPr>
        <w:t xml:space="preserve"> Guide</w:t>
      </w:r>
      <w:r w:rsidR="007479D4">
        <w:t xml:space="preserve"> </w:t>
      </w:r>
      <w:r w:rsidR="007479D4" w:rsidRPr="00B95CB7">
        <w:rPr>
          <w:i/>
          <w:iCs/>
        </w:rPr>
        <w:t>to the Perplexed</w:t>
      </w:r>
      <w:r w:rsidR="007479D4">
        <w:t xml:space="preserve">, the fourth chapter examines the place of the </w:t>
      </w:r>
      <w:r w:rsidR="00A775AF" w:rsidRPr="00B95CB7">
        <w:rPr>
          <w:i/>
          <w:iCs/>
        </w:rPr>
        <w:t>Guide to the Perplexed</w:t>
      </w:r>
      <w:r w:rsidR="00A775AF">
        <w:t xml:space="preserve"> within his Halakhic writing and in so doing presents </w:t>
      </w:r>
      <w:r w:rsidR="00D3330A">
        <w:t xml:space="preserve">a unique phenomenon in the history of Halakhic literature. </w:t>
      </w:r>
      <w:r w:rsidR="007D75DC">
        <w:t xml:space="preserve">The chapter begins by </w:t>
      </w:r>
      <w:r w:rsidR="00743F69">
        <w:t xml:space="preserve">outlining the gradual process of integrating </w:t>
      </w:r>
      <w:r w:rsidR="00743F69" w:rsidRPr="00B95CB7">
        <w:rPr>
          <w:i/>
          <w:iCs/>
        </w:rPr>
        <w:t>the Guide</w:t>
      </w:r>
      <w:r w:rsidR="00743F69">
        <w:t xml:space="preserve"> and its </w:t>
      </w:r>
      <w:r w:rsidR="00DF63D5">
        <w:t xml:space="preserve">concepts in the Rogatchover’s scholarly </w:t>
      </w:r>
      <w:r w:rsidR="00744C1B">
        <w:t xml:space="preserve">writing, </w:t>
      </w:r>
      <w:r w:rsidR="009E0446">
        <w:t>but the discussion of his mature “philosophical scholarship”</w:t>
      </w:r>
      <w:r w:rsidR="003877D8">
        <w:t xml:space="preserve"> </w:t>
      </w:r>
      <w:r w:rsidR="00F92D08">
        <w:t>focuses</w:t>
      </w:r>
      <w:r w:rsidR="003877D8">
        <w:t xml:space="preserve"> on the Halakhic </w:t>
      </w:r>
      <w:r w:rsidR="00E00320">
        <w:t>responsa</w:t>
      </w:r>
      <w:r w:rsidR="003877D8">
        <w:t xml:space="preserve"> that he wrote. </w:t>
      </w:r>
      <w:commentRangeStart w:id="4"/>
      <w:r w:rsidR="001D6C37">
        <w:t>The reason for this choice is that only</w:t>
      </w:r>
      <w:r w:rsidR="00D90AE7">
        <w:t xml:space="preserve"> a scholarly </w:t>
      </w:r>
      <w:r w:rsidR="00701F34">
        <w:t xml:space="preserve">tendency </w:t>
      </w:r>
      <w:r w:rsidR="00AE52A0">
        <w:t xml:space="preserve">that </w:t>
      </w:r>
      <w:r w:rsidR="00701F34">
        <w:t xml:space="preserve">transcends </w:t>
      </w:r>
      <w:r w:rsidR="00CE70A3">
        <w:t xml:space="preserve">the interpretative-scholarly writing, </w:t>
      </w:r>
      <w:r w:rsidR="00AE52A0">
        <w:t>and</w:t>
      </w:r>
      <w:r w:rsidR="00CE70A3">
        <w:t xml:space="preserve"> appear</w:t>
      </w:r>
      <w:r w:rsidR="00AE52A0">
        <w:t>s</w:t>
      </w:r>
      <w:r w:rsidR="00CE70A3">
        <w:t xml:space="preserve"> in the real-life </w:t>
      </w:r>
      <w:r w:rsidR="00E16BC8">
        <w:t xml:space="preserve">genre of responsa, can testify to </w:t>
      </w:r>
      <w:r w:rsidR="00AE52A0">
        <w:t>the scholar’s</w:t>
      </w:r>
      <w:r w:rsidR="00E16BC8">
        <w:t xml:space="preserve"> total belief </w:t>
      </w:r>
      <w:r w:rsidR="00642EE1">
        <w:t>in the tendency</w:t>
      </w:r>
      <w:commentRangeEnd w:id="4"/>
      <w:r w:rsidR="00642EE1">
        <w:rPr>
          <w:rStyle w:val="CommentReference"/>
        </w:rPr>
        <w:commentReference w:id="4"/>
      </w:r>
      <w:r w:rsidR="00642EE1">
        <w:t xml:space="preserve">. </w:t>
      </w:r>
      <w:r w:rsidR="00E96B83">
        <w:t xml:space="preserve">Indeed, the chapter shows how </w:t>
      </w:r>
      <w:r w:rsidR="00466B4C">
        <w:t xml:space="preserve">in integrating </w:t>
      </w:r>
      <w:r w:rsidR="00466B4C" w:rsidRPr="00AE52A0">
        <w:rPr>
          <w:i/>
          <w:iCs/>
        </w:rPr>
        <w:t>the Guide</w:t>
      </w:r>
      <w:r w:rsidR="00466B4C">
        <w:t xml:space="preserve"> into his Halakhic writing, the Rogatchover </w:t>
      </w:r>
      <w:r w:rsidR="00D93648">
        <w:t>went beyond</w:t>
      </w:r>
      <w:r w:rsidR="000465FE">
        <w:t xml:space="preserve"> mere</w:t>
      </w:r>
      <w:r w:rsidR="00D93648">
        <w:t xml:space="preserve"> intellectual </w:t>
      </w:r>
      <w:r w:rsidR="000465FE">
        <w:t xml:space="preserve">acrobatics, </w:t>
      </w:r>
      <w:r w:rsidR="002C2728">
        <w:t xml:space="preserve">attempting to identify legal guidelines with real-life implications. </w:t>
      </w:r>
      <w:r w:rsidR="00E71CA6">
        <w:t xml:space="preserve">The Rogatchover’s use of the </w:t>
      </w:r>
      <w:r w:rsidR="00E71CA6" w:rsidRPr="00AE52A0">
        <w:rPr>
          <w:i/>
          <w:iCs/>
        </w:rPr>
        <w:t>Guide to the Perplexed</w:t>
      </w:r>
      <w:r w:rsidR="00E71CA6">
        <w:t xml:space="preserve"> was not limited to a particular </w:t>
      </w:r>
      <w:r w:rsidR="00B96252">
        <w:t>method or to a particular type of idea</w:t>
      </w:r>
      <w:r w:rsidR="00A465A7">
        <w:t xml:space="preserve"> offered by the </w:t>
      </w:r>
      <w:r w:rsidR="00A465A7" w:rsidRPr="00AE52A0">
        <w:rPr>
          <w:i/>
          <w:iCs/>
        </w:rPr>
        <w:t>Guide to the Perplexed</w:t>
      </w:r>
      <w:r w:rsidR="00A465A7">
        <w:t xml:space="preserve"> (such as understanding Halakha based on </w:t>
      </w:r>
      <w:r w:rsidR="00847C57">
        <w:t xml:space="preserve">an Aristotelian assumption or conceptualization, which is a primary </w:t>
      </w:r>
      <w:r w:rsidR="00F35FDF">
        <w:t xml:space="preserve">method of the “philosophical scholarship”), </w:t>
      </w:r>
      <w:r w:rsidR="008B08D4">
        <w:t xml:space="preserve">but rather extended to additional methods and types of ideas that appear in </w:t>
      </w:r>
      <w:r w:rsidR="008B08D4" w:rsidRPr="00A00379">
        <w:rPr>
          <w:i/>
          <w:iCs/>
        </w:rPr>
        <w:t>the Guide</w:t>
      </w:r>
      <w:r w:rsidR="008B08D4">
        <w:t xml:space="preserve"> (such as borrowing an idea from </w:t>
      </w:r>
      <w:r w:rsidR="000009CA">
        <w:t>Kalam</w:t>
      </w:r>
      <w:r w:rsidR="00993F59">
        <w:t xml:space="preserve"> or mentioning </w:t>
      </w:r>
      <w:r w:rsidR="00AE3D6F" w:rsidRPr="00A00379">
        <w:rPr>
          <w:i/>
          <w:iCs/>
        </w:rPr>
        <w:t>the Guide</w:t>
      </w:r>
      <w:r w:rsidR="00AE3D6F">
        <w:t xml:space="preserve">’s </w:t>
      </w:r>
      <w:r w:rsidR="00816851">
        <w:t>interpretation of</w:t>
      </w:r>
      <w:r w:rsidR="00AE3D6F">
        <w:t xml:space="preserve"> scripture)</w:t>
      </w:r>
      <w:r w:rsidR="0020308D">
        <w:t xml:space="preserve">, the primary point being that </w:t>
      </w:r>
      <w:r w:rsidR="00991176">
        <w:t xml:space="preserve">one can see how this use of </w:t>
      </w:r>
      <w:r w:rsidR="00991176" w:rsidRPr="00A00379">
        <w:rPr>
          <w:i/>
          <w:iCs/>
        </w:rPr>
        <w:t>the Guide</w:t>
      </w:r>
      <w:r w:rsidR="00991176">
        <w:t xml:space="preserve"> was not limited to a particular type of </w:t>
      </w:r>
      <w:r w:rsidR="004D7206">
        <w:t>Halakhic responsa and appeared in a variety of topics and contexts: in a responsum to an individual rela</w:t>
      </w:r>
      <w:r w:rsidR="00977653">
        <w:t xml:space="preserve">ting to the </w:t>
      </w:r>
      <w:proofErr w:type="spellStart"/>
      <w:r w:rsidR="00977653" w:rsidRPr="00A00379">
        <w:rPr>
          <w:i/>
          <w:iCs/>
        </w:rPr>
        <w:t>Orach</w:t>
      </w:r>
      <w:proofErr w:type="spellEnd"/>
      <w:r w:rsidR="00977653" w:rsidRPr="00A00379">
        <w:rPr>
          <w:i/>
          <w:iCs/>
        </w:rPr>
        <w:t xml:space="preserve"> Chayim</w:t>
      </w:r>
      <w:r w:rsidR="00977653">
        <w:t xml:space="preserve"> section of the </w:t>
      </w:r>
      <w:r w:rsidR="00977653" w:rsidRPr="00A00379">
        <w:rPr>
          <w:i/>
          <w:iCs/>
        </w:rPr>
        <w:t xml:space="preserve">Shulchan </w:t>
      </w:r>
      <w:proofErr w:type="spellStart"/>
      <w:r w:rsidR="00977653" w:rsidRPr="00A00379">
        <w:rPr>
          <w:i/>
          <w:iCs/>
        </w:rPr>
        <w:t>Aruch</w:t>
      </w:r>
      <w:proofErr w:type="spellEnd"/>
      <w:r w:rsidR="00977653">
        <w:t xml:space="preserve">, as well as responsa pertaining to public </w:t>
      </w:r>
      <w:r w:rsidR="00871BE9">
        <w:t xml:space="preserve">issues in </w:t>
      </w:r>
      <w:r w:rsidR="00871BE9" w:rsidRPr="00A00379">
        <w:rPr>
          <w:i/>
          <w:iCs/>
        </w:rPr>
        <w:t>Even</w:t>
      </w:r>
      <w:r w:rsidR="00871BE9">
        <w:t xml:space="preserve"> </w:t>
      </w:r>
      <w:proofErr w:type="spellStart"/>
      <w:r w:rsidR="00871BE9" w:rsidRPr="00A00379">
        <w:rPr>
          <w:i/>
          <w:iCs/>
        </w:rPr>
        <w:t>Ha’Ezer</w:t>
      </w:r>
      <w:proofErr w:type="spellEnd"/>
      <w:r w:rsidR="00871BE9">
        <w:t>, and also a</w:t>
      </w:r>
      <w:r w:rsidR="006218A0">
        <w:t xml:space="preserve"> pressing personal issue with a public dimension. </w:t>
      </w:r>
      <w:r w:rsidR="00504B49">
        <w:t>Each of these cases is situated in the study</w:t>
      </w:r>
      <w:r w:rsidR="00203D5D">
        <w:t xml:space="preserve">, as much as is possible, within the </w:t>
      </w:r>
      <w:r w:rsidR="00981A42">
        <w:t xml:space="preserve">historical and realistic context in which the problem appeared, thus </w:t>
      </w:r>
      <w:r w:rsidR="009874AE">
        <w:t xml:space="preserve">highlighting the uniqueness of introducing </w:t>
      </w:r>
      <w:r w:rsidR="009874AE" w:rsidRPr="006759AC">
        <w:rPr>
          <w:i/>
          <w:iCs/>
        </w:rPr>
        <w:t>the Guide</w:t>
      </w:r>
      <w:r w:rsidR="009874AE">
        <w:t xml:space="preserve"> to the discussion. </w:t>
      </w:r>
      <w:r w:rsidR="00D93A11">
        <w:t>The study emphasizes that the Rogatchover’s use of</w:t>
      </w:r>
      <w:r w:rsidR="005D3936">
        <w:t xml:space="preserve"> the </w:t>
      </w:r>
      <w:r w:rsidR="005D3936" w:rsidRPr="006759AC">
        <w:rPr>
          <w:i/>
          <w:iCs/>
        </w:rPr>
        <w:t>Guide to the Perplexed</w:t>
      </w:r>
      <w:r w:rsidR="005D3936">
        <w:t xml:space="preserve"> cannot be viewed as instrumental</w:t>
      </w:r>
      <w:r w:rsidR="00643643">
        <w:t>,</w:t>
      </w:r>
      <w:r w:rsidR="005D3936">
        <w:t xml:space="preserve"> in the service of Halakha, but rather</w:t>
      </w:r>
      <w:r w:rsidR="00643643">
        <w:t xml:space="preserve"> should be understood </w:t>
      </w:r>
      <w:r w:rsidR="00531234">
        <w:t xml:space="preserve">as an expression of the Rogatchover’s belief according to which the Talmud, Halakha and the </w:t>
      </w:r>
      <w:commentRangeStart w:id="5"/>
      <w:r w:rsidR="000F1400">
        <w:t>issues</w:t>
      </w:r>
      <w:commentRangeEnd w:id="5"/>
      <w:r w:rsidR="000F1400">
        <w:rPr>
          <w:rStyle w:val="CommentReference"/>
        </w:rPr>
        <w:commentReference w:id="5"/>
      </w:r>
      <w:r w:rsidR="000F1400">
        <w:t xml:space="preserve"> discussed within them</w:t>
      </w:r>
      <w:r w:rsidR="00203D5D">
        <w:t xml:space="preserve"> </w:t>
      </w:r>
      <w:r w:rsidR="0043573A">
        <w:t>became</w:t>
      </w:r>
      <w:r w:rsidR="00545946">
        <w:t xml:space="preserve"> imbued with the philosophy of the </w:t>
      </w:r>
      <w:r w:rsidR="00545946" w:rsidRPr="006759AC">
        <w:rPr>
          <w:i/>
          <w:iCs/>
        </w:rPr>
        <w:t>Guide to the Perplexed</w:t>
      </w:r>
      <w:r w:rsidR="00545946">
        <w:t xml:space="preserve">. </w:t>
      </w:r>
    </w:p>
    <w:p w14:paraId="0DAF2086" w14:textId="7A61CD04" w:rsidR="006A4D58" w:rsidRDefault="00545946" w:rsidP="0043573A">
      <w:pPr>
        <w:ind w:firstLine="720"/>
        <w:jc w:val="both"/>
      </w:pPr>
      <w:r>
        <w:t xml:space="preserve">After </w:t>
      </w:r>
      <w:r w:rsidR="00607E86">
        <w:t xml:space="preserve">dedicating the </w:t>
      </w:r>
      <w:r>
        <w:t xml:space="preserve">preceding chapters </w:t>
      </w:r>
      <w:r w:rsidR="00607E86">
        <w:t xml:space="preserve">to the Rogatchover’s attitude towards the </w:t>
      </w:r>
      <w:r w:rsidR="00607E86" w:rsidRPr="0043573A">
        <w:rPr>
          <w:i/>
          <w:iCs/>
        </w:rPr>
        <w:t>Guide to the Perplexed</w:t>
      </w:r>
      <w:r w:rsidR="00607E86">
        <w:t xml:space="preserve">, the fifth chapter </w:t>
      </w:r>
      <w:r w:rsidR="00A86DC0">
        <w:t xml:space="preserve">discusses his attitude towards </w:t>
      </w:r>
      <w:r w:rsidR="00A86DC0" w:rsidRPr="0043573A">
        <w:rPr>
          <w:i/>
          <w:iCs/>
        </w:rPr>
        <w:t>the Guide</w:t>
      </w:r>
      <w:r w:rsidR="00A86DC0">
        <w:t>’s commentators</w:t>
      </w:r>
      <w:r w:rsidR="00031DF6">
        <w:t>. The Rogatchover knew a wide array of commentaries</w:t>
      </w:r>
      <w:r w:rsidR="00C440AD">
        <w:t xml:space="preserve"> of </w:t>
      </w:r>
      <w:r w:rsidR="00C440AD" w:rsidRPr="007D4FDB">
        <w:rPr>
          <w:i/>
          <w:iCs/>
        </w:rPr>
        <w:t>the Guide</w:t>
      </w:r>
      <w:r w:rsidR="00C440AD">
        <w:t>, including some that were printed separately from t</w:t>
      </w:r>
      <w:r w:rsidR="00C440AD" w:rsidRPr="007D4FDB">
        <w:rPr>
          <w:i/>
          <w:iCs/>
        </w:rPr>
        <w:t>he Guide</w:t>
      </w:r>
      <w:r w:rsidR="00C440AD">
        <w:t xml:space="preserve">’s </w:t>
      </w:r>
      <w:r w:rsidR="00F5627E">
        <w:t xml:space="preserve">different editions. In the Rogatchover’s writing, especially in </w:t>
      </w:r>
      <w:r w:rsidR="00FD75E1">
        <w:t>his</w:t>
      </w:r>
      <w:r w:rsidR="00D4558F">
        <w:t xml:space="preserve"> comments </w:t>
      </w:r>
      <w:r w:rsidR="00FD75E1">
        <w:t>on</w:t>
      </w:r>
      <w:r w:rsidR="00D4558F">
        <w:t xml:space="preserve"> </w:t>
      </w:r>
      <w:r w:rsidR="00FB4797">
        <w:t xml:space="preserve">pages from the </w:t>
      </w:r>
      <w:proofErr w:type="spellStart"/>
      <w:r w:rsidR="00C35E62" w:rsidRPr="000D3028">
        <w:rPr>
          <w:highlight w:val="yellow"/>
        </w:rPr>
        <w:t>Zoltzbach</w:t>
      </w:r>
      <w:proofErr w:type="spellEnd"/>
      <w:r w:rsidR="00C35E62">
        <w:t xml:space="preserve"> edition of </w:t>
      </w:r>
      <w:r w:rsidR="00C35E62" w:rsidRPr="007D4FDB">
        <w:rPr>
          <w:i/>
          <w:iCs/>
        </w:rPr>
        <w:t xml:space="preserve">the </w:t>
      </w:r>
      <w:r w:rsidR="00FB4797" w:rsidRPr="007D4FDB">
        <w:rPr>
          <w:i/>
          <w:iCs/>
        </w:rPr>
        <w:t>Guide</w:t>
      </w:r>
      <w:r w:rsidR="00FB0FC7">
        <w:t xml:space="preserve"> </w:t>
      </w:r>
      <w:r w:rsidR="00C35E62">
        <w:t xml:space="preserve">that included </w:t>
      </w:r>
      <w:r w:rsidR="001B6B24">
        <w:t xml:space="preserve">the </w:t>
      </w:r>
      <w:proofErr w:type="spellStart"/>
      <w:r w:rsidR="001B6B24" w:rsidRPr="007D4FDB">
        <w:rPr>
          <w:i/>
          <w:iCs/>
        </w:rPr>
        <w:t>Narvoni</w:t>
      </w:r>
      <w:proofErr w:type="spellEnd"/>
      <w:r w:rsidR="00FD75E1">
        <w:t xml:space="preserve"> commentary</w:t>
      </w:r>
      <w:r w:rsidR="000D3028">
        <w:t>,</w:t>
      </w:r>
      <w:r w:rsidR="001B6B24">
        <w:t xml:space="preserve"> </w:t>
      </w:r>
      <w:proofErr w:type="spellStart"/>
      <w:r w:rsidR="001B6B24">
        <w:t>Shlomo</w:t>
      </w:r>
      <w:proofErr w:type="spellEnd"/>
      <w:r w:rsidR="001B6B24">
        <w:t xml:space="preserve"> </w:t>
      </w:r>
      <w:proofErr w:type="spellStart"/>
      <w:r w:rsidR="001B6B24">
        <w:t>Maimon’s</w:t>
      </w:r>
      <w:proofErr w:type="spellEnd"/>
      <w:r w:rsidR="001B6B24">
        <w:t xml:space="preserve"> </w:t>
      </w:r>
      <w:proofErr w:type="spellStart"/>
      <w:r w:rsidR="001B6B24" w:rsidRPr="00FD75E1">
        <w:rPr>
          <w:i/>
          <w:iCs/>
        </w:rPr>
        <w:t>Givat</w:t>
      </w:r>
      <w:proofErr w:type="spellEnd"/>
      <w:r w:rsidR="001B6B24" w:rsidRPr="00FD75E1">
        <w:rPr>
          <w:i/>
          <w:iCs/>
        </w:rPr>
        <w:t xml:space="preserve"> </w:t>
      </w:r>
      <w:proofErr w:type="spellStart"/>
      <w:r w:rsidR="001B6B24" w:rsidRPr="00FD75E1">
        <w:rPr>
          <w:i/>
          <w:iCs/>
        </w:rPr>
        <w:t>Ha’More</w:t>
      </w:r>
      <w:proofErr w:type="spellEnd"/>
      <w:r w:rsidR="000D3028">
        <w:t xml:space="preserve"> (on Part 1), and </w:t>
      </w:r>
      <w:r w:rsidR="00E96075">
        <w:t xml:space="preserve">Yitzchak </w:t>
      </w:r>
      <w:proofErr w:type="spellStart"/>
      <w:r w:rsidR="00E96075">
        <w:t>Satnov’s</w:t>
      </w:r>
      <w:proofErr w:type="spellEnd"/>
      <w:r w:rsidR="00E96075">
        <w:t xml:space="preserve"> commentary (on Parts 2 and 3)</w:t>
      </w:r>
      <w:r w:rsidR="00FD75E1">
        <w:t xml:space="preserve">, </w:t>
      </w:r>
      <w:r w:rsidR="00AC784A">
        <w:t xml:space="preserve">there are references to a wide array of commentaries on </w:t>
      </w:r>
      <w:r w:rsidR="00AC784A" w:rsidRPr="007D4FDB">
        <w:rPr>
          <w:i/>
          <w:iCs/>
        </w:rPr>
        <w:t>the Guide</w:t>
      </w:r>
      <w:r w:rsidR="00AC784A">
        <w:t xml:space="preserve">. </w:t>
      </w:r>
      <w:r w:rsidR="007D4FDB">
        <w:t>Despite</w:t>
      </w:r>
      <w:r w:rsidR="00B81614">
        <w:t xml:space="preserve"> his critical stance towards </w:t>
      </w:r>
      <w:r w:rsidR="00B81614" w:rsidRPr="00F93436">
        <w:rPr>
          <w:i/>
          <w:iCs/>
        </w:rPr>
        <w:t>the Guide</w:t>
      </w:r>
      <w:r w:rsidR="00B81614">
        <w:t xml:space="preserve">’s commentators, the Rogatchover was able to contain their ideas and </w:t>
      </w:r>
      <w:r w:rsidR="00015B47">
        <w:t xml:space="preserve">use them to </w:t>
      </w:r>
      <w:r w:rsidR="00F93436">
        <w:t>generate</w:t>
      </w:r>
      <w:r w:rsidR="00015B47">
        <w:t xml:space="preserve"> “philosophical scholarship”. </w:t>
      </w:r>
      <w:r w:rsidR="00160DE2">
        <w:t xml:space="preserve">The study </w:t>
      </w:r>
      <w:r w:rsidR="006A74BC">
        <w:t xml:space="preserve">contextualizes the “philosophical scholarship” created by the Rogatchover through his discussion of </w:t>
      </w:r>
      <w:r w:rsidR="00737976">
        <w:t xml:space="preserve">the “Spinozism” that appears in </w:t>
      </w:r>
      <w:proofErr w:type="spellStart"/>
      <w:r w:rsidR="00737976" w:rsidRPr="00F93436">
        <w:rPr>
          <w:i/>
          <w:iCs/>
        </w:rPr>
        <w:t>Givat</w:t>
      </w:r>
      <w:proofErr w:type="spellEnd"/>
      <w:r w:rsidR="00737976" w:rsidRPr="00F93436">
        <w:rPr>
          <w:i/>
          <w:iCs/>
        </w:rPr>
        <w:t xml:space="preserve"> </w:t>
      </w:r>
      <w:proofErr w:type="spellStart"/>
      <w:r w:rsidR="00737976" w:rsidRPr="00F93436">
        <w:rPr>
          <w:i/>
          <w:iCs/>
        </w:rPr>
        <w:t>Ha’More</w:t>
      </w:r>
      <w:proofErr w:type="spellEnd"/>
      <w:r w:rsidR="00737976">
        <w:t xml:space="preserve"> within </w:t>
      </w:r>
      <w:r w:rsidR="000A0B6B">
        <w:t>the broader conversation the Rogatchover had with</w:t>
      </w:r>
      <w:r w:rsidR="00F93436">
        <w:t xml:space="preserve"> the</w:t>
      </w:r>
      <w:r w:rsidR="000A0B6B">
        <w:t xml:space="preserve"> </w:t>
      </w:r>
      <w:r w:rsidR="007A52B1">
        <w:t xml:space="preserve">modern science and philosophy mentioned in </w:t>
      </w:r>
      <w:proofErr w:type="spellStart"/>
      <w:r w:rsidR="007A52B1">
        <w:t>Maimon</w:t>
      </w:r>
      <w:r w:rsidR="00CC45F7">
        <w:t>’s</w:t>
      </w:r>
      <w:proofErr w:type="spellEnd"/>
      <w:r w:rsidR="00CC45F7">
        <w:t xml:space="preserve"> book. </w:t>
      </w:r>
      <w:r w:rsidR="00D63893">
        <w:t xml:space="preserve">A significant part of the chapter will be dedicated to </w:t>
      </w:r>
      <w:r w:rsidR="00E22E3B">
        <w:t xml:space="preserve">a phenomenon whereby a pair of terms that appear in the </w:t>
      </w:r>
      <w:r w:rsidR="009E5AA0">
        <w:t xml:space="preserve">commentaries on the </w:t>
      </w:r>
      <w:r w:rsidR="009E5AA0" w:rsidRPr="00F93436">
        <w:rPr>
          <w:i/>
          <w:iCs/>
        </w:rPr>
        <w:t>Guide to the Perplexed</w:t>
      </w:r>
      <w:r w:rsidR="009E5AA0">
        <w:t xml:space="preserve"> are transformed in the Rogatchover’s work into a sort of sub-method within his </w:t>
      </w:r>
      <w:r w:rsidR="000E64B8">
        <w:t>method of philosophical scholarship – a sub-method that even</w:t>
      </w:r>
      <w:r w:rsidR="00B02D53">
        <w:t xml:space="preserve"> went on to appear in the work of later Halakhic scholars who were influenced by him. </w:t>
      </w:r>
      <w:r w:rsidR="00FE5B02">
        <w:t xml:space="preserve">The study makes the claim that recognizing the Rogatchover’s </w:t>
      </w:r>
      <w:r w:rsidR="00536071">
        <w:lastRenderedPageBreak/>
        <w:t xml:space="preserve">attitude towards </w:t>
      </w:r>
      <w:r w:rsidR="00536071" w:rsidRPr="00FE2D7A">
        <w:rPr>
          <w:i/>
          <w:iCs/>
        </w:rPr>
        <w:t>the Guide</w:t>
      </w:r>
      <w:r w:rsidR="00536071">
        <w:t xml:space="preserve">’s commentators could impact </w:t>
      </w:r>
      <w:r w:rsidR="002650EB">
        <w:t>our understanding of the sources of some of his ideas</w:t>
      </w:r>
      <w:r w:rsidR="00541193">
        <w:t xml:space="preserve"> that </w:t>
      </w:r>
      <w:r w:rsidR="006A4D58">
        <w:t xml:space="preserve">were apparently </w:t>
      </w:r>
      <w:r w:rsidR="00541193">
        <w:t>influence</w:t>
      </w:r>
      <w:r w:rsidR="006A4D58">
        <w:t>d by them.</w:t>
      </w:r>
    </w:p>
    <w:p w14:paraId="65822F52" w14:textId="58266E14" w:rsidR="00545946" w:rsidRDefault="00A572F6" w:rsidP="00395BDD">
      <w:pPr>
        <w:ind w:firstLine="720"/>
        <w:jc w:val="both"/>
        <w:rPr>
          <w:rFonts w:hint="cs"/>
          <w:rtl/>
        </w:rPr>
      </w:pPr>
      <w:r>
        <w:t xml:space="preserve">The epilogue </w:t>
      </w:r>
      <w:r w:rsidR="00572929">
        <w:t>is dedicated to the Rogatchover’s internalization of the</w:t>
      </w:r>
      <w:r w:rsidR="006C2E83">
        <w:t xml:space="preserve"> philosophy of the</w:t>
      </w:r>
      <w:r w:rsidR="00572929">
        <w:t xml:space="preserve"> </w:t>
      </w:r>
      <w:r w:rsidR="00572929" w:rsidRPr="0075691A">
        <w:rPr>
          <w:i/>
          <w:iCs/>
        </w:rPr>
        <w:t>Guide to the Perplexed</w:t>
      </w:r>
      <w:r w:rsidR="006C2E83">
        <w:t xml:space="preserve"> and emphasizes </w:t>
      </w:r>
      <w:r w:rsidR="00454612">
        <w:t xml:space="preserve">the </w:t>
      </w:r>
      <w:r w:rsidR="00DD4C36">
        <w:t>“</w:t>
      </w:r>
      <w:r w:rsidR="00454612">
        <w:t xml:space="preserve">Halakhic </w:t>
      </w:r>
      <w:r w:rsidR="00DD4C36">
        <w:t xml:space="preserve">hylomorphism” that tends to appear in his work even without reference </w:t>
      </w:r>
      <w:r w:rsidR="007B567E">
        <w:t>or mention of</w:t>
      </w:r>
      <w:r w:rsidR="00DD4C36">
        <w:t xml:space="preserve"> </w:t>
      </w:r>
      <w:r w:rsidR="00DD4C36" w:rsidRPr="00B536B2">
        <w:rPr>
          <w:i/>
          <w:iCs/>
        </w:rPr>
        <w:t>the Guide</w:t>
      </w:r>
      <w:r w:rsidR="00DD4C36">
        <w:t xml:space="preserve">. </w:t>
      </w:r>
      <w:r w:rsidR="007B567E">
        <w:t xml:space="preserve">It points to the </w:t>
      </w:r>
      <w:r w:rsidR="00833163">
        <w:t xml:space="preserve">benefit of this philosophical thinking for the attempt to solve </w:t>
      </w:r>
      <w:r w:rsidR="006C7D00">
        <w:t xml:space="preserve">problems and conceptualize ideas in Halakha, by means of comparative research. </w:t>
      </w:r>
      <w:r w:rsidR="00435458">
        <w:t xml:space="preserve">It shows how extending the Halakhic language to the philosophical domain enabled </w:t>
      </w:r>
      <w:r w:rsidR="00DF0F9D">
        <w:t>the formulation of something that was meant to have been</w:t>
      </w:r>
      <w:r w:rsidR="00395DD1">
        <w:t xml:space="preserve"> said already in the past, under similar circumstances, but was </w:t>
      </w:r>
      <w:r w:rsidR="004B3D58">
        <w:t xml:space="preserve">impossible to fully formulate </w:t>
      </w:r>
      <w:r w:rsidR="00C56A5E">
        <w:t>because the language required to do so did not exist</w:t>
      </w:r>
      <w:r w:rsidR="004B3D58">
        <w:t xml:space="preserve">. </w:t>
      </w:r>
      <w:r w:rsidR="00031F40">
        <w:t xml:space="preserve">It also shows how philosophical abstractions the Rogatchover </w:t>
      </w:r>
      <w:r w:rsidR="00CD3159">
        <w:t xml:space="preserve">extrapolated from </w:t>
      </w:r>
      <w:r w:rsidR="00B1536C">
        <w:t xml:space="preserve">a concrete situation emerged only after he was asked to explain </w:t>
      </w:r>
      <w:r w:rsidR="00C2637F">
        <w:t xml:space="preserve">some of his earlier ideas, which were insufficiently clear </w:t>
      </w:r>
      <w:r w:rsidR="002E5195">
        <w:t xml:space="preserve">given the absence of the necessary philosophical terminology, and how </w:t>
      </w:r>
      <w:r w:rsidR="000C0097">
        <w:t xml:space="preserve">this abstraction created an opportunity to </w:t>
      </w:r>
      <w:r w:rsidR="00681137">
        <w:t xml:space="preserve">bridge the ancient realities of the Talmud with those that appeared </w:t>
      </w:r>
      <w:r w:rsidR="00395BDD">
        <w:t>in later periods</w:t>
      </w:r>
      <w:bookmarkStart w:id="6" w:name="_GoBack"/>
      <w:bookmarkEnd w:id="6"/>
      <w:r w:rsidR="00681137">
        <w:t xml:space="preserve">. </w:t>
      </w:r>
    </w:p>
    <w:sectPr w:rsidR="0054594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tan Cohen" w:date="2019-06-30T08:11:00Z" w:initials="EC">
    <w:p w14:paraId="3E2160AC" w14:textId="77777777" w:rsidR="00E90CE4" w:rsidRDefault="00FE26AF">
      <w:pPr>
        <w:pStyle w:val="CommentText"/>
      </w:pPr>
      <w:r>
        <w:rPr>
          <w:rStyle w:val="CommentReference"/>
        </w:rPr>
        <w:annotationRef/>
      </w:r>
      <w:r>
        <w:t xml:space="preserve">Not sure whether scholarship is the right word for </w:t>
      </w:r>
      <w:r>
        <w:rPr>
          <w:rFonts w:hint="cs"/>
          <w:rtl/>
        </w:rPr>
        <w:t>למדנות</w:t>
      </w:r>
      <w:r w:rsidR="007F06B1">
        <w:t xml:space="preserve">. This is something the author needs to weigh in on. </w:t>
      </w:r>
      <w:r w:rsidR="005851F9">
        <w:t xml:space="preserve">Perhaps “method” or </w:t>
      </w:r>
      <w:r w:rsidR="00E2486F">
        <w:t>“approach” is better.</w:t>
      </w:r>
    </w:p>
    <w:p w14:paraId="4007010C" w14:textId="77777777" w:rsidR="00E90CE4" w:rsidRDefault="00E90CE4">
      <w:pPr>
        <w:pStyle w:val="CommentText"/>
      </w:pPr>
    </w:p>
    <w:p w14:paraId="619C31C8" w14:textId="79BF7F2B" w:rsidR="00FE26AF" w:rsidRDefault="00E90CE4">
      <w:pPr>
        <w:pStyle w:val="CommentText"/>
        <w:rPr>
          <w:rtl/>
        </w:rPr>
      </w:pPr>
      <w:r>
        <w:t xml:space="preserve">Note – the word appears throughout the doc and I consistently translated it as </w:t>
      </w:r>
      <w:r w:rsidR="00624991">
        <w:t>scholarship</w:t>
      </w:r>
      <w:r w:rsidR="00E2486F">
        <w:t xml:space="preserve"> </w:t>
      </w:r>
    </w:p>
  </w:comment>
  <w:comment w:id="1" w:author="Etan Cohen" w:date="2019-06-30T08:17:00Z" w:initials="EC">
    <w:p w14:paraId="402EAD0F" w14:textId="77777777" w:rsidR="00FE26AF" w:rsidRDefault="00FE26AF">
      <w:pPr>
        <w:pStyle w:val="CommentText"/>
      </w:pPr>
      <w:r>
        <w:rPr>
          <w:rStyle w:val="CommentReference"/>
        </w:rPr>
        <w:annotationRef/>
      </w:r>
      <w:r>
        <w:t>Shaped?</w:t>
      </w:r>
    </w:p>
  </w:comment>
  <w:comment w:id="2" w:author="Etan Cohen" w:date="2019-06-30T19:51:00Z" w:initials="EC">
    <w:p w14:paraId="411E2851" w14:textId="4E3509B8" w:rsidR="0044783B" w:rsidRDefault="0044783B">
      <w:pPr>
        <w:pStyle w:val="CommentText"/>
      </w:pPr>
      <w:r>
        <w:rPr>
          <w:rStyle w:val="CommentReference"/>
        </w:rPr>
        <w:annotationRef/>
      </w:r>
      <w:r>
        <w:t>The Rogatchover’s</w:t>
      </w:r>
      <w:r w:rsidR="0083307B">
        <w:t>/his</w:t>
      </w:r>
    </w:p>
  </w:comment>
  <w:comment w:id="3" w:author="Etan Cohen" w:date="2019-06-30T19:52:00Z" w:initials="EC">
    <w:p w14:paraId="5438F3E1" w14:textId="4C4D53AF" w:rsidR="00AF04FF" w:rsidRDefault="00AF04FF">
      <w:pPr>
        <w:pStyle w:val="CommentText"/>
      </w:pPr>
      <w:r>
        <w:rPr>
          <w:rStyle w:val="CommentReference"/>
        </w:rPr>
        <w:annotationRef/>
      </w:r>
      <w:r>
        <w:t xml:space="preserve">Again, I suggest the past tense – was </w:t>
      </w:r>
    </w:p>
  </w:comment>
  <w:comment w:id="4" w:author="Etan Cohen" w:date="2019-07-01T09:25:00Z" w:initials="EC">
    <w:p w14:paraId="1A064700" w14:textId="474F91F2" w:rsidR="00642EE1" w:rsidRDefault="00642EE1">
      <w:pPr>
        <w:pStyle w:val="CommentText"/>
      </w:pPr>
      <w:r>
        <w:rPr>
          <w:rStyle w:val="CommentReference"/>
        </w:rPr>
        <w:annotationRef/>
      </w:r>
      <w:r>
        <w:t>I suggest reformulating this sentence</w:t>
      </w:r>
      <w:r w:rsidR="00E96B83">
        <w:t xml:space="preserve"> (in the </w:t>
      </w:r>
      <w:proofErr w:type="spellStart"/>
      <w:r w:rsidR="00AE52A0">
        <w:t>hebrew</w:t>
      </w:r>
      <w:proofErr w:type="spellEnd"/>
      <w:r w:rsidR="00E96B83">
        <w:t xml:space="preserve"> first)</w:t>
      </w:r>
    </w:p>
  </w:comment>
  <w:comment w:id="5" w:author="Etan Cohen" w:date="2019-07-01T09:52:00Z" w:initials="EC">
    <w:p w14:paraId="599658FE" w14:textId="31052DC4" w:rsidR="000F1400" w:rsidRDefault="000F1400">
      <w:pPr>
        <w:pStyle w:val="CommentText"/>
        <w:rPr>
          <w:rFonts w:hint="cs"/>
        </w:rPr>
      </w:pPr>
      <w:r>
        <w:rPr>
          <w:rStyle w:val="CommentReference"/>
        </w:rPr>
        <w:annotationRef/>
      </w:r>
      <w:r>
        <w:t xml:space="preserve">Didn’t know how to translate </w:t>
      </w:r>
      <w:proofErr w:type="gramStart"/>
      <w:r>
        <w:rPr>
          <w:rFonts w:hint="cs"/>
          <w:rtl/>
        </w:rPr>
        <w:t xml:space="preserve">עצמים </w:t>
      </w:r>
      <w:r>
        <w:t xml:space="preserve"> in</w:t>
      </w:r>
      <w:proofErr w:type="gramEnd"/>
      <w:r>
        <w:t xml:space="preserve"> this context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9C31C8" w15:done="0"/>
  <w15:commentEx w15:paraId="402EAD0F" w15:done="0"/>
  <w15:commentEx w15:paraId="411E2851" w15:done="0"/>
  <w15:commentEx w15:paraId="5438F3E1" w15:done="0"/>
  <w15:commentEx w15:paraId="1A064700" w15:done="0"/>
  <w15:commentEx w15:paraId="599658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9C31C8" w16cid:durableId="20C2ED1E"/>
  <w16cid:commentId w16cid:paraId="402EAD0F" w16cid:durableId="20C2EE84"/>
  <w16cid:commentId w16cid:paraId="411E2851" w16cid:durableId="20C39158"/>
  <w16cid:commentId w16cid:paraId="5438F3E1" w16cid:durableId="20C39170"/>
  <w16cid:commentId w16cid:paraId="1A064700" w16cid:durableId="20C44FF6"/>
  <w16cid:commentId w16cid:paraId="599658FE" w16cid:durableId="20C4566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tan Cohen">
    <w15:presenceInfo w15:providerId="AD" w15:userId="S-1-5-21-905810927-2699178842-3294662958-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6AF"/>
    <w:rsid w:val="000009CA"/>
    <w:rsid w:val="00015B47"/>
    <w:rsid w:val="00031DF6"/>
    <w:rsid w:val="00031F40"/>
    <w:rsid w:val="000465FE"/>
    <w:rsid w:val="000861DC"/>
    <w:rsid w:val="000A0B6B"/>
    <w:rsid w:val="000A7B58"/>
    <w:rsid w:val="000C0097"/>
    <w:rsid w:val="000D3028"/>
    <w:rsid w:val="000E64B8"/>
    <w:rsid w:val="000F1400"/>
    <w:rsid w:val="00121E58"/>
    <w:rsid w:val="00126EB3"/>
    <w:rsid w:val="00160DE2"/>
    <w:rsid w:val="0017651A"/>
    <w:rsid w:val="00193220"/>
    <w:rsid w:val="001B6B24"/>
    <w:rsid w:val="001C533F"/>
    <w:rsid w:val="001D045E"/>
    <w:rsid w:val="001D6C37"/>
    <w:rsid w:val="001E3E5D"/>
    <w:rsid w:val="001E7DAD"/>
    <w:rsid w:val="0020308D"/>
    <w:rsid w:val="00203D5D"/>
    <w:rsid w:val="002072B5"/>
    <w:rsid w:val="002650EB"/>
    <w:rsid w:val="00275919"/>
    <w:rsid w:val="002869C2"/>
    <w:rsid w:val="002C2728"/>
    <w:rsid w:val="002C6953"/>
    <w:rsid w:val="002D1DAE"/>
    <w:rsid w:val="002E5195"/>
    <w:rsid w:val="002E7216"/>
    <w:rsid w:val="00322F59"/>
    <w:rsid w:val="00333FBC"/>
    <w:rsid w:val="00335C0C"/>
    <w:rsid w:val="00336840"/>
    <w:rsid w:val="00374D60"/>
    <w:rsid w:val="003877D8"/>
    <w:rsid w:val="003955AC"/>
    <w:rsid w:val="00395BDD"/>
    <w:rsid w:val="00395DD1"/>
    <w:rsid w:val="003B75F0"/>
    <w:rsid w:val="003E158A"/>
    <w:rsid w:val="003F7536"/>
    <w:rsid w:val="00402858"/>
    <w:rsid w:val="004161A3"/>
    <w:rsid w:val="00435458"/>
    <w:rsid w:val="0043573A"/>
    <w:rsid w:val="00440BA4"/>
    <w:rsid w:val="0044606F"/>
    <w:rsid w:val="0044783B"/>
    <w:rsid w:val="00454612"/>
    <w:rsid w:val="00466B4C"/>
    <w:rsid w:val="004B3D58"/>
    <w:rsid w:val="004C7A84"/>
    <w:rsid w:val="004D7206"/>
    <w:rsid w:val="00504B49"/>
    <w:rsid w:val="00506BB8"/>
    <w:rsid w:val="00506DE3"/>
    <w:rsid w:val="00531234"/>
    <w:rsid w:val="00536071"/>
    <w:rsid w:val="00537617"/>
    <w:rsid w:val="00541193"/>
    <w:rsid w:val="00545946"/>
    <w:rsid w:val="00572929"/>
    <w:rsid w:val="00580D57"/>
    <w:rsid w:val="005851F9"/>
    <w:rsid w:val="005A1C2B"/>
    <w:rsid w:val="005A2B66"/>
    <w:rsid w:val="005C161B"/>
    <w:rsid w:val="005D3936"/>
    <w:rsid w:val="0060627D"/>
    <w:rsid w:val="00607628"/>
    <w:rsid w:val="00607E86"/>
    <w:rsid w:val="006177FB"/>
    <w:rsid w:val="006218A0"/>
    <w:rsid w:val="00624991"/>
    <w:rsid w:val="00642EE1"/>
    <w:rsid w:val="00643643"/>
    <w:rsid w:val="006759AC"/>
    <w:rsid w:val="00681137"/>
    <w:rsid w:val="006A46EB"/>
    <w:rsid w:val="006A4D58"/>
    <w:rsid w:val="006A6593"/>
    <w:rsid w:val="006A74BC"/>
    <w:rsid w:val="006C2E83"/>
    <w:rsid w:val="006C7D00"/>
    <w:rsid w:val="006D5E62"/>
    <w:rsid w:val="006E0586"/>
    <w:rsid w:val="006F29AA"/>
    <w:rsid w:val="00701F34"/>
    <w:rsid w:val="00730066"/>
    <w:rsid w:val="00733A5A"/>
    <w:rsid w:val="00736104"/>
    <w:rsid w:val="00737976"/>
    <w:rsid w:val="00740153"/>
    <w:rsid w:val="00743F69"/>
    <w:rsid w:val="00744C1B"/>
    <w:rsid w:val="007479D4"/>
    <w:rsid w:val="0075691A"/>
    <w:rsid w:val="00764275"/>
    <w:rsid w:val="007A52B1"/>
    <w:rsid w:val="007B567E"/>
    <w:rsid w:val="007C640D"/>
    <w:rsid w:val="007D4FDB"/>
    <w:rsid w:val="007D75DC"/>
    <w:rsid w:val="007F06B1"/>
    <w:rsid w:val="007F4D43"/>
    <w:rsid w:val="00816851"/>
    <w:rsid w:val="0083307B"/>
    <w:rsid w:val="00833163"/>
    <w:rsid w:val="00847C57"/>
    <w:rsid w:val="00871BE9"/>
    <w:rsid w:val="00890909"/>
    <w:rsid w:val="00896849"/>
    <w:rsid w:val="008A571C"/>
    <w:rsid w:val="008B08D4"/>
    <w:rsid w:val="00902FC5"/>
    <w:rsid w:val="00932BDF"/>
    <w:rsid w:val="0096042E"/>
    <w:rsid w:val="00977653"/>
    <w:rsid w:val="00981A42"/>
    <w:rsid w:val="009874AE"/>
    <w:rsid w:val="009877A7"/>
    <w:rsid w:val="00991176"/>
    <w:rsid w:val="00993F59"/>
    <w:rsid w:val="009C7FD3"/>
    <w:rsid w:val="009D23CC"/>
    <w:rsid w:val="009E0446"/>
    <w:rsid w:val="009E5AA0"/>
    <w:rsid w:val="00A00379"/>
    <w:rsid w:val="00A465A7"/>
    <w:rsid w:val="00A572F6"/>
    <w:rsid w:val="00A635A8"/>
    <w:rsid w:val="00A63B77"/>
    <w:rsid w:val="00A775AF"/>
    <w:rsid w:val="00A86DC0"/>
    <w:rsid w:val="00AC2D5D"/>
    <w:rsid w:val="00AC784A"/>
    <w:rsid w:val="00AE3D6F"/>
    <w:rsid w:val="00AE52A0"/>
    <w:rsid w:val="00AF04FF"/>
    <w:rsid w:val="00AF218C"/>
    <w:rsid w:val="00AF37EF"/>
    <w:rsid w:val="00AF4009"/>
    <w:rsid w:val="00B02D53"/>
    <w:rsid w:val="00B1536C"/>
    <w:rsid w:val="00B536B2"/>
    <w:rsid w:val="00B81614"/>
    <w:rsid w:val="00B84A9E"/>
    <w:rsid w:val="00B95CB7"/>
    <w:rsid w:val="00B96252"/>
    <w:rsid w:val="00C13AE4"/>
    <w:rsid w:val="00C2637F"/>
    <w:rsid w:val="00C30911"/>
    <w:rsid w:val="00C3311F"/>
    <w:rsid w:val="00C35E62"/>
    <w:rsid w:val="00C440AD"/>
    <w:rsid w:val="00C47B8B"/>
    <w:rsid w:val="00C55827"/>
    <w:rsid w:val="00C56A5E"/>
    <w:rsid w:val="00CC045B"/>
    <w:rsid w:val="00CC45F7"/>
    <w:rsid w:val="00CD3159"/>
    <w:rsid w:val="00CE2120"/>
    <w:rsid w:val="00CE70A3"/>
    <w:rsid w:val="00D3330A"/>
    <w:rsid w:val="00D4558F"/>
    <w:rsid w:val="00D474E3"/>
    <w:rsid w:val="00D51299"/>
    <w:rsid w:val="00D63893"/>
    <w:rsid w:val="00D74C5E"/>
    <w:rsid w:val="00D90AE7"/>
    <w:rsid w:val="00D92E32"/>
    <w:rsid w:val="00D93648"/>
    <w:rsid w:val="00D93A11"/>
    <w:rsid w:val="00D955B1"/>
    <w:rsid w:val="00DB702C"/>
    <w:rsid w:val="00DD4C36"/>
    <w:rsid w:val="00DF0F9D"/>
    <w:rsid w:val="00DF63D5"/>
    <w:rsid w:val="00E00320"/>
    <w:rsid w:val="00E14CA4"/>
    <w:rsid w:val="00E16BC8"/>
    <w:rsid w:val="00E22E3B"/>
    <w:rsid w:val="00E2486F"/>
    <w:rsid w:val="00E25627"/>
    <w:rsid w:val="00E45A3B"/>
    <w:rsid w:val="00E62670"/>
    <w:rsid w:val="00E62984"/>
    <w:rsid w:val="00E71CA6"/>
    <w:rsid w:val="00E7649E"/>
    <w:rsid w:val="00E8116C"/>
    <w:rsid w:val="00E90CE4"/>
    <w:rsid w:val="00E96075"/>
    <w:rsid w:val="00E96B83"/>
    <w:rsid w:val="00ED59BF"/>
    <w:rsid w:val="00EF3028"/>
    <w:rsid w:val="00F01EB5"/>
    <w:rsid w:val="00F341F4"/>
    <w:rsid w:val="00F359FD"/>
    <w:rsid w:val="00F35FDF"/>
    <w:rsid w:val="00F43648"/>
    <w:rsid w:val="00F45C54"/>
    <w:rsid w:val="00F4733B"/>
    <w:rsid w:val="00F54791"/>
    <w:rsid w:val="00F5627E"/>
    <w:rsid w:val="00F92D08"/>
    <w:rsid w:val="00F93436"/>
    <w:rsid w:val="00F94AC5"/>
    <w:rsid w:val="00FB0FC7"/>
    <w:rsid w:val="00FB1240"/>
    <w:rsid w:val="00FB4797"/>
    <w:rsid w:val="00FD1A58"/>
    <w:rsid w:val="00FD75E1"/>
    <w:rsid w:val="00FE26AF"/>
    <w:rsid w:val="00FE2D7A"/>
    <w:rsid w:val="00FE5B02"/>
    <w:rsid w:val="00FE78DB"/>
    <w:rsid w:val="00FF15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345C8"/>
  <w15:chartTrackingRefBased/>
  <w15:docId w15:val="{CC60999B-3879-4462-A96D-35589F394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E26AF"/>
    <w:rPr>
      <w:sz w:val="16"/>
      <w:szCs w:val="16"/>
    </w:rPr>
  </w:style>
  <w:style w:type="paragraph" w:styleId="CommentText">
    <w:name w:val="annotation text"/>
    <w:basedOn w:val="Normal"/>
    <w:link w:val="CommentTextChar"/>
    <w:uiPriority w:val="99"/>
    <w:semiHidden/>
    <w:unhideWhenUsed/>
    <w:rsid w:val="00FE26AF"/>
    <w:pPr>
      <w:spacing w:line="240" w:lineRule="auto"/>
    </w:pPr>
    <w:rPr>
      <w:sz w:val="20"/>
      <w:szCs w:val="20"/>
    </w:rPr>
  </w:style>
  <w:style w:type="character" w:customStyle="1" w:styleId="CommentTextChar">
    <w:name w:val="Comment Text Char"/>
    <w:basedOn w:val="DefaultParagraphFont"/>
    <w:link w:val="CommentText"/>
    <w:uiPriority w:val="99"/>
    <w:semiHidden/>
    <w:rsid w:val="00FE26AF"/>
    <w:rPr>
      <w:sz w:val="20"/>
      <w:szCs w:val="20"/>
    </w:rPr>
  </w:style>
  <w:style w:type="paragraph" w:styleId="CommentSubject">
    <w:name w:val="annotation subject"/>
    <w:basedOn w:val="CommentText"/>
    <w:next w:val="CommentText"/>
    <w:link w:val="CommentSubjectChar"/>
    <w:uiPriority w:val="99"/>
    <w:semiHidden/>
    <w:unhideWhenUsed/>
    <w:rsid w:val="00FE26AF"/>
    <w:rPr>
      <w:b/>
      <w:bCs/>
    </w:rPr>
  </w:style>
  <w:style w:type="character" w:customStyle="1" w:styleId="CommentSubjectChar">
    <w:name w:val="Comment Subject Char"/>
    <w:basedOn w:val="CommentTextChar"/>
    <w:link w:val="CommentSubject"/>
    <w:uiPriority w:val="99"/>
    <w:semiHidden/>
    <w:rsid w:val="00FE26AF"/>
    <w:rPr>
      <w:b/>
      <w:bCs/>
      <w:sz w:val="20"/>
      <w:szCs w:val="20"/>
    </w:rPr>
  </w:style>
  <w:style w:type="paragraph" w:styleId="BalloonText">
    <w:name w:val="Balloon Text"/>
    <w:basedOn w:val="Normal"/>
    <w:link w:val="BalloonTextChar"/>
    <w:uiPriority w:val="99"/>
    <w:semiHidden/>
    <w:unhideWhenUsed/>
    <w:rsid w:val="00FE26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6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1090</TotalTime>
  <Pages>3</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Etan Cohen</dc:creator>
  <cp:keywords/>
  <dc:description/>
  <cp:lastModifiedBy>Etan Cohen</cp:lastModifiedBy>
  <cp:revision>216</cp:revision>
  <dcterms:created xsi:type="dcterms:W3CDTF">2019-06-30T05:00:00Z</dcterms:created>
  <dcterms:modified xsi:type="dcterms:W3CDTF">2019-07-01T08:48:00Z</dcterms:modified>
</cp:coreProperties>
</file>