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EA761" w14:textId="77777777" w:rsidR="007E2403" w:rsidRDefault="001B6AAC">
      <w:r>
        <w:t>1 November 2020</w:t>
      </w:r>
    </w:p>
    <w:p w14:paraId="19982263" w14:textId="77777777" w:rsidR="001B6AAC" w:rsidRDefault="001B6AAC" w:rsidP="001B6AAC">
      <w:r>
        <w:t>593/</w:t>
      </w:r>
      <w:r>
        <w:rPr>
          <w:rtl/>
          <w:lang w:bidi="he-IL"/>
        </w:rPr>
        <w:t>מזמין</w:t>
      </w:r>
      <w:r>
        <w:t>/RADHAZ-ELF</w:t>
      </w:r>
    </w:p>
    <w:p w14:paraId="7C6BE409" w14:textId="77777777" w:rsidR="001B6AAC" w:rsidRPr="00500D0A" w:rsidRDefault="001B6AAC" w:rsidP="001B6AAC">
      <w:pPr>
        <w:spacing w:after="0"/>
        <w:rPr>
          <w:b/>
          <w:bCs/>
          <w:u w:val="single"/>
        </w:rPr>
      </w:pPr>
      <w:r w:rsidRPr="00500D0A">
        <w:rPr>
          <w:b/>
          <w:bCs/>
          <w:u w:val="single"/>
        </w:rPr>
        <w:t xml:space="preserve">Mr. Gal </w:t>
      </w:r>
      <w:proofErr w:type="spellStart"/>
      <w:r w:rsidRPr="00500D0A">
        <w:rPr>
          <w:b/>
          <w:bCs/>
          <w:u w:val="single"/>
        </w:rPr>
        <w:t>Groner</w:t>
      </w:r>
      <w:proofErr w:type="spellEnd"/>
      <w:r w:rsidRPr="00500D0A">
        <w:rPr>
          <w:b/>
          <w:bCs/>
          <w:u w:val="single"/>
        </w:rPr>
        <w:t xml:space="preserve"> – </w:t>
      </w:r>
      <w:proofErr w:type="spellStart"/>
      <w:r w:rsidRPr="00500D0A">
        <w:rPr>
          <w:b/>
          <w:bCs/>
          <w:u w:val="single"/>
        </w:rPr>
        <w:t>Gronner</w:t>
      </w:r>
      <w:proofErr w:type="spellEnd"/>
      <w:r w:rsidRPr="00500D0A">
        <w:rPr>
          <w:b/>
          <w:bCs/>
          <w:u w:val="single"/>
        </w:rPr>
        <w:t xml:space="preserve"> DEL Engineers Ltd.</w:t>
      </w:r>
    </w:p>
    <w:p w14:paraId="521836B0" w14:textId="77777777" w:rsidR="001B6AAC" w:rsidRDefault="0066016E" w:rsidP="001B6AAC">
      <w:pPr>
        <w:spacing w:after="0"/>
      </w:pPr>
      <w:hyperlink r:id="rId7" w:history="1">
        <w:r w:rsidR="001B6AAC" w:rsidRPr="004D12F8">
          <w:rPr>
            <w:rStyle w:val="Hyperlink"/>
          </w:rPr>
          <w:t>gal@grdel.co.il</w:t>
        </w:r>
      </w:hyperlink>
      <w:r w:rsidR="001B6AAC">
        <w:t>, Tel 04-8559111, Fax 04-8559100, Mobile 050-5213945</w:t>
      </w:r>
    </w:p>
    <w:p w14:paraId="05F6DCE0" w14:textId="77777777" w:rsidR="001B6AAC" w:rsidRDefault="001B6AAC" w:rsidP="001B6AAC"/>
    <w:p w14:paraId="6A84362B" w14:textId="3423995C" w:rsidR="001B6AAC" w:rsidRPr="001B6AAC" w:rsidRDefault="001B6AAC" w:rsidP="001B6AAC">
      <w:pPr>
        <w:rPr>
          <w:b/>
          <w:bCs/>
          <w:sz w:val="28"/>
          <w:szCs w:val="28"/>
          <w:u w:val="single"/>
        </w:rPr>
      </w:pPr>
      <w:r w:rsidRPr="001B6AAC">
        <w:rPr>
          <w:b/>
          <w:bCs/>
          <w:sz w:val="28"/>
          <w:szCs w:val="28"/>
          <w:u w:val="single"/>
        </w:rPr>
        <w:t>Subject: Professional Opinion: Effects of Electromagnetic Radiation on Scientific Equipment on the Bar</w:t>
      </w:r>
      <w:r w:rsidR="00CE5B5F">
        <w:rPr>
          <w:b/>
          <w:bCs/>
          <w:sz w:val="28"/>
          <w:szCs w:val="28"/>
          <w:u w:val="single"/>
        </w:rPr>
        <w:t>-</w:t>
      </w:r>
      <w:proofErr w:type="spellStart"/>
      <w:r w:rsidRPr="001B6AAC">
        <w:rPr>
          <w:b/>
          <w:bCs/>
          <w:sz w:val="28"/>
          <w:szCs w:val="28"/>
          <w:u w:val="single"/>
        </w:rPr>
        <w:t>Ilan</w:t>
      </w:r>
      <w:proofErr w:type="spellEnd"/>
      <w:r w:rsidRPr="001B6AAC">
        <w:rPr>
          <w:b/>
          <w:bCs/>
          <w:sz w:val="28"/>
          <w:szCs w:val="28"/>
          <w:u w:val="single"/>
        </w:rPr>
        <w:t xml:space="preserve"> University Campus, above the route of Metro Line M2, southern alternative</w:t>
      </w:r>
    </w:p>
    <w:p w14:paraId="6D1F03AF" w14:textId="77777777" w:rsidR="001B6AAC" w:rsidRDefault="001B6AAC" w:rsidP="001B6AAC">
      <w:r>
        <w:rPr>
          <w:b/>
          <w:bCs/>
          <w:u w:val="single"/>
        </w:rPr>
        <w:t>References:</w:t>
      </w:r>
    </w:p>
    <w:p w14:paraId="59DD3846" w14:textId="7DE23A56" w:rsidR="001B6AAC" w:rsidRDefault="00562563" w:rsidP="00FA0398">
      <w:pPr>
        <w:pStyle w:val="ListParagraph"/>
        <w:numPr>
          <w:ilvl w:val="0"/>
          <w:numId w:val="1"/>
        </w:numPr>
      </w:pPr>
      <w:r>
        <w:t xml:space="preserve">Ministry of Industry, Trade, </w:t>
      </w:r>
      <w:r w:rsidR="00FA0398">
        <w:t>and Labor, Regulation 5 of the r</w:t>
      </w:r>
      <w:r>
        <w:t xml:space="preserve">egulations of the </w:t>
      </w:r>
      <w:r w:rsidR="00FA0398">
        <w:rPr>
          <w:lang w:bidi="he-IL"/>
        </w:rPr>
        <w:t>w</w:t>
      </w:r>
      <w:r>
        <w:rPr>
          <w:lang w:bidi="he-IL"/>
        </w:rPr>
        <w:t xml:space="preserve">ork </w:t>
      </w:r>
      <w:r w:rsidR="00FA0398">
        <w:rPr>
          <w:lang w:bidi="he-IL"/>
        </w:rPr>
        <w:t>s</w:t>
      </w:r>
      <w:r>
        <w:rPr>
          <w:lang w:bidi="he-IL"/>
        </w:rPr>
        <w:t xml:space="preserve">upervision </w:t>
      </w:r>
      <w:r w:rsidR="00FA0398">
        <w:rPr>
          <w:lang w:bidi="he-IL"/>
        </w:rPr>
        <w:t>o</w:t>
      </w:r>
      <w:r>
        <w:rPr>
          <w:lang w:bidi="he-IL"/>
        </w:rPr>
        <w:t>rganization (Environmental Monitoring and Biological Monitoring of Workers), 1990</w:t>
      </w:r>
      <w:r w:rsidR="0066016E">
        <w:rPr>
          <w:lang w:bidi="he-IL"/>
        </w:rPr>
        <w:t>;</w:t>
      </w:r>
    </w:p>
    <w:p w14:paraId="16C4BE42" w14:textId="6AE50122" w:rsidR="00562563" w:rsidRDefault="00562563" w:rsidP="001B6AAC">
      <w:pPr>
        <w:pStyle w:val="ListParagraph"/>
        <w:numPr>
          <w:ilvl w:val="0"/>
          <w:numId w:val="1"/>
        </w:numPr>
      </w:pPr>
      <w:r>
        <w:rPr>
          <w:lang w:bidi="he-IL"/>
        </w:rPr>
        <w:t>Situational map of the Bar</w:t>
      </w:r>
      <w:r w:rsidR="00CE5B5F">
        <w:rPr>
          <w:lang w:bidi="he-IL"/>
        </w:rPr>
        <w:t>-</w:t>
      </w:r>
      <w:proofErr w:type="spellStart"/>
      <w:r>
        <w:rPr>
          <w:lang w:bidi="he-IL"/>
        </w:rPr>
        <w:t>Ilan</w:t>
      </w:r>
      <w:proofErr w:type="spellEnd"/>
      <w:r>
        <w:rPr>
          <w:lang w:bidi="he-IL"/>
        </w:rPr>
        <w:t xml:space="preserve"> University campus and the southern alternative of the Metro M2 line</w:t>
      </w:r>
      <w:r w:rsidR="0066016E">
        <w:rPr>
          <w:lang w:bidi="he-IL"/>
        </w:rPr>
        <w:t>;</w:t>
      </w:r>
    </w:p>
    <w:p w14:paraId="14C3A1E0" w14:textId="6E695F86" w:rsidR="00562563" w:rsidRDefault="00562563" w:rsidP="001B6AAC">
      <w:pPr>
        <w:pStyle w:val="ListParagraph"/>
        <w:numPr>
          <w:ilvl w:val="0"/>
          <w:numId w:val="1"/>
        </w:numPr>
      </w:pPr>
      <w:r>
        <w:rPr>
          <w:lang w:bidi="he-IL"/>
        </w:rPr>
        <w:t>Summary of damage to research laboratories and sensitivity thresholds of instrumentation at the university, document of the Office of the VP of Operations</w:t>
      </w:r>
      <w:r w:rsidR="003C242E">
        <w:rPr>
          <w:lang w:bidi="he-IL"/>
        </w:rPr>
        <w:t xml:space="preserve"> at the Faculty of Life Sciences and Exact Sciences, 2020-13319 of 16 September 2020</w:t>
      </w:r>
      <w:r w:rsidR="0066016E">
        <w:rPr>
          <w:lang w:bidi="he-IL"/>
        </w:rPr>
        <w:t>;</w:t>
      </w:r>
    </w:p>
    <w:p w14:paraId="3025D52F" w14:textId="5B82805A" w:rsidR="00562563" w:rsidRDefault="003C242E" w:rsidP="001B6AAC">
      <w:pPr>
        <w:pStyle w:val="ListParagraph"/>
        <w:numPr>
          <w:ilvl w:val="0"/>
          <w:numId w:val="1"/>
        </w:numPr>
      </w:pPr>
      <w:r>
        <w:t>Letter regarding the severe impact of the southern alternative of the Metro line on Bar</w:t>
      </w:r>
      <w:r w:rsidR="00CE5B5F">
        <w:t>-</w:t>
      </w:r>
      <w:proofErr w:type="spellStart"/>
      <w:r>
        <w:t>Ilan</w:t>
      </w:r>
      <w:proofErr w:type="spellEnd"/>
      <w:r>
        <w:t xml:space="preserve"> University, Bureau of the University President Prof. Arie </w:t>
      </w:r>
      <w:proofErr w:type="spellStart"/>
      <w:r>
        <w:t>Tzavan</w:t>
      </w:r>
      <w:proofErr w:type="spellEnd"/>
      <w:r>
        <w:t xml:space="preserve"> dated 23 September 2020</w:t>
      </w:r>
      <w:r w:rsidR="0066016E">
        <w:t>;</w:t>
      </w:r>
    </w:p>
    <w:p w14:paraId="36703881" w14:textId="3882F375" w:rsidR="003C242E" w:rsidRDefault="003C242E" w:rsidP="001B6AAC">
      <w:pPr>
        <w:pStyle w:val="ListParagraph"/>
        <w:numPr>
          <w:ilvl w:val="0"/>
          <w:numId w:val="1"/>
        </w:numPr>
      </w:pPr>
      <w:r>
        <w:rPr>
          <w:rFonts w:hint="cs"/>
          <w:lang w:bidi="he-IL"/>
        </w:rPr>
        <w:t>D</w:t>
      </w:r>
      <w:r>
        <w:rPr>
          <w:lang w:bidi="he-IL"/>
        </w:rPr>
        <w:t xml:space="preserve">ocument from Moshe </w:t>
      </w:r>
      <w:proofErr w:type="spellStart"/>
      <w:r>
        <w:rPr>
          <w:lang w:bidi="he-IL"/>
        </w:rPr>
        <w:t>Ne</w:t>
      </w:r>
      <w:r w:rsidR="009671A7">
        <w:rPr>
          <w:lang w:bidi="he-IL"/>
        </w:rPr>
        <w:t>t</w:t>
      </w:r>
      <w:r>
        <w:rPr>
          <w:lang w:bidi="he-IL"/>
        </w:rPr>
        <w:t>zer</w:t>
      </w:r>
      <w:proofErr w:type="spellEnd"/>
      <w:r>
        <w:rPr>
          <w:lang w:bidi="he-IL"/>
        </w:rPr>
        <w:t xml:space="preserve"> (the undersigned) – Prediction of the magnetic field flux on the M2 Metro line, 18 August 2019</w:t>
      </w:r>
      <w:r w:rsidR="0066016E">
        <w:rPr>
          <w:lang w:bidi="he-IL"/>
        </w:rPr>
        <w:t>.</w:t>
      </w:r>
    </w:p>
    <w:p w14:paraId="0A346AD5" w14:textId="77777777" w:rsidR="003C242E" w:rsidRPr="001B6AAC" w:rsidRDefault="003C242E" w:rsidP="003C242E"/>
    <w:p w14:paraId="17F3292D" w14:textId="77777777" w:rsidR="001B6AAC" w:rsidRDefault="003C242E" w:rsidP="003C242E">
      <w:pPr>
        <w:pStyle w:val="ListParagraph"/>
        <w:numPr>
          <w:ilvl w:val="0"/>
          <w:numId w:val="2"/>
        </w:numPr>
        <w:rPr>
          <w:b/>
          <w:bCs/>
          <w:u w:val="single"/>
        </w:rPr>
      </w:pPr>
      <w:r>
        <w:rPr>
          <w:b/>
          <w:bCs/>
          <w:u w:val="single"/>
        </w:rPr>
        <w:t>Administrative Data and Executive Summary</w:t>
      </w:r>
    </w:p>
    <w:p w14:paraId="667F54E0" w14:textId="77777777" w:rsidR="003C242E" w:rsidRPr="003C242E" w:rsidRDefault="003C242E" w:rsidP="003C242E">
      <w:pPr>
        <w:pStyle w:val="ListParagraph"/>
        <w:numPr>
          <w:ilvl w:val="1"/>
          <w:numId w:val="2"/>
        </w:numPr>
        <w:rPr>
          <w:b/>
          <w:bCs/>
          <w:u w:val="single"/>
        </w:rPr>
      </w:pPr>
      <w:r>
        <w:rPr>
          <w:u w:val="single"/>
        </w:rPr>
        <w:t>Objective of the Document</w:t>
      </w:r>
    </w:p>
    <w:p w14:paraId="3DE7F1B0" w14:textId="14C2FB73" w:rsidR="003C242E" w:rsidRDefault="004B1161" w:rsidP="00FA0398">
      <w:pPr>
        <w:pStyle w:val="ListParagraph"/>
        <w:ind w:left="792"/>
        <w:rPr>
          <w:lang w:bidi="he-IL"/>
        </w:rPr>
      </w:pPr>
      <w:r>
        <w:t>The document addresses</w:t>
      </w:r>
      <w:r w:rsidR="003C242E">
        <w:t xml:space="preserve"> concerns expressed in </w:t>
      </w:r>
      <w:r w:rsidR="00FA0398">
        <w:t>R</w:t>
      </w:r>
      <w:r w:rsidR="003C242E">
        <w:t>eferences 3 and 4 regarding electromagnetic interference that will be caused by the electrical activity of the southern alternative of the Metro M2 line that will run near the university buildings as shown on the situational map (Reference 2). The response to BIU’</w:t>
      </w:r>
      <w:r w:rsidR="004A3514">
        <w:t xml:space="preserve">s concerns, provided </w:t>
      </w:r>
      <w:r w:rsidR="00FA0398">
        <w:t xml:space="preserve">according to the results of </w:t>
      </w:r>
      <w:r>
        <w:t xml:space="preserve">a </w:t>
      </w:r>
      <w:r w:rsidR="004A3514">
        <w:t>static and variable</w:t>
      </w:r>
      <w:r w:rsidR="00FA0398">
        <w:t xml:space="preserve"> over time</w:t>
      </w:r>
      <w:r w:rsidR="004A3514">
        <w:t xml:space="preserve"> magnetic fie</w:t>
      </w:r>
      <w:r w:rsidR="00FA0398">
        <w:t xml:space="preserve">ld flux prediction </w:t>
      </w:r>
      <w:r w:rsidR="00CE5B5F">
        <w:t xml:space="preserve">of </w:t>
      </w:r>
      <w:r w:rsidR="004A3514">
        <w:t xml:space="preserve">the Metro M2 line that was carried out by the undersigned (Reference 5). The appendix to this professional opinion presents the theoretical estimates of the distribution of static magnetic field flux and </w:t>
      </w:r>
      <w:r w:rsidR="00FA0398" w:rsidRPr="004B1161">
        <w:rPr>
          <w:lang w:bidi="he-IL"/>
        </w:rPr>
        <w:t>alternating current</w:t>
      </w:r>
      <w:r w:rsidR="00FA0398">
        <w:rPr>
          <w:lang w:bidi="he-IL"/>
        </w:rPr>
        <w:t xml:space="preserve"> </w:t>
      </w:r>
      <w:r w:rsidR="009671A7">
        <w:rPr>
          <w:lang w:bidi="he-IL"/>
        </w:rPr>
        <w:t>in</w:t>
      </w:r>
      <w:r w:rsidR="00FA0398">
        <w:rPr>
          <w:lang w:bidi="he-IL"/>
        </w:rPr>
        <w:t xml:space="preserve"> the normal driving current </w:t>
      </w:r>
      <w:r w:rsidR="004A3514">
        <w:rPr>
          <w:lang w:bidi="he-IL"/>
        </w:rPr>
        <w:t>of the Metro and in the maximum fault current.</w:t>
      </w:r>
    </w:p>
    <w:p w14:paraId="062FBE63" w14:textId="77777777" w:rsidR="004A3514" w:rsidRPr="004A3514" w:rsidRDefault="004A3514" w:rsidP="003C242E">
      <w:pPr>
        <w:pStyle w:val="ListParagraph"/>
        <w:ind w:left="792"/>
        <w:rPr>
          <w:lang w:bidi="he-IL"/>
        </w:rPr>
      </w:pPr>
      <w:r>
        <w:rPr>
          <w:lang w:bidi="he-IL"/>
        </w:rPr>
        <w:t>Professio</w:t>
      </w:r>
      <w:r w:rsidR="00FA0398">
        <w:rPr>
          <w:lang w:bidi="he-IL"/>
        </w:rPr>
        <w:t xml:space="preserve">nal opinion commissioned by </w:t>
      </w:r>
      <w:proofErr w:type="spellStart"/>
      <w:r w:rsidR="00FA0398">
        <w:rPr>
          <w:lang w:bidi="he-IL"/>
        </w:rPr>
        <w:t>Gro</w:t>
      </w:r>
      <w:r>
        <w:rPr>
          <w:lang w:bidi="he-IL"/>
        </w:rPr>
        <w:t>ner</w:t>
      </w:r>
      <w:proofErr w:type="spellEnd"/>
      <w:r>
        <w:rPr>
          <w:lang w:bidi="he-IL"/>
        </w:rPr>
        <w:t xml:space="preserve"> DEL Engineers, Ltd.</w:t>
      </w:r>
    </w:p>
    <w:p w14:paraId="70A7A072" w14:textId="77777777" w:rsidR="003C242E" w:rsidRDefault="004A3514" w:rsidP="0060688F">
      <w:pPr>
        <w:pStyle w:val="ListParagraph"/>
        <w:numPr>
          <w:ilvl w:val="1"/>
          <w:numId w:val="2"/>
        </w:numPr>
        <w:rPr>
          <w:b/>
          <w:bCs/>
          <w:u w:val="single"/>
        </w:rPr>
      </w:pPr>
      <w:r>
        <w:rPr>
          <w:b/>
          <w:bCs/>
          <w:u w:val="single"/>
        </w:rPr>
        <w:lastRenderedPageBreak/>
        <w:t xml:space="preserve">Author of the </w:t>
      </w:r>
      <w:r w:rsidR="0060688F">
        <w:rPr>
          <w:b/>
          <w:bCs/>
          <w:u w:val="single"/>
        </w:rPr>
        <w:t>response</w:t>
      </w:r>
      <w:r>
        <w:rPr>
          <w:b/>
          <w:bCs/>
          <w:u w:val="single"/>
        </w:rPr>
        <w:t xml:space="preserve"> (this document)</w:t>
      </w:r>
    </w:p>
    <w:p w14:paraId="69C3365D" w14:textId="06A9B25C" w:rsidR="00D413ED" w:rsidRDefault="00D413ED" w:rsidP="009671A7">
      <w:pPr>
        <w:pStyle w:val="ListParagraph"/>
        <w:ind w:left="792"/>
      </w:pPr>
      <w:r>
        <w:t>I</w:t>
      </w:r>
      <w:r w:rsidR="0060688F">
        <w:t xml:space="preserve"> am</w:t>
      </w:r>
      <w:r>
        <w:t xml:space="preserve"> provid</w:t>
      </w:r>
      <w:r w:rsidR="0060688F">
        <w:t>ing</w:t>
      </w:r>
      <w:r>
        <w:t xml:space="preserve"> this professional opinion </w:t>
      </w:r>
      <w:r w:rsidR="004B1161">
        <w:t xml:space="preserve">in lieu </w:t>
      </w:r>
      <w:r w:rsidR="009671A7">
        <w:t>of testimony in court, and</w:t>
      </w:r>
      <w:r>
        <w:t xml:space="preserve"> hereby declare that I am well aware of the provisions of the criminal law regarding false testimony</w:t>
      </w:r>
      <w:r w:rsidR="009671A7">
        <w:t>;</w:t>
      </w:r>
      <w:r>
        <w:t xml:space="preserve"> the law regarding this opinio</w:t>
      </w:r>
      <w:r w:rsidR="0060688F">
        <w:t xml:space="preserve">n </w:t>
      </w:r>
      <w:r w:rsidR="004B1161">
        <w:t>as</w:t>
      </w:r>
      <w:r w:rsidR="0060688F">
        <w:t xml:space="preserve"> signed by myself, </w:t>
      </w:r>
      <w:r>
        <w:t xml:space="preserve">is </w:t>
      </w:r>
      <w:r w:rsidR="0066016E">
        <w:t>identical to</w:t>
      </w:r>
      <w:r>
        <w:t xml:space="preserve"> the law of testimony </w:t>
      </w:r>
      <w:r w:rsidR="0066016E">
        <w:t>given under oath</w:t>
      </w:r>
      <w:r>
        <w:t xml:space="preserve"> in court.</w:t>
      </w:r>
    </w:p>
    <w:p w14:paraId="01097EDB" w14:textId="77777777" w:rsidR="00D413ED" w:rsidRDefault="00D413ED" w:rsidP="00D413ED">
      <w:pPr>
        <w:pStyle w:val="ListParagraph"/>
        <w:ind w:left="792"/>
      </w:pPr>
      <w:r>
        <w:t>I declare that this professional opinion was prepared by me to the best of my knowledge, understanding, and professional experience, and I have no part or interest in properties subject to this opinion.</w:t>
      </w:r>
    </w:p>
    <w:p w14:paraId="64544EB4" w14:textId="77777777" w:rsidR="00D413ED" w:rsidRDefault="00D413ED" w:rsidP="0060688F">
      <w:pPr>
        <w:pStyle w:val="ListParagraph"/>
        <w:ind w:left="792"/>
      </w:pPr>
      <w:r>
        <w:t>The</w:t>
      </w:r>
      <w:r w:rsidR="0060688F">
        <w:t xml:space="preserve"> following</w:t>
      </w:r>
      <w:r>
        <w:t xml:space="preserve"> are the details of my education and professional experience:</w:t>
      </w:r>
    </w:p>
    <w:p w14:paraId="115C439C" w14:textId="372C373C" w:rsidR="00D413ED" w:rsidRDefault="00D413ED" w:rsidP="00D413ED">
      <w:pPr>
        <w:pStyle w:val="ListParagraph"/>
        <w:numPr>
          <w:ilvl w:val="0"/>
          <w:numId w:val="3"/>
        </w:numPr>
      </w:pPr>
      <w:r w:rsidRPr="00D413ED">
        <w:t>Master</w:t>
      </w:r>
      <w:r w:rsidR="004B1161">
        <w:t>’</w:t>
      </w:r>
      <w:r w:rsidRPr="00D413ED">
        <w:t>s degree in Electronics and Electrical Engineering, Technion, Haifa</w:t>
      </w:r>
      <w:r w:rsidR="0066016E">
        <w:t>;</w:t>
      </w:r>
    </w:p>
    <w:p w14:paraId="1B9A6C0D" w14:textId="364FBB09" w:rsidR="00D413ED" w:rsidRDefault="00411845" w:rsidP="0060688F">
      <w:pPr>
        <w:pStyle w:val="ListParagraph"/>
        <w:numPr>
          <w:ilvl w:val="0"/>
          <w:numId w:val="3"/>
        </w:numPr>
      </w:pPr>
      <w:r>
        <w:t>Rafael employee (</w:t>
      </w:r>
      <w:r w:rsidRPr="004B1161">
        <w:t>Research A</w:t>
      </w:r>
      <w:r>
        <w:t xml:space="preserve"> </w:t>
      </w:r>
      <w:r w:rsidR="0060688F">
        <w:t>on</w:t>
      </w:r>
      <w:r>
        <w:t xml:space="preserve"> research rating) as an electromagnetic compatibility engineer, 1976 – 2011</w:t>
      </w:r>
      <w:r w:rsidR="0066016E">
        <w:t>;</w:t>
      </w:r>
    </w:p>
    <w:p w14:paraId="0E2FE0EE" w14:textId="2BC711A0" w:rsidR="00411845" w:rsidRDefault="00411845" w:rsidP="00D413ED">
      <w:pPr>
        <w:pStyle w:val="ListParagraph"/>
        <w:numPr>
          <w:ilvl w:val="0"/>
          <w:numId w:val="3"/>
        </w:numPr>
      </w:pPr>
      <w:r>
        <w:t>Manager of non-ionizing radiation safety at Rafael for 33 years</w:t>
      </w:r>
      <w:r w:rsidR="0066016E">
        <w:t>;</w:t>
      </w:r>
    </w:p>
    <w:p w14:paraId="5DD4B265" w14:textId="0EFBFA4C" w:rsidR="00411845" w:rsidRDefault="00411845" w:rsidP="0060688F">
      <w:pPr>
        <w:pStyle w:val="ListParagraph"/>
        <w:numPr>
          <w:ilvl w:val="0"/>
          <w:numId w:val="3"/>
        </w:numPr>
      </w:pPr>
      <w:r>
        <w:t>Independent non-ionizing radiation consult</w:t>
      </w:r>
      <w:r w:rsidR="0060688F">
        <w:t>ant</w:t>
      </w:r>
      <w:r>
        <w:t xml:space="preserve"> since 2011</w:t>
      </w:r>
      <w:r w:rsidR="0066016E">
        <w:t>.</w:t>
      </w:r>
    </w:p>
    <w:p w14:paraId="43CCC5C7" w14:textId="77777777" w:rsidR="00411845" w:rsidRPr="00D413ED" w:rsidRDefault="00411845" w:rsidP="00411845">
      <w:pPr>
        <w:ind w:left="792"/>
      </w:pPr>
    </w:p>
    <w:p w14:paraId="21CC2B27" w14:textId="77777777" w:rsidR="00D413ED" w:rsidRPr="00D413ED" w:rsidRDefault="00D413ED" w:rsidP="00D413ED">
      <w:pPr>
        <w:ind w:left="792"/>
      </w:pPr>
    </w:p>
    <w:p w14:paraId="30A03210" w14:textId="77777777" w:rsidR="004A3514" w:rsidRDefault="00411845" w:rsidP="003C242E">
      <w:pPr>
        <w:pStyle w:val="ListParagraph"/>
        <w:numPr>
          <w:ilvl w:val="1"/>
          <w:numId w:val="2"/>
        </w:numPr>
        <w:rPr>
          <w:b/>
          <w:bCs/>
          <w:u w:val="single"/>
        </w:rPr>
      </w:pPr>
      <w:r>
        <w:rPr>
          <w:b/>
          <w:bCs/>
          <w:u w:val="single"/>
        </w:rPr>
        <w:t>Executive Summary</w:t>
      </w:r>
    </w:p>
    <w:p w14:paraId="0CAD60D0" w14:textId="77777777" w:rsidR="00411845" w:rsidRDefault="00411845" w:rsidP="006339A3">
      <w:pPr>
        <w:pStyle w:val="ListParagraph"/>
        <w:ind w:left="792"/>
      </w:pPr>
      <w:r>
        <w:t xml:space="preserve">This report details the results of the theoretical estimate of the static and time-varying field flux density at grade level above and </w:t>
      </w:r>
      <w:r w:rsidR="006339A3">
        <w:t>on either side of</w:t>
      </w:r>
      <w:r>
        <w:t xml:space="preserve"> the planned Metro M2 route. For each building for which the sensitivity of its instrumentation is detailed in Reference 3, specific information is summarized in the table below.</w:t>
      </w:r>
    </w:p>
    <w:tbl>
      <w:tblPr>
        <w:tblStyle w:val="TableGrid"/>
        <w:tblW w:w="0" w:type="auto"/>
        <w:tblInd w:w="792" w:type="dxa"/>
        <w:tblLook w:val="04A0" w:firstRow="1" w:lastRow="0" w:firstColumn="1" w:lastColumn="0" w:noHBand="0" w:noVBand="1"/>
      </w:tblPr>
      <w:tblGrid>
        <w:gridCol w:w="1004"/>
        <w:gridCol w:w="1078"/>
        <w:gridCol w:w="1672"/>
        <w:gridCol w:w="1109"/>
        <w:gridCol w:w="1147"/>
        <w:gridCol w:w="1220"/>
        <w:gridCol w:w="1328"/>
      </w:tblGrid>
      <w:tr w:rsidR="00247593" w14:paraId="407B159F" w14:textId="77777777" w:rsidTr="00247593">
        <w:tc>
          <w:tcPr>
            <w:tcW w:w="1040" w:type="dxa"/>
            <w:vMerge w:val="restart"/>
          </w:tcPr>
          <w:p w14:paraId="7267CC99" w14:textId="77777777" w:rsidR="00247593" w:rsidRDefault="00247593" w:rsidP="00411845">
            <w:pPr>
              <w:pStyle w:val="ListParagraph"/>
              <w:ind w:left="0"/>
            </w:pPr>
            <w:r>
              <w:t>Building</w:t>
            </w:r>
          </w:p>
        </w:tc>
        <w:tc>
          <w:tcPr>
            <w:tcW w:w="1075" w:type="dxa"/>
          </w:tcPr>
          <w:p w14:paraId="1320FCE6" w14:textId="77777777" w:rsidR="00247593" w:rsidRDefault="00247593" w:rsidP="00411845">
            <w:pPr>
              <w:pStyle w:val="ListParagraph"/>
              <w:ind w:left="0"/>
            </w:pPr>
            <w:r>
              <w:t>Distance from the Metro</w:t>
            </w:r>
          </w:p>
        </w:tc>
        <w:tc>
          <w:tcPr>
            <w:tcW w:w="1672" w:type="dxa"/>
          </w:tcPr>
          <w:p w14:paraId="7392CC02" w14:textId="77777777" w:rsidR="00247593" w:rsidRDefault="00247593" w:rsidP="00411845">
            <w:pPr>
              <w:pStyle w:val="ListParagraph"/>
              <w:ind w:left="0"/>
            </w:pPr>
            <w:r>
              <w:t>Sensitivity of the scientific equipment to electromagnetic fields</w:t>
            </w:r>
          </w:p>
        </w:tc>
        <w:tc>
          <w:tcPr>
            <w:tcW w:w="1146" w:type="dxa"/>
          </w:tcPr>
          <w:p w14:paraId="61A95B5D" w14:textId="77777777" w:rsidR="00247593" w:rsidRDefault="00247593" w:rsidP="00744DF7">
            <w:pPr>
              <w:pStyle w:val="ListParagraph"/>
              <w:ind w:left="0"/>
            </w:pPr>
            <w:r>
              <w:t>Static magnetic field flux from normal driving</w:t>
            </w:r>
            <w:r w:rsidR="00744DF7">
              <w:t xml:space="preserve"> </w:t>
            </w:r>
            <w:r>
              <w:t>current</w:t>
            </w:r>
          </w:p>
        </w:tc>
        <w:tc>
          <w:tcPr>
            <w:tcW w:w="1168" w:type="dxa"/>
          </w:tcPr>
          <w:p w14:paraId="3922FBB1" w14:textId="77777777" w:rsidR="00247593" w:rsidRDefault="00247593" w:rsidP="00247593">
            <w:pPr>
              <w:pStyle w:val="ListParagraph"/>
              <w:ind w:left="0"/>
            </w:pPr>
            <w:r>
              <w:t>Static magnetic field flux from short current or maximum load</w:t>
            </w:r>
          </w:p>
        </w:tc>
        <w:tc>
          <w:tcPr>
            <w:tcW w:w="1233" w:type="dxa"/>
          </w:tcPr>
          <w:p w14:paraId="0E1E8747" w14:textId="77777777" w:rsidR="00247593" w:rsidRDefault="00247593" w:rsidP="00411845">
            <w:pPr>
              <w:pStyle w:val="ListParagraph"/>
              <w:ind w:left="0"/>
            </w:pPr>
            <w:r>
              <w:t>Magnetic field flux variable over time (ripples o</w:t>
            </w:r>
            <w:r w:rsidR="00744DF7">
              <w:t xml:space="preserve">f </w:t>
            </w:r>
            <w:r w:rsidR="00744DF7" w:rsidRPr="00D32971">
              <w:t>alternating current</w:t>
            </w:r>
            <w:r w:rsidR="00744DF7">
              <w:t xml:space="preserve"> 1200 Hz)</w:t>
            </w:r>
          </w:p>
        </w:tc>
        <w:tc>
          <w:tcPr>
            <w:tcW w:w="1224" w:type="dxa"/>
            <w:vMerge w:val="restart"/>
          </w:tcPr>
          <w:p w14:paraId="44385754" w14:textId="77777777" w:rsidR="00247593" w:rsidRDefault="00247593" w:rsidP="00411845">
            <w:pPr>
              <w:pStyle w:val="ListParagraph"/>
              <w:ind w:left="0"/>
            </w:pPr>
            <w:r>
              <w:t>Comments</w:t>
            </w:r>
          </w:p>
        </w:tc>
      </w:tr>
      <w:tr w:rsidR="00247593" w14:paraId="3CA4F4B8" w14:textId="77777777" w:rsidTr="00247593">
        <w:tc>
          <w:tcPr>
            <w:tcW w:w="1040" w:type="dxa"/>
            <w:vMerge/>
          </w:tcPr>
          <w:p w14:paraId="4CF94203" w14:textId="77777777" w:rsidR="00247593" w:rsidRDefault="00247593" w:rsidP="00411845">
            <w:pPr>
              <w:pStyle w:val="ListParagraph"/>
              <w:ind w:left="0"/>
            </w:pPr>
          </w:p>
        </w:tc>
        <w:tc>
          <w:tcPr>
            <w:tcW w:w="1075" w:type="dxa"/>
          </w:tcPr>
          <w:p w14:paraId="11665159" w14:textId="77777777" w:rsidR="00247593" w:rsidRDefault="00247593" w:rsidP="00411845">
            <w:pPr>
              <w:pStyle w:val="ListParagraph"/>
              <w:ind w:left="0"/>
            </w:pPr>
            <w:r>
              <w:t>Meters</w:t>
            </w:r>
          </w:p>
        </w:tc>
        <w:tc>
          <w:tcPr>
            <w:tcW w:w="1672" w:type="dxa"/>
          </w:tcPr>
          <w:p w14:paraId="1D4B7829" w14:textId="77777777" w:rsidR="00247593" w:rsidRDefault="00247593" w:rsidP="00411845">
            <w:pPr>
              <w:pStyle w:val="ListParagraph"/>
              <w:ind w:left="0"/>
            </w:pPr>
            <w:r>
              <w:t>mG</w:t>
            </w:r>
          </w:p>
        </w:tc>
        <w:tc>
          <w:tcPr>
            <w:tcW w:w="1146" w:type="dxa"/>
          </w:tcPr>
          <w:p w14:paraId="734D728A" w14:textId="77777777" w:rsidR="00247593" w:rsidRDefault="00247593" w:rsidP="00411845">
            <w:pPr>
              <w:pStyle w:val="ListParagraph"/>
              <w:ind w:left="0"/>
            </w:pPr>
            <w:r>
              <w:t>mG</w:t>
            </w:r>
          </w:p>
        </w:tc>
        <w:tc>
          <w:tcPr>
            <w:tcW w:w="1168" w:type="dxa"/>
          </w:tcPr>
          <w:p w14:paraId="7D301A6E" w14:textId="77777777" w:rsidR="00247593" w:rsidRDefault="00247593" w:rsidP="00411845">
            <w:pPr>
              <w:pStyle w:val="ListParagraph"/>
              <w:ind w:left="0"/>
            </w:pPr>
            <w:r>
              <w:t>mG</w:t>
            </w:r>
          </w:p>
        </w:tc>
        <w:tc>
          <w:tcPr>
            <w:tcW w:w="1233" w:type="dxa"/>
          </w:tcPr>
          <w:p w14:paraId="3972E95E" w14:textId="77777777" w:rsidR="00247593" w:rsidRDefault="00247593" w:rsidP="00411845">
            <w:pPr>
              <w:pStyle w:val="ListParagraph"/>
              <w:ind w:left="0"/>
            </w:pPr>
            <w:r>
              <w:t>mG</w:t>
            </w:r>
          </w:p>
        </w:tc>
        <w:tc>
          <w:tcPr>
            <w:tcW w:w="1224" w:type="dxa"/>
            <w:vMerge/>
          </w:tcPr>
          <w:p w14:paraId="086F9B49" w14:textId="77777777" w:rsidR="00247593" w:rsidRDefault="00247593" w:rsidP="00411845">
            <w:pPr>
              <w:pStyle w:val="ListParagraph"/>
              <w:ind w:left="0"/>
            </w:pPr>
          </w:p>
        </w:tc>
      </w:tr>
      <w:tr w:rsidR="00247593" w14:paraId="5167048D" w14:textId="77777777" w:rsidTr="00247593">
        <w:tc>
          <w:tcPr>
            <w:tcW w:w="1040" w:type="dxa"/>
          </w:tcPr>
          <w:p w14:paraId="1F4D0F56" w14:textId="77777777" w:rsidR="00411845" w:rsidRDefault="00247593" w:rsidP="00411845">
            <w:pPr>
              <w:pStyle w:val="ListParagraph"/>
              <w:ind w:left="0"/>
            </w:pPr>
            <w:r>
              <w:t>100</w:t>
            </w:r>
          </w:p>
        </w:tc>
        <w:tc>
          <w:tcPr>
            <w:tcW w:w="1075" w:type="dxa"/>
          </w:tcPr>
          <w:p w14:paraId="6A521D92" w14:textId="77777777" w:rsidR="00411845" w:rsidRDefault="00247593" w:rsidP="00411845">
            <w:pPr>
              <w:pStyle w:val="ListParagraph"/>
              <w:ind w:left="0"/>
            </w:pPr>
            <w:r>
              <w:t>Unknown</w:t>
            </w:r>
          </w:p>
        </w:tc>
        <w:tc>
          <w:tcPr>
            <w:tcW w:w="1672" w:type="dxa"/>
          </w:tcPr>
          <w:p w14:paraId="6B45673E" w14:textId="77777777" w:rsidR="00411845" w:rsidRDefault="00411845" w:rsidP="00411845">
            <w:pPr>
              <w:pStyle w:val="ListParagraph"/>
              <w:ind w:left="0"/>
            </w:pPr>
          </w:p>
        </w:tc>
        <w:tc>
          <w:tcPr>
            <w:tcW w:w="1146" w:type="dxa"/>
          </w:tcPr>
          <w:p w14:paraId="6096A35E" w14:textId="77777777" w:rsidR="00411845" w:rsidRDefault="00411845" w:rsidP="00411845">
            <w:pPr>
              <w:pStyle w:val="ListParagraph"/>
              <w:ind w:left="0"/>
            </w:pPr>
          </w:p>
        </w:tc>
        <w:tc>
          <w:tcPr>
            <w:tcW w:w="1168" w:type="dxa"/>
          </w:tcPr>
          <w:p w14:paraId="0E063215" w14:textId="77777777" w:rsidR="00411845" w:rsidRDefault="00411845" w:rsidP="00411845">
            <w:pPr>
              <w:pStyle w:val="ListParagraph"/>
              <w:ind w:left="0"/>
            </w:pPr>
          </w:p>
        </w:tc>
        <w:tc>
          <w:tcPr>
            <w:tcW w:w="1233" w:type="dxa"/>
          </w:tcPr>
          <w:p w14:paraId="1EBBF672" w14:textId="77777777" w:rsidR="00411845" w:rsidRDefault="00411845" w:rsidP="00411845">
            <w:pPr>
              <w:pStyle w:val="ListParagraph"/>
              <w:ind w:left="0"/>
            </w:pPr>
          </w:p>
        </w:tc>
        <w:tc>
          <w:tcPr>
            <w:tcW w:w="1224" w:type="dxa"/>
          </w:tcPr>
          <w:p w14:paraId="2BEA2A57" w14:textId="77777777" w:rsidR="00411845" w:rsidRDefault="00247593" w:rsidP="00411845">
            <w:pPr>
              <w:pStyle w:val="ListParagraph"/>
              <w:ind w:left="0"/>
            </w:pPr>
            <w:r>
              <w:t>Not on the map</w:t>
            </w:r>
          </w:p>
        </w:tc>
      </w:tr>
      <w:tr w:rsidR="00247593" w14:paraId="7FC16BD9" w14:textId="77777777" w:rsidTr="00247593">
        <w:tc>
          <w:tcPr>
            <w:tcW w:w="1040" w:type="dxa"/>
          </w:tcPr>
          <w:p w14:paraId="782670DB" w14:textId="77777777" w:rsidR="00411845" w:rsidRDefault="00247593" w:rsidP="00411845">
            <w:pPr>
              <w:pStyle w:val="ListParagraph"/>
              <w:ind w:left="0"/>
            </w:pPr>
            <w:r>
              <w:t>202</w:t>
            </w:r>
          </w:p>
        </w:tc>
        <w:tc>
          <w:tcPr>
            <w:tcW w:w="1075" w:type="dxa"/>
          </w:tcPr>
          <w:p w14:paraId="75C48761" w14:textId="77777777" w:rsidR="00411845" w:rsidRDefault="00247593" w:rsidP="00411845">
            <w:pPr>
              <w:pStyle w:val="ListParagraph"/>
              <w:ind w:left="0"/>
            </w:pPr>
            <w:r>
              <w:t>123</w:t>
            </w:r>
          </w:p>
        </w:tc>
        <w:tc>
          <w:tcPr>
            <w:tcW w:w="1672" w:type="dxa"/>
          </w:tcPr>
          <w:p w14:paraId="0F8A7DF7" w14:textId="77777777" w:rsidR="00411845" w:rsidRDefault="00A608A8" w:rsidP="00411845">
            <w:pPr>
              <w:pStyle w:val="ListParagraph"/>
              <w:ind w:left="0"/>
            </w:pPr>
            <w:r>
              <w:t>1-10mG AC</w:t>
            </w:r>
          </w:p>
          <w:p w14:paraId="4F0F2B98" w14:textId="77777777" w:rsidR="00A608A8" w:rsidRDefault="00A608A8" w:rsidP="00411845">
            <w:pPr>
              <w:pStyle w:val="ListParagraph"/>
              <w:ind w:left="0"/>
            </w:pPr>
            <w:r>
              <w:t>No DC data</w:t>
            </w:r>
          </w:p>
        </w:tc>
        <w:tc>
          <w:tcPr>
            <w:tcW w:w="1146" w:type="dxa"/>
          </w:tcPr>
          <w:p w14:paraId="14084F45" w14:textId="77777777" w:rsidR="00411845" w:rsidRDefault="00A608A8" w:rsidP="00411845">
            <w:pPr>
              <w:pStyle w:val="ListParagraph"/>
              <w:ind w:left="0"/>
            </w:pPr>
            <w:r>
              <w:t>0.28</w:t>
            </w:r>
          </w:p>
        </w:tc>
        <w:tc>
          <w:tcPr>
            <w:tcW w:w="1168" w:type="dxa"/>
          </w:tcPr>
          <w:p w14:paraId="1DD5D6DF" w14:textId="77777777" w:rsidR="00411845" w:rsidRDefault="00A608A8" w:rsidP="00411845">
            <w:pPr>
              <w:pStyle w:val="ListParagraph"/>
              <w:ind w:left="0"/>
            </w:pPr>
            <w:r>
              <w:t>0.82</w:t>
            </w:r>
          </w:p>
        </w:tc>
        <w:tc>
          <w:tcPr>
            <w:tcW w:w="1233" w:type="dxa"/>
          </w:tcPr>
          <w:p w14:paraId="2FA0E375" w14:textId="77777777" w:rsidR="00411845" w:rsidRDefault="00A608A8" w:rsidP="00411845">
            <w:pPr>
              <w:pStyle w:val="ListParagraph"/>
              <w:ind w:left="0"/>
            </w:pPr>
            <w:r>
              <w:t>0.8</w:t>
            </w:r>
            <w:r>
              <w:rPr>
                <w:rFonts w:cstheme="minorHAnsi"/>
              </w:rPr>
              <w:t>µ</w:t>
            </w:r>
            <w:r>
              <w:t>G</w:t>
            </w:r>
          </w:p>
        </w:tc>
        <w:tc>
          <w:tcPr>
            <w:tcW w:w="1224" w:type="dxa"/>
          </w:tcPr>
          <w:p w14:paraId="4A42CD0E" w14:textId="77777777" w:rsidR="00411845" w:rsidRDefault="00247593" w:rsidP="00411845">
            <w:pPr>
              <w:pStyle w:val="ListParagraph"/>
              <w:ind w:left="0"/>
            </w:pPr>
            <w:r w:rsidRPr="00247593">
              <w:rPr>
                <w:color w:val="5B9BD5" w:themeColor="accent1"/>
              </w:rPr>
              <w:t>Interference not expected</w:t>
            </w:r>
          </w:p>
        </w:tc>
      </w:tr>
      <w:tr w:rsidR="00247593" w14:paraId="182E86C7" w14:textId="77777777" w:rsidTr="00247593">
        <w:tc>
          <w:tcPr>
            <w:tcW w:w="1040" w:type="dxa"/>
          </w:tcPr>
          <w:p w14:paraId="3A5354E6" w14:textId="77777777" w:rsidR="00411845" w:rsidRDefault="00247593" w:rsidP="00411845">
            <w:pPr>
              <w:pStyle w:val="ListParagraph"/>
              <w:ind w:left="0"/>
            </w:pPr>
            <w:r>
              <w:t>204</w:t>
            </w:r>
          </w:p>
        </w:tc>
        <w:tc>
          <w:tcPr>
            <w:tcW w:w="1075" w:type="dxa"/>
          </w:tcPr>
          <w:p w14:paraId="29ECD924" w14:textId="77777777" w:rsidR="00411845" w:rsidRDefault="00247593" w:rsidP="00411845">
            <w:pPr>
              <w:pStyle w:val="ListParagraph"/>
              <w:ind w:left="0"/>
            </w:pPr>
            <w:r>
              <w:t>123</w:t>
            </w:r>
          </w:p>
        </w:tc>
        <w:tc>
          <w:tcPr>
            <w:tcW w:w="1672" w:type="dxa"/>
          </w:tcPr>
          <w:p w14:paraId="7E530EE5" w14:textId="77777777" w:rsidR="00411845" w:rsidRDefault="00A608A8" w:rsidP="00411845">
            <w:pPr>
              <w:pStyle w:val="ListParagraph"/>
              <w:ind w:left="0"/>
            </w:pPr>
            <w:r>
              <w:t>Low sensitivity</w:t>
            </w:r>
          </w:p>
        </w:tc>
        <w:tc>
          <w:tcPr>
            <w:tcW w:w="1146" w:type="dxa"/>
          </w:tcPr>
          <w:p w14:paraId="536F58B5" w14:textId="77777777" w:rsidR="00411845" w:rsidRDefault="00A608A8" w:rsidP="00411845">
            <w:pPr>
              <w:pStyle w:val="ListParagraph"/>
              <w:ind w:left="0"/>
            </w:pPr>
            <w:r>
              <w:t>-</w:t>
            </w:r>
          </w:p>
        </w:tc>
        <w:tc>
          <w:tcPr>
            <w:tcW w:w="1168" w:type="dxa"/>
          </w:tcPr>
          <w:p w14:paraId="71AAF8C9" w14:textId="77777777" w:rsidR="00411845" w:rsidRDefault="00A608A8" w:rsidP="00411845">
            <w:pPr>
              <w:pStyle w:val="ListParagraph"/>
              <w:ind w:left="0"/>
            </w:pPr>
            <w:r>
              <w:t>-</w:t>
            </w:r>
          </w:p>
        </w:tc>
        <w:tc>
          <w:tcPr>
            <w:tcW w:w="1233" w:type="dxa"/>
          </w:tcPr>
          <w:p w14:paraId="4717197A" w14:textId="77777777" w:rsidR="00411845" w:rsidRDefault="00A608A8" w:rsidP="00411845">
            <w:pPr>
              <w:pStyle w:val="ListParagraph"/>
              <w:ind w:left="0"/>
            </w:pPr>
            <w:r>
              <w:t>-</w:t>
            </w:r>
          </w:p>
        </w:tc>
        <w:tc>
          <w:tcPr>
            <w:tcW w:w="1224" w:type="dxa"/>
          </w:tcPr>
          <w:p w14:paraId="5C392ADF" w14:textId="77777777" w:rsidR="00411845" w:rsidRDefault="00247593" w:rsidP="00411845">
            <w:pPr>
              <w:pStyle w:val="ListParagraph"/>
              <w:ind w:left="0"/>
            </w:pPr>
            <w:r>
              <w:t xml:space="preserve">No comparison </w:t>
            </w:r>
            <w:r>
              <w:lastRenderedPageBreak/>
              <w:t>made – not necessary</w:t>
            </w:r>
          </w:p>
        </w:tc>
      </w:tr>
      <w:tr w:rsidR="00247593" w14:paraId="52F39A29" w14:textId="77777777" w:rsidTr="00247593">
        <w:tc>
          <w:tcPr>
            <w:tcW w:w="1040" w:type="dxa"/>
          </w:tcPr>
          <w:p w14:paraId="4BF54AFF" w14:textId="77777777" w:rsidR="00411845" w:rsidRDefault="00247593" w:rsidP="00411845">
            <w:pPr>
              <w:pStyle w:val="ListParagraph"/>
              <w:ind w:left="0"/>
            </w:pPr>
            <w:r>
              <w:lastRenderedPageBreak/>
              <w:t>205</w:t>
            </w:r>
          </w:p>
        </w:tc>
        <w:tc>
          <w:tcPr>
            <w:tcW w:w="1075" w:type="dxa"/>
          </w:tcPr>
          <w:p w14:paraId="1C4AF626" w14:textId="77777777" w:rsidR="00411845" w:rsidRDefault="00247593" w:rsidP="00411845">
            <w:pPr>
              <w:pStyle w:val="ListParagraph"/>
              <w:ind w:left="0"/>
            </w:pPr>
            <w:r>
              <w:t>111</w:t>
            </w:r>
          </w:p>
        </w:tc>
        <w:tc>
          <w:tcPr>
            <w:tcW w:w="1672" w:type="dxa"/>
          </w:tcPr>
          <w:p w14:paraId="02D1DDA9" w14:textId="77777777" w:rsidR="00411845" w:rsidRDefault="00A608A8" w:rsidP="00411845">
            <w:pPr>
              <w:pStyle w:val="ListParagraph"/>
              <w:ind w:left="0"/>
            </w:pPr>
            <w:r>
              <w:t>No data available</w:t>
            </w:r>
          </w:p>
        </w:tc>
        <w:tc>
          <w:tcPr>
            <w:tcW w:w="1146" w:type="dxa"/>
          </w:tcPr>
          <w:p w14:paraId="4831454E" w14:textId="77777777" w:rsidR="00411845" w:rsidRDefault="00A608A8" w:rsidP="00411845">
            <w:pPr>
              <w:pStyle w:val="ListParagraph"/>
              <w:ind w:left="0"/>
            </w:pPr>
            <w:r>
              <w:t>0.075</w:t>
            </w:r>
          </w:p>
        </w:tc>
        <w:tc>
          <w:tcPr>
            <w:tcW w:w="1168" w:type="dxa"/>
          </w:tcPr>
          <w:p w14:paraId="253CA1EC" w14:textId="77777777" w:rsidR="00411845" w:rsidRDefault="00A608A8" w:rsidP="00411845">
            <w:pPr>
              <w:pStyle w:val="ListParagraph"/>
              <w:ind w:left="0"/>
            </w:pPr>
            <w:r>
              <w:t>0.35</w:t>
            </w:r>
          </w:p>
        </w:tc>
        <w:tc>
          <w:tcPr>
            <w:tcW w:w="1233" w:type="dxa"/>
          </w:tcPr>
          <w:p w14:paraId="221CAA63" w14:textId="77777777" w:rsidR="00411845" w:rsidRDefault="00A608A8" w:rsidP="00411845">
            <w:pPr>
              <w:pStyle w:val="ListParagraph"/>
              <w:ind w:left="0"/>
            </w:pPr>
            <w:r>
              <w:t>1</w:t>
            </w:r>
            <w:r>
              <w:rPr>
                <w:rFonts w:cstheme="minorHAnsi"/>
              </w:rPr>
              <w:t>µ</w:t>
            </w:r>
            <w:r>
              <w:t>G</w:t>
            </w:r>
          </w:p>
        </w:tc>
        <w:tc>
          <w:tcPr>
            <w:tcW w:w="1224" w:type="dxa"/>
          </w:tcPr>
          <w:p w14:paraId="40C14EAA" w14:textId="77777777" w:rsidR="00411845" w:rsidRDefault="00247593" w:rsidP="00411845">
            <w:pPr>
              <w:pStyle w:val="ListParagraph"/>
              <w:ind w:left="0"/>
            </w:pPr>
            <w:r w:rsidRPr="00247593">
              <w:rPr>
                <w:color w:val="5B9BD5" w:themeColor="accent1"/>
              </w:rPr>
              <w:t>Interference not expected</w:t>
            </w:r>
          </w:p>
        </w:tc>
      </w:tr>
      <w:tr w:rsidR="00247593" w14:paraId="12D47B2B" w14:textId="77777777" w:rsidTr="00247593">
        <w:tc>
          <w:tcPr>
            <w:tcW w:w="1040" w:type="dxa"/>
          </w:tcPr>
          <w:p w14:paraId="666DFEE5" w14:textId="77777777" w:rsidR="00411845" w:rsidRDefault="00247593" w:rsidP="00411845">
            <w:pPr>
              <w:pStyle w:val="ListParagraph"/>
              <w:ind w:left="0"/>
            </w:pPr>
            <w:r>
              <w:t>206</w:t>
            </w:r>
          </w:p>
        </w:tc>
        <w:tc>
          <w:tcPr>
            <w:tcW w:w="1075" w:type="dxa"/>
          </w:tcPr>
          <w:p w14:paraId="24D87587" w14:textId="77777777" w:rsidR="00411845" w:rsidRDefault="00247593" w:rsidP="00411845">
            <w:pPr>
              <w:pStyle w:val="ListParagraph"/>
              <w:ind w:left="0"/>
            </w:pPr>
            <w:r>
              <w:t>49</w:t>
            </w:r>
          </w:p>
        </w:tc>
        <w:tc>
          <w:tcPr>
            <w:tcW w:w="1672" w:type="dxa"/>
          </w:tcPr>
          <w:p w14:paraId="1F2189D2" w14:textId="77777777" w:rsidR="00411845" w:rsidRDefault="00A608A8" w:rsidP="00411845">
            <w:pPr>
              <w:pStyle w:val="ListParagraph"/>
              <w:ind w:left="0"/>
            </w:pPr>
            <w:r>
              <w:t>10</w:t>
            </w:r>
            <w:r>
              <w:rPr>
                <w:rFonts w:cstheme="minorHAnsi"/>
              </w:rPr>
              <w:t>µ</w:t>
            </w:r>
            <w:r>
              <w:t>G AC</w:t>
            </w:r>
          </w:p>
        </w:tc>
        <w:tc>
          <w:tcPr>
            <w:tcW w:w="1146" w:type="dxa"/>
          </w:tcPr>
          <w:p w14:paraId="64B10598" w14:textId="77777777" w:rsidR="00411845" w:rsidRDefault="00A608A8" w:rsidP="00411845">
            <w:pPr>
              <w:pStyle w:val="ListParagraph"/>
              <w:ind w:left="0"/>
            </w:pPr>
            <w:r>
              <w:t>1.0</w:t>
            </w:r>
          </w:p>
        </w:tc>
        <w:tc>
          <w:tcPr>
            <w:tcW w:w="1168" w:type="dxa"/>
          </w:tcPr>
          <w:p w14:paraId="76307CEB" w14:textId="77777777" w:rsidR="00411845" w:rsidRDefault="00A608A8" w:rsidP="00411845">
            <w:pPr>
              <w:pStyle w:val="ListParagraph"/>
              <w:ind w:left="0"/>
            </w:pPr>
            <w:r>
              <w:t>3.7</w:t>
            </w:r>
          </w:p>
        </w:tc>
        <w:tc>
          <w:tcPr>
            <w:tcW w:w="1233" w:type="dxa"/>
          </w:tcPr>
          <w:p w14:paraId="3D35485F" w14:textId="77777777" w:rsidR="00411845" w:rsidRDefault="00A608A8" w:rsidP="00411845">
            <w:pPr>
              <w:pStyle w:val="ListParagraph"/>
              <w:ind w:left="0"/>
            </w:pPr>
            <w:r>
              <w:t>5</w:t>
            </w:r>
            <w:r>
              <w:rPr>
                <w:rFonts w:cstheme="minorHAnsi"/>
              </w:rPr>
              <w:t>µ</w:t>
            </w:r>
            <w:r>
              <w:t>G</w:t>
            </w:r>
          </w:p>
        </w:tc>
        <w:tc>
          <w:tcPr>
            <w:tcW w:w="1224" w:type="dxa"/>
          </w:tcPr>
          <w:p w14:paraId="402627DF" w14:textId="77777777" w:rsidR="00411845" w:rsidRDefault="00247593" w:rsidP="00411845">
            <w:pPr>
              <w:pStyle w:val="ListParagraph"/>
              <w:ind w:left="0"/>
            </w:pPr>
            <w:r w:rsidRPr="00247593">
              <w:rPr>
                <w:color w:val="5B9BD5" w:themeColor="accent1"/>
              </w:rPr>
              <w:t>Interference not expected</w:t>
            </w:r>
          </w:p>
        </w:tc>
      </w:tr>
      <w:tr w:rsidR="00247593" w14:paraId="64C5FDE8" w14:textId="77777777" w:rsidTr="00247593">
        <w:tc>
          <w:tcPr>
            <w:tcW w:w="1040" w:type="dxa"/>
          </w:tcPr>
          <w:p w14:paraId="7C85DC56" w14:textId="77777777" w:rsidR="00411845" w:rsidRDefault="00247593" w:rsidP="00411845">
            <w:pPr>
              <w:pStyle w:val="ListParagraph"/>
              <w:ind w:left="0"/>
            </w:pPr>
            <w:r>
              <w:t>207</w:t>
            </w:r>
          </w:p>
        </w:tc>
        <w:tc>
          <w:tcPr>
            <w:tcW w:w="1075" w:type="dxa"/>
          </w:tcPr>
          <w:p w14:paraId="3662C687" w14:textId="77777777" w:rsidR="00411845" w:rsidRDefault="00247593" w:rsidP="00411845">
            <w:pPr>
              <w:pStyle w:val="ListParagraph"/>
              <w:ind w:left="0"/>
            </w:pPr>
            <w:r>
              <w:t>82</w:t>
            </w:r>
          </w:p>
        </w:tc>
        <w:tc>
          <w:tcPr>
            <w:tcW w:w="1672" w:type="dxa"/>
          </w:tcPr>
          <w:p w14:paraId="0667097B" w14:textId="77777777" w:rsidR="00411845" w:rsidRDefault="00A608A8" w:rsidP="00411845">
            <w:pPr>
              <w:pStyle w:val="ListParagraph"/>
              <w:ind w:left="0"/>
            </w:pPr>
            <w:r>
              <w:t>Medium sensitivity</w:t>
            </w:r>
          </w:p>
        </w:tc>
        <w:tc>
          <w:tcPr>
            <w:tcW w:w="1146" w:type="dxa"/>
          </w:tcPr>
          <w:p w14:paraId="39E35E65" w14:textId="77777777" w:rsidR="00411845" w:rsidRDefault="00A608A8" w:rsidP="00411845">
            <w:pPr>
              <w:pStyle w:val="ListParagraph"/>
              <w:ind w:left="0"/>
            </w:pPr>
            <w:r>
              <w:t>0.14</w:t>
            </w:r>
          </w:p>
        </w:tc>
        <w:tc>
          <w:tcPr>
            <w:tcW w:w="1168" w:type="dxa"/>
          </w:tcPr>
          <w:p w14:paraId="62A910B2" w14:textId="77777777" w:rsidR="00411845" w:rsidRDefault="00A608A8" w:rsidP="00411845">
            <w:pPr>
              <w:pStyle w:val="ListParagraph"/>
              <w:ind w:left="0"/>
            </w:pPr>
            <w:r>
              <w:t>0.46</w:t>
            </w:r>
          </w:p>
        </w:tc>
        <w:tc>
          <w:tcPr>
            <w:tcW w:w="1233" w:type="dxa"/>
          </w:tcPr>
          <w:p w14:paraId="0AF26BDC" w14:textId="77777777" w:rsidR="00411845" w:rsidRDefault="00A608A8" w:rsidP="00411845">
            <w:pPr>
              <w:pStyle w:val="ListParagraph"/>
              <w:ind w:left="0"/>
            </w:pPr>
            <w:r>
              <w:t>1.85</w:t>
            </w:r>
            <w:r>
              <w:rPr>
                <w:rFonts w:cstheme="minorHAnsi"/>
              </w:rPr>
              <w:t>µ</w:t>
            </w:r>
            <w:r>
              <w:t>G</w:t>
            </w:r>
          </w:p>
        </w:tc>
        <w:tc>
          <w:tcPr>
            <w:tcW w:w="1224" w:type="dxa"/>
          </w:tcPr>
          <w:p w14:paraId="11209FAE" w14:textId="77777777" w:rsidR="00411845" w:rsidRDefault="00247593" w:rsidP="00411845">
            <w:pPr>
              <w:pStyle w:val="ListParagraph"/>
              <w:ind w:left="0"/>
            </w:pPr>
            <w:r>
              <w:t>No quantitative value</w:t>
            </w:r>
          </w:p>
          <w:p w14:paraId="2B9A9800" w14:textId="77777777" w:rsidR="00247593" w:rsidRDefault="00247593" w:rsidP="00411845">
            <w:pPr>
              <w:pStyle w:val="ListParagraph"/>
              <w:ind w:left="0"/>
              <w:rPr>
                <w:rtl/>
              </w:rPr>
            </w:pPr>
            <w:r w:rsidRPr="00247593">
              <w:rPr>
                <w:color w:val="5B9BD5" w:themeColor="accent1"/>
              </w:rPr>
              <w:t>Interference not expected</w:t>
            </w:r>
          </w:p>
        </w:tc>
      </w:tr>
      <w:tr w:rsidR="00247593" w14:paraId="5D5416B6" w14:textId="77777777" w:rsidTr="00247593">
        <w:tc>
          <w:tcPr>
            <w:tcW w:w="1040" w:type="dxa"/>
          </w:tcPr>
          <w:p w14:paraId="1AAA992E" w14:textId="77777777" w:rsidR="00247593" w:rsidRDefault="00247593" w:rsidP="00411845">
            <w:pPr>
              <w:pStyle w:val="ListParagraph"/>
              <w:ind w:left="0"/>
            </w:pPr>
            <w:r>
              <w:t>208</w:t>
            </w:r>
          </w:p>
        </w:tc>
        <w:tc>
          <w:tcPr>
            <w:tcW w:w="1075" w:type="dxa"/>
          </w:tcPr>
          <w:p w14:paraId="1DC342C5" w14:textId="77777777" w:rsidR="00247593" w:rsidRDefault="00247593" w:rsidP="00411845">
            <w:pPr>
              <w:pStyle w:val="ListParagraph"/>
              <w:ind w:left="0"/>
            </w:pPr>
            <w:r>
              <w:t>72</w:t>
            </w:r>
          </w:p>
        </w:tc>
        <w:tc>
          <w:tcPr>
            <w:tcW w:w="1672" w:type="dxa"/>
          </w:tcPr>
          <w:p w14:paraId="66E536DD" w14:textId="77777777" w:rsidR="00247593" w:rsidRDefault="00A608A8" w:rsidP="00411845">
            <w:pPr>
              <w:pStyle w:val="ListParagraph"/>
              <w:ind w:left="0"/>
            </w:pPr>
            <w:r>
              <w:t>Not given</w:t>
            </w:r>
          </w:p>
        </w:tc>
        <w:tc>
          <w:tcPr>
            <w:tcW w:w="1146" w:type="dxa"/>
          </w:tcPr>
          <w:p w14:paraId="02769814" w14:textId="77777777" w:rsidR="00247593" w:rsidRDefault="00A608A8" w:rsidP="00411845">
            <w:pPr>
              <w:pStyle w:val="ListParagraph"/>
              <w:ind w:left="0"/>
            </w:pPr>
            <w:r>
              <w:t>0.17</w:t>
            </w:r>
          </w:p>
        </w:tc>
        <w:tc>
          <w:tcPr>
            <w:tcW w:w="1168" w:type="dxa"/>
          </w:tcPr>
          <w:p w14:paraId="1AB4D7F0" w14:textId="77777777" w:rsidR="00247593" w:rsidRDefault="00A608A8" w:rsidP="00411845">
            <w:pPr>
              <w:pStyle w:val="ListParagraph"/>
              <w:ind w:left="0"/>
            </w:pPr>
            <w:r>
              <w:t>0.6</w:t>
            </w:r>
          </w:p>
        </w:tc>
        <w:tc>
          <w:tcPr>
            <w:tcW w:w="1233" w:type="dxa"/>
          </w:tcPr>
          <w:p w14:paraId="26CCCD29" w14:textId="77777777" w:rsidR="00247593" w:rsidRDefault="00A608A8" w:rsidP="00411845">
            <w:pPr>
              <w:pStyle w:val="ListParagraph"/>
              <w:ind w:left="0"/>
            </w:pPr>
            <w:r>
              <w:t>2.4</w:t>
            </w:r>
            <w:r>
              <w:rPr>
                <w:rFonts w:cstheme="minorHAnsi"/>
              </w:rPr>
              <w:t>µ</w:t>
            </w:r>
            <w:r>
              <w:t>G</w:t>
            </w:r>
          </w:p>
        </w:tc>
        <w:tc>
          <w:tcPr>
            <w:tcW w:w="1224" w:type="dxa"/>
          </w:tcPr>
          <w:p w14:paraId="19E76681" w14:textId="77777777" w:rsidR="00247593" w:rsidRDefault="00247593" w:rsidP="00411845">
            <w:pPr>
              <w:pStyle w:val="ListParagraph"/>
              <w:ind w:left="0"/>
            </w:pPr>
          </w:p>
        </w:tc>
      </w:tr>
      <w:tr w:rsidR="00247593" w14:paraId="6CE543B6" w14:textId="77777777" w:rsidTr="00247593">
        <w:tc>
          <w:tcPr>
            <w:tcW w:w="1040" w:type="dxa"/>
          </w:tcPr>
          <w:p w14:paraId="7DF838A1" w14:textId="77777777" w:rsidR="00247593" w:rsidRDefault="00247593" w:rsidP="00411845">
            <w:pPr>
              <w:pStyle w:val="ListParagraph"/>
              <w:ind w:left="0"/>
            </w:pPr>
            <w:r>
              <w:t>209</w:t>
            </w:r>
          </w:p>
        </w:tc>
        <w:tc>
          <w:tcPr>
            <w:tcW w:w="1075" w:type="dxa"/>
          </w:tcPr>
          <w:p w14:paraId="36A163A3" w14:textId="77777777" w:rsidR="00247593" w:rsidRDefault="00247593" w:rsidP="00411845">
            <w:pPr>
              <w:pStyle w:val="ListParagraph"/>
              <w:ind w:left="0"/>
            </w:pPr>
            <w:r>
              <w:t>43</w:t>
            </w:r>
          </w:p>
        </w:tc>
        <w:tc>
          <w:tcPr>
            <w:tcW w:w="1672" w:type="dxa"/>
          </w:tcPr>
          <w:p w14:paraId="68783476" w14:textId="77777777" w:rsidR="00247593" w:rsidRDefault="00A608A8" w:rsidP="00411845">
            <w:pPr>
              <w:pStyle w:val="ListParagraph"/>
              <w:ind w:left="0"/>
            </w:pPr>
            <w:r>
              <w:t>High sensitivity</w:t>
            </w:r>
          </w:p>
        </w:tc>
        <w:tc>
          <w:tcPr>
            <w:tcW w:w="1146" w:type="dxa"/>
          </w:tcPr>
          <w:p w14:paraId="6681814F" w14:textId="77777777" w:rsidR="00247593" w:rsidRDefault="00A608A8" w:rsidP="00411845">
            <w:pPr>
              <w:pStyle w:val="ListParagraph"/>
              <w:ind w:left="0"/>
            </w:pPr>
            <w:r>
              <w:t>0.5</w:t>
            </w:r>
          </w:p>
        </w:tc>
        <w:tc>
          <w:tcPr>
            <w:tcW w:w="1168" w:type="dxa"/>
          </w:tcPr>
          <w:p w14:paraId="114AA9DD" w14:textId="77777777" w:rsidR="00247593" w:rsidRDefault="00A608A8" w:rsidP="00411845">
            <w:pPr>
              <w:pStyle w:val="ListParagraph"/>
              <w:ind w:left="0"/>
            </w:pPr>
            <w:r>
              <w:t>1.7</w:t>
            </w:r>
          </w:p>
        </w:tc>
        <w:tc>
          <w:tcPr>
            <w:tcW w:w="1233" w:type="dxa"/>
          </w:tcPr>
          <w:p w14:paraId="786347EB" w14:textId="77777777" w:rsidR="00247593" w:rsidRDefault="00A608A8" w:rsidP="00411845">
            <w:pPr>
              <w:pStyle w:val="ListParagraph"/>
              <w:ind w:left="0"/>
            </w:pPr>
            <w:r>
              <w:t>6.7</w:t>
            </w:r>
            <w:r>
              <w:rPr>
                <w:rFonts w:cstheme="minorHAnsi"/>
              </w:rPr>
              <w:t>µ</w:t>
            </w:r>
            <w:r>
              <w:t>G</w:t>
            </w:r>
          </w:p>
        </w:tc>
        <w:tc>
          <w:tcPr>
            <w:tcW w:w="1224" w:type="dxa"/>
          </w:tcPr>
          <w:p w14:paraId="13CAEAE6" w14:textId="77777777" w:rsidR="00247593" w:rsidRDefault="00A608A8" w:rsidP="00411845">
            <w:pPr>
              <w:pStyle w:val="ListParagraph"/>
              <w:ind w:left="0"/>
            </w:pPr>
            <w:r>
              <w:rPr>
                <w:rFonts w:hint="cs"/>
              </w:rPr>
              <w:t>N</w:t>
            </w:r>
            <w:r>
              <w:t>o quantitative value</w:t>
            </w:r>
          </w:p>
          <w:p w14:paraId="6AA23C04" w14:textId="77777777" w:rsidR="00A608A8" w:rsidRPr="00A608A8" w:rsidRDefault="00A608A8" w:rsidP="00411845">
            <w:pPr>
              <w:pStyle w:val="ListParagraph"/>
              <w:ind w:left="0"/>
              <w:rPr>
                <w:color w:val="FF0000"/>
              </w:rPr>
            </w:pPr>
            <w:r>
              <w:rPr>
                <w:color w:val="FF0000"/>
              </w:rPr>
              <w:t>Disturbance possible</w:t>
            </w:r>
          </w:p>
        </w:tc>
      </w:tr>
      <w:tr w:rsidR="00247593" w14:paraId="626F804A" w14:textId="77777777" w:rsidTr="00247593">
        <w:tc>
          <w:tcPr>
            <w:tcW w:w="1040" w:type="dxa"/>
          </w:tcPr>
          <w:p w14:paraId="32638A4A" w14:textId="77777777" w:rsidR="00247593" w:rsidRDefault="00247593" w:rsidP="00411845">
            <w:pPr>
              <w:pStyle w:val="ListParagraph"/>
              <w:ind w:left="0"/>
            </w:pPr>
            <w:r>
              <w:t>211</w:t>
            </w:r>
          </w:p>
        </w:tc>
        <w:tc>
          <w:tcPr>
            <w:tcW w:w="1075" w:type="dxa"/>
          </w:tcPr>
          <w:p w14:paraId="2FBD0563" w14:textId="77777777" w:rsidR="00247593" w:rsidRDefault="00247593" w:rsidP="00411845">
            <w:pPr>
              <w:pStyle w:val="ListParagraph"/>
              <w:ind w:left="0"/>
            </w:pPr>
            <w:r>
              <w:t>42</w:t>
            </w:r>
          </w:p>
        </w:tc>
        <w:tc>
          <w:tcPr>
            <w:tcW w:w="1672" w:type="dxa"/>
          </w:tcPr>
          <w:p w14:paraId="01846BE7" w14:textId="77777777" w:rsidR="00A608A8" w:rsidRDefault="00A608A8" w:rsidP="00A608A8">
            <w:pPr>
              <w:pStyle w:val="ListParagraph"/>
              <w:ind w:left="0"/>
            </w:pPr>
            <w:r>
              <w:t>1-10mG AC</w:t>
            </w:r>
          </w:p>
          <w:p w14:paraId="502C3497" w14:textId="77777777" w:rsidR="00247593" w:rsidRDefault="00A608A8" w:rsidP="00A608A8">
            <w:pPr>
              <w:pStyle w:val="ListParagraph"/>
              <w:ind w:left="0"/>
            </w:pPr>
            <w:r>
              <w:t>No DC data</w:t>
            </w:r>
          </w:p>
        </w:tc>
        <w:tc>
          <w:tcPr>
            <w:tcW w:w="1146" w:type="dxa"/>
          </w:tcPr>
          <w:p w14:paraId="4AEA5D1F" w14:textId="77777777" w:rsidR="00247593" w:rsidRDefault="00A608A8" w:rsidP="00411845">
            <w:pPr>
              <w:pStyle w:val="ListParagraph"/>
              <w:ind w:left="0"/>
            </w:pPr>
            <w:r>
              <w:t>0.52</w:t>
            </w:r>
          </w:p>
        </w:tc>
        <w:tc>
          <w:tcPr>
            <w:tcW w:w="1168" w:type="dxa"/>
          </w:tcPr>
          <w:p w14:paraId="1C035285" w14:textId="77777777" w:rsidR="00247593" w:rsidRDefault="00A608A8" w:rsidP="00411845">
            <w:pPr>
              <w:pStyle w:val="ListParagraph"/>
              <w:ind w:left="0"/>
            </w:pPr>
            <w:r>
              <w:t>1.8</w:t>
            </w:r>
          </w:p>
        </w:tc>
        <w:tc>
          <w:tcPr>
            <w:tcW w:w="1233" w:type="dxa"/>
          </w:tcPr>
          <w:p w14:paraId="46816D24" w14:textId="77777777" w:rsidR="00247593" w:rsidRDefault="00A608A8" w:rsidP="00411845">
            <w:pPr>
              <w:pStyle w:val="ListParagraph"/>
              <w:ind w:left="0"/>
            </w:pPr>
            <w:r>
              <w:t>7</w:t>
            </w:r>
            <w:r>
              <w:rPr>
                <w:rFonts w:cstheme="minorHAnsi"/>
              </w:rPr>
              <w:t>µ</w:t>
            </w:r>
            <w:r>
              <w:t>G</w:t>
            </w:r>
          </w:p>
        </w:tc>
        <w:tc>
          <w:tcPr>
            <w:tcW w:w="1224" w:type="dxa"/>
          </w:tcPr>
          <w:p w14:paraId="6E44DA16" w14:textId="77777777" w:rsidR="00247593" w:rsidRDefault="00A608A8" w:rsidP="00411845">
            <w:pPr>
              <w:pStyle w:val="ListParagraph"/>
              <w:ind w:left="0"/>
            </w:pPr>
            <w:r>
              <w:rPr>
                <w:color w:val="FF0000"/>
              </w:rPr>
              <w:t>Disturbance possible</w:t>
            </w:r>
          </w:p>
        </w:tc>
      </w:tr>
      <w:tr w:rsidR="00247593" w14:paraId="09AF1D92" w14:textId="77777777" w:rsidTr="00247593">
        <w:tc>
          <w:tcPr>
            <w:tcW w:w="1040" w:type="dxa"/>
          </w:tcPr>
          <w:p w14:paraId="6A99924A" w14:textId="77777777" w:rsidR="00247593" w:rsidRDefault="00247593" w:rsidP="00411845">
            <w:pPr>
              <w:pStyle w:val="ListParagraph"/>
              <w:ind w:left="0"/>
            </w:pPr>
            <w:r>
              <w:t>212</w:t>
            </w:r>
          </w:p>
        </w:tc>
        <w:tc>
          <w:tcPr>
            <w:tcW w:w="1075" w:type="dxa"/>
          </w:tcPr>
          <w:p w14:paraId="208E00F1" w14:textId="77777777" w:rsidR="00247593" w:rsidRDefault="00247593" w:rsidP="00411845">
            <w:pPr>
              <w:pStyle w:val="ListParagraph"/>
              <w:ind w:left="0"/>
            </w:pPr>
            <w:r>
              <w:t>5</w:t>
            </w:r>
          </w:p>
        </w:tc>
        <w:tc>
          <w:tcPr>
            <w:tcW w:w="1672" w:type="dxa"/>
          </w:tcPr>
          <w:p w14:paraId="02C6F226" w14:textId="77777777" w:rsidR="00247593" w:rsidRDefault="00247593" w:rsidP="00411845">
            <w:pPr>
              <w:pStyle w:val="ListParagraph"/>
              <w:ind w:left="0"/>
            </w:pPr>
            <w:r>
              <w:t>Low sensitivity</w:t>
            </w:r>
          </w:p>
        </w:tc>
        <w:tc>
          <w:tcPr>
            <w:tcW w:w="1146" w:type="dxa"/>
          </w:tcPr>
          <w:p w14:paraId="2544520E" w14:textId="77777777" w:rsidR="00247593" w:rsidRDefault="00247593" w:rsidP="00411845">
            <w:pPr>
              <w:pStyle w:val="ListParagraph"/>
              <w:ind w:left="0"/>
            </w:pPr>
          </w:p>
        </w:tc>
        <w:tc>
          <w:tcPr>
            <w:tcW w:w="1168" w:type="dxa"/>
          </w:tcPr>
          <w:p w14:paraId="490CAA0C" w14:textId="77777777" w:rsidR="00247593" w:rsidRDefault="00247593" w:rsidP="00411845">
            <w:pPr>
              <w:pStyle w:val="ListParagraph"/>
              <w:ind w:left="0"/>
            </w:pPr>
          </w:p>
        </w:tc>
        <w:tc>
          <w:tcPr>
            <w:tcW w:w="1233" w:type="dxa"/>
          </w:tcPr>
          <w:p w14:paraId="05E4595E" w14:textId="77777777" w:rsidR="00247593" w:rsidRDefault="00247593" w:rsidP="00411845">
            <w:pPr>
              <w:pStyle w:val="ListParagraph"/>
              <w:ind w:left="0"/>
            </w:pPr>
          </w:p>
        </w:tc>
        <w:tc>
          <w:tcPr>
            <w:tcW w:w="1224" w:type="dxa"/>
          </w:tcPr>
          <w:p w14:paraId="244517CF" w14:textId="77777777" w:rsidR="00247593" w:rsidRDefault="00247593" w:rsidP="00411845">
            <w:pPr>
              <w:pStyle w:val="ListParagraph"/>
              <w:ind w:left="0"/>
            </w:pPr>
            <w:r>
              <w:t>No comparison made – not necessary</w:t>
            </w:r>
          </w:p>
        </w:tc>
      </w:tr>
    </w:tbl>
    <w:p w14:paraId="1E0E1473" w14:textId="77777777" w:rsidR="00411845" w:rsidRDefault="00411845" w:rsidP="00411845">
      <w:pPr>
        <w:pStyle w:val="ListParagraph"/>
        <w:ind w:left="792"/>
      </w:pPr>
      <w:r>
        <w:t xml:space="preserve"> </w:t>
      </w:r>
    </w:p>
    <w:p w14:paraId="1D335247" w14:textId="3B7B065A" w:rsidR="00706D48" w:rsidRDefault="00706D48" w:rsidP="00411845">
      <w:pPr>
        <w:pStyle w:val="ListParagraph"/>
        <w:ind w:left="792"/>
      </w:pPr>
      <w:r>
        <w:t>In summary,</w:t>
      </w:r>
      <w:r w:rsidR="007D627B">
        <w:t xml:space="preserve"> no electromagnetic interference is expected to sensitive scientific electronic equipment in any buildings </w:t>
      </w:r>
      <w:r w:rsidR="00D32971">
        <w:t>with the exception of</w:t>
      </w:r>
      <w:r w:rsidR="007D627B">
        <w:t xml:space="preserve"> 209 and 211, which according to the data</w:t>
      </w:r>
      <w:r w:rsidR="00D32971">
        <w:t>,</w:t>
      </w:r>
      <w:r w:rsidR="007D627B">
        <w:t xml:space="preserve"> operate equipment with magnetic field flux sensitivity of 1-10</w:t>
      </w:r>
      <w:r w:rsidR="007D627B">
        <w:rPr>
          <w:rFonts w:cstheme="minorHAnsi"/>
        </w:rPr>
        <w:t>µ</w:t>
      </w:r>
      <w:r w:rsidR="007D627B">
        <w:t>G (testing required!).</w:t>
      </w:r>
    </w:p>
    <w:p w14:paraId="54E820BE" w14:textId="77777777" w:rsidR="007D627B" w:rsidRDefault="007D627B" w:rsidP="00411845">
      <w:pPr>
        <w:pStyle w:val="ListParagraph"/>
        <w:ind w:left="792"/>
      </w:pPr>
      <w:bookmarkStart w:id="0" w:name="_GoBack"/>
      <w:r>
        <w:t xml:space="preserve">  </w:t>
      </w:r>
      <w:bookmarkEnd w:id="0"/>
    </w:p>
    <w:p w14:paraId="683D06A4" w14:textId="77777777" w:rsidR="007D627B" w:rsidRDefault="007D627B" w:rsidP="00411845">
      <w:pPr>
        <w:pStyle w:val="ListParagraph"/>
        <w:ind w:left="792"/>
      </w:pPr>
      <w:r>
        <w:rPr>
          <w:noProof/>
        </w:rPr>
        <w:lastRenderedPageBreak/>
        <w:drawing>
          <wp:inline distT="0" distB="0" distL="0" distR="0" wp14:anchorId="7A21EA16" wp14:editId="021E44D5">
            <wp:extent cx="5767070" cy="3907790"/>
            <wp:effectExtent l="0" t="0" r="0" b="0"/>
            <wp:docPr id="16" name="Picut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8"/>
                    <a:stretch/>
                  </pic:blipFill>
                  <pic:spPr>
                    <a:xfrm>
                      <a:off x="0" y="0"/>
                      <a:ext cx="5767070" cy="3907790"/>
                    </a:xfrm>
                    <a:prstGeom prst="rect">
                      <a:avLst/>
                    </a:prstGeom>
                  </pic:spPr>
                </pic:pic>
              </a:graphicData>
            </a:graphic>
          </wp:inline>
        </w:drawing>
      </w:r>
    </w:p>
    <w:p w14:paraId="0834B7D2" w14:textId="77777777" w:rsidR="007D627B" w:rsidRDefault="007D627B" w:rsidP="00411845">
      <w:pPr>
        <w:pStyle w:val="ListParagraph"/>
        <w:ind w:left="792"/>
      </w:pPr>
      <w:r>
        <w:t>Figure 1 Situational Map of University Buildings and Distances from the Metro Line</w:t>
      </w:r>
    </w:p>
    <w:p w14:paraId="697C9887" w14:textId="77777777" w:rsidR="007D627B" w:rsidRPr="00411845" w:rsidRDefault="007D627B" w:rsidP="00411845">
      <w:pPr>
        <w:pStyle w:val="ListParagraph"/>
        <w:ind w:left="792"/>
      </w:pPr>
    </w:p>
    <w:p w14:paraId="6BF45772" w14:textId="77777777" w:rsidR="00411845" w:rsidRDefault="007D627B" w:rsidP="00744DF7">
      <w:pPr>
        <w:pStyle w:val="ListParagraph"/>
        <w:numPr>
          <w:ilvl w:val="0"/>
          <w:numId w:val="2"/>
        </w:numPr>
        <w:rPr>
          <w:b/>
          <w:bCs/>
          <w:u w:val="single"/>
        </w:rPr>
      </w:pPr>
      <w:r>
        <w:rPr>
          <w:b/>
          <w:bCs/>
          <w:u w:val="single"/>
          <w:lang w:bidi="he-IL"/>
        </w:rPr>
        <w:t xml:space="preserve">Scientific Electronic Equipment – </w:t>
      </w:r>
      <w:r w:rsidR="00744DF7">
        <w:rPr>
          <w:rFonts w:hint="cs"/>
          <w:b/>
          <w:bCs/>
          <w:u w:val="single"/>
          <w:lang w:bidi="he-IL"/>
        </w:rPr>
        <w:t>E</w:t>
      </w:r>
      <w:r w:rsidR="00744DF7">
        <w:rPr>
          <w:b/>
          <w:bCs/>
          <w:u w:val="single"/>
          <w:lang w:bidi="he-IL"/>
        </w:rPr>
        <w:t>nduring</w:t>
      </w:r>
      <w:r>
        <w:rPr>
          <w:b/>
          <w:bCs/>
          <w:u w:val="single"/>
          <w:lang w:bidi="he-IL"/>
        </w:rPr>
        <w:t xml:space="preserve"> Magnetic Field Flux</w:t>
      </w:r>
    </w:p>
    <w:p w14:paraId="17CB998B" w14:textId="73BE00E9" w:rsidR="007D627B" w:rsidRDefault="00346914" w:rsidP="00346914">
      <w:pPr>
        <w:pStyle w:val="ListParagraph"/>
        <w:ind w:left="360"/>
        <w:rPr>
          <w:lang w:bidi="he-IL"/>
        </w:rPr>
      </w:pPr>
      <w:r>
        <w:rPr>
          <w:lang w:bidi="he-IL"/>
        </w:rPr>
        <w:t>Electronics, and s</w:t>
      </w:r>
      <w:r w:rsidR="007D627B">
        <w:rPr>
          <w:lang w:bidi="he-IL"/>
        </w:rPr>
        <w:t>cie</w:t>
      </w:r>
      <w:r>
        <w:rPr>
          <w:lang w:bidi="he-IL"/>
        </w:rPr>
        <w:t>ntific electronic</w:t>
      </w:r>
      <w:r w:rsidR="007D627B">
        <w:rPr>
          <w:lang w:bidi="he-IL"/>
        </w:rPr>
        <w:t xml:space="preserve"> systems in general are not vulnerab</w:t>
      </w:r>
      <w:r w:rsidR="007C3A92">
        <w:rPr>
          <w:lang w:bidi="he-IL"/>
        </w:rPr>
        <w:t xml:space="preserve">le to static magnetic fields or ELF magnetic fields, </w:t>
      </w:r>
      <w:r>
        <w:rPr>
          <w:lang w:bidi="he-IL"/>
        </w:rPr>
        <w:t>that</w:t>
      </w:r>
      <w:r w:rsidR="007C3A92">
        <w:rPr>
          <w:lang w:bidi="he-IL"/>
        </w:rPr>
        <w:t xml:space="preserve"> are the main product of the electricity used to drive the Metro. In the past, cathode ray tube computer screens were sensitive to </w:t>
      </w:r>
      <w:r w:rsidR="00D32971">
        <w:rPr>
          <w:lang w:bidi="he-IL"/>
        </w:rPr>
        <w:t xml:space="preserve">a </w:t>
      </w:r>
      <w:r w:rsidR="007C3A92">
        <w:rPr>
          <w:lang w:bidi="he-IL"/>
        </w:rPr>
        <w:t xml:space="preserve">magnetic field flux </w:t>
      </w:r>
      <w:r w:rsidR="007C3A92" w:rsidRPr="00D32971">
        <w:rPr>
          <w:lang w:bidi="he-IL"/>
        </w:rPr>
        <w:t>higher</w:t>
      </w:r>
      <w:r w:rsidR="007C3A92">
        <w:rPr>
          <w:lang w:bidi="he-IL"/>
        </w:rPr>
        <w:t xml:space="preserve"> than 5mG, which caused the screen to flicker. There are still scientific systems that are sensitive to magnetic field flux</w:t>
      </w:r>
      <w:r w:rsidR="00D32971">
        <w:rPr>
          <w:lang w:bidi="he-IL"/>
        </w:rPr>
        <w:t>,</w:t>
      </w:r>
      <w:r w:rsidR="007C3A92">
        <w:rPr>
          <w:lang w:bidi="he-IL"/>
        </w:rPr>
        <w:t xml:space="preserve"> such as the scanning electronic microscope (SEM) which can be sensitive to low magnetic field flux</w:t>
      </w:r>
      <w:r w:rsidR="0066016E">
        <w:rPr>
          <w:lang w:bidi="he-IL"/>
        </w:rPr>
        <w:t>,</w:t>
      </w:r>
      <w:r w:rsidR="007C3A92">
        <w:rPr>
          <w:lang w:bidi="he-IL"/>
        </w:rPr>
        <w:t xml:space="preserve"> such as 2mG (rms).</w:t>
      </w:r>
    </w:p>
    <w:p w14:paraId="78CE16F9" w14:textId="3AAAF2EB" w:rsidR="007C3A92" w:rsidRPr="007C3A92" w:rsidRDefault="007C3A92" w:rsidP="00346914">
      <w:pPr>
        <w:pStyle w:val="ListParagraph"/>
        <w:ind w:left="360"/>
        <w:rPr>
          <w:rtl/>
        </w:rPr>
      </w:pPr>
      <w:r>
        <w:rPr>
          <w:lang w:bidi="he-IL"/>
        </w:rPr>
        <w:t xml:space="preserve">According to Reference 3, the scientific equipment at the </w:t>
      </w:r>
      <w:r w:rsidR="00587A46">
        <w:rPr>
          <w:lang w:bidi="he-IL"/>
        </w:rPr>
        <w:t>university</w:t>
      </w:r>
      <w:r>
        <w:rPr>
          <w:lang w:bidi="he-IL"/>
        </w:rPr>
        <w:t xml:space="preserve"> is sensitive to very low magnetic field flux</w:t>
      </w:r>
      <w:r w:rsidR="00346914">
        <w:rPr>
          <w:lang w:bidi="he-IL"/>
        </w:rPr>
        <w:t>, even</w:t>
      </w:r>
      <w:r>
        <w:rPr>
          <w:lang w:bidi="he-IL"/>
        </w:rPr>
        <w:t xml:space="preserve"> </w:t>
      </w:r>
      <w:r w:rsidR="00346914">
        <w:rPr>
          <w:lang w:bidi="he-IL"/>
        </w:rPr>
        <w:t>down to</w:t>
      </w:r>
      <w:r>
        <w:rPr>
          <w:lang w:bidi="he-IL"/>
        </w:rPr>
        <w:t xml:space="preserve"> </w:t>
      </w:r>
      <w:r w:rsidR="00587A46">
        <w:rPr>
          <w:lang w:bidi="he-IL"/>
        </w:rPr>
        <w:t>1</w:t>
      </w:r>
      <w:r w:rsidR="00587A46">
        <w:rPr>
          <w:rFonts w:cstheme="minorHAnsi"/>
          <w:lang w:bidi="he-IL"/>
        </w:rPr>
        <w:t>µ</w:t>
      </w:r>
      <w:r w:rsidR="00587A46">
        <w:rPr>
          <w:lang w:bidi="he-IL"/>
        </w:rPr>
        <w:t xml:space="preserve">G. </w:t>
      </w:r>
      <w:r w:rsidR="0066016E">
        <w:rPr>
          <w:lang w:bidi="he-IL"/>
        </w:rPr>
        <w:t>Achieving</w:t>
      </w:r>
      <w:r w:rsidR="00CE5B5F">
        <w:rPr>
          <w:lang w:bidi="he-IL"/>
        </w:rPr>
        <w:t xml:space="preserve"> s</w:t>
      </w:r>
      <w:r w:rsidR="00587A46">
        <w:rPr>
          <w:lang w:bidi="he-IL"/>
        </w:rPr>
        <w:t xml:space="preserve">uch a small value is </w:t>
      </w:r>
      <w:r w:rsidR="00D32971">
        <w:rPr>
          <w:lang w:bidi="he-IL"/>
        </w:rPr>
        <w:t>unlikely</w:t>
      </w:r>
      <w:r w:rsidR="00CE5B5F">
        <w:rPr>
          <w:lang w:bidi="he-IL"/>
        </w:rPr>
        <w:t xml:space="preserve"> in this case</w:t>
      </w:r>
      <w:r w:rsidR="00587A46">
        <w:rPr>
          <w:lang w:bidi="he-IL"/>
        </w:rPr>
        <w:t xml:space="preserve"> unless the equipment is protected in a Faraday cage that </w:t>
      </w:r>
      <w:r w:rsidR="00C624C5">
        <w:rPr>
          <w:lang w:bidi="he-IL"/>
        </w:rPr>
        <w:t xml:space="preserve">prevents regular external magnetic field flux </w:t>
      </w:r>
      <w:r w:rsidR="0066016E">
        <w:rPr>
          <w:lang w:bidi="he-IL"/>
        </w:rPr>
        <w:t>the source of which</w:t>
      </w:r>
      <w:r w:rsidR="00C624C5">
        <w:rPr>
          <w:lang w:bidi="he-IL"/>
        </w:rPr>
        <w:t xml:space="preserve"> is in the electricity facility and electrical wiring of the building from penetrating the instrument. On the other hand, if there is magnetic protection on the sensitive instrumentation, there is no reason to </w:t>
      </w:r>
      <w:r w:rsidR="00346914">
        <w:rPr>
          <w:lang w:bidi="he-IL"/>
        </w:rPr>
        <w:t>be concerned that</w:t>
      </w:r>
      <w:r w:rsidR="00C624C5">
        <w:rPr>
          <w:lang w:bidi="he-IL"/>
        </w:rPr>
        <w:t xml:space="preserve"> the electrical activity of the Metro which distributes</w:t>
      </w:r>
      <w:r w:rsidR="00346914">
        <w:rPr>
          <w:lang w:bidi="he-IL"/>
        </w:rPr>
        <w:t xml:space="preserve"> </w:t>
      </w:r>
      <w:r w:rsidR="00346914">
        <w:rPr>
          <w:lang w:bidi="he-IL"/>
        </w:rPr>
        <w:lastRenderedPageBreak/>
        <w:t>m</w:t>
      </w:r>
      <w:r w:rsidR="00C624C5">
        <w:rPr>
          <w:lang w:bidi="he-IL"/>
        </w:rPr>
        <w:t>agnetic field flux that is variable over time</w:t>
      </w:r>
      <w:r w:rsidR="00346914">
        <w:rPr>
          <w:lang w:bidi="he-IL"/>
        </w:rPr>
        <w:t xml:space="preserve"> t</w:t>
      </w:r>
      <w:r w:rsidR="00C624C5">
        <w:rPr>
          <w:lang w:bidi="he-IL"/>
        </w:rPr>
        <w:t xml:space="preserve">hat does not exceed 7µG will </w:t>
      </w:r>
      <w:r w:rsidR="00346914">
        <w:rPr>
          <w:lang w:bidi="he-IL"/>
        </w:rPr>
        <w:t>manage to disrupt</w:t>
      </w:r>
      <w:r w:rsidR="00C624C5">
        <w:rPr>
          <w:lang w:bidi="he-IL"/>
        </w:rPr>
        <w:t xml:space="preserve"> the scientific equipment that certainly includes a</w:t>
      </w:r>
      <w:r w:rsidR="00346914">
        <w:rPr>
          <w:lang w:bidi="he-IL"/>
        </w:rPr>
        <w:t xml:space="preserve"> suitable protection </w:t>
      </w:r>
      <w:r w:rsidR="00CE5B5F">
        <w:rPr>
          <w:lang w:bidi="he-IL"/>
        </w:rPr>
        <w:t>encasement</w:t>
      </w:r>
      <w:r w:rsidR="00346914">
        <w:rPr>
          <w:lang w:bidi="he-IL"/>
        </w:rPr>
        <w:t>.</w:t>
      </w:r>
    </w:p>
    <w:p w14:paraId="1554587A" w14:textId="77777777" w:rsidR="007D627B" w:rsidRDefault="00C624C5" w:rsidP="007D627B">
      <w:pPr>
        <w:pStyle w:val="ListParagraph"/>
        <w:numPr>
          <w:ilvl w:val="0"/>
          <w:numId w:val="2"/>
        </w:numPr>
        <w:rPr>
          <w:b/>
          <w:bCs/>
          <w:u w:val="single"/>
        </w:rPr>
      </w:pPr>
      <w:r>
        <w:rPr>
          <w:b/>
          <w:bCs/>
          <w:u w:val="single"/>
        </w:rPr>
        <w:t>Summary and Conclusions</w:t>
      </w:r>
    </w:p>
    <w:p w14:paraId="5FD30A46" w14:textId="77777777" w:rsidR="00C624C5" w:rsidRDefault="00C624C5" w:rsidP="00346914">
      <w:pPr>
        <w:pStyle w:val="ListParagraph"/>
        <w:ind w:left="360"/>
      </w:pPr>
      <w:r>
        <w:t>This professional opinion presents the results</w:t>
      </w:r>
      <w:r w:rsidR="00346914">
        <w:t xml:space="preserve"> of a theoretical prediction o</w:t>
      </w:r>
      <w:r>
        <w:t xml:space="preserve">f magnetic field flux in a complex </w:t>
      </w:r>
      <w:r w:rsidR="00346914">
        <w:t>intending for</w:t>
      </w:r>
      <w:r>
        <w:t xml:space="preserve"> the passing</w:t>
      </w:r>
      <w:r w:rsidR="00346914">
        <w:t xml:space="preserve"> o</w:t>
      </w:r>
      <w:r>
        <w:t>f the Metro M2 line near university</w:t>
      </w:r>
      <w:r w:rsidR="00346914">
        <w:t xml:space="preserve"> buildings</w:t>
      </w:r>
      <w:r>
        <w:t xml:space="preserve"> where the scientific equipment is operated.</w:t>
      </w:r>
    </w:p>
    <w:p w14:paraId="3E3E03FC" w14:textId="714EFF82" w:rsidR="00C624C5" w:rsidRDefault="00C624C5" w:rsidP="00346914">
      <w:pPr>
        <w:pStyle w:val="ListParagraph"/>
        <w:ind w:left="360"/>
      </w:pPr>
      <w:r>
        <w:t xml:space="preserve">Density of the static </w:t>
      </w:r>
      <w:r w:rsidR="00346914">
        <w:t xml:space="preserve">magnetic field flux cannot disrupt </w:t>
      </w:r>
      <w:r>
        <w:t>equipment</w:t>
      </w:r>
      <w:r w:rsidR="0066016E">
        <w:t>,</w:t>
      </w:r>
      <w:r>
        <w:t xml:space="preserve"> as its value in relation to the geomagnetic static field</w:t>
      </w:r>
      <w:r w:rsidR="00346914">
        <w:t xml:space="preserve"> i</w:t>
      </w:r>
      <w:r>
        <w:t>s lower than 1%, and</w:t>
      </w:r>
      <w:r w:rsidR="00CE5B5F">
        <w:t>,</w:t>
      </w:r>
      <w:r>
        <w:t xml:space="preserve"> therefore</w:t>
      </w:r>
      <w:r w:rsidR="00CE5B5F">
        <w:t>,</w:t>
      </w:r>
      <w:r>
        <w:t xml:space="preserve"> if the scientific equipment is not sensitive to the geomagnetic field, it is certainly not sensitive to the static field </w:t>
      </w:r>
      <w:r w:rsidR="0066016E">
        <w:t>the source of which</w:t>
      </w:r>
      <w:r w:rsidR="00346914">
        <w:t xml:space="preserve"> is from the Me</w:t>
      </w:r>
      <w:r>
        <w:t>tro</w:t>
      </w:r>
      <w:r w:rsidR="00CE5B5F">
        <w:t>,</w:t>
      </w:r>
      <w:r>
        <w:t xml:space="preserve"> </w:t>
      </w:r>
      <w:r w:rsidR="00346914">
        <w:t>which is fed</w:t>
      </w:r>
      <w:r>
        <w:t xml:space="preserve"> direct current.</w:t>
      </w:r>
    </w:p>
    <w:p w14:paraId="6C2BAB3E" w14:textId="391EB438" w:rsidR="00C624C5" w:rsidRDefault="00C624C5" w:rsidP="00C548E6">
      <w:pPr>
        <w:pStyle w:val="ListParagraph"/>
        <w:ind w:left="360"/>
      </w:pPr>
      <w:r>
        <w:t>Magnetic field fl</w:t>
      </w:r>
      <w:r w:rsidR="0066016E">
        <w:t>ux,</w:t>
      </w:r>
      <w:r>
        <w:t xml:space="preserve"> which is variable over time,</w:t>
      </w:r>
      <w:r w:rsidR="0066016E">
        <w:t xml:space="preserve"> the source of which is from</w:t>
      </w:r>
      <w:r w:rsidR="00833F2C">
        <w:t xml:space="preserve"> current ripples of less than 1% on</w:t>
      </w:r>
      <w:r w:rsidR="00C548E6">
        <w:t xml:space="preserve"> the </w:t>
      </w:r>
      <w:r w:rsidR="00CE5B5F">
        <w:t>corrected</w:t>
      </w:r>
      <w:r w:rsidR="00C548E6">
        <w:t xml:space="preserve"> c</w:t>
      </w:r>
      <w:r w:rsidR="00833F2C">
        <w:t>urrent</w:t>
      </w:r>
      <w:r w:rsidR="0066016E">
        <w:t>,</w:t>
      </w:r>
      <w:r w:rsidR="00833F2C">
        <w:t xml:space="preserve"> is very low as a result of its distance from the source. For Buildings 209 and 211, which are 42-43 meters from the Metro </w:t>
      </w:r>
      <w:r w:rsidR="00CE5B5F">
        <w:t>path</w:t>
      </w:r>
      <w:r w:rsidR="00833F2C">
        <w:t xml:space="preserve"> on the ground, </w:t>
      </w:r>
      <w:r w:rsidR="0066016E">
        <w:t xml:space="preserve">receive </w:t>
      </w:r>
      <w:r w:rsidR="00C548E6">
        <w:t>a</w:t>
      </w:r>
      <w:r w:rsidR="00833F2C">
        <w:t xml:space="preserve"> maximum field flux</w:t>
      </w:r>
      <w:r w:rsidR="0066016E">
        <w:t xml:space="preserve"> of an</w:t>
      </w:r>
      <w:r w:rsidR="00833F2C">
        <w:t xml:space="preserve"> alternating current</w:t>
      </w:r>
      <w:r w:rsidR="00C548E6">
        <w:t xml:space="preserve"> o</w:t>
      </w:r>
      <w:r w:rsidR="00833F2C">
        <w:t>f about 7µG. The magnetic field flux in the background of any urban building is not lower than 200µG</w:t>
      </w:r>
      <w:r w:rsidR="00CE5B5F">
        <w:t>;</w:t>
      </w:r>
      <w:r w:rsidR="00833F2C">
        <w:t xml:space="preserve"> i.e.</w:t>
      </w:r>
      <w:r w:rsidR="00CE5B5F">
        <w:t>,</w:t>
      </w:r>
      <w:r w:rsidR="00833F2C">
        <w:t xml:space="preserve"> if the equipment is sensitive to </w:t>
      </w:r>
      <w:r w:rsidR="00CE5B5F">
        <w:t xml:space="preserve">a </w:t>
      </w:r>
      <w:r w:rsidR="00833F2C">
        <w:t>magnetic field flux of 1-10µG, it is necessarily protected by magnetic protection, and therefore also protected from magnetic field flux distributed</w:t>
      </w:r>
      <w:r w:rsidR="00C548E6">
        <w:t xml:space="preserve"> by</w:t>
      </w:r>
      <w:r w:rsidR="00833F2C">
        <w:t xml:space="preserve"> the Metro.</w:t>
      </w:r>
    </w:p>
    <w:p w14:paraId="62555B6A" w14:textId="14E508FF" w:rsidR="00833F2C" w:rsidRDefault="00833F2C" w:rsidP="00C548E6">
      <w:pPr>
        <w:pStyle w:val="ListParagraph"/>
        <w:ind w:left="360"/>
      </w:pPr>
      <w:r>
        <w:t>Some of the equipment is sensitive to stray currents. This is no</w:t>
      </w:r>
      <w:r w:rsidR="00C548E6">
        <w:t xml:space="preserve">t significant </w:t>
      </w:r>
      <w:r w:rsidR="0066016E">
        <w:t>regarding</w:t>
      </w:r>
      <w:r w:rsidR="00C548E6">
        <w:t xml:space="preserve"> t</w:t>
      </w:r>
      <w:r>
        <w:t>he Metro data</w:t>
      </w:r>
      <w:r w:rsidR="00CE5B5F">
        <w:t>,</w:t>
      </w:r>
      <w:r>
        <w:t xml:space="preserve"> as s</w:t>
      </w:r>
      <w:r w:rsidR="001509D0">
        <w:t>tray currents generated at a de</w:t>
      </w:r>
      <w:r>
        <w:t xml:space="preserve">pth of 17 m </w:t>
      </w:r>
      <w:r w:rsidR="001509D0">
        <w:t>underground</w:t>
      </w:r>
      <w:r>
        <w:t xml:space="preserve"> do not flow to the ground </w:t>
      </w:r>
      <w:r w:rsidR="00CE5B5F">
        <w:t>level</w:t>
      </w:r>
      <w:r>
        <w:t xml:space="preserve">. In addition, there is an option to </w:t>
      </w:r>
      <w:r w:rsidR="00CE5B5F">
        <w:t>run</w:t>
      </w:r>
      <w:r w:rsidR="00C548E6">
        <w:t xml:space="preserve"> t</w:t>
      </w:r>
      <w:r>
        <w:t>he train with a fourth rail which returns all the driving current of the train via the fourth rail</w:t>
      </w:r>
      <w:r w:rsidR="00CE5B5F">
        <w:t>,</w:t>
      </w:r>
      <w:r>
        <w:t xml:space="preserve"> which is insulated from the </w:t>
      </w:r>
      <w:r w:rsidR="00C548E6">
        <w:t>ground,</w:t>
      </w:r>
      <w:r>
        <w:t xml:space="preserve"> therefore </w:t>
      </w:r>
      <w:r w:rsidR="00CE5B5F">
        <w:t xml:space="preserve">resulting in </w:t>
      </w:r>
      <w:r>
        <w:t>no problem of stray currents (See a</w:t>
      </w:r>
      <w:r w:rsidR="00C548E6">
        <w:t>dditional data in Appendix 4A</w:t>
      </w:r>
      <w:r>
        <w:t>).</w:t>
      </w:r>
    </w:p>
    <w:p w14:paraId="7FA0CEF1" w14:textId="77777777" w:rsidR="00833F2C" w:rsidRDefault="00833F2C" w:rsidP="00C624C5">
      <w:pPr>
        <w:pStyle w:val="ListParagraph"/>
        <w:ind w:left="360"/>
      </w:pPr>
    </w:p>
    <w:p w14:paraId="572FE0CC" w14:textId="77777777" w:rsidR="00833F2C" w:rsidRDefault="00833F2C" w:rsidP="00C624C5">
      <w:pPr>
        <w:pStyle w:val="ListParagraph"/>
        <w:ind w:left="360"/>
      </w:pPr>
      <w:r>
        <w:t>Best regards,</w:t>
      </w:r>
    </w:p>
    <w:p w14:paraId="62CFC5A7" w14:textId="31C28835" w:rsidR="00833F2C" w:rsidRDefault="00833F2C" w:rsidP="00C624C5">
      <w:pPr>
        <w:pStyle w:val="ListParagraph"/>
        <w:ind w:left="360"/>
      </w:pPr>
      <w:r>
        <w:t xml:space="preserve">Moshe </w:t>
      </w:r>
      <w:proofErr w:type="spellStart"/>
      <w:r>
        <w:t>Netzer</w:t>
      </w:r>
      <w:proofErr w:type="spellEnd"/>
      <w:r w:rsidR="00C548E6">
        <w:t xml:space="preserve"> </w:t>
      </w:r>
      <w:r w:rsidR="00CE5B5F">
        <w:t xml:space="preserve">– </w:t>
      </w:r>
      <w:r w:rsidR="00C548E6">
        <w:t>NCE</w:t>
      </w:r>
    </w:p>
    <w:p w14:paraId="57DE85D0" w14:textId="77777777" w:rsidR="001509D0" w:rsidRDefault="001509D0" w:rsidP="00C624C5">
      <w:pPr>
        <w:pStyle w:val="ListParagraph"/>
        <w:ind w:left="360"/>
      </w:pPr>
      <w:r>
        <w:t>Electromagnetic Compatibility Engineer and Radiation Safety</w:t>
      </w:r>
    </w:p>
    <w:p w14:paraId="0EC056DB" w14:textId="77777777" w:rsidR="001509D0" w:rsidRDefault="001509D0" w:rsidP="00C624C5">
      <w:pPr>
        <w:pStyle w:val="ListParagraph"/>
        <w:ind w:left="360"/>
      </w:pPr>
      <w:r>
        <w:t>Environment Protection Ministry Permit 20150-10-4</w:t>
      </w:r>
    </w:p>
    <w:p w14:paraId="03D0BE51" w14:textId="77777777" w:rsidR="00833F2C" w:rsidRPr="00C624C5" w:rsidRDefault="00833F2C" w:rsidP="00C624C5">
      <w:pPr>
        <w:pStyle w:val="ListParagraph"/>
        <w:ind w:left="360"/>
      </w:pPr>
    </w:p>
    <w:sectPr w:rsidR="00833F2C" w:rsidRPr="00C624C5">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27824" w14:textId="77777777" w:rsidR="00B4363B" w:rsidRDefault="00B4363B" w:rsidP="001B6AAC">
      <w:pPr>
        <w:spacing w:after="0" w:line="240" w:lineRule="auto"/>
      </w:pPr>
      <w:r>
        <w:separator/>
      </w:r>
    </w:p>
  </w:endnote>
  <w:endnote w:type="continuationSeparator" w:id="0">
    <w:p w14:paraId="75640C79" w14:textId="77777777" w:rsidR="00B4363B" w:rsidRDefault="00B4363B" w:rsidP="001B6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Look w:val="04A0" w:firstRow="1" w:lastRow="0" w:firstColumn="1" w:lastColumn="0" w:noHBand="0" w:noVBand="1"/>
    </w:tblPr>
    <w:tblGrid>
      <w:gridCol w:w="4508"/>
      <w:gridCol w:w="4508"/>
    </w:tblGrid>
    <w:tr w:rsidR="007D627B" w14:paraId="2DC96ECE" w14:textId="77777777" w:rsidTr="000D1576">
      <w:tc>
        <w:tcPr>
          <w:tcW w:w="4508" w:type="dxa"/>
        </w:tcPr>
        <w:p w14:paraId="5AE07E4C" w14:textId="77777777" w:rsidR="007D627B" w:rsidRDefault="007D627B" w:rsidP="007D627B">
          <w:r>
            <w:t>EMC Engineering &amp; Safety</w:t>
          </w:r>
        </w:p>
        <w:p w14:paraId="7159FD74" w14:textId="77777777" w:rsidR="007D627B" w:rsidRDefault="007D627B" w:rsidP="007D627B">
          <w:r>
            <w:t xml:space="preserve">9 </w:t>
          </w:r>
          <w:proofErr w:type="spellStart"/>
          <w:r>
            <w:t>Hanadiv</w:t>
          </w:r>
          <w:proofErr w:type="spellEnd"/>
          <w:r>
            <w:t xml:space="preserve"> Ave. 34611</w:t>
          </w:r>
        </w:p>
        <w:p w14:paraId="245D2ECC" w14:textId="77777777" w:rsidR="007D627B" w:rsidRDefault="007D627B" w:rsidP="007D627B">
          <w:r>
            <w:t>Tel 972-52-2827476</w:t>
          </w:r>
        </w:p>
        <w:p w14:paraId="25D91211" w14:textId="77777777" w:rsidR="007D627B" w:rsidRPr="00517F78" w:rsidRDefault="007D627B" w:rsidP="007D627B">
          <w:r>
            <w:t>Fax 972-4-8346724</w:t>
          </w:r>
        </w:p>
      </w:tc>
      <w:tc>
        <w:tcPr>
          <w:tcW w:w="4508" w:type="dxa"/>
        </w:tcPr>
        <w:p w14:paraId="1396D45F" w14:textId="77777777" w:rsidR="007D627B" w:rsidRDefault="007D627B" w:rsidP="007D627B">
          <w:pPr>
            <w:pStyle w:val="Headerorfooter30"/>
            <w:shd w:val="clear" w:color="auto" w:fill="auto"/>
            <w:rPr>
              <w:sz w:val="18"/>
              <w:szCs w:val="18"/>
              <w:rtl/>
            </w:rPr>
          </w:pPr>
          <w:r>
            <w:rPr>
              <w:rFonts w:ascii="Arial" w:eastAsia="Arial" w:hAnsi="Arial" w:cs="Arial"/>
              <w:color w:val="000000"/>
              <w:sz w:val="18"/>
              <w:szCs w:val="18"/>
              <w:lang w:bidi="en-US"/>
            </w:rPr>
            <w:t xml:space="preserve">M. </w:t>
          </w:r>
          <w:proofErr w:type="spellStart"/>
          <w:r>
            <w:rPr>
              <w:rFonts w:ascii="Arial" w:eastAsia="Arial" w:hAnsi="Arial" w:cs="Arial"/>
              <w:color w:val="000000"/>
              <w:sz w:val="18"/>
              <w:szCs w:val="18"/>
              <w:lang w:bidi="en-US"/>
            </w:rPr>
            <w:t>Netzer</w:t>
          </w:r>
          <w:proofErr w:type="spellEnd"/>
          <w:r>
            <w:rPr>
              <w:rFonts w:ascii="Arial" w:eastAsia="Arial" w:hAnsi="Arial" w:cs="Arial"/>
              <w:color w:val="000000"/>
              <w:sz w:val="18"/>
              <w:szCs w:val="18"/>
              <w:lang w:bidi="en-US"/>
            </w:rPr>
            <w:t xml:space="preserve"> - EMC Eng. &amp; Safety, PE, NCE</w:t>
          </w:r>
        </w:p>
        <w:p w14:paraId="1C5DEAD9" w14:textId="77777777" w:rsidR="007D627B" w:rsidRDefault="007D627B" w:rsidP="007D627B">
          <w:pPr>
            <w:pStyle w:val="Headerorfooter30"/>
            <w:shd w:val="clear" w:color="auto" w:fill="auto"/>
            <w:rPr>
              <w:rtl/>
            </w:rPr>
          </w:pPr>
          <w:r>
            <w:rPr>
              <w:rFonts w:ascii="Arial" w:eastAsia="Arial" w:hAnsi="Arial" w:cs="Arial"/>
              <w:color w:val="0000FF"/>
              <w:u w:val="single"/>
              <w:lang w:bidi="en-US"/>
            </w:rPr>
            <w:t>netzerm@netvision.net.il</w:t>
          </w:r>
        </w:p>
        <w:p w14:paraId="5A07525C" w14:textId="77777777" w:rsidR="007D627B" w:rsidRDefault="007D627B" w:rsidP="007D627B">
          <w:pPr>
            <w:pStyle w:val="Headerorfooter30"/>
            <w:shd w:val="clear" w:color="auto" w:fill="auto"/>
            <w:rPr>
              <w:rtl/>
            </w:rPr>
          </w:pPr>
          <w:r>
            <w:rPr>
              <w:rFonts w:ascii="Arial" w:eastAsia="Arial" w:hAnsi="Arial" w:cs="Arial"/>
              <w:color w:val="0000FF"/>
              <w:u w:val="single"/>
              <w:lang w:bidi="en-US"/>
            </w:rPr>
            <w:t>http://emces.co.il</w:t>
          </w:r>
        </w:p>
        <w:p w14:paraId="65EF70DB" w14:textId="77777777" w:rsidR="007D627B" w:rsidRDefault="007D627B" w:rsidP="007D627B">
          <w:pPr>
            <w:pStyle w:val="Footer"/>
          </w:pPr>
        </w:p>
      </w:tc>
    </w:tr>
  </w:tbl>
  <w:p w14:paraId="23ACA83C" w14:textId="77777777" w:rsidR="007D627B" w:rsidRPr="007D627B" w:rsidRDefault="007D627B" w:rsidP="007D62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5E1CCE" w14:textId="77777777" w:rsidR="00B4363B" w:rsidRDefault="00B4363B" w:rsidP="001B6AAC">
      <w:pPr>
        <w:spacing w:after="0" w:line="240" w:lineRule="auto"/>
      </w:pPr>
      <w:r>
        <w:separator/>
      </w:r>
    </w:p>
  </w:footnote>
  <w:footnote w:type="continuationSeparator" w:id="0">
    <w:p w14:paraId="2BC05455" w14:textId="77777777" w:rsidR="00B4363B" w:rsidRDefault="00B4363B" w:rsidP="001B6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29E29" w14:textId="77777777" w:rsidR="001B6AAC" w:rsidRDefault="001B6AAC" w:rsidP="001B6AAC">
    <w:pPr>
      <w:pStyle w:val="Header"/>
    </w:pPr>
  </w:p>
  <w:tbl>
    <w:tblPr>
      <w:tblStyle w:val="TableGrid"/>
      <w:tblW w:w="0" w:type="auto"/>
      <w:tblLook w:val="04A0" w:firstRow="1" w:lastRow="0" w:firstColumn="1" w:lastColumn="0" w:noHBand="0" w:noVBand="1"/>
    </w:tblPr>
    <w:tblGrid>
      <w:gridCol w:w="6799"/>
      <w:gridCol w:w="2217"/>
    </w:tblGrid>
    <w:tr w:rsidR="001B6AAC" w14:paraId="5A7897C8" w14:textId="77777777" w:rsidTr="000D1576">
      <w:tc>
        <w:tcPr>
          <w:tcW w:w="6799" w:type="dxa"/>
        </w:tcPr>
        <w:p w14:paraId="7C4A2F62" w14:textId="77777777" w:rsidR="001B6AAC" w:rsidRDefault="001B6AAC" w:rsidP="001B6AAC">
          <w:pPr>
            <w:pStyle w:val="Header"/>
          </w:pPr>
          <w:r>
            <w:t>NARTE</w:t>
          </w:r>
          <w:r>
            <w:rPr>
              <w:rFonts w:hint="cs"/>
              <w:rtl/>
            </w:rPr>
            <w:t xml:space="preserve"> </w:t>
          </w:r>
          <w:r>
            <w:t>Certified</w:t>
          </w:r>
          <w:r>
            <w:br/>
            <w:t xml:space="preserve">Moshe </w:t>
          </w:r>
          <w:proofErr w:type="spellStart"/>
          <w:r>
            <w:t>Netzer</w:t>
          </w:r>
          <w:proofErr w:type="spellEnd"/>
        </w:p>
        <w:p w14:paraId="4508AE0D" w14:textId="77777777" w:rsidR="001B6AAC" w:rsidRDefault="001B6AAC" w:rsidP="001B6AAC">
          <w:pPr>
            <w:pStyle w:val="Header"/>
          </w:pPr>
          <w:r>
            <w:t xml:space="preserve">EMC Engineering and Safety, Ltd. </w:t>
          </w:r>
        </w:p>
        <w:p w14:paraId="790A0568" w14:textId="77777777" w:rsidR="001B6AAC" w:rsidRDefault="001B6AAC" w:rsidP="001B6AAC">
          <w:pPr>
            <w:pStyle w:val="Header"/>
          </w:pPr>
          <w:r>
            <w:t>Engineering Consulting, Testing, Surveys, and Training</w:t>
          </w:r>
        </w:p>
      </w:tc>
      <w:tc>
        <w:tcPr>
          <w:tcW w:w="2217" w:type="dxa"/>
        </w:tcPr>
        <w:p w14:paraId="107E5B13" w14:textId="77777777" w:rsidR="001B6AAC" w:rsidRDefault="001B6AAC" w:rsidP="001B6AAC">
          <w:pPr>
            <w:pStyle w:val="Header"/>
          </w:pPr>
          <w:r>
            <w:rPr>
              <w:noProof/>
            </w:rPr>
            <w:drawing>
              <wp:inline distT="0" distB="0" distL="0" distR="0" wp14:anchorId="69F7DB8A" wp14:editId="64AE2B5A">
                <wp:extent cx="1066800" cy="725170"/>
                <wp:effectExtent l="0" t="0" r="0" b="0"/>
                <wp:docPr id="2"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1066800" cy="725170"/>
                        </a:xfrm>
                        <a:prstGeom prst="rect">
                          <a:avLst/>
                        </a:prstGeom>
                      </pic:spPr>
                    </pic:pic>
                  </a:graphicData>
                </a:graphic>
              </wp:inline>
            </w:drawing>
          </w:r>
        </w:p>
      </w:tc>
    </w:tr>
  </w:tbl>
  <w:p w14:paraId="5F63B01E" w14:textId="77777777" w:rsidR="001B6AAC" w:rsidRDefault="001B6AAC" w:rsidP="001B6AAC">
    <w:pPr>
      <w:pStyle w:val="Header"/>
    </w:pPr>
  </w:p>
  <w:p w14:paraId="0E684E49" w14:textId="77777777" w:rsidR="001B6AAC" w:rsidRPr="000A46FD" w:rsidRDefault="001B6AAC" w:rsidP="001B6AAC">
    <w:pPr>
      <w:pStyle w:val="Header"/>
    </w:pPr>
  </w:p>
  <w:p w14:paraId="529002C3" w14:textId="77777777" w:rsidR="001B6AAC" w:rsidRDefault="001B6A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347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D6D3BCA"/>
    <w:multiLevelType w:val="hybridMultilevel"/>
    <w:tmpl w:val="74C0681A"/>
    <w:lvl w:ilvl="0" w:tplc="99BA20B0">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15:restartNumberingAfterBreak="0">
    <w:nsid w:val="6FC4760D"/>
    <w:multiLevelType w:val="hybridMultilevel"/>
    <w:tmpl w:val="B6A67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5A3"/>
    <w:rsid w:val="001509D0"/>
    <w:rsid w:val="001B6AAC"/>
    <w:rsid w:val="00247593"/>
    <w:rsid w:val="00346914"/>
    <w:rsid w:val="003C242E"/>
    <w:rsid w:val="00411845"/>
    <w:rsid w:val="004A3514"/>
    <w:rsid w:val="004B1161"/>
    <w:rsid w:val="00562563"/>
    <w:rsid w:val="00587A46"/>
    <w:rsid w:val="005F3CC0"/>
    <w:rsid w:val="0060688F"/>
    <w:rsid w:val="006339A3"/>
    <w:rsid w:val="0066016E"/>
    <w:rsid w:val="00706D48"/>
    <w:rsid w:val="00744DF7"/>
    <w:rsid w:val="007C3A92"/>
    <w:rsid w:val="007D627B"/>
    <w:rsid w:val="007E2403"/>
    <w:rsid w:val="00833F2C"/>
    <w:rsid w:val="009671A7"/>
    <w:rsid w:val="00A608A8"/>
    <w:rsid w:val="00B27AEC"/>
    <w:rsid w:val="00B4363B"/>
    <w:rsid w:val="00BB08A5"/>
    <w:rsid w:val="00C548E6"/>
    <w:rsid w:val="00C624C5"/>
    <w:rsid w:val="00CE5B5F"/>
    <w:rsid w:val="00D32971"/>
    <w:rsid w:val="00D413ED"/>
    <w:rsid w:val="00D975A3"/>
    <w:rsid w:val="00FA03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526F"/>
  <w15:chartTrackingRefBased/>
  <w15:docId w15:val="{FB28E9BC-A806-4EE3-B8DE-A6120E4A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6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AAC"/>
  </w:style>
  <w:style w:type="paragraph" w:styleId="Footer">
    <w:name w:val="footer"/>
    <w:basedOn w:val="Normal"/>
    <w:link w:val="FooterChar"/>
    <w:uiPriority w:val="99"/>
    <w:unhideWhenUsed/>
    <w:rsid w:val="001B6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AAC"/>
  </w:style>
  <w:style w:type="table" w:styleId="TableGrid">
    <w:name w:val="Table Grid"/>
    <w:basedOn w:val="TableNormal"/>
    <w:uiPriority w:val="39"/>
    <w:rsid w:val="001B6AAC"/>
    <w:pPr>
      <w:spacing w:after="0" w:line="240" w:lineRule="auto"/>
    </w:pPr>
    <w:rPr>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6AAC"/>
    <w:rPr>
      <w:color w:val="0563C1" w:themeColor="hyperlink"/>
      <w:u w:val="single"/>
    </w:rPr>
  </w:style>
  <w:style w:type="paragraph" w:styleId="ListParagraph">
    <w:name w:val="List Paragraph"/>
    <w:basedOn w:val="Normal"/>
    <w:uiPriority w:val="34"/>
    <w:qFormat/>
    <w:rsid w:val="001B6AAC"/>
    <w:pPr>
      <w:ind w:left="720"/>
      <w:contextualSpacing/>
    </w:pPr>
  </w:style>
  <w:style w:type="character" w:customStyle="1" w:styleId="Headerorfooter3">
    <w:name w:val="Header or footer (3)_"/>
    <w:basedOn w:val="DefaultParagraphFont"/>
    <w:link w:val="Headerorfooter30"/>
    <w:rsid w:val="007D627B"/>
    <w:rPr>
      <w:rFonts w:ascii="Times New Roman" w:eastAsia="Times New Roman" w:hAnsi="Times New Roman" w:cs="Times New Roman"/>
      <w:sz w:val="20"/>
      <w:szCs w:val="20"/>
      <w:shd w:val="clear" w:color="auto" w:fill="FFFFFF"/>
    </w:rPr>
  </w:style>
  <w:style w:type="paragraph" w:customStyle="1" w:styleId="Headerorfooter30">
    <w:name w:val="Header or footer (3)"/>
    <w:basedOn w:val="Normal"/>
    <w:link w:val="Headerorfooter3"/>
    <w:rsid w:val="007D627B"/>
    <w:pPr>
      <w:widowControl w:val="0"/>
      <w:shd w:val="clear" w:color="auto" w:fill="FFFFFF"/>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587A46"/>
    <w:rPr>
      <w:color w:val="808080"/>
    </w:rPr>
  </w:style>
  <w:style w:type="character" w:styleId="CommentReference">
    <w:name w:val="annotation reference"/>
    <w:basedOn w:val="DefaultParagraphFont"/>
    <w:uiPriority w:val="99"/>
    <w:semiHidden/>
    <w:unhideWhenUsed/>
    <w:rsid w:val="00346914"/>
    <w:rPr>
      <w:sz w:val="16"/>
      <w:szCs w:val="16"/>
    </w:rPr>
  </w:style>
  <w:style w:type="paragraph" w:styleId="CommentText">
    <w:name w:val="annotation text"/>
    <w:basedOn w:val="Normal"/>
    <w:link w:val="CommentTextChar"/>
    <w:uiPriority w:val="99"/>
    <w:semiHidden/>
    <w:unhideWhenUsed/>
    <w:rsid w:val="00346914"/>
    <w:pPr>
      <w:spacing w:line="240" w:lineRule="auto"/>
    </w:pPr>
    <w:rPr>
      <w:sz w:val="20"/>
      <w:szCs w:val="20"/>
    </w:rPr>
  </w:style>
  <w:style w:type="character" w:customStyle="1" w:styleId="CommentTextChar">
    <w:name w:val="Comment Text Char"/>
    <w:basedOn w:val="DefaultParagraphFont"/>
    <w:link w:val="CommentText"/>
    <w:uiPriority w:val="99"/>
    <w:semiHidden/>
    <w:rsid w:val="00346914"/>
    <w:rPr>
      <w:sz w:val="20"/>
      <w:szCs w:val="20"/>
    </w:rPr>
  </w:style>
  <w:style w:type="paragraph" w:styleId="CommentSubject">
    <w:name w:val="annotation subject"/>
    <w:basedOn w:val="CommentText"/>
    <w:next w:val="CommentText"/>
    <w:link w:val="CommentSubjectChar"/>
    <w:uiPriority w:val="99"/>
    <w:semiHidden/>
    <w:unhideWhenUsed/>
    <w:rsid w:val="00346914"/>
    <w:rPr>
      <w:b/>
      <w:bCs/>
    </w:rPr>
  </w:style>
  <w:style w:type="character" w:customStyle="1" w:styleId="CommentSubjectChar">
    <w:name w:val="Comment Subject Char"/>
    <w:basedOn w:val="CommentTextChar"/>
    <w:link w:val="CommentSubject"/>
    <w:uiPriority w:val="99"/>
    <w:semiHidden/>
    <w:rsid w:val="00346914"/>
    <w:rPr>
      <w:b/>
      <w:bCs/>
      <w:sz w:val="20"/>
      <w:szCs w:val="20"/>
    </w:rPr>
  </w:style>
  <w:style w:type="paragraph" w:styleId="BalloonText">
    <w:name w:val="Balloon Text"/>
    <w:basedOn w:val="Normal"/>
    <w:link w:val="BalloonTextChar"/>
    <w:uiPriority w:val="99"/>
    <w:semiHidden/>
    <w:unhideWhenUsed/>
    <w:rsid w:val="003469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9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gal@grdel.co.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1100</Words>
  <Characters>6761</Characters>
  <Application>Microsoft Office Word</Application>
  <DocSecurity>0</DocSecurity>
  <Lines>95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Treister</dc:creator>
  <cp:keywords/>
  <dc:description/>
  <cp:lastModifiedBy>Susan</cp:lastModifiedBy>
  <cp:revision>4</cp:revision>
  <dcterms:created xsi:type="dcterms:W3CDTF">2021-05-30T07:31:00Z</dcterms:created>
  <dcterms:modified xsi:type="dcterms:W3CDTF">2021-05-30T14:20:00Z</dcterms:modified>
</cp:coreProperties>
</file>