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EFB59" w14:textId="77777777" w:rsidR="00EB254A" w:rsidRPr="00AB03ED" w:rsidRDefault="00EB254A" w:rsidP="00AB03ED">
      <w:pPr>
        <w:pStyle w:val="BodyText"/>
        <w:spacing w:before="120" w:line="360" w:lineRule="auto"/>
        <w:rPr>
          <w:b/>
          <w:sz w:val="24"/>
          <w:szCs w:val="24"/>
        </w:rPr>
      </w:pPr>
    </w:p>
    <w:p w14:paraId="076D60AC" w14:textId="77777777" w:rsidR="00EB254A" w:rsidRPr="00AB03ED" w:rsidRDefault="00A606AB" w:rsidP="00AB03ED">
      <w:pPr>
        <w:spacing w:before="120" w:line="360" w:lineRule="auto"/>
        <w:ind w:right="469"/>
        <w:jc w:val="center"/>
        <w:rPr>
          <w:b/>
          <w:sz w:val="24"/>
          <w:szCs w:val="24"/>
        </w:rPr>
      </w:pPr>
      <w:r w:rsidRPr="00AB03ED">
        <w:rPr>
          <w:b/>
          <w:sz w:val="24"/>
          <w:szCs w:val="24"/>
        </w:rPr>
        <w:t>REPORT ABOUT THE REVISION OF ACCOUNTING STATEMENTS</w:t>
      </w:r>
    </w:p>
    <w:p w14:paraId="30E4BB84" w14:textId="77777777" w:rsidR="00EB254A" w:rsidRPr="00AB03ED" w:rsidRDefault="00EB254A" w:rsidP="00AB03ED">
      <w:pPr>
        <w:pStyle w:val="BodyText"/>
        <w:spacing w:before="120" w:line="360" w:lineRule="auto"/>
        <w:rPr>
          <w:b/>
          <w:sz w:val="24"/>
          <w:szCs w:val="24"/>
        </w:rPr>
      </w:pPr>
    </w:p>
    <w:p w14:paraId="18803E75" w14:textId="77777777" w:rsidR="00AB03ED" w:rsidRDefault="00A606AB" w:rsidP="00912C6B">
      <w:pPr>
        <w:spacing w:before="120" w:line="360" w:lineRule="auto"/>
        <w:ind w:left="124"/>
        <w:jc w:val="both"/>
        <w:rPr>
          <w:sz w:val="24"/>
          <w:szCs w:val="24"/>
        </w:rPr>
      </w:pPr>
      <w:r w:rsidRPr="00AB03ED">
        <w:rPr>
          <w:sz w:val="24"/>
          <w:szCs w:val="24"/>
        </w:rPr>
        <w:t xml:space="preserve">Dear Members of the Management Committee of the </w:t>
      </w:r>
      <w:r w:rsidR="00F40FD2" w:rsidRPr="00AB03ED">
        <w:rPr>
          <w:sz w:val="24"/>
          <w:szCs w:val="24"/>
        </w:rPr>
        <w:t>FEDERATION OF CONSERVATIVE JUDAISM COMMUNITIES</w:t>
      </w:r>
      <w:r w:rsidR="00AB03ED">
        <w:rPr>
          <w:sz w:val="24"/>
          <w:szCs w:val="24"/>
        </w:rPr>
        <w:t>.</w:t>
      </w:r>
    </w:p>
    <w:p w14:paraId="625016A1" w14:textId="39BFEABE" w:rsidR="00EB254A" w:rsidRPr="00C070B2" w:rsidRDefault="00A606AB" w:rsidP="00912C6B">
      <w:pPr>
        <w:spacing w:before="120" w:line="360" w:lineRule="auto"/>
        <w:ind w:left="124"/>
        <w:jc w:val="both"/>
        <w:rPr>
          <w:sz w:val="24"/>
          <w:szCs w:val="24"/>
          <w:lang w:val="pt-BR"/>
        </w:rPr>
      </w:pPr>
      <w:r w:rsidRPr="00C070B2">
        <w:rPr>
          <w:sz w:val="24"/>
          <w:szCs w:val="24"/>
          <w:lang w:val="pt-BR"/>
        </w:rPr>
        <w:t>Legal address: José Hernández 1750 - Ciudad Autónoma de Buenos Aires CUIT 30-70834082-7</w:t>
      </w:r>
    </w:p>
    <w:p w14:paraId="129D5EE8" w14:textId="77777777" w:rsidR="00912C6B" w:rsidRPr="00C070B2" w:rsidRDefault="00912C6B" w:rsidP="00912C6B">
      <w:pPr>
        <w:spacing w:before="120" w:line="360" w:lineRule="auto"/>
        <w:ind w:left="124"/>
        <w:jc w:val="both"/>
        <w:rPr>
          <w:sz w:val="24"/>
          <w:szCs w:val="24"/>
          <w:lang w:val="pt-BR"/>
        </w:rPr>
      </w:pPr>
    </w:p>
    <w:p w14:paraId="3FF90C02" w14:textId="77777777" w:rsidR="00EB254A" w:rsidRPr="00AB03ED" w:rsidRDefault="00A606AB" w:rsidP="00912C6B">
      <w:pPr>
        <w:pStyle w:val="Heading1"/>
        <w:numPr>
          <w:ilvl w:val="0"/>
          <w:numId w:val="3"/>
        </w:numPr>
        <w:tabs>
          <w:tab w:val="left" w:pos="847"/>
        </w:tabs>
        <w:spacing w:before="120" w:line="360" w:lineRule="auto"/>
        <w:ind w:left="124" w:firstLine="0"/>
        <w:jc w:val="both"/>
        <w:rPr>
          <w:sz w:val="24"/>
          <w:szCs w:val="24"/>
        </w:rPr>
      </w:pPr>
      <w:r w:rsidRPr="00AB03ED">
        <w:rPr>
          <w:sz w:val="24"/>
          <w:szCs w:val="24"/>
        </w:rPr>
        <w:t>Report of the accounting statements</w:t>
      </w:r>
    </w:p>
    <w:p w14:paraId="504E730E" w14:textId="3A4EA2A1" w:rsidR="00EB254A" w:rsidRDefault="00A606AB" w:rsidP="00912C6B">
      <w:pPr>
        <w:spacing w:before="120" w:line="360" w:lineRule="auto"/>
        <w:ind w:left="124"/>
        <w:jc w:val="both"/>
        <w:rPr>
          <w:sz w:val="24"/>
          <w:szCs w:val="24"/>
        </w:rPr>
      </w:pPr>
      <w:r w:rsidRPr="00AB03ED">
        <w:rPr>
          <w:sz w:val="24"/>
          <w:szCs w:val="24"/>
        </w:rPr>
        <w:t>We reviewed the accounting statements of the Federation of Conservative Judaism Communities, consisting of Equity Situation Status, Expenses and Resources Status, Net Equity Evolution Status, and Cash Flow Status, all at 31 March 2018, and other explicative information included in notes 1 to 4 and annexes I to III.</w:t>
      </w:r>
    </w:p>
    <w:p w14:paraId="75C1C4BD" w14:textId="77777777" w:rsidR="00912C6B" w:rsidRPr="00AB03ED" w:rsidRDefault="00912C6B" w:rsidP="00912C6B">
      <w:pPr>
        <w:spacing w:before="120" w:line="360" w:lineRule="auto"/>
        <w:ind w:left="124"/>
        <w:jc w:val="both"/>
        <w:rPr>
          <w:sz w:val="24"/>
          <w:szCs w:val="24"/>
        </w:rPr>
      </w:pPr>
    </w:p>
    <w:p w14:paraId="6E1D7E5A" w14:textId="77777777" w:rsidR="00EB254A" w:rsidRPr="00AB03ED" w:rsidRDefault="00A606AB" w:rsidP="00912C6B">
      <w:pPr>
        <w:pStyle w:val="ListParagraph"/>
        <w:numPr>
          <w:ilvl w:val="0"/>
          <w:numId w:val="3"/>
        </w:numPr>
        <w:tabs>
          <w:tab w:val="left" w:pos="840"/>
        </w:tabs>
        <w:spacing w:before="120" w:line="360" w:lineRule="auto"/>
        <w:ind w:left="124" w:firstLine="0"/>
        <w:jc w:val="both"/>
        <w:rPr>
          <w:b/>
          <w:sz w:val="24"/>
          <w:szCs w:val="24"/>
        </w:rPr>
      </w:pPr>
      <w:r w:rsidRPr="00AB03ED">
        <w:rPr>
          <w:b/>
          <w:sz w:val="24"/>
          <w:szCs w:val="24"/>
        </w:rPr>
        <w:t>Responsibility of the auditor</w:t>
      </w:r>
    </w:p>
    <w:p w14:paraId="7C85369B" w14:textId="48904337" w:rsidR="00EB254A" w:rsidRPr="00AB03ED" w:rsidRDefault="00A606AB" w:rsidP="00912C6B">
      <w:pPr>
        <w:spacing w:before="120" w:line="360" w:lineRule="auto"/>
        <w:ind w:left="124"/>
        <w:jc w:val="both"/>
        <w:rPr>
          <w:sz w:val="24"/>
          <w:szCs w:val="24"/>
        </w:rPr>
      </w:pPr>
      <w:r w:rsidRPr="00AB03ED">
        <w:rPr>
          <w:sz w:val="24"/>
          <w:szCs w:val="24"/>
        </w:rPr>
        <w:t xml:space="preserve">Our responsibility consists in expressing an opinion about the accounting statements based on our audit. We have carried out our exam according to the auditing guidelines established in Technical Resolution No. 37 of the </w:t>
      </w:r>
      <w:proofErr w:type="spellStart"/>
      <w:r w:rsidRPr="00AB03ED">
        <w:rPr>
          <w:sz w:val="24"/>
          <w:szCs w:val="24"/>
        </w:rPr>
        <w:t>Federación</w:t>
      </w:r>
      <w:proofErr w:type="spellEnd"/>
      <w:r w:rsidRPr="00AB03ED">
        <w:rPr>
          <w:sz w:val="24"/>
          <w:szCs w:val="24"/>
        </w:rPr>
        <w:t xml:space="preserve"> Argentina de </w:t>
      </w:r>
      <w:proofErr w:type="spellStart"/>
      <w:r w:rsidRPr="00AB03ED">
        <w:rPr>
          <w:sz w:val="24"/>
          <w:szCs w:val="24"/>
        </w:rPr>
        <w:t>Consejos</w:t>
      </w:r>
      <w:proofErr w:type="spellEnd"/>
      <w:r w:rsidRPr="00AB03ED">
        <w:rPr>
          <w:sz w:val="24"/>
          <w:szCs w:val="24"/>
        </w:rPr>
        <w:t xml:space="preserve"> </w:t>
      </w:r>
      <w:proofErr w:type="spellStart"/>
      <w:r w:rsidRPr="00AB03ED">
        <w:rPr>
          <w:sz w:val="24"/>
          <w:szCs w:val="24"/>
        </w:rPr>
        <w:t>Profesionales</w:t>
      </w:r>
      <w:proofErr w:type="spellEnd"/>
      <w:r w:rsidRPr="00AB03ED">
        <w:rPr>
          <w:sz w:val="24"/>
          <w:szCs w:val="24"/>
        </w:rPr>
        <w:t xml:space="preserve"> de </w:t>
      </w:r>
      <w:proofErr w:type="spellStart"/>
      <w:r w:rsidRPr="00AB03ED">
        <w:rPr>
          <w:sz w:val="24"/>
          <w:szCs w:val="24"/>
        </w:rPr>
        <w:t>Ciencias</w:t>
      </w:r>
      <w:proofErr w:type="spellEnd"/>
      <w:r w:rsidRPr="00AB03ED">
        <w:rPr>
          <w:sz w:val="24"/>
          <w:szCs w:val="24"/>
        </w:rPr>
        <w:t xml:space="preserve"> </w:t>
      </w:r>
      <w:proofErr w:type="spellStart"/>
      <w:r w:rsidRPr="00AB03ED">
        <w:rPr>
          <w:sz w:val="24"/>
          <w:szCs w:val="24"/>
        </w:rPr>
        <w:t>Económicas</w:t>
      </w:r>
      <w:proofErr w:type="spellEnd"/>
      <w:r w:rsidRPr="00AB03ED">
        <w:rPr>
          <w:sz w:val="24"/>
          <w:szCs w:val="24"/>
        </w:rPr>
        <w:t xml:space="preserve">, as approved by the CPCECABA. The professional guidelines require compliance with the ethical requirements established in the current Ethics Code in the jurisdiction of the mentioned Council, as well </w:t>
      </w:r>
      <w:r w:rsidR="00C070B2">
        <w:rPr>
          <w:sz w:val="24"/>
          <w:szCs w:val="24"/>
        </w:rPr>
        <w:t xml:space="preserve">as </w:t>
      </w:r>
      <w:r w:rsidRPr="00AB03ED">
        <w:rPr>
          <w:sz w:val="24"/>
          <w:szCs w:val="24"/>
        </w:rPr>
        <w:t>that the audit must be planned and carried out to attain reasonable security that the accounting statements are free of significant mistakes.</w:t>
      </w:r>
    </w:p>
    <w:p w14:paraId="3F5AEB56" w14:textId="0AD021E8" w:rsidR="00EB254A" w:rsidRPr="00AB03ED" w:rsidRDefault="00A606AB" w:rsidP="00912C6B">
      <w:pPr>
        <w:spacing w:before="120" w:line="360" w:lineRule="auto"/>
        <w:ind w:left="124"/>
        <w:jc w:val="both"/>
        <w:rPr>
          <w:sz w:val="24"/>
          <w:szCs w:val="24"/>
        </w:rPr>
      </w:pPr>
      <w:r w:rsidRPr="00AB03ED">
        <w:rPr>
          <w:sz w:val="24"/>
          <w:szCs w:val="24"/>
        </w:rPr>
        <w:t xml:space="preserve">An audit includes the application of procedures to obtain objective facts about the figures and the information presented in the accounting statements. The selected procedures depend on the decision of the auditor, including the evaluation of significant mistakes in the accounting statements. When evaluating the risk, the auditor takes into account pertinent internal controls for the preparation and presentation by the entity of the accounting statements to design the audit procedures that are adequate according to the circumstances and not with the aim of expressing an opinion about the efficiency of internal control by the entity. An audit also includes the evaluation of the adequacy of applied accounting policies and of the </w:t>
      </w:r>
      <w:r w:rsidRPr="00AB03ED">
        <w:rPr>
          <w:sz w:val="24"/>
          <w:szCs w:val="24"/>
        </w:rPr>
        <w:lastRenderedPageBreak/>
        <w:t>reasonableness of accounting estimations made by the management of the entity, as well as the evaluation of the presentation of all the accounting statements.</w:t>
      </w:r>
    </w:p>
    <w:p w14:paraId="7953380C" w14:textId="6FB5035E" w:rsidR="00EB254A" w:rsidRDefault="00A606AB" w:rsidP="00912C6B">
      <w:pPr>
        <w:spacing w:before="120" w:line="360" w:lineRule="auto"/>
        <w:ind w:left="124"/>
        <w:jc w:val="both"/>
        <w:rPr>
          <w:sz w:val="24"/>
          <w:szCs w:val="24"/>
        </w:rPr>
      </w:pPr>
      <w:r w:rsidRPr="00AB03ED">
        <w:rPr>
          <w:sz w:val="24"/>
          <w:szCs w:val="24"/>
        </w:rPr>
        <w:t>We consider that the objective facts we have obtained provide enough and adequate basis for our auditing opinion.</w:t>
      </w:r>
    </w:p>
    <w:p w14:paraId="0E4F1A2C" w14:textId="77777777" w:rsidR="001C0130" w:rsidRDefault="001C0130" w:rsidP="00912C6B">
      <w:pPr>
        <w:spacing w:before="120" w:line="360" w:lineRule="auto"/>
        <w:ind w:left="124"/>
        <w:jc w:val="both"/>
        <w:rPr>
          <w:sz w:val="24"/>
          <w:szCs w:val="24"/>
        </w:rPr>
      </w:pPr>
    </w:p>
    <w:p w14:paraId="2FAFBA71" w14:textId="77777777" w:rsidR="00EB254A" w:rsidRPr="00AB03ED" w:rsidRDefault="00A606AB" w:rsidP="00912C6B">
      <w:pPr>
        <w:pStyle w:val="Heading1"/>
        <w:numPr>
          <w:ilvl w:val="0"/>
          <w:numId w:val="3"/>
        </w:numPr>
        <w:tabs>
          <w:tab w:val="left" w:pos="847"/>
        </w:tabs>
        <w:spacing w:before="120" w:line="360" w:lineRule="auto"/>
        <w:ind w:left="124" w:firstLine="0"/>
        <w:jc w:val="both"/>
        <w:rPr>
          <w:sz w:val="24"/>
          <w:szCs w:val="24"/>
        </w:rPr>
      </w:pPr>
      <w:r w:rsidRPr="00AB03ED">
        <w:rPr>
          <w:sz w:val="24"/>
          <w:szCs w:val="24"/>
        </w:rPr>
        <w:t>Report</w:t>
      </w:r>
    </w:p>
    <w:p w14:paraId="03903E0C" w14:textId="25A58717" w:rsidR="00EB254A" w:rsidRDefault="00A606AB" w:rsidP="00912C6B">
      <w:pPr>
        <w:pStyle w:val="BodyText"/>
        <w:spacing w:before="120" w:line="360" w:lineRule="auto"/>
        <w:ind w:left="124"/>
        <w:jc w:val="both"/>
        <w:rPr>
          <w:sz w:val="24"/>
          <w:szCs w:val="24"/>
        </w:rPr>
      </w:pPr>
      <w:r w:rsidRPr="00AB03ED">
        <w:rPr>
          <w:sz w:val="24"/>
          <w:szCs w:val="24"/>
        </w:rPr>
        <w:t>For correct reading, this report is divided into different sections, which can be identified because they are highlighted in “bold” letters and numbered.</w:t>
      </w:r>
    </w:p>
    <w:p w14:paraId="5A3C3DB8" w14:textId="77777777" w:rsidR="00912C6B" w:rsidRPr="00AB03ED" w:rsidRDefault="00912C6B" w:rsidP="00912C6B">
      <w:pPr>
        <w:pStyle w:val="BodyText"/>
        <w:spacing w:before="120" w:line="360" w:lineRule="auto"/>
        <w:ind w:left="124"/>
        <w:jc w:val="both"/>
        <w:rPr>
          <w:sz w:val="24"/>
          <w:szCs w:val="24"/>
        </w:rPr>
      </w:pPr>
    </w:p>
    <w:p w14:paraId="532883FD" w14:textId="77777777" w:rsidR="00EB254A" w:rsidRPr="00AB03ED" w:rsidRDefault="00A606AB" w:rsidP="00912C6B">
      <w:pPr>
        <w:pStyle w:val="Heading2"/>
        <w:numPr>
          <w:ilvl w:val="0"/>
          <w:numId w:val="2"/>
        </w:numPr>
        <w:tabs>
          <w:tab w:val="left" w:pos="376"/>
        </w:tabs>
        <w:spacing w:before="120" w:line="360" w:lineRule="auto"/>
        <w:ind w:left="124" w:firstLine="0"/>
        <w:jc w:val="both"/>
        <w:rPr>
          <w:sz w:val="24"/>
          <w:szCs w:val="24"/>
        </w:rPr>
      </w:pPr>
      <w:r w:rsidRPr="00AB03ED">
        <w:rPr>
          <w:sz w:val="24"/>
          <w:szCs w:val="24"/>
        </w:rPr>
        <w:t>Legal books</w:t>
      </w:r>
    </w:p>
    <w:p w14:paraId="4440EEB7" w14:textId="344BA457" w:rsidR="00EB254A" w:rsidRPr="00AB03ED" w:rsidRDefault="00A606AB" w:rsidP="00912C6B">
      <w:pPr>
        <w:pStyle w:val="BodyText"/>
        <w:spacing w:before="120" w:line="360" w:lineRule="auto"/>
        <w:ind w:left="124"/>
        <w:jc w:val="both"/>
        <w:rPr>
          <w:sz w:val="24"/>
          <w:szCs w:val="24"/>
        </w:rPr>
      </w:pPr>
      <w:r w:rsidRPr="00AB03ED">
        <w:rPr>
          <w:sz w:val="24"/>
          <w:szCs w:val="24"/>
        </w:rPr>
        <w:t xml:space="preserve">In that regarding compulsory Books, the entity complies with that established by Resolution (I.G.J.) 7/2015 (Art. 381 and 382), providing all the legally required books, and these are up to the date of the last accounting year. The following books were presented: </w:t>
      </w:r>
    </w:p>
    <w:p w14:paraId="0A12B5A8" w14:textId="77777777" w:rsidR="00EB254A" w:rsidRPr="00AB03ED" w:rsidRDefault="00EB254A" w:rsidP="00AB03ED">
      <w:pPr>
        <w:pStyle w:val="BodyText"/>
        <w:spacing w:before="120" w:line="360" w:lineRule="auto"/>
        <w:jc w:val="both"/>
        <w:rPr>
          <w:sz w:val="24"/>
          <w:szCs w:val="24"/>
        </w:rPr>
      </w:pPr>
    </w:p>
    <w:tbl>
      <w:tblPr>
        <w:tblW w:w="9249"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36"/>
        <w:gridCol w:w="1276"/>
        <w:gridCol w:w="1559"/>
        <w:gridCol w:w="1701"/>
        <w:gridCol w:w="1610"/>
        <w:gridCol w:w="1367"/>
      </w:tblGrid>
      <w:tr w:rsidR="00EB254A" w:rsidRPr="00AB03ED" w14:paraId="5BFD329B" w14:textId="77777777" w:rsidTr="00232001">
        <w:trPr>
          <w:trHeight w:val="917"/>
        </w:trPr>
        <w:tc>
          <w:tcPr>
            <w:tcW w:w="1736" w:type="dxa"/>
            <w:vAlign w:val="center"/>
          </w:tcPr>
          <w:p w14:paraId="584622FD" w14:textId="171C1DA8" w:rsidR="00EB254A" w:rsidRPr="00AB03ED" w:rsidRDefault="00A606AB" w:rsidP="00232001">
            <w:pPr>
              <w:pStyle w:val="TableParagraph"/>
              <w:spacing w:before="120" w:line="360" w:lineRule="auto"/>
              <w:ind w:left="34" w:right="88" w:hanging="1"/>
              <w:rPr>
                <w:rFonts w:ascii="Times New Roman" w:hAnsi="Times New Roman" w:cs="Times New Roman"/>
                <w:b/>
                <w:sz w:val="24"/>
                <w:szCs w:val="24"/>
              </w:rPr>
            </w:pPr>
            <w:r w:rsidRPr="00AB03ED">
              <w:rPr>
                <w:rFonts w:ascii="Times New Roman" w:hAnsi="Times New Roman" w:cs="Times New Roman"/>
                <w:b/>
                <w:sz w:val="24"/>
                <w:szCs w:val="24"/>
              </w:rPr>
              <w:t>Book</w:t>
            </w:r>
          </w:p>
        </w:tc>
        <w:tc>
          <w:tcPr>
            <w:tcW w:w="1276" w:type="dxa"/>
            <w:vAlign w:val="center"/>
          </w:tcPr>
          <w:p w14:paraId="15B91729" w14:textId="77777777" w:rsidR="00EB254A" w:rsidRPr="00AB03ED" w:rsidRDefault="00A606AB" w:rsidP="00232001">
            <w:pPr>
              <w:pStyle w:val="TableParagraph"/>
              <w:spacing w:before="120" w:line="360" w:lineRule="auto"/>
              <w:ind w:left="114" w:right="42" w:hanging="21"/>
              <w:rPr>
                <w:rFonts w:ascii="Times New Roman" w:hAnsi="Times New Roman" w:cs="Times New Roman"/>
                <w:b/>
                <w:sz w:val="24"/>
                <w:szCs w:val="24"/>
              </w:rPr>
            </w:pPr>
            <w:r w:rsidRPr="00AB03ED">
              <w:rPr>
                <w:rFonts w:ascii="Times New Roman" w:hAnsi="Times New Roman" w:cs="Times New Roman"/>
                <w:b/>
                <w:sz w:val="24"/>
                <w:szCs w:val="24"/>
              </w:rPr>
              <w:t>Book number</w:t>
            </w:r>
          </w:p>
        </w:tc>
        <w:tc>
          <w:tcPr>
            <w:tcW w:w="1559" w:type="dxa"/>
            <w:vAlign w:val="center"/>
          </w:tcPr>
          <w:p w14:paraId="78BA2BCD" w14:textId="77777777" w:rsidR="00EB254A" w:rsidRPr="00AB03ED" w:rsidRDefault="00A606AB" w:rsidP="00232001">
            <w:pPr>
              <w:pStyle w:val="TableParagraph"/>
              <w:spacing w:before="120" w:line="360" w:lineRule="auto"/>
              <w:ind w:left="477" w:right="244" w:hanging="182"/>
              <w:rPr>
                <w:rFonts w:ascii="Times New Roman" w:hAnsi="Times New Roman" w:cs="Times New Roman"/>
                <w:b/>
                <w:sz w:val="24"/>
                <w:szCs w:val="24"/>
              </w:rPr>
            </w:pPr>
            <w:r w:rsidRPr="00AB03ED">
              <w:rPr>
                <w:rFonts w:ascii="Times New Roman" w:hAnsi="Times New Roman" w:cs="Times New Roman"/>
                <w:b/>
                <w:sz w:val="24"/>
                <w:szCs w:val="24"/>
              </w:rPr>
              <w:t>Stamp number</w:t>
            </w:r>
          </w:p>
        </w:tc>
        <w:tc>
          <w:tcPr>
            <w:tcW w:w="1701" w:type="dxa"/>
            <w:vAlign w:val="center"/>
          </w:tcPr>
          <w:p w14:paraId="192F4240" w14:textId="77777777" w:rsidR="00EB254A" w:rsidRPr="00AB03ED" w:rsidRDefault="00A606AB" w:rsidP="00232001">
            <w:pPr>
              <w:pStyle w:val="TableParagraph"/>
              <w:spacing w:before="120" w:line="360" w:lineRule="auto"/>
              <w:ind w:left="484" w:right="336" w:hanging="96"/>
              <w:rPr>
                <w:rFonts w:ascii="Times New Roman" w:hAnsi="Times New Roman" w:cs="Times New Roman"/>
                <w:b/>
                <w:sz w:val="24"/>
                <w:szCs w:val="24"/>
              </w:rPr>
            </w:pPr>
            <w:r w:rsidRPr="00AB03ED">
              <w:rPr>
                <w:rFonts w:ascii="Times New Roman" w:hAnsi="Times New Roman" w:cs="Times New Roman"/>
                <w:b/>
                <w:sz w:val="24"/>
                <w:szCs w:val="24"/>
              </w:rPr>
              <w:t>Date of stamp</w:t>
            </w:r>
          </w:p>
        </w:tc>
        <w:tc>
          <w:tcPr>
            <w:tcW w:w="1610" w:type="dxa"/>
            <w:vAlign w:val="center"/>
          </w:tcPr>
          <w:p w14:paraId="450D3E95" w14:textId="77777777" w:rsidR="00EB254A" w:rsidRPr="00AB03ED" w:rsidRDefault="00A606AB" w:rsidP="00232001">
            <w:pPr>
              <w:pStyle w:val="TableParagraph"/>
              <w:spacing w:before="120" w:line="360" w:lineRule="auto"/>
              <w:ind w:left="351" w:right="146" w:hanging="165"/>
              <w:rPr>
                <w:rFonts w:ascii="Times New Roman" w:hAnsi="Times New Roman" w:cs="Times New Roman"/>
                <w:b/>
                <w:sz w:val="24"/>
                <w:szCs w:val="24"/>
              </w:rPr>
            </w:pPr>
            <w:r w:rsidRPr="00AB03ED">
              <w:rPr>
                <w:rFonts w:ascii="Times New Roman" w:hAnsi="Times New Roman" w:cs="Times New Roman"/>
                <w:b/>
                <w:sz w:val="24"/>
                <w:szCs w:val="24"/>
              </w:rPr>
              <w:t>Last folio copied</w:t>
            </w:r>
          </w:p>
        </w:tc>
        <w:tc>
          <w:tcPr>
            <w:tcW w:w="1367" w:type="dxa"/>
            <w:vAlign w:val="center"/>
          </w:tcPr>
          <w:p w14:paraId="6F34E9E0" w14:textId="2CAA7725" w:rsidR="00EB254A" w:rsidRPr="00AB03ED" w:rsidRDefault="00A606AB" w:rsidP="00232001">
            <w:pPr>
              <w:pStyle w:val="TableParagraph"/>
              <w:spacing w:before="120" w:line="360" w:lineRule="auto"/>
              <w:ind w:right="31"/>
              <w:rPr>
                <w:rFonts w:ascii="Times New Roman" w:hAnsi="Times New Roman" w:cs="Times New Roman"/>
                <w:b/>
                <w:sz w:val="24"/>
                <w:szCs w:val="24"/>
              </w:rPr>
            </w:pPr>
            <w:r w:rsidRPr="00AB03ED">
              <w:rPr>
                <w:rFonts w:ascii="Times New Roman" w:hAnsi="Times New Roman" w:cs="Times New Roman"/>
                <w:b/>
                <w:sz w:val="24"/>
                <w:szCs w:val="24"/>
              </w:rPr>
              <w:t>Date</w:t>
            </w:r>
          </w:p>
        </w:tc>
      </w:tr>
      <w:tr w:rsidR="00EB254A" w:rsidRPr="00AB03ED" w14:paraId="737806EE" w14:textId="77777777" w:rsidTr="001C0130">
        <w:trPr>
          <w:trHeight w:val="242"/>
        </w:trPr>
        <w:tc>
          <w:tcPr>
            <w:tcW w:w="1736" w:type="dxa"/>
          </w:tcPr>
          <w:p w14:paraId="1B8B4472" w14:textId="77777777" w:rsidR="00EB254A" w:rsidRPr="00AB03ED" w:rsidRDefault="00A606AB" w:rsidP="001C0130">
            <w:pPr>
              <w:pStyle w:val="TableParagraph"/>
              <w:spacing w:before="120" w:line="360" w:lineRule="auto"/>
              <w:ind w:left="34" w:right="88" w:hanging="1"/>
              <w:jc w:val="both"/>
              <w:rPr>
                <w:rFonts w:ascii="Times New Roman" w:hAnsi="Times New Roman" w:cs="Times New Roman"/>
                <w:sz w:val="24"/>
                <w:szCs w:val="24"/>
              </w:rPr>
            </w:pPr>
            <w:r w:rsidRPr="00AB03ED">
              <w:rPr>
                <w:rFonts w:ascii="Times New Roman" w:hAnsi="Times New Roman" w:cs="Times New Roman"/>
                <w:sz w:val="24"/>
                <w:szCs w:val="24"/>
              </w:rPr>
              <w:t xml:space="preserve">Daily </w:t>
            </w:r>
          </w:p>
        </w:tc>
        <w:tc>
          <w:tcPr>
            <w:tcW w:w="1276" w:type="dxa"/>
          </w:tcPr>
          <w:p w14:paraId="48CD7E9D" w14:textId="77777777" w:rsidR="00EB254A" w:rsidRPr="00AB03ED" w:rsidRDefault="00A606AB" w:rsidP="001C0130">
            <w:pPr>
              <w:pStyle w:val="TableParagraph"/>
              <w:spacing w:before="120" w:line="360" w:lineRule="auto"/>
              <w:ind w:left="41"/>
              <w:rPr>
                <w:rFonts w:ascii="Times New Roman" w:hAnsi="Times New Roman" w:cs="Times New Roman"/>
                <w:sz w:val="24"/>
                <w:szCs w:val="24"/>
              </w:rPr>
            </w:pPr>
            <w:r w:rsidRPr="00AB03ED">
              <w:rPr>
                <w:rFonts w:ascii="Times New Roman" w:hAnsi="Times New Roman" w:cs="Times New Roman"/>
                <w:sz w:val="24"/>
                <w:szCs w:val="24"/>
              </w:rPr>
              <w:t>1</w:t>
            </w:r>
          </w:p>
        </w:tc>
        <w:tc>
          <w:tcPr>
            <w:tcW w:w="1559" w:type="dxa"/>
          </w:tcPr>
          <w:p w14:paraId="0E7F2587" w14:textId="77777777" w:rsidR="00EB254A" w:rsidRPr="00AB03ED" w:rsidRDefault="00A606AB" w:rsidP="00AB03ED">
            <w:pPr>
              <w:pStyle w:val="TableParagraph"/>
              <w:spacing w:before="120" w:line="360" w:lineRule="auto"/>
              <w:ind w:left="394"/>
              <w:jc w:val="both"/>
              <w:rPr>
                <w:rFonts w:ascii="Times New Roman" w:hAnsi="Times New Roman" w:cs="Times New Roman"/>
                <w:sz w:val="24"/>
                <w:szCs w:val="24"/>
              </w:rPr>
            </w:pPr>
            <w:r w:rsidRPr="00AB03ED">
              <w:rPr>
                <w:rFonts w:ascii="Times New Roman" w:hAnsi="Times New Roman" w:cs="Times New Roman"/>
                <w:sz w:val="24"/>
                <w:szCs w:val="24"/>
              </w:rPr>
              <w:t>41942-02</w:t>
            </w:r>
          </w:p>
        </w:tc>
        <w:tc>
          <w:tcPr>
            <w:tcW w:w="1701" w:type="dxa"/>
          </w:tcPr>
          <w:p w14:paraId="3ECF7360" w14:textId="77777777" w:rsidR="00EB254A" w:rsidRPr="00AB03ED" w:rsidRDefault="00A606AB" w:rsidP="00AB03ED">
            <w:pPr>
              <w:pStyle w:val="TableParagraph"/>
              <w:spacing w:before="120" w:line="360" w:lineRule="auto"/>
              <w:ind w:left="299" w:right="262"/>
              <w:jc w:val="both"/>
              <w:rPr>
                <w:rFonts w:ascii="Times New Roman" w:hAnsi="Times New Roman" w:cs="Times New Roman"/>
                <w:sz w:val="24"/>
                <w:szCs w:val="24"/>
              </w:rPr>
            </w:pPr>
            <w:r w:rsidRPr="00AB03ED">
              <w:rPr>
                <w:rFonts w:ascii="Times New Roman" w:hAnsi="Times New Roman" w:cs="Times New Roman"/>
                <w:sz w:val="24"/>
                <w:szCs w:val="24"/>
              </w:rPr>
              <w:t>08/08/2002</w:t>
            </w:r>
          </w:p>
        </w:tc>
        <w:tc>
          <w:tcPr>
            <w:tcW w:w="1610" w:type="dxa"/>
          </w:tcPr>
          <w:p w14:paraId="378A00B8" w14:textId="77777777" w:rsidR="00EB254A" w:rsidRPr="00AB03ED" w:rsidRDefault="00A606AB" w:rsidP="001C0130">
            <w:pPr>
              <w:pStyle w:val="TableParagraph"/>
              <w:spacing w:before="120" w:line="360" w:lineRule="auto"/>
              <w:ind w:left="221" w:right="183"/>
              <w:rPr>
                <w:rFonts w:ascii="Times New Roman" w:hAnsi="Times New Roman" w:cs="Times New Roman"/>
                <w:sz w:val="24"/>
                <w:szCs w:val="24"/>
              </w:rPr>
            </w:pPr>
            <w:r w:rsidRPr="00AB03ED">
              <w:rPr>
                <w:rFonts w:ascii="Times New Roman" w:hAnsi="Times New Roman" w:cs="Times New Roman"/>
                <w:sz w:val="24"/>
                <w:szCs w:val="24"/>
              </w:rPr>
              <w:t>70 of 200</w:t>
            </w:r>
          </w:p>
        </w:tc>
        <w:tc>
          <w:tcPr>
            <w:tcW w:w="1367" w:type="dxa"/>
          </w:tcPr>
          <w:p w14:paraId="444A5A53" w14:textId="77777777" w:rsidR="00EB254A" w:rsidRPr="00AB03ED" w:rsidRDefault="00A606AB" w:rsidP="00AB03ED">
            <w:pPr>
              <w:pStyle w:val="TableParagraph"/>
              <w:spacing w:before="120" w:line="360" w:lineRule="auto"/>
              <w:ind w:right="34"/>
              <w:jc w:val="both"/>
              <w:rPr>
                <w:rFonts w:ascii="Times New Roman" w:hAnsi="Times New Roman" w:cs="Times New Roman"/>
                <w:sz w:val="24"/>
                <w:szCs w:val="24"/>
              </w:rPr>
            </w:pPr>
            <w:r w:rsidRPr="00AB03ED">
              <w:rPr>
                <w:rFonts w:ascii="Times New Roman" w:hAnsi="Times New Roman" w:cs="Times New Roman"/>
                <w:sz w:val="24"/>
                <w:szCs w:val="24"/>
              </w:rPr>
              <w:t>31/03/2018</w:t>
            </w:r>
          </w:p>
        </w:tc>
      </w:tr>
      <w:tr w:rsidR="00EB254A" w:rsidRPr="00AB03ED" w14:paraId="5C147A7E" w14:textId="77777777" w:rsidTr="001C0130">
        <w:trPr>
          <w:trHeight w:val="251"/>
        </w:trPr>
        <w:tc>
          <w:tcPr>
            <w:tcW w:w="1736" w:type="dxa"/>
          </w:tcPr>
          <w:p w14:paraId="5EAEBE10" w14:textId="77777777" w:rsidR="00EB254A" w:rsidRPr="00AB03ED" w:rsidRDefault="00F40FD2" w:rsidP="001C0130">
            <w:pPr>
              <w:pStyle w:val="TableParagraph"/>
              <w:spacing w:before="120" w:line="360" w:lineRule="auto"/>
              <w:ind w:left="34" w:right="88" w:hanging="1"/>
              <w:jc w:val="both"/>
              <w:rPr>
                <w:rFonts w:ascii="Times New Roman" w:hAnsi="Times New Roman" w:cs="Times New Roman"/>
                <w:sz w:val="24"/>
                <w:szCs w:val="24"/>
              </w:rPr>
            </w:pPr>
            <w:r w:rsidRPr="00AB03ED">
              <w:rPr>
                <w:rFonts w:ascii="Times New Roman" w:hAnsi="Times New Roman" w:cs="Times New Roman"/>
                <w:sz w:val="24"/>
                <w:szCs w:val="24"/>
              </w:rPr>
              <w:t>Inventories and balances</w:t>
            </w:r>
          </w:p>
        </w:tc>
        <w:tc>
          <w:tcPr>
            <w:tcW w:w="1276" w:type="dxa"/>
          </w:tcPr>
          <w:p w14:paraId="70BE5156" w14:textId="77777777" w:rsidR="00EB254A" w:rsidRPr="00AB03ED" w:rsidRDefault="00A606AB" w:rsidP="001C0130">
            <w:pPr>
              <w:pStyle w:val="TableParagraph"/>
              <w:spacing w:before="120" w:line="360" w:lineRule="auto"/>
              <w:ind w:left="40"/>
              <w:rPr>
                <w:rFonts w:ascii="Times New Roman" w:hAnsi="Times New Roman" w:cs="Times New Roman"/>
                <w:sz w:val="24"/>
                <w:szCs w:val="24"/>
              </w:rPr>
            </w:pPr>
            <w:r w:rsidRPr="00AB03ED">
              <w:rPr>
                <w:rFonts w:ascii="Times New Roman" w:hAnsi="Times New Roman" w:cs="Times New Roman"/>
                <w:sz w:val="24"/>
                <w:szCs w:val="24"/>
              </w:rPr>
              <w:t>1</w:t>
            </w:r>
          </w:p>
        </w:tc>
        <w:tc>
          <w:tcPr>
            <w:tcW w:w="1559" w:type="dxa"/>
          </w:tcPr>
          <w:p w14:paraId="5043552A" w14:textId="77777777" w:rsidR="00EB254A" w:rsidRPr="00AB03ED" w:rsidRDefault="00A606AB" w:rsidP="00AB03ED">
            <w:pPr>
              <w:pStyle w:val="TableParagraph"/>
              <w:spacing w:before="120" w:line="360" w:lineRule="auto"/>
              <w:ind w:left="394"/>
              <w:jc w:val="both"/>
              <w:rPr>
                <w:rFonts w:ascii="Times New Roman" w:hAnsi="Times New Roman" w:cs="Times New Roman"/>
                <w:sz w:val="24"/>
                <w:szCs w:val="24"/>
              </w:rPr>
            </w:pPr>
            <w:r w:rsidRPr="00AB03ED">
              <w:rPr>
                <w:rFonts w:ascii="Times New Roman" w:hAnsi="Times New Roman" w:cs="Times New Roman"/>
                <w:sz w:val="24"/>
                <w:szCs w:val="24"/>
              </w:rPr>
              <w:t>41938-02</w:t>
            </w:r>
          </w:p>
        </w:tc>
        <w:tc>
          <w:tcPr>
            <w:tcW w:w="1701" w:type="dxa"/>
          </w:tcPr>
          <w:p w14:paraId="42270F17" w14:textId="77777777" w:rsidR="00EB254A" w:rsidRPr="00AB03ED" w:rsidRDefault="00A606AB" w:rsidP="00AB03ED">
            <w:pPr>
              <w:pStyle w:val="TableParagraph"/>
              <w:spacing w:before="120" w:line="360" w:lineRule="auto"/>
              <w:ind w:left="299" w:right="262"/>
              <w:jc w:val="both"/>
              <w:rPr>
                <w:rFonts w:ascii="Times New Roman" w:hAnsi="Times New Roman" w:cs="Times New Roman"/>
                <w:sz w:val="24"/>
                <w:szCs w:val="24"/>
              </w:rPr>
            </w:pPr>
            <w:r w:rsidRPr="00AB03ED">
              <w:rPr>
                <w:rFonts w:ascii="Times New Roman" w:hAnsi="Times New Roman" w:cs="Times New Roman"/>
                <w:sz w:val="24"/>
                <w:szCs w:val="24"/>
              </w:rPr>
              <w:t>08/08/2002</w:t>
            </w:r>
          </w:p>
        </w:tc>
        <w:tc>
          <w:tcPr>
            <w:tcW w:w="1610" w:type="dxa"/>
          </w:tcPr>
          <w:p w14:paraId="6F7AAF3B" w14:textId="77777777" w:rsidR="00EB254A" w:rsidRPr="00AB03ED" w:rsidRDefault="00A606AB" w:rsidP="001C0130">
            <w:pPr>
              <w:pStyle w:val="TableParagraph"/>
              <w:spacing w:before="120" w:line="360" w:lineRule="auto"/>
              <w:ind w:left="221" w:right="189"/>
              <w:rPr>
                <w:rFonts w:ascii="Times New Roman" w:hAnsi="Times New Roman" w:cs="Times New Roman"/>
                <w:sz w:val="24"/>
                <w:szCs w:val="24"/>
              </w:rPr>
            </w:pPr>
            <w:r w:rsidRPr="00AB03ED">
              <w:rPr>
                <w:rFonts w:ascii="Times New Roman" w:hAnsi="Times New Roman" w:cs="Times New Roman"/>
                <w:sz w:val="24"/>
                <w:szCs w:val="24"/>
              </w:rPr>
              <w:t>142 of 200</w:t>
            </w:r>
          </w:p>
        </w:tc>
        <w:tc>
          <w:tcPr>
            <w:tcW w:w="1367" w:type="dxa"/>
          </w:tcPr>
          <w:p w14:paraId="50A16E62" w14:textId="77777777" w:rsidR="00EB254A" w:rsidRPr="00AB03ED" w:rsidRDefault="00A606AB" w:rsidP="00AB03ED">
            <w:pPr>
              <w:pStyle w:val="TableParagraph"/>
              <w:spacing w:before="120" w:line="360" w:lineRule="auto"/>
              <w:ind w:right="34"/>
              <w:jc w:val="both"/>
              <w:rPr>
                <w:rFonts w:ascii="Times New Roman" w:hAnsi="Times New Roman" w:cs="Times New Roman"/>
                <w:sz w:val="24"/>
                <w:szCs w:val="24"/>
              </w:rPr>
            </w:pPr>
            <w:r w:rsidRPr="00AB03ED">
              <w:rPr>
                <w:rFonts w:ascii="Times New Roman" w:hAnsi="Times New Roman" w:cs="Times New Roman"/>
                <w:sz w:val="24"/>
                <w:szCs w:val="24"/>
              </w:rPr>
              <w:t>31/03/2018</w:t>
            </w:r>
          </w:p>
        </w:tc>
      </w:tr>
      <w:tr w:rsidR="00EB254A" w:rsidRPr="00AB03ED" w14:paraId="3267EBC0" w14:textId="77777777" w:rsidTr="001C0130">
        <w:trPr>
          <w:trHeight w:val="244"/>
        </w:trPr>
        <w:tc>
          <w:tcPr>
            <w:tcW w:w="1736" w:type="dxa"/>
          </w:tcPr>
          <w:p w14:paraId="18AC2C43" w14:textId="77777777" w:rsidR="00EB254A" w:rsidRPr="00AB03ED" w:rsidRDefault="00F40FD2" w:rsidP="001C0130">
            <w:pPr>
              <w:pStyle w:val="TableParagraph"/>
              <w:spacing w:before="120" w:line="360" w:lineRule="auto"/>
              <w:ind w:left="34" w:right="88" w:hanging="1"/>
              <w:jc w:val="both"/>
              <w:rPr>
                <w:rFonts w:ascii="Times New Roman" w:hAnsi="Times New Roman" w:cs="Times New Roman"/>
                <w:sz w:val="24"/>
                <w:szCs w:val="24"/>
              </w:rPr>
            </w:pPr>
            <w:r w:rsidRPr="00AB03ED">
              <w:rPr>
                <w:rFonts w:ascii="Times New Roman" w:hAnsi="Times New Roman" w:cs="Times New Roman"/>
                <w:sz w:val="24"/>
                <w:szCs w:val="24"/>
              </w:rPr>
              <w:t>Cash</w:t>
            </w:r>
          </w:p>
        </w:tc>
        <w:tc>
          <w:tcPr>
            <w:tcW w:w="1276" w:type="dxa"/>
          </w:tcPr>
          <w:p w14:paraId="202ABCD1" w14:textId="77777777" w:rsidR="00EB254A" w:rsidRPr="00AB03ED" w:rsidRDefault="00A606AB" w:rsidP="001C0130">
            <w:pPr>
              <w:pStyle w:val="TableParagraph"/>
              <w:spacing w:before="120" w:line="360" w:lineRule="auto"/>
              <w:ind w:left="39"/>
              <w:rPr>
                <w:rFonts w:ascii="Times New Roman" w:hAnsi="Times New Roman" w:cs="Times New Roman"/>
                <w:sz w:val="24"/>
                <w:szCs w:val="24"/>
              </w:rPr>
            </w:pPr>
            <w:r w:rsidRPr="00AB03ED">
              <w:rPr>
                <w:rFonts w:ascii="Times New Roman" w:hAnsi="Times New Roman" w:cs="Times New Roman"/>
                <w:sz w:val="24"/>
                <w:szCs w:val="24"/>
              </w:rPr>
              <w:t>1</w:t>
            </w:r>
          </w:p>
        </w:tc>
        <w:tc>
          <w:tcPr>
            <w:tcW w:w="1559" w:type="dxa"/>
          </w:tcPr>
          <w:p w14:paraId="229A536D" w14:textId="77777777" w:rsidR="00EB254A" w:rsidRPr="00AB03ED" w:rsidRDefault="00A606AB" w:rsidP="00AB03ED">
            <w:pPr>
              <w:pStyle w:val="TableParagraph"/>
              <w:spacing w:before="120" w:line="360" w:lineRule="auto"/>
              <w:ind w:left="394"/>
              <w:jc w:val="both"/>
              <w:rPr>
                <w:rFonts w:ascii="Times New Roman" w:hAnsi="Times New Roman" w:cs="Times New Roman"/>
                <w:sz w:val="24"/>
                <w:szCs w:val="24"/>
              </w:rPr>
            </w:pPr>
            <w:r w:rsidRPr="00AB03ED">
              <w:rPr>
                <w:rFonts w:ascii="Times New Roman" w:hAnsi="Times New Roman" w:cs="Times New Roman"/>
                <w:sz w:val="24"/>
                <w:szCs w:val="24"/>
              </w:rPr>
              <w:t>75831-10</w:t>
            </w:r>
          </w:p>
        </w:tc>
        <w:tc>
          <w:tcPr>
            <w:tcW w:w="1701" w:type="dxa"/>
          </w:tcPr>
          <w:p w14:paraId="157F4A9A" w14:textId="77777777" w:rsidR="00EB254A" w:rsidRPr="00AB03ED" w:rsidRDefault="00A606AB" w:rsidP="00AB03ED">
            <w:pPr>
              <w:pStyle w:val="TableParagraph"/>
              <w:spacing w:before="120" w:line="360" w:lineRule="auto"/>
              <w:ind w:left="294" w:right="266"/>
              <w:jc w:val="both"/>
              <w:rPr>
                <w:rFonts w:ascii="Times New Roman" w:hAnsi="Times New Roman" w:cs="Times New Roman"/>
                <w:sz w:val="24"/>
                <w:szCs w:val="24"/>
              </w:rPr>
            </w:pPr>
            <w:r w:rsidRPr="00AB03ED">
              <w:rPr>
                <w:rFonts w:ascii="Times New Roman" w:hAnsi="Times New Roman" w:cs="Times New Roman"/>
                <w:sz w:val="24"/>
                <w:szCs w:val="24"/>
              </w:rPr>
              <w:t>01/12/2010</w:t>
            </w:r>
          </w:p>
        </w:tc>
        <w:tc>
          <w:tcPr>
            <w:tcW w:w="1610" w:type="dxa"/>
          </w:tcPr>
          <w:p w14:paraId="4F5DACCB" w14:textId="77777777" w:rsidR="00EB254A" w:rsidRPr="00AB03ED" w:rsidRDefault="00A606AB" w:rsidP="001C0130">
            <w:pPr>
              <w:pStyle w:val="TableParagraph"/>
              <w:spacing w:before="120" w:line="360" w:lineRule="auto"/>
              <w:ind w:left="221" w:right="175"/>
              <w:rPr>
                <w:rFonts w:ascii="Times New Roman" w:hAnsi="Times New Roman" w:cs="Times New Roman"/>
                <w:sz w:val="24"/>
                <w:szCs w:val="24"/>
              </w:rPr>
            </w:pPr>
            <w:r w:rsidRPr="00AB03ED">
              <w:rPr>
                <w:rFonts w:ascii="Times New Roman" w:hAnsi="Times New Roman" w:cs="Times New Roman"/>
                <w:sz w:val="24"/>
                <w:szCs w:val="24"/>
              </w:rPr>
              <w:t>88 of 100</w:t>
            </w:r>
          </w:p>
        </w:tc>
        <w:tc>
          <w:tcPr>
            <w:tcW w:w="1367" w:type="dxa"/>
          </w:tcPr>
          <w:p w14:paraId="57BAC016" w14:textId="77777777" w:rsidR="00EB254A" w:rsidRPr="00AB03ED" w:rsidRDefault="00A606AB" w:rsidP="00AB03ED">
            <w:pPr>
              <w:pStyle w:val="TableParagraph"/>
              <w:spacing w:before="120" w:line="360" w:lineRule="auto"/>
              <w:ind w:right="34"/>
              <w:jc w:val="both"/>
              <w:rPr>
                <w:rFonts w:ascii="Times New Roman" w:hAnsi="Times New Roman" w:cs="Times New Roman"/>
                <w:sz w:val="24"/>
                <w:szCs w:val="24"/>
              </w:rPr>
            </w:pPr>
            <w:r w:rsidRPr="00AB03ED">
              <w:rPr>
                <w:rFonts w:ascii="Times New Roman" w:hAnsi="Times New Roman" w:cs="Times New Roman"/>
                <w:sz w:val="24"/>
                <w:szCs w:val="24"/>
              </w:rPr>
              <w:t>31/03/2018</w:t>
            </w:r>
          </w:p>
        </w:tc>
      </w:tr>
    </w:tbl>
    <w:p w14:paraId="6CDEE0C7" w14:textId="77777777" w:rsidR="00EB254A" w:rsidRPr="00AB03ED" w:rsidRDefault="00EB254A" w:rsidP="00AB03ED">
      <w:pPr>
        <w:pStyle w:val="BodyText"/>
        <w:spacing w:before="120" w:line="360" w:lineRule="auto"/>
        <w:jc w:val="both"/>
        <w:rPr>
          <w:sz w:val="24"/>
          <w:szCs w:val="24"/>
        </w:rPr>
      </w:pPr>
    </w:p>
    <w:p w14:paraId="3D621ABE" w14:textId="77777777" w:rsidR="00EB254A" w:rsidRPr="00AB03ED" w:rsidRDefault="00A606AB" w:rsidP="00912C6B">
      <w:pPr>
        <w:pStyle w:val="Heading2"/>
        <w:numPr>
          <w:ilvl w:val="0"/>
          <w:numId w:val="2"/>
        </w:numPr>
        <w:spacing w:before="120" w:line="360" w:lineRule="auto"/>
        <w:ind w:left="0" w:firstLine="0"/>
        <w:jc w:val="both"/>
        <w:rPr>
          <w:sz w:val="24"/>
          <w:szCs w:val="24"/>
        </w:rPr>
      </w:pPr>
      <w:r w:rsidRPr="00AB03ED">
        <w:rPr>
          <w:sz w:val="24"/>
          <w:szCs w:val="24"/>
        </w:rPr>
        <w:t>Accounting statements</w:t>
      </w:r>
    </w:p>
    <w:p w14:paraId="21CB95FE" w14:textId="67245C17" w:rsidR="00EB254A" w:rsidRPr="00AB03ED" w:rsidRDefault="00A606AB" w:rsidP="00912C6B">
      <w:pPr>
        <w:pStyle w:val="BodyText"/>
        <w:spacing w:before="120" w:line="360" w:lineRule="auto"/>
        <w:jc w:val="both"/>
        <w:rPr>
          <w:sz w:val="24"/>
          <w:szCs w:val="24"/>
        </w:rPr>
      </w:pPr>
      <w:r w:rsidRPr="00AB03ED">
        <w:rPr>
          <w:sz w:val="24"/>
          <w:szCs w:val="24"/>
        </w:rPr>
        <w:t>During the accounting year 16, closed on 31/03/2018, the Assets were</w:t>
      </w:r>
      <w:r w:rsidR="001C0130">
        <w:rPr>
          <w:sz w:val="24"/>
          <w:szCs w:val="24"/>
        </w:rPr>
        <w:t xml:space="preserve"> </w:t>
      </w:r>
      <w:r w:rsidRPr="00AB03ED">
        <w:rPr>
          <w:sz w:val="24"/>
          <w:szCs w:val="24"/>
        </w:rPr>
        <w:t xml:space="preserve">$572,890.38, the Liabilities were $427,230.43, and the accounting surplus of the year was $68,079.84. This is indicated by an audit report without exceptions and a favourable opinion by the Public Accountant Beatriz </w:t>
      </w:r>
      <w:proofErr w:type="spellStart"/>
      <w:r w:rsidRPr="00AB03ED">
        <w:rPr>
          <w:sz w:val="24"/>
          <w:szCs w:val="24"/>
        </w:rPr>
        <w:t>Mazzaferri</w:t>
      </w:r>
      <w:proofErr w:type="spellEnd"/>
      <w:r w:rsidRPr="00AB03ED">
        <w:rPr>
          <w:sz w:val="24"/>
          <w:szCs w:val="24"/>
        </w:rPr>
        <w:t>.</w:t>
      </w:r>
    </w:p>
    <w:p w14:paraId="1A45F3BD" w14:textId="77777777" w:rsidR="00EB254A" w:rsidRPr="00AB03ED" w:rsidRDefault="00A606AB" w:rsidP="00912C6B">
      <w:pPr>
        <w:pStyle w:val="BodyText"/>
        <w:spacing w:before="120" w:line="360" w:lineRule="auto"/>
        <w:jc w:val="both"/>
        <w:rPr>
          <w:sz w:val="24"/>
          <w:szCs w:val="24"/>
        </w:rPr>
      </w:pPr>
      <w:r w:rsidRPr="00AB03ED">
        <w:rPr>
          <w:sz w:val="24"/>
          <w:szCs w:val="24"/>
        </w:rPr>
        <w:t>We have noticed the following in the mentioned series of Accounting Statements:</w:t>
      </w:r>
    </w:p>
    <w:p w14:paraId="08A4518F" w14:textId="77777777" w:rsidR="00EB254A" w:rsidRPr="00AB03ED" w:rsidRDefault="00A606AB" w:rsidP="00912C6B">
      <w:pPr>
        <w:pStyle w:val="BodyText"/>
        <w:spacing w:before="120" w:line="360" w:lineRule="auto"/>
        <w:jc w:val="both"/>
        <w:rPr>
          <w:sz w:val="24"/>
          <w:szCs w:val="24"/>
        </w:rPr>
      </w:pPr>
      <w:r w:rsidRPr="00AB03ED">
        <w:rPr>
          <w:sz w:val="24"/>
          <w:szCs w:val="24"/>
        </w:rPr>
        <w:t xml:space="preserve">The Cash Flow Statement is made by the so-called “Indirect method”, but due to not being a </w:t>
      </w:r>
      <w:r w:rsidRPr="00AB03ED">
        <w:rPr>
          <w:sz w:val="24"/>
          <w:szCs w:val="24"/>
        </w:rPr>
        <w:lastRenderedPageBreak/>
        <w:t xml:space="preserve">non-profit body, the same should be made by the so-called “Direct method” according to that established by the Technical resolution (F.A.C.P.C.E.) 11, second part, chapter IV </w:t>
      </w:r>
      <w:r w:rsidRPr="00AB03ED">
        <w:rPr>
          <w:i/>
          <w:sz w:val="24"/>
          <w:szCs w:val="24"/>
        </w:rPr>
        <w:t>“in fine”</w:t>
      </w:r>
      <w:r w:rsidRPr="00AB03ED">
        <w:rPr>
          <w:sz w:val="24"/>
          <w:szCs w:val="24"/>
        </w:rPr>
        <w:t>, this situation is a deviation in the application of the current professional accounting normative.</w:t>
      </w:r>
    </w:p>
    <w:p w14:paraId="22D9A1C2" w14:textId="6DB16565" w:rsidR="00EB254A" w:rsidRPr="00AB03ED" w:rsidRDefault="00A606AB" w:rsidP="00912C6B">
      <w:pPr>
        <w:pStyle w:val="BodyText"/>
        <w:spacing w:before="120" w:line="360" w:lineRule="auto"/>
        <w:jc w:val="both"/>
        <w:rPr>
          <w:sz w:val="24"/>
          <w:szCs w:val="24"/>
        </w:rPr>
      </w:pPr>
      <w:r w:rsidRPr="00AB03ED">
        <w:rPr>
          <w:sz w:val="24"/>
          <w:szCs w:val="24"/>
        </w:rPr>
        <w:t>No annex of assets and liabilities in foreign currency has been provided.</w:t>
      </w:r>
    </w:p>
    <w:p w14:paraId="5815913F" w14:textId="77777777" w:rsidR="00EB254A" w:rsidRPr="00AB03ED" w:rsidRDefault="00EB254A" w:rsidP="00912C6B">
      <w:pPr>
        <w:pStyle w:val="BodyText"/>
        <w:spacing w:before="120" w:line="360" w:lineRule="auto"/>
        <w:jc w:val="both"/>
        <w:rPr>
          <w:sz w:val="24"/>
          <w:szCs w:val="24"/>
        </w:rPr>
      </w:pPr>
    </w:p>
    <w:p w14:paraId="4E72000B" w14:textId="77777777" w:rsidR="00EB254A" w:rsidRPr="00AB03ED" w:rsidRDefault="00A606AB" w:rsidP="00912C6B">
      <w:pPr>
        <w:pStyle w:val="Heading2"/>
        <w:numPr>
          <w:ilvl w:val="0"/>
          <w:numId w:val="2"/>
        </w:numPr>
        <w:spacing w:before="120" w:line="360" w:lineRule="auto"/>
        <w:ind w:left="0" w:firstLine="0"/>
        <w:jc w:val="both"/>
        <w:rPr>
          <w:sz w:val="24"/>
          <w:szCs w:val="24"/>
        </w:rPr>
      </w:pPr>
      <w:r w:rsidRPr="00AB03ED">
        <w:rPr>
          <w:sz w:val="24"/>
          <w:szCs w:val="24"/>
        </w:rPr>
        <w:t xml:space="preserve">Accounting </w:t>
      </w:r>
    </w:p>
    <w:p w14:paraId="06787DE4" w14:textId="622EE3E4" w:rsidR="00EB254A" w:rsidRPr="00AB03ED" w:rsidRDefault="00A606AB" w:rsidP="00912C6B">
      <w:pPr>
        <w:pStyle w:val="ListParagraph"/>
        <w:numPr>
          <w:ilvl w:val="0"/>
          <w:numId w:val="1"/>
        </w:numPr>
        <w:tabs>
          <w:tab w:val="left" w:pos="277"/>
        </w:tabs>
        <w:spacing w:before="120" w:line="360" w:lineRule="auto"/>
        <w:ind w:left="0" w:firstLine="0"/>
        <w:jc w:val="both"/>
        <w:rPr>
          <w:sz w:val="24"/>
          <w:szCs w:val="24"/>
        </w:rPr>
      </w:pPr>
      <w:r w:rsidRPr="00AB03ED">
        <w:rPr>
          <w:sz w:val="24"/>
          <w:szCs w:val="24"/>
        </w:rPr>
        <w:t xml:space="preserve">The arithmetic sum of the “Cash” account indicated in the general ledger is not correct. The same is settled (to “zero”) at the end of </w:t>
      </w:r>
      <w:r w:rsidR="00AB03ED" w:rsidRPr="00AB03ED">
        <w:rPr>
          <w:sz w:val="24"/>
          <w:szCs w:val="24"/>
        </w:rPr>
        <w:t>most</w:t>
      </w:r>
      <w:r w:rsidRPr="00AB03ED">
        <w:rPr>
          <w:sz w:val="24"/>
          <w:szCs w:val="24"/>
        </w:rPr>
        <w:t xml:space="preserve"> months of the year, when from the mentioned sum, this is seen as impossible.</w:t>
      </w:r>
    </w:p>
    <w:p w14:paraId="578249C6" w14:textId="77777777" w:rsidR="00EB254A" w:rsidRPr="00AB03ED" w:rsidRDefault="00A606AB" w:rsidP="00912C6B">
      <w:pPr>
        <w:pStyle w:val="ListParagraph"/>
        <w:numPr>
          <w:ilvl w:val="0"/>
          <w:numId w:val="1"/>
        </w:numPr>
        <w:tabs>
          <w:tab w:val="left" w:pos="270"/>
        </w:tabs>
        <w:spacing w:before="120" w:line="360" w:lineRule="auto"/>
        <w:ind w:left="0" w:firstLine="0"/>
        <w:jc w:val="both"/>
        <w:rPr>
          <w:sz w:val="24"/>
          <w:szCs w:val="24"/>
        </w:rPr>
      </w:pPr>
      <w:r w:rsidRPr="00AB03ED">
        <w:rPr>
          <w:sz w:val="24"/>
          <w:szCs w:val="24"/>
        </w:rPr>
        <w:t>The numbering of the accounting items is not in chronological order.</w:t>
      </w:r>
    </w:p>
    <w:p w14:paraId="3C5528BE" w14:textId="77777777" w:rsidR="00EB254A" w:rsidRPr="00AB03ED" w:rsidRDefault="00A606AB" w:rsidP="00912C6B">
      <w:pPr>
        <w:pStyle w:val="ListParagraph"/>
        <w:numPr>
          <w:ilvl w:val="0"/>
          <w:numId w:val="1"/>
        </w:numPr>
        <w:tabs>
          <w:tab w:val="left" w:pos="270"/>
        </w:tabs>
        <w:spacing w:before="120" w:line="360" w:lineRule="auto"/>
        <w:ind w:left="0" w:firstLine="0"/>
        <w:jc w:val="both"/>
        <w:rPr>
          <w:sz w:val="24"/>
          <w:szCs w:val="24"/>
        </w:rPr>
      </w:pPr>
      <w:r w:rsidRPr="00AB03ED">
        <w:rPr>
          <w:sz w:val="24"/>
          <w:szCs w:val="24"/>
        </w:rPr>
        <w:t>The fixed assets are not individually indicated showing their original value on one hand and the accumulated depreciation on the other, instead a residual value is made.</w:t>
      </w:r>
    </w:p>
    <w:p w14:paraId="2A08C582" w14:textId="78EDBA97" w:rsidR="00EB254A" w:rsidRDefault="00A606AB" w:rsidP="00912C6B">
      <w:pPr>
        <w:pStyle w:val="ListParagraph"/>
        <w:numPr>
          <w:ilvl w:val="0"/>
          <w:numId w:val="1"/>
        </w:numPr>
        <w:tabs>
          <w:tab w:val="left" w:pos="270"/>
        </w:tabs>
        <w:spacing w:before="120" w:line="360" w:lineRule="auto"/>
        <w:ind w:left="0" w:firstLine="0"/>
        <w:jc w:val="both"/>
        <w:rPr>
          <w:sz w:val="24"/>
          <w:szCs w:val="24"/>
        </w:rPr>
      </w:pPr>
      <w:r w:rsidRPr="00AB03ED">
        <w:rPr>
          <w:sz w:val="24"/>
          <w:szCs w:val="24"/>
        </w:rPr>
        <w:t>The business capital account and the resulting capitalisation from the previous year is not indicated. This is all engrossed in the “Net equity” account.</w:t>
      </w:r>
    </w:p>
    <w:p w14:paraId="4B40D173" w14:textId="77777777" w:rsidR="00EB254A" w:rsidRPr="00AB03ED" w:rsidRDefault="00EB254A" w:rsidP="00912C6B">
      <w:pPr>
        <w:pStyle w:val="BodyText"/>
        <w:spacing w:before="120" w:line="360" w:lineRule="auto"/>
        <w:jc w:val="both"/>
        <w:rPr>
          <w:sz w:val="24"/>
          <w:szCs w:val="24"/>
        </w:rPr>
      </w:pPr>
    </w:p>
    <w:p w14:paraId="10B00D09" w14:textId="77777777" w:rsidR="00EB254A" w:rsidRPr="00AB03ED" w:rsidRDefault="00A606AB" w:rsidP="00912C6B">
      <w:pPr>
        <w:pStyle w:val="Heading2"/>
        <w:numPr>
          <w:ilvl w:val="0"/>
          <w:numId w:val="2"/>
        </w:numPr>
        <w:spacing w:before="120" w:line="360" w:lineRule="auto"/>
        <w:ind w:left="0" w:firstLine="0"/>
        <w:jc w:val="both"/>
        <w:rPr>
          <w:sz w:val="24"/>
          <w:szCs w:val="24"/>
        </w:rPr>
      </w:pPr>
      <w:r w:rsidRPr="00AB03ED">
        <w:rPr>
          <w:sz w:val="24"/>
          <w:szCs w:val="24"/>
        </w:rPr>
        <w:t>Controls performed on the income</w:t>
      </w:r>
    </w:p>
    <w:p w14:paraId="4CF0C718" w14:textId="77777777" w:rsidR="00EB254A" w:rsidRPr="00AB03ED" w:rsidRDefault="00A606AB" w:rsidP="00912C6B">
      <w:pPr>
        <w:pStyle w:val="BodyText"/>
        <w:spacing w:before="120" w:line="360" w:lineRule="auto"/>
        <w:jc w:val="both"/>
        <w:rPr>
          <w:sz w:val="24"/>
          <w:szCs w:val="24"/>
        </w:rPr>
      </w:pPr>
      <w:r w:rsidRPr="00AB03ED">
        <w:rPr>
          <w:sz w:val="24"/>
          <w:szCs w:val="24"/>
        </w:rPr>
        <w:t>A final difference of $15,765.23 is reached from the control made of the entity income by studying the available receipts and bank extracts, representing 0.64% of the total income indicated in the Accounting Statements.</w:t>
      </w:r>
    </w:p>
    <w:p w14:paraId="4C12BFBB" w14:textId="77777777" w:rsidR="00EB254A" w:rsidRPr="00AB03ED" w:rsidRDefault="00EB254A" w:rsidP="00912C6B">
      <w:pPr>
        <w:pStyle w:val="BodyText"/>
        <w:spacing w:before="120" w:line="360" w:lineRule="auto"/>
        <w:jc w:val="both"/>
        <w:rPr>
          <w:sz w:val="24"/>
          <w:szCs w:val="24"/>
        </w:rPr>
      </w:pPr>
    </w:p>
    <w:p w14:paraId="1D28F3FC" w14:textId="77777777" w:rsidR="00EB254A" w:rsidRPr="00AB03ED" w:rsidRDefault="00A606AB" w:rsidP="00912C6B">
      <w:pPr>
        <w:pStyle w:val="Heading2"/>
        <w:numPr>
          <w:ilvl w:val="0"/>
          <w:numId w:val="2"/>
        </w:numPr>
        <w:spacing w:before="120" w:line="360" w:lineRule="auto"/>
        <w:ind w:left="0" w:firstLine="0"/>
        <w:jc w:val="both"/>
        <w:rPr>
          <w:sz w:val="24"/>
          <w:szCs w:val="24"/>
        </w:rPr>
      </w:pPr>
      <w:r w:rsidRPr="00AB03ED">
        <w:rPr>
          <w:sz w:val="24"/>
          <w:szCs w:val="24"/>
        </w:rPr>
        <w:t>Controls performed on the expenses</w:t>
      </w:r>
    </w:p>
    <w:p w14:paraId="4724BD46" w14:textId="327F63AC" w:rsidR="00EB254A" w:rsidRPr="00AB03ED" w:rsidRDefault="00A606AB" w:rsidP="00912C6B">
      <w:pPr>
        <w:pStyle w:val="BodyText"/>
        <w:spacing w:before="120" w:line="360" w:lineRule="auto"/>
        <w:jc w:val="both"/>
        <w:rPr>
          <w:sz w:val="24"/>
          <w:szCs w:val="24"/>
        </w:rPr>
      </w:pPr>
      <w:r w:rsidRPr="00AB03ED">
        <w:rPr>
          <w:sz w:val="24"/>
          <w:szCs w:val="24"/>
        </w:rPr>
        <w:t xml:space="preserve">The following series of considerable irregularities is detected by the control made of the operational expenses of the entity indicated by available internal documents, </w:t>
      </w:r>
      <w:r w:rsidR="00AB03ED" w:rsidRPr="00AB03ED">
        <w:rPr>
          <w:sz w:val="24"/>
          <w:szCs w:val="24"/>
        </w:rPr>
        <w:t>receipts,</w:t>
      </w:r>
      <w:r w:rsidRPr="00AB03ED">
        <w:rPr>
          <w:sz w:val="24"/>
          <w:szCs w:val="24"/>
        </w:rPr>
        <w:t xml:space="preserve"> and bank extracts: </w:t>
      </w:r>
    </w:p>
    <w:p w14:paraId="677DFF25" w14:textId="77777777" w:rsidR="00EB254A" w:rsidRPr="00AB03ED" w:rsidRDefault="00A606AB" w:rsidP="00912C6B">
      <w:pPr>
        <w:pStyle w:val="BodyText"/>
        <w:spacing w:before="120" w:line="360" w:lineRule="auto"/>
        <w:jc w:val="both"/>
        <w:rPr>
          <w:sz w:val="24"/>
          <w:szCs w:val="24"/>
        </w:rPr>
      </w:pPr>
      <w:r w:rsidRPr="00AB03ED">
        <w:rPr>
          <w:sz w:val="24"/>
          <w:szCs w:val="24"/>
        </w:rPr>
        <w:t>A difference of $328,560.17 was obtained in all the operational expenses shown in the Accounting Statements, net of those derived from banking operations and non-collectables, compared with the documentation made available, and which is not shown in any type of document or annotation, meaning a difference of 15% in the accounted expenses.</w:t>
      </w:r>
    </w:p>
    <w:p w14:paraId="1862465A" w14:textId="37DC235B" w:rsidR="00F9372F" w:rsidRDefault="00A606AB" w:rsidP="00912C6B">
      <w:pPr>
        <w:pStyle w:val="BodyText"/>
        <w:spacing w:before="120" w:line="360" w:lineRule="auto"/>
        <w:jc w:val="both"/>
        <w:rPr>
          <w:sz w:val="24"/>
          <w:szCs w:val="24"/>
        </w:rPr>
      </w:pPr>
      <w:r w:rsidRPr="00AB03ED">
        <w:rPr>
          <w:sz w:val="24"/>
          <w:szCs w:val="24"/>
        </w:rPr>
        <w:t xml:space="preserve">There is a total sum of banking dispositions for the concept of salaries of $323,240. This value </w:t>
      </w:r>
      <w:r w:rsidRPr="00AB03ED">
        <w:rPr>
          <w:sz w:val="24"/>
          <w:szCs w:val="24"/>
        </w:rPr>
        <w:lastRenderedPageBreak/>
        <w:t xml:space="preserve">is obtained from the internal forms made available by the entity and the banking movements. At </w:t>
      </w:r>
    </w:p>
    <w:p w14:paraId="67B20AAD" w14:textId="35690143" w:rsidR="00EB254A" w:rsidRPr="00AB03ED" w:rsidRDefault="00A606AB" w:rsidP="00912C6B">
      <w:pPr>
        <w:pStyle w:val="BodyText"/>
        <w:spacing w:before="120" w:line="360" w:lineRule="auto"/>
        <w:jc w:val="both"/>
        <w:rPr>
          <w:sz w:val="24"/>
          <w:szCs w:val="24"/>
        </w:rPr>
      </w:pPr>
      <w:r w:rsidRPr="00AB03ED">
        <w:rPr>
          <w:sz w:val="24"/>
          <w:szCs w:val="24"/>
        </w:rPr>
        <w:t>this point, we should clarify that the entity is not registered as employer with the pertinent authorities, neither is there any official receipt for these services. Therefore, there was no other possibility for verifying this situation, other than the internal form made available and verbal declarations of the authorities offered when studying the supporting documentation.</w:t>
      </w:r>
    </w:p>
    <w:p w14:paraId="0F3F71E9" w14:textId="44670058" w:rsidR="00EB254A" w:rsidRPr="00AB03ED" w:rsidRDefault="00A606AB" w:rsidP="00912C6B">
      <w:pPr>
        <w:pStyle w:val="BodyText"/>
        <w:spacing w:before="120" w:line="360" w:lineRule="auto"/>
        <w:jc w:val="both"/>
        <w:rPr>
          <w:sz w:val="24"/>
          <w:szCs w:val="24"/>
        </w:rPr>
      </w:pPr>
      <w:r w:rsidRPr="00AB03ED">
        <w:rPr>
          <w:sz w:val="24"/>
          <w:szCs w:val="24"/>
        </w:rPr>
        <w:t xml:space="preserve">In addition, dispositions without valid receipts have been detected </w:t>
      </w:r>
      <w:r w:rsidR="00AB03ED" w:rsidRPr="00AB03ED">
        <w:rPr>
          <w:sz w:val="24"/>
          <w:szCs w:val="24"/>
        </w:rPr>
        <w:t>for</w:t>
      </w:r>
      <w:r w:rsidR="001C0130">
        <w:rPr>
          <w:sz w:val="24"/>
          <w:szCs w:val="24"/>
        </w:rPr>
        <w:t xml:space="preserve"> </w:t>
      </w:r>
      <w:r w:rsidRPr="00AB03ED">
        <w:rPr>
          <w:sz w:val="24"/>
          <w:szCs w:val="24"/>
        </w:rPr>
        <w:t>$120,190.50.</w:t>
      </w:r>
    </w:p>
    <w:p w14:paraId="1001AB80" w14:textId="7C94F243" w:rsidR="00EB254A" w:rsidRPr="00AB03ED" w:rsidRDefault="00A606AB" w:rsidP="00912C6B">
      <w:pPr>
        <w:pStyle w:val="BodyText"/>
        <w:spacing w:before="120" w:line="360" w:lineRule="auto"/>
        <w:jc w:val="both"/>
        <w:rPr>
          <w:sz w:val="24"/>
          <w:szCs w:val="24"/>
        </w:rPr>
      </w:pPr>
      <w:r w:rsidRPr="00AB03ED">
        <w:rPr>
          <w:sz w:val="24"/>
          <w:szCs w:val="24"/>
        </w:rPr>
        <w:t xml:space="preserve">Lastly, there are payments by checks </w:t>
      </w:r>
      <w:r w:rsidR="00AB03ED" w:rsidRPr="00AB03ED">
        <w:rPr>
          <w:sz w:val="24"/>
          <w:szCs w:val="24"/>
        </w:rPr>
        <w:t>for</w:t>
      </w:r>
      <w:r w:rsidRPr="00AB03ED">
        <w:rPr>
          <w:sz w:val="24"/>
          <w:szCs w:val="24"/>
        </w:rPr>
        <w:t xml:space="preserve"> $260,184, of which the concepts for payment cannot be identified based on the documentation provided.</w:t>
      </w:r>
    </w:p>
    <w:p w14:paraId="2B1CF54A" w14:textId="77777777" w:rsidR="00EB254A" w:rsidRPr="00AB03ED" w:rsidRDefault="00EB254A" w:rsidP="00912C6B">
      <w:pPr>
        <w:pStyle w:val="BodyText"/>
        <w:tabs>
          <w:tab w:val="left" w:pos="375"/>
        </w:tabs>
        <w:spacing w:before="120" w:line="360" w:lineRule="auto"/>
        <w:ind w:hanging="246"/>
        <w:jc w:val="both"/>
        <w:rPr>
          <w:sz w:val="24"/>
          <w:szCs w:val="24"/>
        </w:rPr>
      </w:pPr>
    </w:p>
    <w:p w14:paraId="02F05C39" w14:textId="77777777" w:rsidR="00EB254A" w:rsidRPr="00AB03ED" w:rsidRDefault="00371373" w:rsidP="00912C6B">
      <w:pPr>
        <w:pStyle w:val="Heading2"/>
        <w:numPr>
          <w:ilvl w:val="0"/>
          <w:numId w:val="2"/>
        </w:numPr>
        <w:tabs>
          <w:tab w:val="left" w:pos="375"/>
        </w:tabs>
        <w:spacing w:before="120" w:line="360" w:lineRule="auto"/>
        <w:ind w:left="368" w:hanging="246"/>
        <w:jc w:val="both"/>
        <w:rPr>
          <w:sz w:val="24"/>
          <w:szCs w:val="24"/>
        </w:rPr>
      </w:pPr>
      <w:r w:rsidRPr="00AB03ED">
        <w:rPr>
          <w:sz w:val="24"/>
          <w:szCs w:val="24"/>
        </w:rPr>
        <w:t>Documentation not supplied</w:t>
      </w:r>
    </w:p>
    <w:p w14:paraId="00A3733E" w14:textId="368EDD7B" w:rsidR="00EB254A" w:rsidRPr="00AB03ED" w:rsidRDefault="00A606AB" w:rsidP="00912C6B">
      <w:pPr>
        <w:pStyle w:val="BodyText"/>
        <w:spacing w:before="120" w:line="360" w:lineRule="auto"/>
        <w:jc w:val="both"/>
        <w:rPr>
          <w:sz w:val="24"/>
          <w:szCs w:val="24"/>
        </w:rPr>
      </w:pPr>
      <w:r w:rsidRPr="00AB03ED">
        <w:rPr>
          <w:sz w:val="24"/>
          <w:szCs w:val="24"/>
        </w:rPr>
        <w:t xml:space="preserve">All the bank movements cannot be verified because </w:t>
      </w:r>
      <w:r w:rsidR="00AB03ED" w:rsidRPr="00AB03ED">
        <w:rPr>
          <w:sz w:val="24"/>
          <w:szCs w:val="24"/>
        </w:rPr>
        <w:t>all</w:t>
      </w:r>
      <w:r w:rsidRPr="00AB03ED">
        <w:rPr>
          <w:sz w:val="24"/>
          <w:szCs w:val="24"/>
        </w:rPr>
        <w:t xml:space="preserve"> the supporting extracts have not been provided.</w:t>
      </w:r>
      <w:r w:rsidR="00912C6B">
        <w:rPr>
          <w:sz w:val="24"/>
          <w:szCs w:val="24"/>
        </w:rPr>
        <w:t xml:space="preserve"> </w:t>
      </w:r>
      <w:r w:rsidR="00371373" w:rsidRPr="00AB03ED">
        <w:rPr>
          <w:sz w:val="24"/>
          <w:szCs w:val="24"/>
        </w:rPr>
        <w:t>The following has not been provided:</w:t>
      </w:r>
    </w:p>
    <w:p w14:paraId="1988C60D" w14:textId="77777777" w:rsidR="00EB254A" w:rsidRPr="00AB03ED" w:rsidRDefault="00A606AB" w:rsidP="00912C6B">
      <w:pPr>
        <w:pStyle w:val="BodyText"/>
        <w:spacing w:before="120" w:line="360" w:lineRule="auto"/>
        <w:jc w:val="both"/>
        <w:rPr>
          <w:sz w:val="24"/>
          <w:szCs w:val="24"/>
        </w:rPr>
      </w:pPr>
      <w:r w:rsidRPr="00AB03ED">
        <w:rPr>
          <w:sz w:val="24"/>
          <w:szCs w:val="24"/>
        </w:rPr>
        <w:t>Current account in US dollars in the Banco Macro number 2-518-0946166148-3. Periods from 04/2017 to 02/2018. Later, a summary for 2017 was provided, but this is not legible.  There is only documentation since 26/02/2018 for this account.</w:t>
      </w:r>
    </w:p>
    <w:p w14:paraId="2F22A0DD" w14:textId="497AA620" w:rsidR="00EB254A" w:rsidRPr="00AB03ED" w:rsidRDefault="00A606AB" w:rsidP="00912C6B">
      <w:pPr>
        <w:pStyle w:val="BodyText"/>
        <w:spacing w:before="120" w:line="360" w:lineRule="auto"/>
        <w:jc w:val="both"/>
        <w:rPr>
          <w:sz w:val="24"/>
          <w:szCs w:val="24"/>
        </w:rPr>
      </w:pPr>
      <w:r w:rsidRPr="00AB03ED">
        <w:rPr>
          <w:sz w:val="24"/>
          <w:szCs w:val="24"/>
        </w:rPr>
        <w:t xml:space="preserve">Banco Macro savings account in Pesos (no information of account number). There is no documentation provided about this account. It was discovered </w:t>
      </w:r>
      <w:r w:rsidR="00232001">
        <w:rPr>
          <w:sz w:val="24"/>
          <w:szCs w:val="24"/>
        </w:rPr>
        <w:t>during the analysis of</w:t>
      </w:r>
      <w:r w:rsidRPr="00AB03ED">
        <w:rPr>
          <w:sz w:val="24"/>
          <w:szCs w:val="24"/>
        </w:rPr>
        <w:t xml:space="preserve"> the accounting information </w:t>
      </w:r>
      <w:r w:rsidR="00232001">
        <w:rPr>
          <w:sz w:val="24"/>
          <w:szCs w:val="24"/>
        </w:rPr>
        <w:t>from</w:t>
      </w:r>
      <w:r w:rsidRPr="00AB03ED">
        <w:rPr>
          <w:sz w:val="24"/>
          <w:szCs w:val="24"/>
        </w:rPr>
        <w:t xml:space="preserve"> the entity.</w:t>
      </w:r>
    </w:p>
    <w:p w14:paraId="3EA6B396" w14:textId="77777777" w:rsidR="00EB254A" w:rsidRPr="00AB03ED" w:rsidRDefault="00A606AB" w:rsidP="00912C6B">
      <w:pPr>
        <w:pStyle w:val="BodyText"/>
        <w:spacing w:before="120" w:line="360" w:lineRule="auto"/>
        <w:jc w:val="both"/>
        <w:rPr>
          <w:sz w:val="24"/>
          <w:szCs w:val="24"/>
        </w:rPr>
      </w:pPr>
      <w:r w:rsidRPr="00AB03ED">
        <w:rPr>
          <w:sz w:val="24"/>
          <w:szCs w:val="24"/>
        </w:rPr>
        <w:t>Information about this documentation was requested from th</w:t>
      </w:r>
      <w:bookmarkStart w:id="0" w:name="_GoBack"/>
      <w:bookmarkEnd w:id="0"/>
      <w:r w:rsidRPr="00AB03ED">
        <w:rPr>
          <w:sz w:val="24"/>
          <w:szCs w:val="24"/>
        </w:rPr>
        <w:t>e entity on 30/10/2018, but on 26/11/2018, documentation reception letter, there had not been any news of the same.</w:t>
      </w:r>
    </w:p>
    <w:p w14:paraId="2596C294" w14:textId="5129DD65" w:rsidR="00EB254A" w:rsidRPr="00AB03ED" w:rsidRDefault="00A606AB" w:rsidP="00912C6B">
      <w:pPr>
        <w:pStyle w:val="BodyText"/>
        <w:tabs>
          <w:tab w:val="left" w:pos="375"/>
        </w:tabs>
        <w:spacing w:before="120" w:line="360" w:lineRule="auto"/>
        <w:jc w:val="both"/>
        <w:rPr>
          <w:sz w:val="24"/>
          <w:szCs w:val="24"/>
        </w:rPr>
      </w:pPr>
      <w:r w:rsidRPr="00AB03ED">
        <w:rPr>
          <w:sz w:val="24"/>
          <w:szCs w:val="24"/>
        </w:rPr>
        <w:t xml:space="preserve">We should clarify that all the movements of Banco Macro current account in Pesos number 3-518-0940043022-0 were made available, indicating </w:t>
      </w:r>
      <w:r w:rsidR="00AB03ED" w:rsidRPr="00AB03ED">
        <w:rPr>
          <w:sz w:val="24"/>
          <w:szCs w:val="24"/>
        </w:rPr>
        <w:t>most</w:t>
      </w:r>
      <w:r w:rsidRPr="00AB03ED">
        <w:rPr>
          <w:sz w:val="24"/>
          <w:szCs w:val="24"/>
        </w:rPr>
        <w:t xml:space="preserve"> bank movements of the entity.</w:t>
      </w:r>
    </w:p>
    <w:p w14:paraId="23B35FE4" w14:textId="77777777" w:rsidR="00EB254A" w:rsidRPr="00AB03ED" w:rsidRDefault="00EB254A" w:rsidP="00912C6B">
      <w:pPr>
        <w:pStyle w:val="BodyText"/>
        <w:tabs>
          <w:tab w:val="left" w:pos="375"/>
        </w:tabs>
        <w:spacing w:before="120" w:line="360" w:lineRule="auto"/>
        <w:jc w:val="both"/>
        <w:rPr>
          <w:sz w:val="24"/>
          <w:szCs w:val="24"/>
        </w:rPr>
      </w:pPr>
    </w:p>
    <w:p w14:paraId="3372632E" w14:textId="77777777" w:rsidR="00EB254A" w:rsidRPr="00AB03ED" w:rsidRDefault="00A606AB" w:rsidP="00912C6B">
      <w:pPr>
        <w:pStyle w:val="Heading2"/>
        <w:spacing w:before="120" w:line="360" w:lineRule="auto"/>
        <w:ind w:left="0" w:firstLine="0"/>
        <w:jc w:val="both"/>
        <w:rPr>
          <w:sz w:val="24"/>
          <w:szCs w:val="24"/>
        </w:rPr>
      </w:pPr>
      <w:r w:rsidRPr="00AB03ED">
        <w:rPr>
          <w:sz w:val="24"/>
          <w:szCs w:val="24"/>
        </w:rPr>
        <w:t>6.- Bank account 4-518-0946166149-6</w:t>
      </w:r>
    </w:p>
    <w:p w14:paraId="46539BC6" w14:textId="516E5985" w:rsidR="00EB254A" w:rsidRPr="00AB03ED" w:rsidRDefault="00A606AB" w:rsidP="004765FC">
      <w:pPr>
        <w:pStyle w:val="BodyText"/>
        <w:spacing w:before="120" w:line="360" w:lineRule="auto"/>
        <w:jc w:val="both"/>
        <w:rPr>
          <w:sz w:val="24"/>
          <w:szCs w:val="24"/>
        </w:rPr>
      </w:pPr>
      <w:r w:rsidRPr="00AB03ED">
        <w:rPr>
          <w:sz w:val="24"/>
          <w:szCs w:val="24"/>
        </w:rPr>
        <w:t>On 15/11/2018 we received</w:t>
      </w:r>
      <w:r w:rsidR="004439AC">
        <w:rPr>
          <w:sz w:val="24"/>
          <w:szCs w:val="24"/>
        </w:rPr>
        <w:t xml:space="preserve"> from the entity</w:t>
      </w:r>
      <w:r w:rsidRPr="00AB03ED">
        <w:rPr>
          <w:sz w:val="24"/>
          <w:szCs w:val="24"/>
        </w:rPr>
        <w:t>, in response to the request for information dated 30/10/2018, a list of movements in the special current account in Pesos No. 4-518-0946166149-6 of which no movements have been included in the accounting information of the entity.</w:t>
      </w:r>
    </w:p>
    <w:p w14:paraId="612BE731" w14:textId="76DC8267" w:rsidR="00EB254A" w:rsidRDefault="00EB254A" w:rsidP="00912C6B">
      <w:pPr>
        <w:pStyle w:val="BodyText"/>
        <w:spacing w:before="120" w:line="360" w:lineRule="auto"/>
        <w:jc w:val="both"/>
        <w:rPr>
          <w:sz w:val="24"/>
          <w:szCs w:val="24"/>
        </w:rPr>
      </w:pPr>
    </w:p>
    <w:p w14:paraId="6C51299A" w14:textId="77777777" w:rsidR="00EB254A" w:rsidRPr="00232001" w:rsidRDefault="00A606AB" w:rsidP="00912C6B">
      <w:pPr>
        <w:pStyle w:val="Heading2"/>
        <w:numPr>
          <w:ilvl w:val="0"/>
          <w:numId w:val="2"/>
        </w:numPr>
        <w:spacing w:before="120" w:line="360" w:lineRule="auto"/>
        <w:ind w:left="0" w:firstLine="0"/>
        <w:jc w:val="both"/>
        <w:rPr>
          <w:color w:val="000000" w:themeColor="text1"/>
          <w:sz w:val="24"/>
          <w:szCs w:val="24"/>
        </w:rPr>
      </w:pPr>
      <w:r w:rsidRPr="00232001">
        <w:rPr>
          <w:color w:val="000000" w:themeColor="text1"/>
          <w:sz w:val="24"/>
          <w:szCs w:val="24"/>
        </w:rPr>
        <w:t>Limitations in the scope</w:t>
      </w:r>
    </w:p>
    <w:p w14:paraId="00B5DAE1" w14:textId="6BE2ECC2" w:rsidR="00EB254A" w:rsidRPr="00F9372F" w:rsidRDefault="00A606AB" w:rsidP="004765FC">
      <w:pPr>
        <w:pStyle w:val="ListParagraph"/>
        <w:numPr>
          <w:ilvl w:val="0"/>
          <w:numId w:val="1"/>
        </w:numPr>
        <w:tabs>
          <w:tab w:val="left" w:pos="278"/>
        </w:tabs>
        <w:spacing w:line="360" w:lineRule="auto"/>
        <w:ind w:left="0" w:firstLine="0"/>
        <w:jc w:val="both"/>
        <w:rPr>
          <w:b/>
          <w:bCs/>
          <w:sz w:val="24"/>
          <w:szCs w:val="24"/>
        </w:rPr>
      </w:pPr>
      <w:r w:rsidRPr="00AB03ED">
        <w:rPr>
          <w:sz w:val="24"/>
          <w:szCs w:val="24"/>
        </w:rPr>
        <w:lastRenderedPageBreak/>
        <w:t xml:space="preserve">Because we were contracted for this task at a date after closing the accounting </w:t>
      </w:r>
      <w:r w:rsidR="00AB03ED" w:rsidRPr="00AB03ED">
        <w:rPr>
          <w:sz w:val="24"/>
          <w:szCs w:val="24"/>
        </w:rPr>
        <w:t>year,</w:t>
      </w:r>
      <w:r w:rsidRPr="00AB03ED">
        <w:rPr>
          <w:sz w:val="24"/>
          <w:szCs w:val="24"/>
        </w:rPr>
        <w:t xml:space="preserve"> we have not been able to validate the “cash” dispositions by balancing the same or another alternative</w:t>
      </w:r>
      <w:r w:rsidR="00F9372F">
        <w:rPr>
          <w:sz w:val="24"/>
          <w:szCs w:val="24"/>
        </w:rPr>
        <w:t xml:space="preserve"> </w:t>
      </w:r>
      <w:r w:rsidRPr="00F9372F">
        <w:rPr>
          <w:sz w:val="24"/>
          <w:szCs w:val="24"/>
        </w:rPr>
        <w:t>procedure.</w:t>
      </w:r>
    </w:p>
    <w:p w14:paraId="57E3FDC1" w14:textId="77777777" w:rsidR="00EB254A" w:rsidRPr="00AB03ED" w:rsidRDefault="00A606AB" w:rsidP="004765FC">
      <w:pPr>
        <w:pStyle w:val="ListParagraph"/>
        <w:numPr>
          <w:ilvl w:val="0"/>
          <w:numId w:val="1"/>
        </w:numPr>
        <w:tabs>
          <w:tab w:val="left" w:pos="277"/>
        </w:tabs>
        <w:spacing w:before="120" w:line="360" w:lineRule="auto"/>
        <w:ind w:left="0" w:firstLine="0"/>
        <w:jc w:val="both"/>
        <w:rPr>
          <w:color w:val="5D605D"/>
          <w:sz w:val="24"/>
          <w:szCs w:val="24"/>
        </w:rPr>
      </w:pPr>
      <w:r w:rsidRPr="00AB03ED">
        <w:rPr>
          <w:sz w:val="24"/>
          <w:szCs w:val="24"/>
        </w:rPr>
        <w:t>The fact is that the entity accounts for part of its operations without maintaining the pertinent support documentation or without having the same also means a limitation of the scope.</w:t>
      </w:r>
    </w:p>
    <w:p w14:paraId="379D9FEE" w14:textId="77777777" w:rsidR="004C0EBD" w:rsidRDefault="004C0EBD" w:rsidP="004C0EBD">
      <w:pPr>
        <w:tabs>
          <w:tab w:val="left" w:pos="375"/>
        </w:tabs>
        <w:ind w:left="142" w:hanging="246"/>
        <w:jc w:val="both"/>
        <w:rPr>
          <w:b/>
          <w:bCs/>
          <w:color w:val="000000" w:themeColor="text1"/>
          <w:sz w:val="24"/>
          <w:szCs w:val="24"/>
        </w:rPr>
      </w:pPr>
    </w:p>
    <w:p w14:paraId="56338C26" w14:textId="77777777" w:rsidR="004C0EBD" w:rsidRDefault="004C0EBD" w:rsidP="004C0EBD">
      <w:pPr>
        <w:tabs>
          <w:tab w:val="left" w:pos="375"/>
        </w:tabs>
        <w:ind w:left="142" w:hanging="246"/>
        <w:jc w:val="both"/>
        <w:rPr>
          <w:b/>
          <w:bCs/>
          <w:color w:val="000000" w:themeColor="text1"/>
          <w:sz w:val="24"/>
          <w:szCs w:val="24"/>
        </w:rPr>
      </w:pPr>
    </w:p>
    <w:p w14:paraId="53F40F9F" w14:textId="77777777" w:rsidR="00EB254A" w:rsidRPr="00232001" w:rsidRDefault="00A606AB" w:rsidP="00912C6B">
      <w:pPr>
        <w:pStyle w:val="Heading1"/>
        <w:numPr>
          <w:ilvl w:val="0"/>
          <w:numId w:val="3"/>
        </w:numPr>
        <w:tabs>
          <w:tab w:val="left" w:pos="850"/>
        </w:tabs>
        <w:spacing w:before="120" w:line="360" w:lineRule="auto"/>
        <w:ind w:left="0" w:firstLine="0"/>
        <w:jc w:val="both"/>
        <w:rPr>
          <w:color w:val="000000" w:themeColor="text1"/>
          <w:sz w:val="24"/>
          <w:szCs w:val="24"/>
        </w:rPr>
      </w:pPr>
      <w:r w:rsidRPr="00232001">
        <w:rPr>
          <w:color w:val="000000" w:themeColor="text1"/>
          <w:sz w:val="24"/>
          <w:szCs w:val="24"/>
        </w:rPr>
        <w:t>Opinion about the accounting statements</w:t>
      </w:r>
    </w:p>
    <w:p w14:paraId="3638EA33" w14:textId="116D1EF5" w:rsidR="00EB254A" w:rsidRPr="00AB03ED" w:rsidRDefault="00A606AB" w:rsidP="00912C6B">
      <w:pPr>
        <w:pStyle w:val="BodyText"/>
        <w:spacing w:before="120" w:line="360" w:lineRule="auto"/>
        <w:jc w:val="both"/>
        <w:rPr>
          <w:sz w:val="24"/>
          <w:szCs w:val="24"/>
        </w:rPr>
      </w:pPr>
      <w:r w:rsidRPr="00AB03ED">
        <w:rPr>
          <w:sz w:val="24"/>
          <w:szCs w:val="24"/>
        </w:rPr>
        <w:t>In our opinion, due to the importance of the effects of the situations described in section C.5 and in less measure the clarifications made in points C.2 and C.6, the Accounting Statements do not reasonably show the equity situation of the FEDERACIÓN DE COMUNIDADES DEL JUDAÍSMO CONSERVADOR at 31</w:t>
      </w:r>
      <w:r w:rsidR="004765FC">
        <w:rPr>
          <w:sz w:val="24"/>
          <w:szCs w:val="24"/>
        </w:rPr>
        <w:t xml:space="preserve"> </w:t>
      </w:r>
      <w:r w:rsidRPr="00AB03ED">
        <w:rPr>
          <w:sz w:val="24"/>
          <w:szCs w:val="24"/>
        </w:rPr>
        <w:t>March 2018, or its results, the evolution of the net equity, or the cash flow corresponding to the accounting year finished on that date, according to the established Argentine professional accounting normative.</w:t>
      </w:r>
    </w:p>
    <w:p w14:paraId="3C436794" w14:textId="60C78177" w:rsidR="00232001" w:rsidRDefault="00232001" w:rsidP="00912C6B">
      <w:pPr>
        <w:tabs>
          <w:tab w:val="left" w:pos="375"/>
        </w:tabs>
        <w:ind w:hanging="246"/>
        <w:jc w:val="both"/>
        <w:rPr>
          <w:b/>
          <w:bCs/>
          <w:sz w:val="24"/>
          <w:szCs w:val="24"/>
        </w:rPr>
      </w:pPr>
    </w:p>
    <w:p w14:paraId="13A29B3B" w14:textId="77777777" w:rsidR="00232001" w:rsidRDefault="00232001" w:rsidP="00912C6B">
      <w:pPr>
        <w:tabs>
          <w:tab w:val="left" w:pos="375"/>
        </w:tabs>
        <w:ind w:hanging="246"/>
        <w:jc w:val="both"/>
        <w:rPr>
          <w:b/>
          <w:bCs/>
          <w:sz w:val="24"/>
          <w:szCs w:val="24"/>
        </w:rPr>
      </w:pPr>
    </w:p>
    <w:p w14:paraId="2AEE9999" w14:textId="6E842FDE" w:rsidR="00EB254A" w:rsidRPr="00AB03ED" w:rsidRDefault="00A606AB" w:rsidP="00912C6B">
      <w:pPr>
        <w:pStyle w:val="Heading1"/>
        <w:numPr>
          <w:ilvl w:val="0"/>
          <w:numId w:val="3"/>
        </w:numPr>
        <w:spacing w:before="120" w:line="360" w:lineRule="auto"/>
        <w:ind w:left="0" w:firstLine="0"/>
        <w:jc w:val="both"/>
        <w:rPr>
          <w:color w:val="6E706D"/>
          <w:sz w:val="24"/>
          <w:szCs w:val="24"/>
        </w:rPr>
      </w:pPr>
      <w:r w:rsidRPr="00AB03ED">
        <w:rPr>
          <w:sz w:val="24"/>
          <w:szCs w:val="24"/>
        </w:rPr>
        <w:t>Report of other legal and regulatory requirements</w:t>
      </w:r>
    </w:p>
    <w:p w14:paraId="1E873CA7" w14:textId="7278E6A7" w:rsidR="00EB254A" w:rsidRPr="00AB03ED" w:rsidRDefault="00C7096E" w:rsidP="00912C6B">
      <w:pPr>
        <w:pStyle w:val="BodyText"/>
        <w:spacing w:before="120" w:line="360" w:lineRule="auto"/>
        <w:jc w:val="both"/>
        <w:rPr>
          <w:sz w:val="24"/>
          <w:szCs w:val="24"/>
        </w:rPr>
      </w:pPr>
      <w:r w:rsidRPr="00AB03ED">
        <w:rPr>
          <w:sz w:val="24"/>
          <w:szCs w:val="24"/>
        </w:rPr>
        <w:t xml:space="preserve">According to the accounting records of the entity, the liabilities accrued at 31 </w:t>
      </w:r>
      <w:r w:rsidR="004765FC">
        <w:rPr>
          <w:sz w:val="24"/>
          <w:szCs w:val="24"/>
        </w:rPr>
        <w:t>M</w:t>
      </w:r>
      <w:r w:rsidRPr="00AB03ED">
        <w:rPr>
          <w:sz w:val="24"/>
          <w:szCs w:val="24"/>
        </w:rPr>
        <w:t>arch 2018, in favour of Argentine Provisional Integrated System in the concept of provisions and provisional contributions added up to $14,517.1, being totally payable on that date.</w:t>
      </w:r>
    </w:p>
    <w:p w14:paraId="192F8F05" w14:textId="14706AD6" w:rsidR="00F9372F" w:rsidRDefault="00A606AB" w:rsidP="00F9372F">
      <w:pPr>
        <w:pStyle w:val="BodyText"/>
        <w:spacing w:before="120" w:line="360" w:lineRule="auto"/>
        <w:jc w:val="both"/>
        <w:rPr>
          <w:color w:val="000000" w:themeColor="text1"/>
          <w:sz w:val="24"/>
          <w:szCs w:val="24"/>
        </w:rPr>
      </w:pPr>
      <w:r w:rsidRPr="001C0130">
        <w:rPr>
          <w:color w:val="000000" w:themeColor="text1"/>
          <w:sz w:val="24"/>
          <w:szCs w:val="24"/>
        </w:rPr>
        <w:t>City of Buenos Aires, 03 December 2018.</w:t>
      </w:r>
    </w:p>
    <w:p w14:paraId="37BF5FB8" w14:textId="77777777" w:rsidR="00F9372F" w:rsidRDefault="00F9372F" w:rsidP="00F9372F">
      <w:pPr>
        <w:pStyle w:val="BodyText"/>
        <w:spacing w:before="120" w:line="360" w:lineRule="auto"/>
        <w:jc w:val="both"/>
        <w:rPr>
          <w:color w:val="000000" w:themeColor="text1"/>
          <w:sz w:val="24"/>
          <w:szCs w:val="24"/>
        </w:rPr>
      </w:pPr>
    </w:p>
    <w:p w14:paraId="5BE44AF0" w14:textId="72B4B278" w:rsidR="00AB03ED" w:rsidRPr="00AB03ED" w:rsidRDefault="00912C6B" w:rsidP="00F9372F">
      <w:pPr>
        <w:pStyle w:val="BodyText"/>
        <w:spacing w:before="120" w:line="360" w:lineRule="auto"/>
        <w:jc w:val="both"/>
        <w:rPr>
          <w:color w:val="939390"/>
          <w:sz w:val="24"/>
          <w:szCs w:val="24"/>
        </w:rPr>
      </w:pPr>
      <w:r w:rsidRPr="00912C6B">
        <w:rPr>
          <w:noProof/>
        </w:rPr>
        <w:drawing>
          <wp:inline distT="0" distB="0" distL="0" distR="0" wp14:anchorId="76916281" wp14:editId="4D216019">
            <wp:extent cx="5884545"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8009" cy="2142108"/>
                    </a:xfrm>
                    <a:prstGeom prst="rect">
                      <a:avLst/>
                    </a:prstGeom>
                    <a:noFill/>
                    <a:ln>
                      <a:noFill/>
                    </a:ln>
                  </pic:spPr>
                </pic:pic>
              </a:graphicData>
            </a:graphic>
          </wp:inline>
        </w:drawing>
      </w:r>
    </w:p>
    <w:sectPr w:rsidR="00AB03ED" w:rsidRPr="00AB03ED" w:rsidSect="00F9372F">
      <w:headerReference w:type="default" r:id="rId8"/>
      <w:footerReference w:type="default" r:id="rId9"/>
      <w:pgSz w:w="11910" w:h="16850"/>
      <w:pgMar w:top="1560" w:right="1160" w:bottom="1560" w:left="1480" w:header="0" w:footer="9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2C103" w14:textId="77777777" w:rsidR="002910F1" w:rsidRDefault="002910F1">
      <w:r>
        <w:separator/>
      </w:r>
    </w:p>
  </w:endnote>
  <w:endnote w:type="continuationSeparator" w:id="0">
    <w:p w14:paraId="6CA11CAE" w14:textId="77777777" w:rsidR="002910F1" w:rsidRDefault="0029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39EA6" w14:textId="1DE76BFB" w:rsidR="00EB254A" w:rsidRDefault="002910F1">
    <w:pPr>
      <w:pStyle w:val="BodyText"/>
      <w:spacing w:line="14" w:lineRule="auto"/>
      <w:rPr>
        <w:sz w:val="20"/>
      </w:rPr>
    </w:pPr>
    <w:r>
      <w:pict w14:anchorId="54DC353C">
        <v:shapetype id="_x0000_t202" coordsize="21600,21600" o:spt="202" path="m,l,21600r21600,l21600,xe">
          <v:stroke joinstyle="miter"/>
          <v:path gradientshapeok="t" o:connecttype="rect"/>
        </v:shapetype>
        <v:shape id="_x0000_s2049" type="#_x0000_t202" style="position:absolute;margin-left:79.75pt;margin-top:781.5pt;width:426.9pt;height:25.75pt;z-index:-7960;mso-position-horizontal-relative:page;mso-position-vertical-relative:page" filled="f" stroked="f">
          <v:textbox style="mso-next-textbox:#_x0000_s2049" inset="0,0,0,0">
            <w:txbxContent>
              <w:p w14:paraId="20551D2B" w14:textId="37B68ED2" w:rsidR="00AB03ED" w:rsidRPr="00C070B2" w:rsidRDefault="00AB03ED" w:rsidP="00AB03ED">
                <w:pPr>
                  <w:spacing w:before="13"/>
                  <w:ind w:left="20"/>
                  <w:jc w:val="center"/>
                  <w:rPr>
                    <w:color w:val="939390"/>
                    <w:sz w:val="17"/>
                    <w:lang w:val="pt-BR"/>
                  </w:rPr>
                </w:pPr>
                <w:r w:rsidRPr="00C070B2">
                  <w:rPr>
                    <w:color w:val="939390"/>
                    <w:sz w:val="17"/>
                    <w:lang w:val="pt-BR"/>
                  </w:rPr>
                  <w:t>Consultoría Americana de Planeamiento y Estrategia S.A.</w:t>
                </w:r>
                <w:r w:rsidRPr="00C070B2">
                  <w:rPr>
                    <w:color w:val="939390"/>
                    <w:sz w:val="17"/>
                    <w:lang w:val="pt-BR"/>
                  </w:rPr>
                  <w:tab/>
                  <w:t>Tel</w:t>
                </w:r>
                <w:r w:rsidR="00F9372F" w:rsidRPr="00C070B2">
                  <w:rPr>
                    <w:color w:val="939390"/>
                    <w:sz w:val="17"/>
                    <w:lang w:val="pt-BR"/>
                  </w:rPr>
                  <w:t>ephone</w:t>
                </w:r>
                <w:r w:rsidRPr="00C070B2">
                  <w:rPr>
                    <w:color w:val="939390"/>
                    <w:sz w:val="17"/>
                    <w:lang w:val="pt-BR"/>
                  </w:rPr>
                  <w:t xml:space="preserve"> 4658-9820</w:t>
                </w:r>
                <w:r w:rsidR="00F9372F" w:rsidRPr="00C070B2">
                  <w:rPr>
                    <w:color w:val="939390"/>
                    <w:sz w:val="17"/>
                    <w:lang w:val="pt-BR"/>
                  </w:rPr>
                  <w:t xml:space="preserve"> - </w:t>
                </w:r>
                <w:r w:rsidRPr="00C070B2">
                  <w:rPr>
                    <w:color w:val="939390"/>
                    <w:sz w:val="17"/>
                    <w:lang w:val="pt-BR"/>
                  </w:rPr>
                  <w:t>Te</w:t>
                </w:r>
                <w:r w:rsidR="00F9372F" w:rsidRPr="00C070B2">
                  <w:rPr>
                    <w:color w:val="939390"/>
                    <w:sz w:val="17"/>
                    <w:lang w:val="pt-BR"/>
                  </w:rPr>
                  <w:t>lephone</w:t>
                </w:r>
                <w:r w:rsidRPr="00C070B2">
                  <w:rPr>
                    <w:color w:val="939390"/>
                    <w:sz w:val="17"/>
                    <w:lang w:val="pt-BR"/>
                  </w:rPr>
                  <w:t xml:space="preserve"> / Fax: 4658-9667</w:t>
                </w:r>
              </w:p>
              <w:p w14:paraId="53B9838F" w14:textId="52263F3E" w:rsidR="00EB254A" w:rsidRPr="00C070B2" w:rsidRDefault="00A606AB" w:rsidP="00AB03ED">
                <w:pPr>
                  <w:spacing w:before="13"/>
                  <w:ind w:left="20"/>
                  <w:jc w:val="center"/>
                  <w:rPr>
                    <w:sz w:val="17"/>
                    <w:lang w:val="pt-BR"/>
                  </w:rPr>
                </w:pPr>
                <w:r w:rsidRPr="00C070B2">
                  <w:rPr>
                    <w:color w:val="939390"/>
                    <w:sz w:val="17"/>
                    <w:lang w:val="pt-BR"/>
                  </w:rPr>
                  <w:t xml:space="preserve">Av. De Mayo </w:t>
                </w:r>
                <w:r w:rsidRPr="00C070B2">
                  <w:rPr>
                    <w:color w:val="80807E"/>
                    <w:sz w:val="17"/>
                    <w:lang w:val="pt-BR"/>
                  </w:rPr>
                  <w:t>I 169</w:t>
                </w:r>
                <w:r w:rsidRPr="00C070B2">
                  <w:rPr>
                    <w:color w:val="939390"/>
                    <w:sz w:val="17"/>
                    <w:lang w:val="pt-BR"/>
                  </w:rPr>
                  <w:t xml:space="preserve">6 </w:t>
                </w:r>
                <w:r w:rsidRPr="00C070B2">
                  <w:rPr>
                    <w:color w:val="AAAAA8"/>
                    <w:sz w:val="17"/>
                    <w:lang w:val="pt-BR"/>
                  </w:rPr>
                  <w:t xml:space="preserve">° A- </w:t>
                </w:r>
                <w:r w:rsidRPr="00C070B2">
                  <w:rPr>
                    <w:color w:val="80807E"/>
                    <w:sz w:val="17"/>
                    <w:lang w:val="pt-BR"/>
                  </w:rPr>
                  <w:t xml:space="preserve">Ramos Mejia </w:t>
                </w:r>
                <w:r w:rsidRPr="00C070B2">
                  <w:rPr>
                    <w:color w:val="939390"/>
                    <w:sz w:val="17"/>
                    <w:lang w:val="pt-BR"/>
                  </w:rPr>
                  <w:t xml:space="preserve">(l </w:t>
                </w:r>
                <w:r w:rsidRPr="00C070B2">
                  <w:rPr>
                    <w:color w:val="80807E"/>
                    <w:sz w:val="17"/>
                    <w:lang w:val="pt-BR"/>
                  </w:rPr>
                  <w:t xml:space="preserve">704) Provincia de </w:t>
                </w:r>
                <w:r w:rsidRPr="00C070B2">
                  <w:rPr>
                    <w:color w:val="939390"/>
                    <w:sz w:val="17"/>
                    <w:lang w:val="pt-BR"/>
                  </w:rPr>
                  <w:t>Buenos Ai</w:t>
                </w:r>
                <w:r w:rsidRPr="00C070B2">
                  <w:rPr>
                    <w:color w:val="6E706D"/>
                    <w:sz w:val="17"/>
                    <w:lang w:val="pt-BR"/>
                  </w:rPr>
                  <w:t>re</w:t>
                </w:r>
                <w:r w:rsidRPr="00C070B2">
                  <w:rPr>
                    <w:color w:val="939390"/>
                    <w:sz w:val="17"/>
                    <w:lang w:val="pt-BR"/>
                  </w:rPr>
                  <w:t xml:space="preserve">s - </w:t>
                </w:r>
                <w:r w:rsidRPr="00C070B2">
                  <w:rPr>
                    <w:color w:val="80807E"/>
                    <w:sz w:val="17"/>
                    <w:lang w:val="pt-BR"/>
                  </w:rPr>
                  <w:t>República Argentina</w:t>
                </w:r>
              </w:p>
            </w:txbxContent>
          </v:textbox>
          <w10:wrap anchorx="page" anchory="page"/>
        </v:shape>
      </w:pict>
    </w:r>
    <w:r>
      <w:pict w14:anchorId="75C2FFCC">
        <v:line id="_x0000_s2050" style="position:absolute;z-index:-7984;mso-position-horizontal-relative:page;mso-position-vertical-relative:page" from="79.75pt,769.2pt" to="506.65pt,769.2pt" strokeweight=".1272mm">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A8B2F" w14:textId="77777777" w:rsidR="002910F1" w:rsidRDefault="002910F1">
      <w:r>
        <w:separator/>
      </w:r>
    </w:p>
  </w:footnote>
  <w:footnote w:type="continuationSeparator" w:id="0">
    <w:p w14:paraId="7F1EFFE6" w14:textId="77777777" w:rsidR="002910F1" w:rsidRDefault="00291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A799A" w14:textId="77777777" w:rsidR="00F9372F" w:rsidRDefault="00F9372F" w:rsidP="00F9372F">
    <w:pPr>
      <w:pStyle w:val="Header"/>
      <w:rPr>
        <w:b/>
        <w:bCs/>
      </w:rPr>
    </w:pPr>
  </w:p>
  <w:p w14:paraId="2740F950" w14:textId="77777777" w:rsidR="00F9372F" w:rsidRDefault="00F9372F" w:rsidP="00F9372F">
    <w:pPr>
      <w:pStyle w:val="Header"/>
      <w:rPr>
        <w:b/>
        <w:bCs/>
      </w:rPr>
    </w:pPr>
  </w:p>
  <w:p w14:paraId="2F4582F8" w14:textId="77777777" w:rsidR="00F9372F" w:rsidRDefault="00F9372F" w:rsidP="00F9372F">
    <w:pPr>
      <w:pStyle w:val="Header"/>
      <w:rPr>
        <w:b/>
        <w:bCs/>
      </w:rPr>
    </w:pPr>
  </w:p>
  <w:p w14:paraId="74D4BFFE" w14:textId="02A92D8F" w:rsidR="00F9372F" w:rsidRPr="00C070B2" w:rsidRDefault="00F9372F" w:rsidP="00F9372F">
    <w:pPr>
      <w:pStyle w:val="Header"/>
      <w:rPr>
        <w:b/>
        <w:bCs/>
        <w:lang w:val="pt-BR"/>
      </w:rPr>
    </w:pPr>
    <w:r w:rsidRPr="00C070B2">
      <w:rPr>
        <w:b/>
        <w:bCs/>
        <w:lang w:val="pt-BR"/>
      </w:rPr>
      <w:t>CONSULTORÍA AMERICANA</w:t>
    </w:r>
  </w:p>
  <w:p w14:paraId="20D66205" w14:textId="77777777" w:rsidR="00F9372F" w:rsidRPr="00C070B2" w:rsidRDefault="00F9372F" w:rsidP="00F9372F">
    <w:pPr>
      <w:pStyle w:val="Header"/>
      <w:rPr>
        <w:b/>
        <w:bCs/>
        <w:lang w:val="pt-BR"/>
      </w:rPr>
    </w:pPr>
    <w:r w:rsidRPr="00C070B2">
      <w:rPr>
        <w:b/>
        <w:bCs/>
        <w:lang w:val="pt-BR"/>
      </w:rPr>
      <w:t>DE PLANEAMIENTO Y ESTRATEGIA S.A.</w:t>
    </w:r>
  </w:p>
  <w:p w14:paraId="745D6935" w14:textId="05C5FEFB" w:rsidR="00F9372F" w:rsidRDefault="002910F1" w:rsidP="00F9372F">
    <w:pPr>
      <w:pStyle w:val="Header"/>
    </w:pPr>
    <w:r>
      <w:pict w14:anchorId="36D71887">
        <v:group id="_x0000_s2071" style="width:444.6pt;height:.4pt;mso-position-horizontal-relative:char;mso-position-vertical-relative:line" coordsize="8892,8">
          <v:line id="_x0000_s2072" style="position:absolute" from="0,4" to="8892,4" strokeweight=".1272mm"/>
          <w10:wrap type="none"/>
          <w10:anchorlock/>
        </v:group>
      </w:pict>
    </w:r>
  </w:p>
  <w:p w14:paraId="22FC98C5" w14:textId="77777777" w:rsidR="00EB254A" w:rsidRDefault="00EB254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93B23"/>
    <w:multiLevelType w:val="hybridMultilevel"/>
    <w:tmpl w:val="BABC4F7C"/>
    <w:lvl w:ilvl="0" w:tplc="0809000B">
      <w:start w:val="1"/>
      <w:numFmt w:val="bullet"/>
      <w:lvlText w:val=""/>
      <w:lvlJc w:val="left"/>
      <w:pPr>
        <w:ind w:left="127" w:hanging="150"/>
      </w:pPr>
      <w:rPr>
        <w:rFonts w:ascii="Wingdings" w:hAnsi="Wingdings" w:hint="default"/>
        <w:w w:val="105"/>
      </w:rPr>
    </w:lvl>
    <w:lvl w:ilvl="1" w:tplc="56A80674">
      <w:numFmt w:val="bullet"/>
      <w:lvlText w:val="•"/>
      <w:lvlJc w:val="left"/>
      <w:pPr>
        <w:ind w:left="1034" w:hanging="150"/>
      </w:pPr>
      <w:rPr>
        <w:rFonts w:hint="default"/>
      </w:rPr>
    </w:lvl>
    <w:lvl w:ilvl="2" w:tplc="CF2A1C38">
      <w:numFmt w:val="bullet"/>
      <w:lvlText w:val="•"/>
      <w:lvlJc w:val="left"/>
      <w:pPr>
        <w:ind w:left="1949" w:hanging="150"/>
      </w:pPr>
      <w:rPr>
        <w:rFonts w:hint="default"/>
      </w:rPr>
    </w:lvl>
    <w:lvl w:ilvl="3" w:tplc="FB5C8ED8">
      <w:numFmt w:val="bullet"/>
      <w:lvlText w:val="•"/>
      <w:lvlJc w:val="left"/>
      <w:pPr>
        <w:ind w:left="2864" w:hanging="150"/>
      </w:pPr>
      <w:rPr>
        <w:rFonts w:hint="default"/>
      </w:rPr>
    </w:lvl>
    <w:lvl w:ilvl="4" w:tplc="83280ADA">
      <w:numFmt w:val="bullet"/>
      <w:lvlText w:val="•"/>
      <w:lvlJc w:val="left"/>
      <w:pPr>
        <w:ind w:left="3779" w:hanging="150"/>
      </w:pPr>
      <w:rPr>
        <w:rFonts w:hint="default"/>
      </w:rPr>
    </w:lvl>
    <w:lvl w:ilvl="5" w:tplc="B39CE292">
      <w:numFmt w:val="bullet"/>
      <w:lvlText w:val="•"/>
      <w:lvlJc w:val="left"/>
      <w:pPr>
        <w:ind w:left="4694" w:hanging="150"/>
      </w:pPr>
      <w:rPr>
        <w:rFonts w:hint="default"/>
      </w:rPr>
    </w:lvl>
    <w:lvl w:ilvl="6" w:tplc="B82ABFD2">
      <w:numFmt w:val="bullet"/>
      <w:lvlText w:val="•"/>
      <w:lvlJc w:val="left"/>
      <w:pPr>
        <w:ind w:left="5609" w:hanging="150"/>
      </w:pPr>
      <w:rPr>
        <w:rFonts w:hint="default"/>
      </w:rPr>
    </w:lvl>
    <w:lvl w:ilvl="7" w:tplc="58D2F90A">
      <w:numFmt w:val="bullet"/>
      <w:lvlText w:val="•"/>
      <w:lvlJc w:val="left"/>
      <w:pPr>
        <w:ind w:left="6524" w:hanging="150"/>
      </w:pPr>
      <w:rPr>
        <w:rFonts w:hint="default"/>
      </w:rPr>
    </w:lvl>
    <w:lvl w:ilvl="8" w:tplc="7F623AE2">
      <w:numFmt w:val="bullet"/>
      <w:lvlText w:val="•"/>
      <w:lvlJc w:val="left"/>
      <w:pPr>
        <w:ind w:left="7439" w:hanging="150"/>
      </w:pPr>
      <w:rPr>
        <w:rFonts w:hint="default"/>
      </w:rPr>
    </w:lvl>
  </w:abstractNum>
  <w:abstractNum w:abstractNumId="1" w15:restartNumberingAfterBreak="0">
    <w:nsid w:val="411E6F82"/>
    <w:multiLevelType w:val="hybridMultilevel"/>
    <w:tmpl w:val="4D16D312"/>
    <w:lvl w:ilvl="0" w:tplc="D6761CAC">
      <w:start w:val="1"/>
      <w:numFmt w:val="decimal"/>
      <w:lvlText w:val="%1."/>
      <w:lvlJc w:val="left"/>
      <w:pPr>
        <w:ind w:left="528" w:hanging="244"/>
        <w:jc w:val="left"/>
      </w:pPr>
      <w:rPr>
        <w:rFonts w:hint="default"/>
        <w:b/>
        <w:bCs/>
        <w:i/>
        <w:color w:val="000000" w:themeColor="text1"/>
        <w:w w:val="108"/>
      </w:rPr>
    </w:lvl>
    <w:lvl w:ilvl="1" w:tplc="028AE104">
      <w:numFmt w:val="bullet"/>
      <w:lvlText w:val="•"/>
      <w:lvlJc w:val="left"/>
      <w:pPr>
        <w:ind w:left="1268" w:hanging="244"/>
      </w:pPr>
      <w:rPr>
        <w:rFonts w:hint="default"/>
      </w:rPr>
    </w:lvl>
    <w:lvl w:ilvl="2" w:tplc="187A68D8">
      <w:numFmt w:val="bullet"/>
      <w:lvlText w:val="•"/>
      <w:lvlJc w:val="left"/>
      <w:pPr>
        <w:ind w:left="2157" w:hanging="244"/>
      </w:pPr>
      <w:rPr>
        <w:rFonts w:hint="default"/>
      </w:rPr>
    </w:lvl>
    <w:lvl w:ilvl="3" w:tplc="887EAA24">
      <w:numFmt w:val="bullet"/>
      <w:lvlText w:val="•"/>
      <w:lvlJc w:val="left"/>
      <w:pPr>
        <w:ind w:left="3046" w:hanging="244"/>
      </w:pPr>
      <w:rPr>
        <w:rFonts w:hint="default"/>
      </w:rPr>
    </w:lvl>
    <w:lvl w:ilvl="4" w:tplc="BC686B32">
      <w:numFmt w:val="bullet"/>
      <w:lvlText w:val="•"/>
      <w:lvlJc w:val="left"/>
      <w:pPr>
        <w:ind w:left="3935" w:hanging="244"/>
      </w:pPr>
      <w:rPr>
        <w:rFonts w:hint="default"/>
      </w:rPr>
    </w:lvl>
    <w:lvl w:ilvl="5" w:tplc="B64E429E">
      <w:numFmt w:val="bullet"/>
      <w:lvlText w:val="•"/>
      <w:lvlJc w:val="left"/>
      <w:pPr>
        <w:ind w:left="4824" w:hanging="244"/>
      </w:pPr>
      <w:rPr>
        <w:rFonts w:hint="default"/>
      </w:rPr>
    </w:lvl>
    <w:lvl w:ilvl="6" w:tplc="170A539C">
      <w:numFmt w:val="bullet"/>
      <w:lvlText w:val="•"/>
      <w:lvlJc w:val="left"/>
      <w:pPr>
        <w:ind w:left="5713" w:hanging="244"/>
      </w:pPr>
      <w:rPr>
        <w:rFonts w:hint="default"/>
      </w:rPr>
    </w:lvl>
    <w:lvl w:ilvl="7" w:tplc="E64475D6">
      <w:numFmt w:val="bullet"/>
      <w:lvlText w:val="•"/>
      <w:lvlJc w:val="left"/>
      <w:pPr>
        <w:ind w:left="6602" w:hanging="244"/>
      </w:pPr>
      <w:rPr>
        <w:rFonts w:hint="default"/>
      </w:rPr>
    </w:lvl>
    <w:lvl w:ilvl="8" w:tplc="15ACCB52">
      <w:numFmt w:val="bullet"/>
      <w:lvlText w:val="•"/>
      <w:lvlJc w:val="left"/>
      <w:pPr>
        <w:ind w:left="7491" w:hanging="244"/>
      </w:pPr>
      <w:rPr>
        <w:rFonts w:hint="default"/>
      </w:rPr>
    </w:lvl>
  </w:abstractNum>
  <w:abstractNum w:abstractNumId="2" w15:restartNumberingAfterBreak="0">
    <w:nsid w:val="41D01BCF"/>
    <w:multiLevelType w:val="hybridMultilevel"/>
    <w:tmpl w:val="43A0E344"/>
    <w:lvl w:ilvl="0" w:tplc="33EC48D8">
      <w:start w:val="1"/>
      <w:numFmt w:val="upperLetter"/>
      <w:lvlText w:val="%1."/>
      <w:lvlJc w:val="left"/>
      <w:pPr>
        <w:ind w:left="846" w:hanging="351"/>
        <w:jc w:val="left"/>
      </w:pPr>
      <w:rPr>
        <w:rFonts w:hint="default"/>
        <w:b/>
        <w:bCs/>
        <w:color w:val="000000" w:themeColor="text1"/>
        <w:spacing w:val="-1"/>
        <w:w w:val="103"/>
      </w:rPr>
    </w:lvl>
    <w:lvl w:ilvl="1" w:tplc="6916CE20">
      <w:numFmt w:val="bullet"/>
      <w:lvlText w:val="•"/>
      <w:lvlJc w:val="left"/>
      <w:pPr>
        <w:ind w:left="4300" w:hanging="351"/>
      </w:pPr>
      <w:rPr>
        <w:rFonts w:hint="default"/>
      </w:rPr>
    </w:lvl>
    <w:lvl w:ilvl="2" w:tplc="43E29032">
      <w:numFmt w:val="bullet"/>
      <w:lvlText w:val="•"/>
      <w:lvlJc w:val="left"/>
      <w:pPr>
        <w:ind w:left="4852" w:hanging="351"/>
      </w:pPr>
      <w:rPr>
        <w:rFonts w:hint="default"/>
      </w:rPr>
    </w:lvl>
    <w:lvl w:ilvl="3" w:tplc="32684B30">
      <w:numFmt w:val="bullet"/>
      <w:lvlText w:val="•"/>
      <w:lvlJc w:val="left"/>
      <w:pPr>
        <w:ind w:left="5404" w:hanging="351"/>
      </w:pPr>
      <w:rPr>
        <w:rFonts w:hint="default"/>
      </w:rPr>
    </w:lvl>
    <w:lvl w:ilvl="4" w:tplc="03CAA574">
      <w:numFmt w:val="bullet"/>
      <w:lvlText w:val="•"/>
      <w:lvlJc w:val="left"/>
      <w:pPr>
        <w:ind w:left="5956" w:hanging="351"/>
      </w:pPr>
      <w:rPr>
        <w:rFonts w:hint="default"/>
      </w:rPr>
    </w:lvl>
    <w:lvl w:ilvl="5" w:tplc="BF66461C">
      <w:numFmt w:val="bullet"/>
      <w:lvlText w:val="•"/>
      <w:lvlJc w:val="left"/>
      <w:pPr>
        <w:ind w:left="6508" w:hanging="351"/>
      </w:pPr>
      <w:rPr>
        <w:rFonts w:hint="default"/>
      </w:rPr>
    </w:lvl>
    <w:lvl w:ilvl="6" w:tplc="04AA3210">
      <w:numFmt w:val="bullet"/>
      <w:lvlText w:val="•"/>
      <w:lvlJc w:val="left"/>
      <w:pPr>
        <w:ind w:left="7060" w:hanging="351"/>
      </w:pPr>
      <w:rPr>
        <w:rFonts w:hint="default"/>
      </w:rPr>
    </w:lvl>
    <w:lvl w:ilvl="7" w:tplc="0F6ACCCE">
      <w:numFmt w:val="bullet"/>
      <w:lvlText w:val="•"/>
      <w:lvlJc w:val="left"/>
      <w:pPr>
        <w:ind w:left="7612" w:hanging="351"/>
      </w:pPr>
      <w:rPr>
        <w:rFonts w:hint="default"/>
      </w:rPr>
    </w:lvl>
    <w:lvl w:ilvl="8" w:tplc="9FF4C7D8">
      <w:numFmt w:val="bullet"/>
      <w:lvlText w:val="•"/>
      <w:lvlJc w:val="left"/>
      <w:pPr>
        <w:ind w:left="8164" w:hanging="351"/>
      </w:pPr>
      <w:rPr>
        <w:rFonts w:hint="default"/>
      </w:rPr>
    </w:lvl>
  </w:abstractNum>
  <w:abstractNum w:abstractNumId="3" w15:restartNumberingAfterBreak="0">
    <w:nsid w:val="6338187E"/>
    <w:multiLevelType w:val="hybridMultilevel"/>
    <w:tmpl w:val="807C98B4"/>
    <w:lvl w:ilvl="0" w:tplc="B6CE6C54">
      <w:numFmt w:val="bullet"/>
      <w:lvlText w:val="-"/>
      <w:lvlJc w:val="left"/>
      <w:pPr>
        <w:ind w:left="127" w:hanging="150"/>
      </w:pPr>
      <w:rPr>
        <w:rFonts w:hint="default"/>
        <w:w w:val="105"/>
      </w:rPr>
    </w:lvl>
    <w:lvl w:ilvl="1" w:tplc="56A80674">
      <w:numFmt w:val="bullet"/>
      <w:lvlText w:val="•"/>
      <w:lvlJc w:val="left"/>
      <w:pPr>
        <w:ind w:left="1034" w:hanging="150"/>
      </w:pPr>
      <w:rPr>
        <w:rFonts w:hint="default"/>
      </w:rPr>
    </w:lvl>
    <w:lvl w:ilvl="2" w:tplc="CF2A1C38">
      <w:numFmt w:val="bullet"/>
      <w:lvlText w:val="•"/>
      <w:lvlJc w:val="left"/>
      <w:pPr>
        <w:ind w:left="1949" w:hanging="150"/>
      </w:pPr>
      <w:rPr>
        <w:rFonts w:hint="default"/>
      </w:rPr>
    </w:lvl>
    <w:lvl w:ilvl="3" w:tplc="FB5C8ED8">
      <w:numFmt w:val="bullet"/>
      <w:lvlText w:val="•"/>
      <w:lvlJc w:val="left"/>
      <w:pPr>
        <w:ind w:left="2864" w:hanging="150"/>
      </w:pPr>
      <w:rPr>
        <w:rFonts w:hint="default"/>
      </w:rPr>
    </w:lvl>
    <w:lvl w:ilvl="4" w:tplc="83280ADA">
      <w:numFmt w:val="bullet"/>
      <w:lvlText w:val="•"/>
      <w:lvlJc w:val="left"/>
      <w:pPr>
        <w:ind w:left="3779" w:hanging="150"/>
      </w:pPr>
      <w:rPr>
        <w:rFonts w:hint="default"/>
      </w:rPr>
    </w:lvl>
    <w:lvl w:ilvl="5" w:tplc="B39CE292">
      <w:numFmt w:val="bullet"/>
      <w:lvlText w:val="•"/>
      <w:lvlJc w:val="left"/>
      <w:pPr>
        <w:ind w:left="4694" w:hanging="150"/>
      </w:pPr>
      <w:rPr>
        <w:rFonts w:hint="default"/>
      </w:rPr>
    </w:lvl>
    <w:lvl w:ilvl="6" w:tplc="B82ABFD2">
      <w:numFmt w:val="bullet"/>
      <w:lvlText w:val="•"/>
      <w:lvlJc w:val="left"/>
      <w:pPr>
        <w:ind w:left="5609" w:hanging="150"/>
      </w:pPr>
      <w:rPr>
        <w:rFonts w:hint="default"/>
      </w:rPr>
    </w:lvl>
    <w:lvl w:ilvl="7" w:tplc="58D2F90A">
      <w:numFmt w:val="bullet"/>
      <w:lvlText w:val="•"/>
      <w:lvlJc w:val="left"/>
      <w:pPr>
        <w:ind w:left="6524" w:hanging="150"/>
      </w:pPr>
      <w:rPr>
        <w:rFonts w:hint="default"/>
      </w:rPr>
    </w:lvl>
    <w:lvl w:ilvl="8" w:tplc="7F623AE2">
      <w:numFmt w:val="bullet"/>
      <w:lvlText w:val="•"/>
      <w:lvlJc w:val="left"/>
      <w:pPr>
        <w:ind w:left="7439" w:hanging="15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B254A"/>
    <w:rsid w:val="000A020D"/>
    <w:rsid w:val="001715AD"/>
    <w:rsid w:val="00186A3D"/>
    <w:rsid w:val="001C0130"/>
    <w:rsid w:val="00232001"/>
    <w:rsid w:val="002910F1"/>
    <w:rsid w:val="00371373"/>
    <w:rsid w:val="004439AC"/>
    <w:rsid w:val="004765FC"/>
    <w:rsid w:val="004C0EBD"/>
    <w:rsid w:val="006D5EF7"/>
    <w:rsid w:val="007A3BE5"/>
    <w:rsid w:val="00912C6B"/>
    <w:rsid w:val="00A606AB"/>
    <w:rsid w:val="00AB03ED"/>
    <w:rsid w:val="00C070B2"/>
    <w:rsid w:val="00C7096E"/>
    <w:rsid w:val="00EB254A"/>
    <w:rsid w:val="00F40FD2"/>
    <w:rsid w:val="00F9372F"/>
    <w:rsid w:val="00FA5D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11EADCC2"/>
  <w15:docId w15:val="{CF8B363E-212C-4523-AF28-C87CEA82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
      <w:outlineLvl w:val="0"/>
    </w:pPr>
    <w:rPr>
      <w:b/>
      <w:bCs/>
      <w:sz w:val="23"/>
      <w:szCs w:val="23"/>
    </w:rPr>
  </w:style>
  <w:style w:type="paragraph" w:styleId="Heading2">
    <w:name w:val="heading 2"/>
    <w:basedOn w:val="Normal"/>
    <w:uiPriority w:val="9"/>
    <w:unhideWhenUsed/>
    <w:qFormat/>
    <w:pPr>
      <w:ind w:left="367" w:hanging="246"/>
      <w:outlineLvl w:val="1"/>
    </w:pPr>
    <w:rPr>
      <w:b/>
      <w:bCs/>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27" w:hanging="246"/>
    </w:pPr>
  </w:style>
  <w:style w:type="paragraph" w:customStyle="1" w:styleId="TableParagraph">
    <w:name w:val="Table Paragraph"/>
    <w:basedOn w:val="Normal"/>
    <w:uiPriority w:val="1"/>
    <w:qFormat/>
    <w:pPr>
      <w:spacing w:before="52" w:line="180" w:lineRule="exact"/>
      <w:ind w:left="58"/>
      <w:jc w:val="center"/>
    </w:pPr>
    <w:rPr>
      <w:rFonts w:ascii="Arial" w:eastAsia="Arial" w:hAnsi="Arial" w:cs="Arial"/>
    </w:rPr>
  </w:style>
  <w:style w:type="paragraph" w:styleId="Header">
    <w:name w:val="header"/>
    <w:basedOn w:val="Normal"/>
    <w:link w:val="HeaderChar"/>
    <w:uiPriority w:val="99"/>
    <w:unhideWhenUsed/>
    <w:rsid w:val="00C7096E"/>
    <w:pPr>
      <w:tabs>
        <w:tab w:val="center" w:pos="4513"/>
        <w:tab w:val="right" w:pos="9026"/>
      </w:tabs>
    </w:pPr>
  </w:style>
  <w:style w:type="character" w:customStyle="1" w:styleId="HeaderChar">
    <w:name w:val="Header Char"/>
    <w:basedOn w:val="DefaultParagraphFont"/>
    <w:link w:val="Header"/>
    <w:uiPriority w:val="99"/>
    <w:rsid w:val="00C7096E"/>
    <w:rPr>
      <w:rFonts w:ascii="Times New Roman" w:eastAsia="Times New Roman" w:hAnsi="Times New Roman" w:cs="Times New Roman"/>
    </w:rPr>
  </w:style>
  <w:style w:type="paragraph" w:styleId="Footer">
    <w:name w:val="footer"/>
    <w:basedOn w:val="Normal"/>
    <w:link w:val="FooterChar"/>
    <w:uiPriority w:val="99"/>
    <w:unhideWhenUsed/>
    <w:rsid w:val="00C7096E"/>
    <w:pPr>
      <w:tabs>
        <w:tab w:val="center" w:pos="4513"/>
        <w:tab w:val="right" w:pos="9026"/>
      </w:tabs>
    </w:pPr>
  </w:style>
  <w:style w:type="character" w:customStyle="1" w:styleId="FooterChar">
    <w:name w:val="Footer Char"/>
    <w:basedOn w:val="DefaultParagraphFont"/>
    <w:link w:val="Footer"/>
    <w:uiPriority w:val="99"/>
    <w:rsid w:val="00C7096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5</Pages>
  <Words>1307</Words>
  <Characters>7338</Characters>
  <Application>Microsoft Office Word</Application>
  <DocSecurity>0</DocSecurity>
  <Lines>131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Liron</cp:lastModifiedBy>
  <cp:revision>7</cp:revision>
  <dcterms:created xsi:type="dcterms:W3CDTF">2019-01-01T13:06:00Z</dcterms:created>
  <dcterms:modified xsi:type="dcterms:W3CDTF">2019-01-03T11:29:00Z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2018-12-24T00:00:00Z</vt:filetime>
  </property>
  <property fmtid="{D5CDD505-2E9C-101B-9397-08002B2CF9AE}" pid="3" name="Creator">
    <vt:lpwstr>WorkCentre 7120</vt:lpwstr>
  </property>
  <property fmtid="{D5CDD505-2E9C-101B-9397-08002B2CF9AE}" pid="4" name="LastSaved">
    <vt:filetime>2019-01-01T00:00:00Z</vt:filetime>
  </property>
</Properties>
</file>