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E36A3" w14:textId="2575B370" w:rsidR="00AF6AB8" w:rsidRPr="00927F7A" w:rsidRDefault="00AF6AB8" w:rsidP="006C4E43">
      <w:pPr>
        <w:pStyle w:val="Heading1"/>
        <w:ind w:firstLine="0"/>
      </w:pPr>
      <w:r w:rsidRPr="00927F7A">
        <w:t>The Resurrection of Dumuzi in Light of the Evidence from Mari: A Reevaluation</w:t>
      </w:r>
    </w:p>
    <w:p w14:paraId="06BC8233" w14:textId="03884A12" w:rsidR="007D01B0" w:rsidRDefault="004B5477" w:rsidP="0003112B">
      <w:pPr>
        <w:ind w:firstLine="0"/>
        <w:rPr>
          <w:lang w:bidi="he-IL"/>
        </w:rPr>
      </w:pPr>
      <w:r>
        <w:rPr>
          <w:lang w:bidi="he-IL"/>
        </w:rPr>
        <w:t>T</w:t>
      </w:r>
      <w:r w:rsidR="006441C5" w:rsidRPr="006441C5">
        <w:rPr>
          <w:lang w:bidi="he-IL"/>
        </w:rPr>
        <w:t xml:space="preserve">he years 1987 to 2001 </w:t>
      </w:r>
      <w:r w:rsidR="006441C5" w:rsidRPr="006441C5">
        <w:rPr>
          <w:lang w:val="en-GB" w:bidi="he-IL"/>
        </w:rPr>
        <w:t>saw</w:t>
      </w:r>
      <w:r w:rsidR="006441C5" w:rsidRPr="006441C5">
        <w:rPr>
          <w:lang w:bidi="he-IL"/>
        </w:rPr>
        <w:t xml:space="preserve"> the publication </w:t>
      </w:r>
      <w:r w:rsidR="006441C5">
        <w:rPr>
          <w:lang w:bidi="he-IL"/>
        </w:rPr>
        <w:t>and</w:t>
      </w:r>
      <w:r w:rsidR="006441C5" w:rsidRPr="006441C5">
        <w:rPr>
          <w:lang w:bidi="he-IL"/>
        </w:rPr>
        <w:t xml:space="preserve"> reinterpretation of three documents from Mari</w:t>
      </w:r>
      <w:r w:rsidR="007D01B0">
        <w:rPr>
          <w:lang w:bidi="he-IL"/>
        </w:rPr>
        <w:t xml:space="preserve">, attesting to the </w:t>
      </w:r>
      <w:r w:rsidR="006E4074">
        <w:rPr>
          <w:lang w:bidi="he-IL"/>
        </w:rPr>
        <w:t xml:space="preserve">mythologem </w:t>
      </w:r>
      <w:r w:rsidR="007D01B0">
        <w:rPr>
          <w:lang w:bidi="he-IL"/>
        </w:rPr>
        <w:t xml:space="preserve">of Dumuzi as a dying and rising god. </w:t>
      </w:r>
      <w:r w:rsidR="007D01B0" w:rsidRPr="005A2AA5">
        <w:rPr>
          <w:lang w:val="en-GB" w:bidi="he-IL"/>
        </w:rPr>
        <w:t xml:space="preserve">One of the documents is a letter </w:t>
      </w:r>
      <w:r w:rsidR="007D01B0">
        <w:rPr>
          <w:lang w:val="en-GB" w:bidi="he-IL"/>
        </w:rPr>
        <w:t>dated to</w:t>
      </w:r>
      <w:r w:rsidR="007D01B0" w:rsidRPr="005A2AA5">
        <w:rPr>
          <w:lang w:val="en-GB" w:bidi="he-IL"/>
        </w:rPr>
        <w:t xml:space="preserve"> </w:t>
      </w:r>
      <w:r w:rsidR="006441C5">
        <w:rPr>
          <w:lang w:val="en-GB" w:bidi="he-IL"/>
        </w:rPr>
        <w:t xml:space="preserve">the </w:t>
      </w:r>
      <w:r w:rsidR="007D01B0">
        <w:rPr>
          <w:lang w:val="en-GB" w:bidi="he-IL"/>
        </w:rPr>
        <w:t>twelfth</w:t>
      </w:r>
      <w:r w:rsidR="007D01B0" w:rsidRPr="005A2AA5">
        <w:rPr>
          <w:lang w:val="en-GB" w:bidi="he-IL"/>
        </w:rPr>
        <w:t xml:space="preserve"> year of Zimri-līm (first half of the eighteenth-century BCE)</w:t>
      </w:r>
      <w:r w:rsidR="00C645F9">
        <w:rPr>
          <w:lang w:val="en-GB" w:bidi="he-IL"/>
        </w:rPr>
        <w:t>.</w:t>
      </w:r>
      <w:r w:rsidR="007D01B0" w:rsidRPr="005A2AA5">
        <w:rPr>
          <w:lang w:val="en-GB" w:bidi="he-IL"/>
        </w:rPr>
        <w:t xml:space="preserve"> </w:t>
      </w:r>
      <w:r w:rsidR="00C645F9">
        <w:rPr>
          <w:lang w:val="en-GB" w:bidi="he-IL"/>
        </w:rPr>
        <w:t>C</w:t>
      </w:r>
      <w:r w:rsidR="007D01B0">
        <w:rPr>
          <w:lang w:val="en-GB" w:bidi="he-IL"/>
        </w:rPr>
        <w:t>omposed</w:t>
      </w:r>
      <w:r w:rsidR="007D01B0" w:rsidRPr="005A2AA5">
        <w:rPr>
          <w:lang w:val="en-GB" w:bidi="he-IL"/>
        </w:rPr>
        <w:t xml:space="preserve"> by </w:t>
      </w:r>
      <w:r w:rsidR="00DE3CEC">
        <w:rPr>
          <w:lang w:val="en-GB" w:bidi="he-IL"/>
        </w:rPr>
        <w:t>the</w:t>
      </w:r>
      <w:r w:rsidR="006441C5" w:rsidRPr="005A2AA5">
        <w:rPr>
          <w:lang w:val="en-GB" w:bidi="he-IL"/>
        </w:rPr>
        <w:t xml:space="preserve"> </w:t>
      </w:r>
      <w:r w:rsidR="006441C5">
        <w:rPr>
          <w:lang w:val="en-GB" w:bidi="he-IL"/>
        </w:rPr>
        <w:t>head</w:t>
      </w:r>
      <w:r w:rsidR="006441C5" w:rsidRPr="005A2AA5">
        <w:rPr>
          <w:lang w:val="en-GB" w:bidi="he-IL"/>
        </w:rPr>
        <w:t xml:space="preserve"> </w:t>
      </w:r>
      <w:r w:rsidR="007D01B0" w:rsidRPr="005A2AA5">
        <w:rPr>
          <w:lang w:val="en-GB" w:bidi="he-IL"/>
        </w:rPr>
        <w:t xml:space="preserve">of </w:t>
      </w:r>
      <w:r w:rsidR="007D01B0">
        <w:rPr>
          <w:lang w:val="en-GB" w:bidi="he-IL"/>
        </w:rPr>
        <w:t>a semi-nomadic Amorite tribe</w:t>
      </w:r>
      <w:r w:rsidR="00C645F9">
        <w:rPr>
          <w:lang w:val="en-GB" w:bidi="he-IL"/>
        </w:rPr>
        <w:t>,</w:t>
      </w:r>
      <w:r w:rsidR="007D01B0">
        <w:rPr>
          <w:lang w:val="en-GB" w:bidi="he-IL"/>
        </w:rPr>
        <w:t xml:space="preserve"> it</w:t>
      </w:r>
      <w:r w:rsidR="007D01B0" w:rsidRPr="005A2AA5">
        <w:rPr>
          <w:lang w:val="en-GB" w:bidi="he-IL"/>
        </w:rPr>
        <w:t xml:space="preserve"> mentions </w:t>
      </w:r>
      <w:r w:rsidR="003D2D73">
        <w:rPr>
          <w:lang w:val="en-GB" w:bidi="he-IL"/>
        </w:rPr>
        <w:t xml:space="preserve">in passing </w:t>
      </w:r>
      <w:r w:rsidR="007D01B0" w:rsidRPr="005A2AA5">
        <w:rPr>
          <w:lang w:val="en-GB" w:bidi="he-IL"/>
        </w:rPr>
        <w:t xml:space="preserve">the death and </w:t>
      </w:r>
      <w:r w:rsidR="006441C5">
        <w:rPr>
          <w:lang w:val="en-GB" w:bidi="he-IL"/>
        </w:rPr>
        <w:t>return</w:t>
      </w:r>
      <w:r w:rsidR="006441C5" w:rsidRPr="005A2AA5">
        <w:rPr>
          <w:lang w:val="en-GB" w:bidi="he-IL"/>
        </w:rPr>
        <w:t xml:space="preserve"> </w:t>
      </w:r>
      <w:r w:rsidR="007D01B0" w:rsidRPr="005A2AA5">
        <w:rPr>
          <w:lang w:val="en-GB" w:bidi="he-IL"/>
        </w:rPr>
        <w:t>of Dumuzi</w:t>
      </w:r>
      <w:r w:rsidR="007D01B0">
        <w:rPr>
          <w:lang w:val="en-GB" w:bidi="he-IL"/>
        </w:rPr>
        <w:t>.</w:t>
      </w:r>
      <w:r w:rsidR="007D01B0" w:rsidRPr="005A2AA5">
        <w:rPr>
          <w:lang w:val="en-GB" w:bidi="he-IL"/>
        </w:rPr>
        <w:t xml:space="preserve"> </w:t>
      </w:r>
      <w:r w:rsidR="007D01B0">
        <w:rPr>
          <w:lang w:val="en-GB" w:bidi="he-IL"/>
        </w:rPr>
        <w:t>The other two records are economic in nature:</w:t>
      </w:r>
      <w:r w:rsidR="007D01B0" w:rsidRPr="005A2AA5">
        <w:rPr>
          <w:lang w:val="en-GB" w:bidi="he-IL"/>
        </w:rPr>
        <w:t xml:space="preserve"> </w:t>
      </w:r>
      <w:r w:rsidR="007D01B0">
        <w:rPr>
          <w:lang w:val="en-GB" w:bidi="he-IL"/>
        </w:rPr>
        <w:t xml:space="preserve">one </w:t>
      </w:r>
      <w:r w:rsidR="006441C5">
        <w:rPr>
          <w:lang w:val="en-GB" w:bidi="he-IL"/>
        </w:rPr>
        <w:t xml:space="preserve">of them, from the fourth year of </w:t>
      </w:r>
      <w:proofErr w:type="spellStart"/>
      <w:r w:rsidR="006441C5">
        <w:rPr>
          <w:lang w:val="en-GB" w:bidi="he-IL"/>
        </w:rPr>
        <w:t>Zimri</w:t>
      </w:r>
      <w:proofErr w:type="spellEnd"/>
      <w:r w:rsidR="006441C5">
        <w:rPr>
          <w:lang w:val="en-GB" w:bidi="he-IL"/>
        </w:rPr>
        <w:t>-</w:t>
      </w:r>
      <w:proofErr w:type="spellStart"/>
      <w:r w:rsidR="006441C5" w:rsidRPr="00D44F59">
        <w:rPr>
          <w:lang w:bidi="he-IL"/>
        </w:rPr>
        <w:t>l</w:t>
      </w:r>
      <w:r w:rsidR="006441C5" w:rsidRPr="00D44F59">
        <w:rPr>
          <w:rFonts w:cs="Times New Roman"/>
          <w:lang w:bidi="he-IL"/>
        </w:rPr>
        <w:t>ī</w:t>
      </w:r>
      <w:r w:rsidR="006441C5" w:rsidRPr="00D44F59">
        <w:rPr>
          <w:lang w:bidi="he-IL"/>
        </w:rPr>
        <w:t>m</w:t>
      </w:r>
      <w:proofErr w:type="spellEnd"/>
      <w:r w:rsidR="006E4074">
        <w:rPr>
          <w:lang w:bidi="he-IL"/>
        </w:rPr>
        <w:t>,</w:t>
      </w:r>
      <w:r w:rsidR="006441C5">
        <w:rPr>
          <w:lang w:val="en-GB" w:bidi="he-IL"/>
        </w:rPr>
        <w:t xml:space="preserve"> </w:t>
      </w:r>
      <w:r w:rsidR="00DE3CEC">
        <w:rPr>
          <w:lang w:val="en-GB" w:bidi="he-IL"/>
        </w:rPr>
        <w:t>notes the calendar-date of</w:t>
      </w:r>
      <w:r w:rsidR="006441C5">
        <w:rPr>
          <w:lang w:val="en-GB" w:bidi="he-IL"/>
        </w:rPr>
        <w:t xml:space="preserve"> </w:t>
      </w:r>
      <w:r w:rsidR="007D01B0">
        <w:rPr>
          <w:lang w:val="en-GB" w:bidi="he-IL"/>
        </w:rPr>
        <w:t>Dumuzi’s burial</w:t>
      </w:r>
      <w:r w:rsidR="00DE3CEC">
        <w:rPr>
          <w:lang w:val="en-GB" w:bidi="he-IL"/>
        </w:rPr>
        <w:t xml:space="preserve">, </w:t>
      </w:r>
      <w:r w:rsidR="007D01B0">
        <w:rPr>
          <w:lang w:val="en-GB" w:bidi="he-IL"/>
        </w:rPr>
        <w:t>the other</w:t>
      </w:r>
      <w:r w:rsidR="000C1B5F">
        <w:rPr>
          <w:lang w:val="en-GB" w:bidi="he-IL"/>
        </w:rPr>
        <w:t>,</w:t>
      </w:r>
      <w:r w:rsidR="007D01B0">
        <w:rPr>
          <w:lang w:val="en-GB" w:bidi="he-IL"/>
        </w:rPr>
        <w:t xml:space="preserve"> the day of his return. </w:t>
      </w:r>
      <w:r w:rsidR="0003112B">
        <w:rPr>
          <w:lang w:bidi="he-IL"/>
        </w:rPr>
        <w:t>Prior</w:t>
      </w:r>
      <w:r w:rsidR="00475A03">
        <w:rPr>
          <w:lang w:bidi="he-IL"/>
        </w:rPr>
        <w:t xml:space="preserve"> </w:t>
      </w:r>
      <w:r w:rsidR="007D01B0">
        <w:rPr>
          <w:lang w:bidi="he-IL"/>
        </w:rPr>
        <w:t xml:space="preserve">to the publication of these records, only a </w:t>
      </w:r>
      <w:r w:rsidR="009F2959">
        <w:rPr>
          <w:lang w:bidi="he-IL"/>
        </w:rPr>
        <w:t xml:space="preserve">single </w:t>
      </w:r>
      <w:r w:rsidR="007D01B0">
        <w:rPr>
          <w:lang w:bidi="he-IL"/>
        </w:rPr>
        <w:t xml:space="preserve">cuneiform </w:t>
      </w:r>
      <w:r w:rsidR="006E4074">
        <w:rPr>
          <w:lang w:bidi="he-IL"/>
        </w:rPr>
        <w:t xml:space="preserve">reference </w:t>
      </w:r>
      <w:r w:rsidR="002D60AA">
        <w:rPr>
          <w:lang w:val="en-GB" w:bidi="he-IL"/>
        </w:rPr>
        <w:t>regarding</w:t>
      </w:r>
      <w:r w:rsidR="00DA059F">
        <w:rPr>
          <w:lang w:val="en-GB" w:bidi="he-IL"/>
        </w:rPr>
        <w:t xml:space="preserve"> </w:t>
      </w:r>
      <w:r w:rsidR="003D2D73">
        <w:rPr>
          <w:lang w:bidi="he-IL"/>
        </w:rPr>
        <w:t xml:space="preserve">to </w:t>
      </w:r>
      <w:r w:rsidR="007D01B0">
        <w:rPr>
          <w:lang w:bidi="he-IL"/>
        </w:rPr>
        <w:t xml:space="preserve">Dumuzi’s </w:t>
      </w:r>
      <w:r w:rsidR="006441C5">
        <w:rPr>
          <w:lang w:bidi="he-IL"/>
        </w:rPr>
        <w:t>a</w:t>
      </w:r>
      <w:r w:rsidR="006E4074">
        <w:rPr>
          <w:lang w:bidi="he-IL"/>
        </w:rPr>
        <w:t>sc</w:t>
      </w:r>
      <w:r w:rsidR="006441C5">
        <w:rPr>
          <w:lang w:bidi="he-IL"/>
        </w:rPr>
        <w:t xml:space="preserve">ent </w:t>
      </w:r>
      <w:r w:rsidR="007D01B0">
        <w:rPr>
          <w:lang w:bidi="he-IL"/>
        </w:rPr>
        <w:t xml:space="preserve">from the </w:t>
      </w:r>
      <w:r w:rsidR="00094FAF">
        <w:rPr>
          <w:lang w:bidi="he-IL"/>
        </w:rPr>
        <w:t>netherworld</w:t>
      </w:r>
      <w:r w:rsidR="007D01B0">
        <w:rPr>
          <w:lang w:bidi="he-IL"/>
        </w:rPr>
        <w:t xml:space="preserve"> was extant – standing in stark contrast to the innumerable accounts of his death</w:t>
      </w:r>
      <w:r w:rsidR="0003112B">
        <w:rPr>
          <w:lang w:bidi="he-IL"/>
        </w:rPr>
        <w:t xml:space="preserve">. To view the </w:t>
      </w:r>
      <w:r w:rsidR="001174E6">
        <w:rPr>
          <w:lang w:bidi="he-IL"/>
        </w:rPr>
        <w:t xml:space="preserve">new </w:t>
      </w:r>
      <w:r w:rsidR="006E4074">
        <w:rPr>
          <w:lang w:bidi="he-IL"/>
        </w:rPr>
        <w:t xml:space="preserve">evidence </w:t>
      </w:r>
      <w:r w:rsidR="007D01B0">
        <w:rPr>
          <w:lang w:bidi="he-IL"/>
        </w:rPr>
        <w:t xml:space="preserve">from Mari </w:t>
      </w:r>
      <w:r w:rsidR="0003112B">
        <w:rPr>
          <w:lang w:bidi="he-IL"/>
        </w:rPr>
        <w:t xml:space="preserve">as having some bearing on the </w:t>
      </w:r>
      <w:r w:rsidR="007D01B0">
        <w:rPr>
          <w:lang w:bidi="he-IL"/>
        </w:rPr>
        <w:t>Mesopotamian mythologem of Dumuzi</w:t>
      </w:r>
      <w:r w:rsidR="0003112B">
        <w:rPr>
          <w:lang w:bidi="he-IL"/>
        </w:rPr>
        <w:t xml:space="preserve"> is thus only natural.</w:t>
      </w:r>
      <w:r w:rsidR="00475A03">
        <w:rPr>
          <w:rStyle w:val="FootnoteReference"/>
          <w:lang w:bidi="he-IL"/>
        </w:rPr>
        <w:footnoteReference w:id="2"/>
      </w:r>
      <w:bookmarkStart w:id="0" w:name="_Hlk57195473"/>
      <w:r w:rsidR="0003112B">
        <w:rPr>
          <w:lang w:bidi="he-IL"/>
        </w:rPr>
        <w:t xml:space="preserve"> </w:t>
      </w:r>
      <w:r w:rsidR="00A5241B">
        <w:rPr>
          <w:lang w:bidi="he-IL"/>
        </w:rPr>
        <w:t>However, the</w:t>
      </w:r>
      <w:r w:rsidR="006E4074">
        <w:rPr>
          <w:lang w:bidi="he-IL"/>
        </w:rPr>
        <w:t xml:space="preserve"> </w:t>
      </w:r>
      <w:r w:rsidR="001174E6">
        <w:rPr>
          <w:lang w:bidi="he-IL"/>
        </w:rPr>
        <w:t>provenance of these three records</w:t>
      </w:r>
      <w:r w:rsidR="0003112B">
        <w:rPr>
          <w:lang w:bidi="he-IL"/>
        </w:rPr>
        <w:t xml:space="preserve"> in Mari</w:t>
      </w:r>
      <w:r w:rsidR="007D01B0">
        <w:rPr>
          <w:lang w:bidi="he-IL"/>
        </w:rPr>
        <w:t xml:space="preserve">, and </w:t>
      </w:r>
      <w:r w:rsidR="001174E6">
        <w:rPr>
          <w:lang w:bidi="he-IL"/>
        </w:rPr>
        <w:t xml:space="preserve">the fact that </w:t>
      </w:r>
      <w:r w:rsidR="000F23E2">
        <w:rPr>
          <w:lang w:bidi="he-IL"/>
        </w:rPr>
        <w:t>th</w:t>
      </w:r>
      <w:r w:rsidR="001174E6">
        <w:rPr>
          <w:lang w:bidi="he-IL"/>
        </w:rPr>
        <w:t>e</w:t>
      </w:r>
      <w:r w:rsidR="007D01B0">
        <w:rPr>
          <w:lang w:bidi="he-IL"/>
        </w:rPr>
        <w:t xml:space="preserve"> most decisive piece of evidence was </w:t>
      </w:r>
      <w:r w:rsidR="0075672B">
        <w:rPr>
          <w:lang w:bidi="he-IL"/>
        </w:rPr>
        <w:t>included in a letter written by</w:t>
      </w:r>
      <w:r w:rsidR="007D01B0">
        <w:rPr>
          <w:lang w:bidi="he-IL"/>
        </w:rPr>
        <w:t xml:space="preserve"> </w:t>
      </w:r>
      <w:r w:rsidR="00DE3CEC">
        <w:rPr>
          <w:lang w:bidi="he-IL"/>
        </w:rPr>
        <w:t>the head of an Amorite tribe</w:t>
      </w:r>
      <w:r w:rsidR="007D01B0">
        <w:rPr>
          <w:lang w:bidi="he-IL"/>
        </w:rPr>
        <w:t xml:space="preserve"> (and not, for instance</w:t>
      </w:r>
      <w:r w:rsidR="0075672B">
        <w:rPr>
          <w:lang w:bidi="he-IL"/>
        </w:rPr>
        <w:t>,</w:t>
      </w:r>
      <w:r w:rsidR="007D01B0">
        <w:rPr>
          <w:lang w:bidi="he-IL"/>
        </w:rPr>
        <w:t xml:space="preserve"> by a</w:t>
      </w:r>
      <w:r w:rsidR="006E4074">
        <w:rPr>
          <w:lang w:bidi="he-IL"/>
        </w:rPr>
        <w:t>n</w:t>
      </w:r>
      <w:r w:rsidR="007D01B0">
        <w:rPr>
          <w:lang w:bidi="he-IL"/>
        </w:rPr>
        <w:t xml:space="preserve"> ambassador or a priest) raises </w:t>
      </w:r>
      <w:r w:rsidR="0003112B">
        <w:rPr>
          <w:lang w:bidi="he-IL"/>
        </w:rPr>
        <w:t xml:space="preserve">some broader questions </w:t>
      </w:r>
      <w:r w:rsidR="007D01B0">
        <w:rPr>
          <w:lang w:bidi="he-IL"/>
        </w:rPr>
        <w:t xml:space="preserve">about </w:t>
      </w:r>
      <w:r w:rsidR="0003112B">
        <w:rPr>
          <w:lang w:bidi="he-IL"/>
        </w:rPr>
        <w:t>this mythic pattern</w:t>
      </w:r>
      <w:r w:rsidR="000C1B5F">
        <w:rPr>
          <w:lang w:bidi="he-IL"/>
        </w:rPr>
        <w:t>’s</w:t>
      </w:r>
      <w:r w:rsidR="0003112B">
        <w:rPr>
          <w:lang w:bidi="he-IL"/>
        </w:rPr>
        <w:t xml:space="preserve"> </w:t>
      </w:r>
      <w:r w:rsidR="00236BF5">
        <w:rPr>
          <w:lang w:bidi="he-IL"/>
        </w:rPr>
        <w:t>relationship to</w:t>
      </w:r>
      <w:r w:rsidR="0003112B">
        <w:rPr>
          <w:lang w:bidi="he-IL"/>
        </w:rPr>
        <w:t xml:space="preserve"> Mesopotamia</w:t>
      </w:r>
      <w:r w:rsidR="007D01B0">
        <w:rPr>
          <w:lang w:bidi="he-IL"/>
        </w:rPr>
        <w:t>.</w:t>
      </w:r>
      <w:r w:rsidR="00EA0222">
        <w:rPr>
          <w:lang w:bidi="he-IL"/>
        </w:rPr>
        <w:t xml:space="preserve"> </w:t>
      </w:r>
      <w:r w:rsidR="00475A03">
        <w:rPr>
          <w:rFonts w:eastAsia="Calibri"/>
          <w:lang w:bidi="he-IL"/>
        </w:rPr>
        <w:t>Does</w:t>
      </w:r>
      <w:r w:rsidR="00EA0222">
        <w:rPr>
          <w:rFonts w:eastAsia="Calibri"/>
          <w:lang w:bidi="he-IL"/>
        </w:rPr>
        <w:t xml:space="preserve"> the </w:t>
      </w:r>
      <w:r w:rsidR="00DE3CEC">
        <w:rPr>
          <w:rFonts w:eastAsia="Calibri"/>
          <w:lang w:bidi="he-IL"/>
        </w:rPr>
        <w:t xml:space="preserve">use of the </w:t>
      </w:r>
      <w:r w:rsidR="00EA0222">
        <w:rPr>
          <w:rFonts w:eastAsia="Calibri"/>
          <w:lang w:bidi="he-IL"/>
        </w:rPr>
        <w:t xml:space="preserve">Mesopotamian appellation </w:t>
      </w:r>
      <w:r w:rsidR="002D60AA">
        <w:rPr>
          <w:rFonts w:eastAsia="Calibri"/>
          <w:lang w:bidi="he-IL"/>
        </w:rPr>
        <w:t>‘</w:t>
      </w:r>
      <w:r w:rsidR="00EA0222">
        <w:rPr>
          <w:rFonts w:eastAsia="Calibri"/>
          <w:lang w:bidi="he-IL"/>
        </w:rPr>
        <w:t>Dumuzi</w:t>
      </w:r>
      <w:r w:rsidR="002D60AA">
        <w:rPr>
          <w:rFonts w:eastAsia="Calibri"/>
          <w:lang w:bidi="he-IL"/>
        </w:rPr>
        <w:t>’</w:t>
      </w:r>
      <w:r w:rsidR="00EA0222">
        <w:rPr>
          <w:rFonts w:eastAsia="Calibri"/>
          <w:lang w:bidi="he-IL"/>
        </w:rPr>
        <w:t xml:space="preserve"> </w:t>
      </w:r>
      <w:r w:rsidR="00475A03">
        <w:rPr>
          <w:rFonts w:eastAsia="Calibri"/>
          <w:lang w:bidi="he-IL"/>
        </w:rPr>
        <w:t>in</w:t>
      </w:r>
      <w:r w:rsidR="00D37031">
        <w:rPr>
          <w:rFonts w:eastAsia="Calibri"/>
          <w:lang w:bidi="he-IL"/>
        </w:rPr>
        <w:t xml:space="preserve"> the Mari </w:t>
      </w:r>
      <w:r w:rsidR="00475A03">
        <w:rPr>
          <w:rFonts w:eastAsia="Calibri"/>
          <w:lang w:bidi="he-IL"/>
        </w:rPr>
        <w:t>records</w:t>
      </w:r>
      <w:r w:rsidR="00EA0222">
        <w:rPr>
          <w:rFonts w:eastAsia="Calibri"/>
          <w:lang w:bidi="he-IL"/>
        </w:rPr>
        <w:t xml:space="preserve"> </w:t>
      </w:r>
      <w:r w:rsidR="00475A03">
        <w:rPr>
          <w:rFonts w:eastAsia="Calibri"/>
          <w:lang w:bidi="he-IL"/>
        </w:rPr>
        <w:t xml:space="preserve">necessarily point to </w:t>
      </w:r>
      <w:r w:rsidR="0003112B">
        <w:rPr>
          <w:rFonts w:eastAsia="Calibri"/>
          <w:lang w:bidi="he-IL"/>
        </w:rPr>
        <w:t xml:space="preserve">the mythologem’s </w:t>
      </w:r>
      <w:r w:rsidR="00EA0222">
        <w:rPr>
          <w:rFonts w:eastAsia="Calibri"/>
          <w:lang w:bidi="he-IL"/>
        </w:rPr>
        <w:t xml:space="preserve">origin in </w:t>
      </w:r>
      <w:r w:rsidR="00475A03">
        <w:rPr>
          <w:rFonts w:eastAsia="Calibri"/>
          <w:lang w:bidi="he-IL"/>
        </w:rPr>
        <w:t xml:space="preserve">Mesopotamian </w:t>
      </w:r>
      <w:r w:rsidR="00EA0222">
        <w:rPr>
          <w:rFonts w:eastAsia="Calibri"/>
          <w:lang w:bidi="he-IL"/>
        </w:rPr>
        <w:t>culture</w:t>
      </w:r>
      <w:r w:rsidR="003D75B6">
        <w:rPr>
          <w:rFonts w:eastAsia="Calibri"/>
          <w:lang w:bidi="he-IL"/>
        </w:rPr>
        <w:t>? O</w:t>
      </w:r>
      <w:r w:rsidR="00EA0222">
        <w:rPr>
          <w:rFonts w:eastAsia="Calibri"/>
          <w:lang w:bidi="he-IL"/>
        </w:rPr>
        <w:t>r</w:t>
      </w:r>
      <w:r w:rsidR="003D75B6">
        <w:rPr>
          <w:rFonts w:eastAsia="Calibri"/>
          <w:lang w:bidi="he-IL"/>
        </w:rPr>
        <w:t xml:space="preserve"> perhaps</w:t>
      </w:r>
      <w:r w:rsidR="00383B0B">
        <w:rPr>
          <w:rFonts w:eastAsia="Calibri"/>
          <w:lang w:bidi="he-IL"/>
        </w:rPr>
        <w:t xml:space="preserve"> this mythic pattern</w:t>
      </w:r>
      <w:r w:rsidR="00EA0222">
        <w:rPr>
          <w:rFonts w:eastAsia="Calibri"/>
          <w:lang w:bidi="he-IL"/>
        </w:rPr>
        <w:t xml:space="preserve"> </w:t>
      </w:r>
      <w:r w:rsidR="007C079D">
        <w:rPr>
          <w:rFonts w:eastAsia="Calibri"/>
          <w:lang w:bidi="he-IL"/>
        </w:rPr>
        <w:t>should</w:t>
      </w:r>
      <w:r w:rsidR="0003112B">
        <w:rPr>
          <w:rFonts w:eastAsia="Calibri"/>
          <w:lang w:bidi="he-IL"/>
        </w:rPr>
        <w:t xml:space="preserve"> be</w:t>
      </w:r>
      <w:r w:rsidR="009E5DF9">
        <w:rPr>
          <w:rFonts w:eastAsia="Calibri"/>
          <w:lang w:bidi="he-IL"/>
        </w:rPr>
        <w:t xml:space="preserve"> </w:t>
      </w:r>
      <w:r w:rsidR="000A7607">
        <w:rPr>
          <w:rFonts w:eastAsia="Calibri"/>
          <w:lang w:bidi="he-IL"/>
        </w:rPr>
        <w:t>traced</w:t>
      </w:r>
      <w:r w:rsidR="00EA0222">
        <w:rPr>
          <w:rFonts w:eastAsia="Calibri"/>
          <w:lang w:bidi="he-IL"/>
        </w:rPr>
        <w:t xml:space="preserve"> </w:t>
      </w:r>
      <w:r w:rsidR="00641BC3">
        <w:rPr>
          <w:rFonts w:eastAsia="Calibri"/>
          <w:lang w:bidi="he-IL"/>
        </w:rPr>
        <w:t xml:space="preserve">back </w:t>
      </w:r>
      <w:r w:rsidR="000C1B5F">
        <w:rPr>
          <w:rFonts w:eastAsia="Calibri"/>
          <w:lang w:bidi="he-IL"/>
        </w:rPr>
        <w:t xml:space="preserve">to </w:t>
      </w:r>
      <w:r w:rsidR="00EA0222">
        <w:rPr>
          <w:rFonts w:eastAsia="Calibri"/>
          <w:lang w:bidi="he-IL"/>
        </w:rPr>
        <w:t xml:space="preserve">the Amorite tribes that migrated from </w:t>
      </w:r>
      <w:r w:rsidR="005063C5">
        <w:rPr>
          <w:rFonts w:eastAsia="Calibri"/>
          <w:lang w:bidi="he-IL"/>
        </w:rPr>
        <w:t>W</w:t>
      </w:r>
      <w:r w:rsidR="00EA0222">
        <w:rPr>
          <w:rFonts w:eastAsia="Calibri"/>
          <w:lang w:bidi="he-IL"/>
        </w:rPr>
        <w:t>est</w:t>
      </w:r>
      <w:r w:rsidR="005063C5">
        <w:rPr>
          <w:rFonts w:eastAsia="Calibri"/>
          <w:lang w:bidi="he-IL"/>
        </w:rPr>
        <w:t>ern-Semitic region</w:t>
      </w:r>
      <w:r w:rsidR="00DE3CEC">
        <w:rPr>
          <w:rFonts w:eastAsia="Calibri"/>
          <w:lang w:bidi="he-IL"/>
        </w:rPr>
        <w:t>s</w:t>
      </w:r>
      <w:r w:rsidR="00EA0222">
        <w:rPr>
          <w:rFonts w:eastAsia="Calibri"/>
          <w:lang w:bidi="he-IL"/>
        </w:rPr>
        <w:t xml:space="preserve"> to Mari </w:t>
      </w:r>
      <w:r w:rsidR="00EA0222">
        <w:rPr>
          <w:lang w:bidi="he-IL"/>
        </w:rPr>
        <w:t xml:space="preserve">towards the end </w:t>
      </w:r>
      <w:r w:rsidR="00EA0222">
        <w:rPr>
          <w:rFonts w:eastAsia="Calibri"/>
          <w:lang w:bidi="he-IL"/>
        </w:rPr>
        <w:t>of the third millennium BCE</w:t>
      </w:r>
      <w:r w:rsidR="00054001">
        <w:rPr>
          <w:lang w:bidi="he-IL"/>
        </w:rPr>
        <w:t>?</w:t>
      </w:r>
      <w:r w:rsidR="00FC1962">
        <w:rPr>
          <w:lang w:bidi="he-IL"/>
        </w:rPr>
        <w:t xml:space="preserve"> </w:t>
      </w:r>
      <w:r w:rsidR="00054001">
        <w:rPr>
          <w:lang w:bidi="he-IL"/>
        </w:rPr>
        <w:t xml:space="preserve">After all, scholars </w:t>
      </w:r>
      <w:r w:rsidR="007D01B0">
        <w:rPr>
          <w:lang w:bidi="he-IL"/>
        </w:rPr>
        <w:t xml:space="preserve">have long </w:t>
      </w:r>
      <w:r w:rsidR="00EB536F">
        <w:rPr>
          <w:lang w:bidi="he-IL"/>
        </w:rPr>
        <w:t>drawn attention to</w:t>
      </w:r>
      <w:r w:rsidR="007D01B0">
        <w:rPr>
          <w:lang w:bidi="he-IL"/>
        </w:rPr>
        <w:t xml:space="preserve"> the Western-Semitic characteristics of Mari’s Amorite culture</w:t>
      </w:r>
      <w:r w:rsidR="00C13DF7">
        <w:rPr>
          <w:lang w:bidi="he-IL"/>
        </w:rPr>
        <w:t xml:space="preserve">, </w:t>
      </w:r>
      <w:r w:rsidR="00EA0222">
        <w:rPr>
          <w:lang w:bidi="he-IL"/>
        </w:rPr>
        <w:t xml:space="preserve">such as </w:t>
      </w:r>
      <w:r w:rsidR="007D01B0" w:rsidRPr="00A47B88">
        <w:rPr>
          <w:rFonts w:cstheme="majorBidi"/>
          <w:lang w:val="en-GB" w:bidi="he-IL"/>
        </w:rPr>
        <w:t>intuitive prophecy, the</w:t>
      </w:r>
      <w:r w:rsidR="00C13DF7">
        <w:rPr>
          <w:rFonts w:cstheme="majorBidi"/>
          <w:lang w:val="en-GB" w:bidi="he-IL"/>
        </w:rPr>
        <w:t xml:space="preserve"> </w:t>
      </w:r>
      <w:r w:rsidR="00C13DF7" w:rsidRPr="00A47B88">
        <w:rPr>
          <w:rFonts w:cstheme="majorBidi"/>
          <w:lang w:val="en-GB" w:bidi="he-IL"/>
        </w:rPr>
        <w:t>“</w:t>
      </w:r>
      <w:proofErr w:type="spellStart"/>
      <w:r w:rsidR="00C13DF7" w:rsidRPr="00A47B88">
        <w:rPr>
          <w:rFonts w:cstheme="majorBidi"/>
          <w:i/>
          <w:iCs/>
          <w:lang w:val="en-GB" w:bidi="he-IL"/>
        </w:rPr>
        <w:t>qatālum</w:t>
      </w:r>
      <w:proofErr w:type="spellEnd"/>
      <w:r w:rsidR="00C13DF7" w:rsidRPr="00A47B88">
        <w:rPr>
          <w:rFonts w:cstheme="majorBidi"/>
          <w:i/>
          <w:iCs/>
          <w:lang w:val="en-GB" w:bidi="he-IL"/>
        </w:rPr>
        <w:t xml:space="preserve"> </w:t>
      </w:r>
      <w:proofErr w:type="spellStart"/>
      <w:r w:rsidR="00C13DF7" w:rsidRPr="00A47B88">
        <w:rPr>
          <w:rFonts w:cstheme="majorBidi"/>
          <w:i/>
          <w:iCs/>
          <w:lang w:val="en-GB" w:bidi="he-IL"/>
        </w:rPr>
        <w:t>ḫayaram</w:t>
      </w:r>
      <w:proofErr w:type="spellEnd"/>
      <w:r w:rsidR="00C13DF7" w:rsidRPr="00A47B88">
        <w:rPr>
          <w:rFonts w:cstheme="majorBidi"/>
          <w:lang w:val="en-GB" w:bidi="he-IL"/>
        </w:rPr>
        <w:t xml:space="preserve">” </w:t>
      </w:r>
      <w:r w:rsidR="007D01B0" w:rsidRPr="00A47B88">
        <w:rPr>
          <w:rFonts w:cstheme="majorBidi"/>
          <w:lang w:val="en-GB" w:bidi="he-IL"/>
        </w:rPr>
        <w:t>treaty ritual</w:t>
      </w:r>
      <w:r w:rsidR="00C13DF7">
        <w:rPr>
          <w:rFonts w:cstheme="majorBidi"/>
          <w:lang w:val="en-GB" w:bidi="he-IL"/>
        </w:rPr>
        <w:t>,</w:t>
      </w:r>
      <w:r w:rsidR="007D01B0" w:rsidRPr="00A47B88">
        <w:rPr>
          <w:rFonts w:cstheme="majorBidi"/>
          <w:lang w:val="en-GB" w:bidi="he-IL"/>
        </w:rPr>
        <w:t xml:space="preserve"> the </w:t>
      </w:r>
      <w:proofErr w:type="spellStart"/>
      <w:r w:rsidR="007D01B0" w:rsidRPr="00A47B88">
        <w:rPr>
          <w:rFonts w:cstheme="majorBidi"/>
          <w:lang w:val="en-GB" w:bidi="he-IL"/>
        </w:rPr>
        <w:t>Zukru</w:t>
      </w:r>
      <w:proofErr w:type="spellEnd"/>
      <w:r w:rsidR="00237144">
        <w:rPr>
          <w:rFonts w:cstheme="majorBidi"/>
          <w:lang w:val="en-GB" w:bidi="he-IL"/>
        </w:rPr>
        <w:t>(</w:t>
      </w:r>
      <w:r w:rsidR="007D01B0" w:rsidRPr="00A47B88">
        <w:rPr>
          <w:rFonts w:cstheme="majorBidi"/>
          <w:lang w:val="en-GB" w:bidi="he-IL"/>
        </w:rPr>
        <w:t>m</w:t>
      </w:r>
      <w:r w:rsidR="00237144">
        <w:rPr>
          <w:rFonts w:cstheme="majorBidi"/>
          <w:lang w:val="en-GB" w:bidi="he-IL"/>
        </w:rPr>
        <w:t>)</w:t>
      </w:r>
      <w:r w:rsidR="007D01B0" w:rsidRPr="00A47B88">
        <w:rPr>
          <w:rFonts w:cstheme="majorBidi"/>
          <w:lang w:val="en-GB" w:bidi="he-IL"/>
        </w:rPr>
        <w:t xml:space="preserve"> festival and</w:t>
      </w:r>
      <w:r w:rsidR="00237144">
        <w:rPr>
          <w:rFonts w:cstheme="majorBidi"/>
          <w:lang w:val="en-GB" w:bidi="he-IL"/>
        </w:rPr>
        <w:t xml:space="preserve"> their</w:t>
      </w:r>
      <w:r w:rsidR="007D01B0" w:rsidRPr="00A47B88">
        <w:rPr>
          <w:rFonts w:cstheme="majorBidi"/>
          <w:lang w:val="en-GB" w:bidi="he-IL"/>
        </w:rPr>
        <w:t xml:space="preserve"> acquaintance with the myth of </w:t>
      </w:r>
      <w:r w:rsidR="00832723">
        <w:rPr>
          <w:rFonts w:cstheme="majorBidi"/>
          <w:lang w:val="en-GB" w:bidi="he-IL"/>
        </w:rPr>
        <w:t>the Storm-god</w:t>
      </w:r>
      <w:r w:rsidR="00832723" w:rsidRPr="00A47B88">
        <w:rPr>
          <w:rFonts w:cstheme="majorBidi"/>
          <w:lang w:val="en-GB" w:bidi="he-IL"/>
        </w:rPr>
        <w:t xml:space="preserve"> </w:t>
      </w:r>
      <w:r w:rsidR="007D01B0" w:rsidRPr="00A47B88">
        <w:rPr>
          <w:rFonts w:cstheme="majorBidi"/>
          <w:lang w:val="en-GB" w:bidi="he-IL"/>
        </w:rPr>
        <w:t>vs. Sea</w:t>
      </w:r>
      <w:r w:rsidR="007D01B0">
        <w:rPr>
          <w:lang w:bidi="he-IL"/>
        </w:rPr>
        <w:t>;</w:t>
      </w:r>
      <w:r w:rsidR="007D01B0">
        <w:rPr>
          <w:rStyle w:val="FootnoteReference"/>
          <w:rFonts w:eastAsia="Calibri"/>
          <w:lang w:bidi="he-IL"/>
        </w:rPr>
        <w:footnoteReference w:id="3"/>
      </w:r>
      <w:r w:rsidR="007D01B0">
        <w:rPr>
          <w:lang w:bidi="he-IL"/>
        </w:rPr>
        <w:t xml:space="preserve"> </w:t>
      </w:r>
      <w:r w:rsidR="00DE3CEC">
        <w:rPr>
          <w:lang w:bidi="he-IL"/>
        </w:rPr>
        <w:t>m</w:t>
      </w:r>
      <w:r w:rsidR="003D2D73">
        <w:rPr>
          <w:lang w:bidi="he-IL"/>
        </w:rPr>
        <w:t xml:space="preserve">ight </w:t>
      </w:r>
      <w:r w:rsidR="0002470F">
        <w:rPr>
          <w:rFonts w:eastAsia="Calibri"/>
          <w:lang w:bidi="he-IL"/>
        </w:rPr>
        <w:t>this be another</w:t>
      </w:r>
      <w:r w:rsidR="000C1B5F">
        <w:rPr>
          <w:rFonts w:eastAsia="Calibri"/>
          <w:lang w:bidi="he-IL"/>
        </w:rPr>
        <w:t xml:space="preserve"> one</w:t>
      </w:r>
      <w:r w:rsidR="0002470F">
        <w:rPr>
          <w:rFonts w:eastAsia="Calibri"/>
          <w:lang w:bidi="he-IL"/>
        </w:rPr>
        <w:t xml:space="preserve"> of those characteristics</w:t>
      </w:r>
      <w:r w:rsidR="0002470F" w:rsidRPr="0002470F">
        <w:rPr>
          <w:lang w:bidi="he-IL"/>
        </w:rPr>
        <w:t>?</w:t>
      </w:r>
      <w:r w:rsidR="00741D58" w:rsidDel="0002470F">
        <w:rPr>
          <w:lang w:bidi="he-IL"/>
        </w:rPr>
        <w:t xml:space="preserve"> </w:t>
      </w:r>
      <w:bookmarkEnd w:id="0"/>
    </w:p>
    <w:p w14:paraId="08DB9095" w14:textId="47C4E531" w:rsidR="007D01B0" w:rsidRDefault="007D01B0" w:rsidP="00CF33D5">
      <w:pPr>
        <w:rPr>
          <w:lang w:bidi="he-IL"/>
        </w:rPr>
      </w:pPr>
      <w:r>
        <w:rPr>
          <w:lang w:bidi="he-IL"/>
        </w:rPr>
        <w:lastRenderedPageBreak/>
        <w:t xml:space="preserve">In order to broach this question, I </w:t>
      </w:r>
      <w:r w:rsidR="00741D58">
        <w:rPr>
          <w:rFonts w:eastAsia="Calibri"/>
          <w:lang w:bidi="he-IL"/>
        </w:rPr>
        <w:t xml:space="preserve">will survey in brief the </w:t>
      </w:r>
      <w:r w:rsidR="00DE3CEC">
        <w:rPr>
          <w:rFonts w:eastAsia="Calibri"/>
          <w:lang w:bidi="he-IL"/>
        </w:rPr>
        <w:t xml:space="preserve">available </w:t>
      </w:r>
      <w:r w:rsidR="00741D58">
        <w:rPr>
          <w:rFonts w:eastAsia="Calibri"/>
          <w:lang w:bidi="he-IL"/>
        </w:rPr>
        <w:t xml:space="preserve">evidence for </w:t>
      </w:r>
      <w:r w:rsidR="005063C5">
        <w:rPr>
          <w:rFonts w:eastAsia="Calibri"/>
          <w:lang w:bidi="he-IL"/>
        </w:rPr>
        <w:t xml:space="preserve">the mythologem of </w:t>
      </w:r>
      <w:r w:rsidR="00741D58">
        <w:rPr>
          <w:rFonts w:eastAsia="Calibri"/>
          <w:lang w:bidi="he-IL"/>
        </w:rPr>
        <w:t>dying and rising gods</w:t>
      </w:r>
      <w:r w:rsidR="00383B0B">
        <w:rPr>
          <w:rFonts w:eastAsia="Calibri"/>
          <w:lang w:bidi="he-IL"/>
        </w:rPr>
        <w:t xml:space="preserve"> </w:t>
      </w:r>
      <w:r w:rsidR="00383B0B">
        <w:t xml:space="preserve">in the cultures neighboring Mari to the East and </w:t>
      </w:r>
      <w:r w:rsidR="001C2A14">
        <w:t xml:space="preserve">to </w:t>
      </w:r>
      <w:r w:rsidR="00383B0B">
        <w:t>the West</w:t>
      </w:r>
      <w:r w:rsidR="00C645F9">
        <w:rPr>
          <w:lang w:bidi="he-IL"/>
        </w:rPr>
        <w:t xml:space="preserve">: beginning with </w:t>
      </w:r>
      <w:r>
        <w:rPr>
          <w:lang w:bidi="he-IL"/>
        </w:rPr>
        <w:t xml:space="preserve">Mesopotamian </w:t>
      </w:r>
      <w:r w:rsidR="00383B0B">
        <w:rPr>
          <w:lang w:bidi="he-IL"/>
        </w:rPr>
        <w:t>records</w:t>
      </w:r>
      <w:r w:rsidR="00221271">
        <w:rPr>
          <w:lang w:bidi="he-IL"/>
        </w:rPr>
        <w:t xml:space="preserve">, </w:t>
      </w:r>
      <w:r w:rsidR="005063C5">
        <w:rPr>
          <w:lang w:bidi="he-IL"/>
        </w:rPr>
        <w:t xml:space="preserve">some of </w:t>
      </w:r>
      <w:r w:rsidR="00DE3CEC">
        <w:rPr>
          <w:lang w:bidi="he-IL"/>
        </w:rPr>
        <w:t>which</w:t>
      </w:r>
      <w:r w:rsidR="005063C5">
        <w:rPr>
          <w:lang w:bidi="he-IL"/>
        </w:rPr>
        <w:t xml:space="preserve"> </w:t>
      </w:r>
      <w:r w:rsidR="00CF33D5" w:rsidRPr="00CF33D5">
        <w:rPr>
          <w:lang w:bidi="he-IL"/>
        </w:rPr>
        <w:t xml:space="preserve">belong to the </w:t>
      </w:r>
      <w:r w:rsidR="00CF33D5">
        <w:rPr>
          <w:lang w:bidi="he-IL"/>
        </w:rPr>
        <w:t>earlie</w:t>
      </w:r>
      <w:r w:rsidR="00383B0B">
        <w:rPr>
          <w:lang w:bidi="he-IL"/>
        </w:rPr>
        <w:t>st</w:t>
      </w:r>
      <w:r w:rsidR="00CF33D5" w:rsidRPr="00CF33D5">
        <w:rPr>
          <w:lang w:bidi="he-IL"/>
        </w:rPr>
        <w:t xml:space="preserve"> discoveries </w:t>
      </w:r>
      <w:r w:rsidR="005063C5">
        <w:rPr>
          <w:lang w:bidi="he-IL"/>
        </w:rPr>
        <w:t>o</w:t>
      </w:r>
      <w:r w:rsidR="00CF33D5">
        <w:rPr>
          <w:lang w:bidi="he-IL"/>
        </w:rPr>
        <w:t>f cuneiform</w:t>
      </w:r>
      <w:r w:rsidR="00B82A29">
        <w:rPr>
          <w:lang w:bidi="he-IL"/>
        </w:rPr>
        <w:t xml:space="preserve"> </w:t>
      </w:r>
      <w:r w:rsidR="0026123A">
        <w:rPr>
          <w:lang w:bidi="he-IL"/>
        </w:rPr>
        <w:t>scholarship</w:t>
      </w:r>
      <w:r w:rsidR="00CF33D5" w:rsidRPr="00CF33D5">
        <w:rPr>
          <w:lang w:bidi="he-IL"/>
        </w:rPr>
        <w:t>; proceed</w:t>
      </w:r>
      <w:r w:rsidR="00CF33D5">
        <w:rPr>
          <w:lang w:bidi="he-IL"/>
        </w:rPr>
        <w:t>ing</w:t>
      </w:r>
      <w:r w:rsidR="00CF33D5" w:rsidRPr="00CF33D5">
        <w:rPr>
          <w:lang w:bidi="he-IL"/>
        </w:rPr>
        <w:t xml:space="preserve"> to </w:t>
      </w:r>
      <w:r w:rsidR="00CF33D5">
        <w:rPr>
          <w:lang w:bidi="he-IL"/>
        </w:rPr>
        <w:t xml:space="preserve">the </w:t>
      </w:r>
      <w:r w:rsidR="00CF33D5" w:rsidRPr="00CF33D5">
        <w:rPr>
          <w:lang w:bidi="he-IL"/>
        </w:rPr>
        <w:t xml:space="preserve">relatively new </w:t>
      </w:r>
      <w:r w:rsidR="00DA059F">
        <w:rPr>
          <w:lang w:bidi="he-IL"/>
        </w:rPr>
        <w:t>records</w:t>
      </w:r>
      <w:r w:rsidR="00383B0B" w:rsidRPr="00CF33D5">
        <w:rPr>
          <w:lang w:bidi="he-IL"/>
        </w:rPr>
        <w:t xml:space="preserve"> </w:t>
      </w:r>
      <w:r w:rsidR="00CF33D5" w:rsidRPr="00CF33D5">
        <w:rPr>
          <w:lang w:bidi="he-IL"/>
        </w:rPr>
        <w:t>from Mari; and conclud</w:t>
      </w:r>
      <w:r w:rsidR="00CF33D5">
        <w:rPr>
          <w:lang w:bidi="he-IL"/>
        </w:rPr>
        <w:t>ing</w:t>
      </w:r>
      <w:r w:rsidR="00CF33D5" w:rsidRPr="00CF33D5">
        <w:rPr>
          <w:lang w:bidi="he-IL"/>
        </w:rPr>
        <w:t xml:space="preserve"> by examining</w:t>
      </w:r>
      <w:r w:rsidR="00DA059F">
        <w:rPr>
          <w:lang w:bidi="he-IL"/>
        </w:rPr>
        <w:t xml:space="preserve"> </w:t>
      </w:r>
      <w:r w:rsidR="00CF33D5" w:rsidRPr="00CF33D5">
        <w:rPr>
          <w:lang w:bidi="he-IL"/>
        </w:rPr>
        <w:t xml:space="preserve"> </w:t>
      </w:r>
      <w:r w:rsidR="008F0850">
        <w:rPr>
          <w:lang w:bidi="he-IL"/>
        </w:rPr>
        <w:t xml:space="preserve">records from the </w:t>
      </w:r>
      <w:r w:rsidR="00197CC9">
        <w:rPr>
          <w:lang w:bidi="he-IL"/>
        </w:rPr>
        <w:t xml:space="preserve">Levant, </w:t>
      </w:r>
      <w:r w:rsidR="0003112B">
        <w:rPr>
          <w:lang w:bidi="he-IL"/>
        </w:rPr>
        <w:t>primarily represented</w:t>
      </w:r>
      <w:r w:rsidR="00197CC9">
        <w:rPr>
          <w:lang w:bidi="he-IL"/>
        </w:rPr>
        <w:t xml:space="preserve"> by Ugaritic literature</w:t>
      </w:r>
      <w:r w:rsidR="00CF33D5" w:rsidRPr="00CF33D5">
        <w:rPr>
          <w:lang w:bidi="he-IL"/>
        </w:rPr>
        <w:t xml:space="preserve">. </w:t>
      </w:r>
      <w:r>
        <w:rPr>
          <w:lang w:bidi="he-IL"/>
        </w:rPr>
        <w:t xml:space="preserve">In light of these findings, I will </w:t>
      </w:r>
      <w:r w:rsidR="00CF33D5">
        <w:rPr>
          <w:lang w:bidi="he-IL"/>
        </w:rPr>
        <w:t xml:space="preserve">suggest </w:t>
      </w:r>
      <w:r>
        <w:rPr>
          <w:lang w:bidi="he-IL"/>
        </w:rPr>
        <w:t>a new perspective on the question of dying and rising gods</w:t>
      </w:r>
      <w:r w:rsidR="00C645F9">
        <w:rPr>
          <w:lang w:bidi="he-IL"/>
        </w:rPr>
        <w:t xml:space="preserve"> in general</w:t>
      </w:r>
      <w:r>
        <w:rPr>
          <w:lang w:bidi="he-IL"/>
        </w:rPr>
        <w:t xml:space="preserve">, </w:t>
      </w:r>
      <w:r w:rsidR="00C645F9">
        <w:rPr>
          <w:lang w:bidi="he-IL"/>
        </w:rPr>
        <w:t>and the resurrection of</w:t>
      </w:r>
      <w:r>
        <w:rPr>
          <w:lang w:bidi="he-IL"/>
        </w:rPr>
        <w:t xml:space="preserve"> Dumuzi</w:t>
      </w:r>
      <w:r w:rsidR="00C645F9">
        <w:rPr>
          <w:lang w:bidi="he-IL"/>
        </w:rPr>
        <w:t xml:space="preserve"> </w:t>
      </w:r>
      <w:r w:rsidR="00CF33D5">
        <w:rPr>
          <w:lang w:bidi="he-IL"/>
        </w:rPr>
        <w:t>in particular</w:t>
      </w:r>
      <w:r>
        <w:rPr>
          <w:lang w:bidi="he-IL"/>
        </w:rPr>
        <w:t xml:space="preserve">, </w:t>
      </w:r>
      <w:r w:rsidR="00CF33D5">
        <w:rPr>
          <w:lang w:bidi="he-IL"/>
        </w:rPr>
        <w:t xml:space="preserve">questions </w:t>
      </w:r>
      <w:r>
        <w:rPr>
          <w:lang w:bidi="he-IL"/>
        </w:rPr>
        <w:t xml:space="preserve">that have </w:t>
      </w:r>
      <w:r w:rsidR="00CF33D5">
        <w:rPr>
          <w:lang w:bidi="he-IL"/>
        </w:rPr>
        <w:t xml:space="preserve">engaged </w:t>
      </w:r>
      <w:r>
        <w:rPr>
          <w:lang w:bidi="he-IL"/>
        </w:rPr>
        <w:t>scholars since the late nineteenth century</w:t>
      </w:r>
      <w:del w:id="1" w:author="Avraham Kallenbah" w:date="2021-04-18T14:12:00Z">
        <w:r w:rsidR="00CF33D5" w:rsidDel="00563EFB">
          <w:rPr>
            <w:lang w:bidi="he-IL"/>
          </w:rPr>
          <w:delText xml:space="preserve"> </w:delText>
        </w:r>
        <w:commentRangeStart w:id="2"/>
        <w:commentRangeStart w:id="3"/>
        <w:commentRangeStart w:id="4"/>
        <w:r w:rsidR="00CF33D5" w:rsidDel="00563EFB">
          <w:rPr>
            <w:lang w:bidi="he-IL"/>
          </w:rPr>
          <w:delText>CE</w:delText>
        </w:r>
        <w:commentRangeEnd w:id="2"/>
        <w:r w:rsidR="00F274DA" w:rsidDel="00563EFB">
          <w:rPr>
            <w:rStyle w:val="CommentReference"/>
          </w:rPr>
          <w:commentReference w:id="2"/>
        </w:r>
        <w:commentRangeEnd w:id="3"/>
        <w:r w:rsidR="007C079D" w:rsidDel="00563EFB">
          <w:rPr>
            <w:rStyle w:val="CommentReference"/>
          </w:rPr>
          <w:commentReference w:id="3"/>
        </w:r>
        <w:commentRangeEnd w:id="4"/>
        <w:r w:rsidR="00BE697F" w:rsidDel="00563EFB">
          <w:rPr>
            <w:rStyle w:val="CommentReference"/>
          </w:rPr>
          <w:commentReference w:id="4"/>
        </w:r>
      </w:del>
      <w:r>
        <w:rPr>
          <w:lang w:bidi="he-IL"/>
        </w:rPr>
        <w:t>.</w:t>
      </w:r>
    </w:p>
    <w:p w14:paraId="52391263" w14:textId="77777777" w:rsidR="00221271" w:rsidRDefault="00221271" w:rsidP="00CF33D5">
      <w:pPr>
        <w:rPr>
          <w:lang w:bidi="he-IL"/>
        </w:rPr>
      </w:pPr>
    </w:p>
    <w:p w14:paraId="75E92A25" w14:textId="0719E13A" w:rsidR="007D01B0" w:rsidRPr="008D504D" w:rsidRDefault="007D01B0" w:rsidP="00CA5FD2">
      <w:pPr>
        <w:pStyle w:val="Heading2"/>
        <w:ind w:firstLine="0"/>
        <w:jc w:val="center"/>
        <w:rPr>
          <w:sz w:val="24"/>
          <w:szCs w:val="24"/>
          <w:rtl/>
        </w:rPr>
      </w:pPr>
      <w:r w:rsidRPr="00241532">
        <w:rPr>
          <w:sz w:val="24"/>
          <w:szCs w:val="24"/>
        </w:rPr>
        <w:t xml:space="preserve">A. Dumuzi as a dying and rising god in </w:t>
      </w:r>
      <w:r w:rsidR="00F90896" w:rsidRPr="00241532">
        <w:rPr>
          <w:sz w:val="24"/>
          <w:szCs w:val="24"/>
        </w:rPr>
        <w:t>Mesopotamia</w:t>
      </w:r>
      <w:r w:rsidRPr="00241532">
        <w:rPr>
          <w:sz w:val="24"/>
          <w:szCs w:val="24"/>
        </w:rPr>
        <w:t xml:space="preserve">: </w:t>
      </w:r>
      <w:r w:rsidR="00126952">
        <w:rPr>
          <w:sz w:val="24"/>
          <w:szCs w:val="24"/>
        </w:rPr>
        <w:t>A</w:t>
      </w:r>
      <w:r w:rsidR="00785E15" w:rsidRPr="00241532">
        <w:rPr>
          <w:sz w:val="24"/>
          <w:szCs w:val="24"/>
        </w:rPr>
        <w:t xml:space="preserve"> </w:t>
      </w:r>
      <w:r w:rsidR="005063C5" w:rsidRPr="00241532">
        <w:rPr>
          <w:sz w:val="24"/>
          <w:szCs w:val="24"/>
        </w:rPr>
        <w:t>b</w:t>
      </w:r>
      <w:r w:rsidR="00785E15" w:rsidRPr="00241532">
        <w:rPr>
          <w:sz w:val="24"/>
          <w:szCs w:val="24"/>
        </w:rPr>
        <w:t xml:space="preserve">rief </w:t>
      </w:r>
      <w:r w:rsidR="005063C5" w:rsidRPr="00241532">
        <w:rPr>
          <w:sz w:val="24"/>
          <w:szCs w:val="24"/>
        </w:rPr>
        <w:t>o</w:t>
      </w:r>
      <w:r w:rsidRPr="00241532">
        <w:rPr>
          <w:sz w:val="24"/>
          <w:szCs w:val="24"/>
        </w:rPr>
        <w:t xml:space="preserve">verview of </w:t>
      </w:r>
      <w:r w:rsidR="003430CC" w:rsidRPr="00241532">
        <w:rPr>
          <w:sz w:val="24"/>
          <w:szCs w:val="24"/>
        </w:rPr>
        <w:t>the t</w:t>
      </w:r>
      <w:r w:rsidRPr="00241532">
        <w:rPr>
          <w:sz w:val="24"/>
          <w:szCs w:val="24"/>
        </w:rPr>
        <w:t xml:space="preserve">extual </w:t>
      </w:r>
      <w:r w:rsidR="003430CC" w:rsidRPr="00241532">
        <w:rPr>
          <w:sz w:val="24"/>
          <w:szCs w:val="24"/>
        </w:rPr>
        <w:t>e</w:t>
      </w:r>
      <w:r w:rsidRPr="00241532">
        <w:rPr>
          <w:sz w:val="24"/>
          <w:szCs w:val="24"/>
        </w:rPr>
        <w:t>vidence</w:t>
      </w:r>
      <w:r w:rsidR="003430CC" w:rsidRPr="00241532">
        <w:rPr>
          <w:sz w:val="24"/>
          <w:szCs w:val="24"/>
        </w:rPr>
        <w:t xml:space="preserve"> and related </w:t>
      </w:r>
      <w:r w:rsidR="008B36BE">
        <w:rPr>
          <w:sz w:val="24"/>
          <w:szCs w:val="24"/>
        </w:rPr>
        <w:t>scholarship</w:t>
      </w:r>
    </w:p>
    <w:p w14:paraId="0D02CEB2" w14:textId="6D1B2D75" w:rsidR="007D01B0" w:rsidRPr="00A47B88" w:rsidRDefault="003430CC" w:rsidP="00F25DB5">
      <w:pPr>
        <w:ind w:firstLine="0"/>
        <w:rPr>
          <w:rFonts w:eastAsia="Calibri"/>
          <w:rtl/>
        </w:rPr>
      </w:pPr>
      <w:r>
        <w:t xml:space="preserve">References </w:t>
      </w:r>
      <w:r w:rsidR="002B608B">
        <w:t>to</w:t>
      </w:r>
      <w:r>
        <w:t xml:space="preserve"> </w:t>
      </w:r>
      <w:r w:rsidR="007D01B0">
        <w:t xml:space="preserve">Dumuzi’s death and the mourning rituals </w:t>
      </w:r>
      <w:r>
        <w:t xml:space="preserve">dedicated </w:t>
      </w:r>
      <w:r w:rsidR="00221271">
        <w:t>to him</w:t>
      </w:r>
      <w:r>
        <w:t xml:space="preserve"> </w:t>
      </w:r>
      <w:r w:rsidR="007D01B0">
        <w:t>have been preserved in</w:t>
      </w:r>
      <w:r w:rsidR="000F30BC">
        <w:t xml:space="preserve"> </w:t>
      </w:r>
      <w:r w:rsidR="007D01B0">
        <w:t>textual traditions from outside of Mesopotamia</w:t>
      </w:r>
      <w:r w:rsidR="002B608B">
        <w:t xml:space="preserve"> – </w:t>
      </w:r>
      <w:r w:rsidR="000F30BC">
        <w:t>such as</w:t>
      </w:r>
      <w:r w:rsidR="00785E15">
        <w:t xml:space="preserve"> </w:t>
      </w:r>
      <w:r w:rsidR="002B608B">
        <w:t xml:space="preserve">the </w:t>
      </w:r>
      <w:r w:rsidR="0022573B">
        <w:t>Jerusal</w:t>
      </w:r>
      <w:r w:rsidR="000F30BC">
        <w:t>e</w:t>
      </w:r>
      <w:r w:rsidR="0022573B">
        <w:t xml:space="preserve">mite </w:t>
      </w:r>
      <w:r w:rsidR="00F90896">
        <w:t>women</w:t>
      </w:r>
      <w:r w:rsidR="0022573B">
        <w:t xml:space="preserve"> </w:t>
      </w:r>
      <w:r w:rsidR="002B608B">
        <w:t>“</w:t>
      </w:r>
      <w:r w:rsidR="0022573B">
        <w:t>bewailing the Tammuz</w:t>
      </w:r>
      <w:r w:rsidR="002B608B">
        <w:t>” in Ezekiel 8,</w:t>
      </w:r>
      <w:r w:rsidR="007D01B0">
        <w:t xml:space="preserve"> and pagan</w:t>
      </w:r>
      <w:r w:rsidR="006F71A8">
        <w:t xml:space="preserve"> </w:t>
      </w:r>
      <w:r w:rsidR="00785E15">
        <w:t>women</w:t>
      </w:r>
      <w:r w:rsidR="0022573B">
        <w:t xml:space="preserve"> weeping </w:t>
      </w:r>
      <w:r w:rsidR="002B608B">
        <w:t>over</w:t>
      </w:r>
      <w:r w:rsidR="0022573B">
        <w:t xml:space="preserve"> </w:t>
      </w:r>
      <w:proofErr w:type="spellStart"/>
      <w:r w:rsidR="0022573B" w:rsidRPr="003E3DD2">
        <w:t>Tāwuz</w:t>
      </w:r>
      <w:proofErr w:type="spellEnd"/>
      <w:r w:rsidR="002B608B">
        <w:t xml:space="preserve"> in An-</w:t>
      </w:r>
      <w:proofErr w:type="spellStart"/>
      <w:r w:rsidR="002B608B">
        <w:t>Nadīm’s</w:t>
      </w:r>
      <w:proofErr w:type="spellEnd"/>
      <w:r w:rsidR="002B608B">
        <w:t xml:space="preserve"> </w:t>
      </w:r>
      <w:proofErr w:type="spellStart"/>
      <w:r w:rsidR="002B608B">
        <w:rPr>
          <w:i/>
          <w:iCs/>
        </w:rPr>
        <w:t>Fihrist</w:t>
      </w:r>
      <w:proofErr w:type="spellEnd"/>
      <w:r w:rsidR="002B608B">
        <w:t>.</w:t>
      </w:r>
      <w:r w:rsidR="007D01B0">
        <w:rPr>
          <w:rStyle w:val="FootnoteReference"/>
          <w:rFonts w:eastAsia="Calibri"/>
        </w:rPr>
        <w:footnoteReference w:id="4"/>
      </w:r>
      <w:r w:rsidR="007D01B0">
        <w:t xml:space="preserve"> </w:t>
      </w:r>
      <w:r w:rsidR="006F71A8">
        <w:rPr>
          <w:lang w:bidi="he-IL"/>
        </w:rPr>
        <w:t>Therefore</w:t>
      </w:r>
      <w:r w:rsidR="006F71A8">
        <w:rPr>
          <w:lang w:val="en-GB" w:bidi="he-IL"/>
        </w:rPr>
        <w:t xml:space="preserve">, </w:t>
      </w:r>
      <w:r w:rsidR="006F71A8">
        <w:t>when</w:t>
      </w:r>
      <w:r w:rsidR="00221271">
        <w:t xml:space="preserve"> modern</w:t>
      </w:r>
      <w:r w:rsidR="006F71A8">
        <w:t xml:space="preserve"> </w:t>
      </w:r>
      <w:r w:rsidR="00221271">
        <w:t>scholars of the late nineteenth and early twentieth centurie</w:t>
      </w:r>
      <w:r w:rsidR="007D01B0">
        <w:t>s</w:t>
      </w:r>
      <w:r w:rsidR="00221271">
        <w:t xml:space="preserve"> </w:t>
      </w:r>
      <w:r w:rsidR="000A4A8D">
        <w:t xml:space="preserve">first </w:t>
      </w:r>
      <w:r w:rsidR="007D01B0">
        <w:t>encountered cuneiform texts</w:t>
      </w:r>
      <w:r w:rsidR="00221271">
        <w:t xml:space="preserve"> </w:t>
      </w:r>
      <w:r w:rsidR="007D01B0">
        <w:t>lamenting the death of Dumuzi</w:t>
      </w:r>
      <w:r w:rsidR="0022573B">
        <w:t xml:space="preserve">, </w:t>
      </w:r>
      <w:r w:rsidR="007D01B0">
        <w:t xml:space="preserve">they rightfully connected </w:t>
      </w:r>
      <w:r w:rsidR="00924C0C">
        <w:t>them with those extra-Mesopotamian texts</w:t>
      </w:r>
      <w:r w:rsidR="00924C0C">
        <w:rPr>
          <w:i/>
          <w:iCs/>
        </w:rPr>
        <w:t>.</w:t>
      </w:r>
      <w:r w:rsidR="007D01B0">
        <w:t xml:space="preserve"> </w:t>
      </w:r>
      <w:r w:rsidR="00DA059F">
        <w:t>A</w:t>
      </w:r>
      <w:r w:rsidR="00924C0C">
        <w:t>nother set of non-Mesopotamian texts which refer</w:t>
      </w:r>
      <w:r w:rsidR="00D909C0">
        <w:t xml:space="preserve"> to</w:t>
      </w:r>
      <w:r w:rsidR="00924C0C">
        <w:t xml:space="preserve"> </w:t>
      </w:r>
      <w:r w:rsidR="00924C0C">
        <w:lastRenderedPageBreak/>
        <w:t xml:space="preserve">Tammuz, </w:t>
      </w:r>
      <w:r w:rsidR="007369FF">
        <w:t>familiar to Western scholars</w:t>
      </w:r>
      <w:r w:rsidR="00DA059F">
        <w:t xml:space="preserve"> for generations, was</w:t>
      </w:r>
      <w:r w:rsidR="00924C0C">
        <w:t xml:space="preserve"> the patristic writings of the first centuries CE, which identify the biblical Tammuz with the resurrected god Adonis.</w:t>
      </w:r>
      <w:r w:rsidR="00447D02">
        <w:rPr>
          <w:rStyle w:val="FootnoteReference"/>
        </w:rPr>
        <w:footnoteReference w:id="5"/>
      </w:r>
    </w:p>
    <w:p w14:paraId="3FC042E1" w14:textId="080CA55F" w:rsidR="007D01B0" w:rsidRPr="00A47B88" w:rsidRDefault="008D504D" w:rsidP="00927F7A">
      <w:pPr>
        <w:rPr>
          <w:rFonts w:eastAsia="Calibri"/>
        </w:rPr>
      </w:pPr>
      <w:r>
        <w:t>Influential e</w:t>
      </w:r>
      <w:r w:rsidR="00056917">
        <w:t>xample</w:t>
      </w:r>
      <w:r w:rsidR="004870BB">
        <w:t>s</w:t>
      </w:r>
      <w:r w:rsidR="00056917">
        <w:t xml:space="preserve"> </w:t>
      </w:r>
      <w:r>
        <w:t>include</w:t>
      </w:r>
      <w:r w:rsidR="007D01B0">
        <w:t xml:space="preserve"> </w:t>
      </w:r>
      <w:r w:rsidR="00056917">
        <w:t xml:space="preserve">the </w:t>
      </w:r>
      <w:r w:rsidR="007D01B0">
        <w:t xml:space="preserve">commentaries of Origen (c. 185-253 CE) </w:t>
      </w:r>
      <w:r w:rsidR="004870BB">
        <w:t xml:space="preserve">and </w:t>
      </w:r>
      <w:r w:rsidR="007D01B0">
        <w:t>Jerome (c. 345-419 CE)</w:t>
      </w:r>
      <w:r w:rsidR="006F6DB1">
        <w:t xml:space="preserve"> to Ezekiel 8</w:t>
      </w:r>
      <w:r w:rsidR="007D01B0">
        <w:t xml:space="preserve">. Both residents of Palestine, they comment upon the women </w:t>
      </w:r>
      <w:r w:rsidR="00856A5B">
        <w:t>who weep</w:t>
      </w:r>
      <w:r w:rsidR="007D01B0">
        <w:t xml:space="preserve"> over </w:t>
      </w:r>
      <w:r w:rsidR="00237144">
        <w:t xml:space="preserve">the </w:t>
      </w:r>
      <w:r w:rsidR="007D01B0">
        <w:t>Tam</w:t>
      </w:r>
      <w:r w:rsidR="004870BB">
        <w:t>m</w:t>
      </w:r>
      <w:r w:rsidR="007D01B0">
        <w:t>uz</w:t>
      </w:r>
      <w:r w:rsidR="002B608B">
        <w:t>, likening</w:t>
      </w:r>
      <w:r w:rsidR="007D01B0">
        <w:t xml:space="preserve"> </w:t>
      </w:r>
      <w:r w:rsidR="006F6DB1">
        <w:t>the latter</w:t>
      </w:r>
      <w:r w:rsidR="007D01B0">
        <w:t xml:space="preserve"> to Adonis</w:t>
      </w:r>
      <w:r w:rsidR="006F6DB1">
        <w:t xml:space="preserve">, </w:t>
      </w:r>
      <w:r w:rsidR="002B608B">
        <w:t>both of whom die</w:t>
      </w:r>
      <w:r w:rsidR="007D01B0">
        <w:t xml:space="preserve"> and </w:t>
      </w:r>
      <w:r w:rsidR="004870BB">
        <w:t>arise from the dead</w:t>
      </w:r>
      <w:r w:rsidR="007D01B0">
        <w:t xml:space="preserve">, in step with the agricultural </w:t>
      </w:r>
      <w:r w:rsidR="0040576C">
        <w:t>calendar</w:t>
      </w:r>
      <w:r w:rsidR="007D01B0">
        <w:t>:</w:t>
      </w:r>
    </w:p>
    <w:p w14:paraId="4DD27EC4" w14:textId="08AA6CC9" w:rsidR="007D01B0" w:rsidRPr="008D2656" w:rsidRDefault="007D01B0">
      <w:pPr>
        <w:pStyle w:val="Quote"/>
        <w:rPr>
          <w:lang w:val="en-GB"/>
        </w:rPr>
      </w:pPr>
      <w:r>
        <w:t xml:space="preserve">The one whom the Greeks call Adonis, is called </w:t>
      </w:r>
      <w:proofErr w:type="spellStart"/>
      <w:r>
        <w:t>Tammouz</w:t>
      </w:r>
      <w:proofErr w:type="spellEnd"/>
      <w:r>
        <w:t xml:space="preserve"> by the Hebrews and the Syrians, as they say… It seems that they perform a sort of rite every year: first they mourn him as dead, second they rejoice for him as if he had risen from the dead </w:t>
      </w:r>
      <w:r w:rsidR="005E16F3">
        <w:t>(</w:t>
      </w:r>
      <w:proofErr w:type="spellStart"/>
      <w:r w:rsidR="005E16F3" w:rsidRPr="005E16F3">
        <w:rPr>
          <w:lang w:val="en-GB"/>
        </w:rPr>
        <w:t>δεύτερον</w:t>
      </w:r>
      <w:proofErr w:type="spellEnd"/>
      <w:r w:rsidR="005E16F3" w:rsidRPr="005E16F3">
        <w:rPr>
          <w:lang w:val="en-GB"/>
        </w:rPr>
        <w:t xml:space="preserve"> </w:t>
      </w:r>
      <w:proofErr w:type="spellStart"/>
      <w:r w:rsidR="005E16F3" w:rsidRPr="005E16F3">
        <w:rPr>
          <w:lang w:val="en-GB"/>
        </w:rPr>
        <w:t>δὲ</w:t>
      </w:r>
      <w:proofErr w:type="spellEnd"/>
      <w:r w:rsidR="005E16F3" w:rsidRPr="005E16F3">
        <w:rPr>
          <w:lang w:val="en-GB"/>
        </w:rPr>
        <w:t xml:space="preserve"> </w:t>
      </w:r>
      <w:proofErr w:type="spellStart"/>
      <w:r w:rsidR="005E16F3" w:rsidRPr="005E16F3">
        <w:rPr>
          <w:lang w:val="en-GB"/>
        </w:rPr>
        <w:t>ὅτι</w:t>
      </w:r>
      <w:proofErr w:type="spellEnd"/>
      <w:r w:rsidR="005E16F3" w:rsidRPr="005E16F3">
        <w:rPr>
          <w:lang w:val="en-GB"/>
        </w:rPr>
        <w:t xml:space="preserve"> χα</w:t>
      </w:r>
      <w:proofErr w:type="spellStart"/>
      <w:r w:rsidR="005E16F3" w:rsidRPr="005E16F3">
        <w:rPr>
          <w:lang w:val="en-GB"/>
        </w:rPr>
        <w:t>ίρουσιν</w:t>
      </w:r>
      <w:proofErr w:type="spellEnd"/>
      <w:r w:rsidR="005E16F3" w:rsidRPr="005E16F3">
        <w:rPr>
          <w:lang w:val="en-GB"/>
        </w:rPr>
        <w:t xml:space="preserve"> ἐπ’ α</w:t>
      </w:r>
      <w:proofErr w:type="spellStart"/>
      <w:r w:rsidR="005E16F3" w:rsidRPr="005E16F3">
        <w:rPr>
          <w:lang w:val="en-GB"/>
        </w:rPr>
        <w:t>ὐτῷ</w:t>
      </w:r>
      <w:proofErr w:type="spellEnd"/>
      <w:r w:rsidR="005E16F3" w:rsidRPr="005E16F3">
        <w:rPr>
          <w:lang w:val="en-GB"/>
        </w:rPr>
        <w:t xml:space="preserve"> </w:t>
      </w:r>
      <w:proofErr w:type="spellStart"/>
      <w:r w:rsidR="005E16F3" w:rsidRPr="005E16F3">
        <w:rPr>
          <w:lang w:val="en-GB"/>
        </w:rPr>
        <w:t>ὡς</w:t>
      </w:r>
      <w:proofErr w:type="spellEnd"/>
      <w:r w:rsidR="005E16F3">
        <w:rPr>
          <w:lang w:val="en-GB"/>
        </w:rPr>
        <w:t xml:space="preserve"> </w:t>
      </w:r>
      <w:r w:rsidR="005E16F3" w:rsidRPr="005E16F3">
        <w:rPr>
          <w:lang w:val="en-GB"/>
        </w:rPr>
        <w:t xml:space="preserve">ἀπὸ </w:t>
      </w:r>
      <w:proofErr w:type="spellStart"/>
      <w:r w:rsidR="005E16F3" w:rsidRPr="005E16F3">
        <w:rPr>
          <w:lang w:val="en-GB"/>
        </w:rPr>
        <w:t>νεκρῶν</w:t>
      </w:r>
      <w:proofErr w:type="spellEnd"/>
      <w:r w:rsidR="005E16F3" w:rsidRPr="005E16F3">
        <w:rPr>
          <w:lang w:val="en-GB"/>
        </w:rPr>
        <w:t xml:space="preserve"> </w:t>
      </w:r>
      <w:proofErr w:type="spellStart"/>
      <w:r w:rsidR="005E16F3" w:rsidRPr="005E16F3">
        <w:rPr>
          <w:lang w:val="en-GB"/>
        </w:rPr>
        <w:t>ἀν</w:t>
      </w:r>
      <w:proofErr w:type="spellEnd"/>
      <w:r w:rsidR="005E16F3" w:rsidRPr="005E16F3">
        <w:rPr>
          <w:lang w:val="en-GB"/>
        </w:rPr>
        <w:t>αστάντι</w:t>
      </w:r>
      <w:r w:rsidR="005E16F3">
        <w:t>)</w:t>
      </w:r>
      <w:r>
        <w:t>… Those who understand the principle of the Greek myths… say that Adonis is a symbol of the fruits of the earth, which are mourned when they [i.e., the farmers] sow, but which rise from the dead, and therefore give joy to the farmers when they [i.e., the crops] grow</w:t>
      </w:r>
      <w:r w:rsidR="004870BB">
        <w:t xml:space="preserve"> </w:t>
      </w:r>
      <w:r w:rsidR="005E16F3">
        <w:t>(</w:t>
      </w:r>
      <w:proofErr w:type="spellStart"/>
      <w:r w:rsidR="005E16F3" w:rsidRPr="005E16F3">
        <w:rPr>
          <w:lang w:val="en-GB"/>
        </w:rPr>
        <w:t>ἀνιστ</w:t>
      </w:r>
      <w:proofErr w:type="spellEnd"/>
      <w:r w:rsidR="005E16F3" w:rsidRPr="005E16F3">
        <w:rPr>
          <w:lang w:val="en-GB"/>
        </w:rPr>
        <w:t xml:space="preserve">αμένων </w:t>
      </w:r>
      <w:proofErr w:type="spellStart"/>
      <w:r w:rsidR="005E16F3" w:rsidRPr="005E16F3">
        <w:rPr>
          <w:lang w:val="en-GB"/>
        </w:rPr>
        <w:t>δὲ</w:t>
      </w:r>
      <w:proofErr w:type="spellEnd"/>
      <w:r w:rsidR="005E16F3" w:rsidRPr="005E16F3">
        <w:rPr>
          <w:lang w:val="en-GB"/>
        </w:rPr>
        <w:t xml:space="preserve">, καὶ </w:t>
      </w:r>
      <w:proofErr w:type="spellStart"/>
      <w:r w:rsidR="005E16F3" w:rsidRPr="005E16F3">
        <w:rPr>
          <w:lang w:val="en-GB"/>
        </w:rPr>
        <w:t>διὰ</w:t>
      </w:r>
      <w:proofErr w:type="spellEnd"/>
      <w:r w:rsidR="005E16F3" w:rsidRPr="005E16F3">
        <w:rPr>
          <w:lang w:val="en-GB"/>
        </w:rPr>
        <w:t xml:space="preserve"> </w:t>
      </w:r>
      <w:proofErr w:type="spellStart"/>
      <w:r w:rsidR="005E16F3" w:rsidRPr="005E16F3">
        <w:rPr>
          <w:lang w:val="en-GB"/>
        </w:rPr>
        <w:t>τοῦτο</w:t>
      </w:r>
      <w:proofErr w:type="spellEnd"/>
      <w:r w:rsidR="005E16F3" w:rsidRPr="005E16F3">
        <w:rPr>
          <w:lang w:val="en-GB"/>
        </w:rPr>
        <w:t xml:space="preserve"> χα</w:t>
      </w:r>
      <w:proofErr w:type="spellStart"/>
      <w:r w:rsidR="005E16F3" w:rsidRPr="005E16F3">
        <w:rPr>
          <w:lang w:val="en-GB"/>
        </w:rPr>
        <w:t>ίρειν</w:t>
      </w:r>
      <w:proofErr w:type="spellEnd"/>
      <w:r w:rsidR="005E16F3" w:rsidRPr="005E16F3">
        <w:rPr>
          <w:lang w:val="en-GB"/>
        </w:rPr>
        <w:t xml:space="preserve"> π</w:t>
      </w:r>
      <w:proofErr w:type="spellStart"/>
      <w:r w:rsidR="005E16F3" w:rsidRPr="005E16F3">
        <w:rPr>
          <w:lang w:val="en-GB"/>
        </w:rPr>
        <w:t>οιούντων</w:t>
      </w:r>
      <w:proofErr w:type="spellEnd"/>
      <w:r w:rsidR="005E16F3" w:rsidRPr="005E16F3">
        <w:rPr>
          <w:lang w:val="en-GB"/>
        </w:rPr>
        <w:t xml:space="preserve"> </w:t>
      </w:r>
      <w:proofErr w:type="spellStart"/>
      <w:r w:rsidR="005E16F3" w:rsidRPr="005E16F3">
        <w:rPr>
          <w:lang w:val="en-GB"/>
        </w:rPr>
        <w:t>τοὺς</w:t>
      </w:r>
      <w:proofErr w:type="spellEnd"/>
      <w:r w:rsidR="005E16F3" w:rsidRPr="005E16F3">
        <w:rPr>
          <w:lang w:val="en-GB"/>
        </w:rPr>
        <w:t xml:space="preserve"> </w:t>
      </w:r>
      <w:proofErr w:type="spellStart"/>
      <w:r w:rsidR="005E16F3" w:rsidRPr="005E16F3">
        <w:rPr>
          <w:lang w:val="en-GB"/>
        </w:rPr>
        <w:t>γεωργοὺς</w:t>
      </w:r>
      <w:proofErr w:type="spellEnd"/>
      <w:r w:rsidR="005E16F3" w:rsidRPr="005E16F3">
        <w:rPr>
          <w:lang w:val="en-GB"/>
        </w:rPr>
        <w:t xml:space="preserve"> </w:t>
      </w:r>
      <w:proofErr w:type="spellStart"/>
      <w:r w:rsidR="005E16F3" w:rsidRPr="005E16F3">
        <w:rPr>
          <w:lang w:val="en-GB"/>
        </w:rPr>
        <w:t>ὅτε</w:t>
      </w:r>
      <w:proofErr w:type="spellEnd"/>
      <w:r w:rsidR="005E16F3" w:rsidRPr="005E16F3">
        <w:rPr>
          <w:lang w:val="en-GB"/>
        </w:rPr>
        <w:t xml:space="preserve"> </w:t>
      </w:r>
      <w:proofErr w:type="spellStart"/>
      <w:r w:rsidR="005E16F3" w:rsidRPr="005E16F3">
        <w:rPr>
          <w:lang w:val="en-GB"/>
        </w:rPr>
        <w:t>φύοντ</w:t>
      </w:r>
      <w:proofErr w:type="spellEnd"/>
      <w:r w:rsidR="005E16F3" w:rsidRPr="005E16F3">
        <w:rPr>
          <w:lang w:val="en-GB"/>
        </w:rPr>
        <w:t>αι</w:t>
      </w:r>
      <w:r w:rsidR="005E16F3">
        <w:t xml:space="preserve">) </w:t>
      </w:r>
      <w:r w:rsidR="004870BB" w:rsidRPr="004870BB">
        <w:t>(</w:t>
      </w:r>
      <w:r w:rsidR="004870BB" w:rsidRPr="004870BB">
        <w:rPr>
          <w:lang w:val="en-GB" w:bidi="he-IL"/>
        </w:rPr>
        <w:t xml:space="preserve">Origen, </w:t>
      </w:r>
      <w:r w:rsidR="004870BB" w:rsidRPr="00241532">
        <w:rPr>
          <w:i/>
        </w:rPr>
        <w:t xml:space="preserve">Selecta in </w:t>
      </w:r>
      <w:proofErr w:type="spellStart"/>
      <w:r w:rsidR="004870BB" w:rsidRPr="00241532">
        <w:rPr>
          <w:i/>
        </w:rPr>
        <w:t>Ezechielem</w:t>
      </w:r>
      <w:proofErr w:type="spellEnd"/>
      <w:r w:rsidR="004870BB" w:rsidRPr="00241532">
        <w:t xml:space="preserve"> VIII</w:t>
      </w:r>
      <w:r w:rsidR="004870BB" w:rsidRPr="004870BB">
        <w:t>)</w:t>
      </w:r>
      <w:r w:rsidR="008D2656">
        <w:t>.</w:t>
      </w:r>
      <w:r w:rsidRPr="004870BB">
        <w:rPr>
          <w:vertAlign w:val="superscript"/>
        </w:rPr>
        <w:footnoteReference w:id="6"/>
      </w:r>
    </w:p>
    <w:p w14:paraId="1F55F48E" w14:textId="352DB725" w:rsidR="007D01B0" w:rsidRPr="004870BB" w:rsidRDefault="007D01B0" w:rsidP="005B1665">
      <w:pPr>
        <w:pStyle w:val="Quote"/>
        <w:rPr>
          <w:rtl/>
        </w:rPr>
      </w:pPr>
      <w:r>
        <w:t>What we have translated as Adonis,</w:t>
      </w:r>
      <w:r>
        <w:rPr>
          <w:vertAlign w:val="superscript"/>
        </w:rPr>
        <w:footnoteReference w:id="7"/>
      </w:r>
      <w:r>
        <w:t xml:space="preserve"> both Hebrew and Syrian speech calls </w:t>
      </w:r>
      <w:proofErr w:type="spellStart"/>
      <w:r>
        <w:t>Thamuz</w:t>
      </w:r>
      <w:proofErr w:type="spellEnd"/>
      <w:r>
        <w:t xml:space="preserve">… They celebrate a solemn anniversary festival to him, in which women mourn for him as a dead man, and after he comes back to life, they sing of him and praise him… Paganism of this sort… honor[s] the death and resurrection of Adonis by mourning and rejoicing, the former of which is shown in seeds that die in the earth, the latter in the </w:t>
      </w:r>
      <w:r>
        <w:lastRenderedPageBreak/>
        <w:t xml:space="preserve">harvest that the dead seed are </w:t>
      </w:r>
      <w:r w:rsidRPr="004870BB">
        <w:t>reborn</w:t>
      </w:r>
      <w:r w:rsidR="004870BB" w:rsidRPr="004870BB">
        <w:t xml:space="preserve"> </w:t>
      </w:r>
      <w:r w:rsidR="004870BB" w:rsidRPr="004870BB">
        <w:rPr>
          <w:lang w:val="en-GB" w:bidi="he-IL"/>
        </w:rPr>
        <w:t xml:space="preserve">(Jerome, </w:t>
      </w:r>
      <w:proofErr w:type="spellStart"/>
      <w:r w:rsidR="004870BB" w:rsidRPr="00241532">
        <w:rPr>
          <w:i/>
        </w:rPr>
        <w:t>Commentariorum</w:t>
      </w:r>
      <w:proofErr w:type="spellEnd"/>
      <w:r w:rsidR="004870BB" w:rsidRPr="00241532">
        <w:rPr>
          <w:i/>
        </w:rPr>
        <w:t xml:space="preserve"> in </w:t>
      </w:r>
      <w:proofErr w:type="spellStart"/>
      <w:r w:rsidR="004870BB" w:rsidRPr="00241532">
        <w:rPr>
          <w:i/>
        </w:rPr>
        <w:t>Ezechielem</w:t>
      </w:r>
      <w:proofErr w:type="spellEnd"/>
      <w:r w:rsidR="004870BB" w:rsidRPr="00241532">
        <w:rPr>
          <w:i/>
        </w:rPr>
        <w:t xml:space="preserve"> </w:t>
      </w:r>
      <w:proofErr w:type="spellStart"/>
      <w:r w:rsidR="004870BB" w:rsidRPr="00241532">
        <w:rPr>
          <w:i/>
        </w:rPr>
        <w:t>prophetam</w:t>
      </w:r>
      <w:proofErr w:type="spellEnd"/>
      <w:r w:rsidR="004870BB" w:rsidRPr="00241532">
        <w:t xml:space="preserve"> III</w:t>
      </w:r>
      <w:r w:rsidR="004870BB" w:rsidRPr="00241532">
        <w:rPr>
          <w:lang w:val="en-GB" w:bidi="he-IL"/>
        </w:rPr>
        <w:t>)</w:t>
      </w:r>
      <w:r w:rsidRPr="004870BB">
        <w:t>.</w:t>
      </w:r>
      <w:r w:rsidRPr="004870BB">
        <w:rPr>
          <w:vertAlign w:val="superscript"/>
        </w:rPr>
        <w:footnoteReference w:id="8"/>
      </w:r>
    </w:p>
    <w:p w14:paraId="3F93ACC6" w14:textId="79175134" w:rsidR="007D01B0" w:rsidRPr="00A47B88" w:rsidRDefault="002B608B" w:rsidP="005E16F3">
      <w:pPr>
        <w:ind w:firstLine="0"/>
        <w:rPr>
          <w:rtl/>
        </w:rPr>
      </w:pPr>
      <w:r w:rsidRPr="005B49E7">
        <w:t>The</w:t>
      </w:r>
      <w:r w:rsidR="007F07FA" w:rsidRPr="005B49E7">
        <w:t xml:space="preserve"> writings of</w:t>
      </w:r>
      <w:r w:rsidR="00343C5C" w:rsidRPr="005B49E7">
        <w:t xml:space="preserve"> Cyril of Alexandria (c. 376-444</w:t>
      </w:r>
      <w:r w:rsidR="007F07FA" w:rsidRPr="005B49E7">
        <w:t xml:space="preserve"> CE</w:t>
      </w:r>
      <w:r w:rsidR="00343C5C" w:rsidRPr="005B49E7">
        <w:t>) and Aristides</w:t>
      </w:r>
      <w:r w:rsidR="007F07FA" w:rsidRPr="005B49E7">
        <w:t xml:space="preserve"> the Athenian (</w:t>
      </w:r>
      <w:r w:rsidR="00F274DA">
        <w:t>second</w:t>
      </w:r>
      <w:r w:rsidR="00F274DA" w:rsidRPr="00D47476">
        <w:t xml:space="preserve"> </w:t>
      </w:r>
      <w:r w:rsidR="007F07FA" w:rsidRPr="00D47476">
        <w:t>century CE)</w:t>
      </w:r>
      <w:r w:rsidRPr="005B49E7">
        <w:t xml:space="preserve"> represent </w:t>
      </w:r>
      <w:r w:rsidR="00D47476">
        <w:t>a</w:t>
      </w:r>
      <w:r w:rsidR="00444E87">
        <w:t>nother</w:t>
      </w:r>
      <w:r w:rsidR="00D47476">
        <w:t xml:space="preserve"> variation of this type of comparison</w:t>
      </w:r>
      <w:r w:rsidRPr="005B49E7">
        <w:t>.</w:t>
      </w:r>
      <w:r w:rsidR="00343C5C" w:rsidRPr="005B49E7">
        <w:t xml:space="preserve"> </w:t>
      </w:r>
      <w:r w:rsidR="006D7A3E" w:rsidRPr="005B49E7">
        <w:t xml:space="preserve">While </w:t>
      </w:r>
      <w:r w:rsidR="00D47476">
        <w:t>they too identify the</w:t>
      </w:r>
      <w:r w:rsidR="006D7A3E" w:rsidRPr="005B49E7">
        <w:t xml:space="preserve"> biblical Tammuz with </w:t>
      </w:r>
      <w:r w:rsidR="00343C5C" w:rsidRPr="005B49E7">
        <w:t>Adonis</w:t>
      </w:r>
      <w:r w:rsidR="00242607" w:rsidRPr="005B49E7">
        <w:t>,</w:t>
      </w:r>
      <w:r w:rsidR="006D7A3E" w:rsidRPr="005B49E7">
        <w:t xml:space="preserve"> </w:t>
      </w:r>
      <w:r w:rsidR="00D47476">
        <w:t>they point not to shared agricultural rituals but rather</w:t>
      </w:r>
      <w:r w:rsidR="006D7A3E" w:rsidRPr="005B49E7">
        <w:t xml:space="preserve"> </w:t>
      </w:r>
      <w:r w:rsidR="005F6D04" w:rsidRPr="005B49E7">
        <w:t xml:space="preserve">to the account of </w:t>
      </w:r>
      <w:r w:rsidR="00575356" w:rsidRPr="005B49E7">
        <w:t xml:space="preserve">Adonis’ </w:t>
      </w:r>
      <w:r w:rsidR="00343C5C" w:rsidRPr="005B49E7">
        <w:t>descent to the netherworld and</w:t>
      </w:r>
      <w:r w:rsidR="006D7A3E" w:rsidRPr="005B49E7">
        <w:t xml:space="preserve"> Aphrodite</w:t>
      </w:r>
      <w:r w:rsidR="00575356" w:rsidRPr="005B49E7">
        <w:t>’s attempt to save him</w:t>
      </w:r>
      <w:r w:rsidR="00343C5C" w:rsidRPr="005B49E7">
        <w:t xml:space="preserve">. </w:t>
      </w:r>
      <w:r w:rsidR="00342EA3" w:rsidRPr="005B49E7">
        <w:t xml:space="preserve">Thus </w:t>
      </w:r>
      <w:r w:rsidR="00575356" w:rsidRPr="005B49E7">
        <w:t xml:space="preserve">Cyril, </w:t>
      </w:r>
      <w:r w:rsidR="00CF2660" w:rsidRPr="005B49E7">
        <w:t xml:space="preserve"> commenting</w:t>
      </w:r>
      <w:r w:rsidR="000B1D9B" w:rsidRPr="005B49E7">
        <w:t xml:space="preserve"> that “Tammuz is interpreted as Adonis</w:t>
      </w:r>
      <w:r w:rsidR="005E16F3" w:rsidRPr="005B49E7">
        <w:t xml:space="preserve"> (</w:t>
      </w:r>
      <w:proofErr w:type="spellStart"/>
      <w:r w:rsidR="005E16F3" w:rsidRPr="005B49E7">
        <w:rPr>
          <w:lang w:val="en-GB"/>
        </w:rPr>
        <w:t>Διερμηνεύετ</w:t>
      </w:r>
      <w:proofErr w:type="spellEnd"/>
      <w:r w:rsidR="005E16F3" w:rsidRPr="005B49E7">
        <w:rPr>
          <w:lang w:val="en-GB"/>
        </w:rPr>
        <w:t xml:space="preserve">αι </w:t>
      </w:r>
      <w:proofErr w:type="spellStart"/>
      <w:r w:rsidR="005E16F3" w:rsidRPr="005B49E7">
        <w:rPr>
          <w:lang w:val="en-GB"/>
        </w:rPr>
        <w:t>δὲ</w:t>
      </w:r>
      <w:proofErr w:type="spellEnd"/>
      <w:r w:rsidR="005E16F3" w:rsidRPr="005B49E7">
        <w:rPr>
          <w:lang w:val="en-GB"/>
        </w:rPr>
        <w:t xml:space="preserve"> ὁ Θα</w:t>
      </w:r>
      <w:proofErr w:type="spellStart"/>
      <w:r w:rsidR="005E16F3" w:rsidRPr="005B49E7">
        <w:rPr>
          <w:lang w:val="en-GB"/>
        </w:rPr>
        <w:t>μμοὺζ</w:t>
      </w:r>
      <w:proofErr w:type="spellEnd"/>
      <w:r w:rsidR="005E16F3" w:rsidRPr="005B49E7">
        <w:rPr>
          <w:lang w:val="en-GB"/>
        </w:rPr>
        <w:t xml:space="preserve"> ὁ </w:t>
      </w:r>
      <w:proofErr w:type="spellStart"/>
      <w:r w:rsidR="005E16F3" w:rsidRPr="005B49E7">
        <w:rPr>
          <w:lang w:val="en-GB"/>
        </w:rPr>
        <w:t>Ἄδωνις</w:t>
      </w:r>
      <w:proofErr w:type="spellEnd"/>
      <w:r w:rsidR="005E16F3" w:rsidRPr="005B49E7">
        <w:t>)</w:t>
      </w:r>
      <w:r w:rsidR="000B1D9B" w:rsidRPr="005B49E7">
        <w:t xml:space="preserve">”, </w:t>
      </w:r>
      <w:r w:rsidR="005B49E7">
        <w:t>elaborates</w:t>
      </w:r>
      <w:r w:rsidR="005B49E7" w:rsidRPr="005B49E7">
        <w:t xml:space="preserve"> </w:t>
      </w:r>
      <w:r w:rsidR="00F37202" w:rsidRPr="005B49E7">
        <w:t>upon</w:t>
      </w:r>
      <w:r w:rsidR="007D01B0" w:rsidRPr="005B49E7">
        <w:t xml:space="preserve"> </w:t>
      </w:r>
      <w:r w:rsidR="005B49E7">
        <w:t>the</w:t>
      </w:r>
      <w:r w:rsidR="007D01B0" w:rsidRPr="005B49E7">
        <w:t xml:space="preserve"> story</w:t>
      </w:r>
      <w:r w:rsidR="005B49E7">
        <w:t xml:space="preserve"> as follows:</w:t>
      </w:r>
    </w:p>
    <w:p w14:paraId="1F5802D2" w14:textId="186E9BE6" w:rsidR="007D01B0" w:rsidRPr="00A47B88" w:rsidRDefault="007D01B0" w:rsidP="005E16F3">
      <w:pPr>
        <w:pStyle w:val="Quote"/>
        <w:rPr>
          <w:rtl/>
        </w:rPr>
      </w:pPr>
      <w:bookmarkStart w:id="6" w:name="_Hlk60675040"/>
      <w:r>
        <w:t>Then, they say, Aphrodite… fell in love with him (=Adonis), kept him company and was always caressing him. At this, Ares, a rival for Aphrodite’s affections, was upset; he took the form of a boar, attacked him when he was hunting and immediately did away with him, something that proved the occasion of lament for Aphrodite, they say. She fell into such depth of distress and grief as to descend into Hades to him with the intention of bringing her lover back</w:t>
      </w:r>
      <w:r w:rsidR="005E16F3">
        <w:t xml:space="preserve"> (</w:t>
      </w:r>
      <w:r w:rsidR="005E16F3" w:rsidRPr="005E16F3">
        <w:rPr>
          <w:lang w:val="en-GB"/>
        </w:rPr>
        <w:t>Κα</w:t>
      </w:r>
      <w:proofErr w:type="spellStart"/>
      <w:r w:rsidR="005E16F3" w:rsidRPr="005E16F3">
        <w:rPr>
          <w:lang w:val="en-GB"/>
        </w:rPr>
        <w:t>θίκετο</w:t>
      </w:r>
      <w:proofErr w:type="spellEnd"/>
      <w:r w:rsidR="005E16F3" w:rsidRPr="005E16F3">
        <w:rPr>
          <w:lang w:val="en-GB"/>
        </w:rPr>
        <w:t xml:space="preserve"> </w:t>
      </w:r>
      <w:proofErr w:type="spellStart"/>
      <w:r w:rsidR="005E16F3" w:rsidRPr="005E16F3">
        <w:rPr>
          <w:lang w:val="en-GB"/>
        </w:rPr>
        <w:t>δὲ</w:t>
      </w:r>
      <w:proofErr w:type="spellEnd"/>
      <w:r w:rsidR="005E16F3" w:rsidRPr="005E16F3">
        <w:rPr>
          <w:lang w:val="en-GB"/>
        </w:rPr>
        <w:t xml:space="preserve"> </w:t>
      </w:r>
      <w:proofErr w:type="spellStart"/>
      <w:r w:rsidR="005E16F3" w:rsidRPr="005E16F3">
        <w:rPr>
          <w:lang w:val="en-GB"/>
        </w:rPr>
        <w:t>δυσθυμί</w:t>
      </w:r>
      <w:proofErr w:type="spellEnd"/>
      <w:r w:rsidR="005E16F3" w:rsidRPr="005E16F3">
        <w:rPr>
          <w:lang w:val="en-GB"/>
        </w:rPr>
        <w:t xml:space="preserve">ας </w:t>
      </w:r>
      <w:proofErr w:type="spellStart"/>
      <w:r w:rsidR="005E16F3" w:rsidRPr="005E16F3">
        <w:rPr>
          <w:lang w:val="en-GB"/>
        </w:rPr>
        <w:t>εἰς</w:t>
      </w:r>
      <w:proofErr w:type="spellEnd"/>
      <w:r w:rsidR="005E16F3" w:rsidRPr="005E16F3">
        <w:rPr>
          <w:lang w:val="en-GB"/>
        </w:rPr>
        <w:t xml:space="preserve"> </w:t>
      </w:r>
      <w:proofErr w:type="spellStart"/>
      <w:r w:rsidR="005E16F3" w:rsidRPr="005E16F3">
        <w:rPr>
          <w:lang w:val="en-GB"/>
        </w:rPr>
        <w:t>τοῦτο</w:t>
      </w:r>
      <w:proofErr w:type="spellEnd"/>
      <w:r w:rsidR="005E16F3" w:rsidRPr="005E16F3">
        <w:rPr>
          <w:lang w:val="en-GB"/>
        </w:rPr>
        <w:t xml:space="preserve"> καὶ </w:t>
      </w:r>
      <w:proofErr w:type="spellStart"/>
      <w:r w:rsidR="005E16F3" w:rsidRPr="005E16F3">
        <w:rPr>
          <w:lang w:val="en-GB"/>
        </w:rPr>
        <w:t>λύ</w:t>
      </w:r>
      <w:proofErr w:type="spellEnd"/>
      <w:r w:rsidR="005E16F3" w:rsidRPr="005E16F3">
        <w:rPr>
          <w:lang w:val="en-GB"/>
        </w:rPr>
        <w:t xml:space="preserve">πης, </w:t>
      </w:r>
      <w:proofErr w:type="spellStart"/>
      <w:r w:rsidR="005E16F3" w:rsidRPr="005E16F3">
        <w:rPr>
          <w:lang w:val="en-GB"/>
        </w:rPr>
        <w:t>ὥστε</w:t>
      </w:r>
      <w:proofErr w:type="spellEnd"/>
      <w:r w:rsidR="005E16F3" w:rsidRPr="005E16F3">
        <w:rPr>
          <w:lang w:val="en-GB"/>
        </w:rPr>
        <w:t xml:space="preserve"> καὶ </w:t>
      </w:r>
      <w:proofErr w:type="spellStart"/>
      <w:r w:rsidR="005E16F3" w:rsidRPr="005E16F3">
        <w:rPr>
          <w:lang w:val="en-GB"/>
        </w:rPr>
        <w:t>εἰς</w:t>
      </w:r>
      <w:proofErr w:type="spellEnd"/>
      <w:r w:rsidR="005E16F3" w:rsidRPr="005E16F3">
        <w:rPr>
          <w:lang w:val="en-GB"/>
        </w:rPr>
        <w:t xml:space="preserve"> α</w:t>
      </w:r>
      <w:proofErr w:type="spellStart"/>
      <w:r w:rsidR="005E16F3" w:rsidRPr="005E16F3">
        <w:rPr>
          <w:lang w:val="en-GB"/>
        </w:rPr>
        <w:t>ὐτὸν</w:t>
      </w:r>
      <w:proofErr w:type="spellEnd"/>
      <w:r w:rsidR="005E16F3" w:rsidRPr="005E16F3">
        <w:rPr>
          <w:lang w:val="en-GB"/>
        </w:rPr>
        <w:t xml:space="preserve"> κατα</w:t>
      </w:r>
      <w:proofErr w:type="spellStart"/>
      <w:r w:rsidR="005E16F3" w:rsidRPr="005E16F3">
        <w:rPr>
          <w:lang w:val="en-GB"/>
        </w:rPr>
        <w:t>φοιτῆσ</w:t>
      </w:r>
      <w:proofErr w:type="spellEnd"/>
      <w:r w:rsidR="005E16F3" w:rsidRPr="005E16F3">
        <w:rPr>
          <w:lang w:val="en-GB"/>
        </w:rPr>
        <w:t xml:space="preserve">αι </w:t>
      </w:r>
      <w:proofErr w:type="spellStart"/>
      <w:r w:rsidR="005E16F3" w:rsidRPr="005E16F3">
        <w:rPr>
          <w:lang w:val="en-GB"/>
        </w:rPr>
        <w:t>τὸν</w:t>
      </w:r>
      <w:proofErr w:type="spellEnd"/>
      <w:r w:rsidR="005E16F3" w:rsidRPr="005E16F3">
        <w:rPr>
          <w:lang w:val="en-GB"/>
        </w:rPr>
        <w:t xml:space="preserve"> </w:t>
      </w:r>
      <w:proofErr w:type="spellStart"/>
      <w:r w:rsidR="005E16F3" w:rsidRPr="005E16F3">
        <w:rPr>
          <w:lang w:val="en-GB"/>
        </w:rPr>
        <w:t>ᾅδην</w:t>
      </w:r>
      <w:proofErr w:type="spellEnd"/>
      <w:r w:rsidR="005E16F3" w:rsidRPr="005E16F3">
        <w:rPr>
          <w:lang w:val="en-GB"/>
        </w:rPr>
        <w:t xml:space="preserve">, </w:t>
      </w:r>
      <w:proofErr w:type="spellStart"/>
      <w:r w:rsidR="005E16F3" w:rsidRPr="005E16F3">
        <w:rPr>
          <w:lang w:val="en-GB"/>
        </w:rPr>
        <w:t>ἀν</w:t>
      </w:r>
      <w:proofErr w:type="spellEnd"/>
      <w:r w:rsidR="005E16F3" w:rsidRPr="005E16F3">
        <w:rPr>
          <w:lang w:val="en-GB"/>
        </w:rPr>
        <w:t xml:space="preserve">ακομίσαι </w:t>
      </w:r>
      <w:proofErr w:type="spellStart"/>
      <w:r w:rsidR="005E16F3" w:rsidRPr="005E16F3">
        <w:rPr>
          <w:lang w:val="en-GB"/>
        </w:rPr>
        <w:t>θέλουσ</w:t>
      </w:r>
      <w:proofErr w:type="spellEnd"/>
      <w:r w:rsidR="005E16F3" w:rsidRPr="005E16F3">
        <w:rPr>
          <w:lang w:val="en-GB"/>
        </w:rPr>
        <w:t xml:space="preserve">α </w:t>
      </w:r>
      <w:proofErr w:type="spellStart"/>
      <w:r w:rsidR="005E16F3" w:rsidRPr="005E16F3">
        <w:rPr>
          <w:lang w:val="en-GB"/>
        </w:rPr>
        <w:t>τὸν</w:t>
      </w:r>
      <w:proofErr w:type="spellEnd"/>
      <w:r w:rsidR="005E16F3" w:rsidRPr="005E16F3">
        <w:rPr>
          <w:lang w:val="en-GB"/>
        </w:rPr>
        <w:t xml:space="preserve"> </w:t>
      </w:r>
      <w:proofErr w:type="spellStart"/>
      <w:r w:rsidR="005E16F3" w:rsidRPr="005E16F3">
        <w:rPr>
          <w:lang w:val="en-GB"/>
        </w:rPr>
        <w:t>ἐρώμενον</w:t>
      </w:r>
      <w:proofErr w:type="spellEnd"/>
      <w:r w:rsidR="005E16F3">
        <w:t>)</w:t>
      </w:r>
      <w:r>
        <w:t>. But when the wife of Pluto made a strong claim to the young man and would not release someone of such wonderful aspect, they made an agreement to divide the course of the year and keep him for half of it</w:t>
      </w:r>
      <w:r w:rsidR="005E16F3">
        <w:t xml:space="preserve"> (</w:t>
      </w:r>
      <w:proofErr w:type="spellStart"/>
      <w:r w:rsidR="005E16F3" w:rsidRPr="005E16F3">
        <w:rPr>
          <w:lang w:val="en-GB"/>
        </w:rPr>
        <w:t>ὥστε</w:t>
      </w:r>
      <w:proofErr w:type="spellEnd"/>
      <w:r w:rsidR="005E16F3" w:rsidRPr="005E16F3">
        <w:rPr>
          <w:lang w:val="en-GB"/>
        </w:rPr>
        <w:t xml:space="preserve"> </w:t>
      </w:r>
      <w:proofErr w:type="spellStart"/>
      <w:r w:rsidR="005E16F3" w:rsidRPr="005E16F3">
        <w:rPr>
          <w:lang w:val="en-GB"/>
        </w:rPr>
        <w:t>μερίσ</w:t>
      </w:r>
      <w:proofErr w:type="spellEnd"/>
      <w:r w:rsidR="005E16F3" w:rsidRPr="005E16F3">
        <w:rPr>
          <w:lang w:val="en-GB"/>
        </w:rPr>
        <w:t xml:space="preserve">ασθαι </w:t>
      </w:r>
      <w:proofErr w:type="spellStart"/>
      <w:r w:rsidR="005E16F3" w:rsidRPr="005E16F3">
        <w:rPr>
          <w:lang w:val="en-GB"/>
        </w:rPr>
        <w:t>τοῦ</w:t>
      </w:r>
      <w:proofErr w:type="spellEnd"/>
      <w:r w:rsidR="005E16F3" w:rsidRPr="005E16F3">
        <w:rPr>
          <w:lang w:val="en-GB"/>
        </w:rPr>
        <w:t xml:space="preserve"> </w:t>
      </w:r>
      <w:proofErr w:type="spellStart"/>
      <w:r w:rsidR="005E16F3" w:rsidRPr="005E16F3">
        <w:rPr>
          <w:lang w:val="en-GB"/>
        </w:rPr>
        <w:t>ἐνι</w:t>
      </w:r>
      <w:proofErr w:type="spellEnd"/>
      <w:r w:rsidR="005E16F3" w:rsidRPr="005E16F3">
        <w:rPr>
          <w:lang w:val="en-GB"/>
        </w:rPr>
        <w:t xml:space="preserve">αυτοῦ </w:t>
      </w:r>
      <w:proofErr w:type="spellStart"/>
      <w:r w:rsidR="005E16F3" w:rsidRPr="005E16F3">
        <w:rPr>
          <w:lang w:val="en-GB"/>
        </w:rPr>
        <w:t>τὸν</w:t>
      </w:r>
      <w:proofErr w:type="spellEnd"/>
      <w:r w:rsidR="005E16F3" w:rsidRPr="005E16F3">
        <w:rPr>
          <w:lang w:val="en-GB"/>
        </w:rPr>
        <w:t xml:space="preserve"> </w:t>
      </w:r>
      <w:proofErr w:type="spellStart"/>
      <w:r w:rsidR="005E16F3" w:rsidRPr="005E16F3">
        <w:rPr>
          <w:lang w:val="en-GB"/>
        </w:rPr>
        <w:t>κύκλον</w:t>
      </w:r>
      <w:proofErr w:type="spellEnd"/>
      <w:r w:rsidR="005E16F3" w:rsidRPr="005E16F3">
        <w:rPr>
          <w:lang w:val="en-GB"/>
        </w:rPr>
        <w:t xml:space="preserve">· καὶ </w:t>
      </w:r>
      <w:proofErr w:type="spellStart"/>
      <w:r w:rsidR="005E16F3" w:rsidRPr="005E16F3">
        <w:rPr>
          <w:lang w:val="en-GB"/>
        </w:rPr>
        <w:t>ἐξ</w:t>
      </w:r>
      <w:proofErr w:type="spellEnd"/>
      <w:r w:rsidR="005E16F3" w:rsidRPr="005E16F3">
        <w:rPr>
          <w:lang w:val="en-GB"/>
        </w:rPr>
        <w:t xml:space="preserve"> </w:t>
      </w:r>
      <w:proofErr w:type="spellStart"/>
      <w:r w:rsidR="005E16F3" w:rsidRPr="005E16F3">
        <w:rPr>
          <w:lang w:val="en-GB"/>
        </w:rPr>
        <w:t>ἡμισεί</w:t>
      </w:r>
      <w:proofErr w:type="spellEnd"/>
      <w:r w:rsidR="005E16F3" w:rsidRPr="005E16F3">
        <w:rPr>
          <w:lang w:val="en-GB"/>
        </w:rPr>
        <w:t xml:space="preserve">ας </w:t>
      </w:r>
      <w:proofErr w:type="spellStart"/>
      <w:r w:rsidR="005E16F3" w:rsidRPr="005E16F3">
        <w:rPr>
          <w:lang w:val="en-GB"/>
        </w:rPr>
        <w:t>ἔχειν</w:t>
      </w:r>
      <w:proofErr w:type="spellEnd"/>
      <w:r w:rsidR="005E16F3" w:rsidRPr="005E16F3">
        <w:rPr>
          <w:lang w:val="en-GB"/>
        </w:rPr>
        <w:t xml:space="preserve"> α</w:t>
      </w:r>
      <w:proofErr w:type="spellStart"/>
      <w:r w:rsidR="005E16F3" w:rsidRPr="005E16F3">
        <w:rPr>
          <w:lang w:val="en-GB"/>
        </w:rPr>
        <w:t>ὐτόν</w:t>
      </w:r>
      <w:proofErr w:type="spellEnd"/>
      <w:r w:rsidR="005E16F3">
        <w:t>)</w:t>
      </w:r>
      <w:r>
        <w:t xml:space="preserve">. When Aphrodite returned and announced this to her familiars, friends or attendants, a festival and celebration was held. So the Greeks developed such a festival for this occasion, pretending to grieve and lament with Aphrodite in her mourning on account of the death of Adonis, and to rejoice with her and to leap for joy when she </w:t>
      </w:r>
      <w:r>
        <w:lastRenderedPageBreak/>
        <w:t>claimed to have found the object of her search</w:t>
      </w:r>
      <w:r w:rsidR="005E16F3">
        <w:t xml:space="preserve"> (</w:t>
      </w:r>
      <w:r w:rsidR="005E16F3" w:rsidRPr="005E16F3">
        <w:rPr>
          <w:lang w:val="en-GB"/>
        </w:rPr>
        <w:t xml:space="preserve">καὶ </w:t>
      </w:r>
      <w:proofErr w:type="spellStart"/>
      <w:r w:rsidR="005E16F3" w:rsidRPr="005E16F3">
        <w:rPr>
          <w:lang w:val="en-GB"/>
        </w:rPr>
        <w:t>μὴν</w:t>
      </w:r>
      <w:proofErr w:type="spellEnd"/>
      <w:r w:rsidR="005E16F3" w:rsidRPr="005E16F3">
        <w:rPr>
          <w:lang w:val="en-GB"/>
        </w:rPr>
        <w:t xml:space="preserve"> καὶ </w:t>
      </w:r>
      <w:proofErr w:type="spellStart"/>
      <w:r w:rsidR="005E16F3" w:rsidRPr="005E16F3">
        <w:rPr>
          <w:lang w:val="en-GB"/>
        </w:rPr>
        <w:t>ηὑρῆσθ</w:t>
      </w:r>
      <w:proofErr w:type="spellEnd"/>
      <w:r w:rsidR="005E16F3" w:rsidRPr="005E16F3">
        <w:rPr>
          <w:lang w:val="en-GB"/>
        </w:rPr>
        <w:t xml:space="preserve">αι </w:t>
      </w:r>
      <w:proofErr w:type="spellStart"/>
      <w:r w:rsidR="005E16F3" w:rsidRPr="005E16F3">
        <w:rPr>
          <w:lang w:val="en-GB"/>
        </w:rPr>
        <w:t>λεγούσης</w:t>
      </w:r>
      <w:proofErr w:type="spellEnd"/>
      <w:r w:rsidR="005E16F3" w:rsidRPr="005E16F3">
        <w:rPr>
          <w:lang w:val="en-GB"/>
        </w:rPr>
        <w:t xml:space="preserve"> </w:t>
      </w:r>
      <w:proofErr w:type="spellStart"/>
      <w:r w:rsidR="005E16F3" w:rsidRPr="005E16F3">
        <w:rPr>
          <w:lang w:val="en-GB"/>
        </w:rPr>
        <w:t>τὸν</w:t>
      </w:r>
      <w:proofErr w:type="spellEnd"/>
      <w:r w:rsidR="005E16F3" w:rsidRPr="005E16F3">
        <w:rPr>
          <w:lang w:val="en-GB"/>
        </w:rPr>
        <w:t xml:space="preserve"> </w:t>
      </w:r>
      <w:proofErr w:type="spellStart"/>
      <w:r w:rsidR="005E16F3" w:rsidRPr="005E16F3">
        <w:rPr>
          <w:lang w:val="en-GB"/>
        </w:rPr>
        <w:t>ζητούμενον</w:t>
      </w:r>
      <w:proofErr w:type="spellEnd"/>
      <w:r w:rsidR="005E16F3" w:rsidRPr="005E16F3">
        <w:rPr>
          <w:lang w:val="en-GB"/>
        </w:rPr>
        <w:t xml:space="preserve">, </w:t>
      </w:r>
      <w:proofErr w:type="spellStart"/>
      <w:r w:rsidR="005E16F3" w:rsidRPr="005E16F3">
        <w:rPr>
          <w:lang w:val="en-GB"/>
        </w:rPr>
        <w:t>συνήδεσθ</w:t>
      </w:r>
      <w:proofErr w:type="spellEnd"/>
      <w:r w:rsidR="005E16F3" w:rsidRPr="005E16F3">
        <w:rPr>
          <w:lang w:val="en-GB"/>
        </w:rPr>
        <w:t xml:space="preserve">αι καὶ </w:t>
      </w:r>
      <w:proofErr w:type="spellStart"/>
      <w:r w:rsidR="005E16F3" w:rsidRPr="005E16F3">
        <w:rPr>
          <w:lang w:val="en-GB"/>
        </w:rPr>
        <w:t>ἀν</w:t>
      </w:r>
      <w:proofErr w:type="spellEnd"/>
      <w:r w:rsidR="005E16F3" w:rsidRPr="005E16F3">
        <w:rPr>
          <w:lang w:val="en-GB"/>
        </w:rPr>
        <w:t>ασκιρτᾷν</w:t>
      </w:r>
      <w:r w:rsidR="005E16F3">
        <w:t>)</w:t>
      </w:r>
      <w:r>
        <w:t>. Until our day this farce used to be celebrated by the priests in Alexandria</w:t>
      </w:r>
      <w:r w:rsidR="00CF2660">
        <w:t xml:space="preserve"> (</w:t>
      </w:r>
      <w:proofErr w:type="spellStart"/>
      <w:r w:rsidR="00CF2660">
        <w:rPr>
          <w:i/>
          <w:iCs/>
        </w:rPr>
        <w:t>Commentarius</w:t>
      </w:r>
      <w:proofErr w:type="spellEnd"/>
      <w:r w:rsidR="00CF2660">
        <w:rPr>
          <w:i/>
          <w:iCs/>
        </w:rPr>
        <w:t xml:space="preserve"> in </w:t>
      </w:r>
      <w:proofErr w:type="spellStart"/>
      <w:r w:rsidR="00CF2660">
        <w:rPr>
          <w:i/>
          <w:iCs/>
        </w:rPr>
        <w:t>Isaiam</w:t>
      </w:r>
      <w:proofErr w:type="spellEnd"/>
      <w:r w:rsidR="00CF2660">
        <w:rPr>
          <w:i/>
          <w:iCs/>
        </w:rPr>
        <w:t xml:space="preserve"> </w:t>
      </w:r>
      <w:proofErr w:type="spellStart"/>
      <w:r w:rsidR="00CF2660">
        <w:rPr>
          <w:i/>
          <w:iCs/>
        </w:rPr>
        <w:t>Prophetam</w:t>
      </w:r>
      <w:proofErr w:type="spellEnd"/>
      <w:r w:rsidR="00CF2660">
        <w:t xml:space="preserve"> XVIII).</w:t>
      </w:r>
      <w:r w:rsidR="00CF2660">
        <w:rPr>
          <w:rFonts w:hint="cs"/>
          <w:rtl/>
          <w:lang w:bidi="he-IL"/>
        </w:rPr>
        <w:t xml:space="preserve"> </w:t>
      </w:r>
      <w:r>
        <w:rPr>
          <w:vertAlign w:val="superscript"/>
        </w:rPr>
        <w:footnoteReference w:id="9"/>
      </w:r>
      <w:r>
        <w:t xml:space="preserve"> </w:t>
      </w:r>
      <w:bookmarkEnd w:id="6"/>
    </w:p>
    <w:p w14:paraId="1E112C05" w14:textId="00FBF97D" w:rsidR="007D01B0" w:rsidRPr="00B453B5" w:rsidRDefault="007D01B0" w:rsidP="00856A5B">
      <w:pPr>
        <w:ind w:firstLine="0"/>
      </w:pPr>
      <w:r>
        <w:t xml:space="preserve">An earlier version of this </w:t>
      </w:r>
      <w:r w:rsidR="00575356">
        <w:t xml:space="preserve">plot </w:t>
      </w:r>
      <w:r>
        <w:t xml:space="preserve">appears in the Syriac translation of Aristides’s Greek work </w:t>
      </w:r>
      <w:r>
        <w:rPr>
          <w:i/>
          <w:iCs/>
        </w:rPr>
        <w:t>The Apology.</w:t>
      </w:r>
      <w:r>
        <w:t xml:space="preserve"> </w:t>
      </w:r>
      <w:r w:rsidR="008944EE">
        <w:t xml:space="preserve">While </w:t>
      </w:r>
      <w:r w:rsidR="00575356">
        <w:t>the work</w:t>
      </w:r>
      <w:r>
        <w:t xml:space="preserve"> was discovered only towards the end of the nineteenth century</w:t>
      </w:r>
      <w:r w:rsidR="008944EE">
        <w:t xml:space="preserve">, </w:t>
      </w:r>
      <w:r>
        <w:t xml:space="preserve">its </w:t>
      </w:r>
      <w:r w:rsidR="008944EE">
        <w:t>content</w:t>
      </w:r>
      <w:r w:rsidR="00BB305F">
        <w:t>s</w:t>
      </w:r>
      <w:r w:rsidR="008944EE">
        <w:t xml:space="preserve"> </w:t>
      </w:r>
      <w:r w:rsidR="00BB305F">
        <w:t xml:space="preserve">were </w:t>
      </w:r>
      <w:r w:rsidR="00342EA3">
        <w:t xml:space="preserve">long </w:t>
      </w:r>
      <w:r>
        <w:t xml:space="preserve">known (without the parallels to Dumuzi) </w:t>
      </w:r>
      <w:r w:rsidR="008944EE">
        <w:t>through</w:t>
      </w:r>
      <w:r w:rsidR="00B453B5">
        <w:t xml:space="preserve"> the</w:t>
      </w:r>
      <w:r>
        <w:t xml:space="preserve"> medieval </w:t>
      </w:r>
      <w:r w:rsidR="00342EA3">
        <w:t>composition</w:t>
      </w:r>
      <w:r>
        <w:t xml:space="preserve"> </w:t>
      </w:r>
      <w:r>
        <w:rPr>
          <w:i/>
          <w:iCs/>
        </w:rPr>
        <w:t xml:space="preserve">Barlaam and </w:t>
      </w:r>
      <w:proofErr w:type="spellStart"/>
      <w:r>
        <w:rPr>
          <w:i/>
          <w:iCs/>
        </w:rPr>
        <w:t>Ioasaph</w:t>
      </w:r>
      <w:proofErr w:type="spellEnd"/>
      <w:r w:rsidR="00B453B5">
        <w:t>:</w:t>
      </w:r>
    </w:p>
    <w:p w14:paraId="0FCFCAB3" w14:textId="69AC7F2D" w:rsidR="007D01B0" w:rsidRPr="00927F7A" w:rsidRDefault="007D01B0" w:rsidP="005E16F3">
      <w:pPr>
        <w:pStyle w:val="Quote"/>
        <w:rPr>
          <w:rtl/>
        </w:rPr>
      </w:pPr>
      <w:proofErr w:type="gramStart"/>
      <w:r>
        <w:t>Again</w:t>
      </w:r>
      <w:proofErr w:type="gramEnd"/>
      <w:r>
        <w:t xml:space="preserve"> they say of Aphrodite that she is a goddess; sometimes she dwells with their gods, and sometimes she commits adultery with men. But sometimes she has Ares for her lover and sometimes Adonis, who is Tammuz</w:t>
      </w:r>
      <w:r w:rsidR="005E16F3">
        <w:t xml:space="preserve"> (</w:t>
      </w:r>
      <w:proofErr w:type="spellStart"/>
      <w:r w:rsidR="005E16F3" w:rsidRPr="005E16F3">
        <w:rPr>
          <w:i/>
          <w:iCs/>
        </w:rPr>
        <w:t>ˀdwks</w:t>
      </w:r>
      <w:proofErr w:type="spellEnd"/>
      <w:r w:rsidR="005E16F3" w:rsidRPr="005E16F3">
        <w:rPr>
          <w:i/>
          <w:iCs/>
        </w:rPr>
        <w:t xml:space="preserve"> d-</w:t>
      </w:r>
      <w:proofErr w:type="spellStart"/>
      <w:r w:rsidR="005E16F3" w:rsidRPr="005E16F3">
        <w:rPr>
          <w:i/>
          <w:iCs/>
        </w:rPr>
        <w:t>ˀytwhy</w:t>
      </w:r>
      <w:proofErr w:type="spellEnd"/>
      <w:r w:rsidR="005E16F3" w:rsidRPr="005E16F3">
        <w:rPr>
          <w:i/>
          <w:iCs/>
        </w:rPr>
        <w:t xml:space="preserve"> </w:t>
      </w:r>
      <w:proofErr w:type="spellStart"/>
      <w:r w:rsidR="005E16F3" w:rsidRPr="005E16F3">
        <w:rPr>
          <w:i/>
          <w:iCs/>
        </w:rPr>
        <w:t>Tmuzˀ</w:t>
      </w:r>
      <w:proofErr w:type="spellEnd"/>
      <w:r w:rsidR="005E16F3">
        <w:t>)</w:t>
      </w:r>
      <w:r>
        <w:t>. And sometimes Aphrodite herself was wailing and weeping the death of Tammuz. And they say that she went down to Sheol in order that she might ransom Adonis from Persephone</w:t>
      </w:r>
      <w:r w:rsidR="005E16F3">
        <w:t xml:space="preserve"> (</w:t>
      </w:r>
      <w:r w:rsidR="005E16F3" w:rsidRPr="005E16F3">
        <w:rPr>
          <w:i/>
          <w:iCs/>
        </w:rPr>
        <w:t>d-</w:t>
      </w:r>
      <w:proofErr w:type="spellStart"/>
      <w:r w:rsidR="005E16F3" w:rsidRPr="005E16F3">
        <w:rPr>
          <w:i/>
          <w:iCs/>
        </w:rPr>
        <w:t>nḥtt</w:t>
      </w:r>
      <w:proofErr w:type="spellEnd"/>
      <w:r w:rsidR="005E16F3" w:rsidRPr="005E16F3">
        <w:rPr>
          <w:i/>
          <w:iCs/>
        </w:rPr>
        <w:t xml:space="preserve"> l-</w:t>
      </w:r>
      <w:proofErr w:type="spellStart"/>
      <w:r w:rsidR="005E16F3" w:rsidRPr="005E16F3">
        <w:rPr>
          <w:i/>
          <w:iCs/>
        </w:rPr>
        <w:t>šywl</w:t>
      </w:r>
      <w:proofErr w:type="spellEnd"/>
      <w:r w:rsidR="005E16F3" w:rsidRPr="005E16F3">
        <w:rPr>
          <w:i/>
          <w:iCs/>
        </w:rPr>
        <w:t xml:space="preserve"> </w:t>
      </w:r>
      <w:proofErr w:type="spellStart"/>
      <w:r w:rsidR="005E16F3" w:rsidRPr="005E16F3">
        <w:rPr>
          <w:i/>
          <w:iCs/>
        </w:rPr>
        <w:t>ak</w:t>
      </w:r>
      <w:proofErr w:type="spellEnd"/>
      <w:r w:rsidR="005E16F3" w:rsidRPr="005E16F3">
        <w:rPr>
          <w:i/>
          <w:iCs/>
        </w:rPr>
        <w:t xml:space="preserve"> d-</w:t>
      </w:r>
      <w:proofErr w:type="spellStart"/>
      <w:r w:rsidR="005E16F3" w:rsidRPr="005E16F3">
        <w:rPr>
          <w:i/>
          <w:iCs/>
        </w:rPr>
        <w:t>tzbnywhy</w:t>
      </w:r>
      <w:proofErr w:type="spellEnd"/>
      <w:r w:rsidR="005E16F3" w:rsidRPr="005E16F3">
        <w:rPr>
          <w:i/>
          <w:iCs/>
        </w:rPr>
        <w:t xml:space="preserve"> l-</w:t>
      </w:r>
      <w:proofErr w:type="spellStart"/>
      <w:r w:rsidR="005E16F3" w:rsidRPr="005E16F3">
        <w:rPr>
          <w:i/>
          <w:iCs/>
        </w:rPr>
        <w:t>ˀdnws</w:t>
      </w:r>
      <w:proofErr w:type="spellEnd"/>
      <w:r w:rsidR="005E16F3" w:rsidRPr="005E16F3">
        <w:rPr>
          <w:i/>
          <w:iCs/>
        </w:rPr>
        <w:t xml:space="preserve"> </w:t>
      </w:r>
      <w:proofErr w:type="spellStart"/>
      <w:r w:rsidR="005E16F3" w:rsidRPr="005E16F3">
        <w:rPr>
          <w:i/>
          <w:iCs/>
        </w:rPr>
        <w:t>mn</w:t>
      </w:r>
      <w:proofErr w:type="spellEnd"/>
      <w:r w:rsidR="005E16F3" w:rsidRPr="005E16F3">
        <w:rPr>
          <w:i/>
          <w:iCs/>
        </w:rPr>
        <w:t xml:space="preserve"> </w:t>
      </w:r>
      <w:proofErr w:type="spellStart"/>
      <w:r w:rsidR="005E16F3" w:rsidRPr="005E16F3">
        <w:rPr>
          <w:i/>
          <w:iCs/>
        </w:rPr>
        <w:t>Pryspwnws</w:t>
      </w:r>
      <w:proofErr w:type="spellEnd"/>
      <w:r w:rsidR="005E16F3" w:rsidRPr="005E16F3">
        <w:rPr>
          <w:i/>
          <w:iCs/>
        </w:rPr>
        <w:t xml:space="preserve"> / </w:t>
      </w:r>
      <w:r w:rsidR="005E16F3" w:rsidRPr="00241532">
        <w:rPr>
          <w:i/>
        </w:rPr>
        <w:t xml:space="preserve">καὶ </w:t>
      </w:r>
      <w:proofErr w:type="spellStart"/>
      <w:r w:rsidR="005E16F3" w:rsidRPr="00241532">
        <w:rPr>
          <w:i/>
        </w:rPr>
        <w:t>εἰς</w:t>
      </w:r>
      <w:proofErr w:type="spellEnd"/>
      <w:r w:rsidR="005E16F3" w:rsidRPr="005E16F3">
        <w:rPr>
          <w:i/>
          <w:iCs/>
          <w:lang w:val="en-GB"/>
        </w:rPr>
        <w:t xml:space="preserve"> </w:t>
      </w:r>
      <w:proofErr w:type="spellStart"/>
      <w:r w:rsidR="005E16F3" w:rsidRPr="00241532">
        <w:rPr>
          <w:i/>
        </w:rPr>
        <w:t>ᾅδου</w:t>
      </w:r>
      <w:proofErr w:type="spellEnd"/>
      <w:r w:rsidR="005E16F3" w:rsidRPr="005E16F3">
        <w:rPr>
          <w:i/>
          <w:iCs/>
          <w:lang w:val="en-GB"/>
        </w:rPr>
        <w:t xml:space="preserve"> </w:t>
      </w:r>
      <w:r w:rsidR="005E16F3" w:rsidRPr="00241532">
        <w:rPr>
          <w:i/>
        </w:rPr>
        <w:t>καταβα</w:t>
      </w:r>
      <w:proofErr w:type="spellStart"/>
      <w:r w:rsidR="005E16F3" w:rsidRPr="00241532">
        <w:rPr>
          <w:i/>
        </w:rPr>
        <w:t>ίνειν</w:t>
      </w:r>
      <w:proofErr w:type="spellEnd"/>
      <w:r w:rsidR="005E16F3" w:rsidRPr="005E16F3">
        <w:rPr>
          <w:i/>
          <w:iCs/>
          <w:lang w:val="en-GB"/>
        </w:rPr>
        <w:t xml:space="preserve"> </w:t>
      </w:r>
      <w:r w:rsidR="005E16F3" w:rsidRPr="00241532">
        <w:rPr>
          <w:i/>
        </w:rPr>
        <w:t>ὅπ</w:t>
      </w:r>
      <w:proofErr w:type="spellStart"/>
      <w:r w:rsidR="005E16F3" w:rsidRPr="00241532">
        <w:rPr>
          <w:i/>
        </w:rPr>
        <w:t>ως</w:t>
      </w:r>
      <w:proofErr w:type="spellEnd"/>
      <w:r w:rsidR="005E16F3" w:rsidRPr="005E16F3">
        <w:rPr>
          <w:i/>
          <w:iCs/>
          <w:lang w:val="en-GB"/>
        </w:rPr>
        <w:t xml:space="preserve"> </w:t>
      </w:r>
      <w:proofErr w:type="spellStart"/>
      <w:r w:rsidR="005E16F3" w:rsidRPr="00241532">
        <w:rPr>
          <w:i/>
        </w:rPr>
        <w:t>ἐξ</w:t>
      </w:r>
      <w:proofErr w:type="spellEnd"/>
      <w:r w:rsidR="005E16F3" w:rsidRPr="00241532">
        <w:rPr>
          <w:i/>
        </w:rPr>
        <w:t xml:space="preserve">αγοράσῃ </w:t>
      </w:r>
      <w:proofErr w:type="spellStart"/>
      <w:r w:rsidR="005E16F3" w:rsidRPr="00241532">
        <w:rPr>
          <w:i/>
        </w:rPr>
        <w:t>τὸν</w:t>
      </w:r>
      <w:proofErr w:type="spellEnd"/>
      <w:r w:rsidR="005E16F3" w:rsidRPr="005E16F3">
        <w:rPr>
          <w:i/>
          <w:iCs/>
          <w:lang w:val="en-GB"/>
        </w:rPr>
        <w:t xml:space="preserve"> </w:t>
      </w:r>
      <w:proofErr w:type="spellStart"/>
      <w:r w:rsidR="005E16F3" w:rsidRPr="00241532">
        <w:rPr>
          <w:i/>
        </w:rPr>
        <w:t>Ἄδωνιν</w:t>
      </w:r>
      <w:proofErr w:type="spellEnd"/>
      <w:r w:rsidR="005E16F3" w:rsidRPr="00241532">
        <w:rPr>
          <w:i/>
        </w:rPr>
        <w:t xml:space="preserve"> ἀπὸ </w:t>
      </w:r>
      <w:proofErr w:type="spellStart"/>
      <w:r w:rsidR="005E16F3" w:rsidRPr="00241532">
        <w:rPr>
          <w:i/>
        </w:rPr>
        <w:t>τῆς</w:t>
      </w:r>
      <w:proofErr w:type="spellEnd"/>
      <w:r w:rsidR="005E16F3" w:rsidRPr="005E16F3">
        <w:rPr>
          <w:i/>
          <w:iCs/>
          <w:lang w:val="en-GB"/>
        </w:rPr>
        <w:t xml:space="preserve"> </w:t>
      </w:r>
      <w:proofErr w:type="spellStart"/>
      <w:r w:rsidR="005E16F3" w:rsidRPr="00241532">
        <w:rPr>
          <w:i/>
        </w:rPr>
        <w:t>Περσεφόνης</w:t>
      </w:r>
      <w:proofErr w:type="spellEnd"/>
      <w:r w:rsidR="005E16F3">
        <w:t>)</w:t>
      </w:r>
      <w:r>
        <w:t>, who was the daughter of Sheol</w:t>
      </w:r>
      <w:r w:rsidR="0085224F">
        <w:t xml:space="preserve"> (</w:t>
      </w:r>
      <w:r w:rsidR="0085224F" w:rsidRPr="0085224F">
        <w:rPr>
          <w:i/>
          <w:iCs/>
        </w:rPr>
        <w:t xml:space="preserve">Apology of Aristides </w:t>
      </w:r>
      <w:r w:rsidR="0085224F" w:rsidRPr="0085224F">
        <w:t>[Codex Sinaiticus 16] XI 3</w:t>
      </w:r>
      <w:r w:rsidR="0085224F">
        <w:t>)</w:t>
      </w:r>
      <w:r>
        <w:t>.</w:t>
      </w:r>
      <w:r>
        <w:rPr>
          <w:rStyle w:val="FootnoteReference"/>
          <w:rFonts w:cs="David"/>
          <w:sz w:val="24"/>
          <w:szCs w:val="24"/>
        </w:rPr>
        <w:footnoteReference w:id="10"/>
      </w:r>
      <w:r>
        <w:t xml:space="preserve"> </w:t>
      </w:r>
    </w:p>
    <w:p w14:paraId="319FED13" w14:textId="231ABEF7" w:rsidR="007D01B0" w:rsidRPr="005B1665" w:rsidRDefault="007D01B0" w:rsidP="00803615">
      <w:pPr>
        <w:ind w:firstLine="0"/>
        <w:rPr>
          <w:rtl/>
        </w:rPr>
      </w:pPr>
      <w:r>
        <w:t xml:space="preserve">It was with such texts in mind that late </w:t>
      </w:r>
      <w:r w:rsidR="002A61E6">
        <w:t>nineteenth</w:t>
      </w:r>
      <w:r w:rsidR="001263FD">
        <w:t xml:space="preserve"> </w:t>
      </w:r>
      <w:r>
        <w:t xml:space="preserve">and early </w:t>
      </w:r>
      <w:r w:rsidR="002A61E6">
        <w:t>twentieth</w:t>
      </w:r>
      <w:r w:rsidR="00856A5B">
        <w:t xml:space="preserve"> </w:t>
      </w:r>
      <w:r>
        <w:t xml:space="preserve">century scholars, such as </w:t>
      </w:r>
      <w:r w:rsidR="007C079D">
        <w:rPr>
          <w:lang w:val="en-GB"/>
        </w:rPr>
        <w:t xml:space="preserve">Wilhelm </w:t>
      </w:r>
      <w:proofErr w:type="spellStart"/>
      <w:r>
        <w:t>Mannhardt</w:t>
      </w:r>
      <w:proofErr w:type="spellEnd"/>
      <w:r>
        <w:t xml:space="preserve">, </w:t>
      </w:r>
      <w:r w:rsidR="007C079D" w:rsidRPr="007C079D">
        <w:t xml:space="preserve">Archibald Henry </w:t>
      </w:r>
      <w:proofErr w:type="spellStart"/>
      <w:r>
        <w:t>Sayce</w:t>
      </w:r>
      <w:proofErr w:type="spellEnd"/>
      <w:r>
        <w:t xml:space="preserve">, and </w:t>
      </w:r>
      <w:r w:rsidR="00D97387">
        <w:t xml:space="preserve">Heinrich </w:t>
      </w:r>
      <w:r>
        <w:t xml:space="preserve">Zimmern, approached the Akkadian work </w:t>
      </w:r>
      <w:proofErr w:type="spellStart"/>
      <w:r>
        <w:rPr>
          <w:i/>
          <w:iCs/>
        </w:rPr>
        <w:t>Ištar</w:t>
      </w:r>
      <w:r w:rsidRPr="001A7BE6">
        <w:t>’</w:t>
      </w:r>
      <w:r>
        <w:rPr>
          <w:i/>
          <w:iCs/>
        </w:rPr>
        <w:t>s</w:t>
      </w:r>
      <w:proofErr w:type="spellEnd"/>
      <w:r>
        <w:rPr>
          <w:i/>
          <w:iCs/>
        </w:rPr>
        <w:t xml:space="preserve"> Descent to the Netherworld</w:t>
      </w:r>
      <w:r w:rsidR="00342EA3">
        <w:t xml:space="preserve">, </w:t>
      </w:r>
      <w:r w:rsidR="003445FA">
        <w:t>which</w:t>
      </w:r>
      <w:r w:rsidR="00342EA3">
        <w:t xml:space="preserve"> has just </w:t>
      </w:r>
      <w:r w:rsidR="0085224F">
        <w:rPr>
          <w:lang w:val="en-GB"/>
        </w:rPr>
        <w:t xml:space="preserve">been </w:t>
      </w:r>
      <w:r w:rsidR="00342EA3">
        <w:t>deciphered</w:t>
      </w:r>
      <w:r>
        <w:rPr>
          <w:i/>
          <w:iCs/>
        </w:rPr>
        <w:t>.</w:t>
      </w:r>
      <w:r>
        <w:rPr>
          <w:rStyle w:val="FootnoteReference"/>
          <w:rFonts w:eastAsia="Calibri"/>
        </w:rPr>
        <w:footnoteReference w:id="11"/>
      </w:r>
      <w:r w:rsidR="00856A5B">
        <w:rPr>
          <w:i/>
          <w:iCs/>
        </w:rPr>
        <w:t xml:space="preserve"> </w:t>
      </w:r>
      <w:r w:rsidR="00575356">
        <w:t>T</w:t>
      </w:r>
      <w:r w:rsidR="00BD411F">
        <w:t>hey</w:t>
      </w:r>
      <w:r>
        <w:t xml:space="preserve"> </w:t>
      </w:r>
      <w:r w:rsidR="00856A5B">
        <w:t>assumed they were reading a</w:t>
      </w:r>
      <w:r>
        <w:t xml:space="preserve"> Mesopotamian version of the story of Adonis and Aphrodite and </w:t>
      </w:r>
      <w:r w:rsidR="00BD411F">
        <w:t>were quick to draw</w:t>
      </w:r>
      <w:r>
        <w:t xml:space="preserve"> parallels between </w:t>
      </w:r>
      <w:r w:rsidR="001A7BE6">
        <w:t>Ishtar’s</w:t>
      </w:r>
      <w:r w:rsidR="00856A5B">
        <w:rPr>
          <w:i/>
          <w:iCs/>
        </w:rPr>
        <w:t xml:space="preserve"> </w:t>
      </w:r>
      <w:r w:rsidR="00856A5B">
        <w:t xml:space="preserve">descent into </w:t>
      </w:r>
      <w:r w:rsidR="003B6514">
        <w:t>the netherworld</w:t>
      </w:r>
      <w:r w:rsidR="00856A5B">
        <w:t xml:space="preserve"> </w:t>
      </w:r>
      <w:r>
        <w:t xml:space="preserve">and Aphrodite’s </w:t>
      </w:r>
      <w:r>
        <w:lastRenderedPageBreak/>
        <w:t xml:space="preserve">descent to Hades to </w:t>
      </w:r>
      <w:r w:rsidR="00221271">
        <w:t xml:space="preserve">save </w:t>
      </w:r>
      <w:r>
        <w:t>Adonis.</w:t>
      </w:r>
      <w:r w:rsidR="001263FD">
        <w:t xml:space="preserve"> </w:t>
      </w:r>
      <w:r>
        <w:t>Although</w:t>
      </w:r>
      <w:r w:rsidR="0085224F">
        <w:t xml:space="preserve"> no</w:t>
      </w:r>
      <w:r>
        <w:t xml:space="preserve"> evidence</w:t>
      </w:r>
      <w:r w:rsidR="0085224F">
        <w:t xml:space="preserve"> for such a plot</w:t>
      </w:r>
      <w:r>
        <w:t xml:space="preserve"> </w:t>
      </w:r>
      <w:r w:rsidR="0085224F">
        <w:t xml:space="preserve">in the Akkadian composition was </w:t>
      </w:r>
      <w:r w:rsidR="004E405B">
        <w:t>forthcoming</w:t>
      </w:r>
      <w:r>
        <w:t xml:space="preserve">, </w:t>
      </w:r>
      <w:r w:rsidR="00307A45">
        <w:t>this</w:t>
      </w:r>
      <w:r>
        <w:t xml:space="preserve"> interpretation became standard for many years</w:t>
      </w:r>
      <w:r w:rsidR="00F274DA">
        <w:t xml:space="preserve"> –</w:t>
      </w:r>
      <w:r w:rsidR="00803615">
        <w:t xml:space="preserve"> </w:t>
      </w:r>
      <w:r w:rsidR="00BD411F" w:rsidRPr="00803615">
        <w:t xml:space="preserve">both because no explanation is provided for Ishtar’s </w:t>
      </w:r>
      <w:r w:rsidR="00803615">
        <w:t xml:space="preserve">decision to descend into </w:t>
      </w:r>
      <w:r w:rsidR="003B6514">
        <w:t>netherworld</w:t>
      </w:r>
      <w:r w:rsidR="00BD411F" w:rsidRPr="00803615">
        <w:t xml:space="preserve">, </w:t>
      </w:r>
      <w:r w:rsidR="00803615" w:rsidRPr="00803615">
        <w:t>and because</w:t>
      </w:r>
      <w:r w:rsidR="00BD411F" w:rsidRPr="00803615">
        <w:t xml:space="preserve"> </w:t>
      </w:r>
      <w:r w:rsidR="00803615" w:rsidRPr="00803615">
        <w:t>Dumuzi is mentioned</w:t>
      </w:r>
      <w:r w:rsidR="00BD411F" w:rsidRPr="00803615">
        <w:t xml:space="preserve"> at the </w:t>
      </w:r>
      <w:r w:rsidR="00803615">
        <w:t xml:space="preserve">very </w:t>
      </w:r>
      <w:r w:rsidR="00BD411F" w:rsidRPr="00803615">
        <w:t>end of the work,</w:t>
      </w:r>
      <w:r w:rsidRPr="00803615">
        <w:t xml:space="preserve"> immediately after Ishtar’s reemergence</w:t>
      </w:r>
      <w:r w:rsidR="00F274DA">
        <w:t xml:space="preserve">, </w:t>
      </w:r>
      <w:r w:rsidR="00803615">
        <w:t>two details which left the text open to multiple interpretations</w:t>
      </w:r>
      <w:r w:rsidR="007F07FA">
        <w:t xml:space="preserve">. </w:t>
      </w:r>
      <w:r w:rsidR="00CA5FD2">
        <w:t>For</w:t>
      </w:r>
      <w:r w:rsidR="00444E87">
        <w:t xml:space="preserve"> example, this </w:t>
      </w:r>
      <w:r>
        <w:t xml:space="preserve">is how </w:t>
      </w:r>
      <w:proofErr w:type="spellStart"/>
      <w:r>
        <w:t>Sayce</w:t>
      </w:r>
      <w:proofErr w:type="spellEnd"/>
      <w:r>
        <w:t xml:space="preserve">, one of the first scholars to subscribe to this </w:t>
      </w:r>
      <w:r w:rsidR="00803615">
        <w:t>approach</w:t>
      </w:r>
      <w:r>
        <w:t xml:space="preserve">, characterized </w:t>
      </w:r>
      <w:r w:rsidR="005B1665">
        <w:t>the work:</w:t>
      </w:r>
    </w:p>
    <w:p w14:paraId="5F56C6A5" w14:textId="1C0377C9" w:rsidR="007D01B0" w:rsidRPr="00927F7A" w:rsidRDefault="007D01B0" w:rsidP="005B1665">
      <w:pPr>
        <w:pStyle w:val="Quote"/>
      </w:pPr>
      <w:r w:rsidRPr="00927F7A">
        <w:t xml:space="preserve">On the one hand, we now know who </w:t>
      </w:r>
      <w:proofErr w:type="gramStart"/>
      <w:r w:rsidRPr="00927F7A">
        <w:t xml:space="preserve">was that Tammuz in whose </w:t>
      </w:r>
      <w:proofErr w:type="spellStart"/>
      <w:r w:rsidRPr="00927F7A">
        <w:t>honour</w:t>
      </w:r>
      <w:proofErr w:type="spellEnd"/>
      <w:r w:rsidRPr="00927F7A">
        <w:t xml:space="preserve"> Ezekiel</w:t>
      </w:r>
      <w:proofErr w:type="gramEnd"/>
      <w:r w:rsidRPr="00927F7A">
        <w:t xml:space="preserve"> saw the women of Jerusalem weeping at the gate of </w:t>
      </w:r>
      <w:r w:rsidR="005B1665">
        <w:t>“</w:t>
      </w:r>
      <w:r w:rsidRPr="00927F7A">
        <w:t>the Lord</w:t>
      </w:r>
      <w:r w:rsidR="001263FD">
        <w:t>’</w:t>
      </w:r>
      <w:r w:rsidRPr="00927F7A">
        <w:t>s house.</w:t>
      </w:r>
      <w:r w:rsidR="005B1665">
        <w:t>”</w:t>
      </w:r>
      <w:r w:rsidRPr="00927F7A">
        <w:t xml:space="preserve"> On the other hand, it is clear that the Tammuz and </w:t>
      </w:r>
      <w:proofErr w:type="spellStart"/>
      <w:r w:rsidRPr="00927F7A">
        <w:t>Ištar</w:t>
      </w:r>
      <w:proofErr w:type="spellEnd"/>
      <w:r w:rsidRPr="00927F7A">
        <w:t xml:space="preserve"> of the Babylonian legend [i.e. </w:t>
      </w:r>
      <w:r w:rsidRPr="000C7357">
        <w:rPr>
          <w:i/>
          <w:iCs/>
        </w:rPr>
        <w:t xml:space="preserve">The Descent of </w:t>
      </w:r>
      <w:proofErr w:type="spellStart"/>
      <w:r w:rsidRPr="000C7357">
        <w:rPr>
          <w:i/>
          <w:iCs/>
        </w:rPr>
        <w:t>Ištar</w:t>
      </w:r>
      <w:proofErr w:type="spellEnd"/>
      <w:r w:rsidRPr="00927F7A">
        <w:t>] are the Adonis and Aphrodite of Greek mythology. Like Tammuz, Adonis, the beloved one of Aphrodite, is slain by the boar</w:t>
      </w:r>
      <w:r w:rsidR="001263FD">
        <w:t>’</w:t>
      </w:r>
      <w:r w:rsidRPr="00927F7A">
        <w:t>s tusk of winter,</w:t>
      </w:r>
      <w:r w:rsidR="0030399E">
        <w:rPr>
          <w:rStyle w:val="FootnoteReference"/>
        </w:rPr>
        <w:footnoteReference w:id="12"/>
      </w:r>
      <w:r w:rsidRPr="00927F7A">
        <w:t xml:space="preserve"> but eventually ransomed from Hades by the prayers of the goddess…</w:t>
      </w:r>
    </w:p>
    <w:p w14:paraId="1F0F927E" w14:textId="6F2B39CB" w:rsidR="007D01B0" w:rsidRPr="00A47B88" w:rsidRDefault="007D01B0" w:rsidP="000C7357">
      <w:pPr>
        <w:ind w:firstLine="0"/>
      </w:pPr>
      <w:proofErr w:type="spellStart"/>
      <w:r>
        <w:t>Sayce</w:t>
      </w:r>
      <w:proofErr w:type="spellEnd"/>
      <w:r>
        <w:t xml:space="preserve"> </w:t>
      </w:r>
      <w:r w:rsidR="00803615">
        <w:t>could adduce no textual evidence to support the notion of Dumuzi’s return</w:t>
      </w:r>
      <w:r>
        <w:t xml:space="preserve">. </w:t>
      </w:r>
      <w:r w:rsidR="00543429">
        <w:t>Nevertheless</w:t>
      </w:r>
      <w:r>
        <w:t xml:space="preserve">, </w:t>
      </w:r>
      <w:r w:rsidR="00575356">
        <w:t>he</w:t>
      </w:r>
      <w:r>
        <w:t xml:space="preserve"> </w:t>
      </w:r>
      <w:r w:rsidR="00803615">
        <w:t xml:space="preserve">assumed </w:t>
      </w:r>
      <w:r w:rsidR="00A80DFB">
        <w:t xml:space="preserve">that </w:t>
      </w:r>
      <w:r w:rsidR="00803615">
        <w:t xml:space="preserve">the only possible explanation </w:t>
      </w:r>
      <w:r w:rsidR="00575356">
        <w:t xml:space="preserve">for </w:t>
      </w:r>
      <w:proofErr w:type="spellStart"/>
      <w:r w:rsidR="00575356">
        <w:t>I</w:t>
      </w:r>
      <w:r w:rsidR="00575356">
        <w:rPr>
          <w:rFonts w:cs="Times New Roman"/>
        </w:rPr>
        <w:t>š</w:t>
      </w:r>
      <w:r w:rsidR="00575356">
        <w:t>tar’s</w:t>
      </w:r>
      <w:proofErr w:type="spellEnd"/>
      <w:r w:rsidR="00575356">
        <w:t xml:space="preserve"> descent to the netherworld </w:t>
      </w:r>
      <w:r w:rsidR="00803615">
        <w:t>was to save Dumuzi</w:t>
      </w:r>
      <w:r>
        <w:t xml:space="preserve">. </w:t>
      </w:r>
      <w:r w:rsidR="00803615">
        <w:t xml:space="preserve">Going a step further, </w:t>
      </w:r>
      <w:proofErr w:type="spellStart"/>
      <w:r>
        <w:t>Sayce</w:t>
      </w:r>
      <w:proofErr w:type="spellEnd"/>
      <w:r>
        <w:t xml:space="preserve"> assumed</w:t>
      </w:r>
      <w:r w:rsidR="000C7357">
        <w:t xml:space="preserve"> –</w:t>
      </w:r>
      <w:r>
        <w:t xml:space="preserve"> again based on the parallel to Aphrodite and Adonis</w:t>
      </w:r>
      <w:r w:rsidR="000C7357">
        <w:t>, but without any internal</w:t>
      </w:r>
      <w:r w:rsidR="00543429">
        <w:t>,</w:t>
      </w:r>
      <w:r w:rsidR="000C7357">
        <w:t xml:space="preserve"> textual evidence –</w:t>
      </w:r>
      <w:r>
        <w:t xml:space="preserve"> that the Babylonians must have held celebratory rituals for Dumuzi’s return</w:t>
      </w:r>
      <w:r w:rsidR="000C7357">
        <w:t>:</w:t>
      </w:r>
    </w:p>
    <w:p w14:paraId="3373AA7D" w14:textId="29969A55" w:rsidR="007D01B0" w:rsidRPr="005B1665" w:rsidRDefault="007D01B0" w:rsidP="005B1665">
      <w:pPr>
        <w:pStyle w:val="Quote"/>
        <w:rPr>
          <w:rtl/>
        </w:rPr>
      </w:pPr>
      <w:r w:rsidRPr="005B1665">
        <w:lastRenderedPageBreak/>
        <w:t xml:space="preserve">It is clear that the Babylonian poet who sang of the descent of </w:t>
      </w:r>
      <w:proofErr w:type="spellStart"/>
      <w:r w:rsidRPr="005B1665">
        <w:t>Ištar</w:t>
      </w:r>
      <w:proofErr w:type="spellEnd"/>
      <w:r w:rsidRPr="005B1665">
        <w:t xml:space="preserve"> into Hades had no conception of a festival of joy that followed immediately upon a festival of mourning. Nevertheless, the whole burden of his poem is the successful journey of the goddess into the under-world for the sake of the precious waters which should restore her beloved one to life. Even in Babylonia, therefore, there must have been a season when the name of Tammuz was commemorated, not with words of woe, but with joy and rejoicing.</w:t>
      </w:r>
      <w:r w:rsidRPr="0081650B">
        <w:rPr>
          <w:rStyle w:val="FootnoteReference"/>
        </w:rPr>
        <w:footnoteReference w:id="13"/>
      </w:r>
    </w:p>
    <w:p w14:paraId="77605885" w14:textId="679951DB" w:rsidR="007D01B0" w:rsidRPr="00A47B88" w:rsidRDefault="007D01B0" w:rsidP="005B1665">
      <w:pPr>
        <w:ind w:firstLine="0"/>
        <w:rPr>
          <w:rtl/>
        </w:rPr>
      </w:pPr>
      <w:r>
        <w:t xml:space="preserve">Had this </w:t>
      </w:r>
      <w:r w:rsidR="00D909C0">
        <w:t xml:space="preserve">misinterpretation </w:t>
      </w:r>
      <w:r w:rsidR="00BF2982">
        <w:t>remained within the purview of</w:t>
      </w:r>
      <w:r>
        <w:t xml:space="preserve"> </w:t>
      </w:r>
      <w:r w:rsidR="00BF2982">
        <w:t>Assyriolog</w:t>
      </w:r>
      <w:r w:rsidR="00D9294B">
        <w:t xml:space="preserve">y </w:t>
      </w:r>
      <w:r>
        <w:t>it might have been soon forgotten</w:t>
      </w:r>
      <w:r w:rsidR="00A80DFB">
        <w:t>, since</w:t>
      </w:r>
      <w:r>
        <w:t xml:space="preserve"> no textual evidence was forthcoming until the 1960s. </w:t>
      </w:r>
      <w:r w:rsidR="00A80DFB">
        <w:t xml:space="preserve">Toward </w:t>
      </w:r>
      <w:r>
        <w:t xml:space="preserve">the end of the </w:t>
      </w:r>
      <w:r w:rsidR="002A61E6">
        <w:t>nineteenth</w:t>
      </w:r>
      <w:r>
        <w:t xml:space="preserve"> century</w:t>
      </w:r>
      <w:del w:id="7" w:author="Avraham Kallenbah" w:date="2021-04-18T14:12:00Z">
        <w:r w:rsidR="00A80DFB" w:rsidDel="00563EFB">
          <w:delText xml:space="preserve"> CE</w:delText>
        </w:r>
      </w:del>
      <w:r>
        <w:t xml:space="preserve">, however, James George Frazer used the </w:t>
      </w:r>
      <w:r w:rsidR="00BF2982">
        <w:t>then-</w:t>
      </w:r>
      <w:r>
        <w:t xml:space="preserve">accepted interpretation of </w:t>
      </w:r>
      <w:proofErr w:type="spellStart"/>
      <w:r>
        <w:rPr>
          <w:i/>
          <w:iCs/>
        </w:rPr>
        <w:t>Ištar’s</w:t>
      </w:r>
      <w:proofErr w:type="spellEnd"/>
      <w:r>
        <w:rPr>
          <w:i/>
          <w:iCs/>
        </w:rPr>
        <w:t xml:space="preserve"> Descent</w:t>
      </w:r>
      <w:r>
        <w:t xml:space="preserve"> as one of his main proofs for characterizing</w:t>
      </w:r>
      <w:r w:rsidR="007F07FA">
        <w:t xml:space="preserve"> the Mesopotamian</w:t>
      </w:r>
      <w:r>
        <w:t xml:space="preserve"> Dumuzi as a dying and rising god. </w:t>
      </w:r>
      <w:r w:rsidR="00A80DFB">
        <w:t>This theory appear</w:t>
      </w:r>
      <w:r w:rsidR="00810F82">
        <w:t>s</w:t>
      </w:r>
      <w:r w:rsidR="00A80DFB">
        <w:t xml:space="preserve"> </w:t>
      </w:r>
      <w:r>
        <w:t xml:space="preserve">at length already in the first edition of his book </w:t>
      </w:r>
      <w:r>
        <w:rPr>
          <w:i/>
          <w:iCs/>
        </w:rPr>
        <w:t xml:space="preserve">The Golden Bough </w:t>
      </w:r>
      <w:r>
        <w:t>(1894)</w:t>
      </w:r>
      <w:r w:rsidR="00C577B4">
        <w:t>:</w:t>
      </w:r>
      <w:r w:rsidR="001263FD">
        <w:t xml:space="preserve"> </w:t>
      </w:r>
    </w:p>
    <w:p w14:paraId="4630E1B9" w14:textId="1A8EAF88" w:rsidR="007D01B0" w:rsidRPr="00A47B88" w:rsidRDefault="00A80DFB" w:rsidP="002B608B">
      <w:pPr>
        <w:ind w:left="709" w:right="662" w:firstLine="0"/>
      </w:pPr>
      <w:r w:rsidRPr="002B608B">
        <w:rPr>
          <w:sz w:val="22"/>
          <w:szCs w:val="22"/>
        </w:rPr>
        <w:t xml:space="preserve">In a Babylonian legend, the goddess </w:t>
      </w:r>
      <w:proofErr w:type="spellStart"/>
      <w:r w:rsidRPr="002B608B">
        <w:rPr>
          <w:sz w:val="22"/>
          <w:szCs w:val="22"/>
        </w:rPr>
        <w:t>Istar</w:t>
      </w:r>
      <w:proofErr w:type="spellEnd"/>
      <w:r w:rsidRPr="002B608B">
        <w:rPr>
          <w:sz w:val="22"/>
          <w:szCs w:val="22"/>
        </w:rPr>
        <w:t xml:space="preserve"> (Astarte, Aphrodite) descends to Hades to fetch the water of life with which to restore to life the dead Thammuz, and it appears that the water was thrown over him at a great mourning ceremony, at which men and women stood round the funeral pyre of Thammuz lamenting. This legend, as </w:t>
      </w:r>
      <w:proofErr w:type="spellStart"/>
      <w:r w:rsidRPr="002B608B">
        <w:rPr>
          <w:sz w:val="22"/>
          <w:szCs w:val="22"/>
        </w:rPr>
        <w:t>Mannhardt</w:t>
      </w:r>
      <w:proofErr w:type="spellEnd"/>
      <w:r w:rsidRPr="002B608B">
        <w:rPr>
          <w:sz w:val="22"/>
          <w:szCs w:val="22"/>
        </w:rPr>
        <w:t xml:space="preserve"> points out, is probably a mythical explanation of a Babylonian festival resembling the Syrian festival of Adonis. At this festival, which doubtless took place in the month Thammuz (June- July) and therefore about midsummer, the dead Thammuz was probably represented in effigy, water was poured over him, and he came to life again. This Babylonian legend is, therefore, of importance, since it confirms the view that the </w:t>
      </w:r>
      <w:r w:rsidRPr="002B608B">
        <w:rPr>
          <w:sz w:val="22"/>
          <w:szCs w:val="22"/>
        </w:rPr>
        <w:lastRenderedPageBreak/>
        <w:t>purpose for which the images and gardens of Adonis were thrown into the water was to effect the resurrection of the god, that is to secure the revival of vegetation</w:t>
      </w:r>
      <w:r w:rsidR="007D01B0" w:rsidRPr="002B608B">
        <w:rPr>
          <w:sz w:val="22"/>
          <w:szCs w:val="22"/>
        </w:rPr>
        <w:t>.</w:t>
      </w:r>
      <w:r w:rsidR="007D01B0">
        <w:rPr>
          <w:rStyle w:val="FootnoteReference"/>
        </w:rPr>
        <w:footnoteReference w:id="14"/>
      </w:r>
    </w:p>
    <w:p w14:paraId="5C505657" w14:textId="75716CB4" w:rsidR="007D01B0" w:rsidRPr="00A47B88" w:rsidRDefault="007D01B0" w:rsidP="005B1665">
      <w:pPr>
        <w:ind w:firstLine="0"/>
        <w:rPr>
          <w:rFonts w:cstheme="majorBidi"/>
          <w:rtl/>
        </w:rPr>
      </w:pPr>
      <w:r>
        <w:t>Thus, along with the significant impact of Frazer</w:t>
      </w:r>
      <w:r w:rsidR="001263FD">
        <w:t>’</w:t>
      </w:r>
      <w:r>
        <w:t xml:space="preserve">s book on the humanities and social sciences of the time, the concept of Dumuzi’s resurrection, which was based on </w:t>
      </w:r>
      <w:r w:rsidR="00A80DFB">
        <w:t>a mis</w:t>
      </w:r>
      <w:r w:rsidR="00D909C0">
        <w:t>interpretation</w:t>
      </w:r>
      <w:r>
        <w:t>, became commonplace.</w:t>
      </w:r>
      <w:r>
        <w:rPr>
          <w:rStyle w:val="FootnoteReference"/>
          <w:rFonts w:eastAsia="Calibri"/>
        </w:rPr>
        <w:footnoteReference w:id="15"/>
      </w:r>
      <w:r w:rsidR="001263FD">
        <w:t xml:space="preserve"> </w:t>
      </w:r>
    </w:p>
    <w:p w14:paraId="110D232C" w14:textId="5AE4012A" w:rsidR="007D01B0" w:rsidRPr="00A47B88" w:rsidRDefault="00810F82" w:rsidP="00927F7A">
      <w:pPr>
        <w:rPr>
          <w:rtl/>
        </w:rPr>
      </w:pPr>
      <w:bookmarkStart w:id="8" w:name="_Hlk33961689"/>
      <w:bookmarkStart w:id="9" w:name="_Hlk33961535"/>
      <w:r>
        <w:t>Up to</w:t>
      </w:r>
      <w:r w:rsidR="007D01B0">
        <w:t xml:space="preserve"> the </w:t>
      </w:r>
      <w:r w:rsidR="005B1665">
        <w:t>mid-twentieth</w:t>
      </w:r>
      <w:r w:rsidR="007D01B0">
        <w:t xml:space="preserve"> century, dozens of cuneiform texts referring to Dumuzi</w:t>
      </w:r>
      <w:r w:rsidR="00575356">
        <w:t xml:space="preserve"> </w:t>
      </w:r>
      <w:r w:rsidR="007F07FA">
        <w:t xml:space="preserve">had been </w:t>
      </w:r>
      <w:r w:rsidR="00CC5E69">
        <w:t>deciphered</w:t>
      </w:r>
      <w:r w:rsidR="007D01B0">
        <w:t xml:space="preserve">. </w:t>
      </w:r>
      <w:r w:rsidR="00575356">
        <w:t>M</w:t>
      </w:r>
      <w:r w:rsidR="00CC5E69">
        <w:t xml:space="preserve">any </w:t>
      </w:r>
      <w:r w:rsidR="007D01B0">
        <w:t xml:space="preserve">of them </w:t>
      </w:r>
      <w:r w:rsidR="00C40AA2">
        <w:t>–</w:t>
      </w:r>
      <w:r w:rsidR="007D01B0">
        <w:t xml:space="preserve"> </w:t>
      </w:r>
      <w:r w:rsidR="00B2415A">
        <w:t xml:space="preserve">belonging </w:t>
      </w:r>
      <w:r w:rsidR="00CC5E69">
        <w:t xml:space="preserve">either </w:t>
      </w:r>
      <w:r w:rsidR="00B2415A">
        <w:t>to</w:t>
      </w:r>
      <w:r w:rsidR="007D01B0">
        <w:t xml:space="preserve"> literary </w:t>
      </w:r>
      <w:r w:rsidR="00CC5E69">
        <w:t xml:space="preserve">or </w:t>
      </w:r>
      <w:r w:rsidR="007D01B0">
        <w:t xml:space="preserve">administrative genres </w:t>
      </w:r>
      <w:r w:rsidR="00C40AA2">
        <w:t>–</w:t>
      </w:r>
      <w:r w:rsidR="007D01B0">
        <w:t xml:space="preserve"> </w:t>
      </w:r>
      <w:r w:rsidR="00782E95">
        <w:t>reference</w:t>
      </w:r>
      <w:r w:rsidR="00CC5E69">
        <w:t xml:space="preserve"> </w:t>
      </w:r>
      <w:r w:rsidR="007D01B0">
        <w:t>Dumuzi’s death</w:t>
      </w:r>
      <w:r w:rsidR="00CC5E69">
        <w:t>,</w:t>
      </w:r>
      <w:r w:rsidR="007D01B0">
        <w:t xml:space="preserve"> </w:t>
      </w:r>
      <w:r w:rsidR="00575356">
        <w:t xml:space="preserve">but </w:t>
      </w:r>
      <w:r w:rsidR="00230430">
        <w:t>not even one</w:t>
      </w:r>
      <w:r w:rsidR="007D01B0">
        <w:t xml:space="preserve"> mention</w:t>
      </w:r>
      <w:r w:rsidR="00CC5E69">
        <w:t>s</w:t>
      </w:r>
      <w:r w:rsidR="007D01B0">
        <w:t xml:space="preserve"> his </w:t>
      </w:r>
      <w:r w:rsidR="00C577B4">
        <w:t>resurrection</w:t>
      </w:r>
      <w:r w:rsidR="007D01B0">
        <w:t xml:space="preserve">. Nonetheless, </w:t>
      </w:r>
      <w:r w:rsidR="007F07FA">
        <w:t>th</w:t>
      </w:r>
      <w:r w:rsidR="00575356">
        <w:t>e</w:t>
      </w:r>
      <w:r w:rsidR="007F07FA">
        <w:t>s</w:t>
      </w:r>
      <w:r w:rsidR="00575356">
        <w:t>e</w:t>
      </w:r>
      <w:r w:rsidR="007F07FA">
        <w:t xml:space="preserve"> findings </w:t>
      </w:r>
      <w:r w:rsidR="007D01B0">
        <w:t xml:space="preserve">proved insufficient to uproot the prevailing </w:t>
      </w:r>
      <w:r w:rsidR="0072119B">
        <w:t>theory</w:t>
      </w:r>
      <w:r w:rsidR="007D01B0">
        <w:t>.</w:t>
      </w:r>
      <w:r w:rsidR="001263FD">
        <w:t xml:space="preserve"> </w:t>
      </w:r>
      <w:r w:rsidR="007D01B0">
        <w:t>It was only in the early 1950s, with the partial publication of</w:t>
      </w:r>
      <w:r w:rsidR="00CC5E69">
        <w:t xml:space="preserve"> the Sumerian</w:t>
      </w:r>
      <w:r w:rsidR="007D01B0">
        <w:t xml:space="preserve"> </w:t>
      </w:r>
      <w:r w:rsidR="007D01B0">
        <w:rPr>
          <w:i/>
          <w:iCs/>
        </w:rPr>
        <w:t xml:space="preserve">Inana’s Descent to the Netherworld </w:t>
      </w:r>
      <w:r w:rsidR="007D01B0">
        <w:t xml:space="preserve">by </w:t>
      </w:r>
      <w:r w:rsidR="00E1256B">
        <w:t xml:space="preserve">Samuel </w:t>
      </w:r>
      <w:r w:rsidR="006F6DB1">
        <w:t xml:space="preserve">Noah </w:t>
      </w:r>
      <w:r w:rsidR="007D01B0">
        <w:t>Kramer,</w:t>
      </w:r>
      <w:r w:rsidR="007D01B0">
        <w:rPr>
          <w:rStyle w:val="FootnoteReference"/>
          <w:rFonts w:eastAsia="Calibri"/>
        </w:rPr>
        <w:footnoteReference w:id="16"/>
      </w:r>
      <w:r w:rsidR="005B1665">
        <w:t xml:space="preserve"> </w:t>
      </w:r>
      <w:r w:rsidR="007D01B0">
        <w:t>that scholars began to rapidly disassociate themselves from the erstwhile consensus.</w:t>
      </w:r>
    </w:p>
    <w:p w14:paraId="400B011D" w14:textId="1F53458A" w:rsidR="007D01B0" w:rsidRPr="00A47B88" w:rsidRDefault="007D01B0" w:rsidP="00927F7A">
      <w:pPr>
        <w:rPr>
          <w:rtl/>
        </w:rPr>
      </w:pPr>
      <w:r>
        <w:rPr>
          <w:i/>
          <w:iCs/>
        </w:rPr>
        <w:t>Inana’s Descent</w:t>
      </w:r>
      <w:r>
        <w:t xml:space="preserve">, </w:t>
      </w:r>
      <w:r w:rsidR="002E3ACA">
        <w:t xml:space="preserve">its earliest </w:t>
      </w:r>
      <w:r>
        <w:t xml:space="preserve">copies </w:t>
      </w:r>
      <w:r w:rsidR="002E3ACA">
        <w:t>dated to</w:t>
      </w:r>
      <w:r>
        <w:t xml:space="preserve"> the Old Babylonian period, </w:t>
      </w:r>
      <w:r w:rsidR="00287B72">
        <w:t>wa</w:t>
      </w:r>
      <w:r w:rsidR="002E3ACA">
        <w:t xml:space="preserve">s considered </w:t>
      </w:r>
      <w:r>
        <w:t>a</w:t>
      </w:r>
      <w:r w:rsidR="002E3ACA">
        <w:t xml:space="preserve">n earlier and </w:t>
      </w:r>
      <w:r w:rsidR="009817E0">
        <w:t xml:space="preserve">more </w:t>
      </w:r>
      <w:r w:rsidR="002E3ACA">
        <w:t xml:space="preserve">extensive </w:t>
      </w:r>
      <w:r>
        <w:t xml:space="preserve">version of </w:t>
      </w:r>
      <w:proofErr w:type="spellStart"/>
      <w:r>
        <w:rPr>
          <w:i/>
          <w:iCs/>
        </w:rPr>
        <w:t>Ištar’s</w:t>
      </w:r>
      <w:proofErr w:type="spellEnd"/>
      <w:r>
        <w:rPr>
          <w:i/>
          <w:iCs/>
        </w:rPr>
        <w:t xml:space="preserve"> Descent </w:t>
      </w:r>
      <w:r>
        <w:t>(</w:t>
      </w:r>
      <w:r w:rsidR="009817E0">
        <w:t>the latter</w:t>
      </w:r>
      <w:r w:rsidR="00287B72">
        <w:t xml:space="preserve"> </w:t>
      </w:r>
      <w:r w:rsidR="009817E0">
        <w:t xml:space="preserve">having been composed </w:t>
      </w:r>
      <w:r w:rsidR="000F6490">
        <w:lastRenderedPageBreak/>
        <w:t xml:space="preserve">apparently </w:t>
      </w:r>
      <w:r w:rsidR="009817E0">
        <w:t>in</w:t>
      </w:r>
      <w:r>
        <w:t xml:space="preserve"> the </w:t>
      </w:r>
      <w:r w:rsidR="00D97387">
        <w:t xml:space="preserve">late </w:t>
      </w:r>
      <w:r>
        <w:t>Middle Assyrian period).</w:t>
      </w:r>
      <w:r>
        <w:rPr>
          <w:rStyle w:val="FootnoteReference"/>
          <w:rFonts w:eastAsia="Calibri"/>
        </w:rPr>
        <w:footnoteReference w:id="17"/>
      </w:r>
      <w:r w:rsidR="005B1665">
        <w:t xml:space="preserve"> </w:t>
      </w:r>
      <w:r>
        <w:t xml:space="preserve">Like </w:t>
      </w:r>
      <w:r w:rsidR="002E3ACA">
        <w:t xml:space="preserve">the </w:t>
      </w:r>
      <w:r>
        <w:t xml:space="preserve">Akkadian </w:t>
      </w:r>
      <w:r w:rsidR="00287B72">
        <w:t>work</w:t>
      </w:r>
      <w:r>
        <w:t xml:space="preserve">, the Sumerian </w:t>
      </w:r>
      <w:r w:rsidR="00287B72">
        <w:t>one</w:t>
      </w:r>
      <w:r w:rsidR="002E3ACA">
        <w:t xml:space="preserve"> </w:t>
      </w:r>
      <w:r w:rsidR="002E3ACA" w:rsidRPr="00241532">
        <w:t>tells of</w:t>
      </w:r>
      <w:r>
        <w:t xml:space="preserve"> the </w:t>
      </w:r>
      <w:r w:rsidR="00E35A91">
        <w:t>goddess</w:t>
      </w:r>
      <w:r>
        <w:t xml:space="preserve"> </w:t>
      </w:r>
      <w:r w:rsidR="00E35A91">
        <w:t xml:space="preserve">descending into and </w:t>
      </w:r>
      <w:r w:rsidR="002E3ACA">
        <w:t xml:space="preserve">ascending </w:t>
      </w:r>
      <w:r w:rsidR="00E35A91">
        <w:t>from</w:t>
      </w:r>
      <w:r>
        <w:t xml:space="preserve"> </w:t>
      </w:r>
      <w:r w:rsidR="00E35A91">
        <w:t xml:space="preserve">the netherworld. </w:t>
      </w:r>
      <w:r>
        <w:t xml:space="preserve">Like the Akkadian </w:t>
      </w:r>
      <w:r w:rsidR="00287B72">
        <w:t>work</w:t>
      </w:r>
      <w:r>
        <w:t xml:space="preserve">, </w:t>
      </w:r>
      <w:r w:rsidR="002E3ACA">
        <w:t xml:space="preserve">it also lacks an explanation of </w:t>
      </w:r>
      <w:r>
        <w:t xml:space="preserve">the </w:t>
      </w:r>
      <w:r w:rsidR="00E35A91">
        <w:t xml:space="preserve">motivations for the </w:t>
      </w:r>
      <w:r w:rsidR="000F6490">
        <w:t xml:space="preserve">goddess’ </w:t>
      </w:r>
      <w:r w:rsidR="00E35A91">
        <w:t>descent</w:t>
      </w:r>
      <w:r>
        <w:t xml:space="preserve">. However, while </w:t>
      </w:r>
      <w:proofErr w:type="spellStart"/>
      <w:r>
        <w:rPr>
          <w:i/>
          <w:iCs/>
        </w:rPr>
        <w:t>Ištar’s</w:t>
      </w:r>
      <w:proofErr w:type="spellEnd"/>
      <w:r>
        <w:rPr>
          <w:i/>
          <w:iCs/>
        </w:rPr>
        <w:t xml:space="preserve"> Descent</w:t>
      </w:r>
      <w:r>
        <w:t xml:space="preserve"> concludes by mentioning Dumuzi with no discernible connection to the narrative</w:t>
      </w:r>
      <w:r w:rsidR="002E3ACA">
        <w:t>,</w:t>
      </w:r>
      <w:r>
        <w:t xml:space="preserve"> </w:t>
      </w:r>
      <w:r w:rsidRPr="001263FD">
        <w:rPr>
          <w:i/>
          <w:iCs/>
        </w:rPr>
        <w:t xml:space="preserve">Inana’s </w:t>
      </w:r>
      <w:r w:rsidR="001263FD" w:rsidRPr="001263FD">
        <w:rPr>
          <w:i/>
          <w:iCs/>
        </w:rPr>
        <w:t>D</w:t>
      </w:r>
      <w:r w:rsidRPr="001263FD">
        <w:rPr>
          <w:i/>
          <w:iCs/>
        </w:rPr>
        <w:t>escent</w:t>
      </w:r>
      <w:r>
        <w:t xml:space="preserve"> </w:t>
      </w:r>
      <w:r w:rsidR="00C40AA2">
        <w:t>–</w:t>
      </w:r>
      <w:r>
        <w:t xml:space="preserve"> as it was known to scholars in 1951 </w:t>
      </w:r>
      <w:r w:rsidR="00C40AA2">
        <w:t>–</w:t>
      </w:r>
      <w:r>
        <w:t xml:space="preserve"> </w:t>
      </w:r>
      <w:r w:rsidR="005B1665">
        <w:t xml:space="preserve">ends with </w:t>
      </w:r>
      <w:proofErr w:type="spellStart"/>
      <w:r w:rsidR="005B1665">
        <w:t>Inana</w:t>
      </w:r>
      <w:proofErr w:type="spellEnd"/>
      <w:r w:rsidR="005B1665">
        <w:t xml:space="preserve"> herself handing Dumuzi over to </w:t>
      </w:r>
      <w:r w:rsidR="003B6514">
        <w:t>the netherworld</w:t>
      </w:r>
      <w:r>
        <w:t>.</w:t>
      </w:r>
      <w:r w:rsidR="001263FD">
        <w:t xml:space="preserve"> </w:t>
      </w:r>
      <w:r>
        <w:t xml:space="preserve">Since in the 1950s </w:t>
      </w:r>
      <w:proofErr w:type="spellStart"/>
      <w:r>
        <w:rPr>
          <w:i/>
          <w:iCs/>
        </w:rPr>
        <w:t>Ištar’s</w:t>
      </w:r>
      <w:proofErr w:type="spellEnd"/>
      <w:r>
        <w:rPr>
          <w:i/>
          <w:iCs/>
        </w:rPr>
        <w:t xml:space="preserve"> Descent</w:t>
      </w:r>
      <w:r>
        <w:t xml:space="preserve"> still</w:t>
      </w:r>
      <w:r w:rsidR="002B608B">
        <w:t xml:space="preserve"> (allegedly) </w:t>
      </w:r>
      <w:r>
        <w:t>remained the only textual evidence for Dumuzi’s characterization as a dying and rising god, the partial</w:t>
      </w:r>
      <w:r w:rsidR="006F746A">
        <w:t xml:space="preserve"> </w:t>
      </w:r>
      <w:r>
        <w:t xml:space="preserve">publication of </w:t>
      </w:r>
      <w:r>
        <w:rPr>
          <w:i/>
          <w:iCs/>
        </w:rPr>
        <w:t xml:space="preserve">Inana’s Descent </w:t>
      </w:r>
      <w:r w:rsidR="0072119B">
        <w:t>proved devastating to the prevailing theory</w:t>
      </w:r>
      <w:r>
        <w:t xml:space="preserve">. </w:t>
      </w:r>
      <w:r w:rsidR="006F746A">
        <w:t>I</w:t>
      </w:r>
      <w:r>
        <w:t xml:space="preserve">t became clear to scholars that </w:t>
      </w:r>
      <w:proofErr w:type="spellStart"/>
      <w:r>
        <w:t>Inana</w:t>
      </w:r>
      <w:proofErr w:type="spellEnd"/>
      <w:r>
        <w:t xml:space="preserve"> </w:t>
      </w:r>
      <w:r w:rsidR="006F746A">
        <w:t xml:space="preserve">did </w:t>
      </w:r>
      <w:r>
        <w:t xml:space="preserve">not descend to </w:t>
      </w:r>
      <w:r w:rsidR="003B6514">
        <w:t>netherworld</w:t>
      </w:r>
      <w:r>
        <w:t xml:space="preserve"> </w:t>
      </w:r>
      <w:r w:rsidR="00287B72">
        <w:t xml:space="preserve">to </w:t>
      </w:r>
      <w:r w:rsidR="003B6514">
        <w:t>find</w:t>
      </w:r>
      <w:r>
        <w:t xml:space="preserve"> Dumuzi</w:t>
      </w:r>
      <w:r w:rsidR="006F746A">
        <w:t>, but</w:t>
      </w:r>
      <w:r w:rsidR="00F274DA">
        <w:t>,</w:t>
      </w:r>
      <w:r w:rsidR="006F746A">
        <w:t xml:space="preserve"> to</w:t>
      </w:r>
      <w:r w:rsidR="003B6514">
        <w:t xml:space="preserve"> the contrary, </w:t>
      </w:r>
      <w:r>
        <w:t xml:space="preserve">it was she who </w:t>
      </w:r>
      <w:r w:rsidR="0072119B">
        <w:t>had been</w:t>
      </w:r>
      <w:r>
        <w:t xml:space="preserve"> responsible for </w:t>
      </w:r>
      <w:r w:rsidR="0072119B">
        <w:t>putting him</w:t>
      </w:r>
      <w:r>
        <w:t xml:space="preserve"> there in the first place. Kramer, who </w:t>
      </w:r>
      <w:r w:rsidR="006638CD">
        <w:t xml:space="preserve">had </w:t>
      </w:r>
      <w:r>
        <w:t xml:space="preserve">published </w:t>
      </w:r>
      <w:r w:rsidR="006F746A">
        <w:t xml:space="preserve">the text </w:t>
      </w:r>
      <w:r>
        <w:t xml:space="preserve">of </w:t>
      </w:r>
      <w:r w:rsidR="001263FD" w:rsidRPr="001263FD">
        <w:rPr>
          <w:i/>
          <w:iCs/>
        </w:rPr>
        <w:t>Inana’s Descent</w:t>
      </w:r>
      <w:r w:rsidR="006F746A">
        <w:t xml:space="preserve"> </w:t>
      </w:r>
      <w:r w:rsidR="006638CD">
        <w:t>at the time</w:t>
      </w:r>
      <w:r>
        <w:t xml:space="preserve">, presented the issue as follows: </w:t>
      </w:r>
    </w:p>
    <w:p w14:paraId="2261277E" w14:textId="41770228" w:rsidR="007D01B0" w:rsidRPr="00927F7A" w:rsidRDefault="007D01B0" w:rsidP="005B1665">
      <w:pPr>
        <w:pStyle w:val="Quote"/>
        <w:rPr>
          <w:rtl/>
        </w:rPr>
      </w:pPr>
      <w:r>
        <w:t xml:space="preserve">The prevalent view that Dumuzi is resurrected every spring is quite without basis in fact. To judge from the available evidence – it is to be noted that we find only laments for the god’s death, but no songs of joy for the god’s return – the Sumerians believed that once Dumuzi had died, he </w:t>
      </w:r>
      <w:r w:rsidR="001263FD">
        <w:t>‘</w:t>
      </w:r>
      <w:r>
        <w:t>stayed dead</w:t>
      </w:r>
      <w:r w:rsidR="001263FD">
        <w:t>’</w:t>
      </w:r>
      <w:r>
        <w:t xml:space="preserve"> in the Nether World and never </w:t>
      </w:r>
      <w:r w:rsidR="001263FD">
        <w:t>‘</w:t>
      </w:r>
      <w:r>
        <w:t>rose</w:t>
      </w:r>
      <w:r w:rsidR="001263FD">
        <w:t>’</w:t>
      </w:r>
      <w:r>
        <w:t xml:space="preserve"> again.</w:t>
      </w:r>
      <w:r>
        <w:rPr>
          <w:rStyle w:val="FootnoteReference"/>
          <w:rFonts w:cs="David"/>
          <w:sz w:val="24"/>
          <w:szCs w:val="24"/>
        </w:rPr>
        <w:footnoteReference w:id="18"/>
      </w:r>
    </w:p>
    <w:p w14:paraId="0434D443" w14:textId="72DF0019" w:rsidR="007D01B0" w:rsidRPr="00A47B88" w:rsidRDefault="007D01B0" w:rsidP="005B1665">
      <w:pPr>
        <w:ind w:firstLine="0"/>
        <w:rPr>
          <w:rtl/>
        </w:rPr>
      </w:pPr>
      <w:r>
        <w:t>A more scathing assessment was offered by scholar of Greek religion</w:t>
      </w:r>
      <w:r w:rsidR="00575356">
        <w:rPr>
          <w:lang w:val="en-GB"/>
        </w:rPr>
        <w:t>,</w:t>
      </w:r>
      <w:r>
        <w:t xml:space="preserve"> Walter Burkert: </w:t>
      </w:r>
    </w:p>
    <w:p w14:paraId="4A186C14" w14:textId="46ABDAE3" w:rsidR="007D01B0" w:rsidRPr="002B608B" w:rsidRDefault="006F746A" w:rsidP="002B608B">
      <w:pPr>
        <w:ind w:left="709" w:right="662" w:firstLine="0"/>
        <w:rPr>
          <w:sz w:val="22"/>
          <w:szCs w:val="22"/>
        </w:rPr>
      </w:pPr>
      <w:r w:rsidRPr="002B608B">
        <w:rPr>
          <w:sz w:val="22"/>
          <w:szCs w:val="22"/>
        </w:rPr>
        <w:lastRenderedPageBreak/>
        <w:t xml:space="preserve">And it was an unexpected shock to </w:t>
      </w:r>
      <w:proofErr w:type="spellStart"/>
      <w:r w:rsidRPr="002B608B">
        <w:rPr>
          <w:sz w:val="22"/>
          <w:szCs w:val="22"/>
        </w:rPr>
        <w:t>Frazerism</w:t>
      </w:r>
      <w:proofErr w:type="spellEnd"/>
      <w:r w:rsidRPr="002B608B">
        <w:rPr>
          <w:sz w:val="22"/>
          <w:szCs w:val="22"/>
        </w:rPr>
        <w:t xml:space="preserve"> when in 1951 the hitherto missing conclusion of the Sumerian myth of Inanna and Dumuzi was published. Scholars had been sure that Inanna, or Ishtar, by her Babylonian name, goes down to the nether world in order to bring the ‘god of vegetation’ back to life; now quite the contrary was seen to happen: Inanna comes back from the nether world to kill Dumuzi, who had been alive and prosperous on his throne among the living; Inanna hands him over to her demoniac retinue, the </w:t>
      </w:r>
      <w:proofErr w:type="spellStart"/>
      <w:r w:rsidRPr="002B608B">
        <w:rPr>
          <w:i/>
          <w:iCs/>
          <w:sz w:val="22"/>
          <w:szCs w:val="22"/>
        </w:rPr>
        <w:t>gallu</w:t>
      </w:r>
      <w:proofErr w:type="spellEnd"/>
      <w:r w:rsidRPr="002B608B">
        <w:rPr>
          <w:sz w:val="22"/>
          <w:szCs w:val="22"/>
        </w:rPr>
        <w:t>, to be put to death as a Substitute for herself. This is anything but an allegory of vegetation</w:t>
      </w:r>
      <w:r w:rsidR="007D01B0" w:rsidRPr="002B608B">
        <w:rPr>
          <w:sz w:val="22"/>
          <w:szCs w:val="22"/>
        </w:rPr>
        <w:t>.</w:t>
      </w:r>
      <w:r w:rsidR="007D01B0" w:rsidRPr="002B608B">
        <w:rPr>
          <w:rStyle w:val="FootnoteReference"/>
          <w:sz w:val="22"/>
          <w:szCs w:val="22"/>
        </w:rPr>
        <w:footnoteReference w:id="19"/>
      </w:r>
    </w:p>
    <w:p w14:paraId="25F7213F" w14:textId="1198DAA5" w:rsidR="007D01B0" w:rsidRPr="00A47B88" w:rsidRDefault="008A6C62" w:rsidP="00927F7A">
      <w:pPr>
        <w:ind w:firstLine="0"/>
        <w:rPr>
          <w:rFonts w:eastAsia="Calibri"/>
          <w:rtl/>
        </w:rPr>
      </w:pPr>
      <w:r>
        <w:t>As Kramer notes, t</w:t>
      </w:r>
      <w:r w:rsidR="007D01B0">
        <w:t xml:space="preserve">he fact that scholars were so quick to dismiss the prevailing characterization of Dumuzi </w:t>
      </w:r>
      <w:r w:rsidR="00496F08">
        <w:t xml:space="preserve">stemmed </w:t>
      </w:r>
      <w:r w:rsidR="007D01B0">
        <w:t xml:space="preserve">from the fact that all extant texts at </w:t>
      </w:r>
      <w:r w:rsidR="005B1665">
        <w:t>the</w:t>
      </w:r>
      <w:r w:rsidR="007D01B0">
        <w:t xml:space="preserve"> time merely characterize him as a dying </w:t>
      </w:r>
      <w:r w:rsidR="006F746A">
        <w:t>g</w:t>
      </w:r>
      <w:r w:rsidR="007D01B0">
        <w:t xml:space="preserve">od, or perhaps better-put a </w:t>
      </w:r>
      <w:r w:rsidR="00575356">
        <w:t>‘</w:t>
      </w:r>
      <w:r w:rsidR="007D01B0">
        <w:t>dead god</w:t>
      </w:r>
      <w:r w:rsidR="00B461AD">
        <w:t>,’</w:t>
      </w:r>
      <w:r w:rsidR="007D01B0">
        <w:t xml:space="preserve"> much like</w:t>
      </w:r>
      <w:r w:rsidR="00444E87">
        <w:t xml:space="preserve"> the </w:t>
      </w:r>
      <w:r w:rsidR="000F6490">
        <w:t xml:space="preserve">Sumerian </w:t>
      </w:r>
      <w:r w:rsidR="00444E87">
        <w:t>gods</w:t>
      </w:r>
      <w:r w:rsidR="007D01B0">
        <w:t xml:space="preserve"> </w:t>
      </w:r>
      <w:proofErr w:type="spellStart"/>
      <w:r w:rsidR="007D01B0">
        <w:t>Ningišzida</w:t>
      </w:r>
      <w:proofErr w:type="spellEnd"/>
      <w:r w:rsidR="007D01B0">
        <w:t xml:space="preserve">, </w:t>
      </w:r>
      <w:proofErr w:type="spellStart"/>
      <w:r w:rsidR="007D01B0">
        <w:t>Damu</w:t>
      </w:r>
      <w:proofErr w:type="spellEnd"/>
      <w:r w:rsidR="007D01B0">
        <w:t>, and others.</w:t>
      </w:r>
      <w:bookmarkEnd w:id="8"/>
      <w:r w:rsidR="007D01B0">
        <w:rPr>
          <w:rStyle w:val="FootnoteReference"/>
          <w:rFonts w:eastAsia="Calibri"/>
        </w:rPr>
        <w:footnoteReference w:id="20"/>
      </w:r>
      <w:r w:rsidR="005B1665">
        <w:t xml:space="preserve"> </w:t>
      </w:r>
      <w:r w:rsidR="001F43FB" w:rsidRPr="00984473">
        <w:t>This corpus</w:t>
      </w:r>
      <w:r w:rsidR="007D01B0" w:rsidRPr="00984473">
        <w:t xml:space="preserve"> include</w:t>
      </w:r>
      <w:r w:rsidR="001F43FB" w:rsidRPr="00984473">
        <w:t>s</w:t>
      </w:r>
      <w:r w:rsidR="007D01B0" w:rsidRPr="00984473">
        <w:t xml:space="preserve"> the literary works and laments </w:t>
      </w:r>
      <w:r w:rsidR="006F746A" w:rsidRPr="00984473">
        <w:t>dedicate</w:t>
      </w:r>
      <w:r w:rsidR="002E076F" w:rsidRPr="00984473">
        <w:t>d</w:t>
      </w:r>
      <w:r w:rsidR="006F746A" w:rsidRPr="00984473">
        <w:t xml:space="preserve"> to </w:t>
      </w:r>
      <w:r w:rsidR="007D01B0" w:rsidRPr="00984473">
        <w:t>Dumuzi’s death</w:t>
      </w:r>
      <w:r w:rsidR="00287B72" w:rsidRPr="00984473">
        <w:t xml:space="preserve"> and</w:t>
      </w:r>
      <w:r w:rsidR="007D01B0" w:rsidRPr="00984473">
        <w:t xml:space="preserve"> </w:t>
      </w:r>
      <w:r w:rsidR="00AB380A">
        <w:t xml:space="preserve">which describe </w:t>
      </w:r>
      <w:r w:rsidR="00287B72" w:rsidRPr="00984473">
        <w:t>his relatives’ mo</w:t>
      </w:r>
      <w:r w:rsidR="00566631" w:rsidRPr="00984473">
        <w:t>u</w:t>
      </w:r>
      <w:r w:rsidR="00287B72" w:rsidRPr="00984473">
        <w:t>rning</w:t>
      </w:r>
      <w:r w:rsidR="007D01B0" w:rsidRPr="00984473">
        <w:t xml:space="preserve"> </w:t>
      </w:r>
      <w:r w:rsidR="00287B72" w:rsidRPr="00984473">
        <w:t xml:space="preserve">and </w:t>
      </w:r>
      <w:r w:rsidR="007D01B0" w:rsidRPr="00984473">
        <w:t>search</w:t>
      </w:r>
      <w:r w:rsidR="00287B72" w:rsidRPr="00984473">
        <w:t>ing</w:t>
      </w:r>
      <w:r w:rsidR="007D01B0" w:rsidRPr="00984473">
        <w:t xml:space="preserve"> for him</w:t>
      </w:r>
      <w:r w:rsidR="007D01B0">
        <w:t>;</w:t>
      </w:r>
      <w:r w:rsidR="007D01B0">
        <w:rPr>
          <w:rStyle w:val="FootnoteReference"/>
          <w:rFonts w:eastAsia="Calibri"/>
        </w:rPr>
        <w:footnoteReference w:id="21"/>
      </w:r>
      <w:r w:rsidR="005B1665">
        <w:t xml:space="preserve"> </w:t>
      </w:r>
      <w:r w:rsidR="007D01B0">
        <w:t xml:space="preserve">literary works which mention funerary rituals </w:t>
      </w:r>
      <w:r w:rsidR="002E076F">
        <w:t>for Dumuzi</w:t>
      </w:r>
      <w:r w:rsidR="007D01B0">
        <w:t xml:space="preserve"> </w:t>
      </w:r>
      <w:r w:rsidR="005E64C3">
        <w:t xml:space="preserve">in passing </w:t>
      </w:r>
      <w:r w:rsidR="007D01B0">
        <w:t xml:space="preserve">or which count him among the denizens of </w:t>
      </w:r>
      <w:r w:rsidR="003B6514">
        <w:t xml:space="preserve">the </w:t>
      </w:r>
      <w:r w:rsidR="003B6514">
        <w:lastRenderedPageBreak/>
        <w:t>netherworld</w:t>
      </w:r>
      <w:r w:rsidR="007D01B0">
        <w:t>;</w:t>
      </w:r>
      <w:r w:rsidR="007D01B0">
        <w:rPr>
          <w:rStyle w:val="FootnoteReference"/>
          <w:rFonts w:eastAsia="Calibri"/>
        </w:rPr>
        <w:footnoteReference w:id="22"/>
      </w:r>
      <w:r w:rsidR="005B1665">
        <w:t xml:space="preserve"> </w:t>
      </w:r>
      <w:r w:rsidR="007D01B0">
        <w:t>and</w:t>
      </w:r>
      <w:r w:rsidR="001263FD">
        <w:t xml:space="preserve"> </w:t>
      </w:r>
      <w:r w:rsidR="007D01B0">
        <w:t>funerary rituals mentioned in letters, calendars, and ritual texts.</w:t>
      </w:r>
      <w:r w:rsidR="007D01B0">
        <w:rPr>
          <w:vertAlign w:val="superscript"/>
        </w:rPr>
        <w:footnoteReference w:id="23"/>
      </w:r>
      <w:r w:rsidR="001F43FB">
        <w:t xml:space="preserve"> </w:t>
      </w:r>
      <w:r w:rsidR="007E3329">
        <w:t>Moreover, as</w:t>
      </w:r>
      <w:r w:rsidR="007D01B0">
        <w:t xml:space="preserve"> mentioned above, </w:t>
      </w:r>
      <w:r w:rsidR="005E64C3">
        <w:t xml:space="preserve">those </w:t>
      </w:r>
      <w:r w:rsidR="007D01B0">
        <w:t xml:space="preserve">non-Mesopotamian texts </w:t>
      </w:r>
      <w:r w:rsidR="005E64C3">
        <w:t>related to</w:t>
      </w:r>
      <w:r w:rsidR="00CC1F59">
        <w:t xml:space="preserve"> </w:t>
      </w:r>
      <w:r w:rsidR="007D01B0">
        <w:t>Dumuzi</w:t>
      </w:r>
      <w:r w:rsidR="00CC1F59">
        <w:t xml:space="preserve"> </w:t>
      </w:r>
      <w:r w:rsidR="005E64C3">
        <w:t>which do not draw parallel</w:t>
      </w:r>
      <w:r w:rsidR="00CA5FD2">
        <w:t>s</w:t>
      </w:r>
      <w:r w:rsidR="005E64C3">
        <w:t xml:space="preserve"> to</w:t>
      </w:r>
      <w:r w:rsidR="00CC1F59">
        <w:t xml:space="preserve"> Adonis</w:t>
      </w:r>
      <w:r w:rsidR="007D01B0">
        <w:t xml:space="preserve"> (such as Ezek</w:t>
      </w:r>
      <w:r w:rsidR="00A85CCC">
        <w:t>iel</w:t>
      </w:r>
      <w:r w:rsidR="007D01B0">
        <w:t xml:space="preserve"> 8 and</w:t>
      </w:r>
      <w:r w:rsidR="00CC1F59">
        <w:t xml:space="preserve"> the</w:t>
      </w:r>
      <w:r w:rsidR="007D01B0">
        <w:t xml:space="preserve"> </w:t>
      </w:r>
      <w:proofErr w:type="spellStart"/>
      <w:r w:rsidR="007D01B0" w:rsidRPr="00241532">
        <w:rPr>
          <w:i/>
          <w:iCs/>
        </w:rPr>
        <w:t>Fihrist</w:t>
      </w:r>
      <w:proofErr w:type="spellEnd"/>
      <w:r w:rsidR="007D01B0">
        <w:t xml:space="preserve">) </w:t>
      </w:r>
      <w:r w:rsidR="00CC1F59">
        <w:t xml:space="preserve">refer </w:t>
      </w:r>
      <w:r w:rsidR="007D01B0">
        <w:t>only</w:t>
      </w:r>
      <w:r w:rsidR="00CC1F59">
        <w:t xml:space="preserve"> to</w:t>
      </w:r>
      <w:r w:rsidR="007D01B0">
        <w:t xml:space="preserve"> his death, but never </w:t>
      </w:r>
      <w:r w:rsidR="00CC1F59">
        <w:t xml:space="preserve">to </w:t>
      </w:r>
      <w:r w:rsidR="007D01B0">
        <w:t xml:space="preserve">his resurrection. </w:t>
      </w:r>
      <w:r w:rsidR="007E3329">
        <w:t>Thus, in the early</w:t>
      </w:r>
      <w:r w:rsidR="007D01B0">
        <w:t xml:space="preserve"> 1950s, </w:t>
      </w:r>
      <w:r w:rsidR="007E3329">
        <w:t>a new consensus was reached:</w:t>
      </w:r>
      <w:r w:rsidR="007D01B0">
        <w:t xml:space="preserve"> no evidence could support the notion that Dumuzi, or any other </w:t>
      </w:r>
      <w:r w:rsidR="005B1665">
        <w:t xml:space="preserve">Mesopotamian </w:t>
      </w:r>
      <w:r w:rsidR="007D01B0">
        <w:t>god for that matter, had ever been considered a resurrected god.</w:t>
      </w:r>
      <w:r w:rsidR="007D01B0">
        <w:rPr>
          <w:rStyle w:val="FootnoteReference"/>
          <w:rFonts w:eastAsia="Calibri"/>
        </w:rPr>
        <w:footnoteReference w:id="24"/>
      </w:r>
      <w:r w:rsidR="007D01B0">
        <w:t xml:space="preserve"> </w:t>
      </w:r>
    </w:p>
    <w:p w14:paraId="14C32988" w14:textId="75BAC46C" w:rsidR="007D01B0" w:rsidRPr="00A47B88" w:rsidRDefault="00287B72" w:rsidP="00CA5FD2">
      <w:pPr>
        <w:spacing w:after="120"/>
        <w:rPr>
          <w:rtl/>
        </w:rPr>
      </w:pPr>
      <w:r>
        <w:t>Then</w:t>
      </w:r>
      <w:r w:rsidR="007D01B0">
        <w:t xml:space="preserve">, </w:t>
      </w:r>
      <w:r w:rsidR="00057EB7">
        <w:t>in 1965</w:t>
      </w:r>
      <w:r w:rsidR="007D01B0">
        <w:t xml:space="preserve"> the scholarly consensus would shift once again. Two years earlier, Kramer had published the </w:t>
      </w:r>
      <w:r w:rsidR="00806F67">
        <w:t>final</w:t>
      </w:r>
      <w:r w:rsidR="007D01B0">
        <w:t xml:space="preserve"> lines of </w:t>
      </w:r>
      <w:r w:rsidR="007D01B0" w:rsidRPr="00806154">
        <w:rPr>
          <w:i/>
          <w:iCs/>
        </w:rPr>
        <w:t>Inana’s Descent</w:t>
      </w:r>
      <w:r w:rsidR="007D01B0">
        <w:t xml:space="preserve">, </w:t>
      </w:r>
      <w:r w:rsidR="00806154">
        <w:t>housed</w:t>
      </w:r>
      <w:r w:rsidR="007D01B0">
        <w:t xml:space="preserve"> in the British Museum</w:t>
      </w:r>
      <w:r w:rsidR="00256EA5">
        <w:t>,</w:t>
      </w:r>
      <w:r w:rsidR="005E5062">
        <w:t xml:space="preserve"> which</w:t>
      </w:r>
      <w:r w:rsidR="007D01B0">
        <w:t xml:space="preserve"> </w:t>
      </w:r>
      <w:r>
        <w:t xml:space="preserve">relate </w:t>
      </w:r>
      <w:r w:rsidR="007D01B0">
        <w:t>Dumuzi</w:t>
      </w:r>
      <w:r w:rsidR="004005E7">
        <w:t>’s</w:t>
      </w:r>
      <w:r w:rsidR="007D01B0">
        <w:t xml:space="preserve"> </w:t>
      </w:r>
      <w:r w:rsidR="004465F1">
        <w:t xml:space="preserve">fate </w:t>
      </w:r>
      <w:r w:rsidR="007D01B0">
        <w:t xml:space="preserve">after </w:t>
      </w:r>
      <w:r w:rsidR="007F57FD">
        <w:t xml:space="preserve">he is </w:t>
      </w:r>
      <w:r w:rsidR="007D01B0">
        <w:t xml:space="preserve">delivered to the </w:t>
      </w:r>
      <w:r w:rsidR="003B6514">
        <w:t>netherworld</w:t>
      </w:r>
      <w:r>
        <w:t xml:space="preserve"> </w:t>
      </w:r>
      <w:r w:rsidR="00566631">
        <w:t>at the hands of</w:t>
      </w:r>
      <w:r w:rsidR="00256EA5">
        <w:t xml:space="preserve"> demon</w:t>
      </w:r>
      <w:r>
        <w:t>s</w:t>
      </w:r>
      <w:r w:rsidR="007D01B0">
        <w:t xml:space="preserve"> (UET 6/1 10: 10-</w:t>
      </w:r>
      <w:r w:rsidR="00A8602C">
        <w:t xml:space="preserve">12 </w:t>
      </w:r>
      <w:r w:rsidR="007D01B0">
        <w:t>= ETCSL</w:t>
      </w:r>
      <w:r w:rsidR="00EF7BC7">
        <w:t xml:space="preserve"> 1.4</w:t>
      </w:r>
      <w:r w:rsidR="00B729AB">
        <w:t>.</w:t>
      </w:r>
      <w:r w:rsidR="00EF7BC7">
        <w:t>1</w:t>
      </w:r>
      <w:r w:rsidR="007D01B0">
        <w:t xml:space="preserve"> 407-409)</w:t>
      </w:r>
      <w:r w:rsidR="005E5062">
        <w:t xml:space="preserve">. </w:t>
      </w:r>
      <w:r w:rsidR="007D01B0">
        <w:t>Kramer proposed the following</w:t>
      </w:r>
      <w:r>
        <w:t xml:space="preserve"> reading and</w:t>
      </w:r>
      <w:r w:rsidR="007D01B0">
        <w:t xml:space="preserve"> translation: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7D01B0" w:rsidRPr="0060255A" w14:paraId="7332B084" w14:textId="77777777" w:rsidTr="002B608B">
        <w:tc>
          <w:tcPr>
            <w:tcW w:w="4815" w:type="dxa"/>
          </w:tcPr>
          <w:p w14:paraId="1E1D105D" w14:textId="7B7B80BD" w:rsidR="007D01B0" w:rsidRPr="002B608B" w:rsidRDefault="00256EA5" w:rsidP="002B608B">
            <w:pPr>
              <w:ind w:firstLine="0"/>
              <w:rPr>
                <w:sz w:val="22"/>
                <w:szCs w:val="22"/>
                <w:rtl/>
              </w:rPr>
            </w:pPr>
            <w:r w:rsidRPr="002B608B">
              <w:rPr>
                <w:sz w:val="22"/>
                <w:szCs w:val="22"/>
                <w:vertAlign w:val="superscript"/>
                <w:lang w:val="en-GB"/>
              </w:rPr>
              <w:t>10</w:t>
            </w:r>
            <w:r w:rsidR="000F6490">
              <w:rPr>
                <w:sz w:val="22"/>
                <w:szCs w:val="22"/>
                <w:vertAlign w:val="superscript"/>
                <w:lang w:val="en-GB"/>
              </w:rPr>
              <w:t xml:space="preserve"> </w:t>
            </w:r>
            <w:r w:rsidR="007D01B0" w:rsidRPr="002B608B">
              <w:rPr>
                <w:sz w:val="22"/>
                <w:szCs w:val="22"/>
              </w:rPr>
              <w:t>Your […] half the year, your sister half the year.</w:t>
            </w:r>
          </w:p>
        </w:tc>
        <w:tc>
          <w:tcPr>
            <w:tcW w:w="4201" w:type="dxa"/>
          </w:tcPr>
          <w:p w14:paraId="5C097DF9" w14:textId="1C25B5D1" w:rsidR="007D01B0" w:rsidRPr="002B608B" w:rsidRDefault="00256EA5" w:rsidP="002B608B">
            <w:pPr>
              <w:ind w:firstLine="0"/>
              <w:rPr>
                <w:sz w:val="22"/>
                <w:szCs w:val="22"/>
                <w:lang w:val="de-DE"/>
              </w:rPr>
            </w:pPr>
            <w:r w:rsidRPr="002B608B">
              <w:rPr>
                <w:sz w:val="22"/>
                <w:szCs w:val="22"/>
                <w:lang w:val="de-DE"/>
              </w:rPr>
              <w:t>[ .. ]-zu mu-maš-àm nin</w:t>
            </w:r>
            <w:r w:rsidRPr="002B608B">
              <w:rPr>
                <w:sz w:val="22"/>
                <w:szCs w:val="22"/>
                <w:vertAlign w:val="subscript"/>
                <w:lang w:val="de-DE"/>
              </w:rPr>
              <w:t>9</w:t>
            </w:r>
            <w:r w:rsidRPr="002B608B">
              <w:rPr>
                <w:sz w:val="22"/>
                <w:szCs w:val="22"/>
                <w:lang w:val="de-DE"/>
              </w:rPr>
              <w:t>-zu mu-maš-àm</w:t>
            </w:r>
          </w:p>
        </w:tc>
      </w:tr>
      <w:tr w:rsidR="007D01B0" w:rsidRPr="0060255A" w14:paraId="1723AB3E" w14:textId="77777777" w:rsidTr="002B608B">
        <w:tc>
          <w:tcPr>
            <w:tcW w:w="4815" w:type="dxa"/>
          </w:tcPr>
          <w:p w14:paraId="7AAAA9D7" w14:textId="31058C22" w:rsidR="007D01B0" w:rsidRPr="002B608B" w:rsidRDefault="00256EA5" w:rsidP="002B608B">
            <w:pPr>
              <w:ind w:firstLine="0"/>
              <w:rPr>
                <w:sz w:val="22"/>
                <w:szCs w:val="22"/>
                <w:rtl/>
              </w:rPr>
            </w:pPr>
            <w:r w:rsidRPr="002B608B">
              <w:rPr>
                <w:sz w:val="22"/>
                <w:szCs w:val="22"/>
                <w:vertAlign w:val="superscript"/>
                <w:lang w:val="en-GB"/>
              </w:rPr>
              <w:t>11</w:t>
            </w:r>
            <w:r w:rsidRPr="002B608B">
              <w:rPr>
                <w:sz w:val="22"/>
                <w:szCs w:val="22"/>
                <w:vertAlign w:val="superscript"/>
              </w:rPr>
              <w:t xml:space="preserve"> </w:t>
            </w:r>
            <w:r w:rsidR="007D01B0" w:rsidRPr="002B608B">
              <w:rPr>
                <w:sz w:val="22"/>
                <w:szCs w:val="22"/>
              </w:rPr>
              <w:t>[The day your…] comes, that day […],</w:t>
            </w:r>
          </w:p>
        </w:tc>
        <w:tc>
          <w:tcPr>
            <w:tcW w:w="4201" w:type="dxa"/>
          </w:tcPr>
          <w:p w14:paraId="0042A0E9" w14:textId="6DBCDC94" w:rsidR="007D01B0" w:rsidRPr="002B608B" w:rsidRDefault="00256EA5" w:rsidP="002B608B">
            <w:pPr>
              <w:ind w:firstLine="0"/>
              <w:rPr>
                <w:sz w:val="22"/>
                <w:szCs w:val="22"/>
                <w:lang w:val="de-DE"/>
              </w:rPr>
            </w:pPr>
            <w:r w:rsidRPr="002B608B">
              <w:rPr>
                <w:sz w:val="22"/>
                <w:szCs w:val="22"/>
                <w:lang w:val="de-DE"/>
              </w:rPr>
              <w:t>[u</w:t>
            </w:r>
            <w:r w:rsidRPr="002B608B">
              <w:rPr>
                <w:sz w:val="22"/>
                <w:szCs w:val="22"/>
                <w:vertAlign w:val="subscript"/>
                <w:lang w:val="de-DE"/>
              </w:rPr>
              <w:t>4</w:t>
            </w:r>
            <w:r w:rsidRPr="002B608B">
              <w:rPr>
                <w:sz w:val="22"/>
                <w:szCs w:val="22"/>
                <w:lang w:val="de-DE"/>
              </w:rPr>
              <w:t xml:space="preserve"> ..-zu] al-di-di-e u</w:t>
            </w:r>
            <w:r w:rsidRPr="002B608B">
              <w:rPr>
                <w:sz w:val="22"/>
                <w:szCs w:val="22"/>
                <w:vertAlign w:val="subscript"/>
                <w:lang w:val="de-DE"/>
              </w:rPr>
              <w:t>4</w:t>
            </w:r>
            <w:r w:rsidRPr="002B608B">
              <w:rPr>
                <w:sz w:val="22"/>
                <w:szCs w:val="22"/>
                <w:lang w:val="de-DE"/>
              </w:rPr>
              <w:t>-bi íb-ba?-[…]</w:t>
            </w:r>
          </w:p>
        </w:tc>
      </w:tr>
      <w:tr w:rsidR="007D01B0" w:rsidRPr="0060255A" w14:paraId="20FD6655" w14:textId="77777777" w:rsidTr="002B608B">
        <w:tc>
          <w:tcPr>
            <w:tcW w:w="4815" w:type="dxa"/>
          </w:tcPr>
          <w:p w14:paraId="4E6D1D86" w14:textId="4C06C899" w:rsidR="007D01B0" w:rsidRPr="002B608B" w:rsidRDefault="00256EA5" w:rsidP="002B608B">
            <w:pPr>
              <w:ind w:firstLine="0"/>
              <w:rPr>
                <w:sz w:val="22"/>
                <w:szCs w:val="22"/>
                <w:rtl/>
              </w:rPr>
            </w:pPr>
            <w:r w:rsidRPr="002B608B">
              <w:rPr>
                <w:sz w:val="22"/>
                <w:szCs w:val="22"/>
                <w:vertAlign w:val="superscript"/>
                <w:lang w:val="en-GB"/>
              </w:rPr>
              <w:t>12</w:t>
            </w:r>
            <w:r w:rsidR="000F6490">
              <w:rPr>
                <w:sz w:val="22"/>
                <w:szCs w:val="22"/>
                <w:vertAlign w:val="superscript"/>
                <w:lang w:val="en-GB"/>
              </w:rPr>
              <w:t xml:space="preserve"> </w:t>
            </w:r>
            <w:r w:rsidR="007D01B0" w:rsidRPr="002B608B">
              <w:rPr>
                <w:sz w:val="22"/>
                <w:szCs w:val="22"/>
              </w:rPr>
              <w:t>The day your sister comes, that day […].</w:t>
            </w:r>
          </w:p>
        </w:tc>
        <w:tc>
          <w:tcPr>
            <w:tcW w:w="4201" w:type="dxa"/>
          </w:tcPr>
          <w:p w14:paraId="4B128822" w14:textId="72B3BB12" w:rsidR="007D01B0" w:rsidRPr="002B608B" w:rsidRDefault="00256EA5" w:rsidP="002B608B">
            <w:pPr>
              <w:ind w:firstLine="0"/>
              <w:rPr>
                <w:sz w:val="22"/>
                <w:szCs w:val="22"/>
                <w:lang w:val="de-DE"/>
              </w:rPr>
            </w:pPr>
            <w:r w:rsidRPr="002B608B">
              <w:rPr>
                <w:sz w:val="22"/>
                <w:szCs w:val="22"/>
                <w:lang w:val="de-DE"/>
              </w:rPr>
              <w:t>u</w:t>
            </w:r>
            <w:r w:rsidRPr="002B608B">
              <w:rPr>
                <w:sz w:val="22"/>
                <w:szCs w:val="22"/>
                <w:vertAlign w:val="subscript"/>
                <w:lang w:val="de-DE"/>
              </w:rPr>
              <w:t>4</w:t>
            </w:r>
            <w:r w:rsidRPr="002B608B">
              <w:rPr>
                <w:sz w:val="22"/>
                <w:szCs w:val="22"/>
                <w:lang w:val="de-DE"/>
              </w:rPr>
              <w:t xml:space="preserve"> nin</w:t>
            </w:r>
            <w:r w:rsidRPr="002B608B">
              <w:rPr>
                <w:sz w:val="22"/>
                <w:szCs w:val="22"/>
                <w:vertAlign w:val="subscript"/>
                <w:lang w:val="de-DE"/>
              </w:rPr>
              <w:t>9</w:t>
            </w:r>
            <w:r w:rsidRPr="002B608B">
              <w:rPr>
                <w:sz w:val="22"/>
                <w:szCs w:val="22"/>
                <w:lang w:val="de-DE"/>
              </w:rPr>
              <w:t>-zu al-di-di-e u</w:t>
            </w:r>
            <w:r w:rsidRPr="002B608B">
              <w:rPr>
                <w:sz w:val="22"/>
                <w:szCs w:val="22"/>
                <w:vertAlign w:val="subscript"/>
                <w:lang w:val="de-DE"/>
              </w:rPr>
              <w:t>4</w:t>
            </w:r>
            <w:r w:rsidRPr="002B608B">
              <w:rPr>
                <w:sz w:val="22"/>
                <w:szCs w:val="22"/>
                <w:lang w:val="de-DE"/>
              </w:rPr>
              <w:t>-bi íb-[…]</w:t>
            </w:r>
          </w:p>
        </w:tc>
      </w:tr>
    </w:tbl>
    <w:p w14:paraId="50748CA2" w14:textId="25EBECF5" w:rsidR="007D01B0" w:rsidRPr="00A47B88" w:rsidRDefault="0026615A" w:rsidP="00CA5FD2">
      <w:pPr>
        <w:spacing w:before="120"/>
        <w:ind w:firstLine="0"/>
        <w:rPr>
          <w:rtl/>
        </w:rPr>
      </w:pPr>
      <w:r>
        <w:t>Since he was</w:t>
      </w:r>
      <w:r w:rsidR="007D01B0">
        <w:t xml:space="preserve"> already convinced that Dumuzi </w:t>
      </w:r>
      <w:r>
        <w:t xml:space="preserve">is </w:t>
      </w:r>
      <w:r w:rsidR="007D01B0">
        <w:t xml:space="preserve">not a resurrected god, </w:t>
      </w:r>
      <w:r>
        <w:t xml:space="preserve">Kramer </w:t>
      </w:r>
      <w:r w:rsidR="007D01B0">
        <w:t xml:space="preserve">asserted that “Line 10 seems to say that Dumuzi will have two visitors the year round in the Nether world; </w:t>
      </w:r>
      <w:r w:rsidR="007D01B0">
        <w:lastRenderedPageBreak/>
        <w:t xml:space="preserve">one is his sister (presumably </w:t>
      </w:r>
      <w:proofErr w:type="spellStart"/>
      <w:r w:rsidR="007D01B0">
        <w:t>Geštinanna</w:t>
      </w:r>
      <w:proofErr w:type="spellEnd"/>
      <w:r w:rsidR="007D01B0">
        <w:t>) while the identity of the other is uncertain.”</w:t>
      </w:r>
      <w:r w:rsidR="007D01B0">
        <w:rPr>
          <w:rStyle w:val="FootnoteReference"/>
          <w:rFonts w:eastAsia="Calibri"/>
        </w:rPr>
        <w:footnoteReference w:id="25"/>
      </w:r>
      <w:r w:rsidR="000E43BF">
        <w:t xml:space="preserve"> </w:t>
      </w:r>
      <w:r w:rsidR="007D01B0">
        <w:t xml:space="preserve">This approach was based on the use of the </w:t>
      </w:r>
      <w:r w:rsidR="000F6490">
        <w:t xml:space="preserve">Sumerian </w:t>
      </w:r>
      <w:r w:rsidR="007D01B0">
        <w:t xml:space="preserve">root </w:t>
      </w:r>
      <w:r w:rsidR="007D01B0" w:rsidRPr="00566631">
        <w:t>di</w:t>
      </w:r>
      <w:r w:rsidR="007D01B0">
        <w:t xml:space="preserve"> in the verb </w:t>
      </w:r>
      <w:r w:rsidR="007D01B0" w:rsidRPr="00566631">
        <w:t>al-di-di-e</w:t>
      </w:r>
      <w:r w:rsidR="007D01B0">
        <w:t xml:space="preserve">, meaning “to come” </w:t>
      </w:r>
      <w:r w:rsidR="00C40AA2">
        <w:t>–</w:t>
      </w:r>
      <w:r w:rsidR="007D01B0">
        <w:t xml:space="preserve"> sometimes Dumuzi’s sister will come to visit him, sometimes another </w:t>
      </w:r>
      <w:r w:rsidR="00CB03CB">
        <w:t xml:space="preserve">member of the god’s </w:t>
      </w:r>
      <w:r w:rsidR="007D01B0">
        <w:t xml:space="preserve">family. </w:t>
      </w:r>
    </w:p>
    <w:p w14:paraId="22440768" w14:textId="52578392" w:rsidR="007D01B0" w:rsidRPr="00A47B88" w:rsidRDefault="007D01B0" w:rsidP="00927F7A">
      <w:pPr>
        <w:rPr>
          <w:rtl/>
        </w:rPr>
      </w:pPr>
      <w:r>
        <w:t xml:space="preserve">But two years later </w:t>
      </w:r>
      <w:proofErr w:type="spellStart"/>
      <w:r>
        <w:t>Falkenstein</w:t>
      </w:r>
      <w:proofErr w:type="spellEnd"/>
      <w:r>
        <w:t xml:space="preserve"> suggested that the same word should be read as a compound verb: al-dug, </w:t>
      </w:r>
      <w:r w:rsidR="002E076F">
        <w:t>meaning</w:t>
      </w:r>
      <w:r>
        <w:t xml:space="preserve"> </w:t>
      </w:r>
      <w:r w:rsidR="002E076F">
        <w:t>“</w:t>
      </w:r>
      <w:r>
        <w:t>to want.</w:t>
      </w:r>
      <w:r w:rsidR="002E076F">
        <w:t>”</w:t>
      </w:r>
      <w:r w:rsidR="001263FD">
        <w:t xml:space="preserve"> </w:t>
      </w:r>
      <w:r w:rsidR="002E076F">
        <w:t>In addition</w:t>
      </w:r>
      <w:r>
        <w:t xml:space="preserve">, he proposed </w:t>
      </w:r>
      <w:r w:rsidR="00566631">
        <w:t>a reconstruction of</w:t>
      </w:r>
      <w:r w:rsidR="002E076F">
        <w:t xml:space="preserve"> </w:t>
      </w:r>
      <w:r>
        <w:t xml:space="preserve">the partially broken </w:t>
      </w:r>
      <w:r w:rsidR="002E076F">
        <w:t>cuneiform</w:t>
      </w:r>
      <w:r w:rsidR="002E076F" w:rsidRPr="000E43BF">
        <w:t xml:space="preserve"> </w:t>
      </w:r>
      <w:r w:rsidR="002E076F">
        <w:t xml:space="preserve">signs </w:t>
      </w:r>
      <w:r w:rsidRPr="000E43BF">
        <w:t>at the beginnings of lines 10 and 11 as the second person pronoun za-e (“you”)</w:t>
      </w:r>
      <w:r w:rsidR="002E076F">
        <w:t>,</w:t>
      </w:r>
      <w:r w:rsidRPr="000E43BF">
        <w:t xml:space="preserve"> </w:t>
      </w:r>
      <w:r w:rsidR="002E076F">
        <w:t>and</w:t>
      </w:r>
      <w:r w:rsidR="002E076F" w:rsidRPr="000E43BF">
        <w:t xml:space="preserve"> </w:t>
      </w:r>
      <w:r w:rsidR="00566631">
        <w:t xml:space="preserve">of </w:t>
      </w:r>
      <w:r w:rsidRPr="000E43BF">
        <w:t xml:space="preserve">the broken </w:t>
      </w:r>
      <w:r w:rsidR="002E076F">
        <w:t xml:space="preserve">signs </w:t>
      </w:r>
      <w:r w:rsidRPr="000E43BF">
        <w:t>at the end of lines 11 and 12</w:t>
      </w:r>
      <w:r w:rsidR="002E076F">
        <w:t xml:space="preserve"> –</w:t>
      </w:r>
      <w:r w:rsidRPr="000E43BF">
        <w:t xml:space="preserve"> as “to rise</w:t>
      </w:r>
      <w:r w:rsidR="00AD2A89">
        <w:t>.</w:t>
      </w:r>
      <w:r w:rsidRPr="000E43BF">
        <w:t>”</w:t>
      </w:r>
      <w:r w:rsidR="002E076F">
        <w:rPr>
          <w:rStyle w:val="FootnoteReference"/>
          <w:rFonts w:eastAsia="Calibri"/>
        </w:rPr>
        <w:footnoteReference w:id="26"/>
      </w:r>
      <w:r w:rsidRPr="000E43BF">
        <w:t xml:space="preserve"> </w:t>
      </w:r>
      <w:r w:rsidR="000E43BF" w:rsidRPr="006441C5">
        <w:rPr>
          <w:lang w:val="de-DE"/>
        </w:rPr>
        <w:t xml:space="preserve">This yielded </w:t>
      </w:r>
      <w:r w:rsidR="004F4D3B">
        <w:rPr>
          <w:lang w:val="de-DE"/>
        </w:rPr>
        <w:t>his</w:t>
      </w:r>
      <w:r w:rsidR="004F4D3B" w:rsidRPr="006441C5">
        <w:rPr>
          <w:lang w:val="de-DE"/>
        </w:rPr>
        <w:t xml:space="preserve"> </w:t>
      </w:r>
      <w:r w:rsidRPr="006441C5">
        <w:rPr>
          <w:lang w:val="de-DE"/>
        </w:rPr>
        <w:t>translation:</w:t>
      </w:r>
    </w:p>
    <w:p w14:paraId="26DCF17B" w14:textId="77777777" w:rsidR="007D01B0" w:rsidRPr="00241532" w:rsidRDefault="007D01B0" w:rsidP="00927F7A">
      <w:pPr>
        <w:rPr>
          <w:sz w:val="22"/>
          <w:szCs w:val="22"/>
          <w:lang w:val="de-DE"/>
        </w:rPr>
      </w:pPr>
      <w:r w:rsidRPr="00241532">
        <w:rPr>
          <w:sz w:val="22"/>
          <w:szCs w:val="22"/>
          <w:lang w:val="de-DE"/>
        </w:rPr>
        <w:t>Du (=dumuzi) ein halbes Jahr, deine Schwester (=Gestinanna) ein halbes Jahr!</w:t>
      </w:r>
    </w:p>
    <w:p w14:paraId="0528C737" w14:textId="77777777" w:rsidR="007D01B0" w:rsidRPr="00241532" w:rsidRDefault="007D01B0" w:rsidP="00927F7A">
      <w:pPr>
        <w:rPr>
          <w:sz w:val="22"/>
          <w:szCs w:val="22"/>
          <w:lang w:val="de-DE"/>
        </w:rPr>
      </w:pPr>
      <w:r w:rsidRPr="00241532">
        <w:rPr>
          <w:sz w:val="22"/>
          <w:szCs w:val="22"/>
          <w:lang w:val="de-DE"/>
        </w:rPr>
        <w:t>Am Tage, an dem du es wünscht, (an) diesem Tage wirst du dar[aus</w:t>
      </w:r>
      <w:r w:rsidRPr="00241532">
        <w:rPr>
          <w:sz w:val="22"/>
          <w:szCs w:val="22"/>
          <w:vertAlign w:val="superscript"/>
          <w:lang w:val="de-DE"/>
        </w:rPr>
        <w:t>?</w:t>
      </w:r>
      <w:r w:rsidRPr="00241532">
        <w:rPr>
          <w:sz w:val="22"/>
          <w:szCs w:val="22"/>
          <w:lang w:val="de-DE"/>
        </w:rPr>
        <w:t>...].</w:t>
      </w:r>
    </w:p>
    <w:p w14:paraId="2EF91FF8" w14:textId="6717C9BF" w:rsidR="007D01B0" w:rsidRPr="00927F7A" w:rsidRDefault="007D01B0" w:rsidP="00927F7A">
      <w:pPr>
        <w:rPr>
          <w:rtl/>
        </w:rPr>
      </w:pPr>
      <w:r w:rsidRPr="00241532">
        <w:rPr>
          <w:sz w:val="22"/>
          <w:szCs w:val="22"/>
          <w:lang w:val="de-DE"/>
        </w:rPr>
        <w:t xml:space="preserve"> Am Tage, an dem deine Schwester wünscht, (an) diesem Tage wird sie dar[aus</w:t>
      </w:r>
      <w:r w:rsidRPr="00241532">
        <w:rPr>
          <w:sz w:val="22"/>
          <w:szCs w:val="22"/>
          <w:vertAlign w:val="superscript"/>
          <w:lang w:val="de-DE"/>
        </w:rPr>
        <w:t>?</w:t>
      </w:r>
      <w:r w:rsidRPr="00241532">
        <w:rPr>
          <w:sz w:val="22"/>
          <w:szCs w:val="22"/>
          <w:lang w:val="de-DE"/>
        </w:rPr>
        <w:t>...].</w:t>
      </w:r>
      <w:r w:rsidR="00060644" w:rsidRPr="006441C5">
        <w:rPr>
          <w:rStyle w:val="FootnoteReference"/>
          <w:rFonts w:eastAsia="Calibri"/>
          <w:lang w:val="de-DE"/>
        </w:rPr>
        <w:t xml:space="preserve"> </w:t>
      </w:r>
    </w:p>
    <w:p w14:paraId="264C407E" w14:textId="65462551" w:rsidR="007D01B0" w:rsidRPr="00A47B88" w:rsidRDefault="007D01B0" w:rsidP="00CA5FD2">
      <w:pPr>
        <w:spacing w:before="120"/>
        <w:ind w:firstLine="0"/>
      </w:pPr>
      <w:r>
        <w:t xml:space="preserve">According to </w:t>
      </w:r>
      <w:r w:rsidR="004F4D3B">
        <w:t>t</w:t>
      </w:r>
      <w:r>
        <w:t xml:space="preserve">his proposal, which at the time relied </w:t>
      </w:r>
      <w:r w:rsidR="00FA6ECF">
        <w:t xml:space="preserve">primarily </w:t>
      </w:r>
      <w:r>
        <w:t xml:space="preserve">on uncertain reconstructions, the final lines of </w:t>
      </w:r>
      <w:r w:rsidRPr="00FA6ECF">
        <w:rPr>
          <w:i/>
          <w:iCs/>
        </w:rPr>
        <w:t>Inana’s Descent</w:t>
      </w:r>
      <w:r>
        <w:t xml:space="preserve"> do not describe relatives visiting Dumuzi in</w:t>
      </w:r>
      <w:r w:rsidR="003B6514">
        <w:t xml:space="preserve"> the</w:t>
      </w:r>
      <w:r>
        <w:t xml:space="preserve"> </w:t>
      </w:r>
      <w:r w:rsidR="003B6514">
        <w:t>netherworld</w:t>
      </w:r>
      <w:r>
        <w:t xml:space="preserve">, but rather an exchange between Dumuzi and </w:t>
      </w:r>
      <w:proofErr w:type="spellStart"/>
      <w:r>
        <w:t>Geštinana</w:t>
      </w:r>
      <w:proofErr w:type="spellEnd"/>
      <w:r>
        <w:t xml:space="preserve"> every half-year. </w:t>
      </w:r>
      <w:proofErr w:type="spellStart"/>
      <w:r>
        <w:t>Falkenstein</w:t>
      </w:r>
      <w:r w:rsidR="00060644">
        <w:t>’s</w:t>
      </w:r>
      <w:proofErr w:type="spellEnd"/>
      <w:r>
        <w:t xml:space="preserve"> proposal</w:t>
      </w:r>
      <w:r w:rsidR="00060644">
        <w:t xml:space="preserve"> </w:t>
      </w:r>
      <w:r>
        <w:t>was adopted with enthusiasm by all scholars at the time</w:t>
      </w:r>
      <w:r w:rsidR="0001091E">
        <w:t xml:space="preserve"> – including Kramer, </w:t>
      </w:r>
      <w:r>
        <w:t xml:space="preserve">who </w:t>
      </w:r>
      <w:r w:rsidR="0001091E">
        <w:t>went so far as to</w:t>
      </w:r>
      <w:r>
        <w:t xml:space="preserve"> </w:t>
      </w:r>
      <w:r w:rsidR="0001091E">
        <w:t>retract</w:t>
      </w:r>
      <w:r>
        <w:t xml:space="preserve"> his previous assessment:</w:t>
      </w:r>
    </w:p>
    <w:p w14:paraId="5652DB9E" w14:textId="18885F4C" w:rsidR="007D01B0" w:rsidRPr="00A47B88" w:rsidRDefault="007D01B0" w:rsidP="00830F72">
      <w:pPr>
        <w:pStyle w:val="Quote"/>
      </w:pPr>
      <w:r>
        <w:t xml:space="preserve">If </w:t>
      </w:r>
      <w:proofErr w:type="spellStart"/>
      <w:r>
        <w:t>Falkenstein’s</w:t>
      </w:r>
      <w:proofErr w:type="spellEnd"/>
      <w:r>
        <w:t xml:space="preserve"> interpretation is correct – and it seems to me most convincing – my conclusion that Dumuzi dies and </w:t>
      </w:r>
      <w:r w:rsidR="001263FD">
        <w:t>“</w:t>
      </w:r>
      <w:r>
        <w:t>stays dead</w:t>
      </w:r>
      <w:r w:rsidR="001263FD">
        <w:t>”</w:t>
      </w:r>
      <w:r>
        <w:t xml:space="preserve"> forever was quite erroneous: Dumuzi, according to the Sumerian mythographers, rises from the dead annually and, after staying on earth for half the year, descends to the Nether World for the other half.</w:t>
      </w:r>
    </w:p>
    <w:p w14:paraId="43C01EEE" w14:textId="2920B703" w:rsidR="007D01B0" w:rsidRPr="00A47B88" w:rsidRDefault="007D01B0" w:rsidP="00830F72">
      <w:pPr>
        <w:ind w:firstLine="0"/>
        <w:rPr>
          <w:rtl/>
        </w:rPr>
      </w:pPr>
      <w:r>
        <w:lastRenderedPageBreak/>
        <w:t xml:space="preserve">In a footnote, Kramer added: </w:t>
      </w:r>
      <w:r w:rsidR="00830F72">
        <w:t>“</w:t>
      </w:r>
      <w:r>
        <w:t>Note the obvious parallel to the Adonis</w:t>
      </w:r>
      <w:r w:rsidR="00830F72">
        <w:t>.”</w:t>
      </w:r>
      <w:r>
        <w:rPr>
          <w:rStyle w:val="FootnoteReference"/>
          <w:rFonts w:eastAsia="Calibri"/>
        </w:rPr>
        <w:footnoteReference w:id="27"/>
      </w:r>
      <w:r>
        <w:t xml:space="preserve"> To others however, </w:t>
      </w:r>
      <w:r w:rsidR="00830F72">
        <w:t>the</w:t>
      </w:r>
      <w:r>
        <w:t xml:space="preserve"> reading more closely resembled the Greek story of Demeter and Kore </w:t>
      </w:r>
      <w:r w:rsidR="00C40AA2">
        <w:t>–</w:t>
      </w:r>
      <w:r>
        <w:t xml:space="preserve"> which </w:t>
      </w:r>
      <w:r w:rsidR="002E076F">
        <w:t xml:space="preserve">ends with </w:t>
      </w:r>
      <w:r>
        <w:t xml:space="preserve">Demeter spending half </w:t>
      </w:r>
      <w:r w:rsidR="00566631">
        <w:t xml:space="preserve">of every </w:t>
      </w:r>
      <w:r>
        <w:t>year in the underworld</w:t>
      </w:r>
      <w:r w:rsidR="002E076F">
        <w:t xml:space="preserve"> </w:t>
      </w:r>
      <w:r>
        <w:t>.</w:t>
      </w:r>
      <w:r>
        <w:rPr>
          <w:rStyle w:val="FootnoteReference"/>
          <w:rFonts w:eastAsia="Calibri"/>
        </w:rPr>
        <w:footnoteReference w:id="28"/>
      </w:r>
    </w:p>
    <w:p w14:paraId="3C6F64D5" w14:textId="3AD21FD8" w:rsidR="007D01B0" w:rsidRPr="00A47B88" w:rsidRDefault="007D01B0" w:rsidP="00CA5FD2">
      <w:pPr>
        <w:spacing w:after="120"/>
        <w:rPr>
          <w:rtl/>
        </w:rPr>
      </w:pPr>
      <w:r>
        <w:t>In subsequent years, further fragment</w:t>
      </w:r>
      <w:r w:rsidR="002E076F">
        <w:t>s of</w:t>
      </w:r>
      <w:r>
        <w:t xml:space="preserve"> UET 6/10 were identified</w:t>
      </w:r>
      <w:r w:rsidR="00830F72">
        <w:t xml:space="preserve">, reinforcing </w:t>
      </w:r>
      <w:proofErr w:type="spellStart"/>
      <w:r>
        <w:t>Falkenstein’s</w:t>
      </w:r>
      <w:proofErr w:type="spellEnd"/>
      <w:r>
        <w:t xml:space="preserve"> </w:t>
      </w:r>
      <w:r w:rsidR="00830F72">
        <w:t>suggestion</w:t>
      </w:r>
      <w:r>
        <w:t>. T</w:t>
      </w:r>
      <w:r w:rsidR="002E076F">
        <w:t>hus, t</w:t>
      </w:r>
      <w:r>
        <w:t xml:space="preserve">oday, the </w:t>
      </w:r>
      <w:r w:rsidR="002E076F">
        <w:t xml:space="preserve">common </w:t>
      </w:r>
      <w:r>
        <w:t xml:space="preserve">reading of the final lines is as follows: </w:t>
      </w:r>
      <w:r>
        <w:rPr>
          <w:rStyle w:val="FootnoteReference"/>
          <w:rFonts w:eastAsia="Calibri"/>
        </w:rPr>
        <w:footnoteReference w:id="29"/>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054001" w:rsidRPr="0060255A" w14:paraId="164ACCBB" w14:textId="77777777" w:rsidTr="00CA5FD2">
        <w:tc>
          <w:tcPr>
            <w:tcW w:w="4962" w:type="dxa"/>
          </w:tcPr>
          <w:p w14:paraId="6CAC9072" w14:textId="77777777" w:rsidR="00054001" w:rsidRPr="002B608B" w:rsidRDefault="00054001" w:rsidP="00DE3CEC">
            <w:pPr>
              <w:ind w:firstLine="0"/>
              <w:rPr>
                <w:sz w:val="22"/>
                <w:szCs w:val="22"/>
                <w:rtl/>
              </w:rPr>
            </w:pPr>
            <w:r w:rsidRPr="00DE3CEC">
              <w:rPr>
                <w:sz w:val="22"/>
                <w:szCs w:val="22"/>
              </w:rPr>
              <w:t>You for half the year, and your sister for half the year.</w:t>
            </w:r>
          </w:p>
        </w:tc>
        <w:tc>
          <w:tcPr>
            <w:tcW w:w="4252" w:type="dxa"/>
          </w:tcPr>
          <w:p w14:paraId="332E67A4" w14:textId="77777777" w:rsidR="00054001" w:rsidRPr="002B608B" w:rsidRDefault="00054001" w:rsidP="00DE3CEC">
            <w:pPr>
              <w:ind w:firstLine="0"/>
              <w:rPr>
                <w:sz w:val="22"/>
                <w:szCs w:val="22"/>
                <w:lang w:val="de-DE"/>
              </w:rPr>
            </w:pPr>
            <w:r w:rsidRPr="002B608B">
              <w:rPr>
                <w:rFonts w:cstheme="majorBidi"/>
                <w:sz w:val="22"/>
                <w:szCs w:val="22"/>
                <w:lang w:val="de-DE"/>
              </w:rPr>
              <w:t>˹za-e˺ mu maš-</w:t>
            </w:r>
            <w:r>
              <w:rPr>
                <w:rFonts w:cs="Times New Roman"/>
                <w:sz w:val="22"/>
                <w:szCs w:val="22"/>
                <w:lang w:val="de-DE"/>
              </w:rPr>
              <w:t>à</w:t>
            </w:r>
            <w:r w:rsidRPr="002B608B">
              <w:rPr>
                <w:rFonts w:cstheme="majorBidi"/>
                <w:sz w:val="22"/>
                <w:szCs w:val="22"/>
                <w:lang w:val="de-DE"/>
              </w:rPr>
              <w:t>m nin</w:t>
            </w:r>
            <w:r w:rsidRPr="002B608B">
              <w:rPr>
                <w:rFonts w:cstheme="majorBidi"/>
                <w:sz w:val="22"/>
                <w:szCs w:val="22"/>
                <w:vertAlign w:val="subscript"/>
                <w:lang w:val="de-DE"/>
              </w:rPr>
              <w:t>9</w:t>
            </w:r>
            <w:r w:rsidRPr="002B608B">
              <w:rPr>
                <w:rFonts w:cstheme="majorBidi"/>
                <w:sz w:val="22"/>
                <w:szCs w:val="22"/>
                <w:lang w:val="de-DE"/>
              </w:rPr>
              <w:t>-zu mu maš-</w:t>
            </w:r>
            <w:r>
              <w:rPr>
                <w:rFonts w:cs="Times New Roman"/>
                <w:sz w:val="22"/>
                <w:szCs w:val="22"/>
                <w:lang w:val="de-DE"/>
              </w:rPr>
              <w:t>à</w:t>
            </w:r>
            <w:r w:rsidRPr="002B608B">
              <w:rPr>
                <w:rFonts w:cstheme="majorBidi"/>
                <w:sz w:val="22"/>
                <w:szCs w:val="22"/>
                <w:lang w:val="de-DE"/>
              </w:rPr>
              <w:t>m</w:t>
            </w:r>
          </w:p>
        </w:tc>
      </w:tr>
      <w:tr w:rsidR="00054001" w:rsidRPr="0060255A" w14:paraId="1E3C8E11" w14:textId="77777777" w:rsidTr="00CA5FD2">
        <w:tc>
          <w:tcPr>
            <w:tcW w:w="4962" w:type="dxa"/>
          </w:tcPr>
          <w:p w14:paraId="1711EEC3" w14:textId="77777777" w:rsidR="00054001" w:rsidRPr="002B608B" w:rsidRDefault="00054001" w:rsidP="002B608B">
            <w:pPr>
              <w:ind w:firstLine="0"/>
              <w:rPr>
                <w:sz w:val="22"/>
                <w:szCs w:val="22"/>
                <w:rtl/>
              </w:rPr>
            </w:pPr>
            <w:r w:rsidRPr="002B608B">
              <w:rPr>
                <w:sz w:val="22"/>
                <w:szCs w:val="22"/>
              </w:rPr>
              <w:t>On the day that you are demanded, on that day you will stay,</w:t>
            </w:r>
          </w:p>
        </w:tc>
        <w:tc>
          <w:tcPr>
            <w:tcW w:w="4252" w:type="dxa"/>
          </w:tcPr>
          <w:p w14:paraId="260162EB" w14:textId="77777777" w:rsidR="00054001" w:rsidRPr="002B608B" w:rsidRDefault="00054001" w:rsidP="002B608B">
            <w:pPr>
              <w:ind w:right="-152" w:firstLine="0"/>
              <w:rPr>
                <w:sz w:val="22"/>
                <w:szCs w:val="22"/>
                <w:lang w:val="de-DE"/>
              </w:rPr>
            </w:pPr>
            <w:r w:rsidRPr="002B608B">
              <w:rPr>
                <w:rFonts w:eastAsia="Times New Roman" w:cstheme="majorBidi"/>
                <w:sz w:val="22"/>
                <w:szCs w:val="22"/>
                <w:lang w:val="de-DE" w:bidi="he-IL"/>
              </w:rPr>
              <w:t>ud za-e al di-di-e ud-bi ḫ</w:t>
            </w:r>
            <w:r>
              <w:rPr>
                <w:rFonts w:eastAsia="Times New Roman" w:cs="Times New Roman"/>
                <w:sz w:val="22"/>
                <w:szCs w:val="22"/>
                <w:lang w:val="de-DE" w:bidi="he-IL"/>
              </w:rPr>
              <w:t>é</w:t>
            </w:r>
            <w:r w:rsidRPr="002B608B">
              <w:rPr>
                <w:rFonts w:eastAsia="Times New Roman" w:cstheme="majorBidi"/>
                <w:sz w:val="22"/>
                <w:szCs w:val="22"/>
                <w:lang w:val="de-DE" w:bidi="he-IL"/>
              </w:rPr>
              <w:t>-tuš-[e]</w:t>
            </w:r>
          </w:p>
        </w:tc>
      </w:tr>
      <w:tr w:rsidR="00054001" w:rsidRPr="0060255A" w14:paraId="0A8A92CA" w14:textId="77777777" w:rsidTr="00CA5FD2">
        <w:tc>
          <w:tcPr>
            <w:tcW w:w="4962" w:type="dxa"/>
          </w:tcPr>
          <w:p w14:paraId="2E08CBA1" w14:textId="77777777" w:rsidR="00054001" w:rsidRPr="002B608B" w:rsidRDefault="00054001" w:rsidP="002B608B">
            <w:pPr>
              <w:ind w:firstLine="0"/>
              <w:rPr>
                <w:sz w:val="22"/>
                <w:szCs w:val="22"/>
                <w:rtl/>
              </w:rPr>
            </w:pPr>
            <w:r w:rsidRPr="002B608B">
              <w:rPr>
                <w:sz w:val="22"/>
                <w:szCs w:val="22"/>
              </w:rPr>
              <w:t>On the day that your sister is demanded, on that day you will be released.</w:t>
            </w:r>
          </w:p>
        </w:tc>
        <w:tc>
          <w:tcPr>
            <w:tcW w:w="4252" w:type="dxa"/>
          </w:tcPr>
          <w:p w14:paraId="2278ACD1" w14:textId="77777777" w:rsidR="00054001" w:rsidRPr="002B608B" w:rsidRDefault="00054001" w:rsidP="002B608B">
            <w:pPr>
              <w:ind w:firstLine="0"/>
              <w:rPr>
                <w:sz w:val="22"/>
                <w:szCs w:val="22"/>
                <w:lang w:val="de-DE"/>
              </w:rPr>
            </w:pPr>
            <w:r w:rsidRPr="002B608B">
              <w:rPr>
                <w:rFonts w:eastAsia="Times New Roman" w:cstheme="majorBidi"/>
                <w:sz w:val="22"/>
                <w:szCs w:val="22"/>
                <w:lang w:val="de-DE" w:bidi="he-IL"/>
              </w:rPr>
              <w:t>ud nin</w:t>
            </w:r>
            <w:r w:rsidRPr="002B608B">
              <w:rPr>
                <w:rFonts w:eastAsia="Times New Roman" w:cstheme="majorBidi"/>
                <w:sz w:val="22"/>
                <w:szCs w:val="22"/>
                <w:vertAlign w:val="subscript"/>
                <w:lang w:val="de-DE" w:bidi="he-IL"/>
              </w:rPr>
              <w:t>9</w:t>
            </w:r>
            <w:r w:rsidRPr="002B608B">
              <w:rPr>
                <w:rFonts w:eastAsia="Times New Roman" w:cstheme="majorBidi"/>
                <w:sz w:val="22"/>
                <w:szCs w:val="22"/>
                <w:lang w:val="de-DE" w:bidi="he-IL"/>
              </w:rPr>
              <w:t>-zu al di-di-e ud-bi ḫ</w:t>
            </w:r>
            <w:r>
              <w:rPr>
                <w:rFonts w:eastAsia="Times New Roman" w:cs="Times New Roman"/>
                <w:sz w:val="22"/>
                <w:szCs w:val="22"/>
                <w:lang w:val="de-DE" w:bidi="he-IL"/>
              </w:rPr>
              <w:t>é</w:t>
            </w:r>
            <w:r w:rsidRPr="002B608B">
              <w:rPr>
                <w:rFonts w:eastAsia="Times New Roman" w:cstheme="majorBidi"/>
                <w:sz w:val="22"/>
                <w:szCs w:val="22"/>
                <w:lang w:val="de-DE" w:bidi="he-IL"/>
              </w:rPr>
              <w:t>-b</w:t>
            </w:r>
            <w:r>
              <w:rPr>
                <w:rFonts w:eastAsia="Times New Roman" w:cs="Times New Roman"/>
                <w:sz w:val="22"/>
                <w:szCs w:val="22"/>
                <w:lang w:val="de-DE" w:bidi="he-IL"/>
              </w:rPr>
              <w:t>ú</w:t>
            </w:r>
            <w:r w:rsidRPr="002B608B">
              <w:rPr>
                <w:rFonts w:eastAsia="Times New Roman" w:cstheme="majorBidi"/>
                <w:sz w:val="22"/>
                <w:szCs w:val="22"/>
                <w:lang w:val="de-DE" w:bidi="he-IL"/>
              </w:rPr>
              <w:t>r-[e]</w:t>
            </w:r>
          </w:p>
        </w:tc>
      </w:tr>
    </w:tbl>
    <w:p w14:paraId="262FA752" w14:textId="789B8208" w:rsidR="007D01B0" w:rsidRPr="00A47B88" w:rsidRDefault="007D01B0" w:rsidP="00CA5FD2">
      <w:pPr>
        <w:spacing w:before="120"/>
        <w:ind w:firstLine="0"/>
        <w:rPr>
          <w:rtl/>
        </w:rPr>
      </w:pPr>
      <w:r>
        <w:t xml:space="preserve">And so, some seventy years after being proposed on the basis of a misinterpretation of an Akkadian text, scholars had finally found the first </w:t>
      </w:r>
      <w:r w:rsidR="000571BF">
        <w:t xml:space="preserve">(and only) </w:t>
      </w:r>
      <w:r>
        <w:t xml:space="preserve">piece of evidence to suggest that Dumuzi was not only a dying god, but a rising one as well. </w:t>
      </w:r>
    </w:p>
    <w:p w14:paraId="3751C6A5" w14:textId="2D3AA9A8" w:rsidR="001C00E8" w:rsidRPr="00BE697F" w:rsidRDefault="007D01B0" w:rsidP="001C00E8">
      <w:pPr>
        <w:rPr>
          <w:rtl/>
          <w:lang w:val="en-GB" w:bidi="he-IL"/>
        </w:rPr>
      </w:pPr>
      <w:r w:rsidRPr="00927F7A">
        <w:t xml:space="preserve">Given the dating of this work to at least the </w:t>
      </w:r>
      <w:r w:rsidR="002A61E6">
        <w:t>eighteenth</w:t>
      </w:r>
      <w:r w:rsidR="0026615A">
        <w:t>-</w:t>
      </w:r>
      <w:r w:rsidRPr="00927F7A">
        <w:t xml:space="preserve">century BCE, one would expect </w:t>
      </w:r>
      <w:r w:rsidR="00DD2073">
        <w:t>additional</w:t>
      </w:r>
      <w:r w:rsidR="00DD2073" w:rsidRPr="00927F7A">
        <w:t xml:space="preserve"> </w:t>
      </w:r>
      <w:r w:rsidRPr="00927F7A">
        <w:t>Mesopotamian texts to refer to Dumuzi’s return in one way or another</w:t>
      </w:r>
      <w:r w:rsidR="0026615A">
        <w:t xml:space="preserve"> </w:t>
      </w:r>
      <w:r w:rsidR="00CA5FD2">
        <w:t>during</w:t>
      </w:r>
      <w:r w:rsidR="0026615A">
        <w:t xml:space="preserve"> </w:t>
      </w:r>
      <w:r w:rsidR="00CA5FD2">
        <w:t>subsequent</w:t>
      </w:r>
      <w:r w:rsidR="0026615A">
        <w:t xml:space="preserve"> </w:t>
      </w:r>
      <w:r w:rsidR="00CA5FD2">
        <w:t>millennia</w:t>
      </w:r>
      <w:r w:rsidRPr="00927F7A">
        <w:t xml:space="preserve">. However, despite the vast amount of </w:t>
      </w:r>
      <w:r w:rsidR="004246A8" w:rsidRPr="00927F7A">
        <w:t xml:space="preserve">extant </w:t>
      </w:r>
      <w:r w:rsidRPr="00927F7A">
        <w:t>Mesopotamian materials</w:t>
      </w:r>
      <w:r w:rsidR="00020499">
        <w:t xml:space="preserve"> </w:t>
      </w:r>
      <w:r w:rsidR="00C40AA2">
        <w:t>–</w:t>
      </w:r>
      <w:r w:rsidRPr="00927F7A">
        <w:t xml:space="preserve"> outstripping that of any other ancient </w:t>
      </w:r>
      <w:r w:rsidR="008763B9">
        <w:t xml:space="preserve">Near Eastern </w:t>
      </w:r>
      <w:r w:rsidRPr="00927F7A">
        <w:t>civilization</w:t>
      </w:r>
      <w:r w:rsidR="003E1105">
        <w:t xml:space="preserve"> –</w:t>
      </w:r>
      <w:r w:rsidRPr="00927F7A">
        <w:t xml:space="preserve"> and despite the many Mesopotamian texts which mention Dumuzi </w:t>
      </w:r>
      <w:r w:rsidR="008763B9">
        <w:t>in particular</w:t>
      </w:r>
      <w:r w:rsidRPr="00927F7A">
        <w:t>,</w:t>
      </w:r>
      <w:r w:rsidRPr="003E1105">
        <w:rPr>
          <w:rStyle w:val="FootnoteReference"/>
        </w:rPr>
        <w:footnoteReference w:id="30"/>
      </w:r>
      <w:r w:rsidR="003E1105">
        <w:t xml:space="preserve"> </w:t>
      </w:r>
      <w:r w:rsidRPr="00927F7A">
        <w:t xml:space="preserve">no other </w:t>
      </w:r>
      <w:r w:rsidR="00C31033">
        <w:t>evidence</w:t>
      </w:r>
      <w:r w:rsidR="00C31033" w:rsidRPr="00927F7A">
        <w:t xml:space="preserve"> </w:t>
      </w:r>
      <w:r w:rsidR="00C31033">
        <w:t>has</w:t>
      </w:r>
      <w:r w:rsidR="00C31033" w:rsidRPr="00927F7A">
        <w:t xml:space="preserve"> </w:t>
      </w:r>
      <w:r w:rsidRPr="00927F7A">
        <w:t xml:space="preserve">been </w:t>
      </w:r>
      <w:r w:rsidR="008763B9">
        <w:t>found to date</w:t>
      </w:r>
      <w:r w:rsidRPr="00A81B4D">
        <w:t xml:space="preserve">. This holds true </w:t>
      </w:r>
      <w:r w:rsidR="000571BF">
        <w:t>even</w:t>
      </w:r>
      <w:r w:rsidR="008763B9" w:rsidRPr="00A81B4D">
        <w:t xml:space="preserve"> </w:t>
      </w:r>
      <w:r w:rsidRPr="00A81B4D">
        <w:t xml:space="preserve">for those works that </w:t>
      </w:r>
      <w:r w:rsidR="008763B9">
        <w:t>seem to be</w:t>
      </w:r>
      <w:r w:rsidRPr="00A81B4D">
        <w:t xml:space="preserve"> familiar with </w:t>
      </w:r>
      <w:r w:rsidRPr="00A81B4D">
        <w:rPr>
          <w:i/>
          <w:iCs/>
        </w:rPr>
        <w:t>Inana’s Descent</w:t>
      </w:r>
      <w:r w:rsidR="00DE6F1E">
        <w:t>;</w:t>
      </w:r>
      <w:r w:rsidR="00034EB6" w:rsidRPr="00034EB6">
        <w:t xml:space="preserve"> </w:t>
      </w:r>
      <w:r w:rsidR="00DE6F1E">
        <w:t>t</w:t>
      </w:r>
      <w:r w:rsidR="00034EB6" w:rsidRPr="00A81B4D">
        <w:t xml:space="preserve">hey </w:t>
      </w:r>
      <w:r w:rsidR="00912363">
        <w:t xml:space="preserve">too </w:t>
      </w:r>
      <w:r w:rsidR="00A81B4D">
        <w:t>either</w:t>
      </w:r>
      <w:r w:rsidR="00A81B4D" w:rsidRPr="00A81B4D">
        <w:t xml:space="preserve"> </w:t>
      </w:r>
      <w:r w:rsidR="00A81B4D">
        <w:t>omit any mention of</w:t>
      </w:r>
      <w:r w:rsidRPr="00A81B4D">
        <w:t xml:space="preserve"> Dumuzi’s r</w:t>
      </w:r>
      <w:r w:rsidR="008763B9">
        <w:t>ising from the netherworld</w:t>
      </w:r>
      <w:r w:rsidRPr="00A81B4D">
        <w:t xml:space="preserve"> (</w:t>
      </w:r>
      <w:r w:rsidR="00A94AB4">
        <w:t>this is the</w:t>
      </w:r>
      <w:r w:rsidR="00D3106B">
        <w:t xml:space="preserve"> case in</w:t>
      </w:r>
      <w:r w:rsidR="00A81B4D" w:rsidRPr="00A81B4D">
        <w:t xml:space="preserve"> </w:t>
      </w:r>
      <w:r w:rsidRPr="00A81B4D">
        <w:rPr>
          <w:i/>
          <w:iCs/>
        </w:rPr>
        <w:lastRenderedPageBreak/>
        <w:t xml:space="preserve">Dumuzi and </w:t>
      </w:r>
      <w:proofErr w:type="spellStart"/>
      <w:r w:rsidRPr="00A81B4D">
        <w:rPr>
          <w:i/>
          <w:iCs/>
        </w:rPr>
        <w:t>Geštinana</w:t>
      </w:r>
      <w:proofErr w:type="spellEnd"/>
      <w:r w:rsidRPr="00A81B4D">
        <w:t>)</w:t>
      </w:r>
      <w:r w:rsidR="000571BF">
        <w:t>,</w:t>
      </w:r>
      <w:r w:rsidRPr="00A81B4D">
        <w:rPr>
          <w:rStyle w:val="FootnoteReference"/>
        </w:rPr>
        <w:footnoteReference w:id="31"/>
      </w:r>
      <w:r w:rsidR="003E1105" w:rsidRPr="00A81B4D">
        <w:t xml:space="preserve"> </w:t>
      </w:r>
      <w:r w:rsidRPr="00A81B4D">
        <w:t xml:space="preserve">or </w:t>
      </w:r>
      <w:r w:rsidR="008763B9">
        <w:t>interpret</w:t>
      </w:r>
      <w:r w:rsidR="008763B9" w:rsidRPr="00A81B4D">
        <w:t xml:space="preserve"> </w:t>
      </w:r>
      <w:r w:rsidR="0026615A">
        <w:t>his</w:t>
      </w:r>
      <w:r w:rsidR="0026615A" w:rsidRPr="00A81B4D">
        <w:t xml:space="preserve"> </w:t>
      </w:r>
      <w:r w:rsidRPr="00A81B4D">
        <w:t xml:space="preserve">return as </w:t>
      </w:r>
      <w:r w:rsidR="008763B9">
        <w:t>a</w:t>
      </w:r>
      <w:r w:rsidR="004B6D57">
        <w:t xml:space="preserve"> participation in a</w:t>
      </w:r>
      <w:r w:rsidR="008763B9" w:rsidRPr="00A81B4D">
        <w:t xml:space="preserve"> </w:t>
      </w:r>
      <w:r w:rsidR="004B6D57">
        <w:t xml:space="preserve">funerary ritual such as </w:t>
      </w:r>
      <w:r w:rsidR="004B6D57" w:rsidRPr="00A81B4D">
        <w:t xml:space="preserve">the </w:t>
      </w:r>
      <w:r w:rsidR="004B6D57" w:rsidRPr="00241532">
        <w:rPr>
          <w:i/>
          <w:iCs/>
        </w:rPr>
        <w:t>Taklimtu</w:t>
      </w:r>
      <w:r w:rsidR="004B6D57">
        <w:t>, in which</w:t>
      </w:r>
      <w:r w:rsidR="004B6D57" w:rsidRPr="00A81B4D">
        <w:t xml:space="preserve"> </w:t>
      </w:r>
      <w:r w:rsidR="004B6D57">
        <w:t>the</w:t>
      </w:r>
      <w:r w:rsidRPr="00A81B4D">
        <w:t xml:space="preserve"> dead souls</w:t>
      </w:r>
      <w:r w:rsidR="008763B9">
        <w:t xml:space="preserve"> </w:t>
      </w:r>
      <w:r w:rsidR="00CA5FD2">
        <w:t xml:space="preserve">ascend </w:t>
      </w:r>
      <w:r w:rsidR="004B6D57">
        <w:t xml:space="preserve">from the netherworld </w:t>
      </w:r>
      <w:r w:rsidR="008763B9">
        <w:t>for</w:t>
      </w:r>
      <w:r w:rsidRPr="00A81B4D">
        <w:t xml:space="preserve"> </w:t>
      </w:r>
      <w:r w:rsidR="00CA5FD2">
        <w:t xml:space="preserve">the </w:t>
      </w:r>
      <w:r w:rsidR="005806EB">
        <w:t>occasion</w:t>
      </w:r>
      <w:r w:rsidR="004B6D57">
        <w:t xml:space="preserve"> </w:t>
      </w:r>
      <w:r w:rsidRPr="00A81B4D">
        <w:t>(</w:t>
      </w:r>
      <w:r w:rsidR="00A81B4D" w:rsidRPr="00A81B4D">
        <w:t xml:space="preserve">as </w:t>
      </w:r>
      <w:r w:rsidR="00E66A2F">
        <w:t>at the end of</w:t>
      </w:r>
      <w:r w:rsidRPr="00A81B4D">
        <w:t xml:space="preserve"> </w:t>
      </w:r>
      <w:proofErr w:type="spellStart"/>
      <w:r w:rsidRPr="00A81B4D">
        <w:rPr>
          <w:i/>
          <w:iCs/>
        </w:rPr>
        <w:t>Ištar’s</w:t>
      </w:r>
      <w:proofErr w:type="spellEnd"/>
      <w:r w:rsidRPr="00A81B4D">
        <w:rPr>
          <w:i/>
          <w:iCs/>
        </w:rPr>
        <w:t xml:space="preserve"> Descent</w:t>
      </w:r>
      <w:r w:rsidRPr="00A81B4D">
        <w:t>).</w:t>
      </w:r>
      <w:bookmarkStart w:id="13" w:name="_Hlk68275872"/>
      <w:r w:rsidRPr="00A81B4D">
        <w:rPr>
          <w:rStyle w:val="FootnoteReference"/>
        </w:rPr>
        <w:footnoteReference w:id="32"/>
      </w:r>
      <w:bookmarkEnd w:id="13"/>
      <w:r w:rsidR="003E1105">
        <w:t xml:space="preserve"> </w:t>
      </w:r>
      <w:r w:rsidR="008257D2">
        <w:t xml:space="preserve">In fact, </w:t>
      </w:r>
      <w:r w:rsidR="00D97387">
        <w:t>the latter</w:t>
      </w:r>
      <w:r w:rsidR="001C00E8">
        <w:t xml:space="preserve"> interpretation of Dumuzi’s </w:t>
      </w:r>
      <w:del w:id="14" w:author="Avraham Kallenbah" w:date="2021-04-13T08:32:00Z">
        <w:r w:rsidR="001C00E8" w:rsidDel="00BE697F">
          <w:delText xml:space="preserve">resurrection </w:delText>
        </w:r>
      </w:del>
      <w:ins w:id="15" w:author="Avraham Kallenbah" w:date="2021-04-13T08:32:00Z">
        <w:r w:rsidR="00BE697F">
          <w:rPr>
            <w:lang w:bidi="he-IL"/>
          </w:rPr>
          <w:t>return</w:t>
        </w:r>
        <w:r w:rsidR="00BE697F">
          <w:t xml:space="preserve"> </w:t>
        </w:r>
      </w:ins>
      <w:r w:rsidR="00CA5FD2">
        <w:t>w</w:t>
      </w:r>
      <w:r w:rsidR="000708AD">
        <w:t>as</w:t>
      </w:r>
      <w:r w:rsidR="00CA5FD2">
        <w:t xml:space="preserve"> what </w:t>
      </w:r>
      <w:r w:rsidR="008257D2">
        <w:t xml:space="preserve">ultimately </w:t>
      </w:r>
      <w:r w:rsidR="001C00E8">
        <w:t>enable</w:t>
      </w:r>
      <w:r w:rsidR="00CA5FD2">
        <w:t>d</w:t>
      </w:r>
      <w:r w:rsidR="001C00E8">
        <w:t xml:space="preserve"> </w:t>
      </w:r>
      <w:r w:rsidR="008257D2">
        <w:t xml:space="preserve">earlier </w:t>
      </w:r>
      <w:r w:rsidR="001C00E8">
        <w:t>modern scholars to reinterpret it mistakenly as a resurrection</w:t>
      </w:r>
      <w:r w:rsidR="008257D2">
        <w:t xml:space="preserve">; </w:t>
      </w:r>
      <w:r w:rsidR="00CA5FD2">
        <w:t>even th</w:t>
      </w:r>
      <w:r w:rsidR="000708AD">
        <w:t>ey</w:t>
      </w:r>
      <w:r w:rsidR="00CA5FD2">
        <w:t>, however, could</w:t>
      </w:r>
      <w:r w:rsidR="001C00E8">
        <w:t xml:space="preserve"> not ignore the </w:t>
      </w:r>
      <w:r w:rsidR="00CA5FD2">
        <w:t>presence</w:t>
      </w:r>
      <w:r w:rsidR="001C00E8">
        <w:t xml:space="preserve"> of mourners in </w:t>
      </w:r>
      <w:r w:rsidR="00CA5FD2">
        <w:t>the</w:t>
      </w:r>
      <w:r w:rsidR="001C00E8">
        <w:t xml:space="preserve"> ceremony, </w:t>
      </w:r>
      <w:r w:rsidR="00CA5FD2">
        <w:t>clearly marking</w:t>
      </w:r>
      <w:r w:rsidR="001C00E8">
        <w:t xml:space="preserve"> it as a funerary rite.</w:t>
      </w:r>
      <w:r w:rsidR="001C00E8" w:rsidRPr="001C00E8">
        <w:rPr>
          <w:vertAlign w:val="superscript"/>
        </w:rPr>
        <w:footnoteReference w:id="33"/>
      </w:r>
    </w:p>
    <w:p w14:paraId="38BCFACE" w14:textId="3E8B5744" w:rsidR="00B17E42" w:rsidRDefault="007D01B0" w:rsidP="00034EB6">
      <w:r w:rsidRPr="00927F7A">
        <w:t xml:space="preserve">Moreover, as Katz and </w:t>
      </w:r>
      <w:proofErr w:type="spellStart"/>
      <w:r w:rsidRPr="00927F7A">
        <w:t>Alster</w:t>
      </w:r>
      <w:proofErr w:type="spellEnd"/>
      <w:r w:rsidRPr="00927F7A">
        <w:t xml:space="preserve"> have already noted, </w:t>
      </w:r>
      <w:r w:rsidRPr="003E1105">
        <w:rPr>
          <w:i/>
          <w:iCs/>
        </w:rPr>
        <w:t>Inana’s Descent</w:t>
      </w:r>
      <w:r w:rsidR="008763B9">
        <w:t xml:space="preserve"> </w:t>
      </w:r>
      <w:r w:rsidR="00940EB2">
        <w:t xml:space="preserve">itself </w:t>
      </w:r>
      <w:r w:rsidR="00755DF1">
        <w:t>–</w:t>
      </w:r>
      <w:r w:rsidRPr="00927F7A">
        <w:t xml:space="preserve"> the only account of Dumuzi’s ascent from </w:t>
      </w:r>
      <w:r w:rsidR="003B6514">
        <w:t>the netherworld</w:t>
      </w:r>
      <w:r w:rsidR="00755DF1">
        <w:t xml:space="preserve"> –</w:t>
      </w:r>
      <w:r w:rsidR="00940EB2">
        <w:t xml:space="preserve"> recounts this mythologem</w:t>
      </w:r>
      <w:r w:rsidRPr="00927F7A">
        <w:t xml:space="preserve"> briefly in </w:t>
      </w:r>
      <w:r w:rsidR="00CA5FD2">
        <w:t>its</w:t>
      </w:r>
      <w:r w:rsidR="00912363" w:rsidRPr="00927F7A">
        <w:t xml:space="preserve"> </w:t>
      </w:r>
      <w:r w:rsidRPr="00927F7A">
        <w:t>final lines</w:t>
      </w:r>
      <w:r w:rsidR="008763B9">
        <w:t xml:space="preserve">, </w:t>
      </w:r>
      <w:r w:rsidRPr="00927F7A">
        <w:t>contradict</w:t>
      </w:r>
      <w:r w:rsidR="008763B9">
        <w:t>ing</w:t>
      </w:r>
      <w:r w:rsidRPr="00927F7A">
        <w:t xml:space="preserve"> </w:t>
      </w:r>
      <w:r w:rsidR="00912363">
        <w:t>previous</w:t>
      </w:r>
      <w:r w:rsidR="008763B9">
        <w:rPr>
          <w:lang w:val="en-GB" w:bidi="he-IL"/>
        </w:rPr>
        <w:t xml:space="preserve"> themes</w:t>
      </w:r>
      <w:r w:rsidRPr="00927F7A">
        <w:t xml:space="preserve"> </w:t>
      </w:r>
      <w:r w:rsidR="008763B9">
        <w:t>that</w:t>
      </w:r>
      <w:r w:rsidR="00940EB2">
        <w:t xml:space="preserve">, </w:t>
      </w:r>
      <w:r w:rsidR="00EB64C4">
        <w:t>unlike</w:t>
      </w:r>
      <w:r w:rsidR="00940EB2">
        <w:t xml:space="preserve"> Dumuzi’s ascent,</w:t>
      </w:r>
      <w:r w:rsidR="008763B9" w:rsidRPr="00927F7A">
        <w:t xml:space="preserve"> </w:t>
      </w:r>
      <w:r w:rsidRPr="00927F7A">
        <w:t xml:space="preserve">are based on </w:t>
      </w:r>
      <w:r w:rsidR="00086948">
        <w:t xml:space="preserve">earlier </w:t>
      </w:r>
      <w:r w:rsidRPr="00927F7A">
        <w:t>sources</w:t>
      </w:r>
      <w:r w:rsidR="00895DEF">
        <w:t xml:space="preserve"> with greater substance</w:t>
      </w:r>
      <w:r w:rsidRPr="00927F7A">
        <w:t>.</w:t>
      </w:r>
      <w:r w:rsidRPr="003E1105">
        <w:rPr>
          <w:rStyle w:val="FootnoteReference"/>
        </w:rPr>
        <w:footnoteReference w:id="34"/>
      </w:r>
      <w:r w:rsidR="003E1105" w:rsidRPr="003E1105">
        <w:rPr>
          <w:vertAlign w:val="superscript"/>
        </w:rPr>
        <w:t xml:space="preserve"> </w:t>
      </w:r>
      <w:r w:rsidR="00912363">
        <w:t>In</w:t>
      </w:r>
      <w:r w:rsidRPr="00927F7A">
        <w:t xml:space="preserve"> </w:t>
      </w:r>
      <w:r w:rsidR="00912363">
        <w:t xml:space="preserve">light of </w:t>
      </w:r>
      <w:r w:rsidR="00940EB2">
        <w:t xml:space="preserve">all </w:t>
      </w:r>
      <w:r w:rsidR="00912363">
        <w:t>these findings, it seems that the mythologem</w:t>
      </w:r>
      <w:r w:rsidRPr="00927F7A">
        <w:t xml:space="preserve"> of Dumuzi’s resurrection</w:t>
      </w:r>
      <w:r w:rsidR="005D0ED9" w:rsidRPr="00927F7A">
        <w:t xml:space="preserve">, </w:t>
      </w:r>
      <w:r w:rsidR="005D0ED9">
        <w:t xml:space="preserve">although </w:t>
      </w:r>
      <w:r w:rsidR="005D0ED9" w:rsidRPr="00927F7A">
        <w:t>clearly attested at the end of a</w:t>
      </w:r>
      <w:r w:rsidR="00034EB6">
        <w:t>n</w:t>
      </w:r>
      <w:r w:rsidR="005D0ED9" w:rsidRPr="00927F7A">
        <w:t xml:space="preserve"> </w:t>
      </w:r>
      <w:r w:rsidR="00034EB6">
        <w:t>eighteenth</w:t>
      </w:r>
      <w:r w:rsidR="005806EB">
        <w:t>-</w:t>
      </w:r>
      <w:r w:rsidR="00034EB6">
        <w:t xml:space="preserve">century </w:t>
      </w:r>
      <w:r w:rsidR="005D0ED9" w:rsidRPr="00927F7A">
        <w:lastRenderedPageBreak/>
        <w:t>Mesopotamian work</w:t>
      </w:r>
      <w:r w:rsidR="000571BF">
        <w:t xml:space="preserve"> and </w:t>
      </w:r>
      <w:r w:rsidR="00A94AB4">
        <w:t>despite being</w:t>
      </w:r>
      <w:r w:rsidR="000571BF">
        <w:t xml:space="preserve"> considered </w:t>
      </w:r>
      <w:r w:rsidR="00A94AB4">
        <w:t>one of the best-known</w:t>
      </w:r>
      <w:r w:rsidR="000571BF">
        <w:t xml:space="preserve"> ancient mythologem</w:t>
      </w:r>
      <w:r w:rsidR="00A94AB4">
        <w:t>s</w:t>
      </w:r>
      <w:r w:rsidR="005D0ED9" w:rsidRPr="00927F7A">
        <w:t>, did not strike roots</w:t>
      </w:r>
      <w:r w:rsidR="00A06FC6">
        <w:rPr>
          <w:lang w:val="en-GB"/>
        </w:rPr>
        <w:t xml:space="preserve"> in Mesopotamia</w:t>
      </w:r>
      <w:r w:rsidR="005D0ED9" w:rsidRPr="00927F7A">
        <w:t xml:space="preserve">, </w:t>
      </w:r>
      <w:r w:rsidR="00AF081F">
        <w:t>remaining</w:t>
      </w:r>
      <w:r w:rsidR="00AF081F" w:rsidRPr="00927F7A">
        <w:t xml:space="preserve"> </w:t>
      </w:r>
      <w:r w:rsidR="005D0ED9" w:rsidRPr="00927F7A">
        <w:t>a marginal tradition</w:t>
      </w:r>
      <w:r w:rsidR="005D0ED9">
        <w:t xml:space="preserve"> </w:t>
      </w:r>
      <w:r w:rsidR="00A06FC6">
        <w:t>there</w:t>
      </w:r>
      <w:r w:rsidR="005D0ED9">
        <w:t>.</w:t>
      </w:r>
      <w:r w:rsidRPr="00927F7A">
        <w:t xml:space="preserve"> </w:t>
      </w:r>
      <w:bookmarkEnd w:id="9"/>
    </w:p>
    <w:p w14:paraId="01BF4327" w14:textId="77777777" w:rsidR="005A5A48" w:rsidRPr="00A47B88" w:rsidRDefault="005A5A48" w:rsidP="005A5A48">
      <w:pPr>
        <w:bidi/>
        <w:rPr>
          <w:rFonts w:eastAsia="Calibri"/>
          <w:rtl/>
        </w:rPr>
      </w:pPr>
    </w:p>
    <w:p w14:paraId="217FE425" w14:textId="51633E89" w:rsidR="005A5A48" w:rsidRPr="001744A0" w:rsidRDefault="005A5A48" w:rsidP="005A5A48">
      <w:pPr>
        <w:pStyle w:val="Heading2"/>
        <w:keepNext w:val="0"/>
        <w:keepLines w:val="0"/>
        <w:numPr>
          <w:ilvl w:val="0"/>
          <w:numId w:val="5"/>
        </w:numPr>
        <w:spacing w:before="0"/>
        <w:ind w:left="0" w:firstLine="0"/>
        <w:contextualSpacing/>
        <w:jc w:val="left"/>
      </w:pPr>
      <w:r w:rsidRPr="001744A0">
        <w:t xml:space="preserve">Dumuzi as a </w:t>
      </w:r>
      <w:r w:rsidR="00FE475E">
        <w:t>d</w:t>
      </w:r>
      <w:r w:rsidRPr="001744A0">
        <w:t xml:space="preserve">ying and </w:t>
      </w:r>
      <w:r w:rsidR="00FE475E">
        <w:t>r</w:t>
      </w:r>
      <w:r w:rsidRPr="001744A0">
        <w:t xml:space="preserve">ising </w:t>
      </w:r>
      <w:r w:rsidR="00FE475E">
        <w:t>g</w:t>
      </w:r>
      <w:r w:rsidRPr="001744A0">
        <w:t xml:space="preserve">od in Mari: </w:t>
      </w:r>
      <w:r w:rsidR="00FE475E">
        <w:t>t</w:t>
      </w:r>
      <w:r w:rsidRPr="001744A0">
        <w:t xml:space="preserve">he </w:t>
      </w:r>
      <w:r w:rsidR="00FE475E">
        <w:t>t</w:t>
      </w:r>
      <w:r w:rsidRPr="001744A0">
        <w:t xml:space="preserve">extual </w:t>
      </w:r>
      <w:r w:rsidR="00FE475E">
        <w:t>e</w:t>
      </w:r>
      <w:r w:rsidRPr="001744A0">
        <w:t>vidence</w:t>
      </w:r>
    </w:p>
    <w:p w14:paraId="42602307" w14:textId="6762FACA" w:rsidR="005A5A48" w:rsidRPr="00A47B88" w:rsidRDefault="005A5A48" w:rsidP="00C5687E">
      <w:pPr>
        <w:ind w:firstLine="0"/>
        <w:rPr>
          <w:rFonts w:eastAsia="Calibri"/>
        </w:rPr>
      </w:pPr>
      <w:r>
        <w:t>As mentioned above, modern scholars only became aware of the relevant documents from Mari in recent decades. Therefore, these documents played no role in earlier debates about Dumuzi’s status in Mesopotamia as a dying and rising god. After their publication, however, they were often cited as further evidence of the mythologem’s vitality within Mesopotamian culture.</w:t>
      </w:r>
      <w:r>
        <w:rPr>
          <w:rStyle w:val="FootnoteReference"/>
        </w:rPr>
        <w:footnoteReference w:id="35"/>
      </w:r>
      <w:r>
        <w:t xml:space="preserve"> The documents are as follows:</w:t>
      </w:r>
    </w:p>
    <w:p w14:paraId="7D2CAE3D" w14:textId="5B3BFC3C" w:rsidR="005A5A48" w:rsidRPr="008F2875" w:rsidRDefault="005A5A48" w:rsidP="005A5A48">
      <w:pPr>
        <w:pStyle w:val="ListParagraph"/>
        <w:numPr>
          <w:ilvl w:val="0"/>
          <w:numId w:val="4"/>
        </w:numPr>
        <w:spacing w:after="120" w:line="480" w:lineRule="auto"/>
        <w:ind w:left="0" w:firstLine="284"/>
        <w:rPr>
          <w:rFonts w:ascii="Times New Roman" w:eastAsia="Calibri" w:hAnsi="Times New Roman" w:cs="David"/>
          <w:sz w:val="24"/>
          <w:szCs w:val="24"/>
          <w:rtl/>
        </w:rPr>
      </w:pPr>
      <w:r w:rsidRPr="008F2875">
        <w:rPr>
          <w:rFonts w:ascii="Times New Roman" w:eastAsia="Calibri" w:hAnsi="Times New Roman" w:cs="David"/>
          <w:sz w:val="24"/>
          <w:szCs w:val="24"/>
        </w:rPr>
        <w:t>A letter</w:t>
      </w:r>
      <w:r>
        <w:rPr>
          <w:rFonts w:ascii="Times New Roman" w:eastAsia="Calibri" w:hAnsi="Times New Roman" w:cs="David"/>
          <w:sz w:val="24"/>
          <w:szCs w:val="24"/>
        </w:rPr>
        <w:t xml:space="preserve"> (A.1146)</w:t>
      </w:r>
      <w:r w:rsidRPr="008F2875">
        <w:rPr>
          <w:rFonts w:ascii="Times New Roman" w:eastAsia="Calibri" w:hAnsi="Times New Roman" w:cs="David"/>
          <w:sz w:val="24"/>
          <w:szCs w:val="24"/>
        </w:rPr>
        <w:t xml:space="preserve"> sent by </w:t>
      </w:r>
      <w:proofErr w:type="spellStart"/>
      <w:r w:rsidRPr="008F2875">
        <w:rPr>
          <w:rFonts w:ascii="Times New Roman" w:eastAsia="Calibri" w:hAnsi="Times New Roman" w:cs="David"/>
          <w:sz w:val="24"/>
          <w:szCs w:val="24"/>
        </w:rPr>
        <w:t>Ḫammi-ištamar</w:t>
      </w:r>
      <w:proofErr w:type="spellEnd"/>
      <w:r>
        <w:rPr>
          <w:rFonts w:ascii="Times New Roman" w:eastAsia="Calibri" w:hAnsi="Times New Roman" w:cs="David"/>
          <w:sz w:val="24"/>
          <w:szCs w:val="24"/>
        </w:rPr>
        <w:t xml:space="preserve"> </w:t>
      </w:r>
      <w:r w:rsidRPr="008F2875">
        <w:rPr>
          <w:rFonts w:ascii="Times New Roman" w:eastAsia="Calibri" w:hAnsi="Times New Roman" w:cs="David"/>
          <w:sz w:val="24"/>
          <w:szCs w:val="24"/>
        </w:rPr>
        <w:t xml:space="preserve">head of the </w:t>
      </w:r>
      <w:proofErr w:type="spellStart"/>
      <w:r w:rsidRPr="008F2875">
        <w:rPr>
          <w:rFonts w:ascii="Times New Roman" w:eastAsia="Calibri" w:hAnsi="Times New Roman" w:cs="David"/>
          <w:sz w:val="24"/>
          <w:szCs w:val="24"/>
        </w:rPr>
        <w:t>Uprapu</w:t>
      </w:r>
      <w:proofErr w:type="spellEnd"/>
      <w:r w:rsidRPr="008F2875">
        <w:rPr>
          <w:rFonts w:ascii="Times New Roman" w:eastAsia="Calibri" w:hAnsi="Times New Roman" w:cs="David"/>
          <w:sz w:val="24"/>
          <w:szCs w:val="24"/>
        </w:rPr>
        <w:t xml:space="preserve"> tribe</w:t>
      </w:r>
      <w:r>
        <w:rPr>
          <w:rFonts w:ascii="Times New Roman" w:eastAsia="Calibri" w:hAnsi="Times New Roman" w:cs="David"/>
          <w:sz w:val="24"/>
          <w:szCs w:val="24"/>
        </w:rPr>
        <w:t>,</w:t>
      </w:r>
      <w:r w:rsidRPr="008F2875">
        <w:rPr>
          <w:rFonts w:ascii="Times New Roman" w:eastAsia="Calibri" w:hAnsi="Times New Roman" w:cs="David"/>
          <w:sz w:val="24"/>
          <w:szCs w:val="24"/>
        </w:rPr>
        <w:t xml:space="preserve"> to his companion </w:t>
      </w:r>
      <w:proofErr w:type="spellStart"/>
      <w:r w:rsidRPr="008F2875">
        <w:rPr>
          <w:rFonts w:ascii="Times New Roman" w:eastAsia="Calibri" w:hAnsi="Times New Roman" w:cs="David"/>
          <w:sz w:val="24"/>
          <w:szCs w:val="24"/>
        </w:rPr>
        <w:t>Yasmaḫ</w:t>
      </w:r>
      <w:proofErr w:type="spellEnd"/>
      <w:r w:rsidRPr="008F2875">
        <w:rPr>
          <w:rFonts w:ascii="Times New Roman" w:eastAsia="Calibri" w:hAnsi="Times New Roman" w:cs="David"/>
          <w:sz w:val="24"/>
          <w:szCs w:val="24"/>
        </w:rPr>
        <w:t>-Addu</w:t>
      </w:r>
      <w:r>
        <w:rPr>
          <w:rFonts w:ascii="Times New Roman" w:eastAsia="Calibri" w:hAnsi="Times New Roman" w:cs="David"/>
          <w:sz w:val="24"/>
          <w:szCs w:val="24"/>
        </w:rPr>
        <w:t>,</w:t>
      </w:r>
      <w:r w:rsidRPr="008F2875">
        <w:rPr>
          <w:rFonts w:ascii="Times New Roman" w:eastAsia="Calibri" w:hAnsi="Times New Roman" w:cs="David"/>
          <w:sz w:val="24"/>
          <w:szCs w:val="24"/>
        </w:rPr>
        <w:t xml:space="preserve"> head of the </w:t>
      </w:r>
      <w:proofErr w:type="spellStart"/>
      <w:r w:rsidRPr="008F2875">
        <w:rPr>
          <w:rFonts w:ascii="Times New Roman" w:eastAsia="Calibri" w:hAnsi="Times New Roman" w:cs="David"/>
          <w:sz w:val="24"/>
          <w:szCs w:val="24"/>
        </w:rPr>
        <w:t>Yariḫu</w:t>
      </w:r>
      <w:proofErr w:type="spellEnd"/>
      <w:r w:rsidRPr="008F2875">
        <w:rPr>
          <w:rFonts w:ascii="Times New Roman" w:eastAsia="Calibri" w:hAnsi="Times New Roman" w:cs="David"/>
          <w:sz w:val="24"/>
          <w:szCs w:val="24"/>
        </w:rPr>
        <w:t xml:space="preserve"> tribe</w:t>
      </w:r>
      <w:r>
        <w:rPr>
          <w:rFonts w:ascii="Times New Roman" w:eastAsia="Calibri" w:hAnsi="Times New Roman" w:cs="David"/>
          <w:sz w:val="24"/>
          <w:szCs w:val="24"/>
        </w:rPr>
        <w:t>, both belonging to the</w:t>
      </w:r>
      <w:r w:rsidRPr="008F2875">
        <w:rPr>
          <w:rFonts w:ascii="Times New Roman" w:eastAsia="Calibri" w:hAnsi="Times New Roman" w:cs="David"/>
          <w:sz w:val="24"/>
          <w:szCs w:val="24"/>
        </w:rPr>
        <w:t xml:space="preserve"> Amorite Bini-</w:t>
      </w:r>
      <w:proofErr w:type="spellStart"/>
      <w:r w:rsidRPr="008F2875">
        <w:rPr>
          <w:rFonts w:ascii="Times New Roman" w:eastAsia="Calibri" w:hAnsi="Times New Roman" w:cs="David"/>
          <w:sz w:val="24"/>
          <w:szCs w:val="24"/>
        </w:rPr>
        <w:t>Yamina</w:t>
      </w:r>
      <w:proofErr w:type="spellEnd"/>
      <w:r w:rsidRPr="008F2875">
        <w:rPr>
          <w:rFonts w:ascii="Times New Roman" w:eastAsia="Calibri" w:hAnsi="Times New Roman" w:cs="David"/>
          <w:sz w:val="24"/>
          <w:szCs w:val="24"/>
        </w:rPr>
        <w:t xml:space="preserve"> </w:t>
      </w:r>
      <w:r>
        <w:rPr>
          <w:rFonts w:ascii="Times New Roman" w:eastAsia="Calibri" w:hAnsi="Times New Roman" w:cs="David"/>
          <w:sz w:val="24"/>
          <w:szCs w:val="24"/>
          <w:lang w:val="en-GB" w:bidi="he-IL"/>
        </w:rPr>
        <w:t>group</w:t>
      </w:r>
      <w:r w:rsidRPr="008F2875">
        <w:rPr>
          <w:rFonts w:ascii="Times New Roman" w:eastAsia="Calibri" w:hAnsi="Times New Roman" w:cs="David"/>
          <w:sz w:val="24"/>
          <w:szCs w:val="24"/>
        </w:rPr>
        <w:t xml:space="preserve">. In his letter, </w:t>
      </w:r>
      <w:proofErr w:type="spellStart"/>
      <w:r w:rsidRPr="008F2875">
        <w:rPr>
          <w:rFonts w:ascii="Times New Roman" w:eastAsia="Calibri" w:hAnsi="Times New Roman" w:cs="David"/>
          <w:sz w:val="24"/>
          <w:szCs w:val="24"/>
        </w:rPr>
        <w:t>Ḫammi-ištamar</w:t>
      </w:r>
      <w:proofErr w:type="spellEnd"/>
      <w:r w:rsidRPr="008F2875">
        <w:rPr>
          <w:rFonts w:ascii="Times New Roman" w:eastAsia="Calibri" w:hAnsi="Times New Roman" w:cs="David"/>
          <w:sz w:val="24"/>
          <w:szCs w:val="24"/>
        </w:rPr>
        <w:t xml:space="preserve"> compares his close shaves with death </w:t>
      </w:r>
      <w:r>
        <w:rPr>
          <w:rFonts w:ascii="Times New Roman" w:eastAsia="Calibri" w:hAnsi="Times New Roman" w:cs="David"/>
          <w:sz w:val="24"/>
          <w:szCs w:val="24"/>
        </w:rPr>
        <w:t>over the course of several</w:t>
      </w:r>
      <w:r w:rsidRPr="008F2875">
        <w:rPr>
          <w:rFonts w:ascii="Times New Roman" w:eastAsia="Calibri" w:hAnsi="Times New Roman" w:cs="David"/>
          <w:sz w:val="24"/>
          <w:szCs w:val="24"/>
        </w:rPr>
        <w:t xml:space="preserve"> battles, to the </w:t>
      </w:r>
      <w:r>
        <w:rPr>
          <w:rFonts w:ascii="Times New Roman" w:eastAsia="Calibri" w:hAnsi="Times New Roman" w:cs="David"/>
          <w:sz w:val="24"/>
          <w:szCs w:val="24"/>
        </w:rPr>
        <w:t xml:space="preserve">periodic </w:t>
      </w:r>
      <w:r w:rsidRPr="008F2875">
        <w:rPr>
          <w:rFonts w:ascii="Times New Roman" w:eastAsia="Calibri" w:hAnsi="Times New Roman" w:cs="David"/>
          <w:sz w:val="24"/>
          <w:szCs w:val="24"/>
        </w:rPr>
        <w:t>life and death of Dumuzi:</w:t>
      </w:r>
      <w:r>
        <w:rPr>
          <w:rStyle w:val="FootnoteReference"/>
          <w:rFonts w:ascii="Times New Roman" w:eastAsia="Calibri" w:hAnsi="Times New Roman" w:cs="David"/>
          <w:sz w:val="24"/>
          <w:szCs w:val="24"/>
        </w:rPr>
        <w:footnoteReference w:id="36"/>
      </w:r>
    </w:p>
    <w:tbl>
      <w:tblPr>
        <w:tblStyle w:val="TableGrid"/>
        <w:tblW w:w="95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831"/>
      </w:tblGrid>
      <w:tr w:rsidR="005A5A48" w:rsidRPr="00A47B88" w14:paraId="58DC3C02" w14:textId="77777777" w:rsidTr="00C5687E">
        <w:tc>
          <w:tcPr>
            <w:tcW w:w="5671" w:type="dxa"/>
          </w:tcPr>
          <w:p w14:paraId="36254D2D" w14:textId="77777777" w:rsidR="005A5A48" w:rsidRPr="00C5687E" w:rsidRDefault="005A5A48" w:rsidP="00C5687E">
            <w:pPr>
              <w:ind w:firstLine="30"/>
              <w:rPr>
                <w:rFonts w:cstheme="majorBidi"/>
                <w:sz w:val="22"/>
                <w:szCs w:val="22"/>
              </w:rPr>
            </w:pPr>
            <w:r w:rsidRPr="00C5687E">
              <w:rPr>
                <w:rFonts w:eastAsia="Calibri" w:cstheme="majorBidi"/>
                <w:sz w:val="22"/>
                <w:szCs w:val="22"/>
                <w:vertAlign w:val="superscript"/>
              </w:rPr>
              <w:t>39</w:t>
            </w:r>
            <w:r w:rsidRPr="00C5687E">
              <w:rPr>
                <w:rFonts w:eastAsia="Calibri" w:cstheme="majorBidi"/>
                <w:sz w:val="22"/>
                <w:szCs w:val="22"/>
              </w:rPr>
              <w:t>As for me, look at me, I [have] almost [been k]</w:t>
            </w:r>
            <w:proofErr w:type="spellStart"/>
            <w:r w:rsidRPr="00C5687E">
              <w:rPr>
                <w:rFonts w:eastAsia="Calibri" w:cstheme="majorBidi"/>
                <w:sz w:val="22"/>
                <w:szCs w:val="22"/>
              </w:rPr>
              <w:t>i</w:t>
            </w:r>
            <w:proofErr w:type="spellEnd"/>
            <w:r w:rsidRPr="00C5687E">
              <w:rPr>
                <w:rFonts w:eastAsia="Calibri" w:cstheme="majorBidi"/>
                <w:sz w:val="22"/>
                <w:szCs w:val="22"/>
              </w:rPr>
              <w:t>[</w:t>
            </w:r>
            <w:proofErr w:type="spellStart"/>
            <w:r w:rsidRPr="00C5687E">
              <w:rPr>
                <w:rFonts w:eastAsia="Calibri" w:cstheme="majorBidi"/>
                <w:sz w:val="22"/>
                <w:szCs w:val="22"/>
              </w:rPr>
              <w:t>lled</w:t>
            </w:r>
            <w:proofErr w:type="spellEnd"/>
            <w:r w:rsidRPr="00C5687E">
              <w:rPr>
                <w:rFonts w:eastAsia="Calibri" w:cstheme="majorBidi"/>
                <w:sz w:val="22"/>
                <w:szCs w:val="22"/>
              </w:rPr>
              <w:t>],</w:t>
            </w:r>
          </w:p>
        </w:tc>
        <w:tc>
          <w:tcPr>
            <w:tcW w:w="3831" w:type="dxa"/>
          </w:tcPr>
          <w:p w14:paraId="500E8A4B" w14:textId="77777777" w:rsidR="005A5A48" w:rsidRPr="00C5687E" w:rsidRDefault="005A5A48" w:rsidP="00C5687E">
            <w:pPr>
              <w:ind w:firstLine="30"/>
              <w:rPr>
                <w:rFonts w:eastAsia="Calibri" w:cstheme="majorBidi"/>
                <w:sz w:val="22"/>
                <w:szCs w:val="22"/>
              </w:rPr>
            </w:pPr>
            <w:proofErr w:type="spellStart"/>
            <w:r w:rsidRPr="00C5687E">
              <w:rPr>
                <w:rFonts w:eastAsia="Calibri" w:cstheme="majorBidi"/>
                <w:i/>
                <w:iCs/>
                <w:sz w:val="22"/>
                <w:szCs w:val="22"/>
              </w:rPr>
              <w:t>yâtima</w:t>
            </w:r>
            <w:proofErr w:type="spellEnd"/>
            <w:r w:rsidRPr="00C5687E">
              <w:rPr>
                <w:rFonts w:eastAsia="Calibri" w:cstheme="majorBidi"/>
                <w:i/>
                <w:iCs/>
                <w:sz w:val="22"/>
                <w:szCs w:val="22"/>
              </w:rPr>
              <w:t xml:space="preserve"> </w:t>
            </w:r>
            <w:proofErr w:type="spellStart"/>
            <w:r w:rsidRPr="00C5687E">
              <w:rPr>
                <w:rFonts w:eastAsia="Calibri" w:cstheme="majorBidi"/>
                <w:i/>
                <w:iCs/>
                <w:sz w:val="22"/>
                <w:szCs w:val="22"/>
              </w:rPr>
              <w:t>amranni</w:t>
            </w:r>
            <w:proofErr w:type="spellEnd"/>
            <w:r w:rsidRPr="00C5687E">
              <w:rPr>
                <w:rFonts w:eastAsia="Calibri" w:cstheme="majorBidi"/>
                <w:i/>
                <w:iCs/>
                <w:sz w:val="22"/>
                <w:szCs w:val="22"/>
              </w:rPr>
              <w:t xml:space="preserve"> ad</w:t>
            </w:r>
            <w:r w:rsidRPr="00C5687E">
              <w:rPr>
                <w:rFonts w:eastAsia="Calibri" w:cstheme="majorBidi"/>
                <w:sz w:val="22"/>
                <w:szCs w:val="22"/>
              </w:rPr>
              <w:t>[</w:t>
            </w:r>
            <w:r w:rsidRPr="00C5687E">
              <w:rPr>
                <w:rFonts w:eastAsia="Calibri" w:cstheme="majorBidi"/>
                <w:i/>
                <w:iCs/>
                <w:sz w:val="22"/>
                <w:szCs w:val="22"/>
              </w:rPr>
              <w:t>ī</w:t>
            </w:r>
            <w:r w:rsidRPr="00C5687E">
              <w:rPr>
                <w:rFonts w:eastAsia="Calibri" w:cstheme="majorBidi"/>
                <w:sz w:val="22"/>
                <w:szCs w:val="22"/>
              </w:rPr>
              <w:t>]</w:t>
            </w:r>
            <w:proofErr w:type="spellStart"/>
            <w:r w:rsidRPr="00C5687E">
              <w:rPr>
                <w:rFonts w:eastAsia="Calibri" w:cstheme="majorBidi"/>
                <w:i/>
                <w:iCs/>
                <w:sz w:val="22"/>
                <w:szCs w:val="22"/>
              </w:rPr>
              <w:t>ni</w:t>
            </w:r>
            <w:proofErr w:type="spellEnd"/>
            <w:r w:rsidRPr="00C5687E">
              <w:rPr>
                <w:rFonts w:eastAsia="Calibri" w:cstheme="majorBidi"/>
                <w:i/>
                <w:iCs/>
                <w:sz w:val="22"/>
                <w:szCs w:val="22"/>
              </w:rPr>
              <w:t xml:space="preserve"> u</w:t>
            </w:r>
            <w:r w:rsidRPr="00C5687E">
              <w:rPr>
                <w:rFonts w:eastAsia="Calibri" w:cstheme="majorBidi"/>
                <w:sz w:val="22"/>
                <w:szCs w:val="22"/>
              </w:rPr>
              <w:t>[</w:t>
            </w:r>
            <w:proofErr w:type="spellStart"/>
            <w:r w:rsidRPr="00C5687E">
              <w:rPr>
                <w:rFonts w:eastAsia="Calibri" w:cstheme="majorBidi"/>
                <w:i/>
                <w:iCs/>
                <w:sz w:val="22"/>
                <w:szCs w:val="22"/>
              </w:rPr>
              <w:t>ḫt</w:t>
            </w:r>
            <w:proofErr w:type="spellEnd"/>
            <w:r w:rsidRPr="00C5687E">
              <w:rPr>
                <w:rFonts w:eastAsia="Calibri" w:cstheme="majorBidi"/>
                <w:sz w:val="22"/>
                <w:szCs w:val="22"/>
              </w:rPr>
              <w:t>]</w:t>
            </w:r>
            <w:r w:rsidRPr="00C5687E">
              <w:rPr>
                <w:rFonts w:eastAsia="Calibri" w:cstheme="majorBidi"/>
                <w:i/>
                <w:iCs/>
                <w:sz w:val="22"/>
                <w:szCs w:val="22"/>
              </w:rPr>
              <w:t>all</w:t>
            </w:r>
            <w:r w:rsidRPr="00C5687E">
              <w:rPr>
                <w:rFonts w:eastAsia="Calibri" w:cstheme="majorBidi"/>
                <w:sz w:val="22"/>
                <w:szCs w:val="22"/>
              </w:rPr>
              <w:t>[</w:t>
            </w:r>
            <w:proofErr w:type="spellStart"/>
            <w:r w:rsidRPr="00C5687E">
              <w:rPr>
                <w:rFonts w:eastAsia="Calibri" w:cstheme="majorBidi"/>
                <w:i/>
                <w:iCs/>
                <w:sz w:val="22"/>
                <w:szCs w:val="22"/>
              </w:rPr>
              <w:t>iq</w:t>
            </w:r>
            <w:proofErr w:type="spellEnd"/>
            <w:r w:rsidRPr="00C5687E">
              <w:rPr>
                <w:rFonts w:eastAsia="Calibri" w:cstheme="majorBidi"/>
                <w:sz w:val="22"/>
                <w:szCs w:val="22"/>
              </w:rPr>
              <w:t>]</w:t>
            </w:r>
          </w:p>
        </w:tc>
      </w:tr>
      <w:tr w:rsidR="005A5A48" w:rsidRPr="00A47B88" w14:paraId="34D5C0F0" w14:textId="77777777" w:rsidTr="00C5687E">
        <w:tc>
          <w:tcPr>
            <w:tcW w:w="5671" w:type="dxa"/>
          </w:tcPr>
          <w:p w14:paraId="13F6EDA0" w14:textId="77777777" w:rsidR="005A5A48" w:rsidRPr="00C5687E" w:rsidRDefault="005A5A48" w:rsidP="00C5687E">
            <w:pPr>
              <w:ind w:firstLine="30"/>
              <w:rPr>
                <w:rFonts w:cstheme="majorBidi"/>
                <w:sz w:val="22"/>
                <w:szCs w:val="22"/>
              </w:rPr>
            </w:pPr>
            <w:r w:rsidRPr="00C5687E">
              <w:rPr>
                <w:rFonts w:cstheme="majorBidi"/>
                <w:sz w:val="22"/>
                <w:szCs w:val="22"/>
                <w:vertAlign w:val="superscript"/>
              </w:rPr>
              <w:t xml:space="preserve">40 </w:t>
            </w:r>
            <w:r w:rsidRPr="00C5687E">
              <w:rPr>
                <w:rFonts w:cstheme="majorBidi"/>
                <w:sz w:val="22"/>
                <w:szCs w:val="22"/>
              </w:rPr>
              <w:t xml:space="preserve">I escaped </w:t>
            </w:r>
            <w:proofErr w:type="spellStart"/>
            <w:r w:rsidRPr="00C5687E">
              <w:rPr>
                <w:rFonts w:cstheme="majorBidi"/>
                <w:sz w:val="22"/>
                <w:szCs w:val="22"/>
              </w:rPr>
              <w:t>fr</w:t>
            </w:r>
            <w:proofErr w:type="spellEnd"/>
            <w:r w:rsidRPr="00C5687E">
              <w:rPr>
                <w:rFonts w:cstheme="majorBidi"/>
                <w:sz w:val="22"/>
                <w:szCs w:val="22"/>
              </w:rPr>
              <w:t>[om de]</w:t>
            </w:r>
            <w:proofErr w:type="spellStart"/>
            <w:r w:rsidRPr="00C5687E">
              <w:rPr>
                <w:rFonts w:cstheme="majorBidi"/>
                <w:sz w:val="22"/>
                <w:szCs w:val="22"/>
              </w:rPr>
              <w:t>ath</w:t>
            </w:r>
            <w:proofErr w:type="spellEnd"/>
            <w:r w:rsidRPr="00C5687E">
              <w:rPr>
                <w:rFonts w:cstheme="majorBidi"/>
                <w:sz w:val="22"/>
                <w:szCs w:val="22"/>
              </w:rPr>
              <w:t>! [Fr]om the mi[</w:t>
            </w:r>
            <w:proofErr w:type="spellStart"/>
            <w:r w:rsidRPr="00C5687E">
              <w:rPr>
                <w:rFonts w:cstheme="majorBidi"/>
                <w:sz w:val="22"/>
                <w:szCs w:val="22"/>
              </w:rPr>
              <w:t>dst</w:t>
            </w:r>
            <w:proofErr w:type="spellEnd"/>
            <w:r w:rsidRPr="00C5687E">
              <w:rPr>
                <w:rFonts w:cstheme="majorBidi"/>
                <w:sz w:val="22"/>
                <w:szCs w:val="22"/>
              </w:rPr>
              <w:t>]</w:t>
            </w:r>
          </w:p>
        </w:tc>
        <w:tc>
          <w:tcPr>
            <w:tcW w:w="3831" w:type="dxa"/>
          </w:tcPr>
          <w:p w14:paraId="0306BEE3" w14:textId="77777777" w:rsidR="005A5A48" w:rsidRPr="00C5687E" w:rsidRDefault="005A5A48" w:rsidP="00C5687E">
            <w:pPr>
              <w:ind w:firstLine="30"/>
              <w:rPr>
                <w:rFonts w:cstheme="majorBidi"/>
                <w:sz w:val="22"/>
                <w:szCs w:val="22"/>
              </w:rPr>
            </w:pPr>
            <w:r w:rsidRPr="00C5687E">
              <w:rPr>
                <w:rFonts w:cstheme="majorBidi"/>
                <w:i/>
                <w:iCs/>
                <w:sz w:val="22"/>
                <w:szCs w:val="22"/>
              </w:rPr>
              <w:t>in</w:t>
            </w:r>
            <w:r w:rsidRPr="00C5687E">
              <w:rPr>
                <w:rFonts w:cstheme="majorBidi"/>
                <w:sz w:val="22"/>
                <w:szCs w:val="22"/>
              </w:rPr>
              <w:t>[</w:t>
            </w:r>
            <w:r w:rsidRPr="00C5687E">
              <w:rPr>
                <w:rFonts w:cstheme="majorBidi"/>
                <w:i/>
                <w:iCs/>
                <w:sz w:val="22"/>
                <w:szCs w:val="22"/>
              </w:rPr>
              <w:t>a m</w:t>
            </w:r>
            <w:r w:rsidRPr="00C5687E">
              <w:rPr>
                <w:rFonts w:cstheme="majorBidi"/>
                <w:sz w:val="22"/>
                <w:szCs w:val="22"/>
              </w:rPr>
              <w:t>]</w:t>
            </w:r>
            <w:proofErr w:type="spellStart"/>
            <w:r w:rsidRPr="00C5687E">
              <w:rPr>
                <w:rFonts w:cstheme="majorBidi"/>
                <w:i/>
                <w:iCs/>
                <w:sz w:val="22"/>
                <w:szCs w:val="22"/>
              </w:rPr>
              <w:t>ūtim</w:t>
            </w:r>
            <w:proofErr w:type="spellEnd"/>
            <w:r w:rsidRPr="00C5687E">
              <w:rPr>
                <w:rFonts w:cstheme="majorBidi"/>
                <w:i/>
                <w:iCs/>
                <w:sz w:val="22"/>
                <w:szCs w:val="22"/>
              </w:rPr>
              <w:t xml:space="preserve"> </w:t>
            </w:r>
            <w:proofErr w:type="spellStart"/>
            <w:r w:rsidRPr="00C5687E">
              <w:rPr>
                <w:rFonts w:cstheme="majorBidi"/>
                <w:i/>
                <w:iCs/>
                <w:sz w:val="22"/>
                <w:szCs w:val="22"/>
              </w:rPr>
              <w:t>ūṣīm</w:t>
            </w:r>
            <w:proofErr w:type="spellEnd"/>
            <w:r w:rsidRPr="00C5687E">
              <w:rPr>
                <w:rFonts w:cstheme="majorBidi"/>
                <w:sz w:val="22"/>
                <w:szCs w:val="22"/>
              </w:rPr>
              <w:t>[</w:t>
            </w:r>
            <w:r w:rsidRPr="00C5687E">
              <w:rPr>
                <w:rFonts w:cstheme="majorBidi"/>
                <w:i/>
                <w:iCs/>
                <w:sz w:val="22"/>
                <w:szCs w:val="22"/>
              </w:rPr>
              <w:t>a in</w:t>
            </w:r>
            <w:r w:rsidRPr="00C5687E">
              <w:rPr>
                <w:rFonts w:cstheme="majorBidi"/>
                <w:sz w:val="22"/>
                <w:szCs w:val="22"/>
              </w:rPr>
              <w:t>]</w:t>
            </w:r>
            <w:r w:rsidRPr="00C5687E">
              <w:rPr>
                <w:rFonts w:cstheme="majorBidi"/>
                <w:i/>
                <w:iCs/>
                <w:sz w:val="22"/>
                <w:szCs w:val="22"/>
              </w:rPr>
              <w:t>a li</w:t>
            </w:r>
            <w:r w:rsidRPr="00C5687E">
              <w:rPr>
                <w:rFonts w:cstheme="majorBidi"/>
                <w:sz w:val="22"/>
                <w:szCs w:val="22"/>
              </w:rPr>
              <w:t>[</w:t>
            </w:r>
            <w:proofErr w:type="spellStart"/>
            <w:r w:rsidRPr="00C5687E">
              <w:rPr>
                <w:rFonts w:cstheme="majorBidi"/>
                <w:i/>
                <w:iCs/>
                <w:sz w:val="22"/>
                <w:szCs w:val="22"/>
              </w:rPr>
              <w:t>bbi</w:t>
            </w:r>
            <w:proofErr w:type="spellEnd"/>
            <w:r w:rsidRPr="00C5687E">
              <w:rPr>
                <w:rFonts w:cstheme="majorBidi"/>
                <w:sz w:val="22"/>
                <w:szCs w:val="22"/>
              </w:rPr>
              <w:t>]</w:t>
            </w:r>
          </w:p>
        </w:tc>
      </w:tr>
      <w:tr w:rsidR="005A5A48" w:rsidRPr="00A47B88" w14:paraId="3BC039B7" w14:textId="77777777" w:rsidTr="00C5687E">
        <w:tc>
          <w:tcPr>
            <w:tcW w:w="5671" w:type="dxa"/>
          </w:tcPr>
          <w:p w14:paraId="0757930E" w14:textId="77777777" w:rsidR="005A5A48" w:rsidRPr="00C5687E" w:rsidRDefault="005A5A48" w:rsidP="00C5687E">
            <w:pPr>
              <w:ind w:firstLine="30"/>
              <w:rPr>
                <w:rFonts w:cstheme="majorBidi"/>
                <w:sz w:val="22"/>
                <w:szCs w:val="22"/>
              </w:rPr>
            </w:pPr>
            <w:r w:rsidRPr="00C5687E">
              <w:rPr>
                <w:rFonts w:cstheme="majorBidi"/>
                <w:sz w:val="22"/>
                <w:szCs w:val="22"/>
                <w:vertAlign w:val="superscript"/>
              </w:rPr>
              <w:t xml:space="preserve">41 </w:t>
            </w:r>
            <w:r w:rsidRPr="00C5687E">
              <w:rPr>
                <w:rFonts w:cstheme="majorBidi"/>
                <w:sz w:val="22"/>
                <w:szCs w:val="22"/>
              </w:rPr>
              <w:t xml:space="preserve">of </w:t>
            </w:r>
            <w:proofErr w:type="spellStart"/>
            <w:r w:rsidRPr="00C5687E">
              <w:rPr>
                <w:rFonts w:cstheme="majorBidi"/>
                <w:sz w:val="22"/>
                <w:szCs w:val="22"/>
              </w:rPr>
              <w:t>Aḫuna</w:t>
            </w:r>
            <w:proofErr w:type="spellEnd"/>
            <w:r w:rsidRPr="00C5687E">
              <w:rPr>
                <w:rFonts w:cstheme="majorBidi"/>
                <w:sz w:val="22"/>
                <w:szCs w:val="22"/>
              </w:rPr>
              <w:t>, during the rebellion, [I escaped] 10 times!</w:t>
            </w:r>
          </w:p>
        </w:tc>
        <w:tc>
          <w:tcPr>
            <w:tcW w:w="3831" w:type="dxa"/>
          </w:tcPr>
          <w:p w14:paraId="45B13EBA" w14:textId="77777777" w:rsidR="005A5A48" w:rsidRPr="00C5687E" w:rsidRDefault="005A5A48" w:rsidP="00C5687E">
            <w:pPr>
              <w:ind w:firstLine="30"/>
              <w:rPr>
                <w:rFonts w:cstheme="majorBidi"/>
                <w:sz w:val="22"/>
                <w:szCs w:val="22"/>
              </w:rPr>
            </w:pPr>
            <w:proofErr w:type="spellStart"/>
            <w:r w:rsidRPr="00C5687E">
              <w:rPr>
                <w:rFonts w:cstheme="majorBidi"/>
                <w:i/>
                <w:iCs/>
                <w:sz w:val="22"/>
                <w:szCs w:val="22"/>
              </w:rPr>
              <w:t>Aḫuna</w:t>
            </w:r>
            <w:proofErr w:type="spellEnd"/>
            <w:r w:rsidRPr="00C5687E">
              <w:rPr>
                <w:rFonts w:cstheme="majorBidi"/>
                <w:i/>
                <w:iCs/>
                <w:sz w:val="22"/>
                <w:szCs w:val="22"/>
              </w:rPr>
              <w:t xml:space="preserve"> </w:t>
            </w:r>
            <w:proofErr w:type="spellStart"/>
            <w:r w:rsidRPr="00C5687E">
              <w:rPr>
                <w:rFonts w:cstheme="majorBidi"/>
                <w:i/>
                <w:iCs/>
                <w:sz w:val="22"/>
                <w:szCs w:val="22"/>
              </w:rPr>
              <w:t>ina</w:t>
            </w:r>
            <w:proofErr w:type="spellEnd"/>
            <w:r w:rsidRPr="00C5687E">
              <w:rPr>
                <w:rFonts w:cstheme="majorBidi"/>
                <w:i/>
                <w:iCs/>
                <w:sz w:val="22"/>
                <w:szCs w:val="22"/>
              </w:rPr>
              <w:t xml:space="preserve"> </w:t>
            </w:r>
            <w:proofErr w:type="spellStart"/>
            <w:r w:rsidRPr="00C5687E">
              <w:rPr>
                <w:rFonts w:cstheme="majorBidi"/>
                <w:i/>
                <w:iCs/>
                <w:sz w:val="22"/>
                <w:szCs w:val="22"/>
              </w:rPr>
              <w:t>bārtim</w:t>
            </w:r>
            <w:proofErr w:type="spellEnd"/>
            <w:r w:rsidRPr="00C5687E">
              <w:rPr>
                <w:rFonts w:cstheme="majorBidi"/>
                <w:i/>
                <w:iCs/>
                <w:sz w:val="22"/>
                <w:szCs w:val="22"/>
              </w:rPr>
              <w:t xml:space="preserve"> 10-šu </w:t>
            </w:r>
            <w:r w:rsidRPr="00C5687E">
              <w:rPr>
                <w:rFonts w:cstheme="majorBidi"/>
                <w:sz w:val="22"/>
                <w:szCs w:val="22"/>
              </w:rPr>
              <w:t>[</w:t>
            </w:r>
            <w:proofErr w:type="spellStart"/>
            <w:r w:rsidRPr="00C5687E">
              <w:rPr>
                <w:rFonts w:cstheme="majorBidi"/>
                <w:i/>
                <w:iCs/>
                <w:sz w:val="22"/>
                <w:szCs w:val="22"/>
              </w:rPr>
              <w:t>ūṣi</w:t>
            </w:r>
            <w:proofErr w:type="spellEnd"/>
            <w:r w:rsidRPr="00C5687E">
              <w:rPr>
                <w:rFonts w:cstheme="majorBidi"/>
                <w:sz w:val="22"/>
                <w:szCs w:val="22"/>
              </w:rPr>
              <w:t>]</w:t>
            </w:r>
          </w:p>
        </w:tc>
      </w:tr>
      <w:tr w:rsidR="005A5A48" w:rsidRPr="00A47B88" w14:paraId="675BB13D" w14:textId="77777777" w:rsidTr="00C5687E">
        <w:tc>
          <w:tcPr>
            <w:tcW w:w="5671" w:type="dxa"/>
          </w:tcPr>
          <w:p w14:paraId="5872FAA5" w14:textId="77ACFB52" w:rsidR="005A5A48" w:rsidRPr="00C5687E" w:rsidRDefault="005A5A48" w:rsidP="00C5687E">
            <w:pPr>
              <w:ind w:firstLine="30"/>
              <w:rPr>
                <w:rFonts w:cstheme="majorBidi"/>
                <w:sz w:val="22"/>
                <w:szCs w:val="22"/>
              </w:rPr>
            </w:pPr>
            <w:r w:rsidRPr="00C5687E">
              <w:rPr>
                <w:rFonts w:cstheme="majorBidi"/>
                <w:sz w:val="22"/>
                <w:szCs w:val="22"/>
                <w:vertAlign w:val="superscript"/>
              </w:rPr>
              <w:t xml:space="preserve">42 </w:t>
            </w:r>
            <w:r w:rsidRPr="00C5687E">
              <w:rPr>
                <w:rFonts w:cstheme="majorBidi"/>
                <w:sz w:val="22"/>
                <w:szCs w:val="22"/>
              </w:rPr>
              <w:t>Why, now, […</w:t>
            </w:r>
            <w:r w:rsidRPr="00C5687E">
              <w:rPr>
                <w:rFonts w:cstheme="majorBidi"/>
                <w:sz w:val="22"/>
                <w:szCs w:val="22"/>
                <w:vertAlign w:val="superscript"/>
              </w:rPr>
              <w:footnoteReference w:id="37"/>
            </w:r>
            <w:r w:rsidRPr="00C5687E">
              <w:rPr>
                <w:rFonts w:cstheme="majorBidi"/>
                <w:sz w:val="22"/>
                <w:szCs w:val="22"/>
              </w:rPr>
              <w:t xml:space="preserve">] like </w:t>
            </w:r>
            <w:proofErr w:type="spellStart"/>
            <w:r w:rsidRPr="00C5687E">
              <w:rPr>
                <w:rFonts w:cstheme="majorBidi"/>
                <w:sz w:val="22"/>
                <w:szCs w:val="22"/>
              </w:rPr>
              <w:t>Dumuz</w:t>
            </w:r>
            <w:proofErr w:type="spellEnd"/>
            <w:r w:rsidRPr="00C5687E">
              <w:rPr>
                <w:rFonts w:cstheme="majorBidi"/>
                <w:sz w:val="22"/>
                <w:szCs w:val="22"/>
              </w:rPr>
              <w:t>[</w:t>
            </w:r>
            <w:proofErr w:type="spellStart"/>
            <w:r w:rsidRPr="00C5687E">
              <w:rPr>
                <w:rFonts w:cstheme="majorBidi"/>
                <w:sz w:val="22"/>
                <w:szCs w:val="22"/>
              </w:rPr>
              <w:t>i</w:t>
            </w:r>
            <w:proofErr w:type="spellEnd"/>
            <w:r w:rsidRPr="00C5687E">
              <w:rPr>
                <w:rFonts w:cstheme="majorBidi"/>
                <w:sz w:val="22"/>
                <w:szCs w:val="22"/>
              </w:rPr>
              <w:t xml:space="preserve">], </w:t>
            </w:r>
          </w:p>
        </w:tc>
        <w:tc>
          <w:tcPr>
            <w:tcW w:w="3831" w:type="dxa"/>
          </w:tcPr>
          <w:p w14:paraId="4E066BA0" w14:textId="77777777" w:rsidR="005A5A48" w:rsidRPr="00C5687E" w:rsidDel="00107885" w:rsidRDefault="005A5A48" w:rsidP="00C5687E">
            <w:pPr>
              <w:ind w:firstLine="30"/>
              <w:rPr>
                <w:rFonts w:cstheme="majorBidi"/>
                <w:sz w:val="22"/>
                <w:szCs w:val="22"/>
              </w:rPr>
            </w:pPr>
            <w:proofErr w:type="spellStart"/>
            <w:r w:rsidRPr="00C5687E">
              <w:rPr>
                <w:rFonts w:cstheme="majorBidi"/>
                <w:i/>
                <w:iCs/>
                <w:sz w:val="22"/>
                <w:szCs w:val="22"/>
              </w:rPr>
              <w:t>ammīnim</w:t>
            </w:r>
            <w:proofErr w:type="spellEnd"/>
            <w:r w:rsidRPr="00C5687E">
              <w:rPr>
                <w:rFonts w:cstheme="majorBidi"/>
                <w:i/>
                <w:iCs/>
                <w:sz w:val="22"/>
                <w:szCs w:val="22"/>
              </w:rPr>
              <w:t xml:space="preserve"> </w:t>
            </w:r>
            <w:proofErr w:type="spellStart"/>
            <w:r w:rsidRPr="00C5687E">
              <w:rPr>
                <w:rFonts w:cstheme="majorBidi"/>
                <w:i/>
                <w:iCs/>
                <w:sz w:val="22"/>
                <w:szCs w:val="22"/>
              </w:rPr>
              <w:t>inanna</w:t>
            </w:r>
            <w:proofErr w:type="spellEnd"/>
            <w:r w:rsidRPr="00C5687E">
              <w:rPr>
                <w:rFonts w:cstheme="majorBidi"/>
                <w:i/>
                <w:iCs/>
                <w:sz w:val="22"/>
                <w:szCs w:val="22"/>
              </w:rPr>
              <w:t xml:space="preserve"> </w:t>
            </w:r>
            <w:proofErr w:type="spellStart"/>
            <w:r w:rsidRPr="00C5687E">
              <w:rPr>
                <w:rFonts w:cstheme="majorBidi"/>
                <w:i/>
                <w:iCs/>
                <w:sz w:val="22"/>
                <w:szCs w:val="22"/>
              </w:rPr>
              <w:t>kīma</w:t>
            </w:r>
            <w:proofErr w:type="spellEnd"/>
            <w:r w:rsidRPr="00C5687E">
              <w:rPr>
                <w:rFonts w:cstheme="majorBidi"/>
                <w:i/>
                <w:iCs/>
                <w:sz w:val="22"/>
                <w:szCs w:val="22"/>
              </w:rPr>
              <w:t xml:space="preserve"> </w:t>
            </w:r>
            <w:proofErr w:type="spellStart"/>
            <w:r w:rsidRPr="00C5687E">
              <w:rPr>
                <w:rFonts w:cstheme="majorBidi"/>
                <w:sz w:val="22"/>
                <w:szCs w:val="22"/>
                <w:vertAlign w:val="superscript"/>
              </w:rPr>
              <w:t>D</w:t>
            </w:r>
            <w:r w:rsidRPr="00C5687E">
              <w:rPr>
                <w:rFonts w:cstheme="majorBidi"/>
                <w:i/>
                <w:iCs/>
                <w:sz w:val="22"/>
                <w:szCs w:val="22"/>
              </w:rPr>
              <w:t>Dumuz</w:t>
            </w:r>
            <w:proofErr w:type="spellEnd"/>
            <w:r w:rsidRPr="00C5687E">
              <w:rPr>
                <w:rFonts w:cstheme="majorBidi"/>
                <w:sz w:val="22"/>
                <w:szCs w:val="22"/>
              </w:rPr>
              <w:t>[</w:t>
            </w:r>
            <w:proofErr w:type="spellStart"/>
            <w:r w:rsidRPr="00C5687E">
              <w:rPr>
                <w:rFonts w:cstheme="majorBidi"/>
                <w:i/>
                <w:iCs/>
                <w:sz w:val="22"/>
                <w:szCs w:val="22"/>
              </w:rPr>
              <w:t>i</w:t>
            </w:r>
            <w:proofErr w:type="spellEnd"/>
            <w:r w:rsidRPr="00C5687E">
              <w:rPr>
                <w:rFonts w:cstheme="majorBidi"/>
                <w:i/>
                <w:iCs/>
                <w:sz w:val="22"/>
                <w:szCs w:val="22"/>
              </w:rPr>
              <w:t xml:space="preserve"> </w:t>
            </w:r>
            <w:r w:rsidRPr="00C5687E">
              <w:rPr>
                <w:rFonts w:cstheme="majorBidi"/>
                <w:i/>
                <w:iCs/>
                <w:sz w:val="22"/>
                <w:szCs w:val="22"/>
                <w:lang w:val="en-GB"/>
              </w:rPr>
              <w:t>…</w:t>
            </w:r>
            <w:r w:rsidRPr="00C5687E">
              <w:rPr>
                <w:rFonts w:cstheme="majorBidi"/>
                <w:sz w:val="22"/>
                <w:szCs w:val="22"/>
              </w:rPr>
              <w:t>]</w:t>
            </w:r>
            <w:r w:rsidRPr="00C5687E">
              <w:rPr>
                <w:rFonts w:cstheme="majorBidi"/>
                <w:i/>
                <w:iCs/>
                <w:sz w:val="22"/>
                <w:szCs w:val="22"/>
              </w:rPr>
              <w:t xml:space="preserve"> </w:t>
            </w:r>
          </w:p>
        </w:tc>
      </w:tr>
      <w:tr w:rsidR="005A5A48" w:rsidRPr="00A47B88" w14:paraId="48827DC3" w14:textId="77777777" w:rsidTr="00C5687E">
        <w:tc>
          <w:tcPr>
            <w:tcW w:w="5671" w:type="dxa"/>
          </w:tcPr>
          <w:p w14:paraId="43AB6260" w14:textId="2344B206" w:rsidR="005A5A48" w:rsidRPr="00C5687E" w:rsidRDefault="005A5A48" w:rsidP="00C5687E">
            <w:pPr>
              <w:ind w:firstLine="30"/>
              <w:rPr>
                <w:rFonts w:cstheme="majorBidi"/>
                <w:sz w:val="22"/>
                <w:szCs w:val="22"/>
              </w:rPr>
            </w:pPr>
            <w:r w:rsidRPr="00C5687E">
              <w:rPr>
                <w:rFonts w:cstheme="majorBidi"/>
                <w:sz w:val="22"/>
                <w:szCs w:val="22"/>
                <w:vertAlign w:val="superscript"/>
              </w:rPr>
              <w:t xml:space="preserve">43 </w:t>
            </w:r>
            <w:r w:rsidRPr="00C5687E">
              <w:rPr>
                <w:rFonts w:cstheme="majorBidi"/>
                <w:sz w:val="22"/>
                <w:szCs w:val="22"/>
              </w:rPr>
              <w:t>at the end of the year they kill him, [and at the time of …</w:t>
            </w:r>
            <w:r w:rsidRPr="00C5687E">
              <w:rPr>
                <w:rFonts w:cstheme="majorBidi"/>
                <w:sz w:val="22"/>
                <w:szCs w:val="22"/>
                <w:vertAlign w:val="superscript"/>
              </w:rPr>
              <w:footnoteReference w:id="38"/>
            </w:r>
            <w:r w:rsidRPr="00C5687E">
              <w:rPr>
                <w:rFonts w:cstheme="majorBidi"/>
                <w:sz w:val="22"/>
                <w:szCs w:val="22"/>
              </w:rPr>
              <w:t>]</w:t>
            </w:r>
          </w:p>
        </w:tc>
        <w:tc>
          <w:tcPr>
            <w:tcW w:w="3831" w:type="dxa"/>
          </w:tcPr>
          <w:p w14:paraId="20E9E853" w14:textId="77777777" w:rsidR="005A5A48" w:rsidRPr="00C5687E" w:rsidRDefault="005A5A48" w:rsidP="00C5687E">
            <w:pPr>
              <w:ind w:firstLine="30"/>
              <w:rPr>
                <w:rFonts w:cstheme="majorBidi"/>
                <w:sz w:val="22"/>
                <w:szCs w:val="22"/>
              </w:rPr>
            </w:pPr>
            <w:bookmarkStart w:id="17" w:name="_Hlk57185883"/>
            <w:proofErr w:type="spellStart"/>
            <w:r w:rsidRPr="00C5687E">
              <w:rPr>
                <w:rFonts w:cstheme="majorBidi"/>
                <w:i/>
                <w:iCs/>
                <w:sz w:val="22"/>
                <w:szCs w:val="22"/>
              </w:rPr>
              <w:t>munût</w:t>
            </w:r>
            <w:proofErr w:type="spellEnd"/>
            <w:r w:rsidRPr="00C5687E">
              <w:rPr>
                <w:rFonts w:cstheme="majorBidi"/>
                <w:i/>
                <w:iCs/>
                <w:sz w:val="22"/>
                <w:szCs w:val="22"/>
              </w:rPr>
              <w:t xml:space="preserve"> </w:t>
            </w:r>
            <w:proofErr w:type="spellStart"/>
            <w:r w:rsidRPr="00C5687E">
              <w:rPr>
                <w:rFonts w:cstheme="majorBidi"/>
                <w:i/>
                <w:iCs/>
                <w:sz w:val="22"/>
                <w:szCs w:val="22"/>
              </w:rPr>
              <w:t>šattim</w:t>
            </w:r>
            <w:proofErr w:type="spellEnd"/>
            <w:r w:rsidRPr="00C5687E">
              <w:rPr>
                <w:rFonts w:cstheme="majorBidi"/>
                <w:i/>
                <w:iCs/>
                <w:sz w:val="22"/>
                <w:szCs w:val="22"/>
              </w:rPr>
              <w:t xml:space="preserve"> </w:t>
            </w:r>
            <w:bookmarkEnd w:id="17"/>
            <w:proofErr w:type="spellStart"/>
            <w:r w:rsidRPr="00C5687E">
              <w:rPr>
                <w:rFonts w:cstheme="majorBidi"/>
                <w:i/>
                <w:iCs/>
                <w:sz w:val="22"/>
                <w:szCs w:val="22"/>
              </w:rPr>
              <w:t>idakkūšu</w:t>
            </w:r>
            <w:proofErr w:type="spellEnd"/>
            <w:r w:rsidRPr="00C5687E">
              <w:rPr>
                <w:rFonts w:cstheme="majorBidi"/>
                <w:i/>
                <w:iCs/>
                <w:sz w:val="22"/>
                <w:szCs w:val="22"/>
              </w:rPr>
              <w:t xml:space="preserve"> </w:t>
            </w:r>
            <w:r w:rsidRPr="00C5687E">
              <w:rPr>
                <w:rFonts w:cstheme="majorBidi"/>
                <w:sz w:val="22"/>
                <w:szCs w:val="22"/>
              </w:rPr>
              <w:t>[…]</w:t>
            </w:r>
          </w:p>
        </w:tc>
      </w:tr>
      <w:tr w:rsidR="005A5A48" w:rsidRPr="0060255A" w14:paraId="04A5EED1" w14:textId="77777777" w:rsidTr="00C5687E">
        <w:tc>
          <w:tcPr>
            <w:tcW w:w="5671" w:type="dxa"/>
          </w:tcPr>
          <w:p w14:paraId="511F71DD" w14:textId="77777777" w:rsidR="005A5A48" w:rsidRPr="00C5687E" w:rsidRDefault="005A5A48" w:rsidP="00C5687E">
            <w:pPr>
              <w:ind w:firstLine="30"/>
              <w:rPr>
                <w:rFonts w:cstheme="majorBidi"/>
                <w:sz w:val="22"/>
                <w:szCs w:val="22"/>
              </w:rPr>
            </w:pPr>
            <w:r w:rsidRPr="00C5687E">
              <w:rPr>
                <w:rFonts w:cstheme="majorBidi"/>
                <w:sz w:val="22"/>
                <w:szCs w:val="22"/>
                <w:vertAlign w:val="superscript"/>
                <w:lang w:val="en-GB"/>
              </w:rPr>
              <w:t xml:space="preserve">44 </w:t>
            </w:r>
            <w:r w:rsidRPr="00C5687E">
              <w:rPr>
                <w:rFonts w:cstheme="majorBidi"/>
                <w:sz w:val="22"/>
                <w:szCs w:val="22"/>
              </w:rPr>
              <w:t xml:space="preserve">he keeps </w:t>
            </w:r>
            <w:proofErr w:type="spellStart"/>
            <w:r w:rsidRPr="00C5687E">
              <w:rPr>
                <w:rFonts w:cstheme="majorBidi"/>
                <w:sz w:val="22"/>
                <w:szCs w:val="22"/>
              </w:rPr>
              <w:t>retur</w:t>
            </w:r>
            <w:proofErr w:type="spellEnd"/>
            <w:r w:rsidRPr="00C5687E">
              <w:rPr>
                <w:rFonts w:cstheme="majorBidi"/>
                <w:sz w:val="22"/>
                <w:szCs w:val="22"/>
              </w:rPr>
              <w:t>[</w:t>
            </w:r>
            <w:proofErr w:type="spellStart"/>
            <w:r w:rsidRPr="00C5687E">
              <w:rPr>
                <w:rFonts w:cstheme="majorBidi"/>
                <w:sz w:val="22"/>
                <w:szCs w:val="22"/>
              </w:rPr>
              <w:t>ning</w:t>
            </w:r>
            <w:proofErr w:type="spellEnd"/>
            <w:r w:rsidRPr="00C5687E">
              <w:rPr>
                <w:rFonts w:cstheme="majorBidi"/>
                <w:sz w:val="22"/>
                <w:szCs w:val="22"/>
              </w:rPr>
              <w:t xml:space="preserve">] to the temple of </w:t>
            </w:r>
            <w:proofErr w:type="spellStart"/>
            <w:r w:rsidRPr="00C5687E">
              <w:rPr>
                <w:rFonts w:cstheme="majorBidi"/>
                <w:sz w:val="22"/>
                <w:szCs w:val="22"/>
              </w:rPr>
              <w:t>Annunitum</w:t>
            </w:r>
            <w:proofErr w:type="spellEnd"/>
            <w:r w:rsidRPr="00C5687E">
              <w:rPr>
                <w:rFonts w:cstheme="majorBidi"/>
                <w:sz w:val="22"/>
                <w:szCs w:val="22"/>
              </w:rPr>
              <w:t>.</w:t>
            </w:r>
          </w:p>
        </w:tc>
        <w:tc>
          <w:tcPr>
            <w:tcW w:w="3831" w:type="dxa"/>
          </w:tcPr>
          <w:p w14:paraId="3E6004D3" w14:textId="77777777" w:rsidR="005A5A48" w:rsidRPr="00C5687E" w:rsidRDefault="005A5A48" w:rsidP="00C5687E">
            <w:pPr>
              <w:ind w:firstLine="30"/>
              <w:rPr>
                <w:rFonts w:cstheme="majorBidi"/>
                <w:sz w:val="22"/>
                <w:szCs w:val="22"/>
                <w:lang w:val="de-DE"/>
              </w:rPr>
            </w:pPr>
            <w:r w:rsidRPr="00C5687E">
              <w:rPr>
                <w:rFonts w:cstheme="majorBidi"/>
                <w:i/>
                <w:iCs/>
                <w:sz w:val="22"/>
                <w:szCs w:val="22"/>
                <w:lang w:val="de-DE"/>
              </w:rPr>
              <w:t>ana bīt Annunitimma ittanâ</w:t>
            </w:r>
            <w:r w:rsidRPr="00C5687E">
              <w:rPr>
                <w:rFonts w:cstheme="majorBidi"/>
                <w:sz w:val="22"/>
                <w:szCs w:val="22"/>
                <w:lang w:val="de-DE"/>
              </w:rPr>
              <w:t>[</w:t>
            </w:r>
            <w:r w:rsidRPr="00C5687E">
              <w:rPr>
                <w:rFonts w:cstheme="majorBidi"/>
                <w:i/>
                <w:iCs/>
                <w:sz w:val="22"/>
                <w:szCs w:val="22"/>
                <w:lang w:val="de-DE"/>
              </w:rPr>
              <w:t>rma</w:t>
            </w:r>
            <w:r w:rsidRPr="00C5687E">
              <w:rPr>
                <w:rFonts w:cstheme="majorBidi"/>
                <w:sz w:val="22"/>
                <w:szCs w:val="22"/>
                <w:lang w:val="de-DE"/>
              </w:rPr>
              <w:t>]</w:t>
            </w:r>
            <w:r w:rsidRPr="00C5687E">
              <w:rPr>
                <w:rFonts w:cstheme="majorBidi"/>
                <w:i/>
                <w:iCs/>
                <w:sz w:val="22"/>
                <w:szCs w:val="22"/>
                <w:lang w:val="de-DE"/>
              </w:rPr>
              <w:t xml:space="preserve"> </w:t>
            </w:r>
          </w:p>
        </w:tc>
      </w:tr>
    </w:tbl>
    <w:p w14:paraId="6CC78B6F" w14:textId="77777777" w:rsidR="005A5A48" w:rsidRPr="005A5A48" w:rsidRDefault="005A5A48" w:rsidP="005A5A48">
      <w:pPr>
        <w:rPr>
          <w:lang w:val="de-DE"/>
        </w:rPr>
      </w:pPr>
      <w:r>
        <w:rPr>
          <w:rtl/>
        </w:rPr>
        <w:lastRenderedPageBreak/>
        <w:t xml:space="preserve"> </w:t>
      </w:r>
    </w:p>
    <w:p w14:paraId="3E3D146A" w14:textId="029F9F41" w:rsidR="005A5A48" w:rsidRPr="00A47B88" w:rsidRDefault="005A5A48" w:rsidP="005A5A48">
      <w:pPr>
        <w:spacing w:before="120"/>
        <w:rPr>
          <w:rtl/>
        </w:rPr>
      </w:pPr>
      <w:r>
        <w:t xml:space="preserve">Dumuzi’s periodic return from the land of the dead to the temple of the goddess </w:t>
      </w:r>
      <w:proofErr w:type="spellStart"/>
      <w:r>
        <w:t>Annunitum</w:t>
      </w:r>
      <w:proofErr w:type="spellEnd"/>
      <w:r>
        <w:t xml:space="preserve">, is expressed by the verb </w:t>
      </w:r>
      <w:proofErr w:type="spellStart"/>
      <w:r>
        <w:rPr>
          <w:i/>
          <w:iCs/>
        </w:rPr>
        <w:t>târu</w:t>
      </w:r>
      <w:proofErr w:type="spellEnd"/>
      <w:r>
        <w:rPr>
          <w:i/>
          <w:iCs/>
        </w:rPr>
        <w:t xml:space="preserve"> “</w:t>
      </w:r>
      <w:r>
        <w:t xml:space="preserve">to return” in the </w:t>
      </w:r>
      <w:proofErr w:type="spellStart"/>
      <w:r>
        <w:t>Gtn</w:t>
      </w:r>
      <w:proofErr w:type="spellEnd"/>
      <w:r>
        <w:t xml:space="preserve"> stem which denotes iterative action. As the netherworld is referred to in Mesopotamian literature as the “Land of No-Return” (</w:t>
      </w:r>
      <w:proofErr w:type="spellStart"/>
      <w:r w:rsidRPr="005A5A48">
        <w:rPr>
          <w:rFonts w:asciiTheme="majorBidi" w:hAnsiTheme="majorBidi" w:cstheme="majorBidi"/>
          <w:i/>
          <w:iCs/>
        </w:rPr>
        <w:t>erṣet</w:t>
      </w:r>
      <w:proofErr w:type="spellEnd"/>
      <w:r w:rsidRPr="005A5A48">
        <w:rPr>
          <w:rFonts w:asciiTheme="majorBidi" w:hAnsiTheme="majorBidi" w:cstheme="majorBidi"/>
          <w:i/>
          <w:iCs/>
        </w:rPr>
        <w:t>/</w:t>
      </w:r>
      <w:proofErr w:type="spellStart"/>
      <w:r w:rsidRPr="005A5A48">
        <w:rPr>
          <w:rFonts w:asciiTheme="majorBidi" w:hAnsiTheme="majorBidi" w:cstheme="majorBidi"/>
          <w:i/>
          <w:iCs/>
        </w:rPr>
        <w:t>māt</w:t>
      </w:r>
      <w:proofErr w:type="spellEnd"/>
      <w:r w:rsidRPr="005A5A48">
        <w:rPr>
          <w:rFonts w:asciiTheme="majorBidi" w:hAnsiTheme="majorBidi" w:cstheme="majorBidi"/>
          <w:i/>
          <w:iCs/>
        </w:rPr>
        <w:t xml:space="preserve"> </w:t>
      </w:r>
      <w:proofErr w:type="spellStart"/>
      <w:r w:rsidRPr="005A5A48">
        <w:rPr>
          <w:rFonts w:asciiTheme="majorBidi" w:hAnsiTheme="majorBidi" w:cstheme="majorBidi"/>
          <w:i/>
          <w:iCs/>
        </w:rPr>
        <w:t>lā</w:t>
      </w:r>
      <w:proofErr w:type="spellEnd"/>
      <w:r w:rsidRPr="005A5A48">
        <w:rPr>
          <w:rFonts w:asciiTheme="majorBidi" w:hAnsiTheme="majorBidi" w:cstheme="majorBidi"/>
          <w:i/>
          <w:iCs/>
        </w:rPr>
        <w:t xml:space="preserve"> </w:t>
      </w:r>
      <w:proofErr w:type="spellStart"/>
      <w:r w:rsidRPr="005A5A48">
        <w:rPr>
          <w:rFonts w:asciiTheme="majorBidi" w:hAnsiTheme="majorBidi" w:cstheme="majorBidi"/>
          <w:i/>
          <w:iCs/>
        </w:rPr>
        <w:t>târi</w:t>
      </w:r>
      <w:proofErr w:type="spellEnd"/>
      <w:r>
        <w:t>),</w:t>
      </w:r>
      <w:r>
        <w:rPr>
          <w:rStyle w:val="FootnoteReference"/>
          <w:rFonts w:cstheme="majorBidi"/>
        </w:rPr>
        <w:footnoteReference w:id="39"/>
      </w:r>
      <w:r>
        <w:t xml:space="preserve"> the use of this verb to describe Dumuzi’s resurrection is particularly fitting.</w:t>
      </w:r>
      <w:r>
        <w:rPr>
          <w:rStyle w:val="FootnoteReference"/>
          <w:rFonts w:eastAsia="Calibri"/>
        </w:rPr>
        <w:footnoteReference w:id="40"/>
      </w:r>
      <w:r>
        <w:t xml:space="preserve"> The term </w:t>
      </w:r>
      <w:proofErr w:type="spellStart"/>
      <w:r>
        <w:rPr>
          <w:i/>
          <w:iCs/>
        </w:rPr>
        <w:t>munût</w:t>
      </w:r>
      <w:proofErr w:type="spellEnd"/>
      <w:r>
        <w:rPr>
          <w:i/>
          <w:iCs/>
        </w:rPr>
        <w:t xml:space="preserve"> </w:t>
      </w:r>
      <w:proofErr w:type="spellStart"/>
      <w:r>
        <w:rPr>
          <w:i/>
          <w:iCs/>
        </w:rPr>
        <w:t>šattim</w:t>
      </w:r>
      <w:proofErr w:type="spellEnd"/>
      <w:r w:rsidR="00C31033">
        <w:rPr>
          <w:i/>
          <w:iCs/>
        </w:rPr>
        <w:t xml:space="preserve"> </w:t>
      </w:r>
      <w:r>
        <w:t>– literally “counting of the year”</w:t>
      </w:r>
      <w:r w:rsidRPr="004A31B4">
        <w:rPr>
          <w:vertAlign w:val="superscript"/>
        </w:rPr>
        <w:footnoteReference w:id="41"/>
      </w:r>
      <w:r>
        <w:t xml:space="preserve"> – which indicates the time of Dumuzi’s return, also attests to </w:t>
      </w:r>
      <w:r w:rsidR="00C31033">
        <w:t xml:space="preserve">its </w:t>
      </w:r>
      <w:r>
        <w:t xml:space="preserve">recurring character. To describe the death of Dumuzi, the author uses the root </w:t>
      </w:r>
      <w:proofErr w:type="spellStart"/>
      <w:r>
        <w:rPr>
          <w:i/>
          <w:iCs/>
        </w:rPr>
        <w:t>dâkum</w:t>
      </w:r>
      <w:proofErr w:type="spellEnd"/>
      <w:r>
        <w:rPr>
          <w:i/>
          <w:iCs/>
        </w:rPr>
        <w:t xml:space="preserve"> </w:t>
      </w:r>
      <w:r>
        <w:t xml:space="preserve">(to kill), though he employs </w:t>
      </w:r>
      <w:r>
        <w:rPr>
          <w:lang w:bidi="he-IL"/>
        </w:rPr>
        <w:t>a</w:t>
      </w:r>
      <w:r>
        <w:t xml:space="preserve"> vowel uncharacteristic </w:t>
      </w:r>
      <w:r>
        <w:rPr>
          <w:lang w:val="en-GB" w:bidi="he-IL"/>
        </w:rPr>
        <w:t xml:space="preserve">of that </w:t>
      </w:r>
      <w:r w:rsidR="00A873E4">
        <w:rPr>
          <w:lang w:val="en-GB" w:bidi="he-IL"/>
        </w:rPr>
        <w:t>root</w:t>
      </w:r>
      <w:r>
        <w:t xml:space="preserve"> (a). For this reason, some have interpreted it as deriving from the root </w:t>
      </w:r>
      <w:proofErr w:type="spellStart"/>
      <w:r>
        <w:rPr>
          <w:i/>
          <w:iCs/>
        </w:rPr>
        <w:t>dakāšum</w:t>
      </w:r>
      <w:proofErr w:type="spellEnd"/>
      <w:r>
        <w:t xml:space="preserve"> (to stab), reconstructing </w:t>
      </w:r>
      <w:proofErr w:type="spellStart"/>
      <w:r w:rsidRPr="00710733">
        <w:rPr>
          <w:i/>
          <w:iCs/>
        </w:rPr>
        <w:t>idakkušū</w:t>
      </w:r>
      <w:proofErr w:type="spellEnd"/>
      <w:r w:rsidRPr="005A5A48">
        <w:t>[</w:t>
      </w:r>
      <w:proofErr w:type="spellStart"/>
      <w:r w:rsidRPr="00710733">
        <w:rPr>
          <w:i/>
          <w:iCs/>
        </w:rPr>
        <w:t>šu</w:t>
      </w:r>
      <w:proofErr w:type="spellEnd"/>
      <w:r w:rsidRPr="005A5A48">
        <w:t>]</w:t>
      </w:r>
      <w:r>
        <w:rPr>
          <w:i/>
          <w:iCs/>
        </w:rPr>
        <w:t xml:space="preserve"> </w:t>
      </w:r>
      <w:r>
        <w:t>accordingly.</w:t>
      </w:r>
      <w:r>
        <w:rPr>
          <w:rStyle w:val="FootnoteReference"/>
        </w:rPr>
        <w:footnoteReference w:id="42"/>
      </w:r>
      <w:r>
        <w:t xml:space="preserve"> </w:t>
      </w:r>
    </w:p>
    <w:p w14:paraId="48450059" w14:textId="486C8AA5" w:rsidR="005A5A48" w:rsidRDefault="005A5A48" w:rsidP="005A5A48">
      <w:pPr>
        <w:ind w:firstLine="429"/>
      </w:pPr>
      <w:r>
        <w:lastRenderedPageBreak/>
        <w:t xml:space="preserve">In addition to its unique content, this letter is important for two further reasons: first, its epistolary genre. In contrast to literary works – which naturally accrue additions and expansions (as well as </w:t>
      </w:r>
      <w:r>
        <w:rPr>
          <w:lang w:val="en-GB"/>
        </w:rPr>
        <w:t xml:space="preserve">omissions) </w:t>
      </w:r>
      <w:r>
        <w:t xml:space="preserve">by scribes and editors – </w:t>
      </w:r>
      <w:commentRangeStart w:id="23"/>
      <w:commentRangeStart w:id="24"/>
      <w:commentRangeStart w:id="25"/>
      <w:r>
        <w:t xml:space="preserve">an epistolary text </w:t>
      </w:r>
      <w:r>
        <w:rPr>
          <w:lang w:val="en-GB" w:bidi="he-IL"/>
        </w:rPr>
        <w:t xml:space="preserve">does not develop in </w:t>
      </w:r>
      <w:del w:id="26" w:author="Avraham Kallenbah" w:date="2021-04-07T14:02:00Z">
        <w:r w:rsidDel="005A5A48">
          <w:rPr>
            <w:lang w:val="en-GB" w:bidi="he-IL"/>
          </w:rPr>
          <w:delText>such a way</w:delText>
        </w:r>
      </w:del>
      <w:ins w:id="27" w:author="Avraham Kallenbah" w:date="2021-04-07T14:02:00Z">
        <w:r>
          <w:rPr>
            <w:lang w:val="en-GB" w:bidi="he-IL"/>
          </w:rPr>
          <w:t>such a fashion</w:t>
        </w:r>
        <w:commentRangeEnd w:id="23"/>
        <w:r>
          <w:rPr>
            <w:rStyle w:val="CommentReference"/>
          </w:rPr>
          <w:commentReference w:id="23"/>
        </w:r>
      </w:ins>
      <w:commentRangeEnd w:id="24"/>
      <w:r w:rsidR="00A873E4">
        <w:rPr>
          <w:rStyle w:val="CommentReference"/>
        </w:rPr>
        <w:commentReference w:id="24"/>
      </w:r>
      <w:commentRangeEnd w:id="25"/>
      <w:r w:rsidR="00563EFB">
        <w:rPr>
          <w:rStyle w:val="CommentReference"/>
        </w:rPr>
        <w:commentReference w:id="25"/>
      </w:r>
      <w:r>
        <w:rPr>
          <w:lang w:val="en-GB" w:bidi="he-IL"/>
        </w:rPr>
        <w:t xml:space="preserve">. Therefore, it cannot be argued that </w:t>
      </w:r>
      <w:r>
        <w:t xml:space="preserve">one of the two parts of the mythologem – the death or resurrection – </w:t>
      </w:r>
      <w:r>
        <w:rPr>
          <w:lang w:bidi="he-IL"/>
        </w:rPr>
        <w:t>was interpolated at a later stage.</w:t>
      </w:r>
      <w:r>
        <w:t xml:space="preserve"> Rather, the passing mention of Dumuzi’s death </w:t>
      </w:r>
      <w:r w:rsidRPr="00DC5C2F">
        <w:rPr>
          <w:i/>
          <w:iCs/>
        </w:rPr>
        <w:t>and</w:t>
      </w:r>
      <w:r>
        <w:t xml:space="preserve"> resurrection in this letter is the work of a single hand at a single time. </w:t>
      </w:r>
    </w:p>
    <w:p w14:paraId="1A2B2802" w14:textId="42F048B1" w:rsidR="005A5A48" w:rsidRPr="00A47B88" w:rsidRDefault="000A60DF" w:rsidP="005A5A48">
      <w:pPr>
        <w:ind w:firstLine="429"/>
        <w:rPr>
          <w:rtl/>
        </w:rPr>
      </w:pPr>
      <w:r>
        <w:t>Second,</w:t>
      </w:r>
      <w:r w:rsidR="005A5A48">
        <w:rPr>
          <w:lang w:bidi="he-IL"/>
        </w:rPr>
        <w:t xml:space="preserve"> is</w:t>
      </w:r>
      <w:r w:rsidR="005A5A48">
        <w:t xml:space="preserve"> the identity of the letter’s author. Unlike letters written by temple or palace functionaries which may preserve various mythologems and literary themes thanks to their authors’ scholarly education,</w:t>
      </w:r>
      <w:r w:rsidR="005A5A48">
        <w:rPr>
          <w:rStyle w:val="FootnoteReference"/>
        </w:rPr>
        <w:footnoteReference w:id="43"/>
      </w:r>
      <w:r w:rsidR="005A5A48">
        <w:t xml:space="preserve"> the </w:t>
      </w:r>
      <w:r w:rsidR="005A5A48">
        <w:rPr>
          <w:lang w:val="en-GB" w:bidi="he-IL"/>
        </w:rPr>
        <w:t>author</w:t>
      </w:r>
      <w:r w:rsidR="005A5A48">
        <w:t xml:space="preserve"> of the present letter, </w:t>
      </w:r>
      <w:proofErr w:type="spellStart"/>
      <w:r w:rsidR="005A5A48">
        <w:t>Ḫammi-ištamar</w:t>
      </w:r>
      <w:proofErr w:type="spellEnd"/>
      <w:r w:rsidR="005A5A48">
        <w:t>, was the head of a semi-nomadic Amorite tribe. That his Amorite identity</w:t>
      </w:r>
      <w:r w:rsidR="005A5A48">
        <w:rPr>
          <w:lang w:val="en-GB"/>
        </w:rPr>
        <w:t xml:space="preserve"> was</w:t>
      </w:r>
      <w:r w:rsidR="005A5A48">
        <w:t xml:space="preserve"> still very </w:t>
      </w:r>
      <w:r w:rsidR="002A33B9">
        <w:t xml:space="preserve">significant </w:t>
      </w:r>
      <w:r w:rsidR="005A5A48">
        <w:t>to him</w:t>
      </w:r>
      <w:del w:id="28" w:author="Avraham Kallenbah" w:date="2021-04-13T08:33:00Z">
        <w:r w:rsidR="005A5A48" w:rsidDel="00BE697F">
          <w:delText>,</w:delText>
        </w:r>
      </w:del>
      <w:r w:rsidR="005A5A48">
        <w:t xml:space="preserve"> is testified by the curses and vulgarisms he uses in his letter to </w:t>
      </w:r>
      <w:r w:rsidR="005A5A48">
        <w:rPr>
          <w:lang w:bidi="he-IL"/>
        </w:rPr>
        <w:t>exhort</w:t>
      </w:r>
      <w:r w:rsidR="005A5A48">
        <w:t xml:space="preserve"> his addressee to remain loyal to the nomadic ethos. This would suggest that the notion of Dumuzi as a resurrected god was widespread among the common people in Mari, including the tribes which had yet to urbanize.</w:t>
      </w:r>
    </w:p>
    <w:p w14:paraId="04AA87C2" w14:textId="7DEC0DAD" w:rsidR="005A5A48" w:rsidRPr="00A47B88" w:rsidRDefault="005A5A48" w:rsidP="005A5A48">
      <w:pPr>
        <w:ind w:firstLine="630"/>
        <w:rPr>
          <w:rtl/>
        </w:rPr>
      </w:pPr>
      <w:r>
        <w:t xml:space="preserve">Two economic lists from Mari supports the impression </w:t>
      </w:r>
      <w:r w:rsidR="00A44A0A">
        <w:t>that arises from</w:t>
      </w:r>
      <w:r>
        <w:t xml:space="preserve"> </w:t>
      </w:r>
      <w:proofErr w:type="spellStart"/>
      <w:r>
        <w:t>Ḫammi-ištamar’s</w:t>
      </w:r>
      <w:proofErr w:type="spellEnd"/>
      <w:r>
        <w:t xml:space="preserve"> letter, </w:t>
      </w:r>
      <w:r w:rsidR="00A44A0A">
        <w:t xml:space="preserve">namely, </w:t>
      </w:r>
      <w:r>
        <w:t>that the people of Mari regarded Dumuzi as a dying and rising god, and that such events were commemorated in temples.</w:t>
      </w:r>
    </w:p>
    <w:p w14:paraId="1D26C557" w14:textId="77777777" w:rsidR="005A5A48" w:rsidRPr="00A47B88" w:rsidRDefault="005A5A48" w:rsidP="005A5A48">
      <w:pPr>
        <w:bidi/>
        <w:ind w:firstLine="630"/>
        <w:rPr>
          <w:rtl/>
        </w:rPr>
      </w:pPr>
    </w:p>
    <w:p w14:paraId="736D665B" w14:textId="5E668BA9" w:rsidR="005A5A48" w:rsidRPr="00A47B88" w:rsidRDefault="005A5A48" w:rsidP="005A5A48">
      <w:pPr>
        <w:pStyle w:val="ListParagraph"/>
        <w:numPr>
          <w:ilvl w:val="0"/>
          <w:numId w:val="4"/>
        </w:numPr>
        <w:spacing w:after="0" w:line="480" w:lineRule="auto"/>
        <w:ind w:left="0" w:firstLine="284"/>
        <w:rPr>
          <w:rFonts w:ascii="Times New Roman" w:hAnsi="Times New Roman" w:cs="David"/>
          <w:sz w:val="24"/>
          <w:szCs w:val="24"/>
          <w:rtl/>
        </w:rPr>
      </w:pPr>
      <w:r>
        <w:rPr>
          <w:rFonts w:ascii="Times New Roman" w:hAnsi="Times New Roman" w:cs="David"/>
          <w:sz w:val="24"/>
          <w:szCs w:val="24"/>
        </w:rPr>
        <w:t>Tablet A.4540 from Mari attests to a funerary ritual held for Dumuzi. It records the amounts of sesame oil needed to clean and polish the deity’s statue in preparation for the burial:</w:t>
      </w:r>
    </w:p>
    <w:tbl>
      <w:tblPr>
        <w:tblStyle w:val="TableGrid"/>
        <w:tblW w:w="7928"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3966"/>
      </w:tblGrid>
      <w:tr w:rsidR="005A5A48" w:rsidRPr="00A47B88" w14:paraId="003A6B74" w14:textId="77777777" w:rsidTr="005A5A48">
        <w:tc>
          <w:tcPr>
            <w:tcW w:w="3962" w:type="dxa"/>
          </w:tcPr>
          <w:p w14:paraId="46FCA366" w14:textId="77777777" w:rsidR="005A5A48" w:rsidRPr="00C5687E" w:rsidRDefault="005A5A48" w:rsidP="00C5687E">
            <w:pPr>
              <w:ind w:firstLine="31"/>
              <w:rPr>
                <w:rFonts w:cstheme="majorBidi"/>
                <w:sz w:val="22"/>
                <w:szCs w:val="22"/>
              </w:rPr>
            </w:pPr>
            <w:r w:rsidRPr="00C5687E">
              <w:rPr>
                <w:rFonts w:cstheme="majorBidi"/>
                <w:sz w:val="22"/>
                <w:szCs w:val="22"/>
                <w:vertAlign w:val="superscript"/>
              </w:rPr>
              <w:t xml:space="preserve">1 </w:t>
            </w:r>
            <w:r w:rsidRPr="00C5687E">
              <w:rPr>
                <w:rFonts w:cstheme="majorBidi"/>
                <w:sz w:val="22"/>
                <w:szCs w:val="22"/>
              </w:rPr>
              <w:t xml:space="preserve">One </w:t>
            </w:r>
            <w:proofErr w:type="spellStart"/>
            <w:r w:rsidRPr="00C5687E">
              <w:rPr>
                <w:rFonts w:cstheme="majorBidi"/>
                <w:i/>
                <w:iCs/>
                <w:sz w:val="22"/>
                <w:szCs w:val="22"/>
              </w:rPr>
              <w:t>qa</w:t>
            </w:r>
            <w:proofErr w:type="spellEnd"/>
            <w:r w:rsidRPr="00C5687E">
              <w:rPr>
                <w:rFonts w:cstheme="majorBidi"/>
                <w:sz w:val="22"/>
                <w:szCs w:val="22"/>
              </w:rPr>
              <w:t xml:space="preserve"> of oil</w:t>
            </w:r>
          </w:p>
        </w:tc>
        <w:tc>
          <w:tcPr>
            <w:tcW w:w="3966" w:type="dxa"/>
          </w:tcPr>
          <w:p w14:paraId="65156116" w14:textId="77777777" w:rsidR="005A5A48" w:rsidRPr="00C5687E" w:rsidRDefault="005A5A48" w:rsidP="00C5687E">
            <w:pPr>
              <w:ind w:firstLine="31"/>
              <w:rPr>
                <w:rFonts w:cstheme="majorBidi"/>
                <w:sz w:val="22"/>
                <w:szCs w:val="22"/>
                <w:rtl/>
              </w:rPr>
            </w:pPr>
            <w:r w:rsidRPr="00C5687E">
              <w:rPr>
                <w:rFonts w:cstheme="majorBidi"/>
                <w:sz w:val="22"/>
                <w:szCs w:val="22"/>
              </w:rPr>
              <w:t>1 SÌLA</w:t>
            </w:r>
            <w:r w:rsidRPr="00C5687E">
              <w:rPr>
                <w:rFonts w:cstheme="majorBidi"/>
                <w:i/>
                <w:iCs/>
                <w:sz w:val="22"/>
                <w:szCs w:val="22"/>
              </w:rPr>
              <w:t xml:space="preserve"> </w:t>
            </w:r>
            <w:r w:rsidRPr="00C5687E">
              <w:rPr>
                <w:rFonts w:cstheme="majorBidi"/>
                <w:sz w:val="22"/>
                <w:szCs w:val="22"/>
              </w:rPr>
              <w:t>Ì.GIŠ</w:t>
            </w:r>
            <w:r w:rsidRPr="00C5687E">
              <w:rPr>
                <w:rFonts w:cstheme="majorBidi"/>
                <w:i/>
                <w:iCs/>
                <w:sz w:val="22"/>
                <w:szCs w:val="22"/>
              </w:rPr>
              <w:t xml:space="preserve"> </w:t>
            </w:r>
          </w:p>
        </w:tc>
      </w:tr>
      <w:tr w:rsidR="005A5A48" w:rsidRPr="00A47B88" w14:paraId="615EA777" w14:textId="77777777" w:rsidTr="005A5A48">
        <w:tc>
          <w:tcPr>
            <w:tcW w:w="3962" w:type="dxa"/>
          </w:tcPr>
          <w:p w14:paraId="5C38E82D" w14:textId="77777777" w:rsidR="005A5A48" w:rsidRPr="00C5687E" w:rsidRDefault="005A5A48" w:rsidP="00C5687E">
            <w:pPr>
              <w:ind w:firstLine="31"/>
              <w:rPr>
                <w:rFonts w:cstheme="majorBidi"/>
                <w:sz w:val="22"/>
                <w:szCs w:val="22"/>
                <w:rtl/>
              </w:rPr>
            </w:pPr>
            <w:r w:rsidRPr="00C5687E">
              <w:rPr>
                <w:rFonts w:cstheme="majorBidi"/>
                <w:sz w:val="22"/>
                <w:szCs w:val="22"/>
                <w:vertAlign w:val="superscript"/>
              </w:rPr>
              <w:lastRenderedPageBreak/>
              <w:t xml:space="preserve">2 </w:t>
            </w:r>
            <w:r w:rsidRPr="00C5687E">
              <w:rPr>
                <w:rFonts w:cstheme="majorBidi"/>
                <w:sz w:val="22"/>
                <w:szCs w:val="22"/>
              </w:rPr>
              <w:t xml:space="preserve">for the bathing of (the statue of) </w:t>
            </w:r>
            <w:proofErr w:type="spellStart"/>
            <w:r w:rsidRPr="00C5687E">
              <w:rPr>
                <w:rFonts w:cstheme="majorBidi"/>
                <w:sz w:val="22"/>
                <w:szCs w:val="22"/>
              </w:rPr>
              <w:t>Ištar</w:t>
            </w:r>
            <w:proofErr w:type="spellEnd"/>
            <w:r w:rsidRPr="00C5687E">
              <w:rPr>
                <w:rFonts w:cstheme="majorBidi"/>
                <w:sz w:val="22"/>
                <w:szCs w:val="22"/>
              </w:rPr>
              <w:t xml:space="preserve">. </w:t>
            </w:r>
          </w:p>
        </w:tc>
        <w:tc>
          <w:tcPr>
            <w:tcW w:w="3966" w:type="dxa"/>
          </w:tcPr>
          <w:p w14:paraId="0E2FF88B" w14:textId="77777777" w:rsidR="005A5A48" w:rsidRPr="00C5687E" w:rsidRDefault="005A5A48" w:rsidP="00C5687E">
            <w:pPr>
              <w:ind w:firstLine="31"/>
              <w:rPr>
                <w:rFonts w:cstheme="majorBidi"/>
                <w:i/>
                <w:iCs/>
                <w:sz w:val="22"/>
                <w:szCs w:val="22"/>
                <w:rtl/>
              </w:rPr>
            </w:pPr>
            <w:r w:rsidRPr="00C5687E">
              <w:rPr>
                <w:rFonts w:cstheme="majorBidi"/>
                <w:i/>
                <w:iCs/>
                <w:sz w:val="22"/>
                <w:szCs w:val="22"/>
              </w:rPr>
              <w:t xml:space="preserve">ana </w:t>
            </w:r>
            <w:proofErr w:type="spellStart"/>
            <w:r w:rsidRPr="00C5687E">
              <w:rPr>
                <w:rFonts w:cstheme="majorBidi"/>
                <w:i/>
                <w:iCs/>
                <w:sz w:val="22"/>
                <w:szCs w:val="22"/>
              </w:rPr>
              <w:t>rummuk</w:t>
            </w:r>
            <w:proofErr w:type="spellEnd"/>
            <w:r w:rsidRPr="00C5687E">
              <w:rPr>
                <w:rFonts w:cstheme="majorBidi"/>
                <w:i/>
                <w:iCs/>
                <w:sz w:val="22"/>
                <w:szCs w:val="22"/>
              </w:rPr>
              <w:t xml:space="preserve"> </w:t>
            </w:r>
            <w:proofErr w:type="spellStart"/>
            <w:r w:rsidRPr="00C5687E">
              <w:rPr>
                <w:rFonts w:cstheme="majorBidi"/>
                <w:sz w:val="22"/>
                <w:szCs w:val="22"/>
                <w:vertAlign w:val="superscript"/>
              </w:rPr>
              <w:t>D</w:t>
            </w:r>
            <w:r w:rsidRPr="00C5687E">
              <w:rPr>
                <w:rFonts w:cstheme="majorBidi"/>
                <w:i/>
                <w:iCs/>
                <w:sz w:val="22"/>
                <w:szCs w:val="22"/>
              </w:rPr>
              <w:t>Ištar</w:t>
            </w:r>
            <w:proofErr w:type="spellEnd"/>
          </w:p>
        </w:tc>
      </w:tr>
      <w:tr w:rsidR="005A5A48" w:rsidRPr="00A47B88" w14:paraId="7A0B37BD" w14:textId="77777777" w:rsidTr="005A5A48">
        <w:tc>
          <w:tcPr>
            <w:tcW w:w="3962" w:type="dxa"/>
          </w:tcPr>
          <w:p w14:paraId="074B5833" w14:textId="77777777" w:rsidR="005A5A48" w:rsidRPr="00C5687E" w:rsidRDefault="005A5A48" w:rsidP="00C5687E">
            <w:pPr>
              <w:ind w:firstLine="31"/>
              <w:rPr>
                <w:rFonts w:cstheme="majorBidi"/>
                <w:sz w:val="22"/>
                <w:szCs w:val="22"/>
                <w:rtl/>
              </w:rPr>
            </w:pPr>
            <w:r w:rsidRPr="00C5687E">
              <w:rPr>
                <w:rFonts w:cstheme="majorBidi"/>
                <w:sz w:val="22"/>
                <w:szCs w:val="22"/>
                <w:vertAlign w:val="superscript"/>
              </w:rPr>
              <w:t xml:space="preserve">3 </w:t>
            </w:r>
            <w:r w:rsidRPr="00C5687E">
              <w:rPr>
                <w:rFonts w:cstheme="majorBidi"/>
                <w:sz w:val="22"/>
                <w:szCs w:val="22"/>
              </w:rPr>
              <w:t>15 shekels</w:t>
            </w:r>
            <w:r w:rsidRPr="00C5687E">
              <w:rPr>
                <w:rFonts w:cstheme="majorBidi"/>
                <w:i/>
                <w:iCs/>
                <w:sz w:val="22"/>
                <w:szCs w:val="22"/>
              </w:rPr>
              <w:t xml:space="preserve"> </w:t>
            </w:r>
            <w:r w:rsidRPr="00C5687E">
              <w:rPr>
                <w:rFonts w:cstheme="majorBidi"/>
                <w:sz w:val="22"/>
                <w:szCs w:val="22"/>
              </w:rPr>
              <w:t>of oil</w:t>
            </w:r>
          </w:p>
        </w:tc>
        <w:tc>
          <w:tcPr>
            <w:tcW w:w="3966" w:type="dxa"/>
          </w:tcPr>
          <w:p w14:paraId="70835971" w14:textId="77777777" w:rsidR="005A5A48" w:rsidRPr="00C5687E" w:rsidRDefault="005A5A48" w:rsidP="00C5687E">
            <w:pPr>
              <w:ind w:firstLine="31"/>
              <w:rPr>
                <w:rFonts w:cstheme="majorBidi"/>
                <w:i/>
                <w:iCs/>
                <w:sz w:val="22"/>
                <w:szCs w:val="22"/>
                <w:rtl/>
              </w:rPr>
            </w:pPr>
            <w:r w:rsidRPr="00C5687E">
              <w:rPr>
                <w:rFonts w:cstheme="majorBidi"/>
                <w:sz w:val="22"/>
                <w:szCs w:val="22"/>
              </w:rPr>
              <w:t>15 GÍN Ì.GIŠ</w:t>
            </w:r>
          </w:p>
        </w:tc>
      </w:tr>
      <w:tr w:rsidR="005A5A48" w:rsidRPr="00A47B88" w14:paraId="2C85E6E1" w14:textId="77777777" w:rsidTr="005A5A48">
        <w:tc>
          <w:tcPr>
            <w:tcW w:w="3962" w:type="dxa"/>
          </w:tcPr>
          <w:p w14:paraId="1B6638E3" w14:textId="77777777" w:rsidR="005A5A48" w:rsidRPr="00C5687E" w:rsidRDefault="005A5A48" w:rsidP="00C5687E">
            <w:pPr>
              <w:ind w:firstLine="31"/>
              <w:rPr>
                <w:rFonts w:cstheme="majorBidi"/>
                <w:sz w:val="22"/>
                <w:szCs w:val="22"/>
              </w:rPr>
            </w:pPr>
            <w:r w:rsidRPr="00C5687E">
              <w:rPr>
                <w:rFonts w:cstheme="majorBidi"/>
                <w:sz w:val="22"/>
                <w:szCs w:val="22"/>
                <w:vertAlign w:val="superscript"/>
              </w:rPr>
              <w:t xml:space="preserve">4 </w:t>
            </w:r>
            <w:r w:rsidRPr="00C5687E">
              <w:rPr>
                <w:rFonts w:cstheme="majorBidi"/>
                <w:sz w:val="22"/>
                <w:szCs w:val="22"/>
              </w:rPr>
              <w:t>for the burial</w:t>
            </w:r>
          </w:p>
        </w:tc>
        <w:tc>
          <w:tcPr>
            <w:tcW w:w="3966" w:type="dxa"/>
          </w:tcPr>
          <w:p w14:paraId="3BA10D3E" w14:textId="77777777" w:rsidR="005A5A48" w:rsidRPr="00C5687E" w:rsidRDefault="005A5A48" w:rsidP="00C5687E">
            <w:pPr>
              <w:ind w:firstLine="31"/>
              <w:rPr>
                <w:rFonts w:cstheme="majorBidi"/>
                <w:sz w:val="22"/>
                <w:szCs w:val="22"/>
                <w:rtl/>
              </w:rPr>
            </w:pPr>
            <w:r w:rsidRPr="00C5687E">
              <w:rPr>
                <w:rFonts w:cstheme="majorBidi"/>
                <w:i/>
                <w:iCs/>
                <w:sz w:val="22"/>
                <w:szCs w:val="22"/>
              </w:rPr>
              <w:t xml:space="preserve">ana </w:t>
            </w:r>
            <w:proofErr w:type="spellStart"/>
            <w:r w:rsidRPr="00C5687E">
              <w:rPr>
                <w:rFonts w:cstheme="majorBidi"/>
                <w:i/>
                <w:iCs/>
                <w:sz w:val="22"/>
                <w:szCs w:val="22"/>
              </w:rPr>
              <w:t>temrim</w:t>
            </w:r>
            <w:proofErr w:type="spellEnd"/>
          </w:p>
        </w:tc>
      </w:tr>
      <w:tr w:rsidR="005A5A48" w:rsidRPr="00A47B88" w14:paraId="3C3E002B" w14:textId="77777777" w:rsidTr="005A5A48">
        <w:tc>
          <w:tcPr>
            <w:tcW w:w="3962" w:type="dxa"/>
          </w:tcPr>
          <w:p w14:paraId="27F71A09" w14:textId="77777777" w:rsidR="005A5A48" w:rsidRPr="00C5687E" w:rsidRDefault="005A5A48" w:rsidP="00C5687E">
            <w:pPr>
              <w:ind w:firstLine="31"/>
              <w:rPr>
                <w:rFonts w:cstheme="majorBidi"/>
                <w:sz w:val="22"/>
                <w:szCs w:val="22"/>
                <w:rtl/>
              </w:rPr>
            </w:pPr>
            <w:r w:rsidRPr="00C5687E">
              <w:rPr>
                <w:rFonts w:cstheme="majorBidi"/>
                <w:sz w:val="22"/>
                <w:szCs w:val="22"/>
                <w:vertAlign w:val="superscript"/>
              </w:rPr>
              <w:t xml:space="preserve">5 </w:t>
            </w:r>
            <w:r w:rsidRPr="00C5687E">
              <w:rPr>
                <w:rFonts w:cstheme="majorBidi"/>
                <w:sz w:val="22"/>
                <w:szCs w:val="22"/>
              </w:rPr>
              <w:t>of (the statue of) Dumuzi.</w:t>
            </w:r>
          </w:p>
        </w:tc>
        <w:tc>
          <w:tcPr>
            <w:tcW w:w="3966" w:type="dxa"/>
          </w:tcPr>
          <w:p w14:paraId="4DAE8C02" w14:textId="77777777" w:rsidR="005A5A48" w:rsidRPr="00C5687E" w:rsidRDefault="005A5A48" w:rsidP="00C5687E">
            <w:pPr>
              <w:ind w:firstLine="31"/>
              <w:rPr>
                <w:rFonts w:cstheme="majorBidi"/>
                <w:sz w:val="22"/>
                <w:szCs w:val="22"/>
                <w:rtl/>
              </w:rPr>
            </w:pPr>
            <w:proofErr w:type="spellStart"/>
            <w:r w:rsidRPr="00C5687E">
              <w:rPr>
                <w:rFonts w:cstheme="majorBidi"/>
                <w:i/>
                <w:iCs/>
                <w:sz w:val="22"/>
                <w:szCs w:val="22"/>
              </w:rPr>
              <w:t>ša</w:t>
            </w:r>
            <w:proofErr w:type="spellEnd"/>
            <w:r w:rsidRPr="00C5687E">
              <w:rPr>
                <w:rFonts w:cstheme="majorBidi"/>
                <w:i/>
                <w:iCs/>
                <w:sz w:val="22"/>
                <w:szCs w:val="22"/>
              </w:rPr>
              <w:t xml:space="preserve"> </w:t>
            </w:r>
            <w:proofErr w:type="spellStart"/>
            <w:r w:rsidRPr="00C5687E">
              <w:rPr>
                <w:rFonts w:cstheme="majorBidi"/>
                <w:sz w:val="22"/>
                <w:szCs w:val="22"/>
                <w:vertAlign w:val="superscript"/>
              </w:rPr>
              <w:t>D</w:t>
            </w:r>
            <w:r w:rsidRPr="00C5687E">
              <w:rPr>
                <w:rFonts w:cstheme="majorBidi"/>
                <w:i/>
                <w:iCs/>
                <w:sz w:val="22"/>
                <w:szCs w:val="22"/>
              </w:rPr>
              <w:t>Dumuzi</w:t>
            </w:r>
            <w:proofErr w:type="spellEnd"/>
          </w:p>
        </w:tc>
      </w:tr>
      <w:tr w:rsidR="005A5A48" w:rsidRPr="00A47B88" w14:paraId="755D89F1" w14:textId="77777777" w:rsidTr="005A5A48">
        <w:tc>
          <w:tcPr>
            <w:tcW w:w="3962" w:type="dxa"/>
          </w:tcPr>
          <w:p w14:paraId="31994A7D" w14:textId="77777777" w:rsidR="005A5A48" w:rsidRPr="00C5687E" w:rsidRDefault="005A5A48" w:rsidP="00C5687E">
            <w:pPr>
              <w:ind w:firstLine="31"/>
              <w:rPr>
                <w:rFonts w:cstheme="majorBidi"/>
                <w:sz w:val="22"/>
                <w:szCs w:val="22"/>
                <w:rtl/>
              </w:rPr>
            </w:pPr>
            <w:r w:rsidRPr="00C5687E">
              <w:rPr>
                <w:rFonts w:cstheme="majorBidi"/>
                <w:sz w:val="22"/>
                <w:szCs w:val="22"/>
                <w:vertAlign w:val="superscript"/>
              </w:rPr>
              <w:t xml:space="preserve">6 </w:t>
            </w:r>
            <w:r w:rsidRPr="00C5687E">
              <w:rPr>
                <w:rFonts w:cstheme="majorBidi"/>
                <w:sz w:val="22"/>
                <w:szCs w:val="22"/>
              </w:rPr>
              <w:t>Month of Abu, day 19</w:t>
            </w:r>
            <w:r w:rsidRPr="00C5687E">
              <w:rPr>
                <w:rFonts w:cstheme="majorBidi"/>
                <w:sz w:val="22"/>
                <w:szCs w:val="22"/>
                <w:vertAlign w:val="superscript"/>
              </w:rPr>
              <w:t>th</w:t>
            </w:r>
            <w:r w:rsidRPr="00C5687E">
              <w:rPr>
                <w:rFonts w:cstheme="majorBidi"/>
                <w:sz w:val="22"/>
                <w:szCs w:val="22"/>
              </w:rPr>
              <w:t>,</w:t>
            </w:r>
          </w:p>
        </w:tc>
        <w:tc>
          <w:tcPr>
            <w:tcW w:w="3966" w:type="dxa"/>
          </w:tcPr>
          <w:p w14:paraId="60CB6138" w14:textId="77777777" w:rsidR="005A5A48" w:rsidRPr="00C5687E" w:rsidRDefault="005A5A48" w:rsidP="00C5687E">
            <w:pPr>
              <w:ind w:firstLine="31"/>
              <w:rPr>
                <w:rFonts w:cstheme="majorBidi"/>
                <w:sz w:val="22"/>
                <w:szCs w:val="22"/>
                <w:rtl/>
              </w:rPr>
            </w:pPr>
            <w:r w:rsidRPr="00C5687E">
              <w:rPr>
                <w:rFonts w:cstheme="majorBidi"/>
                <w:sz w:val="22"/>
                <w:szCs w:val="22"/>
              </w:rPr>
              <w:t>ITI</w:t>
            </w:r>
            <w:r w:rsidRPr="00C5687E">
              <w:rPr>
                <w:rFonts w:cstheme="majorBidi"/>
                <w:i/>
                <w:iCs/>
                <w:sz w:val="22"/>
                <w:szCs w:val="22"/>
              </w:rPr>
              <w:t xml:space="preserve"> </w:t>
            </w:r>
            <w:proofErr w:type="spellStart"/>
            <w:r w:rsidRPr="00C5687E">
              <w:rPr>
                <w:rFonts w:cstheme="majorBidi"/>
                <w:i/>
                <w:iCs/>
                <w:sz w:val="22"/>
                <w:szCs w:val="22"/>
              </w:rPr>
              <w:t>Abim</w:t>
            </w:r>
            <w:proofErr w:type="spellEnd"/>
            <w:r w:rsidRPr="00C5687E">
              <w:rPr>
                <w:rFonts w:cstheme="majorBidi"/>
                <w:i/>
                <w:iCs/>
                <w:sz w:val="22"/>
                <w:szCs w:val="22"/>
              </w:rPr>
              <w:t xml:space="preserve"> </w:t>
            </w:r>
            <w:r w:rsidRPr="00C5687E">
              <w:rPr>
                <w:rFonts w:cstheme="majorBidi"/>
                <w:sz w:val="22"/>
                <w:szCs w:val="22"/>
              </w:rPr>
              <w:t>UD.19.KAM</w:t>
            </w:r>
          </w:p>
        </w:tc>
      </w:tr>
      <w:tr w:rsidR="005A5A48" w:rsidRPr="00A47B88" w14:paraId="6EB6F355" w14:textId="77777777" w:rsidTr="005A5A48">
        <w:tc>
          <w:tcPr>
            <w:tcW w:w="3962" w:type="dxa"/>
          </w:tcPr>
          <w:p w14:paraId="2081D245" w14:textId="77777777" w:rsidR="005A5A48" w:rsidRPr="00C5687E" w:rsidRDefault="005A5A48" w:rsidP="00C5687E">
            <w:pPr>
              <w:ind w:firstLine="31"/>
              <w:rPr>
                <w:rFonts w:cstheme="majorBidi"/>
                <w:sz w:val="22"/>
                <w:szCs w:val="22"/>
                <w:rtl/>
              </w:rPr>
            </w:pPr>
            <w:r w:rsidRPr="00C5687E">
              <w:rPr>
                <w:rFonts w:cstheme="majorBidi"/>
                <w:sz w:val="22"/>
                <w:szCs w:val="22"/>
                <w:vertAlign w:val="superscript"/>
              </w:rPr>
              <w:t xml:space="preserve">7 </w:t>
            </w:r>
            <w:r w:rsidRPr="00C5687E">
              <w:rPr>
                <w:rFonts w:cstheme="majorBidi"/>
                <w:sz w:val="22"/>
                <w:szCs w:val="22"/>
              </w:rPr>
              <w:t>year in which Zimri-līm</w:t>
            </w:r>
          </w:p>
        </w:tc>
        <w:tc>
          <w:tcPr>
            <w:tcW w:w="3966" w:type="dxa"/>
          </w:tcPr>
          <w:p w14:paraId="2F6C7450" w14:textId="77777777" w:rsidR="005A5A48" w:rsidRPr="00C5687E" w:rsidRDefault="005A5A48" w:rsidP="00C5687E">
            <w:pPr>
              <w:ind w:firstLine="31"/>
              <w:rPr>
                <w:rFonts w:cstheme="majorBidi"/>
                <w:i/>
                <w:iCs/>
                <w:sz w:val="22"/>
                <w:szCs w:val="22"/>
                <w:rtl/>
              </w:rPr>
            </w:pPr>
            <w:r w:rsidRPr="00C5687E">
              <w:rPr>
                <w:rFonts w:cstheme="majorBidi"/>
                <w:sz w:val="22"/>
                <w:szCs w:val="22"/>
              </w:rPr>
              <w:t>MU</w:t>
            </w:r>
            <w:r w:rsidRPr="00C5687E">
              <w:rPr>
                <w:rFonts w:cstheme="majorBidi"/>
                <w:i/>
                <w:iCs/>
                <w:sz w:val="22"/>
                <w:szCs w:val="22"/>
              </w:rPr>
              <w:t xml:space="preserve"> Zimri-Līm</w:t>
            </w:r>
          </w:p>
        </w:tc>
      </w:tr>
      <w:tr w:rsidR="005A5A48" w:rsidRPr="00A47B88" w14:paraId="4710D594" w14:textId="77777777" w:rsidTr="005A5A48">
        <w:tc>
          <w:tcPr>
            <w:tcW w:w="3962" w:type="dxa"/>
          </w:tcPr>
          <w:p w14:paraId="7BA1EEA6" w14:textId="77777777" w:rsidR="005A5A48" w:rsidRPr="00C5687E" w:rsidRDefault="005A5A48" w:rsidP="00C5687E">
            <w:pPr>
              <w:ind w:firstLine="31"/>
              <w:rPr>
                <w:rFonts w:cstheme="majorBidi"/>
                <w:sz w:val="22"/>
                <w:szCs w:val="22"/>
                <w:rtl/>
              </w:rPr>
            </w:pPr>
            <w:r w:rsidRPr="00C5687E">
              <w:rPr>
                <w:rFonts w:cstheme="majorBidi"/>
                <w:sz w:val="22"/>
                <w:szCs w:val="22"/>
                <w:vertAlign w:val="superscript"/>
              </w:rPr>
              <w:t xml:space="preserve">8 </w:t>
            </w:r>
            <w:r w:rsidRPr="00C5687E">
              <w:rPr>
                <w:rFonts w:cstheme="majorBidi"/>
                <w:sz w:val="22"/>
                <w:szCs w:val="22"/>
              </w:rPr>
              <w:t xml:space="preserve">offered a great </w:t>
            </w:r>
            <w:proofErr w:type="spellStart"/>
            <w:r w:rsidRPr="00C5687E">
              <w:rPr>
                <w:rFonts w:cstheme="majorBidi"/>
                <w:sz w:val="22"/>
                <w:szCs w:val="22"/>
              </w:rPr>
              <w:t>th</w:t>
            </w:r>
            <w:proofErr w:type="spellEnd"/>
            <w:r w:rsidRPr="00C5687E">
              <w:rPr>
                <w:rFonts w:cstheme="majorBidi"/>
                <w:sz w:val="22"/>
                <w:szCs w:val="22"/>
              </w:rPr>
              <w:t>[</w:t>
            </w:r>
            <w:proofErr w:type="spellStart"/>
            <w:r w:rsidRPr="00C5687E">
              <w:rPr>
                <w:rFonts w:cstheme="majorBidi"/>
                <w:sz w:val="22"/>
                <w:szCs w:val="22"/>
              </w:rPr>
              <w:t>ro</w:t>
            </w:r>
            <w:proofErr w:type="spellEnd"/>
            <w:r w:rsidRPr="00C5687E">
              <w:rPr>
                <w:rFonts w:cstheme="majorBidi"/>
                <w:sz w:val="22"/>
                <w:szCs w:val="22"/>
              </w:rPr>
              <w:t>]ne for &lt;</w:t>
            </w:r>
            <w:proofErr w:type="spellStart"/>
            <w:r w:rsidRPr="00C5687E">
              <w:rPr>
                <w:rFonts w:cstheme="majorBidi"/>
                <w:sz w:val="22"/>
                <w:szCs w:val="22"/>
              </w:rPr>
              <w:t>Šamaš</w:t>
            </w:r>
            <w:proofErr w:type="spellEnd"/>
            <w:r w:rsidRPr="00C5687E">
              <w:rPr>
                <w:rFonts w:cstheme="majorBidi"/>
                <w:sz w:val="22"/>
                <w:szCs w:val="22"/>
              </w:rPr>
              <w:t>&gt; (=4</w:t>
            </w:r>
            <w:r w:rsidRPr="00C5687E">
              <w:rPr>
                <w:rFonts w:cstheme="majorBidi"/>
                <w:sz w:val="22"/>
                <w:szCs w:val="22"/>
                <w:vertAlign w:val="superscript"/>
              </w:rPr>
              <w:t>th</w:t>
            </w:r>
            <w:r w:rsidRPr="00C5687E">
              <w:rPr>
                <w:rFonts w:cstheme="majorBidi"/>
                <w:sz w:val="22"/>
                <w:szCs w:val="22"/>
              </w:rPr>
              <w:t xml:space="preserve"> year of Zimri-Līm).</w:t>
            </w:r>
          </w:p>
        </w:tc>
        <w:tc>
          <w:tcPr>
            <w:tcW w:w="3966" w:type="dxa"/>
          </w:tcPr>
          <w:p w14:paraId="0E4D505E" w14:textId="77777777" w:rsidR="005A5A48" w:rsidRPr="00C5687E" w:rsidRDefault="005A5A48" w:rsidP="00C5687E">
            <w:pPr>
              <w:ind w:firstLine="31"/>
              <w:rPr>
                <w:rFonts w:cstheme="majorBidi"/>
                <w:i/>
                <w:iCs/>
                <w:sz w:val="22"/>
                <w:szCs w:val="22"/>
                <w:rtl/>
              </w:rPr>
            </w:pPr>
            <w:r w:rsidRPr="00C5687E">
              <w:rPr>
                <w:rFonts w:cstheme="majorBidi"/>
                <w:sz w:val="22"/>
                <w:szCs w:val="22"/>
                <w:vertAlign w:val="superscript"/>
              </w:rPr>
              <w:t>GIŠ</w:t>
            </w:r>
            <w:r w:rsidRPr="00C5687E">
              <w:rPr>
                <w:rFonts w:cstheme="majorBidi"/>
                <w:sz w:val="22"/>
                <w:szCs w:val="22"/>
              </w:rPr>
              <w:t>G[U.Z]A GAL</w:t>
            </w:r>
            <w:r w:rsidRPr="00C5687E">
              <w:rPr>
                <w:rFonts w:cstheme="majorBidi"/>
                <w:i/>
                <w:iCs/>
                <w:sz w:val="22"/>
                <w:szCs w:val="22"/>
              </w:rPr>
              <w:t xml:space="preserve"> ana &lt;</w:t>
            </w:r>
            <w:r w:rsidRPr="00C5687E">
              <w:rPr>
                <w:rFonts w:cstheme="majorBidi"/>
                <w:sz w:val="22"/>
                <w:szCs w:val="22"/>
                <w:vertAlign w:val="superscript"/>
              </w:rPr>
              <w:t>D</w:t>
            </w:r>
            <w:r w:rsidRPr="00C5687E">
              <w:rPr>
                <w:rFonts w:cstheme="majorBidi"/>
                <w:sz w:val="22"/>
                <w:szCs w:val="22"/>
              </w:rPr>
              <w:t>UTU</w:t>
            </w:r>
            <w:r w:rsidRPr="00C5687E">
              <w:rPr>
                <w:rFonts w:cstheme="majorBidi"/>
                <w:i/>
                <w:iCs/>
                <w:sz w:val="22"/>
                <w:szCs w:val="22"/>
              </w:rPr>
              <w:t xml:space="preserve">&gt; </w:t>
            </w:r>
            <w:proofErr w:type="spellStart"/>
            <w:r w:rsidRPr="00C5687E">
              <w:rPr>
                <w:rFonts w:cstheme="majorBidi"/>
                <w:i/>
                <w:iCs/>
                <w:sz w:val="22"/>
                <w:szCs w:val="22"/>
              </w:rPr>
              <w:t>ušē</w:t>
            </w:r>
            <w:proofErr w:type="spellEnd"/>
            <w:r w:rsidRPr="00C5687E">
              <w:rPr>
                <w:rFonts w:cstheme="majorBidi"/>
                <w:sz w:val="22"/>
                <w:szCs w:val="22"/>
              </w:rPr>
              <w:t>[</w:t>
            </w:r>
            <w:r w:rsidRPr="00C5687E">
              <w:rPr>
                <w:rFonts w:cstheme="majorBidi"/>
                <w:i/>
                <w:iCs/>
                <w:sz w:val="22"/>
                <w:szCs w:val="22"/>
              </w:rPr>
              <w:t>l</w:t>
            </w:r>
            <w:r w:rsidRPr="00C5687E">
              <w:rPr>
                <w:rFonts w:cstheme="majorBidi"/>
                <w:sz w:val="22"/>
                <w:szCs w:val="22"/>
              </w:rPr>
              <w:t>]</w:t>
            </w:r>
            <w:r w:rsidRPr="00C5687E">
              <w:rPr>
                <w:rFonts w:cstheme="majorBidi"/>
                <w:i/>
                <w:iCs/>
                <w:sz w:val="22"/>
                <w:szCs w:val="22"/>
              </w:rPr>
              <w:t>û</w:t>
            </w:r>
          </w:p>
        </w:tc>
      </w:tr>
    </w:tbl>
    <w:p w14:paraId="6BDE67C7" w14:textId="77777777" w:rsidR="005A5A48" w:rsidRPr="00A47B88" w:rsidRDefault="005A5A48" w:rsidP="005A5A48">
      <w:pPr>
        <w:bidi/>
        <w:rPr>
          <w:rtl/>
        </w:rPr>
      </w:pPr>
    </w:p>
    <w:p w14:paraId="4E403567" w14:textId="1169F85B" w:rsidR="005A5A48" w:rsidRPr="00A47B88" w:rsidRDefault="005A5A48" w:rsidP="005A5A48">
      <w:pPr>
        <w:rPr>
          <w:rtl/>
        </w:rPr>
      </w:pPr>
      <w:r>
        <w:t xml:space="preserve">When this tablet was first published in the 1970s, </w:t>
      </w:r>
      <w:r w:rsidRPr="0093600D">
        <w:t xml:space="preserve">Georges </w:t>
      </w:r>
      <w:r>
        <w:t xml:space="preserve">Dossin believed the term </w:t>
      </w:r>
      <w:proofErr w:type="spellStart"/>
      <w:r>
        <w:rPr>
          <w:i/>
          <w:iCs/>
        </w:rPr>
        <w:t>temrum</w:t>
      </w:r>
      <w:proofErr w:type="spellEnd"/>
      <w:r>
        <w:rPr>
          <w:i/>
          <w:iCs/>
        </w:rPr>
        <w:t xml:space="preserve"> </w:t>
      </w:r>
      <w:r>
        <w:t xml:space="preserve">(l. 4) to be a hapax legomenon. He therefore interpreted it as “cleansing” – paralleling the “bathing” of </w:t>
      </w:r>
      <w:proofErr w:type="spellStart"/>
      <w:r>
        <w:t>Ištar</w:t>
      </w:r>
      <w:proofErr w:type="spellEnd"/>
      <w:r>
        <w:t xml:space="preserve"> in the previous line. The three Akkadian dictionaries (</w:t>
      </w:r>
      <w:proofErr w:type="spellStart"/>
      <w:r w:rsidRPr="00A362B4">
        <w:rPr>
          <w:i/>
          <w:iCs/>
        </w:rPr>
        <w:t>AHw</w:t>
      </w:r>
      <w:proofErr w:type="spellEnd"/>
      <w:r>
        <w:t xml:space="preserve">, </w:t>
      </w:r>
      <w:r w:rsidRPr="005A5A48">
        <w:rPr>
          <w:i/>
          <w:iCs/>
        </w:rPr>
        <w:t>CAD</w:t>
      </w:r>
      <w:r>
        <w:t xml:space="preserve"> and </w:t>
      </w:r>
      <w:r w:rsidRPr="005A5A48">
        <w:rPr>
          <w:i/>
          <w:iCs/>
        </w:rPr>
        <w:t>C</w:t>
      </w:r>
      <w:r>
        <w:rPr>
          <w:i/>
          <w:iCs/>
        </w:rPr>
        <w:t>D</w:t>
      </w:r>
      <w:r w:rsidRPr="005A5A48">
        <w:rPr>
          <w:i/>
          <w:iCs/>
        </w:rPr>
        <w:t>A</w:t>
      </w:r>
      <w:r>
        <w:t xml:space="preserve">) have offered </w:t>
      </w:r>
      <w:r w:rsidR="00A44A0A">
        <w:t>a different translation:</w:t>
      </w:r>
      <w:r>
        <w:t xml:space="preserve"> on the basis of </w:t>
      </w:r>
      <w:proofErr w:type="spellStart"/>
      <w:r>
        <w:t>Sumero</w:t>
      </w:r>
      <w:proofErr w:type="spellEnd"/>
      <w:r>
        <w:t xml:space="preserve">-Akkadian lexical lists, </w:t>
      </w:r>
      <w:r w:rsidR="00A44A0A">
        <w:t xml:space="preserve">they have concluded that </w:t>
      </w:r>
      <w:r>
        <w:t>the term denotes a cultic meal of roasted fish, or alternatively the coals used for this purpose.</w:t>
      </w:r>
      <w:r>
        <w:rPr>
          <w:vertAlign w:val="superscript"/>
        </w:rPr>
        <w:footnoteReference w:id="44"/>
      </w:r>
      <w:r>
        <w:t xml:space="preserve"> In 2011, however,</w:t>
      </w:r>
      <w:r w:rsidRPr="0084612D">
        <w:t xml:space="preserve"> Antoine</w:t>
      </w:r>
      <w:r>
        <w:t xml:space="preserve"> </w:t>
      </w:r>
      <w:proofErr w:type="spellStart"/>
      <w:r>
        <w:t>Jacquet</w:t>
      </w:r>
      <w:proofErr w:type="spellEnd"/>
      <w:r>
        <w:t xml:space="preserve"> – followed by </w:t>
      </w:r>
      <w:r w:rsidRPr="0084612D">
        <w:t>Dominique</w:t>
      </w:r>
      <w:r>
        <w:t xml:space="preserve"> </w:t>
      </w:r>
      <w:proofErr w:type="spellStart"/>
      <w:r>
        <w:t>Charpin</w:t>
      </w:r>
      <w:proofErr w:type="spellEnd"/>
      <w:r>
        <w:t xml:space="preserve"> – suggested that the term </w:t>
      </w:r>
      <w:proofErr w:type="spellStart"/>
      <w:r>
        <w:rPr>
          <w:i/>
          <w:iCs/>
        </w:rPr>
        <w:t>temrum</w:t>
      </w:r>
      <w:proofErr w:type="spellEnd"/>
      <w:r>
        <w:t xml:space="preserve"> is derived from the Akkadian root </w:t>
      </w:r>
      <w:proofErr w:type="spellStart"/>
      <w:r>
        <w:rPr>
          <w:i/>
          <w:iCs/>
        </w:rPr>
        <w:t>temērum</w:t>
      </w:r>
      <w:proofErr w:type="spellEnd"/>
      <w:r>
        <w:rPr>
          <w:i/>
          <w:iCs/>
        </w:rPr>
        <w:t xml:space="preserve"> </w:t>
      </w:r>
      <w:r>
        <w:t>“to bury</w:t>
      </w:r>
      <w:r w:rsidR="00A44A0A">
        <w:t>.</w:t>
      </w:r>
      <w:r>
        <w:t>”</w:t>
      </w:r>
      <w:r>
        <w:rPr>
          <w:vertAlign w:val="superscript"/>
        </w:rPr>
        <w:footnoteReference w:id="45"/>
      </w:r>
      <w:r>
        <w:t xml:space="preserve"> Since this verb refers to the burial of objects, including figurines and magical paraphernalia, it is particularly appropriate in the context of a funerary ritual </w:t>
      </w:r>
      <w:commentRangeStart w:id="29"/>
      <w:commentRangeStart w:id="30"/>
      <w:commentRangeStart w:id="31"/>
      <w:r w:rsidR="00A44A0A">
        <w:t xml:space="preserve">revolving around </w:t>
      </w:r>
      <w:commentRangeEnd w:id="29"/>
      <w:r w:rsidR="00A44A0A">
        <w:rPr>
          <w:rStyle w:val="CommentReference"/>
        </w:rPr>
        <w:commentReference w:id="29"/>
      </w:r>
      <w:commentRangeEnd w:id="30"/>
      <w:r w:rsidR="00D5729B">
        <w:rPr>
          <w:rStyle w:val="CommentReference"/>
          <w:rtl/>
        </w:rPr>
        <w:commentReference w:id="30"/>
      </w:r>
      <w:commentRangeEnd w:id="31"/>
      <w:r w:rsidR="00BE697F">
        <w:rPr>
          <w:rStyle w:val="CommentReference"/>
        </w:rPr>
        <w:commentReference w:id="31"/>
      </w:r>
      <w:r>
        <w:t xml:space="preserve">Dumuzi’s statue. </w:t>
      </w:r>
    </w:p>
    <w:p w14:paraId="104D90DB" w14:textId="5A13FE61" w:rsidR="005A5A48" w:rsidRDefault="005A5A48" w:rsidP="005A5A48">
      <w:pPr>
        <w:ind w:firstLine="540"/>
      </w:pPr>
      <w:r>
        <w:t>The date appearing on the tablet is Abu 19</w:t>
      </w:r>
      <w:r w:rsidRPr="005A5A48">
        <w:rPr>
          <w:vertAlign w:val="superscript"/>
        </w:rPr>
        <w:t>th</w:t>
      </w:r>
      <w:r>
        <w:t xml:space="preserve">; Abu denotes the fourth month in the economic records from Mari, while epistolary documents from Mari refer to the same month by the name </w:t>
      </w:r>
      <w:r w:rsidR="00A44A0A">
        <w:t>“</w:t>
      </w:r>
      <w:r>
        <w:t>Dumuzi,</w:t>
      </w:r>
      <w:r w:rsidR="00A44A0A">
        <w:t>”</w:t>
      </w:r>
      <w:r>
        <w:t xml:space="preserve"> as was the practice in the Assyrian calendar commonly used in Mari before the reign of Zimri-līm. Since the present document is dated to the fourth year of Zimri-</w:t>
      </w:r>
      <w:r>
        <w:lastRenderedPageBreak/>
        <w:t>līm, it represents in effect the earliest attestation of funerary rituals connected to Dumuzi, rituals held in the fourth and fifth month in Mesopotamia and elsewhere.</w:t>
      </w:r>
      <w:r>
        <w:rPr>
          <w:vertAlign w:val="superscript"/>
        </w:rPr>
        <w:footnoteReference w:id="46"/>
      </w:r>
      <w:r>
        <w:t xml:space="preserve"> </w:t>
      </w:r>
    </w:p>
    <w:p w14:paraId="4C12C493" w14:textId="77777777" w:rsidR="00D5729B" w:rsidRPr="00A47B88" w:rsidRDefault="00D5729B" w:rsidP="005A5A48">
      <w:pPr>
        <w:ind w:firstLine="540"/>
        <w:rPr>
          <w:rtl/>
        </w:rPr>
      </w:pPr>
    </w:p>
    <w:p w14:paraId="0ABACC45" w14:textId="45750A9D" w:rsidR="005A5A48" w:rsidRPr="005A5A48" w:rsidRDefault="005A5A48" w:rsidP="005A5A48">
      <w:pPr>
        <w:pStyle w:val="ListParagraph"/>
        <w:numPr>
          <w:ilvl w:val="0"/>
          <w:numId w:val="4"/>
        </w:numPr>
        <w:spacing w:after="0" w:line="480" w:lineRule="auto"/>
        <w:ind w:left="0" w:firstLine="426"/>
        <w:jc w:val="both"/>
        <w:rPr>
          <w:rFonts w:ascii="Times New Roman" w:hAnsi="Times New Roman" w:cs="David"/>
          <w:sz w:val="24"/>
          <w:szCs w:val="24"/>
          <w:rtl/>
        </w:rPr>
      </w:pPr>
      <w:r w:rsidRPr="005A5A48">
        <w:rPr>
          <w:rFonts w:ascii="Times New Roman" w:hAnsi="Times New Roman" w:cs="David"/>
          <w:sz w:val="24"/>
          <w:szCs w:val="24"/>
        </w:rPr>
        <w:t xml:space="preserve">A ritual in honor of Dumuzi’s return is indicated by </w:t>
      </w:r>
      <w:r>
        <w:rPr>
          <w:rFonts w:ascii="Times New Roman" w:hAnsi="Times New Roman" w:cs="David"/>
          <w:sz w:val="24"/>
          <w:szCs w:val="24"/>
        </w:rPr>
        <w:t>the following tablet,</w:t>
      </w:r>
      <w:r w:rsidRPr="005A5A48">
        <w:rPr>
          <w:rFonts w:ascii="Times New Roman" w:hAnsi="Times New Roman" w:cs="David"/>
          <w:sz w:val="24"/>
          <w:szCs w:val="24"/>
        </w:rPr>
        <w:t xml:space="preserve"> published </w:t>
      </w:r>
      <w:r>
        <w:rPr>
          <w:rFonts w:ascii="Times New Roman" w:hAnsi="Times New Roman" w:cs="David"/>
          <w:sz w:val="24"/>
          <w:szCs w:val="24"/>
        </w:rPr>
        <w:t xml:space="preserve">as no. 14 </w:t>
      </w:r>
      <w:r w:rsidRPr="005A5A48">
        <w:rPr>
          <w:rFonts w:ascii="Times New Roman" w:hAnsi="Times New Roman" w:cs="David"/>
          <w:sz w:val="24"/>
          <w:szCs w:val="24"/>
        </w:rPr>
        <w:t xml:space="preserve">in </w:t>
      </w:r>
      <w:r w:rsidRPr="0077373F">
        <w:rPr>
          <w:rFonts w:ascii="Times New Roman" w:hAnsi="Times New Roman" w:cs="David"/>
          <w:sz w:val="24"/>
          <w:szCs w:val="24"/>
        </w:rPr>
        <w:t>MARI 5</w:t>
      </w:r>
      <w:r>
        <w:rPr>
          <w:rFonts w:ascii="Times New Roman" w:hAnsi="Times New Roman" w:cs="David"/>
          <w:sz w:val="24"/>
          <w:szCs w:val="24"/>
        </w:rPr>
        <w:t xml:space="preserve">, </w:t>
      </w:r>
      <w:r w:rsidRPr="005A5A48">
        <w:rPr>
          <w:rFonts w:ascii="Times New Roman" w:hAnsi="Times New Roman" w:cs="David"/>
          <w:sz w:val="24"/>
          <w:szCs w:val="24"/>
        </w:rPr>
        <w:t>1987:</w:t>
      </w:r>
      <w:r>
        <w:rPr>
          <w:rStyle w:val="FootnoteReference"/>
          <w:rFonts w:ascii="Times New Roman" w:hAnsi="Times New Roman" w:cs="David"/>
          <w:sz w:val="24"/>
          <w:szCs w:val="24"/>
        </w:rPr>
        <w:footnoteReference w:id="47"/>
      </w:r>
    </w:p>
    <w:tbl>
      <w:tblPr>
        <w:tblStyle w:val="TableGrid"/>
        <w:tblW w:w="8647"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972"/>
      </w:tblGrid>
      <w:tr w:rsidR="005A5A48" w:rsidRPr="00C5687E" w14:paraId="02CCC50E" w14:textId="77777777" w:rsidTr="00C5687E">
        <w:tc>
          <w:tcPr>
            <w:tcW w:w="4675" w:type="dxa"/>
          </w:tcPr>
          <w:p w14:paraId="3B3B3B13" w14:textId="77777777" w:rsidR="005A5A48" w:rsidRPr="00C5687E" w:rsidRDefault="005A5A48" w:rsidP="00C5687E">
            <w:pPr>
              <w:ind w:firstLine="21"/>
              <w:rPr>
                <w:rFonts w:cstheme="majorBidi"/>
                <w:sz w:val="22"/>
                <w:szCs w:val="22"/>
                <w:rtl/>
              </w:rPr>
            </w:pPr>
            <w:r w:rsidRPr="00C5687E">
              <w:rPr>
                <w:rFonts w:cstheme="majorBidi"/>
                <w:sz w:val="22"/>
                <w:szCs w:val="22"/>
                <w:vertAlign w:val="superscript"/>
              </w:rPr>
              <w:t xml:space="preserve">1 </w:t>
            </w:r>
            <w:r w:rsidRPr="00C5687E">
              <w:rPr>
                <w:rFonts w:cstheme="majorBidi"/>
                <w:sz w:val="22"/>
                <w:szCs w:val="22"/>
              </w:rPr>
              <w:t xml:space="preserve">½ </w:t>
            </w:r>
            <w:proofErr w:type="spellStart"/>
            <w:r w:rsidRPr="00C5687E">
              <w:rPr>
                <w:rFonts w:cstheme="majorBidi"/>
                <w:sz w:val="22"/>
                <w:szCs w:val="22"/>
              </w:rPr>
              <w:t>qa</w:t>
            </w:r>
            <w:proofErr w:type="spellEnd"/>
            <w:r w:rsidRPr="00C5687E">
              <w:rPr>
                <w:rFonts w:cstheme="majorBidi"/>
                <w:sz w:val="22"/>
                <w:szCs w:val="22"/>
              </w:rPr>
              <w:t xml:space="preserve"> of oil […]</w:t>
            </w:r>
          </w:p>
        </w:tc>
        <w:tc>
          <w:tcPr>
            <w:tcW w:w="3972" w:type="dxa"/>
          </w:tcPr>
          <w:p w14:paraId="6A5610BB" w14:textId="77777777" w:rsidR="005A5A48" w:rsidRPr="00C5687E" w:rsidRDefault="005A5A48" w:rsidP="00C5687E">
            <w:pPr>
              <w:ind w:firstLine="21"/>
              <w:rPr>
                <w:rFonts w:cstheme="majorBidi"/>
                <w:sz w:val="22"/>
                <w:szCs w:val="22"/>
                <w:rtl/>
              </w:rPr>
            </w:pPr>
            <w:r w:rsidRPr="00C5687E">
              <w:rPr>
                <w:rFonts w:cstheme="majorBidi"/>
                <w:sz w:val="22"/>
                <w:szCs w:val="22"/>
              </w:rPr>
              <w:t>½ SÌLA Ì […]</w:t>
            </w:r>
          </w:p>
        </w:tc>
      </w:tr>
      <w:tr w:rsidR="005A5A48" w:rsidRPr="00C5687E" w14:paraId="1E5A6B0D" w14:textId="77777777" w:rsidTr="00C5687E">
        <w:tc>
          <w:tcPr>
            <w:tcW w:w="4675" w:type="dxa"/>
          </w:tcPr>
          <w:p w14:paraId="04B06BE0" w14:textId="77777777" w:rsidR="005A5A48" w:rsidRPr="00C5687E" w:rsidRDefault="005A5A48" w:rsidP="00C5687E">
            <w:pPr>
              <w:ind w:firstLine="21"/>
              <w:rPr>
                <w:rFonts w:cstheme="majorBidi"/>
                <w:sz w:val="22"/>
                <w:szCs w:val="22"/>
                <w:rtl/>
              </w:rPr>
            </w:pPr>
            <w:r w:rsidRPr="00C5687E">
              <w:rPr>
                <w:rFonts w:cstheme="majorBidi"/>
                <w:sz w:val="22"/>
                <w:szCs w:val="22"/>
                <w:vertAlign w:val="superscript"/>
              </w:rPr>
              <w:t xml:space="preserve">2 </w:t>
            </w:r>
            <w:r w:rsidRPr="00C5687E">
              <w:rPr>
                <w:rFonts w:cstheme="majorBidi"/>
                <w:sz w:val="22"/>
                <w:szCs w:val="22"/>
              </w:rPr>
              <w:t xml:space="preserve">for the </w:t>
            </w:r>
            <w:proofErr w:type="spellStart"/>
            <w:r w:rsidRPr="00C5687E">
              <w:rPr>
                <w:rFonts w:cstheme="majorBidi"/>
                <w:i/>
                <w:iCs/>
                <w:sz w:val="22"/>
                <w:szCs w:val="22"/>
              </w:rPr>
              <w:t>gibbum</w:t>
            </w:r>
            <w:proofErr w:type="spellEnd"/>
            <w:r w:rsidRPr="00C5687E">
              <w:rPr>
                <w:rFonts w:cstheme="majorBidi"/>
                <w:sz w:val="22"/>
                <w:szCs w:val="22"/>
              </w:rPr>
              <w:t>-rite.</w:t>
            </w:r>
          </w:p>
        </w:tc>
        <w:tc>
          <w:tcPr>
            <w:tcW w:w="3972" w:type="dxa"/>
          </w:tcPr>
          <w:p w14:paraId="7F273648" w14:textId="77777777" w:rsidR="005A5A48" w:rsidRPr="00C5687E" w:rsidRDefault="005A5A48" w:rsidP="00C5687E">
            <w:pPr>
              <w:ind w:firstLine="21"/>
              <w:rPr>
                <w:rFonts w:cstheme="majorBidi"/>
                <w:sz w:val="22"/>
                <w:szCs w:val="22"/>
                <w:rtl/>
              </w:rPr>
            </w:pPr>
            <w:r w:rsidRPr="00C5687E">
              <w:rPr>
                <w:rFonts w:cstheme="majorBidi"/>
                <w:i/>
                <w:iCs/>
                <w:sz w:val="22"/>
                <w:szCs w:val="22"/>
              </w:rPr>
              <w:t xml:space="preserve">ana </w:t>
            </w:r>
            <w:proofErr w:type="spellStart"/>
            <w:r w:rsidRPr="00C5687E">
              <w:rPr>
                <w:rFonts w:cstheme="majorBidi"/>
                <w:i/>
                <w:iCs/>
                <w:sz w:val="22"/>
                <w:szCs w:val="22"/>
              </w:rPr>
              <w:t>gibbi</w:t>
            </w:r>
            <w:proofErr w:type="spellEnd"/>
            <w:r w:rsidRPr="00C5687E">
              <w:rPr>
                <w:rFonts w:cstheme="majorBidi"/>
                <w:sz w:val="22"/>
                <w:szCs w:val="22"/>
              </w:rPr>
              <w:t>[</w:t>
            </w:r>
            <w:r w:rsidRPr="00C5687E">
              <w:rPr>
                <w:rFonts w:cstheme="majorBidi"/>
                <w:i/>
                <w:iCs/>
                <w:sz w:val="22"/>
                <w:szCs w:val="22"/>
              </w:rPr>
              <w:t>m</w:t>
            </w:r>
            <w:r w:rsidRPr="00C5687E">
              <w:rPr>
                <w:rFonts w:cstheme="majorBidi"/>
                <w:sz w:val="22"/>
                <w:szCs w:val="22"/>
              </w:rPr>
              <w:t>]</w:t>
            </w:r>
          </w:p>
        </w:tc>
      </w:tr>
      <w:tr w:rsidR="005A5A48" w:rsidRPr="00C5687E" w14:paraId="4E8AE4DA" w14:textId="77777777" w:rsidTr="00C5687E">
        <w:tc>
          <w:tcPr>
            <w:tcW w:w="4675" w:type="dxa"/>
          </w:tcPr>
          <w:p w14:paraId="0DC98281" w14:textId="77777777" w:rsidR="005A5A48" w:rsidRPr="00C5687E" w:rsidRDefault="005A5A48" w:rsidP="00C5687E">
            <w:pPr>
              <w:ind w:firstLine="21"/>
              <w:rPr>
                <w:rFonts w:cstheme="majorBidi"/>
                <w:sz w:val="22"/>
                <w:szCs w:val="22"/>
                <w:rtl/>
              </w:rPr>
            </w:pPr>
            <w:r w:rsidRPr="00C5687E">
              <w:rPr>
                <w:rFonts w:cstheme="majorBidi"/>
                <w:sz w:val="22"/>
                <w:szCs w:val="22"/>
                <w:vertAlign w:val="superscript"/>
              </w:rPr>
              <w:t>3</w:t>
            </w:r>
            <w:r w:rsidRPr="00C5687E">
              <w:rPr>
                <w:rFonts w:cstheme="majorBidi"/>
                <w:sz w:val="22"/>
                <w:szCs w:val="22"/>
              </w:rPr>
              <w:t xml:space="preserve"> […]</w:t>
            </w:r>
          </w:p>
        </w:tc>
        <w:tc>
          <w:tcPr>
            <w:tcW w:w="3972" w:type="dxa"/>
          </w:tcPr>
          <w:p w14:paraId="06A04BDC" w14:textId="77777777" w:rsidR="005A5A48" w:rsidRPr="00C5687E" w:rsidRDefault="005A5A48" w:rsidP="00C5687E">
            <w:pPr>
              <w:ind w:firstLine="21"/>
              <w:rPr>
                <w:rFonts w:cstheme="majorBidi"/>
                <w:i/>
                <w:iCs/>
                <w:sz w:val="22"/>
                <w:szCs w:val="22"/>
                <w:rtl/>
              </w:rPr>
            </w:pPr>
            <w:proofErr w:type="spellStart"/>
            <w:r w:rsidRPr="00C5687E">
              <w:rPr>
                <w:rFonts w:cstheme="majorBidi"/>
                <w:i/>
                <w:iCs/>
                <w:sz w:val="22"/>
                <w:szCs w:val="22"/>
              </w:rPr>
              <w:t>ina</w:t>
            </w:r>
            <w:proofErr w:type="spellEnd"/>
            <w:r w:rsidRPr="00C5687E">
              <w:rPr>
                <w:rFonts w:cstheme="majorBidi"/>
                <w:i/>
                <w:iCs/>
                <w:sz w:val="22"/>
                <w:szCs w:val="22"/>
              </w:rPr>
              <w:t xml:space="preserve"> </w:t>
            </w:r>
            <w:proofErr w:type="spellStart"/>
            <w:r w:rsidRPr="00C5687E">
              <w:rPr>
                <w:rFonts w:cstheme="majorBidi"/>
                <w:i/>
                <w:iCs/>
                <w:sz w:val="22"/>
                <w:szCs w:val="22"/>
              </w:rPr>
              <w:t>ḫa</w:t>
            </w:r>
            <w:proofErr w:type="spellEnd"/>
            <w:r w:rsidRPr="00C5687E">
              <w:rPr>
                <w:rFonts w:cstheme="majorBidi"/>
                <w:i/>
                <w:iCs/>
                <w:sz w:val="22"/>
                <w:szCs w:val="22"/>
              </w:rPr>
              <w:t>-x-x-x</w:t>
            </w:r>
          </w:p>
        </w:tc>
      </w:tr>
      <w:tr w:rsidR="005A5A48" w:rsidRPr="00C5687E" w14:paraId="6C065096" w14:textId="77777777" w:rsidTr="00C5687E">
        <w:tc>
          <w:tcPr>
            <w:tcW w:w="4675" w:type="dxa"/>
          </w:tcPr>
          <w:p w14:paraId="417A664C" w14:textId="77777777" w:rsidR="005A5A48" w:rsidRPr="00C5687E" w:rsidRDefault="005A5A48" w:rsidP="00C5687E">
            <w:pPr>
              <w:ind w:firstLine="21"/>
              <w:rPr>
                <w:rFonts w:cstheme="majorBidi"/>
                <w:sz w:val="22"/>
                <w:szCs w:val="22"/>
                <w:rtl/>
              </w:rPr>
            </w:pPr>
            <w:r w:rsidRPr="00C5687E">
              <w:rPr>
                <w:rFonts w:cstheme="majorBidi"/>
                <w:sz w:val="22"/>
                <w:szCs w:val="22"/>
                <w:vertAlign w:val="superscript"/>
              </w:rPr>
              <w:t xml:space="preserve">4 </w:t>
            </w:r>
            <w:r w:rsidRPr="00C5687E">
              <w:rPr>
                <w:rFonts w:cstheme="majorBidi"/>
                <w:sz w:val="22"/>
                <w:szCs w:val="22"/>
              </w:rPr>
              <w:t xml:space="preserve">½ </w:t>
            </w:r>
            <w:proofErr w:type="spellStart"/>
            <w:r w:rsidRPr="00C5687E">
              <w:rPr>
                <w:rFonts w:cstheme="majorBidi"/>
                <w:sz w:val="22"/>
                <w:szCs w:val="22"/>
              </w:rPr>
              <w:t>qa</w:t>
            </w:r>
            <w:proofErr w:type="spellEnd"/>
            <w:r w:rsidRPr="00C5687E">
              <w:rPr>
                <w:rFonts w:cstheme="majorBidi"/>
                <w:sz w:val="22"/>
                <w:szCs w:val="22"/>
              </w:rPr>
              <w:t xml:space="preserve"> of ‘oil of the head’ from Mari </w:t>
            </w:r>
          </w:p>
        </w:tc>
        <w:tc>
          <w:tcPr>
            <w:tcW w:w="3972" w:type="dxa"/>
          </w:tcPr>
          <w:p w14:paraId="0FB3490E" w14:textId="77777777" w:rsidR="005A5A48" w:rsidRPr="00C5687E" w:rsidRDefault="005A5A48" w:rsidP="00C5687E">
            <w:pPr>
              <w:ind w:firstLine="21"/>
              <w:rPr>
                <w:rFonts w:cstheme="majorBidi"/>
                <w:sz w:val="22"/>
                <w:szCs w:val="22"/>
                <w:rtl/>
              </w:rPr>
            </w:pPr>
            <w:r w:rsidRPr="00C5687E">
              <w:rPr>
                <w:rFonts w:cstheme="majorBidi"/>
                <w:sz w:val="22"/>
                <w:szCs w:val="22"/>
              </w:rPr>
              <w:t xml:space="preserve">½ SÌLA Ì.SAG </w:t>
            </w:r>
            <w:proofErr w:type="spellStart"/>
            <w:r w:rsidRPr="00C5687E">
              <w:rPr>
                <w:rFonts w:cstheme="majorBidi"/>
                <w:i/>
                <w:iCs/>
                <w:sz w:val="22"/>
                <w:szCs w:val="22"/>
              </w:rPr>
              <w:t>mārītu</w:t>
            </w:r>
            <w:proofErr w:type="spellEnd"/>
            <w:r w:rsidRPr="00C5687E">
              <w:rPr>
                <w:rFonts w:cstheme="majorBidi"/>
                <w:sz w:val="22"/>
                <w:szCs w:val="22"/>
              </w:rPr>
              <w:t>[</w:t>
            </w:r>
            <w:r w:rsidRPr="00C5687E">
              <w:rPr>
                <w:rFonts w:cstheme="majorBidi"/>
                <w:i/>
                <w:iCs/>
                <w:sz w:val="22"/>
                <w:szCs w:val="22"/>
              </w:rPr>
              <w:t>m</w:t>
            </w:r>
            <w:r w:rsidRPr="00C5687E">
              <w:rPr>
                <w:rFonts w:cstheme="majorBidi"/>
                <w:sz w:val="22"/>
                <w:szCs w:val="22"/>
              </w:rPr>
              <w:t>]</w:t>
            </w:r>
          </w:p>
        </w:tc>
      </w:tr>
      <w:tr w:rsidR="005A5A48" w:rsidRPr="00C5687E" w14:paraId="30D820A6" w14:textId="77777777" w:rsidTr="00C5687E">
        <w:tc>
          <w:tcPr>
            <w:tcW w:w="4675" w:type="dxa"/>
          </w:tcPr>
          <w:p w14:paraId="494E74AA" w14:textId="77777777" w:rsidR="005A5A48" w:rsidRPr="00C5687E" w:rsidRDefault="005A5A48" w:rsidP="00C5687E">
            <w:pPr>
              <w:ind w:firstLine="21"/>
              <w:rPr>
                <w:rFonts w:cstheme="majorBidi"/>
                <w:sz w:val="22"/>
                <w:szCs w:val="22"/>
                <w:rtl/>
              </w:rPr>
            </w:pPr>
            <w:r w:rsidRPr="00C5687E">
              <w:rPr>
                <w:rFonts w:cstheme="majorBidi"/>
                <w:sz w:val="22"/>
                <w:szCs w:val="22"/>
                <w:vertAlign w:val="superscript"/>
              </w:rPr>
              <w:t xml:space="preserve">5 </w:t>
            </w:r>
            <w:r w:rsidRPr="00C5687E">
              <w:rPr>
                <w:rFonts w:cstheme="majorBidi"/>
                <w:sz w:val="22"/>
                <w:szCs w:val="22"/>
              </w:rPr>
              <w:t xml:space="preserve">for </w:t>
            </w:r>
            <w:proofErr w:type="spellStart"/>
            <w:r w:rsidRPr="00C5687E">
              <w:rPr>
                <w:rFonts w:cstheme="majorBidi"/>
                <w:sz w:val="22"/>
                <w:szCs w:val="22"/>
              </w:rPr>
              <w:t>Dumuz</w:t>
            </w:r>
            <w:proofErr w:type="spellEnd"/>
            <w:r w:rsidRPr="00C5687E">
              <w:rPr>
                <w:rFonts w:cstheme="majorBidi"/>
                <w:sz w:val="22"/>
                <w:szCs w:val="22"/>
              </w:rPr>
              <w:t>[</w:t>
            </w:r>
            <w:proofErr w:type="spellStart"/>
            <w:r w:rsidRPr="00C5687E">
              <w:rPr>
                <w:rFonts w:cstheme="majorBidi"/>
                <w:sz w:val="22"/>
                <w:szCs w:val="22"/>
              </w:rPr>
              <w:t>i</w:t>
            </w:r>
            <w:proofErr w:type="spellEnd"/>
            <w:r w:rsidRPr="00C5687E">
              <w:rPr>
                <w:rFonts w:cstheme="majorBidi"/>
                <w:sz w:val="22"/>
                <w:szCs w:val="22"/>
              </w:rPr>
              <w:t>]</w:t>
            </w:r>
          </w:p>
        </w:tc>
        <w:tc>
          <w:tcPr>
            <w:tcW w:w="3972" w:type="dxa"/>
          </w:tcPr>
          <w:p w14:paraId="61DE866E" w14:textId="77777777" w:rsidR="005A5A48" w:rsidRPr="00C5687E" w:rsidRDefault="005A5A48" w:rsidP="00C5687E">
            <w:pPr>
              <w:ind w:firstLine="21"/>
              <w:rPr>
                <w:rFonts w:cstheme="majorBidi"/>
                <w:sz w:val="22"/>
                <w:szCs w:val="22"/>
                <w:rtl/>
              </w:rPr>
            </w:pPr>
            <w:r w:rsidRPr="00C5687E">
              <w:rPr>
                <w:rFonts w:cstheme="majorBidi"/>
                <w:i/>
                <w:iCs/>
                <w:sz w:val="22"/>
                <w:szCs w:val="22"/>
              </w:rPr>
              <w:t xml:space="preserve">ana </w:t>
            </w:r>
            <w:proofErr w:type="spellStart"/>
            <w:r w:rsidRPr="00C5687E">
              <w:rPr>
                <w:rFonts w:cstheme="majorBidi"/>
                <w:sz w:val="22"/>
                <w:szCs w:val="22"/>
                <w:vertAlign w:val="superscript"/>
              </w:rPr>
              <w:t>D</w:t>
            </w:r>
            <w:r w:rsidRPr="00C5687E">
              <w:rPr>
                <w:rFonts w:cstheme="majorBidi"/>
                <w:sz w:val="22"/>
                <w:szCs w:val="22"/>
              </w:rPr>
              <w:t>Dumuz</w:t>
            </w:r>
            <w:proofErr w:type="spellEnd"/>
            <w:r w:rsidRPr="00C5687E">
              <w:rPr>
                <w:rFonts w:cstheme="majorBidi"/>
                <w:sz w:val="22"/>
                <w:szCs w:val="22"/>
              </w:rPr>
              <w:t>[</w:t>
            </w:r>
            <w:proofErr w:type="spellStart"/>
            <w:r w:rsidRPr="00C5687E">
              <w:rPr>
                <w:rFonts w:cstheme="majorBidi"/>
                <w:sz w:val="22"/>
                <w:szCs w:val="22"/>
              </w:rPr>
              <w:t>i</w:t>
            </w:r>
            <w:proofErr w:type="spellEnd"/>
            <w:r w:rsidRPr="00C5687E">
              <w:rPr>
                <w:rFonts w:cstheme="majorBidi"/>
                <w:sz w:val="22"/>
                <w:szCs w:val="22"/>
              </w:rPr>
              <w:t>]</w:t>
            </w:r>
          </w:p>
        </w:tc>
      </w:tr>
      <w:tr w:rsidR="005A5A48" w:rsidRPr="00C5687E" w14:paraId="411914D2" w14:textId="77777777" w:rsidTr="00C5687E">
        <w:tc>
          <w:tcPr>
            <w:tcW w:w="4675" w:type="dxa"/>
          </w:tcPr>
          <w:p w14:paraId="6E694F5A" w14:textId="77777777" w:rsidR="005A5A48" w:rsidRPr="00C5687E" w:rsidRDefault="005A5A48" w:rsidP="00C5687E">
            <w:pPr>
              <w:ind w:firstLine="21"/>
              <w:rPr>
                <w:rFonts w:cstheme="majorBidi"/>
                <w:sz w:val="22"/>
                <w:szCs w:val="22"/>
                <w:rtl/>
              </w:rPr>
            </w:pPr>
            <w:r w:rsidRPr="00C5687E">
              <w:rPr>
                <w:rFonts w:cstheme="majorBidi"/>
                <w:sz w:val="22"/>
                <w:szCs w:val="22"/>
                <w:vertAlign w:val="superscript"/>
              </w:rPr>
              <w:t xml:space="preserve">6 </w:t>
            </w:r>
            <w:r w:rsidRPr="00C5687E">
              <w:rPr>
                <w:rFonts w:cstheme="majorBidi"/>
                <w:sz w:val="22"/>
                <w:szCs w:val="22"/>
              </w:rPr>
              <w:t xml:space="preserve">when he </w:t>
            </w:r>
            <w:proofErr w:type="spellStart"/>
            <w:r w:rsidRPr="00C5687E">
              <w:rPr>
                <w:rFonts w:cstheme="majorBidi"/>
                <w:sz w:val="22"/>
                <w:szCs w:val="22"/>
              </w:rPr>
              <w:t>retu</w:t>
            </w:r>
            <w:proofErr w:type="spellEnd"/>
            <w:r w:rsidRPr="00C5687E">
              <w:rPr>
                <w:rFonts w:cstheme="majorBidi"/>
                <w:sz w:val="22"/>
                <w:szCs w:val="22"/>
              </w:rPr>
              <w:t>[</w:t>
            </w:r>
            <w:proofErr w:type="spellStart"/>
            <w:r w:rsidRPr="00C5687E">
              <w:rPr>
                <w:rFonts w:cstheme="majorBidi"/>
                <w:sz w:val="22"/>
                <w:szCs w:val="22"/>
              </w:rPr>
              <w:t>rn</w:t>
            </w:r>
            <w:proofErr w:type="spellEnd"/>
            <w:r w:rsidRPr="00C5687E">
              <w:rPr>
                <w:rFonts w:cstheme="majorBidi"/>
                <w:sz w:val="22"/>
                <w:szCs w:val="22"/>
              </w:rPr>
              <w:t>]ed.</w:t>
            </w:r>
          </w:p>
        </w:tc>
        <w:tc>
          <w:tcPr>
            <w:tcW w:w="3972" w:type="dxa"/>
          </w:tcPr>
          <w:p w14:paraId="591621BC" w14:textId="77777777" w:rsidR="005A5A48" w:rsidRPr="00C5687E" w:rsidRDefault="005A5A48" w:rsidP="00C5687E">
            <w:pPr>
              <w:ind w:firstLine="21"/>
              <w:rPr>
                <w:rFonts w:cstheme="majorBidi"/>
                <w:sz w:val="22"/>
                <w:szCs w:val="22"/>
                <w:rtl/>
              </w:rPr>
            </w:pPr>
            <w:proofErr w:type="spellStart"/>
            <w:r w:rsidRPr="00C5687E">
              <w:rPr>
                <w:rFonts w:cstheme="majorBidi"/>
                <w:i/>
                <w:iCs/>
                <w:sz w:val="22"/>
                <w:szCs w:val="22"/>
              </w:rPr>
              <w:t>inūma</w:t>
            </w:r>
            <w:proofErr w:type="spellEnd"/>
            <w:r w:rsidRPr="00C5687E">
              <w:rPr>
                <w:rFonts w:cstheme="majorBidi"/>
                <w:i/>
                <w:iCs/>
                <w:sz w:val="22"/>
                <w:szCs w:val="22"/>
              </w:rPr>
              <w:t xml:space="preserve"> </w:t>
            </w:r>
            <w:proofErr w:type="spellStart"/>
            <w:r w:rsidRPr="00C5687E">
              <w:rPr>
                <w:rFonts w:cstheme="majorBidi"/>
                <w:i/>
                <w:iCs/>
                <w:sz w:val="22"/>
                <w:szCs w:val="22"/>
              </w:rPr>
              <w:t>itu</w:t>
            </w:r>
            <w:proofErr w:type="spellEnd"/>
            <w:r w:rsidRPr="00C5687E">
              <w:rPr>
                <w:rFonts w:cstheme="majorBidi"/>
                <w:sz w:val="22"/>
                <w:szCs w:val="22"/>
              </w:rPr>
              <w:t>[</w:t>
            </w:r>
            <w:proofErr w:type="spellStart"/>
            <w:r w:rsidRPr="00C5687E">
              <w:rPr>
                <w:rFonts w:cstheme="majorBidi"/>
                <w:i/>
                <w:iCs/>
                <w:sz w:val="22"/>
                <w:szCs w:val="22"/>
              </w:rPr>
              <w:t>rru</w:t>
            </w:r>
            <w:proofErr w:type="spellEnd"/>
            <w:r w:rsidRPr="00C5687E">
              <w:rPr>
                <w:rFonts w:cstheme="majorBidi"/>
                <w:sz w:val="22"/>
                <w:szCs w:val="22"/>
              </w:rPr>
              <w:t>]</w:t>
            </w:r>
          </w:p>
        </w:tc>
      </w:tr>
      <w:tr w:rsidR="005A5A48" w:rsidRPr="00C5687E" w14:paraId="6A509336" w14:textId="77777777" w:rsidTr="00C5687E">
        <w:tc>
          <w:tcPr>
            <w:tcW w:w="4675" w:type="dxa"/>
          </w:tcPr>
          <w:p w14:paraId="7A4088DD" w14:textId="77777777" w:rsidR="005A5A48" w:rsidRPr="00C5687E" w:rsidRDefault="005A5A48" w:rsidP="00C5687E">
            <w:pPr>
              <w:ind w:firstLine="21"/>
              <w:rPr>
                <w:rFonts w:cstheme="majorBidi"/>
                <w:sz w:val="22"/>
                <w:szCs w:val="22"/>
                <w:rtl/>
              </w:rPr>
            </w:pPr>
            <w:r w:rsidRPr="00C5687E">
              <w:rPr>
                <w:rFonts w:cstheme="majorBidi"/>
                <w:sz w:val="22"/>
                <w:szCs w:val="22"/>
                <w:vertAlign w:val="superscript"/>
              </w:rPr>
              <w:t xml:space="preserve">7 </w:t>
            </w:r>
            <w:r w:rsidRPr="00C5687E">
              <w:rPr>
                <w:rFonts w:cstheme="majorBidi"/>
                <w:sz w:val="22"/>
                <w:szCs w:val="22"/>
              </w:rPr>
              <w:t xml:space="preserve">Month </w:t>
            </w:r>
            <w:proofErr w:type="spellStart"/>
            <w:r w:rsidRPr="00C5687E">
              <w:rPr>
                <w:rFonts w:cstheme="majorBidi"/>
                <w:i/>
                <w:iCs/>
                <w:sz w:val="22"/>
                <w:szCs w:val="22"/>
              </w:rPr>
              <w:t>Bēlet</w:t>
            </w:r>
            <w:proofErr w:type="spellEnd"/>
            <w:r w:rsidRPr="00C5687E">
              <w:rPr>
                <w:rFonts w:cstheme="majorBidi"/>
                <w:i/>
                <w:iCs/>
                <w:sz w:val="22"/>
                <w:szCs w:val="22"/>
              </w:rPr>
              <w:t>-b</w:t>
            </w:r>
            <w:r w:rsidRPr="00C5687E">
              <w:rPr>
                <w:rFonts w:cstheme="majorBidi"/>
                <w:sz w:val="22"/>
                <w:szCs w:val="22"/>
              </w:rPr>
              <w:t>[</w:t>
            </w:r>
            <w:proofErr w:type="spellStart"/>
            <w:r w:rsidRPr="00C5687E">
              <w:rPr>
                <w:rFonts w:cstheme="majorBidi"/>
                <w:i/>
                <w:iCs/>
                <w:sz w:val="22"/>
                <w:szCs w:val="22"/>
              </w:rPr>
              <w:t>īri</w:t>
            </w:r>
            <w:proofErr w:type="spellEnd"/>
            <w:r w:rsidRPr="00C5687E">
              <w:rPr>
                <w:rFonts w:cstheme="majorBidi"/>
                <w:sz w:val="22"/>
                <w:szCs w:val="22"/>
              </w:rPr>
              <w:t>],</w:t>
            </w:r>
          </w:p>
        </w:tc>
        <w:tc>
          <w:tcPr>
            <w:tcW w:w="3972" w:type="dxa"/>
          </w:tcPr>
          <w:p w14:paraId="18CF788E" w14:textId="77777777" w:rsidR="005A5A48" w:rsidRPr="00C5687E" w:rsidRDefault="005A5A48" w:rsidP="00C5687E">
            <w:pPr>
              <w:ind w:firstLine="21"/>
              <w:rPr>
                <w:rFonts w:cstheme="majorBidi"/>
                <w:sz w:val="22"/>
                <w:szCs w:val="22"/>
                <w:rtl/>
              </w:rPr>
            </w:pPr>
            <w:r w:rsidRPr="00C5687E">
              <w:rPr>
                <w:rFonts w:cstheme="majorBidi"/>
                <w:sz w:val="22"/>
                <w:szCs w:val="22"/>
              </w:rPr>
              <w:t xml:space="preserve">ITI </w:t>
            </w:r>
            <w:r w:rsidRPr="00C5687E">
              <w:rPr>
                <w:rFonts w:cstheme="majorBidi"/>
                <w:sz w:val="22"/>
                <w:szCs w:val="22"/>
                <w:vertAlign w:val="superscript"/>
              </w:rPr>
              <w:t>d</w:t>
            </w:r>
            <w:r w:rsidRPr="00C5687E">
              <w:rPr>
                <w:rFonts w:cstheme="majorBidi"/>
                <w:i/>
                <w:iCs/>
                <w:sz w:val="22"/>
                <w:szCs w:val="22"/>
              </w:rPr>
              <w:t xml:space="preserve"> </w:t>
            </w:r>
            <w:proofErr w:type="spellStart"/>
            <w:r w:rsidRPr="00C5687E">
              <w:rPr>
                <w:rFonts w:cstheme="majorBidi"/>
                <w:i/>
                <w:iCs/>
                <w:sz w:val="22"/>
                <w:szCs w:val="22"/>
              </w:rPr>
              <w:t>Bēlet</w:t>
            </w:r>
            <w:proofErr w:type="spellEnd"/>
            <w:r w:rsidRPr="00C5687E">
              <w:rPr>
                <w:rFonts w:cstheme="majorBidi"/>
                <w:sz w:val="22"/>
                <w:szCs w:val="22"/>
              </w:rPr>
              <w:t>-</w:t>
            </w:r>
            <w:r w:rsidRPr="00C5687E">
              <w:rPr>
                <w:rFonts w:cstheme="majorBidi"/>
                <w:i/>
                <w:iCs/>
                <w:sz w:val="22"/>
                <w:szCs w:val="22"/>
              </w:rPr>
              <w:t>b</w:t>
            </w:r>
            <w:r w:rsidRPr="00C5687E">
              <w:rPr>
                <w:rFonts w:cstheme="majorBidi"/>
                <w:sz w:val="22"/>
                <w:szCs w:val="22"/>
              </w:rPr>
              <w:t>[</w:t>
            </w:r>
            <w:proofErr w:type="spellStart"/>
            <w:r w:rsidRPr="00C5687E">
              <w:rPr>
                <w:rFonts w:cstheme="majorBidi"/>
                <w:i/>
                <w:iCs/>
                <w:sz w:val="22"/>
                <w:szCs w:val="22"/>
              </w:rPr>
              <w:t>īri</w:t>
            </w:r>
            <w:proofErr w:type="spellEnd"/>
            <w:r w:rsidRPr="00C5687E">
              <w:rPr>
                <w:rFonts w:cstheme="majorBidi"/>
                <w:sz w:val="22"/>
                <w:szCs w:val="22"/>
              </w:rPr>
              <w:t>]</w:t>
            </w:r>
          </w:p>
        </w:tc>
      </w:tr>
      <w:tr w:rsidR="005A5A48" w:rsidRPr="00C5687E" w14:paraId="596D3B51" w14:textId="77777777" w:rsidTr="00C5687E">
        <w:tc>
          <w:tcPr>
            <w:tcW w:w="4675" w:type="dxa"/>
          </w:tcPr>
          <w:p w14:paraId="302C5E3A" w14:textId="77777777" w:rsidR="005A5A48" w:rsidRPr="00C5687E" w:rsidRDefault="005A5A48" w:rsidP="00C5687E">
            <w:pPr>
              <w:ind w:firstLine="21"/>
              <w:rPr>
                <w:rFonts w:cstheme="majorBidi"/>
                <w:sz w:val="22"/>
                <w:szCs w:val="22"/>
                <w:rtl/>
              </w:rPr>
            </w:pPr>
            <w:r w:rsidRPr="00C5687E">
              <w:rPr>
                <w:rFonts w:cstheme="majorBidi"/>
                <w:sz w:val="22"/>
                <w:szCs w:val="22"/>
                <w:vertAlign w:val="superscript"/>
              </w:rPr>
              <w:t xml:space="preserve">8 </w:t>
            </w:r>
            <w:r w:rsidRPr="00C5687E">
              <w:rPr>
                <w:rFonts w:cstheme="majorBidi"/>
                <w:sz w:val="22"/>
                <w:szCs w:val="22"/>
              </w:rPr>
              <w:t xml:space="preserve">day 9, </w:t>
            </w:r>
          </w:p>
        </w:tc>
        <w:tc>
          <w:tcPr>
            <w:tcW w:w="3972" w:type="dxa"/>
          </w:tcPr>
          <w:p w14:paraId="3127A838" w14:textId="77777777" w:rsidR="005A5A48" w:rsidRPr="00C5687E" w:rsidRDefault="005A5A48" w:rsidP="00C5687E">
            <w:pPr>
              <w:ind w:firstLine="21"/>
              <w:rPr>
                <w:rFonts w:cstheme="majorBidi"/>
                <w:sz w:val="22"/>
                <w:szCs w:val="22"/>
              </w:rPr>
            </w:pPr>
            <w:r w:rsidRPr="00C5687E">
              <w:rPr>
                <w:rFonts w:cstheme="majorBidi"/>
                <w:sz w:val="22"/>
                <w:szCs w:val="22"/>
              </w:rPr>
              <w:t>UD 9[.KAM]</w:t>
            </w:r>
          </w:p>
        </w:tc>
      </w:tr>
      <w:tr w:rsidR="005A5A48" w:rsidRPr="00C5687E" w14:paraId="22A7E51E" w14:textId="77777777" w:rsidTr="00C5687E">
        <w:tc>
          <w:tcPr>
            <w:tcW w:w="4675" w:type="dxa"/>
          </w:tcPr>
          <w:p w14:paraId="4E897D7F" w14:textId="77777777" w:rsidR="005A5A48" w:rsidRPr="00C5687E" w:rsidRDefault="005A5A48" w:rsidP="00C5687E">
            <w:pPr>
              <w:ind w:firstLine="21"/>
              <w:rPr>
                <w:rFonts w:cstheme="majorBidi"/>
                <w:sz w:val="22"/>
                <w:szCs w:val="22"/>
                <w:rtl/>
              </w:rPr>
            </w:pPr>
            <w:r w:rsidRPr="00C5687E">
              <w:rPr>
                <w:rFonts w:cstheme="majorBidi"/>
                <w:sz w:val="22"/>
                <w:szCs w:val="22"/>
                <w:vertAlign w:val="superscript"/>
              </w:rPr>
              <w:t>9</w:t>
            </w:r>
            <w:r w:rsidRPr="00C5687E">
              <w:rPr>
                <w:rFonts w:cstheme="majorBidi"/>
                <w:sz w:val="22"/>
                <w:szCs w:val="22"/>
              </w:rPr>
              <w:t xml:space="preserve"> […]</w:t>
            </w:r>
          </w:p>
        </w:tc>
        <w:tc>
          <w:tcPr>
            <w:tcW w:w="3972" w:type="dxa"/>
          </w:tcPr>
          <w:p w14:paraId="0BA060A2" w14:textId="77777777" w:rsidR="005A5A48" w:rsidRPr="00C5687E" w:rsidRDefault="005A5A48" w:rsidP="00C5687E">
            <w:pPr>
              <w:ind w:firstLine="21"/>
              <w:rPr>
                <w:rFonts w:cstheme="majorBidi"/>
                <w:sz w:val="22"/>
                <w:szCs w:val="22"/>
              </w:rPr>
            </w:pPr>
            <w:r w:rsidRPr="00C5687E">
              <w:rPr>
                <w:rFonts w:cstheme="majorBidi"/>
                <w:i/>
                <w:iCs/>
                <w:sz w:val="22"/>
                <w:szCs w:val="22"/>
              </w:rPr>
              <w:t xml:space="preserve">li-mu </w:t>
            </w:r>
            <w:r w:rsidRPr="00C5687E">
              <w:rPr>
                <w:rFonts w:cstheme="majorBidi"/>
                <w:sz w:val="22"/>
                <w:szCs w:val="22"/>
              </w:rPr>
              <w:t>[…]</w:t>
            </w:r>
          </w:p>
        </w:tc>
      </w:tr>
    </w:tbl>
    <w:p w14:paraId="1E0D8791" w14:textId="77777777" w:rsidR="005A5A48" w:rsidRPr="00A47B88" w:rsidRDefault="005A5A48" w:rsidP="005A5A48">
      <w:pPr>
        <w:bidi/>
        <w:ind w:firstLine="540"/>
        <w:rPr>
          <w:rtl/>
        </w:rPr>
      </w:pPr>
    </w:p>
    <w:p w14:paraId="08168D16" w14:textId="29697594" w:rsidR="005A5A48" w:rsidRPr="00A47B88" w:rsidRDefault="005A5A48" w:rsidP="00C5687E">
      <w:pPr>
        <w:ind w:firstLine="0"/>
        <w:rPr>
          <w:rtl/>
        </w:rPr>
      </w:pPr>
      <w:r>
        <w:t xml:space="preserve">The conclusion that this document refers to the return of Dumuzi from the land of the dead is based on lines 9-10: </w:t>
      </w:r>
      <w:r>
        <w:rPr>
          <w:i/>
          <w:iCs/>
        </w:rPr>
        <w:t xml:space="preserve">ana Dumuzi </w:t>
      </w:r>
      <w:proofErr w:type="spellStart"/>
      <w:r>
        <w:rPr>
          <w:i/>
          <w:iCs/>
        </w:rPr>
        <w:t>inūma</w:t>
      </w:r>
      <w:proofErr w:type="spellEnd"/>
      <w:r>
        <w:rPr>
          <w:i/>
          <w:iCs/>
        </w:rPr>
        <w:t xml:space="preserve"> </w:t>
      </w:r>
      <w:proofErr w:type="spellStart"/>
      <w:r>
        <w:rPr>
          <w:i/>
          <w:iCs/>
        </w:rPr>
        <w:t>itu</w:t>
      </w:r>
      <w:proofErr w:type="spellEnd"/>
      <w:r>
        <w:t>[</w:t>
      </w:r>
      <w:proofErr w:type="spellStart"/>
      <w:r>
        <w:rPr>
          <w:i/>
          <w:iCs/>
        </w:rPr>
        <w:t>rru</w:t>
      </w:r>
      <w:proofErr w:type="spellEnd"/>
      <w:r>
        <w:t>].</w:t>
      </w:r>
      <w:r>
        <w:rPr>
          <w:vertAlign w:val="superscript"/>
        </w:rPr>
        <w:footnoteReference w:id="48"/>
      </w:r>
      <w:r>
        <w:t xml:space="preserve"> The root</w:t>
      </w:r>
      <w:r>
        <w:rPr>
          <w:i/>
          <w:iCs/>
        </w:rPr>
        <w:t xml:space="preserve"> </w:t>
      </w:r>
      <w:proofErr w:type="spellStart"/>
      <w:r>
        <w:rPr>
          <w:i/>
          <w:iCs/>
        </w:rPr>
        <w:t>târu</w:t>
      </w:r>
      <w:proofErr w:type="spellEnd"/>
      <w:r>
        <w:t xml:space="preserve"> (here in the G present) was used by </w:t>
      </w:r>
      <w:proofErr w:type="spellStart"/>
      <w:r>
        <w:t>Ḫammi-ištamar</w:t>
      </w:r>
      <w:proofErr w:type="spellEnd"/>
      <w:r>
        <w:t xml:space="preserve"> to describe Dumuzi’s resurrection, and – as mentioned above – is part of the common Akkadian appellation </w:t>
      </w:r>
      <w:r w:rsidR="00A44A0A">
        <w:t xml:space="preserve">for </w:t>
      </w:r>
      <w:r>
        <w:t xml:space="preserve">the netherworld </w:t>
      </w:r>
      <w:proofErr w:type="spellStart"/>
      <w:r>
        <w:rPr>
          <w:i/>
          <w:iCs/>
        </w:rPr>
        <w:t>erṣet</w:t>
      </w:r>
      <w:proofErr w:type="spellEnd"/>
      <w:r>
        <w:rPr>
          <w:i/>
          <w:iCs/>
        </w:rPr>
        <w:t>/</w:t>
      </w:r>
      <w:proofErr w:type="spellStart"/>
      <w:r>
        <w:rPr>
          <w:i/>
          <w:iCs/>
        </w:rPr>
        <w:t>m</w:t>
      </w:r>
      <w:r>
        <w:rPr>
          <w:rFonts w:cs="Times New Roman"/>
          <w:i/>
          <w:iCs/>
        </w:rPr>
        <w:t>ā</w:t>
      </w:r>
      <w:r>
        <w:rPr>
          <w:i/>
          <w:iCs/>
        </w:rPr>
        <w:t>t</w:t>
      </w:r>
      <w:proofErr w:type="spellEnd"/>
      <w:r>
        <w:rPr>
          <w:i/>
          <w:iCs/>
        </w:rPr>
        <w:t xml:space="preserve"> </w:t>
      </w:r>
      <w:proofErr w:type="spellStart"/>
      <w:r>
        <w:rPr>
          <w:i/>
          <w:iCs/>
        </w:rPr>
        <w:t>lā</w:t>
      </w:r>
      <w:proofErr w:type="spellEnd"/>
      <w:r>
        <w:rPr>
          <w:i/>
          <w:iCs/>
        </w:rPr>
        <w:t xml:space="preserve"> </w:t>
      </w:r>
      <w:proofErr w:type="spellStart"/>
      <w:r>
        <w:rPr>
          <w:i/>
          <w:iCs/>
        </w:rPr>
        <w:t>târi</w:t>
      </w:r>
      <w:proofErr w:type="spellEnd"/>
      <w:r>
        <w:t xml:space="preserve">. According to this </w:t>
      </w:r>
      <w:r>
        <w:lastRenderedPageBreak/>
        <w:t xml:space="preserve">interpretation, the present document is not only the </w:t>
      </w:r>
      <w:r>
        <w:rPr>
          <w:i/>
          <w:iCs/>
        </w:rPr>
        <w:t>earliest</w:t>
      </w:r>
      <w:r>
        <w:t xml:space="preserve"> evidence of a ceremony held in honor of Dumuzi’s return from the netherworld, but the </w:t>
      </w:r>
      <w:r>
        <w:rPr>
          <w:i/>
          <w:iCs/>
        </w:rPr>
        <w:t>only</w:t>
      </w:r>
      <w:r>
        <w:t xml:space="preserve"> evidence of such a ceremony being held in Mesopotamia or its neighboring regions.</w:t>
      </w:r>
      <w:r>
        <w:rPr>
          <w:rStyle w:val="FootnoteReference"/>
        </w:rPr>
        <w:footnoteReference w:id="49"/>
      </w:r>
      <w:r>
        <w:t xml:space="preserve"> </w:t>
      </w:r>
    </w:p>
    <w:p w14:paraId="642F3C70" w14:textId="79893831" w:rsidR="005A5A48" w:rsidRPr="00A47B88" w:rsidRDefault="005A5A48" w:rsidP="005A5A48">
      <w:pPr>
        <w:ind w:firstLine="429"/>
        <w:rPr>
          <w:rFonts w:eastAsia="Calibri"/>
          <w:rtl/>
        </w:rPr>
      </w:pPr>
      <w:r>
        <w:rPr>
          <w:rFonts w:eastAsia="Calibri"/>
        </w:rPr>
        <w:t xml:space="preserve">These two records thus reinforce the evidence from </w:t>
      </w:r>
      <w:proofErr w:type="spellStart"/>
      <w:r>
        <w:rPr>
          <w:rFonts w:eastAsia="Calibri"/>
        </w:rPr>
        <w:t>Ḫammi-ištamar’s</w:t>
      </w:r>
      <w:proofErr w:type="spellEnd"/>
      <w:r>
        <w:rPr>
          <w:rFonts w:eastAsia="Calibri"/>
        </w:rPr>
        <w:t xml:space="preserve"> letter – </w:t>
      </w:r>
      <w:commentRangeStart w:id="32"/>
      <w:commentRangeStart w:id="33"/>
      <w:commentRangeStart w:id="34"/>
      <w:r>
        <w:rPr>
          <w:rFonts w:eastAsia="Calibri"/>
        </w:rPr>
        <w:t>that the divinity referred to in Mari as Dumuzi was characterized as a dying and rising god, and that his worship was part of the yearly cycle of the temple rite</w:t>
      </w:r>
      <w:commentRangeEnd w:id="32"/>
      <w:r w:rsidR="002A33B9">
        <w:rPr>
          <w:rStyle w:val="CommentReference"/>
        </w:rPr>
        <w:commentReference w:id="32"/>
      </w:r>
      <w:commentRangeEnd w:id="33"/>
      <w:r w:rsidR="00D5729B">
        <w:rPr>
          <w:rStyle w:val="CommentReference"/>
        </w:rPr>
        <w:commentReference w:id="33"/>
      </w:r>
      <w:commentRangeEnd w:id="34"/>
      <w:r w:rsidR="00563EFB">
        <w:rPr>
          <w:rStyle w:val="CommentReference"/>
          <w:rtl/>
        </w:rPr>
        <w:commentReference w:id="34"/>
      </w:r>
      <w:r>
        <w:rPr>
          <w:rFonts w:eastAsia="Calibri"/>
        </w:rPr>
        <w:t xml:space="preserve">. All of these considerations could also support the premise that in the </w:t>
      </w:r>
      <w:r w:rsidR="00A44A0A">
        <w:rPr>
          <w:rFonts w:eastAsia="Calibri"/>
        </w:rPr>
        <w:t>eighteenth-century</w:t>
      </w:r>
      <w:r>
        <w:rPr>
          <w:rFonts w:eastAsia="Calibri"/>
        </w:rPr>
        <w:t xml:space="preserve"> BCE Dumuzi was considered a dying and rising god throughout Mesopotamia. Nevertheless, the dominance of the Amorite tribes in Mari, </w:t>
      </w:r>
      <w:r w:rsidR="00D5729B">
        <w:rPr>
          <w:rFonts w:eastAsia="Calibri"/>
        </w:rPr>
        <w:t>the</w:t>
      </w:r>
      <w:r w:rsidR="00A44A0A">
        <w:rPr>
          <w:rFonts w:eastAsia="Calibri"/>
        </w:rPr>
        <w:t xml:space="preserve"> location </w:t>
      </w:r>
      <w:r w:rsidR="00D5729B">
        <w:rPr>
          <w:rFonts w:eastAsia="Calibri"/>
        </w:rPr>
        <w:t xml:space="preserve">of Mari </w:t>
      </w:r>
      <w:r>
        <w:rPr>
          <w:rFonts w:eastAsia="Calibri"/>
        </w:rPr>
        <w:t xml:space="preserve">between Mesopotamia and Syria, and the semi-nomadic identity of </w:t>
      </w:r>
      <w:proofErr w:type="spellStart"/>
      <w:r>
        <w:rPr>
          <w:rFonts w:eastAsia="Calibri"/>
        </w:rPr>
        <w:t>Ḫammi-ištamar</w:t>
      </w:r>
      <w:proofErr w:type="spellEnd"/>
      <w:r>
        <w:rPr>
          <w:rFonts w:eastAsia="Calibri"/>
        </w:rPr>
        <w:t xml:space="preserve"> on the one hand, as well as the </w:t>
      </w:r>
      <w:r w:rsidR="00A44A0A">
        <w:rPr>
          <w:rFonts w:eastAsia="Calibri"/>
          <w:lang w:val="en-GB"/>
        </w:rPr>
        <w:t>extreme</w:t>
      </w:r>
      <w:r>
        <w:rPr>
          <w:rFonts w:eastAsia="Calibri"/>
          <w:lang w:val="en-GB"/>
        </w:rPr>
        <w:t xml:space="preserve"> </w:t>
      </w:r>
      <w:r>
        <w:rPr>
          <w:rFonts w:eastAsia="Calibri"/>
        </w:rPr>
        <w:t xml:space="preserve">rarity of this mythologem in Mesopotamia on the other hand, may </w:t>
      </w:r>
      <w:r w:rsidR="00A44A0A">
        <w:rPr>
          <w:rFonts w:eastAsia="Calibri"/>
        </w:rPr>
        <w:t>lead to</w:t>
      </w:r>
      <w:r>
        <w:rPr>
          <w:rFonts w:eastAsia="Calibri"/>
        </w:rPr>
        <w:t xml:space="preserve"> a different conclusion</w:t>
      </w:r>
      <w:r w:rsidR="00FB4022">
        <w:rPr>
          <w:rFonts w:eastAsia="Calibri"/>
        </w:rPr>
        <w:t xml:space="preserve"> – that is</w:t>
      </w:r>
      <w:r>
        <w:rPr>
          <w:rFonts w:eastAsia="Calibri"/>
        </w:rPr>
        <w:t xml:space="preserve">, that the presence of this mythologem in Mari is not the result of Mesopotamian influence, </w:t>
      </w:r>
      <w:bookmarkStart w:id="35" w:name="_Hlk67736862"/>
      <w:r>
        <w:rPr>
          <w:rFonts w:eastAsia="Calibri"/>
          <w:lang w:val="en-GB" w:bidi="he-IL"/>
        </w:rPr>
        <w:t>but</w:t>
      </w:r>
      <w:r w:rsidRPr="0097146C">
        <w:rPr>
          <w:rFonts w:eastAsia="Calibri"/>
          <w:lang w:val="en"/>
        </w:rPr>
        <w:t xml:space="preserve"> </w:t>
      </w:r>
      <w:r w:rsidR="00A44A0A">
        <w:rPr>
          <w:rFonts w:eastAsia="Calibri"/>
          <w:lang w:val="en"/>
        </w:rPr>
        <w:t>rather</w:t>
      </w:r>
      <w:r w:rsidR="00A44A0A" w:rsidRPr="0097146C">
        <w:rPr>
          <w:rFonts w:eastAsia="Calibri"/>
          <w:lang w:val="en"/>
        </w:rPr>
        <w:t xml:space="preserve"> </w:t>
      </w:r>
      <w:r w:rsidRPr="0097146C">
        <w:rPr>
          <w:rFonts w:eastAsia="Calibri"/>
          <w:lang w:val="en"/>
        </w:rPr>
        <w:t xml:space="preserve">represents a </w:t>
      </w:r>
      <w:r w:rsidR="00A44A0A">
        <w:rPr>
          <w:rFonts w:eastAsia="Calibri"/>
          <w:lang w:val="en"/>
        </w:rPr>
        <w:t>characteristic of Western-Semitic culture</w:t>
      </w:r>
      <w:r w:rsidRPr="0097146C">
        <w:rPr>
          <w:rFonts w:eastAsia="Calibri"/>
          <w:lang w:val="en"/>
        </w:rPr>
        <w:t xml:space="preserve"> </w:t>
      </w:r>
      <w:r>
        <w:rPr>
          <w:rFonts w:eastAsia="Calibri"/>
          <w:lang w:val="en"/>
        </w:rPr>
        <w:t>brought by</w:t>
      </w:r>
      <w:r w:rsidRPr="0097146C">
        <w:rPr>
          <w:rFonts w:eastAsia="Calibri"/>
          <w:lang w:val="en"/>
        </w:rPr>
        <w:t xml:space="preserve"> the Amorite tribes who settled in Mari</w:t>
      </w:r>
      <w:bookmarkEnd w:id="35"/>
      <w:r>
        <w:rPr>
          <w:rFonts w:eastAsia="Calibri"/>
        </w:rPr>
        <w:t>.</w:t>
      </w:r>
      <w:r>
        <w:rPr>
          <w:rStyle w:val="FootnoteReference"/>
          <w:rFonts w:eastAsia="Calibri"/>
        </w:rPr>
        <w:footnoteReference w:id="50"/>
      </w:r>
    </w:p>
    <w:p w14:paraId="032E7E6A" w14:textId="77777777" w:rsidR="005A5A48" w:rsidRPr="00A47B88" w:rsidRDefault="005A5A48" w:rsidP="005A5A48">
      <w:pPr>
        <w:rPr>
          <w:rFonts w:eastAsia="Calibri"/>
          <w:rtl/>
        </w:rPr>
      </w:pPr>
      <w:r>
        <w:rPr>
          <w:rtl/>
        </w:rPr>
        <w:t xml:space="preserve"> </w:t>
      </w:r>
      <w:bookmarkStart w:id="36" w:name="_Hlk33783773"/>
    </w:p>
    <w:p w14:paraId="29B4674D" w14:textId="2C8B153A" w:rsidR="005A5A48" w:rsidRPr="00A47B88" w:rsidRDefault="005A5A48" w:rsidP="005A5A48">
      <w:pPr>
        <w:pStyle w:val="Heading2"/>
        <w:keepNext w:val="0"/>
        <w:keepLines w:val="0"/>
        <w:numPr>
          <w:ilvl w:val="0"/>
          <w:numId w:val="5"/>
        </w:numPr>
        <w:spacing w:before="0"/>
        <w:ind w:left="0" w:firstLine="0"/>
        <w:contextualSpacing/>
        <w:jc w:val="left"/>
        <w:rPr>
          <w:rtl/>
        </w:rPr>
      </w:pPr>
      <w:r>
        <w:t xml:space="preserve">A </w:t>
      </w:r>
      <w:r w:rsidR="002063DA">
        <w:t>d</w:t>
      </w:r>
      <w:r>
        <w:t xml:space="preserve">ying and </w:t>
      </w:r>
      <w:r w:rsidR="002063DA">
        <w:t>r</w:t>
      </w:r>
      <w:r>
        <w:t>ising God in Ugaritic literature and later writings: A</w:t>
      </w:r>
      <w:r w:rsidRPr="00241532">
        <w:t xml:space="preserve"> brief overview of the textual evidence and </w:t>
      </w:r>
      <w:r w:rsidR="00A44A0A">
        <w:t>relevant</w:t>
      </w:r>
      <w:r w:rsidRPr="00241532">
        <w:t xml:space="preserve"> </w:t>
      </w:r>
      <w:r w:rsidR="00A44A0A">
        <w:t>studies</w:t>
      </w:r>
    </w:p>
    <w:p w14:paraId="08EBB0B2" w14:textId="789053CD" w:rsidR="005A5A48" w:rsidRDefault="005A5A48" w:rsidP="005A5A48">
      <w:pPr>
        <w:rPr>
          <w:rFonts w:eastAsia="Calibri"/>
        </w:rPr>
      </w:pPr>
      <w:r>
        <w:rPr>
          <w:rFonts w:eastAsia="Calibri"/>
        </w:rPr>
        <w:t xml:space="preserve">When the ruins of Ugarit were discovered in 1929, scholarship was still beholden to the anachronistic criteria developed by Frazer for identifying dying and rising gods based on texts </w:t>
      </w:r>
      <w:r>
        <w:rPr>
          <w:rFonts w:eastAsia="Calibri"/>
        </w:rPr>
        <w:lastRenderedPageBreak/>
        <w:t xml:space="preserve">from late antiquity. Therefore, in the early years </w:t>
      </w:r>
      <w:r w:rsidR="00A44A0A">
        <w:rPr>
          <w:rFonts w:eastAsia="Calibri"/>
        </w:rPr>
        <w:t xml:space="preserve">during which </w:t>
      </w:r>
      <w:r>
        <w:rPr>
          <w:rFonts w:eastAsia="Calibri"/>
        </w:rPr>
        <w:t>the Ugaritic Baal Cycle</w:t>
      </w:r>
      <w:r w:rsidR="00A44A0A">
        <w:rPr>
          <w:rFonts w:eastAsia="Calibri"/>
        </w:rPr>
        <w:t xml:space="preserve"> was being deciphered</w:t>
      </w:r>
      <w:r>
        <w:rPr>
          <w:rFonts w:eastAsia="Calibri"/>
        </w:rPr>
        <w:t xml:space="preserve">, scholars maintained that the god Mot – the portrayal of whose murder </w:t>
      </w:r>
      <w:bookmarkStart w:id="37" w:name="_Hlk68070181"/>
      <w:r>
        <w:rPr>
          <w:rFonts w:eastAsia="Calibri"/>
        </w:rPr>
        <w:t>entails the use of agricultural tools (KTU 1.6 II 30-36; V 10-19)</w:t>
      </w:r>
      <w:bookmarkEnd w:id="37"/>
      <w:r>
        <w:rPr>
          <w:rFonts w:eastAsia="Calibri"/>
        </w:rPr>
        <w:t xml:space="preserve"> and whose return after seven years is alluded to (1.6 II 37; V 7-10) – </w:t>
      </w:r>
      <w:r w:rsidR="0060255A">
        <w:rPr>
          <w:rFonts w:eastAsia="Calibri"/>
        </w:rPr>
        <w:t>i</w:t>
      </w:r>
      <w:r>
        <w:rPr>
          <w:rFonts w:eastAsia="Calibri"/>
        </w:rPr>
        <w:t>s an analogue to Tammuz and Adonis.</w:t>
      </w:r>
      <w:r>
        <w:rPr>
          <w:rStyle w:val="FootnoteReference"/>
        </w:rPr>
        <w:footnoteReference w:id="51"/>
      </w:r>
      <w:r>
        <w:rPr>
          <w:rFonts w:eastAsia="Calibri"/>
        </w:rPr>
        <w:t xml:space="preserve"> </w:t>
      </w:r>
    </w:p>
    <w:p w14:paraId="54E65E3A" w14:textId="1994F152" w:rsidR="005A5A48" w:rsidRDefault="005A5A48" w:rsidP="005A5A48">
      <w:pPr>
        <w:ind w:firstLine="284"/>
        <w:rPr>
          <w:ins w:id="38" w:author="Noga Darshan" w:date="2021-03-27T11:56:00Z"/>
          <w:rFonts w:eastAsia="Calibri"/>
        </w:rPr>
      </w:pPr>
      <w:r>
        <w:rPr>
          <w:rFonts w:eastAsia="Calibri"/>
        </w:rPr>
        <w:t>However, as the study of the Baal Cycle proceed</w:t>
      </w:r>
      <w:r w:rsidR="00192646">
        <w:rPr>
          <w:rFonts w:eastAsia="Calibri"/>
        </w:rPr>
        <w:t>ed</w:t>
      </w:r>
      <w:r>
        <w:rPr>
          <w:rFonts w:eastAsia="Calibri"/>
        </w:rPr>
        <w:t xml:space="preserve">, it became clear that this mythologem was much more closely associated with the god Baal, whose </w:t>
      </w:r>
      <w:r w:rsidR="00192646">
        <w:rPr>
          <w:rFonts w:eastAsia="Calibri"/>
        </w:rPr>
        <w:t xml:space="preserve">death </w:t>
      </w:r>
      <w:r>
        <w:rPr>
          <w:rFonts w:eastAsia="Calibri"/>
        </w:rPr>
        <w:t xml:space="preserve">and rising from the dead is </w:t>
      </w:r>
      <w:r w:rsidR="00192646">
        <w:rPr>
          <w:rFonts w:eastAsia="Calibri"/>
          <w:lang w:val="en-GB"/>
        </w:rPr>
        <w:t xml:space="preserve">narrated </w:t>
      </w:r>
      <w:r>
        <w:rPr>
          <w:rFonts w:eastAsia="Calibri"/>
        </w:rPr>
        <w:t xml:space="preserve">throughout </w:t>
      </w:r>
      <w:r w:rsidR="00D5729B">
        <w:rPr>
          <w:rFonts w:eastAsia="Calibri"/>
        </w:rPr>
        <w:t xml:space="preserve">the </w:t>
      </w:r>
      <w:r>
        <w:rPr>
          <w:rFonts w:eastAsia="Calibri"/>
        </w:rPr>
        <w:t>second part of the Cycle.</w:t>
      </w:r>
      <w:r>
        <w:rPr>
          <w:rStyle w:val="FootnoteReference"/>
          <w:rFonts w:eastAsia="Calibri"/>
        </w:rPr>
        <w:footnoteReference w:id="52"/>
      </w:r>
      <w:r>
        <w:rPr>
          <w:rFonts w:eastAsia="Calibri"/>
        </w:rPr>
        <w:t xml:space="preserve"> Yet, influenced by the opposition to Frazer’s </w:t>
      </w:r>
      <w:r w:rsidR="009A5B19">
        <w:rPr>
          <w:rFonts w:eastAsia="Calibri"/>
        </w:rPr>
        <w:t xml:space="preserve">dogmatic </w:t>
      </w:r>
      <w:r>
        <w:rPr>
          <w:rFonts w:eastAsia="Calibri"/>
        </w:rPr>
        <w:t>conclusions, some ignored the explicit description of Baal’s death and resurrection, claiming that the fragmentary condition of the Baal Cycle allows other interpretation</w:t>
      </w:r>
      <w:r w:rsidR="00020E35">
        <w:rPr>
          <w:rFonts w:eastAsia="Calibri"/>
        </w:rPr>
        <w:t>s</w:t>
      </w:r>
      <w:r>
        <w:rPr>
          <w:rFonts w:eastAsia="Calibri"/>
        </w:rPr>
        <w:t xml:space="preserve"> of the text, or that the lack of Ugaritic rituals </w:t>
      </w:r>
      <w:r w:rsidR="005158C3">
        <w:rPr>
          <w:rFonts w:eastAsia="Calibri"/>
        </w:rPr>
        <w:t xml:space="preserve">connected </w:t>
      </w:r>
      <w:r>
        <w:rPr>
          <w:rFonts w:eastAsia="Calibri"/>
        </w:rPr>
        <w:t>to Baal’s resurrection is a crucial</w:t>
      </w:r>
      <w:r>
        <w:rPr>
          <w:rFonts w:eastAsia="Calibri"/>
          <w:lang w:val="en-GB" w:bidi="he-IL"/>
        </w:rPr>
        <w:t xml:space="preserve"> proof for </w:t>
      </w:r>
      <w:r>
        <w:rPr>
          <w:rFonts w:eastAsia="Calibri"/>
          <w:lang w:val="en-GB" w:bidi="he-IL"/>
        </w:rPr>
        <w:lastRenderedPageBreak/>
        <w:t>the mythologem</w:t>
      </w:r>
      <w:r w:rsidR="00192646">
        <w:rPr>
          <w:rFonts w:eastAsia="Calibri"/>
          <w:lang w:val="en-GB" w:bidi="he-IL"/>
        </w:rPr>
        <w:t>’s absence from</w:t>
      </w:r>
      <w:r>
        <w:rPr>
          <w:rFonts w:eastAsia="Calibri"/>
          <w:lang w:val="en-GB" w:bidi="he-IL"/>
        </w:rPr>
        <w:t xml:space="preserve"> Ugarit as a whole</w:t>
      </w:r>
      <w:r>
        <w:rPr>
          <w:rFonts w:eastAsia="Calibri"/>
        </w:rPr>
        <w:t>.</w:t>
      </w:r>
      <w:r>
        <w:rPr>
          <w:rStyle w:val="FootnoteReference"/>
          <w:rFonts w:eastAsia="Calibri"/>
        </w:rPr>
        <w:footnoteReference w:id="53"/>
      </w:r>
      <w:r>
        <w:rPr>
          <w:rFonts w:eastAsia="Calibri"/>
        </w:rPr>
        <w:t xml:space="preserve"> However, as has been already claimed, these doubts have ignore</w:t>
      </w:r>
      <w:r w:rsidR="00985EA3">
        <w:rPr>
          <w:rFonts w:eastAsia="Calibri"/>
        </w:rPr>
        <w:t>d</w:t>
      </w:r>
      <w:r>
        <w:rPr>
          <w:rFonts w:eastAsia="Calibri"/>
        </w:rPr>
        <w:t xml:space="preserve"> </w:t>
      </w:r>
      <w:r w:rsidR="00985EA3">
        <w:rPr>
          <w:rFonts w:eastAsia="Calibri"/>
        </w:rPr>
        <w:t xml:space="preserve">a </w:t>
      </w:r>
      <w:r>
        <w:rPr>
          <w:rFonts w:eastAsia="Calibri"/>
        </w:rPr>
        <w:t xml:space="preserve">simple </w:t>
      </w:r>
      <w:r w:rsidR="00985EA3">
        <w:rPr>
          <w:rFonts w:eastAsia="Calibri"/>
        </w:rPr>
        <w:t xml:space="preserve">reading </w:t>
      </w:r>
      <w:r>
        <w:rPr>
          <w:rFonts w:eastAsia="Calibri"/>
        </w:rPr>
        <w:t>of the Baal Cycle’s plot.</w:t>
      </w:r>
      <w:r>
        <w:rPr>
          <w:rStyle w:val="FootnoteReference"/>
          <w:rFonts w:eastAsia="Calibri"/>
        </w:rPr>
        <w:footnoteReference w:id="54"/>
      </w:r>
      <w:r>
        <w:rPr>
          <w:rFonts w:eastAsia="Calibri"/>
        </w:rPr>
        <w:t xml:space="preserve"> </w:t>
      </w:r>
    </w:p>
    <w:p w14:paraId="6AED33BD" w14:textId="1BB353CB" w:rsidR="00546B53" w:rsidRDefault="00BE697F" w:rsidP="00546B53">
      <w:pPr>
        <w:ind w:firstLine="426"/>
        <w:rPr>
          <w:rFonts w:eastAsia="Calibri"/>
        </w:rPr>
      </w:pPr>
      <w:commentRangeStart w:id="41"/>
      <w:r w:rsidRPr="00006B32">
        <w:rPr>
          <w:rFonts w:eastAsia="Calibri"/>
        </w:rPr>
        <w:t xml:space="preserve">The </w:t>
      </w:r>
      <w:commentRangeEnd w:id="41"/>
      <w:r>
        <w:rPr>
          <w:rStyle w:val="CommentReference"/>
        </w:rPr>
        <w:commentReference w:id="41"/>
      </w:r>
      <w:r w:rsidRPr="00006B32">
        <w:rPr>
          <w:rFonts w:eastAsia="Calibri"/>
        </w:rPr>
        <w:t>Baal cycle avails itself of several</w:t>
      </w:r>
      <w:ins w:id="42" w:author="Avraham Kallenbah" w:date="2021-04-13T08:38:00Z">
        <w:r>
          <w:rPr>
            <w:rFonts w:eastAsia="Calibri"/>
          </w:rPr>
          <w:t>,</w:t>
        </w:r>
      </w:ins>
      <w:ins w:id="43" w:author="Avraham Kallenbah" w:date="2021-04-13T08:36:00Z">
        <w:r>
          <w:rPr>
            <w:rFonts w:eastAsia="Calibri"/>
            <w:lang w:bidi="he-IL"/>
          </w:rPr>
          <w:t xml:space="preserve"> </w:t>
        </w:r>
      </w:ins>
      <w:ins w:id="44" w:author="Avraham Kallenbah" w:date="2021-04-13T08:37:00Z">
        <w:r>
          <w:rPr>
            <w:rFonts w:eastAsia="Calibri"/>
            <w:lang w:bidi="he-IL"/>
          </w:rPr>
          <w:t>sometimes-</w:t>
        </w:r>
      </w:ins>
      <w:ins w:id="45" w:author="Avraham Kallenbah" w:date="2021-04-13T08:36:00Z">
        <w:r>
          <w:rPr>
            <w:rFonts w:eastAsia="Calibri"/>
            <w:lang w:bidi="he-IL"/>
          </w:rPr>
          <w:t>divergent</w:t>
        </w:r>
      </w:ins>
      <w:r w:rsidRPr="00006B32">
        <w:rPr>
          <w:rFonts w:eastAsia="Calibri"/>
        </w:rPr>
        <w:t xml:space="preserve"> traditions to recount the death of Baal</w:t>
      </w:r>
      <w:r>
        <w:rPr>
          <w:rFonts w:eastAsia="Calibri"/>
        </w:rPr>
        <w:t xml:space="preserve">. </w:t>
      </w:r>
      <w:del w:id="46" w:author="Avraham Kallenbah" w:date="2021-04-13T08:36:00Z">
        <w:r w:rsidDel="00BE697F">
          <w:rPr>
            <w:rFonts w:eastAsia="Calibri"/>
          </w:rPr>
          <w:delText xml:space="preserve">It </w:delText>
        </w:r>
      </w:del>
      <w:ins w:id="47" w:author="Avraham Kallenbah" w:date="2021-04-13T08:36:00Z">
        <w:r>
          <w:rPr>
            <w:rFonts w:eastAsia="Calibri"/>
          </w:rPr>
          <w:t xml:space="preserve">On the one hand it </w:t>
        </w:r>
      </w:ins>
      <w:r>
        <w:rPr>
          <w:rFonts w:eastAsia="Calibri"/>
        </w:rPr>
        <w:t xml:space="preserve">tells how Baal was violently consumed by his enemy Mot (1.6 II 13-23), </w:t>
      </w:r>
      <w:del w:id="48" w:author="Avraham Kallenbah" w:date="2021-04-13T08:36:00Z">
        <w:r w:rsidDel="00BE697F">
          <w:rPr>
            <w:rFonts w:eastAsia="Calibri"/>
          </w:rPr>
          <w:delText xml:space="preserve">as </w:delText>
        </w:r>
      </w:del>
      <w:ins w:id="49" w:author="Avraham Kallenbah" w:date="2021-04-13T08:36:00Z">
        <w:r>
          <w:rPr>
            <w:rFonts w:eastAsia="Calibri"/>
          </w:rPr>
          <w:t xml:space="preserve">on the other, </w:t>
        </w:r>
      </w:ins>
      <w:del w:id="50" w:author="Avraham Kallenbah" w:date="2021-04-13T08:36:00Z">
        <w:r w:rsidDel="00BE697F">
          <w:rPr>
            <w:rFonts w:eastAsia="Calibri"/>
          </w:rPr>
          <w:delText>well as the</w:delText>
        </w:r>
      </w:del>
      <w:ins w:id="51" w:author="Avraham Kallenbah" w:date="2021-04-13T08:37:00Z">
        <w:r>
          <w:rPr>
            <w:rFonts w:eastAsia="Calibri"/>
          </w:rPr>
          <w:t>it</w:t>
        </w:r>
      </w:ins>
      <w:ins w:id="52" w:author="Avraham Kallenbah" w:date="2021-04-13T08:36:00Z">
        <w:r>
          <w:rPr>
            <w:rFonts w:eastAsia="Calibri"/>
          </w:rPr>
          <w:t xml:space="preserve"> describes</w:t>
        </w:r>
      </w:ins>
      <w:r>
        <w:rPr>
          <w:rFonts w:eastAsia="Calibri"/>
        </w:rPr>
        <w:t xml:space="preserve"> </w:t>
      </w:r>
      <w:del w:id="53" w:author="Avraham Kallenbah" w:date="2021-04-13T08:36:00Z">
        <w:r w:rsidDel="00BE697F">
          <w:rPr>
            <w:rFonts w:eastAsia="Calibri"/>
          </w:rPr>
          <w:delText xml:space="preserve">orders issued to </w:delText>
        </w:r>
      </w:del>
      <w:r>
        <w:rPr>
          <w:rFonts w:eastAsia="Calibri"/>
        </w:rPr>
        <w:t xml:space="preserve">Baal </w:t>
      </w:r>
      <w:del w:id="54" w:author="Avraham Kallenbah" w:date="2021-04-13T08:36:00Z">
        <w:r w:rsidDel="00BE697F">
          <w:rPr>
            <w:rFonts w:eastAsia="Calibri"/>
            <w:lang w:val="en-GB"/>
          </w:rPr>
          <w:delText xml:space="preserve">by </w:delText>
        </w:r>
      </w:del>
      <w:ins w:id="55" w:author="Avraham Kallenbah" w:date="2021-04-13T08:36:00Z">
        <w:r>
          <w:rPr>
            <w:rFonts w:eastAsia="Calibri"/>
            <w:lang w:val="en-GB"/>
          </w:rPr>
          <w:t xml:space="preserve">being ordered by </w:t>
        </w:r>
      </w:ins>
      <w:r>
        <w:rPr>
          <w:rFonts w:eastAsia="Calibri"/>
          <w:lang w:val="en-GB"/>
        </w:rPr>
        <w:t xml:space="preserve">an unknown figure </w:t>
      </w:r>
      <w:r>
        <w:rPr>
          <w:rFonts w:eastAsia="Calibri"/>
        </w:rPr>
        <w:t xml:space="preserve">to descend to the netherworld with his servants, </w:t>
      </w:r>
      <w:r>
        <w:rPr>
          <w:rFonts w:eastAsia="Calibri"/>
          <w:lang w:val="en-GB"/>
        </w:rPr>
        <w:t xml:space="preserve">his </w:t>
      </w:r>
      <w:r>
        <w:rPr>
          <w:rFonts w:eastAsia="Calibri"/>
        </w:rPr>
        <w:t>rains and</w:t>
      </w:r>
      <w:r>
        <w:rPr>
          <w:rFonts w:eastAsia="Calibri"/>
          <w:lang w:val="en-GB"/>
        </w:rPr>
        <w:t xml:space="preserve"> his</w:t>
      </w:r>
      <w:r>
        <w:rPr>
          <w:rFonts w:eastAsia="Calibri"/>
        </w:rPr>
        <w:t xml:space="preserve"> winds</w:t>
      </w:r>
      <w:ins w:id="56" w:author="Avraham Kallenbah" w:date="2021-04-13T08:38:00Z">
        <w:r>
          <w:rPr>
            <w:rFonts w:eastAsia="Calibri"/>
          </w:rPr>
          <w:t xml:space="preserve">. It </w:t>
        </w:r>
      </w:ins>
      <w:del w:id="57" w:author="Avraham Kallenbah" w:date="2021-04-13T08:38:00Z">
        <w:r w:rsidDel="00BE697F">
          <w:rPr>
            <w:rFonts w:eastAsia="Calibri"/>
          </w:rPr>
          <w:delText xml:space="preserve"> </w:delText>
        </w:r>
        <w:r w:rsidR="00FD091A" w:rsidDel="00BE697F">
          <w:rPr>
            <w:rFonts w:eastAsia="Calibri"/>
          </w:rPr>
          <w:delText>and</w:delText>
        </w:r>
        <w:r w:rsidR="00546B53" w:rsidDel="00BE697F">
          <w:rPr>
            <w:rFonts w:eastAsia="Calibri"/>
          </w:rPr>
          <w:delText xml:space="preserve"> </w:delText>
        </w:r>
      </w:del>
      <w:r w:rsidR="00546B53">
        <w:rPr>
          <w:rFonts w:eastAsia="Calibri"/>
        </w:rPr>
        <w:t>portrays his burial in the tomb of the gods (1.6 I 15-31)</w:t>
      </w:r>
      <w:del w:id="58" w:author="Avraham Kallenbah" w:date="2021-04-13T08:38:00Z">
        <w:r w:rsidR="00546B53" w:rsidDel="00BE697F">
          <w:rPr>
            <w:rFonts w:eastAsia="Calibri"/>
          </w:rPr>
          <w:delText>.</w:delText>
        </w:r>
      </w:del>
      <w:ins w:id="59" w:author="Avraham Kallenbah" w:date="2021-04-13T08:38:00Z">
        <w:r>
          <w:rPr>
            <w:rFonts w:eastAsia="Calibri"/>
          </w:rPr>
          <w:t>;</w:t>
        </w:r>
      </w:ins>
      <w:r w:rsidR="00546B53">
        <w:rPr>
          <w:rFonts w:eastAsia="Calibri"/>
        </w:rPr>
        <w:t xml:space="preserve"> </w:t>
      </w:r>
      <w:del w:id="60" w:author="Avraham Kallenbah" w:date="2021-04-13T08:38:00Z">
        <w:r w:rsidR="00546B53" w:rsidDel="00BE697F">
          <w:rPr>
            <w:rFonts w:eastAsia="Calibri"/>
          </w:rPr>
          <w:delText xml:space="preserve">It </w:delText>
        </w:r>
      </w:del>
      <w:r w:rsidR="00546B53">
        <w:rPr>
          <w:rFonts w:eastAsia="Calibri"/>
        </w:rPr>
        <w:t xml:space="preserve">describes how Baal’s family – his father El (1.5 VI 1-25) and his sister </w:t>
      </w:r>
      <w:proofErr w:type="spellStart"/>
      <w:r w:rsidR="00546B53">
        <w:rPr>
          <w:rFonts w:eastAsia="Calibri"/>
        </w:rPr>
        <w:t>Anat</w:t>
      </w:r>
      <w:proofErr w:type="spellEnd"/>
      <w:r w:rsidR="00546B53">
        <w:rPr>
          <w:rFonts w:eastAsia="Calibri"/>
        </w:rPr>
        <w:t xml:space="preserve"> (1.5 VI 25 – 1.6 I 8) – mourned over his death</w:t>
      </w:r>
      <w:ins w:id="61" w:author="Avraham Kallenbah" w:date="2021-04-13T08:38:00Z">
        <w:r>
          <w:rPr>
            <w:rFonts w:eastAsia="Calibri"/>
          </w:rPr>
          <w:t>;</w:t>
        </w:r>
      </w:ins>
      <w:del w:id="62" w:author="Avraham Kallenbah" w:date="2021-04-13T08:38:00Z">
        <w:r w:rsidR="00546B53" w:rsidDel="00BE697F">
          <w:rPr>
            <w:rFonts w:eastAsia="Calibri"/>
          </w:rPr>
          <w:delText>,</w:delText>
        </w:r>
      </w:del>
      <w:r w:rsidR="00546B53">
        <w:rPr>
          <w:rFonts w:eastAsia="Calibri"/>
        </w:rPr>
        <w:t xml:space="preserve"> and </w:t>
      </w:r>
      <w:del w:id="63" w:author="Avraham Kallenbah" w:date="2021-04-13T08:38:00Z">
        <w:r w:rsidR="00546B53" w:rsidDel="00BE697F">
          <w:rPr>
            <w:rFonts w:eastAsia="Calibri"/>
          </w:rPr>
          <w:delText xml:space="preserve">how </w:delText>
        </w:r>
      </w:del>
      <w:ins w:id="64" w:author="Avraham Kallenbah" w:date="2021-04-13T08:38:00Z">
        <w:r>
          <w:rPr>
            <w:rFonts w:eastAsia="Calibri"/>
          </w:rPr>
          <w:t xml:space="preserve">recounts how </w:t>
        </w:r>
      </w:ins>
      <w:r w:rsidR="00546B53">
        <w:rPr>
          <w:rFonts w:eastAsia="Calibri"/>
        </w:rPr>
        <w:t>they searched for him – both in the netherworld (1.6 I 8-15) and elsewhere (1.6 II 4-9; 26-30).</w:t>
      </w:r>
      <w:r w:rsidR="00546B53">
        <w:rPr>
          <w:rStyle w:val="FootnoteReference"/>
          <w:rFonts w:eastAsia="Calibri"/>
        </w:rPr>
        <w:footnoteReference w:id="55"/>
      </w:r>
      <w:r w:rsidR="00546B53">
        <w:rPr>
          <w:rFonts w:eastAsia="Calibri"/>
        </w:rPr>
        <w:t xml:space="preserve"> </w:t>
      </w:r>
    </w:p>
    <w:p w14:paraId="0265D097" w14:textId="7588DB0B" w:rsidR="005A5A48" w:rsidRPr="00A47B88" w:rsidRDefault="005A5A48">
      <w:pPr>
        <w:tabs>
          <w:tab w:val="left" w:pos="7920"/>
        </w:tabs>
        <w:ind w:firstLine="426"/>
        <w:rPr>
          <w:rFonts w:eastAsia="Calibri"/>
          <w:rtl/>
        </w:rPr>
        <w:pPrChange w:id="67" w:author="Avraham Kallenbah" w:date="2021-04-13T08:39:00Z">
          <w:pPr>
            <w:ind w:firstLine="426"/>
          </w:pPr>
        </w:pPrChange>
      </w:pPr>
      <w:r>
        <w:rPr>
          <w:rFonts w:eastAsia="Calibri"/>
        </w:rPr>
        <w:t xml:space="preserve">Had the Baal Cycle concluded at this point, its plot would be similar to those found in other Near Eastern cultures, such as Mesopotamia and Egypt. In their writings as well, the young god dies, is mourned by his relatives, and is searched for in the netherworld and </w:t>
      </w:r>
      <w:r w:rsidR="00006B32">
        <w:rPr>
          <w:rFonts w:eastAsia="Calibri"/>
        </w:rPr>
        <w:lastRenderedPageBreak/>
        <w:t>elsewhere</w:t>
      </w:r>
      <w:r>
        <w:rPr>
          <w:rFonts w:eastAsia="Calibri"/>
        </w:rPr>
        <w:t>.</w:t>
      </w:r>
      <w:r>
        <w:rPr>
          <w:rStyle w:val="FootnoteReference"/>
          <w:rFonts w:eastAsia="Calibri"/>
        </w:rPr>
        <w:footnoteReference w:id="56"/>
      </w:r>
      <w:r>
        <w:rPr>
          <w:rFonts w:eastAsia="Calibri"/>
        </w:rPr>
        <w:t xml:space="preserve"> However, unlike the Mesopotamian and Egyptian accounts, the Baal Cycle continues, going on to describe </w:t>
      </w:r>
      <w:r w:rsidR="00546B53">
        <w:rPr>
          <w:rFonts w:eastAsia="Calibri"/>
        </w:rPr>
        <w:t xml:space="preserve">at </w:t>
      </w:r>
      <w:r>
        <w:rPr>
          <w:rFonts w:eastAsia="Calibri"/>
        </w:rPr>
        <w:t xml:space="preserve">length the resurrection of Baal. Remarkably, this process mirrors that of the god’s death, but in reverse: the resurrection of the hero is accompanied by the return of the </w:t>
      </w:r>
      <w:r w:rsidR="003E0874">
        <w:rPr>
          <w:rFonts w:eastAsia="Calibri"/>
        </w:rPr>
        <w:t xml:space="preserve">water </w:t>
      </w:r>
      <w:r>
        <w:rPr>
          <w:rFonts w:eastAsia="Calibri"/>
        </w:rPr>
        <w:t xml:space="preserve">to the rivers, his family rejoices over his resurrection, and searches for the living god. </w:t>
      </w:r>
    </w:p>
    <w:p w14:paraId="16FFD26D" w14:textId="0C75984F" w:rsidR="005A5A48" w:rsidRPr="00A47B88" w:rsidRDefault="005A5A48" w:rsidP="005A5A48">
      <w:pPr>
        <w:spacing w:after="120"/>
        <w:ind w:firstLine="573"/>
        <w:rPr>
          <w:rFonts w:eastAsia="Calibri"/>
          <w:rtl/>
          <w:lang w:bidi="he-IL"/>
        </w:rPr>
      </w:pPr>
      <w:r>
        <w:t xml:space="preserve">Since the lines which actually describe Baal’s resurrection have not been preserved, </w:t>
      </w:r>
      <w:r w:rsidR="00621C97" w:rsidRPr="00621C97">
        <w:t>we must infer that this event transpired from the subsequent lines</w:t>
      </w:r>
      <w:r>
        <w:t>. These recount how El revealed that his son Baal had returned to life</w:t>
      </w:r>
      <w:ins w:id="68" w:author="Noga Darshan" w:date="2021-03-27T12:09:00Z">
        <w:r>
          <w:t xml:space="preserve"> </w:t>
        </w:r>
      </w:ins>
      <w:r>
        <w:t xml:space="preserve">after he dreamed of the heavens raining oil and the wadies </w:t>
      </w:r>
      <w:r w:rsidR="00F110BC">
        <w:t>running</w:t>
      </w:r>
      <w:r>
        <w:t xml:space="preserve"> with honey (a superlative of rains and flooding) and rejoiced greatly:</w:t>
      </w:r>
      <w:r>
        <w:rPr>
          <w:rStyle w:val="FootnoteReference"/>
        </w:rPr>
        <w:footnoteReference w:id="57"/>
      </w:r>
      <w: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544"/>
      </w:tblGrid>
      <w:tr w:rsidR="005A5A48" w:rsidRPr="00A47B88" w14:paraId="50D1B12C" w14:textId="77777777" w:rsidTr="005A5A48">
        <w:tc>
          <w:tcPr>
            <w:tcW w:w="5812" w:type="dxa"/>
          </w:tcPr>
          <w:p w14:paraId="6F386176" w14:textId="77777777" w:rsidR="005A5A48" w:rsidRPr="00C5687E" w:rsidRDefault="005A5A48" w:rsidP="00C5687E">
            <w:pPr>
              <w:ind w:firstLine="34"/>
              <w:rPr>
                <w:rFonts w:cstheme="majorBidi"/>
                <w:sz w:val="22"/>
                <w:szCs w:val="22"/>
              </w:rPr>
            </w:pPr>
            <w:r w:rsidRPr="00C5687E">
              <w:rPr>
                <w:rFonts w:cstheme="majorBidi"/>
                <w:sz w:val="22"/>
                <w:szCs w:val="22"/>
                <w:vertAlign w:val="superscript"/>
              </w:rPr>
              <w:t xml:space="preserve">1.6 III10 </w:t>
            </w:r>
            <w:proofErr w:type="gramStart"/>
            <w:r w:rsidRPr="00C5687E">
              <w:rPr>
                <w:rFonts w:cstheme="majorBidi"/>
                <w:sz w:val="22"/>
                <w:szCs w:val="22"/>
              </w:rPr>
              <w:t>In</w:t>
            </w:r>
            <w:proofErr w:type="gramEnd"/>
            <w:r w:rsidRPr="00C5687E">
              <w:rPr>
                <w:rFonts w:cstheme="majorBidi"/>
                <w:sz w:val="22"/>
                <w:szCs w:val="22"/>
              </w:rPr>
              <w:t xml:space="preserve"> the dream of Beneficent El, the Gracious-One,</w:t>
            </w:r>
          </w:p>
        </w:tc>
        <w:tc>
          <w:tcPr>
            <w:tcW w:w="3544" w:type="dxa"/>
          </w:tcPr>
          <w:p w14:paraId="60FFCFBF" w14:textId="77777777" w:rsidR="005A5A48" w:rsidRPr="00C5687E" w:rsidRDefault="005A5A48" w:rsidP="00C5687E">
            <w:pPr>
              <w:ind w:firstLine="34"/>
              <w:rPr>
                <w:rFonts w:cstheme="majorBidi"/>
                <w:sz w:val="22"/>
                <w:szCs w:val="22"/>
              </w:rPr>
            </w:pPr>
            <w:r w:rsidRPr="00C5687E">
              <w:rPr>
                <w:rFonts w:cstheme="majorBidi"/>
                <w:i/>
                <w:iCs/>
                <w:sz w:val="22"/>
                <w:szCs w:val="22"/>
              </w:rPr>
              <w:t xml:space="preserve">b </w:t>
            </w:r>
            <w:proofErr w:type="spellStart"/>
            <w:r w:rsidRPr="00C5687E">
              <w:rPr>
                <w:rFonts w:cstheme="majorBidi"/>
                <w:i/>
                <w:iCs/>
                <w:sz w:val="22"/>
                <w:szCs w:val="22"/>
              </w:rPr>
              <w:t>ḥlm</w:t>
            </w:r>
            <w:proofErr w:type="spellEnd"/>
            <w:r w:rsidRPr="00C5687E">
              <w:rPr>
                <w:rFonts w:cstheme="majorBidi"/>
                <w:i/>
                <w:iCs/>
                <w:sz w:val="22"/>
                <w:szCs w:val="22"/>
              </w:rPr>
              <w:t xml:space="preserve"> . </w:t>
            </w:r>
            <w:proofErr w:type="spellStart"/>
            <w:r w:rsidRPr="00C5687E">
              <w:rPr>
                <w:rFonts w:cstheme="majorBidi"/>
                <w:i/>
                <w:iCs/>
                <w:sz w:val="22"/>
                <w:szCs w:val="22"/>
              </w:rPr>
              <w:t>lṭpn</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il</w:t>
            </w:r>
            <w:proofErr w:type="spellEnd"/>
            <w:r w:rsidRPr="00C5687E">
              <w:rPr>
                <w:rFonts w:cstheme="majorBidi"/>
                <w:i/>
                <w:iCs/>
                <w:sz w:val="22"/>
                <w:szCs w:val="22"/>
              </w:rPr>
              <w:t xml:space="preserve"> d </w:t>
            </w:r>
            <w:proofErr w:type="spellStart"/>
            <w:r w:rsidRPr="00C5687E">
              <w:rPr>
                <w:rFonts w:cstheme="majorBidi"/>
                <w:i/>
                <w:iCs/>
                <w:sz w:val="22"/>
                <w:szCs w:val="22"/>
              </w:rPr>
              <w:t>p</w:t>
            </w:r>
            <w:r w:rsidRPr="00C5687E">
              <w:rPr>
                <w:rFonts w:cs="Times New Roman"/>
                <w:i/>
                <w:iCs/>
                <w:sz w:val="22"/>
                <w:szCs w:val="22"/>
              </w:rPr>
              <w:t>ˀ</w:t>
            </w:r>
            <w:r w:rsidRPr="00C5687E">
              <w:rPr>
                <w:rFonts w:cstheme="majorBidi"/>
                <w:i/>
                <w:iCs/>
                <w:sz w:val="22"/>
                <w:szCs w:val="22"/>
              </w:rPr>
              <w:t>id</w:t>
            </w:r>
            <w:proofErr w:type="spellEnd"/>
          </w:p>
        </w:tc>
      </w:tr>
      <w:tr w:rsidR="005A5A48" w:rsidRPr="00A47B88" w14:paraId="3E4D961E" w14:textId="77777777" w:rsidTr="005A5A48">
        <w:tc>
          <w:tcPr>
            <w:tcW w:w="5812" w:type="dxa"/>
          </w:tcPr>
          <w:p w14:paraId="1786B636" w14:textId="77777777" w:rsidR="005A5A48" w:rsidRPr="00C5687E" w:rsidRDefault="005A5A48" w:rsidP="00C5687E">
            <w:pPr>
              <w:ind w:firstLine="34"/>
              <w:rPr>
                <w:rFonts w:cstheme="majorBidi"/>
                <w:sz w:val="22"/>
                <w:szCs w:val="22"/>
                <w:rtl/>
              </w:rPr>
            </w:pPr>
            <w:r w:rsidRPr="00C5687E">
              <w:rPr>
                <w:rFonts w:cstheme="majorBidi"/>
                <w:sz w:val="22"/>
                <w:szCs w:val="22"/>
                <w:vertAlign w:val="superscript"/>
              </w:rPr>
              <w:t xml:space="preserve">11 </w:t>
            </w:r>
            <w:r w:rsidRPr="00C5687E">
              <w:rPr>
                <w:rFonts w:cstheme="majorBidi"/>
                <w:sz w:val="22"/>
                <w:szCs w:val="22"/>
              </w:rPr>
              <w:t>in the vision of the Creator of creatures,</w:t>
            </w:r>
          </w:p>
        </w:tc>
        <w:tc>
          <w:tcPr>
            <w:tcW w:w="3544" w:type="dxa"/>
          </w:tcPr>
          <w:p w14:paraId="2608E533" w14:textId="77777777" w:rsidR="005A5A48" w:rsidRPr="00C5687E" w:rsidRDefault="005A5A48" w:rsidP="00C5687E">
            <w:pPr>
              <w:ind w:firstLine="34"/>
              <w:rPr>
                <w:rFonts w:cstheme="majorBidi"/>
                <w:sz w:val="22"/>
                <w:szCs w:val="22"/>
              </w:rPr>
            </w:pPr>
            <w:r w:rsidRPr="00C5687E">
              <w:rPr>
                <w:rFonts w:cstheme="majorBidi"/>
                <w:i/>
                <w:iCs/>
                <w:sz w:val="22"/>
                <w:szCs w:val="22"/>
              </w:rPr>
              <w:t xml:space="preserve">b </w:t>
            </w:r>
            <w:proofErr w:type="spellStart"/>
            <w:r w:rsidRPr="00C5687E">
              <w:rPr>
                <w:rFonts w:cstheme="majorBidi"/>
                <w:i/>
                <w:iCs/>
                <w:sz w:val="22"/>
                <w:szCs w:val="22"/>
              </w:rPr>
              <w:t>ḏrt</w:t>
            </w:r>
            <w:proofErr w:type="spellEnd"/>
            <w:r w:rsidRPr="00C5687E">
              <w:rPr>
                <w:rFonts w:cstheme="majorBidi"/>
                <w:i/>
                <w:iCs/>
                <w:sz w:val="22"/>
                <w:szCs w:val="22"/>
              </w:rPr>
              <w:t xml:space="preserve"> . </w:t>
            </w:r>
            <w:proofErr w:type="spellStart"/>
            <w:r w:rsidRPr="00C5687E">
              <w:rPr>
                <w:rFonts w:cstheme="majorBidi"/>
                <w:i/>
                <w:iCs/>
                <w:sz w:val="22"/>
                <w:szCs w:val="22"/>
              </w:rPr>
              <w:t>bny</w:t>
            </w:r>
            <w:proofErr w:type="spellEnd"/>
            <w:r w:rsidRPr="00C5687E">
              <w:rPr>
                <w:rFonts w:cstheme="majorBidi"/>
                <w:i/>
                <w:iCs/>
                <w:sz w:val="22"/>
                <w:szCs w:val="22"/>
              </w:rPr>
              <w:t xml:space="preserve"> . </w:t>
            </w:r>
            <w:proofErr w:type="spellStart"/>
            <w:r w:rsidRPr="00C5687E">
              <w:rPr>
                <w:rFonts w:cstheme="majorBidi"/>
                <w:i/>
                <w:iCs/>
                <w:sz w:val="22"/>
                <w:szCs w:val="22"/>
              </w:rPr>
              <w:t>bnwt</w:t>
            </w:r>
            <w:proofErr w:type="spellEnd"/>
          </w:p>
        </w:tc>
      </w:tr>
      <w:tr w:rsidR="005A5A48" w:rsidRPr="00A47B88" w14:paraId="59B7841A" w14:textId="77777777" w:rsidTr="005A5A48">
        <w:tc>
          <w:tcPr>
            <w:tcW w:w="5812" w:type="dxa"/>
          </w:tcPr>
          <w:p w14:paraId="4184C667" w14:textId="77777777" w:rsidR="005A5A48" w:rsidRPr="00C5687E" w:rsidRDefault="005A5A48" w:rsidP="00C5687E">
            <w:pPr>
              <w:ind w:firstLine="34"/>
              <w:rPr>
                <w:rFonts w:cstheme="majorBidi"/>
                <w:sz w:val="22"/>
                <w:szCs w:val="22"/>
              </w:rPr>
            </w:pPr>
            <w:r w:rsidRPr="00C5687E">
              <w:rPr>
                <w:rFonts w:cstheme="majorBidi"/>
                <w:sz w:val="22"/>
                <w:szCs w:val="22"/>
                <w:vertAlign w:val="superscript"/>
              </w:rPr>
              <w:t xml:space="preserve">12 </w:t>
            </w:r>
            <w:r w:rsidRPr="00C5687E">
              <w:rPr>
                <w:rFonts w:cstheme="majorBidi"/>
                <w:sz w:val="22"/>
                <w:szCs w:val="22"/>
              </w:rPr>
              <w:t>the heavens rained oil,</w:t>
            </w:r>
          </w:p>
        </w:tc>
        <w:tc>
          <w:tcPr>
            <w:tcW w:w="3544" w:type="dxa"/>
          </w:tcPr>
          <w:p w14:paraId="1DBC3E87" w14:textId="77777777" w:rsidR="005A5A48" w:rsidRPr="00C5687E" w:rsidRDefault="005A5A48" w:rsidP="00C5687E">
            <w:pPr>
              <w:ind w:firstLine="34"/>
              <w:rPr>
                <w:rFonts w:cstheme="majorBidi"/>
                <w:sz w:val="22"/>
                <w:szCs w:val="22"/>
              </w:rPr>
            </w:pPr>
            <w:proofErr w:type="spellStart"/>
            <w:r w:rsidRPr="00C5687E">
              <w:rPr>
                <w:rFonts w:cstheme="majorBidi"/>
                <w:i/>
                <w:iCs/>
                <w:sz w:val="22"/>
                <w:szCs w:val="22"/>
              </w:rPr>
              <w:t>šmm</w:t>
            </w:r>
            <w:proofErr w:type="spellEnd"/>
            <w:r w:rsidRPr="00C5687E">
              <w:rPr>
                <w:rFonts w:cstheme="majorBidi"/>
                <w:i/>
                <w:iCs/>
                <w:sz w:val="22"/>
                <w:szCs w:val="22"/>
              </w:rPr>
              <w:t xml:space="preserve"> . </w:t>
            </w:r>
            <w:proofErr w:type="spellStart"/>
            <w:r w:rsidRPr="00C5687E">
              <w:rPr>
                <w:rFonts w:cstheme="majorBidi"/>
                <w:i/>
                <w:iCs/>
                <w:sz w:val="22"/>
                <w:szCs w:val="22"/>
              </w:rPr>
              <w:t>šmn</w:t>
            </w:r>
            <w:proofErr w:type="spellEnd"/>
            <w:r w:rsidRPr="00C5687E">
              <w:rPr>
                <w:rFonts w:cstheme="majorBidi"/>
                <w:i/>
                <w:iCs/>
                <w:sz w:val="22"/>
                <w:szCs w:val="22"/>
              </w:rPr>
              <w:t xml:space="preserve"> . </w:t>
            </w:r>
            <w:proofErr w:type="spellStart"/>
            <w:r w:rsidRPr="00C5687E">
              <w:rPr>
                <w:rFonts w:cstheme="majorBidi"/>
                <w:i/>
                <w:iCs/>
                <w:sz w:val="22"/>
                <w:szCs w:val="22"/>
              </w:rPr>
              <w:t>tmṭrn</w:t>
            </w:r>
            <w:proofErr w:type="spellEnd"/>
          </w:p>
        </w:tc>
      </w:tr>
      <w:tr w:rsidR="005A5A48" w:rsidRPr="00A47B88" w14:paraId="5D6A9472" w14:textId="77777777" w:rsidTr="005A5A48">
        <w:tc>
          <w:tcPr>
            <w:tcW w:w="5812" w:type="dxa"/>
          </w:tcPr>
          <w:p w14:paraId="7053C916" w14:textId="77777777" w:rsidR="005A5A48" w:rsidRPr="00C5687E" w:rsidRDefault="005A5A48" w:rsidP="00C5687E">
            <w:pPr>
              <w:ind w:firstLine="34"/>
              <w:rPr>
                <w:rFonts w:cstheme="majorBidi"/>
                <w:sz w:val="22"/>
                <w:szCs w:val="22"/>
              </w:rPr>
            </w:pPr>
            <w:r w:rsidRPr="00C5687E">
              <w:rPr>
                <w:rFonts w:cstheme="majorBidi"/>
                <w:sz w:val="22"/>
                <w:szCs w:val="22"/>
                <w:vertAlign w:val="superscript"/>
              </w:rPr>
              <w:t xml:space="preserve">13 </w:t>
            </w:r>
            <w:r w:rsidRPr="00C5687E">
              <w:rPr>
                <w:rFonts w:cstheme="majorBidi"/>
                <w:sz w:val="22"/>
                <w:szCs w:val="22"/>
              </w:rPr>
              <w:t>the wadies ran with honey.</w:t>
            </w:r>
          </w:p>
        </w:tc>
        <w:tc>
          <w:tcPr>
            <w:tcW w:w="3544" w:type="dxa"/>
          </w:tcPr>
          <w:p w14:paraId="5956438E" w14:textId="77777777" w:rsidR="005A5A48" w:rsidRPr="00C5687E" w:rsidRDefault="005A5A48" w:rsidP="00C5687E">
            <w:pPr>
              <w:ind w:firstLine="34"/>
              <w:rPr>
                <w:rFonts w:cstheme="majorBidi"/>
                <w:sz w:val="22"/>
                <w:szCs w:val="22"/>
              </w:rPr>
            </w:pPr>
            <w:proofErr w:type="spellStart"/>
            <w:r w:rsidRPr="00C5687E">
              <w:rPr>
                <w:rFonts w:cstheme="majorBidi"/>
                <w:i/>
                <w:iCs/>
                <w:sz w:val="22"/>
                <w:szCs w:val="22"/>
              </w:rPr>
              <w:t>nḫlm</w:t>
            </w:r>
            <w:proofErr w:type="spellEnd"/>
            <w:r w:rsidRPr="00C5687E">
              <w:rPr>
                <w:rFonts w:cstheme="majorBidi"/>
                <w:i/>
                <w:iCs/>
                <w:sz w:val="22"/>
                <w:szCs w:val="22"/>
              </w:rPr>
              <w:t xml:space="preserve"> . </w:t>
            </w:r>
            <w:proofErr w:type="spellStart"/>
            <w:r w:rsidRPr="00C5687E">
              <w:rPr>
                <w:rFonts w:cstheme="majorBidi"/>
                <w:i/>
                <w:iCs/>
                <w:sz w:val="22"/>
                <w:szCs w:val="22"/>
              </w:rPr>
              <w:t>tlk</w:t>
            </w:r>
            <w:proofErr w:type="spellEnd"/>
            <w:r w:rsidRPr="00C5687E">
              <w:rPr>
                <w:rFonts w:cstheme="majorBidi"/>
                <w:i/>
                <w:iCs/>
                <w:sz w:val="22"/>
                <w:szCs w:val="22"/>
              </w:rPr>
              <w:t xml:space="preserve"> . </w:t>
            </w:r>
            <w:proofErr w:type="spellStart"/>
            <w:r w:rsidRPr="00C5687E">
              <w:rPr>
                <w:rFonts w:cstheme="majorBidi"/>
                <w:i/>
                <w:iCs/>
                <w:sz w:val="22"/>
                <w:szCs w:val="22"/>
              </w:rPr>
              <w:t>nbtm</w:t>
            </w:r>
            <w:proofErr w:type="spellEnd"/>
          </w:p>
        </w:tc>
      </w:tr>
      <w:tr w:rsidR="005A5A48" w:rsidRPr="00A47B88" w14:paraId="06AAE991" w14:textId="77777777" w:rsidTr="005A5A48">
        <w:tc>
          <w:tcPr>
            <w:tcW w:w="5812" w:type="dxa"/>
          </w:tcPr>
          <w:p w14:paraId="5CCDCEE6" w14:textId="77777777" w:rsidR="005A5A48" w:rsidRPr="00C5687E" w:rsidRDefault="005A5A48" w:rsidP="00C5687E">
            <w:pPr>
              <w:ind w:firstLine="34"/>
              <w:rPr>
                <w:rFonts w:cstheme="majorBidi"/>
                <w:sz w:val="22"/>
                <w:szCs w:val="22"/>
                <w:rtl/>
              </w:rPr>
            </w:pPr>
            <w:r w:rsidRPr="00C5687E">
              <w:rPr>
                <w:rFonts w:cstheme="majorBidi"/>
                <w:sz w:val="22"/>
                <w:szCs w:val="22"/>
                <w:vertAlign w:val="superscript"/>
              </w:rPr>
              <w:t xml:space="preserve">14 </w:t>
            </w:r>
            <w:r w:rsidRPr="00C5687E">
              <w:rPr>
                <w:rFonts w:cstheme="majorBidi"/>
                <w:sz w:val="22"/>
                <w:szCs w:val="22"/>
              </w:rPr>
              <w:t>Beneficent El, the Gracious-One rejoiced;</w:t>
            </w:r>
          </w:p>
        </w:tc>
        <w:tc>
          <w:tcPr>
            <w:tcW w:w="3544" w:type="dxa"/>
          </w:tcPr>
          <w:p w14:paraId="5E874690" w14:textId="77777777" w:rsidR="005A5A48" w:rsidRPr="00C5687E" w:rsidRDefault="005A5A48" w:rsidP="00C5687E">
            <w:pPr>
              <w:ind w:firstLine="34"/>
              <w:rPr>
                <w:rFonts w:cstheme="majorBidi"/>
                <w:sz w:val="22"/>
                <w:szCs w:val="22"/>
              </w:rPr>
            </w:pPr>
            <w:proofErr w:type="spellStart"/>
            <w:r w:rsidRPr="00C5687E">
              <w:rPr>
                <w:rFonts w:cstheme="majorBidi"/>
                <w:i/>
                <w:iCs/>
                <w:sz w:val="22"/>
                <w:szCs w:val="22"/>
              </w:rPr>
              <w:t>šmḫ</w:t>
            </w:r>
            <w:proofErr w:type="spellEnd"/>
            <w:r w:rsidRPr="00C5687E">
              <w:rPr>
                <w:rFonts w:cstheme="majorBidi"/>
                <w:i/>
                <w:iCs/>
                <w:sz w:val="22"/>
                <w:szCs w:val="22"/>
              </w:rPr>
              <w:t xml:space="preserve"> . </w:t>
            </w:r>
            <w:proofErr w:type="spellStart"/>
            <w:r w:rsidRPr="00C5687E">
              <w:rPr>
                <w:rFonts w:cstheme="majorBidi"/>
                <w:i/>
                <w:iCs/>
                <w:sz w:val="22"/>
                <w:szCs w:val="22"/>
              </w:rPr>
              <w:t>lṭpn</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il</w:t>
            </w:r>
            <w:proofErr w:type="spellEnd"/>
            <w:r w:rsidRPr="00C5687E">
              <w:rPr>
                <w:rFonts w:cstheme="majorBidi"/>
                <w:i/>
                <w:iCs/>
                <w:sz w:val="22"/>
                <w:szCs w:val="22"/>
              </w:rPr>
              <w:t xml:space="preserve"> . d </w:t>
            </w:r>
            <w:proofErr w:type="spellStart"/>
            <w:r w:rsidRPr="00C5687E">
              <w:rPr>
                <w:rFonts w:cstheme="majorBidi"/>
                <w:i/>
                <w:iCs/>
                <w:sz w:val="22"/>
                <w:szCs w:val="22"/>
              </w:rPr>
              <w:t>pʾid</w:t>
            </w:r>
            <w:proofErr w:type="spellEnd"/>
          </w:p>
        </w:tc>
      </w:tr>
      <w:tr w:rsidR="005A5A48" w:rsidRPr="00A47B88" w14:paraId="0A0314A9" w14:textId="77777777" w:rsidTr="005A5A48">
        <w:tc>
          <w:tcPr>
            <w:tcW w:w="5812" w:type="dxa"/>
          </w:tcPr>
          <w:p w14:paraId="65CF1EB0" w14:textId="77777777" w:rsidR="005A5A48" w:rsidRPr="00C5687E" w:rsidRDefault="005A5A48" w:rsidP="00C5687E">
            <w:pPr>
              <w:ind w:firstLine="34"/>
              <w:rPr>
                <w:rFonts w:cstheme="majorBidi"/>
                <w:sz w:val="22"/>
                <w:szCs w:val="22"/>
                <w:rtl/>
              </w:rPr>
            </w:pPr>
            <w:r w:rsidRPr="00C5687E">
              <w:rPr>
                <w:rFonts w:cstheme="majorBidi"/>
                <w:sz w:val="22"/>
                <w:szCs w:val="22"/>
                <w:vertAlign w:val="superscript"/>
              </w:rPr>
              <w:t xml:space="preserve">15 </w:t>
            </w:r>
            <w:r w:rsidRPr="00C5687E">
              <w:rPr>
                <w:rFonts w:cstheme="majorBidi"/>
                <w:sz w:val="22"/>
                <w:szCs w:val="22"/>
              </w:rPr>
              <w:t>He placed his feet on the footstool,</w:t>
            </w:r>
          </w:p>
        </w:tc>
        <w:tc>
          <w:tcPr>
            <w:tcW w:w="3544" w:type="dxa"/>
          </w:tcPr>
          <w:p w14:paraId="55D93CEC" w14:textId="77777777" w:rsidR="005A5A48" w:rsidRPr="00C5687E" w:rsidRDefault="005A5A48" w:rsidP="00C5687E">
            <w:pPr>
              <w:ind w:firstLine="34"/>
              <w:rPr>
                <w:rFonts w:cstheme="majorBidi"/>
                <w:sz w:val="22"/>
                <w:szCs w:val="22"/>
              </w:rPr>
            </w:pPr>
            <w:proofErr w:type="spellStart"/>
            <w:r w:rsidRPr="00C5687E">
              <w:rPr>
                <w:rFonts w:cstheme="majorBidi"/>
                <w:i/>
                <w:iCs/>
                <w:sz w:val="22"/>
                <w:szCs w:val="22"/>
              </w:rPr>
              <w:t>p</w:t>
            </w:r>
            <w:r w:rsidRPr="00C5687E">
              <w:rPr>
                <w:rFonts w:cs="Times New Roman"/>
                <w:i/>
                <w:iCs/>
                <w:sz w:val="22"/>
                <w:szCs w:val="22"/>
              </w:rPr>
              <w:t>ˁ</w:t>
            </w:r>
            <w:r w:rsidRPr="00C5687E">
              <w:rPr>
                <w:rFonts w:cstheme="majorBidi"/>
                <w:i/>
                <w:iCs/>
                <w:sz w:val="22"/>
                <w:szCs w:val="22"/>
              </w:rPr>
              <w:t>nh</w:t>
            </w:r>
            <w:proofErr w:type="spellEnd"/>
            <w:r w:rsidRPr="00C5687E">
              <w:rPr>
                <w:rFonts w:cstheme="majorBidi"/>
                <w:i/>
                <w:iCs/>
                <w:sz w:val="22"/>
                <w:szCs w:val="22"/>
              </w:rPr>
              <w:t xml:space="preserve"> . l </w:t>
            </w:r>
            <w:proofErr w:type="spellStart"/>
            <w:r w:rsidRPr="00C5687E">
              <w:rPr>
                <w:rFonts w:cstheme="majorBidi"/>
                <w:i/>
                <w:iCs/>
                <w:sz w:val="22"/>
                <w:szCs w:val="22"/>
              </w:rPr>
              <w:t>hdm</w:t>
            </w:r>
            <w:proofErr w:type="spellEnd"/>
            <w:r w:rsidRPr="00C5687E">
              <w:rPr>
                <w:rFonts w:cstheme="majorBidi"/>
                <w:i/>
                <w:iCs/>
                <w:sz w:val="22"/>
                <w:szCs w:val="22"/>
              </w:rPr>
              <w:t xml:space="preserve"> . </w:t>
            </w:r>
            <w:proofErr w:type="spellStart"/>
            <w:r w:rsidRPr="00C5687E">
              <w:rPr>
                <w:rFonts w:cstheme="majorBidi"/>
                <w:i/>
                <w:iCs/>
                <w:sz w:val="22"/>
                <w:szCs w:val="22"/>
              </w:rPr>
              <w:t>yṯpd</w:t>
            </w:r>
            <w:proofErr w:type="spellEnd"/>
          </w:p>
        </w:tc>
      </w:tr>
      <w:tr w:rsidR="005A5A48" w:rsidRPr="00A47B88" w14:paraId="292793B4" w14:textId="77777777" w:rsidTr="005A5A48">
        <w:tc>
          <w:tcPr>
            <w:tcW w:w="5812" w:type="dxa"/>
          </w:tcPr>
          <w:p w14:paraId="333C5297" w14:textId="77777777" w:rsidR="005A5A48" w:rsidRPr="00C5687E" w:rsidRDefault="005A5A48" w:rsidP="00C5687E">
            <w:pPr>
              <w:ind w:firstLine="34"/>
              <w:rPr>
                <w:rFonts w:cstheme="majorBidi"/>
                <w:sz w:val="22"/>
                <w:szCs w:val="22"/>
                <w:rtl/>
              </w:rPr>
            </w:pPr>
            <w:r w:rsidRPr="00C5687E">
              <w:rPr>
                <w:rFonts w:cstheme="majorBidi"/>
                <w:sz w:val="22"/>
                <w:szCs w:val="22"/>
                <w:vertAlign w:val="superscript"/>
              </w:rPr>
              <w:t xml:space="preserve">16 </w:t>
            </w:r>
            <w:r w:rsidRPr="00C5687E">
              <w:rPr>
                <w:rFonts w:cstheme="majorBidi"/>
                <w:sz w:val="22"/>
                <w:szCs w:val="22"/>
              </w:rPr>
              <w:t xml:space="preserve">he unknitted (his) brow and laughed. </w:t>
            </w:r>
          </w:p>
        </w:tc>
        <w:tc>
          <w:tcPr>
            <w:tcW w:w="3544" w:type="dxa"/>
          </w:tcPr>
          <w:p w14:paraId="2C39315D" w14:textId="77777777" w:rsidR="005A5A48" w:rsidRPr="00C5687E" w:rsidRDefault="005A5A48" w:rsidP="00C5687E">
            <w:pPr>
              <w:ind w:firstLine="34"/>
              <w:rPr>
                <w:rFonts w:cstheme="majorBidi"/>
                <w:sz w:val="22"/>
                <w:szCs w:val="22"/>
              </w:rPr>
            </w:pPr>
            <w:r w:rsidRPr="00C5687E">
              <w:rPr>
                <w:rFonts w:cstheme="majorBidi"/>
                <w:i/>
                <w:iCs/>
                <w:sz w:val="22"/>
                <w:szCs w:val="22"/>
              </w:rPr>
              <w:t xml:space="preserve">w </w:t>
            </w:r>
            <w:proofErr w:type="spellStart"/>
            <w:r w:rsidRPr="00C5687E">
              <w:rPr>
                <w:rFonts w:cstheme="majorBidi"/>
                <w:i/>
                <w:iCs/>
                <w:sz w:val="22"/>
                <w:szCs w:val="22"/>
              </w:rPr>
              <w:t>yprq</w:t>
            </w:r>
            <w:proofErr w:type="spellEnd"/>
            <w:r w:rsidRPr="00C5687E">
              <w:rPr>
                <w:rFonts w:cstheme="majorBidi"/>
                <w:i/>
                <w:iCs/>
                <w:sz w:val="22"/>
                <w:szCs w:val="22"/>
              </w:rPr>
              <w:t xml:space="preserve"> . </w:t>
            </w:r>
            <w:proofErr w:type="spellStart"/>
            <w:r w:rsidRPr="00C5687E">
              <w:rPr>
                <w:rFonts w:cstheme="majorBidi"/>
                <w:i/>
                <w:iCs/>
                <w:sz w:val="22"/>
                <w:szCs w:val="22"/>
              </w:rPr>
              <w:t>lṣb</w:t>
            </w:r>
            <w:proofErr w:type="spellEnd"/>
            <w:r w:rsidRPr="00C5687E">
              <w:rPr>
                <w:rFonts w:cstheme="majorBidi"/>
                <w:i/>
                <w:iCs/>
                <w:sz w:val="22"/>
                <w:szCs w:val="22"/>
              </w:rPr>
              <w:t xml:space="preserve"> . w </w:t>
            </w:r>
            <w:proofErr w:type="spellStart"/>
            <w:r w:rsidRPr="00C5687E">
              <w:rPr>
                <w:rFonts w:cstheme="majorBidi"/>
                <w:i/>
                <w:iCs/>
                <w:sz w:val="22"/>
                <w:szCs w:val="22"/>
              </w:rPr>
              <w:t>yṣḥq</w:t>
            </w:r>
            <w:proofErr w:type="spellEnd"/>
          </w:p>
        </w:tc>
      </w:tr>
      <w:tr w:rsidR="005A5A48" w:rsidRPr="00A47B88" w14:paraId="36DFF4F8" w14:textId="77777777" w:rsidTr="005A5A48">
        <w:tc>
          <w:tcPr>
            <w:tcW w:w="5812" w:type="dxa"/>
          </w:tcPr>
          <w:p w14:paraId="6E5A2ED7" w14:textId="77777777" w:rsidR="005A5A48" w:rsidRPr="00C5687E" w:rsidRDefault="005A5A48" w:rsidP="00C5687E">
            <w:pPr>
              <w:ind w:firstLine="34"/>
              <w:rPr>
                <w:rFonts w:cstheme="majorBidi"/>
                <w:sz w:val="22"/>
                <w:szCs w:val="22"/>
                <w:rtl/>
              </w:rPr>
            </w:pPr>
            <w:r w:rsidRPr="00C5687E">
              <w:rPr>
                <w:rFonts w:cstheme="majorBidi"/>
                <w:sz w:val="22"/>
                <w:szCs w:val="22"/>
                <w:vertAlign w:val="superscript"/>
              </w:rPr>
              <w:t xml:space="preserve">17 </w:t>
            </w:r>
            <w:r w:rsidRPr="00C5687E">
              <w:rPr>
                <w:rFonts w:cstheme="majorBidi"/>
                <w:sz w:val="22"/>
                <w:szCs w:val="22"/>
              </w:rPr>
              <w:t>He raised his voice and declared:</w:t>
            </w:r>
          </w:p>
        </w:tc>
        <w:tc>
          <w:tcPr>
            <w:tcW w:w="3544" w:type="dxa"/>
          </w:tcPr>
          <w:p w14:paraId="14C3CEC4" w14:textId="77777777" w:rsidR="005A5A48" w:rsidRPr="00C5687E" w:rsidRDefault="005A5A48" w:rsidP="00C5687E">
            <w:pPr>
              <w:ind w:firstLine="34"/>
              <w:rPr>
                <w:rFonts w:cstheme="majorBidi"/>
                <w:sz w:val="22"/>
                <w:szCs w:val="22"/>
              </w:rPr>
            </w:pPr>
            <w:proofErr w:type="spellStart"/>
            <w:r w:rsidRPr="00C5687E">
              <w:rPr>
                <w:rFonts w:cstheme="majorBidi"/>
                <w:i/>
                <w:iCs/>
                <w:sz w:val="22"/>
                <w:szCs w:val="22"/>
              </w:rPr>
              <w:t>yš</w:t>
            </w:r>
            <w:r w:rsidRPr="00C5687E">
              <w:rPr>
                <w:rFonts w:cs="Times New Roman"/>
                <w:i/>
                <w:iCs/>
                <w:sz w:val="22"/>
                <w:szCs w:val="22"/>
              </w:rPr>
              <w:t>ˀ</w:t>
            </w:r>
            <w:r w:rsidRPr="00C5687E">
              <w:rPr>
                <w:rFonts w:cstheme="majorBidi"/>
                <w:i/>
                <w:iCs/>
                <w:sz w:val="22"/>
                <w:szCs w:val="22"/>
              </w:rPr>
              <w:t>u</w:t>
            </w:r>
            <w:proofErr w:type="spellEnd"/>
            <w:r w:rsidRPr="00C5687E">
              <w:rPr>
                <w:rFonts w:cstheme="majorBidi"/>
                <w:i/>
                <w:iCs/>
                <w:sz w:val="22"/>
                <w:szCs w:val="22"/>
              </w:rPr>
              <w:t xml:space="preserve"> . </w:t>
            </w:r>
            <w:proofErr w:type="spellStart"/>
            <w:r w:rsidRPr="00C5687E">
              <w:rPr>
                <w:rFonts w:cstheme="majorBidi"/>
                <w:i/>
                <w:iCs/>
                <w:sz w:val="22"/>
                <w:szCs w:val="22"/>
              </w:rPr>
              <w:t>gh</w:t>
            </w:r>
            <w:proofErr w:type="spellEnd"/>
            <w:r w:rsidRPr="00C5687E">
              <w:rPr>
                <w:rFonts w:cstheme="majorBidi"/>
                <w:i/>
                <w:iCs/>
                <w:sz w:val="22"/>
                <w:szCs w:val="22"/>
              </w:rPr>
              <w:t xml:space="preserve"> . w </w:t>
            </w:r>
            <w:proofErr w:type="spellStart"/>
            <w:r w:rsidRPr="00C5687E">
              <w:rPr>
                <w:rFonts w:cstheme="majorBidi"/>
                <w:i/>
                <w:iCs/>
                <w:sz w:val="22"/>
                <w:szCs w:val="22"/>
              </w:rPr>
              <w:t>yṣḥ</w:t>
            </w:r>
            <w:proofErr w:type="spellEnd"/>
          </w:p>
        </w:tc>
      </w:tr>
      <w:tr w:rsidR="005A5A48" w:rsidRPr="00A47B88" w14:paraId="62A21840" w14:textId="77777777" w:rsidTr="005A5A48">
        <w:tc>
          <w:tcPr>
            <w:tcW w:w="5812" w:type="dxa"/>
          </w:tcPr>
          <w:p w14:paraId="48C597AC" w14:textId="77777777" w:rsidR="005A5A48" w:rsidRPr="00C5687E" w:rsidRDefault="005A5A48" w:rsidP="00C5687E">
            <w:pPr>
              <w:ind w:firstLine="34"/>
              <w:rPr>
                <w:rFonts w:cstheme="majorBidi"/>
                <w:sz w:val="22"/>
                <w:szCs w:val="22"/>
                <w:rtl/>
              </w:rPr>
            </w:pPr>
            <w:r w:rsidRPr="00C5687E">
              <w:rPr>
                <w:rFonts w:cstheme="majorBidi"/>
                <w:sz w:val="22"/>
                <w:szCs w:val="22"/>
                <w:vertAlign w:val="superscript"/>
              </w:rPr>
              <w:t>18</w:t>
            </w:r>
            <w:r w:rsidRPr="00C5687E">
              <w:rPr>
                <w:rFonts w:cstheme="majorBidi"/>
                <w:sz w:val="22"/>
                <w:szCs w:val="22"/>
              </w:rPr>
              <w:t xml:space="preserve"> “(At last) I can sit, and I can rest,</w:t>
            </w:r>
          </w:p>
        </w:tc>
        <w:tc>
          <w:tcPr>
            <w:tcW w:w="3544" w:type="dxa"/>
          </w:tcPr>
          <w:p w14:paraId="5F58898F" w14:textId="77777777" w:rsidR="005A5A48" w:rsidRPr="00C5687E" w:rsidRDefault="005A5A48" w:rsidP="00C5687E">
            <w:pPr>
              <w:ind w:firstLine="34"/>
              <w:rPr>
                <w:rFonts w:cstheme="majorBidi"/>
                <w:sz w:val="22"/>
                <w:szCs w:val="22"/>
              </w:rPr>
            </w:pPr>
            <w:proofErr w:type="spellStart"/>
            <w:r w:rsidRPr="00C5687E">
              <w:rPr>
                <w:rFonts w:cs="Times New Roman"/>
                <w:i/>
                <w:iCs/>
                <w:sz w:val="22"/>
                <w:szCs w:val="22"/>
              </w:rPr>
              <w:t>ˀ</w:t>
            </w:r>
            <w:r w:rsidRPr="00C5687E">
              <w:rPr>
                <w:rFonts w:cstheme="majorBidi"/>
                <w:i/>
                <w:iCs/>
                <w:sz w:val="22"/>
                <w:szCs w:val="22"/>
              </w:rPr>
              <w:t>aṯbn</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ank</w:t>
            </w:r>
            <w:proofErr w:type="spellEnd"/>
            <w:r w:rsidRPr="00C5687E">
              <w:rPr>
                <w:rFonts w:cstheme="majorBidi"/>
                <w:i/>
                <w:iCs/>
                <w:sz w:val="22"/>
                <w:szCs w:val="22"/>
              </w:rPr>
              <w:t xml:space="preserve"> . w </w:t>
            </w:r>
            <w:proofErr w:type="spellStart"/>
            <w:r w:rsidRPr="00C5687E">
              <w:rPr>
                <w:rFonts w:cs="Times New Roman"/>
                <w:i/>
                <w:iCs/>
                <w:sz w:val="22"/>
                <w:szCs w:val="22"/>
              </w:rPr>
              <w:t>ˀ</w:t>
            </w:r>
            <w:r w:rsidRPr="00C5687E">
              <w:rPr>
                <w:rFonts w:cstheme="majorBidi"/>
                <w:i/>
                <w:iCs/>
                <w:sz w:val="22"/>
                <w:szCs w:val="22"/>
              </w:rPr>
              <w:t>anḫn</w:t>
            </w:r>
            <w:proofErr w:type="spellEnd"/>
          </w:p>
        </w:tc>
      </w:tr>
      <w:tr w:rsidR="005A5A48" w:rsidRPr="00A47B88" w14:paraId="586F3AB8" w14:textId="77777777" w:rsidTr="005A5A48">
        <w:tc>
          <w:tcPr>
            <w:tcW w:w="5812" w:type="dxa"/>
          </w:tcPr>
          <w:p w14:paraId="7F893F44" w14:textId="77777777" w:rsidR="005A5A48" w:rsidRPr="00C5687E" w:rsidRDefault="005A5A48" w:rsidP="00C5687E">
            <w:pPr>
              <w:ind w:firstLine="34"/>
              <w:rPr>
                <w:rFonts w:cstheme="majorBidi"/>
                <w:sz w:val="22"/>
                <w:szCs w:val="22"/>
                <w:rtl/>
              </w:rPr>
            </w:pPr>
            <w:r w:rsidRPr="00C5687E">
              <w:rPr>
                <w:rFonts w:cstheme="majorBidi"/>
                <w:sz w:val="22"/>
                <w:szCs w:val="22"/>
                <w:vertAlign w:val="superscript"/>
              </w:rPr>
              <w:t xml:space="preserve">19 </w:t>
            </w:r>
            <w:r w:rsidRPr="00C5687E">
              <w:rPr>
                <w:rFonts w:cstheme="majorBidi"/>
                <w:sz w:val="22"/>
                <w:szCs w:val="22"/>
              </w:rPr>
              <w:t>and my spirit can rest in my breast,</w:t>
            </w:r>
          </w:p>
        </w:tc>
        <w:tc>
          <w:tcPr>
            <w:tcW w:w="3544" w:type="dxa"/>
          </w:tcPr>
          <w:p w14:paraId="4F4D02BF" w14:textId="77777777" w:rsidR="005A5A48" w:rsidRPr="00C5687E" w:rsidRDefault="005A5A48" w:rsidP="00C5687E">
            <w:pPr>
              <w:ind w:firstLine="34"/>
              <w:rPr>
                <w:rFonts w:cstheme="majorBidi"/>
                <w:sz w:val="22"/>
                <w:szCs w:val="22"/>
              </w:rPr>
            </w:pPr>
            <w:r w:rsidRPr="00C5687E">
              <w:rPr>
                <w:rFonts w:cstheme="majorBidi"/>
                <w:i/>
                <w:iCs/>
                <w:sz w:val="22"/>
                <w:szCs w:val="22"/>
              </w:rPr>
              <w:t xml:space="preserve">w </w:t>
            </w:r>
            <w:proofErr w:type="spellStart"/>
            <w:r w:rsidRPr="00C5687E">
              <w:rPr>
                <w:rFonts w:cstheme="majorBidi"/>
                <w:i/>
                <w:iCs/>
                <w:sz w:val="22"/>
                <w:szCs w:val="22"/>
              </w:rPr>
              <w:t>tnḫ</w:t>
            </w:r>
            <w:proofErr w:type="spellEnd"/>
            <w:r w:rsidRPr="00C5687E">
              <w:rPr>
                <w:rFonts w:cstheme="majorBidi"/>
                <w:i/>
                <w:iCs/>
                <w:sz w:val="22"/>
                <w:szCs w:val="22"/>
              </w:rPr>
              <w:t xml:space="preserve"> . b </w:t>
            </w:r>
            <w:proofErr w:type="spellStart"/>
            <w:r w:rsidRPr="00C5687E">
              <w:rPr>
                <w:rFonts w:cs="Times New Roman"/>
                <w:i/>
                <w:iCs/>
                <w:sz w:val="22"/>
                <w:szCs w:val="22"/>
              </w:rPr>
              <w:t>ˀ</w:t>
            </w:r>
            <w:r w:rsidRPr="00C5687E">
              <w:rPr>
                <w:rFonts w:cstheme="majorBidi"/>
                <w:i/>
                <w:iCs/>
                <w:sz w:val="22"/>
                <w:szCs w:val="22"/>
              </w:rPr>
              <w:t>irty</w:t>
            </w:r>
            <w:proofErr w:type="spellEnd"/>
            <w:r w:rsidRPr="00C5687E">
              <w:rPr>
                <w:rFonts w:cstheme="majorBidi"/>
                <w:i/>
                <w:iCs/>
                <w:sz w:val="22"/>
                <w:szCs w:val="22"/>
              </w:rPr>
              <w:t xml:space="preserve"> . </w:t>
            </w:r>
            <w:proofErr w:type="spellStart"/>
            <w:r w:rsidRPr="00C5687E">
              <w:rPr>
                <w:rFonts w:cstheme="majorBidi"/>
                <w:i/>
                <w:iCs/>
                <w:sz w:val="22"/>
                <w:szCs w:val="22"/>
              </w:rPr>
              <w:t>npš</w:t>
            </w:r>
            <w:proofErr w:type="spellEnd"/>
          </w:p>
        </w:tc>
      </w:tr>
      <w:tr w:rsidR="005A5A48" w:rsidRPr="00A47B88" w14:paraId="2AFBE003" w14:textId="77777777" w:rsidTr="005A5A48">
        <w:tc>
          <w:tcPr>
            <w:tcW w:w="5812" w:type="dxa"/>
          </w:tcPr>
          <w:p w14:paraId="3E2C7CCF" w14:textId="77777777" w:rsidR="005A5A48" w:rsidRPr="00C5687E" w:rsidRDefault="005A5A48" w:rsidP="00C5687E">
            <w:pPr>
              <w:ind w:firstLine="34"/>
              <w:rPr>
                <w:rFonts w:cstheme="majorBidi"/>
                <w:sz w:val="22"/>
                <w:szCs w:val="22"/>
                <w:rtl/>
              </w:rPr>
            </w:pPr>
            <w:r w:rsidRPr="00C5687E">
              <w:rPr>
                <w:rFonts w:cstheme="majorBidi"/>
                <w:sz w:val="22"/>
                <w:szCs w:val="22"/>
                <w:vertAlign w:val="superscript"/>
              </w:rPr>
              <w:t xml:space="preserve">20 </w:t>
            </w:r>
            <w:r w:rsidRPr="00C5687E">
              <w:rPr>
                <w:rFonts w:cstheme="majorBidi"/>
                <w:sz w:val="22"/>
                <w:szCs w:val="22"/>
              </w:rPr>
              <w:t>for Mighty Baal is alive,</w:t>
            </w:r>
          </w:p>
        </w:tc>
        <w:tc>
          <w:tcPr>
            <w:tcW w:w="3544" w:type="dxa"/>
          </w:tcPr>
          <w:p w14:paraId="4BBCF47B" w14:textId="77777777" w:rsidR="005A5A48" w:rsidRPr="00C5687E" w:rsidRDefault="005A5A48" w:rsidP="00C5687E">
            <w:pPr>
              <w:ind w:firstLine="34"/>
              <w:rPr>
                <w:rFonts w:cstheme="majorBidi"/>
                <w:sz w:val="22"/>
                <w:szCs w:val="22"/>
              </w:rPr>
            </w:pPr>
            <w:r w:rsidRPr="00C5687E">
              <w:rPr>
                <w:rFonts w:cstheme="majorBidi"/>
                <w:i/>
                <w:iCs/>
                <w:sz w:val="22"/>
                <w:szCs w:val="22"/>
              </w:rPr>
              <w:t xml:space="preserve">k </w:t>
            </w:r>
            <w:proofErr w:type="spellStart"/>
            <w:r w:rsidRPr="00C5687E">
              <w:rPr>
                <w:rFonts w:cstheme="majorBidi"/>
                <w:i/>
                <w:iCs/>
                <w:sz w:val="22"/>
                <w:szCs w:val="22"/>
              </w:rPr>
              <w:t>ḥy</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al</w:t>
            </w:r>
            <w:r w:rsidRPr="00C5687E">
              <w:rPr>
                <w:rFonts w:cs="Times New Roman"/>
                <w:i/>
                <w:iCs/>
                <w:sz w:val="22"/>
                <w:szCs w:val="22"/>
              </w:rPr>
              <w:t>ˀ</w:t>
            </w:r>
            <w:r w:rsidRPr="00C5687E">
              <w:rPr>
                <w:rFonts w:cstheme="majorBidi"/>
                <w:i/>
                <w:iCs/>
                <w:sz w:val="22"/>
                <w:szCs w:val="22"/>
              </w:rPr>
              <w:t>iyn</w:t>
            </w:r>
            <w:proofErr w:type="spellEnd"/>
            <w:r w:rsidRPr="00C5687E">
              <w:rPr>
                <w:rFonts w:cstheme="majorBidi"/>
                <w:i/>
                <w:iCs/>
                <w:sz w:val="22"/>
                <w:szCs w:val="22"/>
              </w:rPr>
              <w:t xml:space="preserve"> . </w:t>
            </w:r>
            <w:proofErr w:type="spellStart"/>
            <w:r w:rsidRPr="00C5687E">
              <w:rPr>
                <w:rFonts w:cstheme="majorBidi"/>
                <w:i/>
                <w:iCs/>
                <w:sz w:val="22"/>
                <w:szCs w:val="22"/>
              </w:rPr>
              <w:t>b</w:t>
            </w:r>
            <w:r w:rsidRPr="00C5687E">
              <w:rPr>
                <w:rFonts w:cs="Times New Roman"/>
                <w:i/>
                <w:iCs/>
                <w:sz w:val="22"/>
                <w:szCs w:val="22"/>
              </w:rPr>
              <w:t>ˁ</w:t>
            </w:r>
            <w:r w:rsidRPr="00C5687E">
              <w:rPr>
                <w:rFonts w:cstheme="majorBidi"/>
                <w:i/>
                <w:iCs/>
                <w:sz w:val="22"/>
                <w:szCs w:val="22"/>
              </w:rPr>
              <w:t>l</w:t>
            </w:r>
            <w:proofErr w:type="spellEnd"/>
          </w:p>
        </w:tc>
      </w:tr>
      <w:tr w:rsidR="005A5A48" w:rsidRPr="00A47B88" w14:paraId="118B385C" w14:textId="77777777" w:rsidTr="005A5A48">
        <w:tc>
          <w:tcPr>
            <w:tcW w:w="5812" w:type="dxa"/>
          </w:tcPr>
          <w:p w14:paraId="1BCD97F4" w14:textId="77777777" w:rsidR="005A5A48" w:rsidRPr="00C5687E" w:rsidRDefault="005A5A48" w:rsidP="00C5687E">
            <w:pPr>
              <w:ind w:firstLine="34"/>
              <w:rPr>
                <w:rFonts w:cstheme="majorBidi"/>
                <w:sz w:val="22"/>
                <w:szCs w:val="22"/>
                <w:rtl/>
              </w:rPr>
            </w:pPr>
            <w:r w:rsidRPr="00C5687E">
              <w:rPr>
                <w:rFonts w:cstheme="majorBidi"/>
                <w:sz w:val="22"/>
                <w:szCs w:val="22"/>
                <w:vertAlign w:val="superscript"/>
              </w:rPr>
              <w:t xml:space="preserve">21 </w:t>
            </w:r>
            <w:r w:rsidRPr="00C5687E">
              <w:rPr>
                <w:rFonts w:cstheme="majorBidi"/>
                <w:sz w:val="22"/>
                <w:szCs w:val="22"/>
              </w:rPr>
              <w:t>the Ruler, Lord of the Land, exists”.</w:t>
            </w:r>
          </w:p>
        </w:tc>
        <w:tc>
          <w:tcPr>
            <w:tcW w:w="3544" w:type="dxa"/>
          </w:tcPr>
          <w:p w14:paraId="394B1C58" w14:textId="77777777" w:rsidR="005A5A48" w:rsidRPr="00C5687E" w:rsidRDefault="005A5A48" w:rsidP="00C5687E">
            <w:pPr>
              <w:ind w:firstLine="34"/>
              <w:rPr>
                <w:rFonts w:cstheme="majorBidi"/>
                <w:sz w:val="22"/>
                <w:szCs w:val="22"/>
              </w:rPr>
            </w:pPr>
            <w:r w:rsidRPr="00C5687E">
              <w:rPr>
                <w:rFonts w:cstheme="majorBidi"/>
                <w:i/>
                <w:iCs/>
                <w:sz w:val="22"/>
                <w:szCs w:val="22"/>
              </w:rPr>
              <w:t xml:space="preserve">k </w:t>
            </w:r>
            <w:proofErr w:type="spellStart"/>
            <w:r w:rsidRPr="00C5687E">
              <w:rPr>
                <w:rFonts w:cs="Times New Roman"/>
                <w:i/>
                <w:iCs/>
                <w:sz w:val="22"/>
                <w:szCs w:val="22"/>
              </w:rPr>
              <w:t>ˀ</w:t>
            </w:r>
            <w:r w:rsidRPr="00C5687E">
              <w:rPr>
                <w:rFonts w:cstheme="majorBidi"/>
                <w:i/>
                <w:iCs/>
                <w:sz w:val="22"/>
                <w:szCs w:val="22"/>
              </w:rPr>
              <w:t>iṯ</w:t>
            </w:r>
            <w:proofErr w:type="spellEnd"/>
            <w:r w:rsidRPr="00C5687E">
              <w:rPr>
                <w:rFonts w:cstheme="majorBidi"/>
                <w:i/>
                <w:iCs/>
                <w:sz w:val="22"/>
                <w:szCs w:val="22"/>
              </w:rPr>
              <w:t xml:space="preserve"> . </w:t>
            </w:r>
            <w:proofErr w:type="spellStart"/>
            <w:r w:rsidRPr="00C5687E">
              <w:rPr>
                <w:rFonts w:cstheme="majorBidi"/>
                <w:i/>
                <w:iCs/>
                <w:sz w:val="22"/>
                <w:szCs w:val="22"/>
              </w:rPr>
              <w:t>zbl</w:t>
            </w:r>
            <w:proofErr w:type="spellEnd"/>
            <w:r w:rsidRPr="00C5687E">
              <w:rPr>
                <w:rFonts w:cstheme="majorBidi"/>
                <w:i/>
                <w:iCs/>
                <w:sz w:val="22"/>
                <w:szCs w:val="22"/>
              </w:rPr>
              <w:t xml:space="preserve"> . </w:t>
            </w:r>
            <w:proofErr w:type="spellStart"/>
            <w:r w:rsidRPr="00C5687E">
              <w:rPr>
                <w:rFonts w:cstheme="majorBidi"/>
                <w:i/>
                <w:iCs/>
                <w:sz w:val="22"/>
                <w:szCs w:val="22"/>
              </w:rPr>
              <w:t>b</w:t>
            </w:r>
            <w:r w:rsidRPr="00C5687E">
              <w:rPr>
                <w:rFonts w:cs="Times New Roman"/>
                <w:i/>
                <w:iCs/>
                <w:sz w:val="22"/>
                <w:szCs w:val="22"/>
              </w:rPr>
              <w:t>ˁ</w:t>
            </w:r>
            <w:r w:rsidRPr="00C5687E">
              <w:rPr>
                <w:rFonts w:cstheme="majorBidi"/>
                <w:i/>
                <w:iCs/>
                <w:sz w:val="22"/>
                <w:szCs w:val="22"/>
              </w:rPr>
              <w:t>l</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arṣ</w:t>
            </w:r>
            <w:proofErr w:type="spellEnd"/>
          </w:p>
        </w:tc>
      </w:tr>
    </w:tbl>
    <w:p w14:paraId="38A6AFAF" w14:textId="667EDB4D" w:rsidR="005A5A48" w:rsidRPr="00A47B88" w:rsidRDefault="005A5A48">
      <w:pPr>
        <w:tabs>
          <w:tab w:val="left" w:pos="8910"/>
        </w:tabs>
        <w:spacing w:before="120"/>
        <w:rPr>
          <w:rtl/>
        </w:rPr>
        <w:pPrChange w:id="69" w:author="Avraham Kallenbah" w:date="2021-04-13T08:39:00Z">
          <w:pPr>
            <w:spacing w:before="120"/>
          </w:pPr>
        </w:pPrChange>
      </w:pPr>
      <w:r>
        <w:lastRenderedPageBreak/>
        <w:t xml:space="preserve">The use of the root </w:t>
      </w:r>
      <w:r>
        <w:rPr>
          <w:i/>
          <w:iCs/>
        </w:rPr>
        <w:t xml:space="preserve">ḥ-y </w:t>
      </w:r>
      <w:r>
        <w:t>(“to live”) in the G stem clarifies that Baal</w:t>
      </w:r>
      <w:r w:rsidR="00B81246">
        <w:t xml:space="preserve"> –</w:t>
      </w:r>
      <w:r>
        <w:t xml:space="preserve"> who was described in the previous lines (e.g., 1.5 VI 8-10) as dead (Ugaritic </w:t>
      </w:r>
      <w:proofErr w:type="spellStart"/>
      <w:r>
        <w:rPr>
          <w:i/>
          <w:iCs/>
        </w:rPr>
        <w:t>npl</w:t>
      </w:r>
      <w:proofErr w:type="spellEnd"/>
      <w:r>
        <w:rPr>
          <w:i/>
          <w:iCs/>
        </w:rPr>
        <w:t xml:space="preserve"> </w:t>
      </w:r>
      <w:proofErr w:type="spellStart"/>
      <w:r>
        <w:rPr>
          <w:i/>
          <w:iCs/>
        </w:rPr>
        <w:t>lˀarṣ</w:t>
      </w:r>
      <w:proofErr w:type="spellEnd"/>
      <w:r>
        <w:t xml:space="preserve">; </w:t>
      </w:r>
      <w:r>
        <w:rPr>
          <w:i/>
          <w:iCs/>
        </w:rPr>
        <w:t>mt</w:t>
      </w:r>
      <w:r>
        <w:t xml:space="preserve">; </w:t>
      </w:r>
      <w:proofErr w:type="spellStart"/>
      <w:r>
        <w:rPr>
          <w:i/>
          <w:iCs/>
        </w:rPr>
        <w:t>ḫlq</w:t>
      </w:r>
      <w:proofErr w:type="spellEnd"/>
      <w:r>
        <w:t>) and being buried in the tomb of the gods</w:t>
      </w:r>
      <w:r w:rsidR="00B81246">
        <w:t xml:space="preserve"> – </w:t>
      </w:r>
      <w:r>
        <w:t xml:space="preserve">has finally </w:t>
      </w:r>
      <w:r w:rsidR="00F110BC">
        <w:t xml:space="preserve">been </w:t>
      </w:r>
      <w:r>
        <w:t xml:space="preserve">resurrected. El’s joy upon his resurrection, reminiscent of the celebrations held for the god’s resurrection in the writings of the late antiquity (cited above), further attest to this. However, it should be </w:t>
      </w:r>
      <w:r w:rsidR="00F110BC">
        <w:t xml:space="preserve">noted </w:t>
      </w:r>
      <w:r>
        <w:t xml:space="preserve">that El’s joy over his son’s resurrection, like his mourning over his death, contradict the primary narrative of the Baal Cycle – i.e., that El </w:t>
      </w:r>
      <w:r w:rsidR="00977F53">
        <w:t>is</w:t>
      </w:r>
      <w:r>
        <w:t xml:space="preserve"> </w:t>
      </w:r>
      <w:r w:rsidR="002017AC">
        <w:t>hostile to</w:t>
      </w:r>
      <w:r>
        <w:t xml:space="preserve"> Baal, </w:t>
      </w:r>
      <w:r w:rsidR="00621C97">
        <w:rPr>
          <w:lang w:val="en-GB" w:bidi="he-IL"/>
        </w:rPr>
        <w:t>who</w:t>
      </w:r>
      <w:r w:rsidR="002017AC">
        <w:rPr>
          <w:lang w:val="en-GB" w:bidi="he-IL"/>
        </w:rPr>
        <w:t>se appellation is</w:t>
      </w:r>
      <w:r w:rsidR="00621C97">
        <w:rPr>
          <w:lang w:val="en-GB" w:bidi="he-IL"/>
        </w:rPr>
        <w:t xml:space="preserve"> </w:t>
      </w:r>
      <w:r w:rsidR="002017AC">
        <w:rPr>
          <w:lang w:val="en-GB" w:bidi="he-IL"/>
        </w:rPr>
        <w:t>“</w:t>
      </w:r>
      <w:r>
        <w:t>the son of Dagan.</w:t>
      </w:r>
      <w:r w:rsidR="00621C97">
        <w:t>”</w:t>
      </w:r>
      <w:r>
        <w:rPr>
          <w:rStyle w:val="FootnoteReference"/>
        </w:rPr>
        <w:footnoteReference w:id="58"/>
      </w:r>
      <w:r>
        <w:t xml:space="preserve"> This suggests that the motif of El’s mourning and joy is not a result of the author’s own creativity. Rather it was an integral part of the mythologem of a dying and rising god in Ugarit which the author borrowed, as is, from an existing tradition. </w:t>
      </w:r>
    </w:p>
    <w:p w14:paraId="6DAEA789" w14:textId="2BB01881" w:rsidR="005A5A48" w:rsidRPr="00A47B88" w:rsidRDefault="005A5A48" w:rsidP="005A5A48">
      <w:pPr>
        <w:spacing w:after="120"/>
        <w:ind w:firstLine="289"/>
        <w:rPr>
          <w:rtl/>
        </w:rPr>
      </w:pPr>
      <w:r>
        <w:t>Following the portrayal of Baal’s rising from the dead, the tablet</w:t>
      </w:r>
      <w:r w:rsidR="00621C97">
        <w:t>s</w:t>
      </w:r>
      <w:r>
        <w:t xml:space="preserve"> go on to narrate how El called to Baal’s sister </w:t>
      </w:r>
      <w:proofErr w:type="spellStart"/>
      <w:r>
        <w:t>Anat</w:t>
      </w:r>
      <w:proofErr w:type="spellEnd"/>
      <w:r>
        <w:t xml:space="preserve">, and told her to command the sun goddess, </w:t>
      </w:r>
      <w:proofErr w:type="spellStart"/>
      <w:r>
        <w:t>Šapšu</w:t>
      </w:r>
      <w:proofErr w:type="spellEnd"/>
      <w:r>
        <w:t>, to search for the living Baal:</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73"/>
      </w:tblGrid>
      <w:tr w:rsidR="005A5A48" w:rsidRPr="00A47B88" w14:paraId="3F72DE95" w14:textId="77777777" w:rsidTr="005A5A48">
        <w:tc>
          <w:tcPr>
            <w:tcW w:w="5387" w:type="dxa"/>
          </w:tcPr>
          <w:p w14:paraId="605E203D" w14:textId="77777777" w:rsidR="005A5A48" w:rsidRPr="00C5687E" w:rsidRDefault="005A5A48" w:rsidP="00C5687E">
            <w:pPr>
              <w:ind w:firstLine="0"/>
              <w:rPr>
                <w:rFonts w:cstheme="majorBidi"/>
                <w:sz w:val="22"/>
                <w:szCs w:val="22"/>
                <w:rtl/>
              </w:rPr>
            </w:pPr>
            <w:r w:rsidRPr="00C5687E">
              <w:rPr>
                <w:rFonts w:cstheme="majorBidi"/>
                <w:sz w:val="22"/>
                <w:szCs w:val="22"/>
                <w:vertAlign w:val="superscript"/>
              </w:rPr>
              <w:t>22</w:t>
            </w:r>
            <w:r w:rsidRPr="00C5687E">
              <w:rPr>
                <w:rFonts w:cstheme="majorBidi"/>
                <w:sz w:val="22"/>
                <w:szCs w:val="22"/>
              </w:rPr>
              <w:t xml:space="preserve"> (Then) El called aloud to Adolescent </w:t>
            </w:r>
          </w:p>
        </w:tc>
        <w:tc>
          <w:tcPr>
            <w:tcW w:w="3973" w:type="dxa"/>
          </w:tcPr>
          <w:p w14:paraId="1607AC8A" w14:textId="77777777" w:rsidR="005A5A48" w:rsidRPr="00C5687E" w:rsidRDefault="005A5A48" w:rsidP="00C5687E">
            <w:pPr>
              <w:ind w:firstLine="0"/>
              <w:rPr>
                <w:rFonts w:cstheme="majorBidi"/>
                <w:sz w:val="22"/>
                <w:szCs w:val="22"/>
              </w:rPr>
            </w:pPr>
            <w:r w:rsidRPr="00C5687E">
              <w:rPr>
                <w:rFonts w:cstheme="majorBidi"/>
                <w:i/>
                <w:iCs/>
                <w:sz w:val="22"/>
                <w:szCs w:val="22"/>
              </w:rPr>
              <w:t xml:space="preserve">gm . </w:t>
            </w:r>
            <w:proofErr w:type="spellStart"/>
            <w:r w:rsidRPr="00C5687E">
              <w:rPr>
                <w:rFonts w:cstheme="majorBidi"/>
                <w:i/>
                <w:iCs/>
                <w:sz w:val="22"/>
                <w:szCs w:val="22"/>
              </w:rPr>
              <w:t>yṣḥ</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il</w:t>
            </w:r>
            <w:proofErr w:type="spellEnd"/>
            <w:r w:rsidRPr="00C5687E">
              <w:rPr>
                <w:rFonts w:cstheme="majorBidi"/>
                <w:i/>
                <w:iCs/>
                <w:sz w:val="22"/>
                <w:szCs w:val="22"/>
              </w:rPr>
              <w:t xml:space="preserve"> . l </w:t>
            </w:r>
            <w:proofErr w:type="spellStart"/>
            <w:r w:rsidRPr="00C5687E">
              <w:rPr>
                <w:rFonts w:cstheme="majorBidi"/>
                <w:i/>
                <w:iCs/>
                <w:sz w:val="22"/>
                <w:szCs w:val="22"/>
              </w:rPr>
              <w:t>btlt</w:t>
            </w:r>
            <w:proofErr w:type="spellEnd"/>
            <w:r w:rsidRPr="00C5687E">
              <w:rPr>
                <w:rFonts w:cstheme="majorBidi"/>
                <w:sz w:val="22"/>
                <w:szCs w:val="22"/>
              </w:rPr>
              <w:t xml:space="preserve"> </w:t>
            </w:r>
          </w:p>
        </w:tc>
      </w:tr>
      <w:tr w:rsidR="005A5A48" w:rsidRPr="00A47B88" w14:paraId="73018248" w14:textId="77777777" w:rsidTr="005A5A48">
        <w:tc>
          <w:tcPr>
            <w:tcW w:w="5387" w:type="dxa"/>
          </w:tcPr>
          <w:p w14:paraId="34D1D9AA" w14:textId="77777777" w:rsidR="005A5A48" w:rsidRPr="00C5687E" w:rsidRDefault="005A5A48" w:rsidP="00C5687E">
            <w:pPr>
              <w:ind w:firstLine="0"/>
              <w:rPr>
                <w:rFonts w:cstheme="majorBidi"/>
                <w:sz w:val="22"/>
                <w:szCs w:val="22"/>
                <w:rtl/>
              </w:rPr>
            </w:pPr>
            <w:r w:rsidRPr="00C5687E">
              <w:rPr>
                <w:rFonts w:cstheme="majorBidi"/>
                <w:sz w:val="22"/>
                <w:szCs w:val="22"/>
                <w:vertAlign w:val="superscript"/>
              </w:rPr>
              <w:t xml:space="preserve">23 </w:t>
            </w:r>
            <w:proofErr w:type="spellStart"/>
            <w:r w:rsidRPr="00C5687E">
              <w:rPr>
                <w:rFonts w:cstheme="majorBidi"/>
                <w:sz w:val="22"/>
                <w:szCs w:val="22"/>
              </w:rPr>
              <w:t>Anat</w:t>
            </w:r>
            <w:proofErr w:type="spellEnd"/>
            <w:r w:rsidRPr="00C5687E">
              <w:rPr>
                <w:rFonts w:cstheme="majorBidi"/>
                <w:sz w:val="22"/>
                <w:szCs w:val="22"/>
              </w:rPr>
              <w:t xml:space="preserve">: “Listen, O Adolescent </w:t>
            </w:r>
            <w:proofErr w:type="spellStart"/>
            <w:r w:rsidRPr="00C5687E">
              <w:rPr>
                <w:rFonts w:cstheme="majorBidi"/>
                <w:sz w:val="22"/>
                <w:szCs w:val="22"/>
              </w:rPr>
              <w:t>Anat</w:t>
            </w:r>
            <w:proofErr w:type="spellEnd"/>
            <w:r w:rsidRPr="00C5687E">
              <w:rPr>
                <w:rFonts w:cstheme="majorBidi"/>
                <w:sz w:val="22"/>
                <w:szCs w:val="22"/>
              </w:rPr>
              <w:t xml:space="preserve">, </w:t>
            </w:r>
          </w:p>
        </w:tc>
        <w:tc>
          <w:tcPr>
            <w:tcW w:w="3973" w:type="dxa"/>
          </w:tcPr>
          <w:p w14:paraId="719818EF" w14:textId="77777777" w:rsidR="005A5A48" w:rsidRPr="00C5687E" w:rsidRDefault="005A5A48" w:rsidP="00C5687E">
            <w:pPr>
              <w:ind w:firstLine="0"/>
              <w:rPr>
                <w:rFonts w:cstheme="majorBidi"/>
                <w:sz w:val="22"/>
                <w:szCs w:val="22"/>
              </w:rPr>
            </w:pPr>
            <w:proofErr w:type="spellStart"/>
            <w:r w:rsidRPr="00C5687E">
              <w:rPr>
                <w:rFonts w:cs="Times New Roman"/>
                <w:i/>
                <w:iCs/>
                <w:sz w:val="22"/>
                <w:szCs w:val="22"/>
              </w:rPr>
              <w:t>ˁ</w:t>
            </w:r>
            <w:r w:rsidRPr="00C5687E">
              <w:rPr>
                <w:rFonts w:cstheme="majorBidi"/>
                <w:i/>
                <w:iCs/>
                <w:sz w:val="22"/>
                <w:szCs w:val="22"/>
              </w:rPr>
              <w:t>nt</w:t>
            </w:r>
            <w:proofErr w:type="spellEnd"/>
            <w:r w:rsidRPr="00C5687E">
              <w:rPr>
                <w:rFonts w:cstheme="majorBidi"/>
                <w:i/>
                <w:iCs/>
                <w:sz w:val="22"/>
                <w:szCs w:val="22"/>
              </w:rPr>
              <w:t xml:space="preserve"> . </w:t>
            </w:r>
            <w:proofErr w:type="spellStart"/>
            <w:r w:rsidRPr="00C5687E">
              <w:rPr>
                <w:rFonts w:cstheme="majorBidi"/>
                <w:i/>
                <w:iCs/>
                <w:sz w:val="22"/>
                <w:szCs w:val="22"/>
              </w:rPr>
              <w:t>šm</w:t>
            </w:r>
            <w:r w:rsidRPr="00C5687E">
              <w:rPr>
                <w:rFonts w:cs="Times New Roman"/>
                <w:i/>
                <w:iCs/>
                <w:sz w:val="22"/>
                <w:szCs w:val="22"/>
              </w:rPr>
              <w:t>ˁ</w:t>
            </w:r>
            <w:proofErr w:type="spellEnd"/>
            <w:r w:rsidRPr="00C5687E">
              <w:rPr>
                <w:rFonts w:cstheme="majorBidi"/>
                <w:i/>
                <w:iCs/>
                <w:sz w:val="22"/>
                <w:szCs w:val="22"/>
              </w:rPr>
              <w:t xml:space="preserve"> . l </w:t>
            </w:r>
            <w:proofErr w:type="spellStart"/>
            <w:r w:rsidRPr="00C5687E">
              <w:rPr>
                <w:rFonts w:cstheme="majorBidi"/>
                <w:i/>
                <w:iCs/>
                <w:sz w:val="22"/>
                <w:szCs w:val="22"/>
              </w:rPr>
              <w:t>btlt</w:t>
            </w:r>
            <w:proofErr w:type="spellEnd"/>
            <w:r w:rsidRPr="00C5687E">
              <w:rPr>
                <w:rFonts w:cstheme="majorBidi"/>
                <w:i/>
                <w:iCs/>
                <w:sz w:val="22"/>
                <w:szCs w:val="22"/>
              </w:rPr>
              <w:t xml:space="preserve"> . </w:t>
            </w:r>
            <w:proofErr w:type="spellStart"/>
            <w:r w:rsidRPr="00C5687E">
              <w:rPr>
                <w:rFonts w:cs="Times New Roman"/>
                <w:i/>
                <w:iCs/>
                <w:sz w:val="22"/>
                <w:szCs w:val="22"/>
              </w:rPr>
              <w:t>ˁ</w:t>
            </w:r>
            <w:r w:rsidRPr="00C5687E">
              <w:rPr>
                <w:rFonts w:cstheme="majorBidi"/>
                <w:i/>
                <w:iCs/>
                <w:sz w:val="22"/>
                <w:szCs w:val="22"/>
              </w:rPr>
              <w:t>nt</w:t>
            </w:r>
            <w:proofErr w:type="spellEnd"/>
          </w:p>
        </w:tc>
      </w:tr>
      <w:tr w:rsidR="005A5A48" w:rsidRPr="00A47B88" w14:paraId="527C7840" w14:textId="77777777" w:rsidTr="005A5A48">
        <w:tc>
          <w:tcPr>
            <w:tcW w:w="5387" w:type="dxa"/>
          </w:tcPr>
          <w:p w14:paraId="1BEFEEEE" w14:textId="77777777" w:rsidR="005A5A48" w:rsidRPr="00C5687E" w:rsidRDefault="005A5A48" w:rsidP="00C5687E">
            <w:pPr>
              <w:ind w:firstLine="0"/>
              <w:rPr>
                <w:rFonts w:cstheme="majorBidi"/>
                <w:sz w:val="22"/>
                <w:szCs w:val="22"/>
                <w:rtl/>
              </w:rPr>
            </w:pPr>
            <w:r w:rsidRPr="00C5687E">
              <w:rPr>
                <w:rFonts w:cstheme="majorBidi"/>
                <w:sz w:val="22"/>
                <w:szCs w:val="22"/>
                <w:vertAlign w:val="superscript"/>
              </w:rPr>
              <w:t xml:space="preserve">24 </w:t>
            </w:r>
            <w:r w:rsidRPr="00C5687E">
              <w:rPr>
                <w:rFonts w:cstheme="majorBidi"/>
                <w:sz w:val="22"/>
                <w:szCs w:val="22"/>
              </w:rPr>
              <w:t xml:space="preserve">say to </w:t>
            </w:r>
            <w:proofErr w:type="spellStart"/>
            <w:r w:rsidRPr="00C5687E">
              <w:rPr>
                <w:rFonts w:cstheme="majorBidi"/>
                <w:sz w:val="22"/>
                <w:szCs w:val="22"/>
              </w:rPr>
              <w:t>Šapšu</w:t>
            </w:r>
            <w:proofErr w:type="spellEnd"/>
            <w:r w:rsidRPr="00C5687E">
              <w:rPr>
                <w:rFonts w:cstheme="majorBidi"/>
                <w:sz w:val="22"/>
                <w:szCs w:val="22"/>
              </w:rPr>
              <w:t xml:space="preserve">, the Luminary of gods: </w:t>
            </w:r>
          </w:p>
        </w:tc>
        <w:tc>
          <w:tcPr>
            <w:tcW w:w="3973" w:type="dxa"/>
          </w:tcPr>
          <w:p w14:paraId="5EADF427" w14:textId="77777777" w:rsidR="005A5A48" w:rsidRPr="00C5687E" w:rsidRDefault="005A5A48" w:rsidP="00C5687E">
            <w:pPr>
              <w:ind w:firstLine="0"/>
              <w:rPr>
                <w:rFonts w:cstheme="majorBidi"/>
                <w:sz w:val="22"/>
                <w:szCs w:val="22"/>
              </w:rPr>
            </w:pPr>
            <w:proofErr w:type="spellStart"/>
            <w:r w:rsidRPr="00C5687E">
              <w:rPr>
                <w:rFonts w:cstheme="majorBidi"/>
                <w:i/>
                <w:iCs/>
                <w:sz w:val="22"/>
                <w:szCs w:val="22"/>
              </w:rPr>
              <w:t>rgm</w:t>
            </w:r>
            <w:proofErr w:type="spellEnd"/>
            <w:r w:rsidRPr="00C5687E">
              <w:rPr>
                <w:rFonts w:cstheme="majorBidi"/>
                <w:i/>
                <w:iCs/>
                <w:sz w:val="22"/>
                <w:szCs w:val="22"/>
              </w:rPr>
              <w:t xml:space="preserve"> . l </w:t>
            </w:r>
            <w:proofErr w:type="spellStart"/>
            <w:r w:rsidRPr="00C5687E">
              <w:rPr>
                <w:rFonts w:cstheme="majorBidi"/>
                <w:i/>
                <w:iCs/>
                <w:sz w:val="22"/>
                <w:szCs w:val="22"/>
              </w:rPr>
              <w:t>nrt</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il</w:t>
            </w:r>
            <w:proofErr w:type="spellEnd"/>
            <w:r w:rsidRPr="00C5687E">
              <w:rPr>
                <w:rFonts w:cstheme="majorBidi"/>
                <w:i/>
                <w:iCs/>
                <w:sz w:val="22"/>
                <w:szCs w:val="22"/>
              </w:rPr>
              <w:t xml:space="preserve">&lt;m&gt; . </w:t>
            </w:r>
            <w:proofErr w:type="spellStart"/>
            <w:r w:rsidRPr="00C5687E">
              <w:rPr>
                <w:rFonts w:cstheme="majorBidi"/>
                <w:i/>
                <w:iCs/>
                <w:sz w:val="22"/>
                <w:szCs w:val="22"/>
              </w:rPr>
              <w:t>špš</w:t>
            </w:r>
            <w:proofErr w:type="spellEnd"/>
          </w:p>
        </w:tc>
      </w:tr>
      <w:tr w:rsidR="005A5A48" w:rsidRPr="00A47B88" w14:paraId="74ADA64D" w14:textId="77777777" w:rsidTr="005A5A48">
        <w:tc>
          <w:tcPr>
            <w:tcW w:w="5387" w:type="dxa"/>
          </w:tcPr>
          <w:p w14:paraId="0C1E014D" w14:textId="77777777" w:rsidR="005A5A48" w:rsidRPr="00C5687E" w:rsidRDefault="005A5A48" w:rsidP="00C5687E">
            <w:pPr>
              <w:ind w:firstLine="0"/>
              <w:rPr>
                <w:rFonts w:cstheme="majorBidi"/>
                <w:sz w:val="22"/>
                <w:szCs w:val="22"/>
                <w:rtl/>
              </w:rPr>
            </w:pPr>
            <w:r w:rsidRPr="00C5687E">
              <w:rPr>
                <w:rFonts w:cstheme="majorBidi"/>
                <w:sz w:val="22"/>
                <w:szCs w:val="22"/>
                <w:vertAlign w:val="superscript"/>
              </w:rPr>
              <w:t>IV 1</w:t>
            </w:r>
            <w:r w:rsidRPr="00C5687E">
              <w:rPr>
                <w:rFonts w:cstheme="majorBidi"/>
                <w:sz w:val="22"/>
                <w:szCs w:val="22"/>
              </w:rPr>
              <w:t xml:space="preserve"> ‘Look at</w:t>
            </w:r>
            <w:r w:rsidRPr="00C5687E">
              <w:rPr>
                <w:rStyle w:val="FootnoteReference"/>
                <w:sz w:val="22"/>
                <w:szCs w:val="22"/>
              </w:rPr>
              <w:footnoteReference w:id="59"/>
            </w:r>
            <w:r w:rsidRPr="00C5687E">
              <w:rPr>
                <w:rFonts w:cstheme="majorBidi"/>
                <w:sz w:val="22"/>
                <w:szCs w:val="22"/>
              </w:rPr>
              <w:t xml:space="preserve"> the furrows of the fields, O </w:t>
            </w:r>
            <w:proofErr w:type="spellStart"/>
            <w:r w:rsidRPr="00C5687E">
              <w:rPr>
                <w:rFonts w:cstheme="majorBidi"/>
                <w:sz w:val="22"/>
                <w:szCs w:val="22"/>
              </w:rPr>
              <w:t>Šapšu</w:t>
            </w:r>
            <w:proofErr w:type="spellEnd"/>
            <w:r w:rsidRPr="00C5687E">
              <w:rPr>
                <w:rFonts w:cstheme="majorBidi"/>
                <w:sz w:val="22"/>
                <w:szCs w:val="22"/>
              </w:rPr>
              <w:t>,</w:t>
            </w:r>
          </w:p>
        </w:tc>
        <w:tc>
          <w:tcPr>
            <w:tcW w:w="3973" w:type="dxa"/>
          </w:tcPr>
          <w:p w14:paraId="76249679" w14:textId="77777777" w:rsidR="005A5A48" w:rsidRPr="00C5687E" w:rsidRDefault="005A5A48" w:rsidP="00C5687E">
            <w:pPr>
              <w:ind w:firstLine="0"/>
              <w:rPr>
                <w:rFonts w:cstheme="majorBidi"/>
                <w:sz w:val="22"/>
                <w:szCs w:val="22"/>
              </w:rPr>
            </w:pPr>
            <w:r w:rsidRPr="00C5687E">
              <w:rPr>
                <w:rFonts w:cstheme="majorBidi"/>
                <w:i/>
                <w:iCs/>
                <w:sz w:val="22"/>
                <w:szCs w:val="22"/>
              </w:rPr>
              <w:t xml:space="preserve">pl . </w:t>
            </w:r>
            <w:proofErr w:type="spellStart"/>
            <w:r w:rsidRPr="00C5687E">
              <w:rPr>
                <w:rFonts w:cs="Times New Roman"/>
                <w:i/>
                <w:iCs/>
                <w:sz w:val="22"/>
                <w:szCs w:val="22"/>
              </w:rPr>
              <w:t>ˁ</w:t>
            </w:r>
            <w:r w:rsidRPr="00C5687E">
              <w:rPr>
                <w:rFonts w:cstheme="majorBidi"/>
                <w:i/>
                <w:iCs/>
                <w:sz w:val="22"/>
                <w:szCs w:val="22"/>
              </w:rPr>
              <w:t>nt</w:t>
            </w:r>
            <w:proofErr w:type="spellEnd"/>
            <w:r w:rsidRPr="00C5687E">
              <w:rPr>
                <w:rFonts w:cstheme="majorBidi"/>
                <w:i/>
                <w:iCs/>
                <w:sz w:val="22"/>
                <w:szCs w:val="22"/>
              </w:rPr>
              <w:t xml:space="preserve"> . </w:t>
            </w:r>
            <w:proofErr w:type="spellStart"/>
            <w:r w:rsidRPr="00C5687E">
              <w:rPr>
                <w:rFonts w:cstheme="majorBidi"/>
                <w:i/>
                <w:iCs/>
                <w:sz w:val="22"/>
                <w:szCs w:val="22"/>
              </w:rPr>
              <w:t>šdm</w:t>
            </w:r>
            <w:proofErr w:type="spellEnd"/>
            <w:r w:rsidRPr="00C5687E">
              <w:rPr>
                <w:rFonts w:cstheme="majorBidi"/>
                <w:i/>
                <w:iCs/>
                <w:sz w:val="22"/>
                <w:szCs w:val="22"/>
              </w:rPr>
              <w:t xml:space="preserve"> . y </w:t>
            </w:r>
            <w:proofErr w:type="spellStart"/>
            <w:r w:rsidRPr="00C5687E">
              <w:rPr>
                <w:rFonts w:cstheme="majorBidi"/>
                <w:i/>
                <w:iCs/>
                <w:sz w:val="22"/>
                <w:szCs w:val="22"/>
              </w:rPr>
              <w:t>špš</w:t>
            </w:r>
            <w:proofErr w:type="spellEnd"/>
          </w:p>
        </w:tc>
      </w:tr>
      <w:tr w:rsidR="005A5A48" w:rsidRPr="00A47B88" w14:paraId="2D375ECA" w14:textId="77777777" w:rsidTr="005A5A48">
        <w:tc>
          <w:tcPr>
            <w:tcW w:w="5387" w:type="dxa"/>
          </w:tcPr>
          <w:p w14:paraId="44D1CC09" w14:textId="77777777" w:rsidR="005A5A48" w:rsidRPr="00C5687E" w:rsidRDefault="005A5A48" w:rsidP="00C5687E">
            <w:pPr>
              <w:ind w:firstLine="0"/>
              <w:rPr>
                <w:rFonts w:cstheme="majorBidi"/>
                <w:sz w:val="22"/>
                <w:szCs w:val="22"/>
              </w:rPr>
            </w:pPr>
            <w:r w:rsidRPr="00C5687E">
              <w:rPr>
                <w:rFonts w:cstheme="majorBidi"/>
                <w:sz w:val="22"/>
                <w:szCs w:val="22"/>
                <w:vertAlign w:val="superscript"/>
              </w:rPr>
              <w:lastRenderedPageBreak/>
              <w:t>2</w:t>
            </w:r>
            <w:r w:rsidRPr="00C5687E">
              <w:rPr>
                <w:rFonts w:cstheme="majorBidi"/>
                <w:sz w:val="22"/>
                <w:szCs w:val="22"/>
              </w:rPr>
              <w:t>look at the furrows of the vast fields. Does Baal water</w:t>
            </w:r>
            <w:r w:rsidRPr="00C5687E">
              <w:rPr>
                <w:rStyle w:val="FootnoteReference"/>
                <w:rFonts w:cstheme="majorBidi"/>
                <w:sz w:val="22"/>
                <w:szCs w:val="22"/>
              </w:rPr>
              <w:footnoteReference w:id="60"/>
            </w:r>
          </w:p>
        </w:tc>
        <w:tc>
          <w:tcPr>
            <w:tcW w:w="3973" w:type="dxa"/>
          </w:tcPr>
          <w:p w14:paraId="3F8D5D0C" w14:textId="77777777" w:rsidR="005A5A48" w:rsidRPr="00C5687E" w:rsidRDefault="005A5A48" w:rsidP="00C5687E">
            <w:pPr>
              <w:ind w:firstLine="0"/>
              <w:rPr>
                <w:rFonts w:cstheme="majorBidi"/>
                <w:sz w:val="22"/>
                <w:szCs w:val="22"/>
              </w:rPr>
            </w:pPr>
            <w:r w:rsidRPr="00C5687E">
              <w:rPr>
                <w:rFonts w:cstheme="majorBidi"/>
                <w:i/>
                <w:iCs/>
                <w:sz w:val="22"/>
                <w:szCs w:val="22"/>
              </w:rPr>
              <w:t xml:space="preserve">pl . </w:t>
            </w:r>
            <w:proofErr w:type="spellStart"/>
            <w:r w:rsidRPr="00C5687E">
              <w:rPr>
                <w:rFonts w:cs="Times New Roman"/>
                <w:i/>
                <w:iCs/>
                <w:sz w:val="22"/>
                <w:szCs w:val="22"/>
              </w:rPr>
              <w:t>ˁ</w:t>
            </w:r>
            <w:r w:rsidRPr="00C5687E">
              <w:rPr>
                <w:rFonts w:cstheme="majorBidi"/>
                <w:i/>
                <w:iCs/>
                <w:sz w:val="22"/>
                <w:szCs w:val="22"/>
              </w:rPr>
              <w:t>nt</w:t>
            </w:r>
            <w:proofErr w:type="spellEnd"/>
            <w:r w:rsidRPr="00C5687E">
              <w:rPr>
                <w:rFonts w:cstheme="majorBidi"/>
                <w:i/>
                <w:iCs/>
                <w:sz w:val="22"/>
                <w:szCs w:val="22"/>
              </w:rPr>
              <w:t xml:space="preserve"> . </w:t>
            </w:r>
            <w:proofErr w:type="spellStart"/>
            <w:r w:rsidRPr="00C5687E">
              <w:rPr>
                <w:rFonts w:cstheme="majorBidi"/>
                <w:i/>
                <w:iCs/>
                <w:sz w:val="22"/>
                <w:szCs w:val="22"/>
              </w:rPr>
              <w:t>šdm</w:t>
            </w:r>
            <w:proofErr w:type="spellEnd"/>
            <w:r w:rsidRPr="00C5687E">
              <w:rPr>
                <w:rFonts w:cstheme="majorBidi"/>
                <w:sz w:val="22"/>
                <w:szCs w:val="22"/>
              </w:rPr>
              <w:t>[ .]</w:t>
            </w:r>
            <w:proofErr w:type="spellStart"/>
            <w:r w:rsidRPr="00C5687E">
              <w:rPr>
                <w:rFonts w:cs="Times New Roman"/>
                <w:i/>
                <w:iCs/>
                <w:sz w:val="22"/>
                <w:szCs w:val="22"/>
              </w:rPr>
              <w:t>ˀ</w:t>
            </w:r>
            <w:r w:rsidRPr="00C5687E">
              <w:rPr>
                <w:rFonts w:cstheme="majorBidi"/>
                <w:i/>
                <w:iCs/>
                <w:sz w:val="22"/>
                <w:szCs w:val="22"/>
              </w:rPr>
              <w:t>il</w:t>
            </w:r>
            <w:proofErr w:type="spellEnd"/>
            <w:r w:rsidRPr="00C5687E">
              <w:rPr>
                <w:rFonts w:cstheme="majorBidi"/>
                <w:i/>
                <w:iCs/>
                <w:sz w:val="22"/>
                <w:szCs w:val="22"/>
              </w:rPr>
              <w:t xml:space="preserve"> . </w:t>
            </w:r>
            <w:proofErr w:type="spellStart"/>
            <w:r w:rsidRPr="00C5687E">
              <w:rPr>
                <w:rFonts w:cstheme="majorBidi"/>
                <w:i/>
                <w:iCs/>
                <w:sz w:val="22"/>
                <w:szCs w:val="22"/>
              </w:rPr>
              <w:t>yštk</w:t>
            </w:r>
            <w:proofErr w:type="spellEnd"/>
          </w:p>
        </w:tc>
      </w:tr>
      <w:tr w:rsidR="005A5A48" w:rsidRPr="00A47B88" w14:paraId="3FE2A331" w14:textId="77777777" w:rsidTr="005A5A48">
        <w:tc>
          <w:tcPr>
            <w:tcW w:w="5387" w:type="dxa"/>
          </w:tcPr>
          <w:p w14:paraId="403C4586" w14:textId="77777777" w:rsidR="005A5A48" w:rsidRPr="00C5687E" w:rsidRDefault="005A5A48" w:rsidP="00C5687E">
            <w:pPr>
              <w:ind w:firstLine="0"/>
              <w:rPr>
                <w:rFonts w:cstheme="majorBidi"/>
                <w:sz w:val="22"/>
                <w:szCs w:val="22"/>
                <w:rtl/>
              </w:rPr>
            </w:pPr>
            <w:r w:rsidRPr="00C5687E">
              <w:rPr>
                <w:rFonts w:cstheme="majorBidi"/>
                <w:sz w:val="22"/>
                <w:szCs w:val="22"/>
                <w:vertAlign w:val="superscript"/>
              </w:rPr>
              <w:t>3</w:t>
            </w:r>
            <w:r w:rsidRPr="00C5687E">
              <w:rPr>
                <w:rFonts w:cstheme="majorBidi"/>
                <w:sz w:val="22"/>
                <w:szCs w:val="22"/>
              </w:rPr>
              <w:t xml:space="preserve">the furrows of the ploughland? </w:t>
            </w:r>
          </w:p>
        </w:tc>
        <w:tc>
          <w:tcPr>
            <w:tcW w:w="3973" w:type="dxa"/>
          </w:tcPr>
          <w:p w14:paraId="6343ECDC" w14:textId="77777777" w:rsidR="005A5A48" w:rsidRPr="00C5687E" w:rsidRDefault="005A5A48" w:rsidP="00C5687E">
            <w:pPr>
              <w:ind w:firstLine="0"/>
              <w:rPr>
                <w:rFonts w:cstheme="majorBidi"/>
                <w:sz w:val="22"/>
                <w:szCs w:val="22"/>
              </w:rPr>
            </w:pPr>
            <w:proofErr w:type="spellStart"/>
            <w:r w:rsidRPr="00C5687E">
              <w:rPr>
                <w:rFonts w:cstheme="majorBidi"/>
                <w:i/>
                <w:iCs/>
                <w:sz w:val="22"/>
                <w:szCs w:val="22"/>
              </w:rPr>
              <w:t>b</w:t>
            </w:r>
            <w:r w:rsidRPr="00C5687E">
              <w:rPr>
                <w:rFonts w:cs="Times New Roman"/>
                <w:i/>
                <w:iCs/>
                <w:sz w:val="22"/>
                <w:szCs w:val="22"/>
              </w:rPr>
              <w:t>ˁ</w:t>
            </w:r>
            <w:r w:rsidRPr="00C5687E">
              <w:rPr>
                <w:rFonts w:cstheme="majorBidi"/>
                <w:i/>
                <w:iCs/>
                <w:sz w:val="22"/>
                <w:szCs w:val="22"/>
              </w:rPr>
              <w:t>l</w:t>
            </w:r>
            <w:proofErr w:type="spellEnd"/>
            <w:r w:rsidRPr="00C5687E">
              <w:rPr>
                <w:rFonts w:cstheme="majorBidi"/>
                <w:i/>
                <w:iCs/>
                <w:sz w:val="22"/>
                <w:szCs w:val="22"/>
              </w:rPr>
              <w:t xml:space="preserve"> . </w:t>
            </w:r>
            <w:proofErr w:type="spellStart"/>
            <w:r w:rsidRPr="00C5687E">
              <w:rPr>
                <w:rFonts w:cs="Times New Roman"/>
                <w:i/>
                <w:iCs/>
                <w:sz w:val="22"/>
                <w:szCs w:val="22"/>
              </w:rPr>
              <w:t>ˁ</w:t>
            </w:r>
            <w:r w:rsidRPr="00C5687E">
              <w:rPr>
                <w:rFonts w:cstheme="majorBidi"/>
                <w:i/>
                <w:iCs/>
                <w:sz w:val="22"/>
                <w:szCs w:val="22"/>
              </w:rPr>
              <w:t>nt</w:t>
            </w:r>
            <w:proofErr w:type="spellEnd"/>
            <w:r w:rsidRPr="00C5687E">
              <w:rPr>
                <w:rFonts w:cstheme="majorBidi"/>
                <w:i/>
                <w:iCs/>
                <w:sz w:val="22"/>
                <w:szCs w:val="22"/>
              </w:rPr>
              <w:t xml:space="preserve"> . </w:t>
            </w:r>
            <w:proofErr w:type="spellStart"/>
            <w:r w:rsidRPr="00C5687E">
              <w:rPr>
                <w:rFonts w:cstheme="majorBidi"/>
                <w:i/>
                <w:iCs/>
                <w:sz w:val="22"/>
                <w:szCs w:val="22"/>
              </w:rPr>
              <w:t>mḥrṯt</w:t>
            </w:r>
            <w:proofErr w:type="spellEnd"/>
          </w:p>
        </w:tc>
      </w:tr>
      <w:tr w:rsidR="005A5A48" w:rsidRPr="00A47B88" w14:paraId="3F54F27A" w14:textId="77777777" w:rsidTr="005A5A48">
        <w:tc>
          <w:tcPr>
            <w:tcW w:w="5387" w:type="dxa"/>
          </w:tcPr>
          <w:p w14:paraId="749B5E86" w14:textId="77777777" w:rsidR="005A5A48" w:rsidRPr="00C5687E" w:rsidRDefault="005A5A48" w:rsidP="00C5687E">
            <w:pPr>
              <w:ind w:firstLine="0"/>
              <w:rPr>
                <w:rFonts w:cstheme="majorBidi"/>
                <w:sz w:val="22"/>
                <w:szCs w:val="22"/>
                <w:rtl/>
              </w:rPr>
            </w:pPr>
            <w:r w:rsidRPr="00C5687E">
              <w:rPr>
                <w:rFonts w:cstheme="majorBidi"/>
                <w:sz w:val="22"/>
                <w:szCs w:val="22"/>
                <w:vertAlign w:val="superscript"/>
              </w:rPr>
              <w:t>4</w:t>
            </w:r>
            <w:r w:rsidRPr="00C5687E">
              <w:rPr>
                <w:rFonts w:cstheme="majorBidi"/>
                <w:sz w:val="22"/>
                <w:szCs w:val="22"/>
              </w:rPr>
              <w:t>Where is Mighty Baal?</w:t>
            </w:r>
          </w:p>
        </w:tc>
        <w:tc>
          <w:tcPr>
            <w:tcW w:w="3973" w:type="dxa"/>
          </w:tcPr>
          <w:p w14:paraId="07861EB6" w14:textId="77777777" w:rsidR="005A5A48" w:rsidRPr="00C5687E" w:rsidRDefault="005A5A48" w:rsidP="00C5687E">
            <w:pPr>
              <w:ind w:firstLine="0"/>
              <w:rPr>
                <w:rFonts w:cstheme="majorBidi"/>
                <w:sz w:val="22"/>
                <w:szCs w:val="22"/>
              </w:rPr>
            </w:pPr>
            <w:proofErr w:type="spellStart"/>
            <w:r w:rsidRPr="00C5687E">
              <w:rPr>
                <w:rFonts w:cs="Times New Roman"/>
                <w:i/>
                <w:iCs/>
                <w:sz w:val="22"/>
                <w:szCs w:val="22"/>
              </w:rPr>
              <w:t>ˀ</w:t>
            </w:r>
            <w:r w:rsidRPr="00C5687E">
              <w:rPr>
                <w:rFonts w:cstheme="majorBidi"/>
                <w:i/>
                <w:iCs/>
                <w:sz w:val="22"/>
                <w:szCs w:val="22"/>
              </w:rPr>
              <w:t>iy</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al</w:t>
            </w:r>
            <w:r w:rsidRPr="00C5687E">
              <w:rPr>
                <w:rFonts w:cs="Times New Roman"/>
                <w:i/>
                <w:iCs/>
                <w:sz w:val="22"/>
                <w:szCs w:val="22"/>
              </w:rPr>
              <w:t>ˀ</w:t>
            </w:r>
            <w:r w:rsidRPr="00C5687E">
              <w:rPr>
                <w:rFonts w:cstheme="majorBidi"/>
                <w:i/>
                <w:iCs/>
                <w:sz w:val="22"/>
                <w:szCs w:val="22"/>
              </w:rPr>
              <w:t>iyn</w:t>
            </w:r>
            <w:proofErr w:type="spellEnd"/>
            <w:r w:rsidRPr="00C5687E">
              <w:rPr>
                <w:rFonts w:cstheme="majorBidi"/>
                <w:i/>
                <w:iCs/>
                <w:sz w:val="22"/>
                <w:szCs w:val="22"/>
              </w:rPr>
              <w:t xml:space="preserve"> . </w:t>
            </w:r>
            <w:proofErr w:type="spellStart"/>
            <w:r w:rsidRPr="00C5687E">
              <w:rPr>
                <w:rFonts w:cstheme="majorBidi"/>
                <w:i/>
                <w:iCs/>
                <w:sz w:val="22"/>
                <w:szCs w:val="22"/>
              </w:rPr>
              <w:t>b</w:t>
            </w:r>
            <w:r w:rsidRPr="00C5687E">
              <w:rPr>
                <w:rFonts w:cs="Times New Roman"/>
                <w:i/>
                <w:iCs/>
                <w:sz w:val="22"/>
                <w:szCs w:val="22"/>
              </w:rPr>
              <w:t>ˁ</w:t>
            </w:r>
            <w:r w:rsidRPr="00C5687E">
              <w:rPr>
                <w:rFonts w:cstheme="majorBidi"/>
                <w:i/>
                <w:iCs/>
                <w:sz w:val="22"/>
                <w:szCs w:val="22"/>
              </w:rPr>
              <w:t>l</w:t>
            </w:r>
            <w:proofErr w:type="spellEnd"/>
            <w:r w:rsidRPr="00C5687E">
              <w:rPr>
                <w:rFonts w:cstheme="majorBidi"/>
                <w:i/>
                <w:iCs/>
                <w:sz w:val="22"/>
                <w:szCs w:val="22"/>
              </w:rPr>
              <w:t xml:space="preserve"> </w:t>
            </w:r>
          </w:p>
        </w:tc>
      </w:tr>
      <w:tr w:rsidR="005A5A48" w:rsidRPr="00A47B88" w14:paraId="0AEB4CAB" w14:textId="77777777" w:rsidTr="005A5A48">
        <w:tc>
          <w:tcPr>
            <w:tcW w:w="5387" w:type="dxa"/>
          </w:tcPr>
          <w:p w14:paraId="38E6FB4D" w14:textId="77777777" w:rsidR="005A5A48" w:rsidRPr="00C5687E" w:rsidRDefault="005A5A48" w:rsidP="00C5687E">
            <w:pPr>
              <w:ind w:firstLine="0"/>
              <w:rPr>
                <w:rFonts w:cstheme="majorBidi"/>
                <w:sz w:val="22"/>
                <w:szCs w:val="22"/>
                <w:rtl/>
              </w:rPr>
            </w:pPr>
            <w:r w:rsidRPr="00C5687E">
              <w:rPr>
                <w:rFonts w:cstheme="majorBidi"/>
                <w:iCs/>
                <w:sz w:val="22"/>
                <w:szCs w:val="22"/>
                <w:vertAlign w:val="superscript"/>
              </w:rPr>
              <w:t>5</w:t>
            </w:r>
            <w:r w:rsidRPr="00C5687E">
              <w:rPr>
                <w:rFonts w:cstheme="majorBidi"/>
                <w:sz w:val="22"/>
                <w:szCs w:val="22"/>
              </w:rPr>
              <w:t>Where is the Ruler, the Lord of the Land?’”</w:t>
            </w:r>
          </w:p>
        </w:tc>
        <w:tc>
          <w:tcPr>
            <w:tcW w:w="3973" w:type="dxa"/>
          </w:tcPr>
          <w:p w14:paraId="10438FAB" w14:textId="77777777" w:rsidR="005A5A48" w:rsidRPr="00C5687E" w:rsidRDefault="005A5A48" w:rsidP="00C5687E">
            <w:pPr>
              <w:ind w:firstLine="0"/>
              <w:rPr>
                <w:rFonts w:cstheme="majorBidi"/>
                <w:sz w:val="22"/>
                <w:szCs w:val="22"/>
              </w:rPr>
            </w:pPr>
            <w:proofErr w:type="spellStart"/>
            <w:r w:rsidRPr="00C5687E">
              <w:rPr>
                <w:rFonts w:cs="Times New Roman"/>
                <w:i/>
                <w:iCs/>
                <w:sz w:val="22"/>
                <w:szCs w:val="22"/>
              </w:rPr>
              <w:t>ˀ</w:t>
            </w:r>
            <w:r w:rsidRPr="00C5687E">
              <w:rPr>
                <w:rFonts w:cstheme="majorBidi"/>
                <w:i/>
                <w:iCs/>
                <w:sz w:val="22"/>
                <w:szCs w:val="22"/>
              </w:rPr>
              <w:t>iy</w:t>
            </w:r>
            <w:proofErr w:type="spellEnd"/>
            <w:r w:rsidRPr="00C5687E">
              <w:rPr>
                <w:rFonts w:cstheme="majorBidi"/>
                <w:i/>
                <w:iCs/>
                <w:sz w:val="22"/>
                <w:szCs w:val="22"/>
              </w:rPr>
              <w:t xml:space="preserve"> . </w:t>
            </w:r>
            <w:proofErr w:type="spellStart"/>
            <w:r w:rsidRPr="00C5687E">
              <w:rPr>
                <w:rFonts w:cstheme="majorBidi"/>
                <w:i/>
                <w:iCs/>
                <w:sz w:val="22"/>
                <w:szCs w:val="22"/>
              </w:rPr>
              <w:t>zbl</w:t>
            </w:r>
            <w:proofErr w:type="spellEnd"/>
            <w:r w:rsidRPr="00C5687E">
              <w:rPr>
                <w:rFonts w:cstheme="majorBidi"/>
                <w:i/>
                <w:iCs/>
                <w:sz w:val="22"/>
                <w:szCs w:val="22"/>
              </w:rPr>
              <w:t xml:space="preserve"> . </w:t>
            </w:r>
            <w:proofErr w:type="spellStart"/>
            <w:r w:rsidRPr="00C5687E">
              <w:rPr>
                <w:rFonts w:cstheme="majorBidi"/>
                <w:i/>
                <w:iCs/>
                <w:sz w:val="22"/>
                <w:szCs w:val="22"/>
              </w:rPr>
              <w:t>b</w:t>
            </w:r>
            <w:r w:rsidRPr="00C5687E">
              <w:rPr>
                <w:rFonts w:cs="Times New Roman"/>
                <w:i/>
                <w:iCs/>
                <w:sz w:val="22"/>
                <w:szCs w:val="22"/>
              </w:rPr>
              <w:t>ˁ</w:t>
            </w:r>
            <w:r w:rsidRPr="00C5687E">
              <w:rPr>
                <w:rFonts w:cstheme="majorBidi"/>
                <w:i/>
                <w:iCs/>
                <w:sz w:val="22"/>
                <w:szCs w:val="22"/>
              </w:rPr>
              <w:t>l</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arṣ</w:t>
            </w:r>
            <w:proofErr w:type="spellEnd"/>
          </w:p>
        </w:tc>
      </w:tr>
    </w:tbl>
    <w:p w14:paraId="291C7126" w14:textId="3C52EBE5" w:rsidR="005A5A48" w:rsidRPr="00A47B88" w:rsidRDefault="005A5A48" w:rsidP="005A5A48">
      <w:pPr>
        <w:spacing w:before="120" w:after="120"/>
        <w:rPr>
          <w:rtl/>
        </w:rPr>
      </w:pPr>
      <w:r>
        <w:t xml:space="preserve">The text continues with </w:t>
      </w:r>
      <w:proofErr w:type="spellStart"/>
      <w:r>
        <w:t>Anat</w:t>
      </w:r>
      <w:proofErr w:type="spellEnd"/>
      <w:r>
        <w:t xml:space="preserve"> appealing to </w:t>
      </w:r>
      <w:proofErr w:type="spellStart"/>
      <w:r>
        <w:t>Šapšu</w:t>
      </w:r>
      <w:proofErr w:type="spellEnd"/>
      <w:r>
        <w:t xml:space="preserve"> to search</w:t>
      </w:r>
      <w:r w:rsidR="00876119">
        <w:t xml:space="preserve"> for</w:t>
      </w:r>
      <w:r>
        <w:t xml:space="preserve"> Baal in the fields (ll. 6-16), </w:t>
      </w:r>
      <w:r w:rsidR="00876119">
        <w:t>paralleling her</w:t>
      </w:r>
      <w:r>
        <w:t xml:space="preserve"> </w:t>
      </w:r>
      <w:r w:rsidR="00876119">
        <w:t>earlier request</w:t>
      </w:r>
      <w:r>
        <w:t xml:space="preserve"> from </w:t>
      </w:r>
      <w:proofErr w:type="spellStart"/>
      <w:r>
        <w:t>Šapšu</w:t>
      </w:r>
      <w:proofErr w:type="spellEnd"/>
      <w:r>
        <w:t xml:space="preserve"> to </w:t>
      </w:r>
      <w:r w:rsidR="00876119">
        <w:t xml:space="preserve">search </w:t>
      </w:r>
      <w:r>
        <w:t>for the dead Baal in the netherworld (1.6 I 8-5).</w:t>
      </w:r>
      <w:r>
        <w:rPr>
          <w:rStyle w:val="FootnoteReference"/>
        </w:rPr>
        <w:footnoteReference w:id="61"/>
      </w:r>
      <w:r>
        <w:t xml:space="preserve"> </w:t>
      </w:r>
      <w:proofErr w:type="spellStart"/>
      <w:r w:rsidR="00876119">
        <w:t>Šapšu</w:t>
      </w:r>
      <w:proofErr w:type="spellEnd"/>
      <w:r w:rsidR="00876119">
        <w:t xml:space="preserve"> agrees:</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93"/>
      </w:tblGrid>
      <w:tr w:rsidR="005A5A48" w:rsidRPr="00A47B88" w14:paraId="5AEAABDA" w14:textId="77777777" w:rsidTr="005A5A48">
        <w:tc>
          <w:tcPr>
            <w:tcW w:w="5245" w:type="dxa"/>
          </w:tcPr>
          <w:p w14:paraId="432D852A" w14:textId="77777777" w:rsidR="005A5A48" w:rsidRPr="00C5687E" w:rsidRDefault="005A5A48" w:rsidP="00C5687E">
            <w:pPr>
              <w:ind w:firstLine="0"/>
              <w:rPr>
                <w:sz w:val="22"/>
                <w:szCs w:val="22"/>
                <w:rtl/>
              </w:rPr>
            </w:pPr>
            <w:r w:rsidRPr="00C5687E">
              <w:rPr>
                <w:rFonts w:cstheme="majorBidi"/>
                <w:sz w:val="22"/>
                <w:szCs w:val="22"/>
                <w:vertAlign w:val="superscript"/>
              </w:rPr>
              <w:t xml:space="preserve">17 </w:t>
            </w:r>
            <w:proofErr w:type="spellStart"/>
            <w:r w:rsidRPr="00C5687E">
              <w:rPr>
                <w:rFonts w:cstheme="majorBidi"/>
                <w:sz w:val="22"/>
                <w:szCs w:val="22"/>
              </w:rPr>
              <w:t>Šapšu</w:t>
            </w:r>
            <w:proofErr w:type="spellEnd"/>
            <w:r w:rsidRPr="00C5687E">
              <w:rPr>
                <w:rFonts w:cstheme="majorBidi"/>
                <w:sz w:val="22"/>
                <w:szCs w:val="22"/>
              </w:rPr>
              <w:t>, the Luminary of gods, replied:</w:t>
            </w:r>
          </w:p>
        </w:tc>
        <w:tc>
          <w:tcPr>
            <w:tcW w:w="2693" w:type="dxa"/>
          </w:tcPr>
          <w:p w14:paraId="445A653D" w14:textId="77777777" w:rsidR="005A5A48" w:rsidRPr="00C5687E" w:rsidRDefault="005A5A48" w:rsidP="00C5687E">
            <w:pPr>
              <w:ind w:firstLine="0"/>
              <w:rPr>
                <w:rFonts w:cstheme="majorBidi"/>
                <w:sz w:val="22"/>
                <w:szCs w:val="22"/>
              </w:rPr>
            </w:pPr>
            <w:r w:rsidRPr="00C5687E">
              <w:rPr>
                <w:rFonts w:cstheme="majorBidi"/>
                <w:i/>
                <w:iCs/>
                <w:sz w:val="22"/>
                <w:szCs w:val="22"/>
              </w:rPr>
              <w:t xml:space="preserve">w </w:t>
            </w:r>
            <w:proofErr w:type="spellStart"/>
            <w:r w:rsidRPr="00C5687E">
              <w:rPr>
                <w:rFonts w:cstheme="majorBidi"/>
                <w:i/>
                <w:iCs/>
                <w:sz w:val="22"/>
                <w:szCs w:val="22"/>
              </w:rPr>
              <w:t>t</w:t>
            </w:r>
            <w:r w:rsidRPr="00C5687E">
              <w:rPr>
                <w:rFonts w:cs="Times New Roman"/>
                <w:i/>
                <w:iCs/>
                <w:sz w:val="22"/>
                <w:szCs w:val="22"/>
              </w:rPr>
              <w:t>ˁ</w:t>
            </w:r>
            <w:r w:rsidRPr="00C5687E">
              <w:rPr>
                <w:rFonts w:cstheme="majorBidi"/>
                <w:i/>
                <w:iCs/>
                <w:sz w:val="22"/>
                <w:szCs w:val="22"/>
              </w:rPr>
              <w:t>n</w:t>
            </w:r>
            <w:proofErr w:type="spellEnd"/>
            <w:r w:rsidRPr="00C5687E">
              <w:rPr>
                <w:rFonts w:cstheme="majorBidi"/>
                <w:i/>
                <w:iCs/>
                <w:sz w:val="22"/>
                <w:szCs w:val="22"/>
              </w:rPr>
              <w:t xml:space="preserve"> . </w:t>
            </w:r>
            <w:proofErr w:type="spellStart"/>
            <w:r w:rsidRPr="00C5687E">
              <w:rPr>
                <w:rFonts w:cstheme="majorBidi"/>
                <w:i/>
                <w:iCs/>
                <w:sz w:val="22"/>
                <w:szCs w:val="22"/>
              </w:rPr>
              <w:t>nrt</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ilm</w:t>
            </w:r>
            <w:proofErr w:type="spellEnd"/>
            <w:r w:rsidRPr="00C5687E">
              <w:rPr>
                <w:rFonts w:cstheme="majorBidi"/>
                <w:i/>
                <w:iCs/>
                <w:sz w:val="22"/>
                <w:szCs w:val="22"/>
              </w:rPr>
              <w:t xml:space="preserve"> . </w:t>
            </w:r>
            <w:proofErr w:type="spellStart"/>
            <w:r w:rsidRPr="00C5687E">
              <w:rPr>
                <w:rFonts w:cstheme="majorBidi"/>
                <w:i/>
                <w:iCs/>
                <w:sz w:val="22"/>
                <w:szCs w:val="22"/>
              </w:rPr>
              <w:t>špš</w:t>
            </w:r>
            <w:proofErr w:type="spellEnd"/>
          </w:p>
        </w:tc>
      </w:tr>
      <w:tr w:rsidR="005A5A48" w:rsidRPr="00A47B88" w14:paraId="27F57E29" w14:textId="77777777" w:rsidTr="005A5A48">
        <w:tc>
          <w:tcPr>
            <w:tcW w:w="5245" w:type="dxa"/>
          </w:tcPr>
          <w:p w14:paraId="77CFAA1A" w14:textId="77777777" w:rsidR="005A5A48" w:rsidRPr="00C5687E" w:rsidRDefault="005A5A48" w:rsidP="00C5687E">
            <w:pPr>
              <w:ind w:firstLine="0"/>
              <w:rPr>
                <w:sz w:val="22"/>
                <w:szCs w:val="22"/>
                <w:rtl/>
              </w:rPr>
            </w:pPr>
            <w:r w:rsidRPr="00C5687E">
              <w:rPr>
                <w:rFonts w:cstheme="majorBidi"/>
                <w:sz w:val="22"/>
                <w:szCs w:val="22"/>
                <w:vertAlign w:val="superscript"/>
              </w:rPr>
              <w:t>18</w:t>
            </w:r>
            <w:r w:rsidRPr="00C5687E">
              <w:rPr>
                <w:sz w:val="22"/>
                <w:szCs w:val="22"/>
              </w:rPr>
              <w:t xml:space="preserve"> “Pour sparkling wine from the chalice, </w:t>
            </w:r>
          </w:p>
        </w:tc>
        <w:tc>
          <w:tcPr>
            <w:tcW w:w="2693" w:type="dxa"/>
          </w:tcPr>
          <w:p w14:paraId="74BD9477" w14:textId="77777777" w:rsidR="005A5A48" w:rsidRPr="00C5687E" w:rsidRDefault="005A5A48" w:rsidP="00C5687E">
            <w:pPr>
              <w:ind w:firstLine="0"/>
              <w:rPr>
                <w:sz w:val="22"/>
                <w:szCs w:val="22"/>
              </w:rPr>
            </w:pPr>
            <w:proofErr w:type="spellStart"/>
            <w:r w:rsidRPr="00C5687E">
              <w:rPr>
                <w:rFonts w:cstheme="majorBidi"/>
                <w:i/>
                <w:iCs/>
                <w:sz w:val="22"/>
                <w:szCs w:val="22"/>
              </w:rPr>
              <w:t>šd</w:t>
            </w:r>
            <w:proofErr w:type="spellEnd"/>
            <w:r w:rsidRPr="00C5687E">
              <w:rPr>
                <w:rFonts w:cstheme="majorBidi"/>
                <w:i/>
                <w:iCs/>
                <w:sz w:val="22"/>
                <w:szCs w:val="22"/>
              </w:rPr>
              <w:t xml:space="preserve"> yn . </w:t>
            </w:r>
            <w:proofErr w:type="spellStart"/>
            <w:r w:rsidRPr="00C5687E">
              <w:rPr>
                <w:rFonts w:cs="Times New Roman"/>
                <w:i/>
                <w:iCs/>
                <w:sz w:val="22"/>
                <w:szCs w:val="22"/>
              </w:rPr>
              <w:t>ˁ</w:t>
            </w:r>
            <w:r w:rsidRPr="00C5687E">
              <w:rPr>
                <w:rFonts w:cstheme="majorBidi"/>
                <w:i/>
                <w:iCs/>
                <w:sz w:val="22"/>
                <w:szCs w:val="22"/>
              </w:rPr>
              <w:t>n</w:t>
            </w:r>
            <w:proofErr w:type="spellEnd"/>
            <w:r w:rsidRPr="00C5687E">
              <w:rPr>
                <w:rFonts w:cstheme="majorBidi"/>
                <w:i/>
                <w:iCs/>
                <w:sz w:val="22"/>
                <w:szCs w:val="22"/>
              </w:rPr>
              <w:t xml:space="preserve"> . b . </w:t>
            </w:r>
            <w:proofErr w:type="spellStart"/>
            <w:r w:rsidRPr="00C5687E">
              <w:rPr>
                <w:rFonts w:cstheme="majorBidi"/>
                <w:i/>
                <w:iCs/>
                <w:sz w:val="22"/>
                <w:szCs w:val="22"/>
              </w:rPr>
              <w:t>qb</w:t>
            </w:r>
            <w:r w:rsidRPr="00C5687E">
              <w:rPr>
                <w:rFonts w:cs="Times New Roman"/>
                <w:i/>
                <w:iCs/>
                <w:sz w:val="22"/>
                <w:szCs w:val="22"/>
              </w:rPr>
              <w:t>ˁ</w:t>
            </w:r>
            <w:r w:rsidRPr="00C5687E">
              <w:rPr>
                <w:rFonts w:cstheme="majorBidi"/>
                <w:i/>
                <w:iCs/>
                <w:sz w:val="22"/>
                <w:szCs w:val="22"/>
              </w:rPr>
              <w:t>t</w:t>
            </w:r>
            <w:proofErr w:type="spellEnd"/>
            <w:r w:rsidRPr="00C5687E">
              <w:rPr>
                <w:rFonts w:cstheme="majorBidi"/>
                <w:i/>
                <w:iCs/>
                <w:sz w:val="22"/>
                <w:szCs w:val="22"/>
              </w:rPr>
              <w:t xml:space="preserve"> . t</w:t>
            </w:r>
          </w:p>
        </w:tc>
      </w:tr>
      <w:tr w:rsidR="005A5A48" w:rsidRPr="00A47B88" w14:paraId="661952DA" w14:textId="77777777" w:rsidTr="005A5A48">
        <w:tc>
          <w:tcPr>
            <w:tcW w:w="5245" w:type="dxa"/>
          </w:tcPr>
          <w:p w14:paraId="0FF5B826" w14:textId="77777777" w:rsidR="005A5A48" w:rsidRPr="00C5687E" w:rsidRDefault="005A5A48" w:rsidP="00C5687E">
            <w:pPr>
              <w:ind w:firstLine="0"/>
              <w:rPr>
                <w:sz w:val="22"/>
                <w:szCs w:val="22"/>
                <w:rtl/>
              </w:rPr>
            </w:pPr>
            <w:r w:rsidRPr="00C5687E">
              <w:rPr>
                <w:rFonts w:cstheme="majorBidi"/>
                <w:sz w:val="22"/>
                <w:szCs w:val="22"/>
                <w:vertAlign w:val="superscript"/>
              </w:rPr>
              <w:t xml:space="preserve">19 </w:t>
            </w:r>
            <w:r w:rsidRPr="00C5687E">
              <w:rPr>
                <w:sz w:val="22"/>
                <w:szCs w:val="22"/>
              </w:rPr>
              <w:t>put garlands on your kinfolk,</w:t>
            </w:r>
          </w:p>
        </w:tc>
        <w:tc>
          <w:tcPr>
            <w:tcW w:w="2693" w:type="dxa"/>
          </w:tcPr>
          <w:p w14:paraId="60A647B2" w14:textId="77777777" w:rsidR="005A5A48" w:rsidRPr="00C5687E" w:rsidRDefault="005A5A48" w:rsidP="00C5687E">
            <w:pPr>
              <w:ind w:firstLine="0"/>
              <w:rPr>
                <w:sz w:val="22"/>
                <w:szCs w:val="22"/>
              </w:rPr>
            </w:pPr>
            <w:r w:rsidRPr="00C5687E">
              <w:rPr>
                <w:rFonts w:cstheme="majorBidi"/>
                <w:i/>
                <w:iCs/>
                <w:sz w:val="22"/>
                <w:szCs w:val="22"/>
              </w:rPr>
              <w:t xml:space="preserve">bl . </w:t>
            </w:r>
            <w:proofErr w:type="spellStart"/>
            <w:r w:rsidRPr="00C5687E">
              <w:rPr>
                <w:rFonts w:cstheme="majorBidi"/>
                <w:i/>
                <w:iCs/>
                <w:sz w:val="22"/>
                <w:szCs w:val="22"/>
              </w:rPr>
              <w:t>lyt</w:t>
            </w:r>
            <w:proofErr w:type="spellEnd"/>
            <w:r w:rsidRPr="00C5687E">
              <w:rPr>
                <w:rFonts w:cstheme="majorBidi"/>
                <w:i/>
                <w:iCs/>
                <w:sz w:val="22"/>
                <w:szCs w:val="22"/>
              </w:rPr>
              <w:t xml:space="preserve"> . </w:t>
            </w:r>
            <w:proofErr w:type="spellStart"/>
            <w:r w:rsidRPr="00C5687E">
              <w:rPr>
                <w:rFonts w:cs="Times New Roman"/>
                <w:i/>
                <w:iCs/>
                <w:sz w:val="22"/>
                <w:szCs w:val="22"/>
              </w:rPr>
              <w:t>ˁ</w:t>
            </w:r>
            <w:r w:rsidRPr="00C5687E">
              <w:rPr>
                <w:rFonts w:cstheme="majorBidi"/>
                <w:i/>
                <w:iCs/>
                <w:sz w:val="22"/>
                <w:szCs w:val="22"/>
              </w:rPr>
              <w:t>l</w:t>
            </w:r>
            <w:proofErr w:type="spellEnd"/>
            <w:r w:rsidRPr="00C5687E">
              <w:rPr>
                <w:rFonts w:cstheme="majorBidi"/>
                <w:i/>
                <w:iCs/>
                <w:sz w:val="22"/>
                <w:szCs w:val="22"/>
              </w:rPr>
              <w:t xml:space="preserve"> . </w:t>
            </w:r>
            <w:proofErr w:type="spellStart"/>
            <w:r w:rsidRPr="00C5687E">
              <w:rPr>
                <w:rFonts w:cs="Times New Roman"/>
                <w:i/>
                <w:iCs/>
                <w:sz w:val="22"/>
                <w:szCs w:val="22"/>
              </w:rPr>
              <w:t>ˀ</w:t>
            </w:r>
            <w:r w:rsidRPr="00C5687E">
              <w:rPr>
                <w:rFonts w:cstheme="majorBidi"/>
                <w:i/>
                <w:iCs/>
                <w:sz w:val="22"/>
                <w:szCs w:val="22"/>
              </w:rPr>
              <w:t>umtk</w:t>
            </w:r>
            <w:proofErr w:type="spellEnd"/>
          </w:p>
        </w:tc>
      </w:tr>
      <w:tr w:rsidR="005A5A48" w:rsidRPr="00A47B88" w14:paraId="11093ED9" w14:textId="77777777" w:rsidTr="005A5A48">
        <w:tc>
          <w:tcPr>
            <w:tcW w:w="5245" w:type="dxa"/>
          </w:tcPr>
          <w:p w14:paraId="748C5134" w14:textId="77777777" w:rsidR="005A5A48" w:rsidRPr="00C5687E" w:rsidRDefault="005A5A48" w:rsidP="00C5687E">
            <w:pPr>
              <w:ind w:firstLine="0"/>
              <w:rPr>
                <w:sz w:val="22"/>
                <w:szCs w:val="22"/>
                <w:rtl/>
              </w:rPr>
            </w:pPr>
            <w:r w:rsidRPr="00C5687E">
              <w:rPr>
                <w:rFonts w:cstheme="majorBidi"/>
                <w:sz w:val="22"/>
                <w:szCs w:val="22"/>
                <w:vertAlign w:val="superscript"/>
                <w:lang w:val="en-GB"/>
              </w:rPr>
              <w:t xml:space="preserve">20 </w:t>
            </w:r>
            <w:r w:rsidRPr="00C5687E">
              <w:rPr>
                <w:sz w:val="22"/>
                <w:szCs w:val="22"/>
              </w:rPr>
              <w:t>for I will search for Baal.”</w:t>
            </w:r>
          </w:p>
        </w:tc>
        <w:tc>
          <w:tcPr>
            <w:tcW w:w="2693" w:type="dxa"/>
          </w:tcPr>
          <w:p w14:paraId="46143A31" w14:textId="77777777" w:rsidR="005A5A48" w:rsidRPr="00C5687E" w:rsidRDefault="005A5A48" w:rsidP="00C5687E">
            <w:pPr>
              <w:ind w:firstLine="0"/>
              <w:rPr>
                <w:sz w:val="22"/>
                <w:szCs w:val="22"/>
              </w:rPr>
            </w:pPr>
            <w:r w:rsidRPr="00C5687E">
              <w:rPr>
                <w:rFonts w:cstheme="majorBidi"/>
                <w:i/>
                <w:iCs/>
                <w:sz w:val="22"/>
                <w:szCs w:val="22"/>
                <w:lang w:val="de-DE"/>
              </w:rPr>
              <w:t xml:space="preserve">w </w:t>
            </w:r>
            <w:r w:rsidRPr="00C5687E">
              <w:rPr>
                <w:rFonts w:cs="Times New Roman"/>
                <w:i/>
                <w:iCs/>
                <w:sz w:val="22"/>
                <w:szCs w:val="22"/>
                <w:lang w:val="de-DE"/>
              </w:rPr>
              <w:t>ˀ</w:t>
            </w:r>
            <w:r w:rsidRPr="00C5687E">
              <w:rPr>
                <w:rFonts w:cstheme="majorBidi"/>
                <w:i/>
                <w:iCs/>
                <w:sz w:val="22"/>
                <w:szCs w:val="22"/>
                <w:lang w:val="de-DE"/>
              </w:rPr>
              <w:t xml:space="preserve">abqṯ . </w:t>
            </w:r>
            <w:r w:rsidRPr="00C5687E">
              <w:rPr>
                <w:rFonts w:cs="Times New Roman"/>
                <w:i/>
                <w:iCs/>
                <w:sz w:val="22"/>
                <w:szCs w:val="22"/>
                <w:lang w:val="de-DE"/>
              </w:rPr>
              <w:t>ˀ</w:t>
            </w:r>
            <w:r w:rsidRPr="00C5687E">
              <w:rPr>
                <w:rFonts w:cstheme="majorBidi"/>
                <w:i/>
                <w:iCs/>
                <w:sz w:val="22"/>
                <w:szCs w:val="22"/>
                <w:lang w:val="de-DE"/>
              </w:rPr>
              <w:t>al</w:t>
            </w:r>
            <w:r w:rsidRPr="00C5687E">
              <w:rPr>
                <w:rFonts w:cs="Times New Roman"/>
                <w:i/>
                <w:iCs/>
                <w:sz w:val="22"/>
                <w:szCs w:val="22"/>
                <w:lang w:val="de-DE"/>
              </w:rPr>
              <w:t>ˀ</w:t>
            </w:r>
            <w:r w:rsidRPr="00C5687E">
              <w:rPr>
                <w:rFonts w:cstheme="majorBidi"/>
                <w:i/>
                <w:iCs/>
                <w:sz w:val="22"/>
                <w:szCs w:val="22"/>
                <w:lang w:val="de-DE"/>
              </w:rPr>
              <w:t>iyn . b</w:t>
            </w:r>
            <w:r w:rsidRPr="00C5687E">
              <w:rPr>
                <w:rFonts w:cs="Times New Roman"/>
                <w:i/>
                <w:iCs/>
                <w:sz w:val="22"/>
                <w:szCs w:val="22"/>
                <w:lang w:val="de-DE"/>
              </w:rPr>
              <w:t>ˁ</w:t>
            </w:r>
            <w:r w:rsidRPr="00C5687E">
              <w:rPr>
                <w:rFonts w:cstheme="majorBidi"/>
                <w:i/>
                <w:iCs/>
                <w:sz w:val="22"/>
                <w:szCs w:val="22"/>
                <w:lang w:val="de-DE"/>
              </w:rPr>
              <w:t>l</w:t>
            </w:r>
          </w:p>
        </w:tc>
      </w:tr>
    </w:tbl>
    <w:p w14:paraId="2ABCC487" w14:textId="77777777" w:rsidR="005A5A48" w:rsidRPr="00A47B88" w:rsidRDefault="005A5A48" w:rsidP="005A5A48">
      <w:pPr>
        <w:bidi/>
      </w:pPr>
    </w:p>
    <w:p w14:paraId="26CC43A4" w14:textId="1DA8C630" w:rsidR="005A5A48" w:rsidRPr="00A47B88" w:rsidRDefault="005A5A48" w:rsidP="005A5A48">
      <w:pPr>
        <w:rPr>
          <w:rFonts w:eastAsia="Calibri"/>
          <w:rtl/>
        </w:rPr>
      </w:pPr>
      <w:r>
        <w:t xml:space="preserve">The search for the living Baal thus corresponds to the search for the dead Baal, as well as to the common motif of searching for the dead god, appearing in texts from Egypt and Mesopotamia and </w:t>
      </w:r>
      <w:r w:rsidR="00B053DB">
        <w:t>discussed in</w:t>
      </w:r>
      <w:r w:rsidR="00876119">
        <w:t xml:space="preserve"> </w:t>
      </w:r>
      <w:r w:rsidR="00B053DB">
        <w:t xml:space="preserve">texts </w:t>
      </w:r>
      <w:r>
        <w:t>from late antiquity.</w:t>
      </w:r>
      <w:r>
        <w:rPr>
          <w:rStyle w:val="FootnoteReference"/>
        </w:rPr>
        <w:footnoteReference w:id="62"/>
      </w:r>
      <w:r>
        <w:t xml:space="preserve"> </w:t>
      </w:r>
      <w:r w:rsidRPr="005A5A48">
        <w:rPr>
          <w:rFonts w:cs="Times New Roman"/>
        </w:rPr>
        <w:t xml:space="preserve">However, </w:t>
      </w:r>
      <w:r>
        <w:rPr>
          <w:rFonts w:cs="Times New Roman"/>
        </w:rPr>
        <w:t>h</w:t>
      </w:r>
      <w:r w:rsidRPr="005A5A48">
        <w:rPr>
          <w:rFonts w:cs="Times New Roman"/>
        </w:rPr>
        <w:t>ere</w:t>
      </w:r>
      <w:r>
        <w:t xml:space="preserve">, too, El's intercession </w:t>
      </w:r>
      <w:r>
        <w:lastRenderedPageBreak/>
        <w:t xml:space="preserve">in </w:t>
      </w:r>
      <w:r w:rsidR="008B3D85">
        <w:t>favor of Baal</w:t>
      </w:r>
      <w:r>
        <w:t xml:space="preserve"> deviates from the general narrative of the Baal Cycle, indicating that the motif was borrowed from a</w:t>
      </w:r>
      <w:r w:rsidR="0013103F">
        <w:t xml:space="preserve"> different</w:t>
      </w:r>
      <w:r w:rsidR="0097405C">
        <w:t xml:space="preserve"> </w:t>
      </w:r>
      <w:r>
        <w:t>tradition.</w:t>
      </w:r>
    </w:p>
    <w:p w14:paraId="054BA0D5" w14:textId="38EDE89C" w:rsidR="005A5A48" w:rsidRPr="00A47B88" w:rsidRDefault="005A5A48" w:rsidP="005A5A48">
      <w:pPr>
        <w:ind w:firstLine="429"/>
        <w:rPr>
          <w:rFonts w:eastAsia="Calibri"/>
          <w:rtl/>
        </w:rPr>
      </w:pPr>
      <w:r>
        <w:rPr>
          <w:rFonts w:eastAsia="Calibri"/>
        </w:rPr>
        <w:t xml:space="preserve">The remaining lines are broken, and we therefore do not know how exactly the living Baal was found. However, since the next column portrays him as </w:t>
      </w:r>
      <w:r w:rsidR="000F5297">
        <w:rPr>
          <w:rFonts w:eastAsia="Calibri"/>
        </w:rPr>
        <w:t xml:space="preserve">vanquishing </w:t>
      </w:r>
      <w:r>
        <w:rPr>
          <w:rFonts w:eastAsia="Calibri"/>
        </w:rPr>
        <w:t xml:space="preserve">his enemies, the children of </w:t>
      </w:r>
      <w:proofErr w:type="spellStart"/>
      <w:r>
        <w:rPr>
          <w:rFonts w:eastAsia="Calibri"/>
        </w:rPr>
        <w:t>Athirat</w:t>
      </w:r>
      <w:proofErr w:type="spellEnd"/>
      <w:r>
        <w:rPr>
          <w:rFonts w:eastAsia="Calibri"/>
        </w:rPr>
        <w:t xml:space="preserve">, and </w:t>
      </w:r>
      <w:r w:rsidR="000F5297">
        <w:rPr>
          <w:rFonts w:eastAsia="Calibri"/>
        </w:rPr>
        <w:t xml:space="preserve">reassuming </w:t>
      </w:r>
      <w:r>
        <w:rPr>
          <w:rFonts w:eastAsia="Calibri"/>
        </w:rPr>
        <w:t xml:space="preserve">his place on the royal throne (V 1-8), there is no </w:t>
      </w:r>
      <w:r w:rsidR="000F5297">
        <w:rPr>
          <w:rFonts w:eastAsia="Calibri"/>
        </w:rPr>
        <w:t xml:space="preserve">doubt that he was ultimately found alive. </w:t>
      </w:r>
      <w:r>
        <w:rPr>
          <w:rFonts w:eastAsia="Calibri"/>
        </w:rPr>
        <w:t xml:space="preserve"> </w:t>
      </w:r>
    </w:p>
    <w:p w14:paraId="3951579F" w14:textId="003A39EB" w:rsidR="0097405C" w:rsidRDefault="005A5A48" w:rsidP="005A5A48">
      <w:pPr>
        <w:spacing w:after="120"/>
        <w:ind w:firstLine="431"/>
        <w:rPr>
          <w:ins w:id="78" w:author="Noga Darshan" w:date="2021-04-12T13:20:00Z"/>
          <w:rFonts w:eastAsia="Calibri"/>
        </w:rPr>
      </w:pPr>
      <w:r>
        <w:rPr>
          <w:rFonts w:eastAsia="Calibri"/>
        </w:rPr>
        <w:t xml:space="preserve">The Baal Cycle thus demonstrate clearly that the mythologem of a dying and rising god was known in Ugarit, and was applied to the storm god, Baal. Furthermore, it is </w:t>
      </w:r>
      <w:r w:rsidR="00B81246">
        <w:rPr>
          <w:rFonts w:eastAsia="Calibri"/>
        </w:rPr>
        <w:t xml:space="preserve">to date </w:t>
      </w:r>
      <w:r>
        <w:rPr>
          <w:rFonts w:eastAsia="Calibri"/>
        </w:rPr>
        <w:t xml:space="preserve">the longest and </w:t>
      </w:r>
      <w:r w:rsidR="00E60D7B">
        <w:rPr>
          <w:rFonts w:eastAsia="Calibri"/>
        </w:rPr>
        <w:t xml:space="preserve">most </w:t>
      </w:r>
      <w:r>
        <w:rPr>
          <w:rFonts w:eastAsia="Calibri"/>
        </w:rPr>
        <w:t xml:space="preserve">detailed </w:t>
      </w:r>
      <w:r w:rsidR="00E60D7B">
        <w:rPr>
          <w:rFonts w:eastAsia="Calibri"/>
        </w:rPr>
        <w:t xml:space="preserve">account of a divine </w:t>
      </w:r>
      <w:r>
        <w:rPr>
          <w:rFonts w:eastAsia="Calibri"/>
        </w:rPr>
        <w:t xml:space="preserve">resurrection prior </w:t>
      </w:r>
      <w:r w:rsidR="00E60D7B">
        <w:rPr>
          <w:rFonts w:eastAsia="Calibri"/>
        </w:rPr>
        <w:t xml:space="preserve">to </w:t>
      </w:r>
      <w:r>
        <w:rPr>
          <w:rFonts w:eastAsia="Calibri"/>
        </w:rPr>
        <w:t xml:space="preserve">late antiquity. Since the Baal Cycle also narrates the death of the </w:t>
      </w:r>
      <w:r w:rsidR="0013103F">
        <w:rPr>
          <w:rFonts w:eastAsia="Calibri"/>
        </w:rPr>
        <w:t xml:space="preserve">lord </w:t>
      </w:r>
      <w:r>
        <w:rPr>
          <w:rFonts w:eastAsia="Calibri"/>
        </w:rPr>
        <w:t>of the netherworld, Mot (</w:t>
      </w:r>
      <w:r w:rsidRPr="00C5687E">
        <w:rPr>
          <w:rFonts w:eastAsia="Calibri"/>
          <w:i/>
          <w:iCs/>
        </w:rPr>
        <w:t>KTU</w:t>
      </w:r>
      <w:r>
        <w:rPr>
          <w:rFonts w:eastAsia="Calibri"/>
        </w:rPr>
        <w:t xml:space="preserve"> 1.6 II 30-36; V 10-19) and his return seven years later (1.6 II 37; V 7-10) – as noted already by the earliest scholars of Ugarit – it seems that this motif was applied to other gods as well. </w:t>
      </w:r>
      <w:r w:rsidR="00412D61">
        <w:rPr>
          <w:rFonts w:eastAsia="Calibri"/>
        </w:rPr>
        <w:t>In the case of Mot, however,</w:t>
      </w:r>
      <w:r>
        <w:rPr>
          <w:rFonts w:eastAsia="Calibri"/>
        </w:rPr>
        <w:t xml:space="preserve"> </w:t>
      </w:r>
      <w:r w:rsidR="00412D61">
        <w:rPr>
          <w:rFonts w:eastAsia="Calibri"/>
        </w:rPr>
        <w:t>the Baal Cycle describes his death as being accomplished by agricultural tools</w:t>
      </w:r>
      <w:r w:rsidRPr="006A2809">
        <w:rPr>
          <w:rFonts w:eastAsia="Calibri"/>
        </w:rPr>
        <w:t xml:space="preserve"> (</w:t>
      </w:r>
      <w:r w:rsidRPr="00C5687E">
        <w:rPr>
          <w:rFonts w:eastAsia="Calibri"/>
          <w:i/>
          <w:iCs/>
        </w:rPr>
        <w:t>KTU</w:t>
      </w:r>
      <w:r w:rsidRPr="006A2809">
        <w:rPr>
          <w:rFonts w:eastAsia="Calibri"/>
        </w:rPr>
        <w:t xml:space="preserve"> 1.6 II 30-36; V 10-19)</w:t>
      </w:r>
      <w:r>
        <w:rPr>
          <w:rFonts w:eastAsia="Calibri"/>
        </w:rPr>
        <w:t xml:space="preserve">, </w:t>
      </w:r>
      <w:r w:rsidR="00B81246">
        <w:rPr>
          <w:rFonts w:eastAsia="Calibri"/>
        </w:rPr>
        <w:t xml:space="preserve">as </w:t>
      </w:r>
      <w:r w:rsidR="006358ED">
        <w:rPr>
          <w:rFonts w:eastAsia="Calibri"/>
        </w:rPr>
        <w:t>does</w:t>
      </w:r>
      <w:r>
        <w:rPr>
          <w:rFonts w:eastAsia="Calibri"/>
        </w:rPr>
        <w:t xml:space="preserve"> </w:t>
      </w:r>
      <w:r w:rsidRPr="005A5A48">
        <w:rPr>
          <w:rFonts w:eastAsia="Calibri"/>
          <w:i/>
          <w:iCs/>
        </w:rPr>
        <w:t>KTU</w:t>
      </w:r>
      <w:r>
        <w:rPr>
          <w:rFonts w:eastAsia="Calibri"/>
        </w:rPr>
        <w:t xml:space="preserve"> 1.24 </w:t>
      </w:r>
      <w:r w:rsidR="006358ED">
        <w:rPr>
          <w:rFonts w:eastAsia="Calibri"/>
        </w:rPr>
        <w:t xml:space="preserve">which </w:t>
      </w:r>
      <w:r>
        <w:rPr>
          <w:rFonts w:eastAsia="Calibri"/>
        </w:rPr>
        <w:t xml:space="preserve">involves a </w:t>
      </w:r>
      <w:r w:rsidR="006358ED">
        <w:rPr>
          <w:rFonts w:eastAsia="Calibri"/>
        </w:rPr>
        <w:t xml:space="preserve">viticultural </w:t>
      </w:r>
      <w:r>
        <w:rPr>
          <w:rFonts w:eastAsia="Calibri"/>
        </w:rPr>
        <w:t>ritual</w:t>
      </w:r>
      <w:r w:rsidR="006358ED">
        <w:rPr>
          <w:rFonts w:eastAsia="Calibri"/>
        </w:rPr>
        <w:t xml:space="preserve"> – </w:t>
      </w:r>
      <w:r>
        <w:rPr>
          <w:rFonts w:eastAsia="Calibri"/>
        </w:rPr>
        <w:t xml:space="preserve"> both reminiscent of the </w:t>
      </w:r>
      <w:r>
        <w:rPr>
          <w:rFonts w:eastAsia="Calibri"/>
          <w:lang w:val="en-GB"/>
        </w:rPr>
        <w:t xml:space="preserve">agricultural </w:t>
      </w:r>
      <w:r>
        <w:rPr>
          <w:rFonts w:eastAsia="Calibri"/>
        </w:rPr>
        <w:t>rituals dedicated to the death of Dumuzi and Osiris, and later to the death</w:t>
      </w:r>
      <w:r w:rsidR="0097405C">
        <w:rPr>
          <w:rFonts w:eastAsia="Calibri"/>
          <w:lang w:val="en-GB" w:bidi="he-IL"/>
        </w:rPr>
        <w:t xml:space="preserve"> of </w:t>
      </w:r>
      <w:r>
        <w:rPr>
          <w:rFonts w:eastAsia="Calibri"/>
        </w:rPr>
        <w:t xml:space="preserve">Adonis </w:t>
      </w:r>
      <w:r w:rsidR="006358ED">
        <w:rPr>
          <w:rFonts w:eastAsia="Calibri"/>
        </w:rPr>
        <w:t xml:space="preserve">in </w:t>
      </w:r>
      <w:del w:id="79" w:author="Avraham Kallenbah" w:date="2021-04-13T08:40:00Z">
        <w:r w:rsidDel="00B91D14">
          <w:rPr>
            <w:rFonts w:eastAsia="Calibri"/>
          </w:rPr>
          <w:delText xml:space="preserve">the </w:delText>
        </w:r>
      </w:del>
      <w:ins w:id="80" w:author="Avraham Kallenbah" w:date="2021-04-13T08:40:00Z">
        <w:r w:rsidR="00B91D14">
          <w:rPr>
            <w:rFonts w:eastAsia="Calibri"/>
          </w:rPr>
          <w:t xml:space="preserve">writings from </w:t>
        </w:r>
      </w:ins>
      <w:r>
        <w:rPr>
          <w:rFonts w:eastAsia="Calibri"/>
        </w:rPr>
        <w:t>late antiquity</w:t>
      </w:r>
      <w:del w:id="81" w:author="Avraham Kallenbah" w:date="2021-04-13T08:40:00Z">
        <w:r w:rsidR="0097405C" w:rsidDel="00B91D14">
          <w:rPr>
            <w:rFonts w:eastAsia="Calibri"/>
          </w:rPr>
          <w:delText>’s writings</w:delText>
        </w:r>
      </w:del>
      <w:r>
        <w:rPr>
          <w:rFonts w:eastAsia="Calibri"/>
        </w:rPr>
        <w:t>.</w:t>
      </w:r>
      <w:r>
        <w:rPr>
          <w:rStyle w:val="FootnoteReference"/>
          <w:rFonts w:eastAsia="Calibri"/>
        </w:rPr>
        <w:footnoteReference w:id="63"/>
      </w:r>
      <w:r>
        <w:rPr>
          <w:rFonts w:eastAsia="Calibri"/>
        </w:rPr>
        <w:t xml:space="preserve"> In contrast, scholars have rightly noted that no Ugaritic rituals connected to Baal's death and resurrection have been discovered. </w:t>
      </w:r>
    </w:p>
    <w:p w14:paraId="4165ABF9" w14:textId="49DAD0F8" w:rsidR="005A5A48" w:rsidRPr="00A47B88" w:rsidRDefault="005A5A48" w:rsidP="005A5A48">
      <w:pPr>
        <w:spacing w:after="120"/>
        <w:ind w:firstLine="431"/>
        <w:rPr>
          <w:rFonts w:eastAsia="Calibri"/>
          <w:rtl/>
        </w:rPr>
      </w:pPr>
      <w:r>
        <w:rPr>
          <w:rFonts w:eastAsia="Calibri"/>
        </w:rPr>
        <w:t xml:space="preserve">Moreover, unlike </w:t>
      </w:r>
      <w:proofErr w:type="spellStart"/>
      <w:r>
        <w:rPr>
          <w:rFonts w:eastAsia="Calibri"/>
        </w:rPr>
        <w:t>Ḫammi-ištamar’s</w:t>
      </w:r>
      <w:proofErr w:type="spellEnd"/>
      <w:r>
        <w:rPr>
          <w:rFonts w:eastAsia="Calibri"/>
        </w:rPr>
        <w:t xml:space="preserve"> letter from Mari and the final lines of </w:t>
      </w:r>
      <w:r>
        <w:rPr>
          <w:rFonts w:eastAsia="Calibri"/>
          <w:i/>
          <w:iCs/>
        </w:rPr>
        <w:t>Inana’s Descent</w:t>
      </w:r>
      <w:r>
        <w:rPr>
          <w:rFonts w:eastAsia="Calibri"/>
        </w:rPr>
        <w:t xml:space="preserve"> from Mesopotamia –the Baal Cycle does not indicate </w:t>
      </w:r>
      <w:r w:rsidR="00E60D7B">
        <w:rPr>
          <w:rFonts w:eastAsia="Calibri"/>
        </w:rPr>
        <w:t>that Baal is resurrected annually</w:t>
      </w:r>
      <w:r>
        <w:rPr>
          <w:rFonts w:eastAsia="Calibri"/>
        </w:rPr>
        <w:t>.</w:t>
      </w:r>
      <w:bookmarkStart w:id="82" w:name="_Hlk68070930"/>
      <w:r>
        <w:rPr>
          <w:rStyle w:val="FootnoteReference"/>
          <w:rFonts w:eastAsia="Calibri"/>
        </w:rPr>
        <w:footnoteReference w:id="64"/>
      </w:r>
      <w:bookmarkEnd w:id="82"/>
      <w:r>
        <w:rPr>
          <w:rFonts w:eastAsia="Calibri"/>
        </w:rPr>
        <w:t xml:space="preserve"> Rather, it seems plausible that Baal’s absence lasted in effect for seven years – as was the case </w:t>
      </w:r>
      <w:r>
        <w:rPr>
          <w:rFonts w:eastAsia="Calibri"/>
        </w:rPr>
        <w:lastRenderedPageBreak/>
        <w:t xml:space="preserve">for Mot in the Baal Cycle. Evidence of this can be adduced from a saying incorporated into </w:t>
      </w:r>
      <w:r>
        <w:rPr>
          <w:rFonts w:eastAsia="Calibri"/>
          <w:i/>
          <w:iCs/>
        </w:rPr>
        <w:t xml:space="preserve">The Tale of </w:t>
      </w:r>
      <w:proofErr w:type="spellStart"/>
      <w:r>
        <w:rPr>
          <w:rFonts w:eastAsia="Calibri"/>
          <w:i/>
          <w:iCs/>
        </w:rPr>
        <w:t>Aqhat</w:t>
      </w:r>
      <w:proofErr w:type="spellEnd"/>
      <w:r>
        <w:rPr>
          <w:rFonts w:eastAsia="Calibri"/>
        </w:rPr>
        <w:t xml:space="preserve"> which connects Baal’s absence to </w:t>
      </w:r>
      <w:r w:rsidR="00E60D7B">
        <w:rPr>
          <w:rFonts w:eastAsia="Calibri"/>
        </w:rPr>
        <w:t xml:space="preserve">a </w:t>
      </w:r>
      <w:r>
        <w:rPr>
          <w:rFonts w:eastAsia="Calibri"/>
        </w:rPr>
        <w:t>lengthy drought</w:t>
      </w:r>
      <w:r w:rsidR="00E60D7B">
        <w:rPr>
          <w:rFonts w:eastAsia="Calibri"/>
        </w:rPr>
        <w:t xml:space="preserve"> lasting seven years</w:t>
      </w:r>
      <w:r>
        <w:rPr>
          <w:rFonts w:eastAsia="Calibri"/>
        </w:rPr>
        <w:t>:</w:t>
      </w:r>
      <w:r>
        <w:rPr>
          <w:rStyle w:val="FootnoteReference"/>
          <w:rFonts w:eastAsia="Calibri"/>
        </w:rPr>
        <w:footnoteReference w:id="65"/>
      </w:r>
    </w:p>
    <w:tbl>
      <w:tblPr>
        <w:tblStyle w:val="TableGrid"/>
        <w:tblW w:w="8649" w:type="dxa"/>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2127"/>
        <w:gridCol w:w="1563"/>
      </w:tblGrid>
      <w:tr w:rsidR="005A5A48" w:rsidRPr="00A47B88" w14:paraId="3EBE1B73" w14:textId="77777777" w:rsidTr="005A5A48">
        <w:tc>
          <w:tcPr>
            <w:tcW w:w="4959" w:type="dxa"/>
          </w:tcPr>
          <w:p w14:paraId="748349D1" w14:textId="77777777" w:rsidR="005A5A48" w:rsidRPr="006A346E" w:rsidRDefault="005A5A48" w:rsidP="006A346E">
            <w:pPr>
              <w:ind w:firstLine="0"/>
              <w:rPr>
                <w:rFonts w:cstheme="majorBidi"/>
                <w:sz w:val="22"/>
                <w:szCs w:val="22"/>
                <w:rtl/>
              </w:rPr>
            </w:pPr>
            <w:r w:rsidRPr="006A346E">
              <w:rPr>
                <w:rFonts w:cstheme="majorBidi"/>
                <w:sz w:val="22"/>
                <w:szCs w:val="22"/>
                <w:vertAlign w:val="superscript"/>
              </w:rPr>
              <w:t xml:space="preserve">1.19 I 42 </w:t>
            </w:r>
            <w:r w:rsidRPr="006A346E">
              <w:rPr>
                <w:rFonts w:cstheme="majorBidi"/>
                <w:sz w:val="22"/>
                <w:szCs w:val="22"/>
              </w:rPr>
              <w:t>Seven years</w:t>
            </w:r>
          </w:p>
        </w:tc>
        <w:tc>
          <w:tcPr>
            <w:tcW w:w="2127" w:type="dxa"/>
          </w:tcPr>
          <w:p w14:paraId="6BB3D960" w14:textId="77777777" w:rsidR="005A5A48" w:rsidRPr="006A346E" w:rsidRDefault="005A5A48" w:rsidP="006A346E">
            <w:pPr>
              <w:ind w:firstLine="0"/>
              <w:rPr>
                <w:rFonts w:cstheme="majorBidi"/>
                <w:sz w:val="22"/>
                <w:szCs w:val="22"/>
                <w:rtl/>
              </w:rPr>
            </w:pPr>
            <w:proofErr w:type="spellStart"/>
            <w:r w:rsidRPr="006A346E">
              <w:rPr>
                <w:rFonts w:cstheme="majorBidi"/>
                <w:i/>
                <w:iCs/>
                <w:sz w:val="22"/>
                <w:szCs w:val="22"/>
              </w:rPr>
              <w:t>šbˁ</w:t>
            </w:r>
            <w:proofErr w:type="spellEnd"/>
            <w:r w:rsidRPr="006A346E">
              <w:rPr>
                <w:rFonts w:cstheme="majorBidi"/>
                <w:i/>
                <w:iCs/>
                <w:sz w:val="22"/>
                <w:szCs w:val="22"/>
              </w:rPr>
              <w:t xml:space="preserve"> . </w:t>
            </w:r>
            <w:proofErr w:type="spellStart"/>
            <w:r w:rsidRPr="006A346E">
              <w:rPr>
                <w:rFonts w:cstheme="majorBidi"/>
                <w:i/>
                <w:iCs/>
                <w:sz w:val="22"/>
                <w:szCs w:val="22"/>
              </w:rPr>
              <w:t>šnt</w:t>
            </w:r>
            <w:proofErr w:type="spellEnd"/>
          </w:p>
        </w:tc>
        <w:tc>
          <w:tcPr>
            <w:tcW w:w="1563" w:type="dxa"/>
          </w:tcPr>
          <w:p w14:paraId="6DA71ADA" w14:textId="77777777" w:rsidR="005A5A48" w:rsidRPr="00A47B88" w:rsidRDefault="005A5A48" w:rsidP="005A5A48">
            <w:pPr>
              <w:rPr>
                <w:rFonts w:cstheme="majorBidi"/>
                <w:rtl/>
              </w:rPr>
            </w:pPr>
          </w:p>
        </w:tc>
      </w:tr>
      <w:tr w:rsidR="005A5A48" w:rsidRPr="00A47B88" w14:paraId="1E14C995" w14:textId="77777777" w:rsidTr="005A5A48">
        <w:tc>
          <w:tcPr>
            <w:tcW w:w="4959" w:type="dxa"/>
          </w:tcPr>
          <w:p w14:paraId="1E2FE72B" w14:textId="77777777" w:rsidR="005A5A48" w:rsidRPr="006A346E" w:rsidRDefault="005A5A48" w:rsidP="006A346E">
            <w:pPr>
              <w:ind w:firstLine="0"/>
              <w:rPr>
                <w:rFonts w:cstheme="majorBidi"/>
                <w:sz w:val="22"/>
                <w:szCs w:val="22"/>
                <w:rtl/>
              </w:rPr>
            </w:pPr>
            <w:r w:rsidRPr="006A346E">
              <w:rPr>
                <w:rFonts w:cstheme="majorBidi"/>
                <w:sz w:val="22"/>
                <w:szCs w:val="22"/>
                <w:vertAlign w:val="superscript"/>
              </w:rPr>
              <w:t xml:space="preserve">43 </w:t>
            </w:r>
            <w:r w:rsidRPr="006A346E">
              <w:rPr>
                <w:rFonts w:cstheme="majorBidi"/>
                <w:sz w:val="22"/>
                <w:szCs w:val="22"/>
              </w:rPr>
              <w:t>Baal is missing, eight</w:t>
            </w:r>
          </w:p>
        </w:tc>
        <w:tc>
          <w:tcPr>
            <w:tcW w:w="2127" w:type="dxa"/>
          </w:tcPr>
          <w:p w14:paraId="2EC40EAD" w14:textId="77777777" w:rsidR="005A5A48" w:rsidRPr="006A346E" w:rsidRDefault="005A5A48" w:rsidP="006A346E">
            <w:pPr>
              <w:ind w:firstLine="0"/>
              <w:rPr>
                <w:rFonts w:cstheme="majorBidi"/>
                <w:sz w:val="22"/>
                <w:szCs w:val="22"/>
                <w:rtl/>
              </w:rPr>
            </w:pPr>
            <w:proofErr w:type="spellStart"/>
            <w:r w:rsidRPr="006A346E">
              <w:rPr>
                <w:rFonts w:cstheme="majorBidi"/>
                <w:i/>
                <w:iCs/>
                <w:sz w:val="22"/>
                <w:szCs w:val="22"/>
              </w:rPr>
              <w:t>yṣrk</w:t>
            </w:r>
            <w:proofErr w:type="spellEnd"/>
            <w:r w:rsidRPr="006A346E">
              <w:rPr>
                <w:rFonts w:cstheme="majorBidi"/>
                <w:i/>
                <w:iCs/>
                <w:sz w:val="22"/>
                <w:szCs w:val="22"/>
              </w:rPr>
              <w:t xml:space="preserve"> . </w:t>
            </w:r>
            <w:proofErr w:type="spellStart"/>
            <w:r w:rsidRPr="006A346E">
              <w:rPr>
                <w:rFonts w:cstheme="majorBidi"/>
                <w:i/>
                <w:iCs/>
                <w:sz w:val="22"/>
                <w:szCs w:val="22"/>
              </w:rPr>
              <w:t>bˁl</w:t>
            </w:r>
            <w:proofErr w:type="spellEnd"/>
            <w:r w:rsidRPr="006A346E">
              <w:rPr>
                <w:rFonts w:cstheme="majorBidi"/>
                <w:i/>
                <w:iCs/>
                <w:sz w:val="22"/>
                <w:szCs w:val="22"/>
              </w:rPr>
              <w:t xml:space="preserve"> . </w:t>
            </w:r>
            <w:proofErr w:type="spellStart"/>
            <w:r w:rsidRPr="006A346E">
              <w:rPr>
                <w:rFonts w:cstheme="majorBidi"/>
                <w:i/>
                <w:iCs/>
                <w:sz w:val="22"/>
                <w:szCs w:val="22"/>
              </w:rPr>
              <w:t>ṯmn</w:t>
            </w:r>
            <w:proofErr w:type="spellEnd"/>
            <w:r w:rsidRPr="006A346E">
              <w:rPr>
                <w:rFonts w:cstheme="majorBidi"/>
                <w:i/>
                <w:iCs/>
                <w:sz w:val="22"/>
                <w:szCs w:val="22"/>
              </w:rPr>
              <w:t xml:space="preserve"> . </w:t>
            </w:r>
            <w:proofErr w:type="spellStart"/>
            <w:r w:rsidRPr="006A346E">
              <w:rPr>
                <w:rFonts w:cstheme="majorBidi"/>
                <w:i/>
                <w:iCs/>
                <w:sz w:val="22"/>
                <w:szCs w:val="22"/>
              </w:rPr>
              <w:t>rkb</w:t>
            </w:r>
            <w:proofErr w:type="spellEnd"/>
          </w:p>
        </w:tc>
        <w:tc>
          <w:tcPr>
            <w:tcW w:w="1563" w:type="dxa"/>
          </w:tcPr>
          <w:p w14:paraId="3273C336" w14:textId="77777777" w:rsidR="005A5A48" w:rsidRPr="00A47B88" w:rsidRDefault="005A5A48" w:rsidP="005A5A48">
            <w:pPr>
              <w:rPr>
                <w:rFonts w:cstheme="majorBidi"/>
                <w:rtl/>
              </w:rPr>
            </w:pPr>
          </w:p>
        </w:tc>
      </w:tr>
      <w:tr w:rsidR="005A5A48" w:rsidRPr="00A47B88" w14:paraId="307FA7C1" w14:textId="77777777" w:rsidTr="005A5A48">
        <w:tc>
          <w:tcPr>
            <w:tcW w:w="4959" w:type="dxa"/>
          </w:tcPr>
          <w:p w14:paraId="1E86203D" w14:textId="77777777" w:rsidR="005A5A48" w:rsidRPr="006A346E" w:rsidRDefault="005A5A48" w:rsidP="006A346E">
            <w:pPr>
              <w:ind w:firstLine="0"/>
              <w:rPr>
                <w:rFonts w:cstheme="majorBidi"/>
                <w:sz w:val="22"/>
                <w:szCs w:val="22"/>
                <w:rtl/>
              </w:rPr>
            </w:pPr>
            <w:r w:rsidRPr="006A346E">
              <w:rPr>
                <w:rFonts w:cstheme="majorBidi"/>
                <w:sz w:val="22"/>
                <w:szCs w:val="22"/>
                <w:vertAlign w:val="superscript"/>
              </w:rPr>
              <w:t>44</w:t>
            </w:r>
            <w:r w:rsidRPr="006A346E">
              <w:rPr>
                <w:rFonts w:cstheme="majorBidi"/>
                <w:sz w:val="22"/>
                <w:szCs w:val="22"/>
              </w:rPr>
              <w:t xml:space="preserve"> (years), the Rider of clouds. No dew, no downpour,</w:t>
            </w:r>
          </w:p>
        </w:tc>
        <w:tc>
          <w:tcPr>
            <w:tcW w:w="2127" w:type="dxa"/>
          </w:tcPr>
          <w:p w14:paraId="1A8F861A" w14:textId="77777777" w:rsidR="005A5A48" w:rsidRPr="006A346E" w:rsidRDefault="005A5A48" w:rsidP="006A346E">
            <w:pPr>
              <w:ind w:firstLine="0"/>
              <w:rPr>
                <w:rFonts w:cstheme="majorBidi"/>
                <w:sz w:val="22"/>
                <w:szCs w:val="22"/>
                <w:rtl/>
              </w:rPr>
            </w:pPr>
            <w:proofErr w:type="spellStart"/>
            <w:r w:rsidRPr="006A346E">
              <w:rPr>
                <w:rFonts w:cstheme="majorBidi"/>
                <w:i/>
                <w:iCs/>
                <w:sz w:val="22"/>
                <w:szCs w:val="22"/>
              </w:rPr>
              <w:t>ˁrpt</w:t>
            </w:r>
            <w:proofErr w:type="spellEnd"/>
            <w:r w:rsidRPr="006A346E">
              <w:rPr>
                <w:rFonts w:cstheme="majorBidi"/>
                <w:i/>
                <w:iCs/>
                <w:sz w:val="22"/>
                <w:szCs w:val="22"/>
              </w:rPr>
              <w:t xml:space="preserve"> . bl . </w:t>
            </w:r>
            <w:proofErr w:type="spellStart"/>
            <w:r w:rsidRPr="006A346E">
              <w:rPr>
                <w:rFonts w:cstheme="majorBidi"/>
                <w:i/>
                <w:iCs/>
                <w:sz w:val="22"/>
                <w:szCs w:val="22"/>
              </w:rPr>
              <w:t>ṭl</w:t>
            </w:r>
            <w:proofErr w:type="spellEnd"/>
            <w:r w:rsidRPr="006A346E">
              <w:rPr>
                <w:rFonts w:cstheme="majorBidi"/>
                <w:i/>
                <w:iCs/>
                <w:sz w:val="22"/>
                <w:szCs w:val="22"/>
              </w:rPr>
              <w:t xml:space="preserve"> . bl . </w:t>
            </w:r>
            <w:proofErr w:type="spellStart"/>
            <w:r w:rsidRPr="006A346E">
              <w:rPr>
                <w:rFonts w:cstheme="majorBidi"/>
                <w:i/>
                <w:iCs/>
                <w:sz w:val="22"/>
                <w:szCs w:val="22"/>
              </w:rPr>
              <w:t>rbb</w:t>
            </w:r>
            <w:proofErr w:type="spellEnd"/>
          </w:p>
        </w:tc>
        <w:tc>
          <w:tcPr>
            <w:tcW w:w="1563" w:type="dxa"/>
          </w:tcPr>
          <w:p w14:paraId="0F1840EE" w14:textId="77777777" w:rsidR="005A5A48" w:rsidRPr="00A47B88" w:rsidRDefault="005A5A48" w:rsidP="005A5A48">
            <w:pPr>
              <w:rPr>
                <w:rFonts w:cstheme="majorBidi"/>
                <w:rtl/>
              </w:rPr>
            </w:pPr>
          </w:p>
        </w:tc>
      </w:tr>
      <w:tr w:rsidR="005A5A48" w:rsidRPr="00A47B88" w14:paraId="2B5E04FA" w14:textId="77777777" w:rsidTr="005A5A48">
        <w:tc>
          <w:tcPr>
            <w:tcW w:w="4959" w:type="dxa"/>
          </w:tcPr>
          <w:p w14:paraId="2C5360EB" w14:textId="7D7F19E5" w:rsidR="005A5A48" w:rsidRPr="006A346E" w:rsidRDefault="005A5A48" w:rsidP="006A346E">
            <w:pPr>
              <w:ind w:firstLine="0"/>
              <w:rPr>
                <w:rFonts w:cstheme="majorBidi"/>
                <w:sz w:val="22"/>
                <w:szCs w:val="22"/>
                <w:rtl/>
              </w:rPr>
            </w:pPr>
            <w:r w:rsidRPr="006A346E">
              <w:rPr>
                <w:rFonts w:cstheme="majorBidi"/>
                <w:sz w:val="22"/>
                <w:szCs w:val="22"/>
                <w:vertAlign w:val="superscript"/>
              </w:rPr>
              <w:t xml:space="preserve">45 </w:t>
            </w:r>
            <w:r w:rsidRPr="006A346E">
              <w:rPr>
                <w:rFonts w:cstheme="majorBidi"/>
                <w:sz w:val="22"/>
                <w:szCs w:val="22"/>
              </w:rPr>
              <w:t>no swirling of the deeps, no</w:t>
            </w:r>
          </w:p>
        </w:tc>
        <w:tc>
          <w:tcPr>
            <w:tcW w:w="2127" w:type="dxa"/>
          </w:tcPr>
          <w:p w14:paraId="15B9EDFE" w14:textId="77777777" w:rsidR="005A5A48" w:rsidRPr="006A346E" w:rsidRDefault="005A5A48" w:rsidP="006A346E">
            <w:pPr>
              <w:ind w:firstLine="0"/>
              <w:rPr>
                <w:rFonts w:cstheme="majorBidi"/>
                <w:sz w:val="22"/>
                <w:szCs w:val="22"/>
                <w:rtl/>
              </w:rPr>
            </w:pPr>
            <w:r w:rsidRPr="006A346E">
              <w:rPr>
                <w:rFonts w:cstheme="majorBidi"/>
                <w:i/>
                <w:iCs/>
                <w:sz w:val="22"/>
                <w:szCs w:val="22"/>
              </w:rPr>
              <w:t xml:space="preserve">bl . </w:t>
            </w:r>
            <w:proofErr w:type="spellStart"/>
            <w:r w:rsidRPr="006A346E">
              <w:rPr>
                <w:rFonts w:cstheme="majorBidi"/>
                <w:i/>
                <w:iCs/>
                <w:sz w:val="22"/>
                <w:szCs w:val="22"/>
              </w:rPr>
              <w:t>šrˁ</w:t>
            </w:r>
            <w:proofErr w:type="spellEnd"/>
            <w:r w:rsidRPr="006A346E">
              <w:rPr>
                <w:rFonts w:cstheme="majorBidi"/>
                <w:i/>
                <w:iCs/>
                <w:sz w:val="22"/>
                <w:szCs w:val="22"/>
              </w:rPr>
              <w:t xml:space="preserve"> . </w:t>
            </w:r>
            <w:proofErr w:type="spellStart"/>
            <w:r w:rsidRPr="006A346E">
              <w:rPr>
                <w:rFonts w:cstheme="majorBidi"/>
                <w:i/>
                <w:iCs/>
                <w:sz w:val="22"/>
                <w:szCs w:val="22"/>
              </w:rPr>
              <w:t>thmtm</w:t>
            </w:r>
            <w:proofErr w:type="spellEnd"/>
            <w:r w:rsidRPr="006A346E">
              <w:rPr>
                <w:rFonts w:cstheme="majorBidi"/>
                <w:i/>
                <w:iCs/>
                <w:sz w:val="22"/>
                <w:szCs w:val="22"/>
              </w:rPr>
              <w:t xml:space="preserve"> . bl</w:t>
            </w:r>
          </w:p>
        </w:tc>
        <w:tc>
          <w:tcPr>
            <w:tcW w:w="1563" w:type="dxa"/>
          </w:tcPr>
          <w:p w14:paraId="18EBDBDA" w14:textId="77777777" w:rsidR="005A5A48" w:rsidRPr="00A47B88" w:rsidRDefault="005A5A48" w:rsidP="005A5A48">
            <w:pPr>
              <w:rPr>
                <w:rFonts w:cstheme="majorBidi"/>
                <w:rtl/>
              </w:rPr>
            </w:pPr>
          </w:p>
        </w:tc>
      </w:tr>
      <w:tr w:rsidR="005A5A48" w:rsidRPr="00A47B88" w14:paraId="0B892FE2" w14:textId="77777777" w:rsidTr="005A5A48">
        <w:tc>
          <w:tcPr>
            <w:tcW w:w="4959" w:type="dxa"/>
          </w:tcPr>
          <w:p w14:paraId="50F1A8EF" w14:textId="10115FA7" w:rsidR="005A5A48" w:rsidRPr="006A346E" w:rsidRDefault="005A5A48" w:rsidP="006A346E">
            <w:pPr>
              <w:ind w:firstLine="0"/>
              <w:rPr>
                <w:rFonts w:cstheme="majorBidi"/>
                <w:sz w:val="22"/>
                <w:szCs w:val="22"/>
                <w:rtl/>
              </w:rPr>
            </w:pPr>
            <w:r w:rsidRPr="006A346E">
              <w:rPr>
                <w:rFonts w:cstheme="majorBidi"/>
                <w:sz w:val="22"/>
                <w:szCs w:val="22"/>
                <w:vertAlign w:val="superscript"/>
              </w:rPr>
              <w:t xml:space="preserve">46 </w:t>
            </w:r>
            <w:r w:rsidRPr="006A346E">
              <w:rPr>
                <w:rFonts w:cstheme="majorBidi"/>
                <w:sz w:val="22"/>
                <w:szCs w:val="22"/>
              </w:rPr>
              <w:t>goodly voice of Baal (= thunders).</w:t>
            </w:r>
          </w:p>
        </w:tc>
        <w:tc>
          <w:tcPr>
            <w:tcW w:w="2127" w:type="dxa"/>
          </w:tcPr>
          <w:p w14:paraId="61EAC8EA" w14:textId="77777777" w:rsidR="005A5A48" w:rsidRPr="006A346E" w:rsidRDefault="005A5A48" w:rsidP="006A346E">
            <w:pPr>
              <w:ind w:firstLine="0"/>
              <w:rPr>
                <w:rFonts w:cstheme="majorBidi"/>
                <w:sz w:val="22"/>
                <w:szCs w:val="22"/>
                <w:rtl/>
              </w:rPr>
            </w:pPr>
            <w:proofErr w:type="spellStart"/>
            <w:r w:rsidRPr="006A346E">
              <w:rPr>
                <w:rFonts w:cstheme="majorBidi"/>
                <w:i/>
                <w:iCs/>
                <w:sz w:val="22"/>
                <w:szCs w:val="22"/>
              </w:rPr>
              <w:t>ṭbn</w:t>
            </w:r>
            <w:proofErr w:type="spellEnd"/>
            <w:r w:rsidRPr="006A346E">
              <w:rPr>
                <w:rFonts w:cstheme="majorBidi"/>
                <w:i/>
                <w:iCs/>
                <w:sz w:val="22"/>
                <w:szCs w:val="22"/>
              </w:rPr>
              <w:t xml:space="preserve"> . </w:t>
            </w:r>
            <w:proofErr w:type="spellStart"/>
            <w:r w:rsidRPr="006A346E">
              <w:rPr>
                <w:rFonts w:cstheme="majorBidi"/>
                <w:i/>
                <w:iCs/>
                <w:sz w:val="22"/>
                <w:szCs w:val="22"/>
              </w:rPr>
              <w:t>ql</w:t>
            </w:r>
            <w:proofErr w:type="spellEnd"/>
            <w:r w:rsidRPr="006A346E">
              <w:rPr>
                <w:rFonts w:cstheme="majorBidi"/>
                <w:i/>
                <w:iCs/>
                <w:sz w:val="22"/>
                <w:szCs w:val="22"/>
              </w:rPr>
              <w:t xml:space="preserve"> . </w:t>
            </w:r>
            <w:proofErr w:type="spellStart"/>
            <w:r w:rsidRPr="006A346E">
              <w:rPr>
                <w:rFonts w:cstheme="majorBidi"/>
                <w:i/>
                <w:iCs/>
                <w:sz w:val="22"/>
                <w:szCs w:val="22"/>
              </w:rPr>
              <w:t>bˁl</w:t>
            </w:r>
            <w:proofErr w:type="spellEnd"/>
            <w:r w:rsidRPr="006A346E">
              <w:rPr>
                <w:rFonts w:cstheme="majorBidi"/>
                <w:i/>
                <w:iCs/>
                <w:sz w:val="22"/>
                <w:szCs w:val="22"/>
              </w:rPr>
              <w:t xml:space="preserve"> . …</w:t>
            </w:r>
          </w:p>
        </w:tc>
        <w:tc>
          <w:tcPr>
            <w:tcW w:w="1563" w:type="dxa"/>
          </w:tcPr>
          <w:p w14:paraId="072AAF06" w14:textId="77777777" w:rsidR="005A5A48" w:rsidRPr="00A47B88" w:rsidRDefault="005A5A48" w:rsidP="005A5A48">
            <w:pPr>
              <w:rPr>
                <w:rFonts w:cstheme="majorBidi"/>
                <w:rtl/>
              </w:rPr>
            </w:pPr>
          </w:p>
        </w:tc>
      </w:tr>
    </w:tbl>
    <w:p w14:paraId="7707D399" w14:textId="1098B384" w:rsidR="005A5A48" w:rsidRDefault="005A5A48" w:rsidP="005A5A48">
      <w:pPr>
        <w:spacing w:before="120"/>
        <w:rPr>
          <w:rFonts w:eastAsia="Calibri"/>
        </w:rPr>
      </w:pPr>
      <w:r>
        <w:rPr>
          <w:rFonts w:eastAsia="Calibri"/>
        </w:rPr>
        <w:t xml:space="preserve">A similar notion can be found in </w:t>
      </w:r>
      <w:r>
        <w:rPr>
          <w:rFonts w:eastAsia="Calibri"/>
          <w:i/>
          <w:iCs/>
        </w:rPr>
        <w:t>KTU</w:t>
      </w:r>
      <w:r>
        <w:rPr>
          <w:rFonts w:eastAsia="Calibri"/>
        </w:rPr>
        <w:t xml:space="preserve"> 1.12, which recounts the violent encounter between Baal and the entities called “the Eaters (</w:t>
      </w:r>
      <w:proofErr w:type="spellStart"/>
      <w:r w:rsidRPr="005A5A48">
        <w:rPr>
          <w:rFonts w:eastAsia="Calibri" w:cstheme="majorBidi"/>
          <w:i/>
          <w:iCs/>
          <w:lang w:val="en-GB" w:bidi="he-IL"/>
        </w:rPr>
        <w:t>ˀaklm</w:t>
      </w:r>
      <w:proofErr w:type="spellEnd"/>
      <w:r>
        <w:rPr>
          <w:rFonts w:eastAsia="Calibri"/>
        </w:rPr>
        <w:t>) and the Tearers (</w:t>
      </w:r>
      <w:proofErr w:type="spellStart"/>
      <w:r w:rsidRPr="005A5A48">
        <w:rPr>
          <w:rFonts w:eastAsia="Calibri" w:cstheme="majorBidi"/>
          <w:i/>
          <w:iCs/>
          <w:lang w:val="en-GB" w:bidi="he-IL"/>
        </w:rPr>
        <w:t>ˁqqm</w:t>
      </w:r>
      <w:proofErr w:type="spellEnd"/>
      <w:r>
        <w:rPr>
          <w:rFonts w:eastAsia="Calibri"/>
        </w:rPr>
        <w:t xml:space="preserve">).” Though the text is fragmentary, precluding </w:t>
      </w:r>
      <w:r w:rsidRPr="008759F8">
        <w:rPr>
          <w:rFonts w:eastAsia="Calibri"/>
        </w:rPr>
        <w:t xml:space="preserve">a full understanding of context, there seems to be </w:t>
      </w:r>
      <w:r w:rsidRPr="00ED6664">
        <w:rPr>
          <w:rFonts w:eastAsia="Calibri"/>
        </w:rPr>
        <w:t>a connection between the seven years of Baal’s death (</w:t>
      </w:r>
      <w:proofErr w:type="spellStart"/>
      <w:r w:rsidRPr="005A5A48">
        <w:rPr>
          <w:rFonts w:eastAsia="Calibri" w:cstheme="majorBidi"/>
          <w:i/>
          <w:iCs/>
          <w:lang w:val="en-GB" w:bidi="he-IL"/>
        </w:rPr>
        <w:t>šbˁ</w:t>
      </w:r>
      <w:proofErr w:type="spellEnd"/>
      <w:r w:rsidRPr="005A5A48">
        <w:rPr>
          <w:rFonts w:eastAsia="Calibri" w:cstheme="majorBidi"/>
          <w:i/>
          <w:iCs/>
          <w:lang w:val="en-GB" w:bidi="he-IL"/>
        </w:rPr>
        <w:t xml:space="preserve"> . </w:t>
      </w:r>
      <w:proofErr w:type="spellStart"/>
      <w:proofErr w:type="gramStart"/>
      <w:r w:rsidRPr="005A5A48">
        <w:rPr>
          <w:rFonts w:eastAsia="Calibri" w:cstheme="majorBidi"/>
          <w:i/>
          <w:iCs/>
          <w:lang w:val="en-GB" w:bidi="he-IL"/>
        </w:rPr>
        <w:t>šnt</w:t>
      </w:r>
      <w:proofErr w:type="spellEnd"/>
      <w:r w:rsidRPr="005A5A48">
        <w:rPr>
          <w:rFonts w:eastAsia="Calibri" w:cstheme="majorBidi"/>
          <w:i/>
          <w:iCs/>
          <w:lang w:val="en-GB" w:bidi="he-IL"/>
        </w:rPr>
        <w:t xml:space="preserve"> .</w:t>
      </w:r>
      <w:proofErr w:type="gramEnd"/>
      <w:r w:rsidRPr="005A5A48">
        <w:rPr>
          <w:rFonts w:eastAsia="Calibri" w:cstheme="majorBidi"/>
          <w:i/>
          <w:iCs/>
          <w:lang w:val="en-GB" w:bidi="he-IL"/>
        </w:rPr>
        <w:t xml:space="preserve"> </w:t>
      </w:r>
      <w:proofErr w:type="spellStart"/>
      <w:proofErr w:type="gramStart"/>
      <w:r w:rsidRPr="005A5A48">
        <w:rPr>
          <w:rFonts w:eastAsia="Calibri" w:cstheme="majorBidi"/>
          <w:i/>
          <w:iCs/>
          <w:lang w:val="en-GB" w:bidi="he-IL"/>
        </w:rPr>
        <w:t>ˀil</w:t>
      </w:r>
      <w:proofErr w:type="spellEnd"/>
      <w:r w:rsidRPr="005A5A48">
        <w:rPr>
          <w:rFonts w:eastAsia="Calibri" w:cstheme="majorBidi"/>
          <w:i/>
          <w:iCs/>
          <w:lang w:val="en-GB" w:bidi="he-IL"/>
        </w:rPr>
        <w:t xml:space="preserve"> .</w:t>
      </w:r>
      <w:proofErr w:type="gramEnd"/>
      <w:r w:rsidRPr="005A5A48">
        <w:rPr>
          <w:rFonts w:eastAsia="Calibri" w:cstheme="majorBidi"/>
          <w:i/>
          <w:iCs/>
          <w:lang w:val="en-GB" w:bidi="he-IL"/>
        </w:rPr>
        <w:t xml:space="preserve"> </w:t>
      </w:r>
      <w:proofErr w:type="spellStart"/>
      <w:r w:rsidRPr="005A5A48">
        <w:rPr>
          <w:rFonts w:eastAsia="Calibri" w:cstheme="majorBidi"/>
          <w:i/>
          <w:iCs/>
          <w:lang w:val="en-GB" w:bidi="he-IL"/>
        </w:rPr>
        <w:t>mlˀa</w:t>
      </w:r>
      <w:proofErr w:type="spellEnd"/>
      <w:r w:rsidRPr="005A5A48">
        <w:rPr>
          <w:rFonts w:eastAsia="Calibri" w:cstheme="majorBidi"/>
          <w:i/>
          <w:iCs/>
          <w:lang w:val="en-GB" w:bidi="he-IL"/>
        </w:rPr>
        <w:t xml:space="preserve"> / w </w:t>
      </w:r>
      <w:proofErr w:type="spellStart"/>
      <w:proofErr w:type="gramStart"/>
      <w:r w:rsidRPr="005A5A48">
        <w:rPr>
          <w:rFonts w:eastAsia="Calibri" w:cstheme="majorBidi"/>
          <w:i/>
          <w:iCs/>
          <w:lang w:val="en-GB" w:bidi="he-IL"/>
        </w:rPr>
        <w:t>ṯmn</w:t>
      </w:r>
      <w:proofErr w:type="spellEnd"/>
      <w:r w:rsidRPr="005A5A48">
        <w:rPr>
          <w:rFonts w:eastAsia="Calibri" w:cstheme="majorBidi"/>
          <w:i/>
          <w:iCs/>
          <w:lang w:val="en-GB" w:bidi="he-IL"/>
        </w:rPr>
        <w:t xml:space="preserve"> .</w:t>
      </w:r>
      <w:proofErr w:type="gramEnd"/>
      <w:r w:rsidRPr="005A5A48">
        <w:rPr>
          <w:rFonts w:eastAsia="Calibri" w:cstheme="majorBidi"/>
          <w:i/>
          <w:iCs/>
          <w:lang w:val="en-GB" w:bidi="he-IL"/>
        </w:rPr>
        <w:t xml:space="preserve"> </w:t>
      </w:r>
      <w:proofErr w:type="spellStart"/>
      <w:proofErr w:type="gramStart"/>
      <w:r w:rsidRPr="005A5A48">
        <w:rPr>
          <w:rFonts w:eastAsia="Calibri" w:cstheme="majorBidi"/>
          <w:i/>
          <w:iCs/>
          <w:lang w:val="en-GB" w:bidi="he-IL"/>
        </w:rPr>
        <w:t>nqpnt</w:t>
      </w:r>
      <w:proofErr w:type="spellEnd"/>
      <w:r w:rsidRPr="005A5A48">
        <w:rPr>
          <w:rFonts w:eastAsia="Calibri" w:cstheme="majorBidi"/>
          <w:i/>
          <w:iCs/>
          <w:lang w:val="en-GB" w:bidi="he-IL"/>
        </w:rPr>
        <w:t xml:space="preserve"> .</w:t>
      </w:r>
      <w:proofErr w:type="gramEnd"/>
      <w:r w:rsidRPr="005A5A48">
        <w:rPr>
          <w:rFonts w:eastAsia="Calibri" w:cstheme="majorBidi"/>
          <w:i/>
          <w:iCs/>
          <w:lang w:val="en-GB" w:bidi="he-IL"/>
        </w:rPr>
        <w:t xml:space="preserve"> </w:t>
      </w:r>
      <w:proofErr w:type="spellStart"/>
      <w:r w:rsidRPr="005A5A48">
        <w:rPr>
          <w:rFonts w:eastAsia="Calibri" w:cstheme="majorBidi"/>
          <w:i/>
          <w:iCs/>
          <w:lang w:val="en-GB" w:bidi="he-IL"/>
        </w:rPr>
        <w:t>ˁd</w:t>
      </w:r>
      <w:proofErr w:type="spellEnd"/>
      <w:r w:rsidRPr="008759F8">
        <w:rPr>
          <w:rFonts w:eastAsia="Calibri"/>
        </w:rPr>
        <w:t>)</w:t>
      </w:r>
      <w:r w:rsidRPr="00ED6664">
        <w:rPr>
          <w:rFonts w:eastAsia="Calibri"/>
        </w:rPr>
        <w:t xml:space="preserve"> and the dryness of the fields (</w:t>
      </w:r>
      <w:proofErr w:type="spellStart"/>
      <w:proofErr w:type="gramStart"/>
      <w:r w:rsidRPr="005A5A48">
        <w:rPr>
          <w:rFonts w:eastAsia="Calibri" w:cstheme="majorBidi"/>
          <w:i/>
          <w:iCs/>
          <w:lang w:val="en-GB" w:bidi="he-IL"/>
        </w:rPr>
        <w:t>trˁ</w:t>
      </w:r>
      <w:proofErr w:type="spellEnd"/>
      <w:r w:rsidRPr="005A5A48">
        <w:rPr>
          <w:rFonts w:eastAsia="Calibri" w:cstheme="majorBidi"/>
          <w:i/>
          <w:iCs/>
          <w:lang w:val="en-GB" w:bidi="he-IL"/>
        </w:rPr>
        <w:t xml:space="preserve"> .</w:t>
      </w:r>
      <w:proofErr w:type="gramEnd"/>
      <w:r w:rsidRPr="005A5A48">
        <w:rPr>
          <w:rFonts w:eastAsia="Calibri" w:cstheme="majorBidi"/>
          <w:i/>
          <w:iCs/>
          <w:lang w:val="en-GB" w:bidi="he-IL"/>
        </w:rPr>
        <w:t xml:space="preserve"> </w:t>
      </w:r>
      <w:proofErr w:type="spellStart"/>
      <w:proofErr w:type="gramStart"/>
      <w:r w:rsidRPr="005A5A48">
        <w:rPr>
          <w:rFonts w:eastAsia="Calibri" w:cstheme="majorBidi"/>
          <w:i/>
          <w:iCs/>
          <w:lang w:val="en-GB" w:bidi="he-IL"/>
        </w:rPr>
        <w:t>trˁn</w:t>
      </w:r>
      <w:proofErr w:type="spellEnd"/>
      <w:r w:rsidRPr="005A5A48">
        <w:rPr>
          <w:rFonts w:eastAsia="Calibri" w:cstheme="majorBidi"/>
          <w:i/>
          <w:iCs/>
          <w:lang w:val="en-GB" w:bidi="he-IL"/>
        </w:rPr>
        <w:t xml:space="preserve"> .</w:t>
      </w:r>
      <w:proofErr w:type="gramEnd"/>
      <w:r w:rsidRPr="005A5A48">
        <w:rPr>
          <w:rFonts w:eastAsia="Calibri" w:cstheme="majorBidi"/>
          <w:lang w:val="en-GB" w:bidi="he-IL"/>
        </w:rPr>
        <w:t xml:space="preserve"> […] / </w:t>
      </w:r>
      <w:proofErr w:type="spellStart"/>
      <w:proofErr w:type="gramStart"/>
      <w:r w:rsidRPr="005A5A48">
        <w:rPr>
          <w:rFonts w:eastAsia="Calibri" w:cstheme="majorBidi"/>
          <w:i/>
          <w:iCs/>
          <w:lang w:val="en-GB" w:bidi="he-IL"/>
        </w:rPr>
        <w:t>bnt</w:t>
      </w:r>
      <w:proofErr w:type="spellEnd"/>
      <w:r w:rsidRPr="005A5A48">
        <w:rPr>
          <w:rFonts w:eastAsia="Calibri" w:cstheme="majorBidi"/>
          <w:i/>
          <w:iCs/>
          <w:lang w:val="en-GB" w:bidi="he-IL"/>
        </w:rPr>
        <w:t xml:space="preserve"> .</w:t>
      </w:r>
      <w:proofErr w:type="gramEnd"/>
      <w:r w:rsidRPr="005A5A48">
        <w:rPr>
          <w:rFonts w:eastAsia="Calibri" w:cstheme="majorBidi"/>
          <w:i/>
          <w:iCs/>
          <w:lang w:val="en-GB" w:bidi="he-IL"/>
        </w:rPr>
        <w:t xml:space="preserve"> </w:t>
      </w:r>
      <w:proofErr w:type="spellStart"/>
      <w:proofErr w:type="gramStart"/>
      <w:r w:rsidRPr="005A5A48">
        <w:rPr>
          <w:rFonts w:eastAsia="Calibri" w:cstheme="majorBidi"/>
          <w:i/>
          <w:iCs/>
          <w:lang w:val="en-GB" w:bidi="he-IL"/>
        </w:rPr>
        <w:t>šdm</w:t>
      </w:r>
      <w:proofErr w:type="spellEnd"/>
      <w:r w:rsidRPr="005A5A48">
        <w:rPr>
          <w:rFonts w:eastAsia="Calibri" w:cstheme="majorBidi"/>
          <w:i/>
          <w:iCs/>
          <w:lang w:val="en-GB" w:bidi="he-IL"/>
        </w:rPr>
        <w:t xml:space="preserve"> .</w:t>
      </w:r>
      <w:proofErr w:type="gramEnd"/>
      <w:r w:rsidRPr="005A5A48">
        <w:rPr>
          <w:rFonts w:eastAsia="Calibri" w:cstheme="majorBidi"/>
          <w:i/>
          <w:iCs/>
          <w:lang w:val="en-GB" w:bidi="he-IL"/>
        </w:rPr>
        <w:t xml:space="preserve"> </w:t>
      </w:r>
      <w:proofErr w:type="spellStart"/>
      <w:r w:rsidRPr="005A5A48">
        <w:rPr>
          <w:rFonts w:eastAsia="Calibri" w:cstheme="majorBidi"/>
          <w:i/>
          <w:iCs/>
          <w:lang w:val="en-GB" w:bidi="he-IL"/>
        </w:rPr>
        <w:t>ṣḥr</w:t>
      </w:r>
      <w:proofErr w:type="spellEnd"/>
      <w:r w:rsidRPr="005A5A48">
        <w:rPr>
          <w:rFonts w:eastAsia="Calibri" w:cstheme="majorBidi"/>
          <w:lang w:val="en-GB" w:bidi="he-IL"/>
        </w:rPr>
        <w:t>[</w:t>
      </w:r>
      <w:r w:rsidRPr="005A5A48">
        <w:rPr>
          <w:rFonts w:eastAsia="Calibri" w:cstheme="majorBidi"/>
          <w:i/>
          <w:iCs/>
          <w:lang w:val="en-GB" w:bidi="he-IL"/>
        </w:rPr>
        <w:t>rt</w:t>
      </w:r>
      <w:r w:rsidRPr="005A5A48">
        <w:rPr>
          <w:rFonts w:eastAsia="Calibri" w:cstheme="majorBidi"/>
          <w:lang w:val="en-GB" w:bidi="he-IL"/>
        </w:rPr>
        <w:t>]</w:t>
      </w:r>
      <w:r w:rsidRPr="008759F8">
        <w:rPr>
          <w:rFonts w:eastAsia="Calibri"/>
        </w:rPr>
        <w:t>)</w:t>
      </w:r>
      <w:r w:rsidRPr="00ED6664">
        <w:rPr>
          <w:rFonts w:eastAsia="Calibri"/>
        </w:rPr>
        <w:t>.</w:t>
      </w:r>
      <w:r w:rsidRPr="008759F8">
        <w:rPr>
          <w:rStyle w:val="FootnoteReference"/>
          <w:rFonts w:eastAsia="Calibri"/>
        </w:rPr>
        <w:footnoteReference w:id="66"/>
      </w:r>
      <w:r w:rsidRPr="008759F8">
        <w:rPr>
          <w:rFonts w:eastAsia="Calibri"/>
        </w:rPr>
        <w:t xml:space="preserve"> </w:t>
      </w:r>
      <w:r w:rsidRPr="00ED6664">
        <w:rPr>
          <w:rFonts w:eastAsia="Calibri"/>
        </w:rPr>
        <w:t>Th</w:t>
      </w:r>
      <w:r>
        <w:rPr>
          <w:rFonts w:eastAsia="Calibri"/>
        </w:rPr>
        <w:t>e</w:t>
      </w:r>
      <w:r w:rsidRPr="00ED6664">
        <w:rPr>
          <w:rFonts w:eastAsia="Calibri"/>
        </w:rPr>
        <w:t xml:space="preserve"> text concludes</w:t>
      </w:r>
      <w:r>
        <w:rPr>
          <w:rFonts w:eastAsia="Calibri"/>
        </w:rPr>
        <w:t xml:space="preserve"> with a ritual </w:t>
      </w:r>
      <w:r w:rsidR="007A4A37">
        <w:rPr>
          <w:rFonts w:eastAsia="Calibri"/>
        </w:rPr>
        <w:t xml:space="preserve">which </w:t>
      </w:r>
      <w:r>
        <w:rPr>
          <w:rFonts w:eastAsia="Calibri"/>
        </w:rPr>
        <w:t xml:space="preserve">primarily </w:t>
      </w:r>
      <w:r w:rsidR="007A4A37">
        <w:rPr>
          <w:rFonts w:eastAsia="Calibri"/>
        </w:rPr>
        <w:t xml:space="preserve">revolves </w:t>
      </w:r>
      <w:r>
        <w:rPr>
          <w:rFonts w:eastAsia="Calibri"/>
        </w:rPr>
        <w:t>around water.</w:t>
      </w:r>
      <w:r>
        <w:rPr>
          <w:rStyle w:val="FootnoteReference"/>
          <w:rFonts w:eastAsia="Calibri"/>
        </w:rPr>
        <w:footnoteReference w:id="67"/>
      </w:r>
      <w:r>
        <w:rPr>
          <w:rFonts w:eastAsia="Calibri"/>
        </w:rPr>
        <w:t xml:space="preserve"> </w:t>
      </w:r>
    </w:p>
    <w:p w14:paraId="024D88BA" w14:textId="0300F67D" w:rsidR="005A5A48" w:rsidRPr="00A47B88" w:rsidRDefault="005A5A48" w:rsidP="005A5A48">
      <w:pPr>
        <w:ind w:firstLine="426"/>
        <w:rPr>
          <w:rFonts w:eastAsia="Calibri"/>
          <w:rtl/>
        </w:rPr>
      </w:pPr>
      <w:r>
        <w:rPr>
          <w:rFonts w:eastAsia="Calibri"/>
        </w:rPr>
        <w:t xml:space="preserve">While these literary works, </w:t>
      </w:r>
      <w:r w:rsidRPr="005A5A48">
        <w:rPr>
          <w:rFonts w:eastAsia="Calibri"/>
          <w:i/>
          <w:iCs/>
        </w:rPr>
        <w:t xml:space="preserve">The </w:t>
      </w:r>
      <w:r>
        <w:rPr>
          <w:rFonts w:eastAsia="Calibri"/>
          <w:i/>
          <w:iCs/>
        </w:rPr>
        <w:t>Tale</w:t>
      </w:r>
      <w:r w:rsidRPr="005A5A48">
        <w:rPr>
          <w:rFonts w:eastAsia="Calibri"/>
          <w:i/>
          <w:iCs/>
        </w:rPr>
        <w:t xml:space="preserve"> of </w:t>
      </w:r>
      <w:proofErr w:type="spellStart"/>
      <w:r w:rsidRPr="005A5A48">
        <w:rPr>
          <w:rFonts w:eastAsia="Calibri"/>
          <w:i/>
          <w:iCs/>
        </w:rPr>
        <w:t>Aqhat</w:t>
      </w:r>
      <w:proofErr w:type="spellEnd"/>
      <w:r w:rsidR="000A1683">
        <w:rPr>
          <w:rFonts w:eastAsia="Calibri"/>
        </w:rPr>
        <w:t>,</w:t>
      </w:r>
      <w:r>
        <w:rPr>
          <w:rFonts w:eastAsia="Calibri"/>
        </w:rPr>
        <w:t xml:space="preserve"> and </w:t>
      </w:r>
      <w:r w:rsidRPr="005A5A48">
        <w:rPr>
          <w:rFonts w:eastAsia="Calibri"/>
          <w:i/>
          <w:iCs/>
        </w:rPr>
        <w:t>KTU</w:t>
      </w:r>
      <w:r>
        <w:rPr>
          <w:rFonts w:eastAsia="Calibri"/>
        </w:rPr>
        <w:t xml:space="preserve"> 1.12, </w:t>
      </w:r>
      <w:r w:rsidR="00801EEF">
        <w:rPr>
          <w:rFonts w:eastAsia="Calibri"/>
        </w:rPr>
        <w:t>strengthen</w:t>
      </w:r>
      <w:r>
        <w:rPr>
          <w:rFonts w:eastAsia="Calibri"/>
        </w:rPr>
        <w:t xml:space="preserve"> the impression that no </w:t>
      </w:r>
      <w:r w:rsidR="00801EEF">
        <w:rPr>
          <w:rFonts w:eastAsia="Calibri"/>
        </w:rPr>
        <w:t>annual</w:t>
      </w:r>
      <w:r>
        <w:rPr>
          <w:rFonts w:eastAsia="Calibri"/>
        </w:rPr>
        <w:t xml:space="preserve"> resurrection of Baal </w:t>
      </w:r>
      <w:r w:rsidR="00801EEF">
        <w:rPr>
          <w:rFonts w:eastAsia="Calibri"/>
        </w:rPr>
        <w:t>was commemorated in</w:t>
      </w:r>
      <w:r>
        <w:rPr>
          <w:rFonts w:eastAsia="Calibri"/>
        </w:rPr>
        <w:t xml:space="preserve"> </w:t>
      </w:r>
      <w:r>
        <w:rPr>
          <w:rFonts w:eastAsia="Calibri"/>
          <w:lang w:val="en-GB" w:bidi="he-IL"/>
        </w:rPr>
        <w:t xml:space="preserve">Ugarit, they also significantly support the existence of the mythologem of Baal in Ugarit as a dying and rising god. To </w:t>
      </w:r>
      <w:r w:rsidR="007E7FBB">
        <w:rPr>
          <w:rFonts w:eastAsia="Calibri"/>
          <w:lang w:val="en-GB" w:bidi="he-IL"/>
        </w:rPr>
        <w:t>those</w:t>
      </w:r>
      <w:r>
        <w:rPr>
          <w:rFonts w:eastAsia="Calibri"/>
          <w:lang w:val="en-GB" w:bidi="he-IL"/>
        </w:rPr>
        <w:t xml:space="preserve"> </w:t>
      </w:r>
      <w:r w:rsidR="00E46D8D">
        <w:rPr>
          <w:rFonts w:eastAsia="Calibri"/>
          <w:lang w:val="en-GB" w:bidi="he-IL"/>
        </w:rPr>
        <w:t>motifs</w:t>
      </w:r>
      <w:r>
        <w:rPr>
          <w:rFonts w:eastAsia="Calibri"/>
          <w:lang w:val="en-GB" w:bidi="he-IL"/>
        </w:rPr>
        <w:t xml:space="preserve"> presented </w:t>
      </w:r>
      <w:r w:rsidR="00801EEF">
        <w:rPr>
          <w:rFonts w:eastAsia="Calibri"/>
          <w:lang w:val="en-GB" w:bidi="he-IL"/>
        </w:rPr>
        <w:t>in the</w:t>
      </w:r>
      <w:r>
        <w:rPr>
          <w:rFonts w:eastAsia="Calibri"/>
          <w:lang w:val="en-GB" w:bidi="he-IL"/>
        </w:rPr>
        <w:t xml:space="preserve"> Cycle</w:t>
      </w:r>
      <w:r w:rsidR="00801EEF">
        <w:rPr>
          <w:rFonts w:eastAsia="Calibri"/>
          <w:lang w:val="en-GB" w:bidi="he-IL"/>
        </w:rPr>
        <w:t xml:space="preserve"> in detail</w:t>
      </w:r>
      <w:r>
        <w:rPr>
          <w:rFonts w:eastAsia="Calibri"/>
          <w:lang w:val="en-GB" w:bidi="he-IL"/>
        </w:rPr>
        <w:t xml:space="preserve"> – the death of Baal accompanied by drought, the </w:t>
      </w:r>
      <w:r>
        <w:rPr>
          <w:rFonts w:eastAsia="Calibri"/>
          <w:lang w:val="en-GB" w:bidi="he-IL"/>
        </w:rPr>
        <w:lastRenderedPageBreak/>
        <w:t xml:space="preserve">mourning of his family and their searching for him, as well as the rising of Baal accompanied by flooding, the joy of his family and their searching for him – we may add the seven </w:t>
      </w:r>
      <w:r w:rsidR="00801EEF">
        <w:rPr>
          <w:rFonts w:eastAsia="Calibri"/>
          <w:lang w:val="en-GB" w:bidi="he-IL"/>
        </w:rPr>
        <w:t>year-</w:t>
      </w:r>
      <w:r>
        <w:rPr>
          <w:rFonts w:eastAsia="Calibri"/>
          <w:lang w:val="en-GB" w:bidi="he-IL"/>
        </w:rPr>
        <w:t xml:space="preserve">period of Baal’s </w:t>
      </w:r>
      <w:r w:rsidR="00801EEF">
        <w:rPr>
          <w:rFonts w:eastAsia="Calibri"/>
          <w:lang w:val="en-GB" w:bidi="he-IL"/>
        </w:rPr>
        <w:t>absence</w:t>
      </w:r>
      <w:r>
        <w:rPr>
          <w:rFonts w:eastAsia="Calibri"/>
          <w:lang w:val="en-GB" w:bidi="he-IL"/>
        </w:rPr>
        <w:t xml:space="preserve">.    </w:t>
      </w:r>
    </w:p>
    <w:p w14:paraId="7382E9A9" w14:textId="77777777" w:rsidR="005A5A48" w:rsidRPr="00A47B88" w:rsidRDefault="005A5A48" w:rsidP="005A5A48">
      <w:pPr>
        <w:ind w:firstLine="429"/>
        <w:jc w:val="center"/>
        <w:rPr>
          <w:rFonts w:eastAsia="Calibri"/>
          <w:rtl/>
        </w:rPr>
      </w:pPr>
      <w:r>
        <w:rPr>
          <w:rFonts w:eastAsia="Calibri"/>
        </w:rPr>
        <w:t>*</w:t>
      </w:r>
    </w:p>
    <w:p w14:paraId="4269C3B9" w14:textId="044BBA3A" w:rsidR="008E05FD" w:rsidRDefault="005A5A48" w:rsidP="0097405C">
      <w:pPr>
        <w:ind w:firstLine="0"/>
        <w:rPr>
          <w:lang w:val="en-GB"/>
        </w:rPr>
      </w:pPr>
      <w:r>
        <w:t xml:space="preserve">With the destruction of Ugarit towards the end of the second millennium, and with the transition to a linear alphabetic script written on perishable materials, our knowledge of Levantine cultures, literatures, and rituals is dramatically diminished. Moreover, biblical literature – which </w:t>
      </w:r>
      <w:r w:rsidR="00E7475B">
        <w:t xml:space="preserve">is often used to </w:t>
      </w:r>
      <w:r>
        <w:t xml:space="preserve">represent the Levantine literature of the first millennium due to the loss of almost all other </w:t>
      </w:r>
      <w:r w:rsidR="005759BF">
        <w:rPr>
          <w:lang w:bidi="he-IL"/>
        </w:rPr>
        <w:t>corpuses</w:t>
      </w:r>
      <w:r w:rsidR="005759BF">
        <w:rPr>
          <w:lang w:val="en-GB"/>
        </w:rPr>
        <w:t xml:space="preserve"> </w:t>
      </w:r>
      <w:r>
        <w:t xml:space="preserve">– mostly rejected, like the Mesopotamian culture, the mythologem of dying and rising gods. Despite these difficulties, </w:t>
      </w:r>
      <w:r w:rsidR="005759BF">
        <w:t xml:space="preserve">there is </w:t>
      </w:r>
      <w:r>
        <w:t xml:space="preserve">evidence </w:t>
      </w:r>
      <w:r w:rsidR="005759BF">
        <w:t xml:space="preserve">to suggest that </w:t>
      </w:r>
      <w:r>
        <w:t xml:space="preserve">this mythologem continued to be prevalent in the Phoenician culture, not only as a literary theme but as a ritual one as well. Since it </w:t>
      </w:r>
      <w:r w:rsidR="00E7475B">
        <w:t xml:space="preserve">has been </w:t>
      </w:r>
      <w:r>
        <w:t xml:space="preserve">discussed recently </w:t>
      </w:r>
      <w:r w:rsidR="005759BF">
        <w:t xml:space="preserve">at </w:t>
      </w:r>
      <w:r>
        <w:t>length by</w:t>
      </w:r>
      <w:r w:rsidR="008E05FD">
        <w:t xml:space="preserve"> </w:t>
      </w:r>
      <w:proofErr w:type="spellStart"/>
      <w:r w:rsidR="008E05FD">
        <w:t>Tryggve</w:t>
      </w:r>
      <w:proofErr w:type="spellEnd"/>
      <w:r w:rsidR="008E05FD">
        <w:t xml:space="preserve"> M.D.</w:t>
      </w:r>
      <w:r>
        <w:t xml:space="preserve"> </w:t>
      </w:r>
      <w:proofErr w:type="spellStart"/>
      <w:r>
        <w:t>Mettinger</w:t>
      </w:r>
      <w:proofErr w:type="spellEnd"/>
      <w:r>
        <w:t>,</w:t>
      </w:r>
      <w:r>
        <w:rPr>
          <w:rStyle w:val="FootnoteReference"/>
          <w:rFonts w:eastAsia="Calibri"/>
        </w:rPr>
        <w:footnoteReference w:id="68"/>
      </w:r>
      <w:r>
        <w:t xml:space="preserve"> </w:t>
      </w:r>
      <w:r w:rsidR="005759BF">
        <w:t>I will suffice</w:t>
      </w:r>
      <w:r>
        <w:t xml:space="preserve"> </w:t>
      </w:r>
      <w:r w:rsidR="005759BF">
        <w:t xml:space="preserve">with </w:t>
      </w:r>
      <w:r>
        <w:t xml:space="preserve">just two examples </w:t>
      </w:r>
      <w:r w:rsidR="005759BF">
        <w:t xml:space="preserve">of </w:t>
      </w:r>
      <w:r>
        <w:t>the cultic use of this mythologem</w:t>
      </w:r>
      <w:r w:rsidR="005759BF">
        <w:t xml:space="preserve"> </w:t>
      </w:r>
      <w:r>
        <w:t xml:space="preserve"> preserved in Western-Semitic languages, prior to late antiquity. </w:t>
      </w:r>
    </w:p>
    <w:p w14:paraId="004AEB0B" w14:textId="297F71C0" w:rsidR="005A5A48" w:rsidRPr="00A47B88" w:rsidRDefault="005A5A48" w:rsidP="006A346E">
      <w:pPr>
        <w:ind w:firstLine="567"/>
        <w:rPr>
          <w:rFonts w:eastAsia="Calibri"/>
          <w:rtl/>
        </w:rPr>
      </w:pPr>
      <w:r>
        <w:t xml:space="preserve">The first and </w:t>
      </w:r>
      <w:del w:id="89" w:author="Avraham Kallenbah" w:date="2021-04-08T11:59:00Z">
        <w:r w:rsidDel="005759BF">
          <w:delText>well</w:delText>
        </w:r>
      </w:del>
      <w:ins w:id="90" w:author="Avraham Kallenbah" w:date="2021-04-08T11:59:00Z">
        <w:r w:rsidR="005759BF">
          <w:t>best</w:t>
        </w:r>
      </w:ins>
      <w:r>
        <w:t xml:space="preserve">-known instance is the </w:t>
      </w:r>
      <w:del w:id="91" w:author="Noga Darshan" w:date="2021-04-12T13:28:00Z">
        <w:r w:rsidDel="008E05FD">
          <w:delText xml:space="preserve">position of a </w:delText>
        </w:r>
      </w:del>
      <w:commentRangeStart w:id="92"/>
      <w:commentRangeStart w:id="93"/>
      <w:commentRangeStart w:id="94"/>
      <w:r>
        <w:t xml:space="preserve">cultic </w:t>
      </w:r>
      <w:del w:id="95" w:author="Avraham Kallenbah" w:date="2021-04-18T14:13:00Z">
        <w:r w:rsidDel="00563EFB">
          <w:delText xml:space="preserve">personnel </w:delText>
        </w:r>
      </w:del>
      <w:commentRangeEnd w:id="92"/>
      <w:ins w:id="96" w:author="Avraham Kallenbah" w:date="2021-04-18T14:13:00Z">
        <w:r w:rsidR="00563EFB">
          <w:t>functionary referred to as</w:t>
        </w:r>
        <w:r w:rsidR="00563EFB">
          <w:t xml:space="preserve"> </w:t>
        </w:r>
      </w:ins>
      <w:r w:rsidR="005759BF">
        <w:rPr>
          <w:rStyle w:val="CommentReference"/>
        </w:rPr>
        <w:commentReference w:id="92"/>
      </w:r>
      <w:commentRangeEnd w:id="93"/>
      <w:commentRangeEnd w:id="94"/>
      <w:ins w:id="97" w:author="Avraham Kallenbah" w:date="2021-04-18T14:14:00Z">
        <w:r w:rsidR="00563EFB">
          <w:t xml:space="preserve">the </w:t>
        </w:r>
      </w:ins>
      <w:r w:rsidR="008E05FD">
        <w:rPr>
          <w:rStyle w:val="CommentReference"/>
        </w:rPr>
        <w:commentReference w:id="93"/>
      </w:r>
      <w:r w:rsidR="00563EFB">
        <w:rPr>
          <w:rStyle w:val="CommentReference"/>
        </w:rPr>
        <w:commentReference w:id="94"/>
      </w:r>
      <w:del w:id="98" w:author="Avraham Kallenbah" w:date="2021-04-18T14:13:00Z">
        <w:r w:rsidDel="00563EFB">
          <w:delText xml:space="preserve">called </w:delText>
        </w:r>
      </w:del>
      <w:proofErr w:type="spellStart"/>
      <w:r>
        <w:rPr>
          <w:i/>
          <w:iCs/>
        </w:rPr>
        <w:t>mqm</w:t>
      </w:r>
      <w:proofErr w:type="spellEnd"/>
      <w:r>
        <w:rPr>
          <w:i/>
          <w:iCs/>
        </w:rPr>
        <w:t xml:space="preserve"> </w:t>
      </w:r>
      <w:proofErr w:type="spellStart"/>
      <w:r>
        <w:rPr>
          <w:i/>
          <w:iCs/>
        </w:rPr>
        <w:t>ˀlm</w:t>
      </w:r>
      <w:proofErr w:type="spellEnd"/>
      <w:r>
        <w:t xml:space="preserve"> </w:t>
      </w:r>
      <w:del w:id="99" w:author="Avraham Kallenbah" w:date="2021-04-18T14:14:00Z">
        <w:r w:rsidDel="00563EFB">
          <w:delText xml:space="preserve">which </w:delText>
        </w:r>
      </w:del>
      <w:ins w:id="100" w:author="Avraham Kallenbah" w:date="2021-04-18T14:14:00Z">
        <w:r w:rsidR="00563EFB">
          <w:t>who</w:t>
        </w:r>
        <w:r w:rsidR="00563EFB">
          <w:t xml:space="preserve"> </w:t>
        </w:r>
      </w:ins>
      <w:del w:id="101" w:author="Noga Darshan" w:date="2021-04-12T13:28:00Z">
        <w:r w:rsidDel="008E05FD">
          <w:delText xml:space="preserve">was </w:delText>
        </w:r>
      </w:del>
      <w:ins w:id="102" w:author="Noga Darshan" w:date="2021-04-12T13:28:00Z">
        <w:r w:rsidR="008E05FD">
          <w:t>se</w:t>
        </w:r>
      </w:ins>
      <w:ins w:id="103" w:author="Noga Darshan" w:date="2021-04-12T13:29:00Z">
        <w:r w:rsidR="008E05FD">
          <w:t>r</w:t>
        </w:r>
      </w:ins>
      <w:ins w:id="104" w:author="Noga Darshan" w:date="2021-04-12T13:28:00Z">
        <w:r w:rsidR="008E05FD">
          <w:t>v</w:t>
        </w:r>
      </w:ins>
      <w:ins w:id="105" w:author="Noga Darshan" w:date="2021-04-12T13:29:00Z">
        <w:r w:rsidR="008E05FD">
          <w:t>e</w:t>
        </w:r>
      </w:ins>
      <w:ins w:id="106" w:author="Noga Darshan" w:date="2021-04-12T13:28:00Z">
        <w:r w:rsidR="008E05FD">
          <w:t>d</w:t>
        </w:r>
      </w:ins>
      <w:del w:id="107" w:author="Noga Darshan" w:date="2021-04-12T13:28:00Z">
        <w:r w:rsidDel="008E05FD">
          <w:delText>held</w:delText>
        </w:r>
      </w:del>
      <w:r>
        <w:t xml:space="preserve"> in Phoenician and Punic temples. The literal meaning of the title is “Raiser (Phoenician </w:t>
      </w:r>
      <w:r>
        <w:rPr>
          <w:i/>
          <w:iCs/>
        </w:rPr>
        <w:t>q-w-m</w:t>
      </w:r>
      <w:r>
        <w:t xml:space="preserve"> in the H stem) of the Deity.”</w:t>
      </w:r>
      <w:r>
        <w:rPr>
          <w:rStyle w:val="FootnoteReference"/>
          <w:rFonts w:eastAsia="Calibri"/>
        </w:rPr>
        <w:footnoteReference w:id="69"/>
      </w:r>
      <w:r>
        <w:t xml:space="preserve"> In light of the Greek translation of this position </w:t>
      </w:r>
      <w:ins w:id="108" w:author="Avraham Kallenbah" w:date="2021-04-08T12:00:00Z">
        <w:r w:rsidR="005759BF">
          <w:t>(</w:t>
        </w:r>
      </w:ins>
      <w:proofErr w:type="spellStart"/>
      <w:del w:id="109" w:author="Avraham Kallenbah" w:date="2021-04-08T12:00:00Z">
        <w:r w:rsidDel="005759BF">
          <w:delText xml:space="preserve">– </w:delText>
        </w:r>
      </w:del>
      <w:r>
        <w:t>ἐγερσε</w:t>
      </w:r>
      <w:proofErr w:type="spellEnd"/>
      <w:r>
        <w:t>[</w:t>
      </w:r>
      <w:proofErr w:type="spellStart"/>
      <w:r>
        <w:t>ίτης</w:t>
      </w:r>
      <w:proofErr w:type="spellEnd"/>
      <w:r>
        <w:t>]</w:t>
      </w:r>
      <w:ins w:id="110" w:author="Avraham Kallenbah" w:date="2021-04-08T12:00:00Z">
        <w:r w:rsidR="005759BF">
          <w:t>)</w:t>
        </w:r>
      </w:ins>
      <w:ins w:id="111" w:author="Avraham Kallenbah" w:date="2021-04-08T12:42:00Z">
        <w:r w:rsidR="00584B99">
          <w:t xml:space="preserve"> </w:t>
        </w:r>
      </w:ins>
      <w:del w:id="112" w:author="Avraham Kallenbah" w:date="2021-04-08T12:00:00Z">
        <w:r w:rsidDel="005759BF">
          <w:delText xml:space="preserve"> – </w:delText>
        </w:r>
      </w:del>
      <w:r>
        <w:t xml:space="preserve">preserved </w:t>
      </w:r>
      <w:r w:rsidR="005759BF">
        <w:t xml:space="preserve">in </w:t>
      </w:r>
      <w:r>
        <w:t>inscriptions from Philadelphia/Amman and Ramleh – it is likely that the meaning “The Awakener of the Deity” is even more appropriate.</w:t>
      </w:r>
      <w:r>
        <w:rPr>
          <w:rStyle w:val="FootnoteReference"/>
          <w:rFonts w:eastAsia="Calibri"/>
        </w:rPr>
        <w:footnoteReference w:id="70"/>
      </w:r>
      <w:r>
        <w:t xml:space="preserve"> It should be noted that although in two different inscriptions, one </w:t>
      </w:r>
      <w:r>
        <w:lastRenderedPageBreak/>
        <w:t>Phoenician the other Greek, the functionary is referred to as “The Awakener (</w:t>
      </w:r>
      <w:proofErr w:type="spellStart"/>
      <w:r>
        <w:rPr>
          <w:i/>
          <w:iCs/>
        </w:rPr>
        <w:t>mqm</w:t>
      </w:r>
      <w:proofErr w:type="spellEnd"/>
      <w:r>
        <w:t>/</w:t>
      </w:r>
      <w:r>
        <w:rPr>
          <w:i/>
          <w:iCs/>
        </w:rPr>
        <w:t xml:space="preserve"> </w:t>
      </w:r>
      <w:proofErr w:type="spellStart"/>
      <w:r>
        <w:t>ἐγερσε</w:t>
      </w:r>
      <w:proofErr w:type="spellEnd"/>
      <w:r>
        <w:t>[</w:t>
      </w:r>
      <w:proofErr w:type="spellStart"/>
      <w:r>
        <w:t>ίτης</w:t>
      </w:r>
      <w:proofErr w:type="spellEnd"/>
      <w:r>
        <w:t xml:space="preserve">]) of </w:t>
      </w:r>
      <w:proofErr w:type="spellStart"/>
      <w:r>
        <w:t>Ml</w:t>
      </w:r>
      <w:proofErr w:type="spellEnd"/>
      <w:r>
        <w:t>(</w:t>
      </w:r>
      <w:proofErr w:type="spellStart"/>
      <w:r>
        <w:t>qr</w:t>
      </w:r>
      <w:proofErr w:type="spellEnd"/>
      <w:r>
        <w:t xml:space="preserve">)t/Herakles,” this role does not necessarily relate to </w:t>
      </w:r>
      <w:proofErr w:type="spellStart"/>
      <w:r>
        <w:t>Melqart</w:t>
      </w:r>
      <w:proofErr w:type="spellEnd"/>
      <w:r>
        <w:t xml:space="preserve"> in other occurrences.</w:t>
      </w:r>
      <w:r>
        <w:rPr>
          <w:rStyle w:val="FootnoteReference"/>
          <w:rFonts w:eastAsia="Calibri"/>
        </w:rPr>
        <w:footnoteReference w:id="71"/>
      </w:r>
      <w:r>
        <w:t xml:space="preserve"> </w:t>
      </w:r>
    </w:p>
    <w:p w14:paraId="5527A5BD" w14:textId="62843EF9" w:rsidR="005A5A48" w:rsidRDefault="005A5A48" w:rsidP="005A5A48">
      <w:pPr>
        <w:ind w:firstLine="429"/>
        <w:rPr>
          <w:rFonts w:eastAsia="Calibri"/>
          <w:lang w:val="en-GB"/>
        </w:rPr>
      </w:pPr>
      <w:r>
        <w:rPr>
          <w:rFonts w:eastAsia="Calibri"/>
        </w:rPr>
        <w:t xml:space="preserve">A second </w:t>
      </w:r>
      <w:r w:rsidR="005759BF">
        <w:rPr>
          <w:rFonts w:eastAsia="Calibri"/>
        </w:rPr>
        <w:t xml:space="preserve">piece of evidence </w:t>
      </w:r>
      <w:r>
        <w:rPr>
          <w:rFonts w:eastAsia="Calibri"/>
        </w:rPr>
        <w:t xml:space="preserve">for the cultic use of </w:t>
      </w:r>
      <w:r w:rsidR="005759BF">
        <w:rPr>
          <w:rFonts w:eastAsia="Calibri"/>
        </w:rPr>
        <w:t>this</w:t>
      </w:r>
      <w:r>
        <w:rPr>
          <w:rFonts w:eastAsia="Calibri"/>
        </w:rPr>
        <w:t xml:space="preserve"> mythologem in the Levant, is preserved, rather remarkably, in biblical literature.</w:t>
      </w:r>
      <w:r>
        <w:rPr>
          <w:rStyle w:val="FootnoteReference"/>
          <w:rFonts w:eastAsia="Calibri"/>
        </w:rPr>
        <w:footnoteReference w:id="72"/>
      </w:r>
      <w:r>
        <w:rPr>
          <w:rFonts w:eastAsia="Calibri"/>
        </w:rPr>
        <w:t xml:space="preserve"> While most </w:t>
      </w:r>
      <w:r w:rsidR="00584B99">
        <w:rPr>
          <w:rFonts w:eastAsia="Calibri"/>
        </w:rPr>
        <w:t xml:space="preserve">biblical </w:t>
      </w:r>
      <w:r w:rsidR="003F03D4">
        <w:rPr>
          <w:rFonts w:eastAsia="Calibri"/>
        </w:rPr>
        <w:t>texts</w:t>
      </w:r>
      <w:r w:rsidR="00584B99">
        <w:rPr>
          <w:rFonts w:eastAsia="Calibri"/>
        </w:rPr>
        <w:t xml:space="preserve"> </w:t>
      </w:r>
      <w:r>
        <w:rPr>
          <w:rFonts w:eastAsia="Calibri"/>
        </w:rPr>
        <w:t xml:space="preserve">rejected the mythologem itself, as mentioned above, traces of the agricultural rituals underlying it have </w:t>
      </w:r>
      <w:r w:rsidR="005759BF">
        <w:rPr>
          <w:rFonts w:eastAsia="Calibri"/>
        </w:rPr>
        <w:t xml:space="preserve">nevertheless </w:t>
      </w:r>
      <w:r>
        <w:rPr>
          <w:rFonts w:eastAsia="Calibri"/>
        </w:rPr>
        <w:t>been found in Psalms 126:</w:t>
      </w:r>
      <w:r>
        <w:rPr>
          <w:rFonts w:eastAsia="Calibri"/>
          <w:lang w:val="en-GB"/>
        </w:rPr>
        <w:t>5-6:</w:t>
      </w:r>
      <w:r>
        <w:rPr>
          <w:rFonts w:eastAsia="Calibri"/>
        </w:rPr>
        <w:t xml:space="preserve"> </w:t>
      </w:r>
    </w:p>
    <w:p w14:paraId="6D0E2BF6" w14:textId="311EAC1F" w:rsidR="005A5A48" w:rsidRDefault="005A5A48" w:rsidP="005A5A48">
      <w:pPr>
        <w:ind w:left="426" w:firstLine="3"/>
        <w:rPr>
          <w:rFonts w:cstheme="majorBidi"/>
        </w:rPr>
      </w:pPr>
      <w:r>
        <w:rPr>
          <w:rFonts w:cstheme="majorBidi"/>
        </w:rPr>
        <w:t>Those who sow in tears (</w:t>
      </w:r>
      <w:r>
        <w:rPr>
          <w:rFonts w:cstheme="majorBidi" w:hint="cs"/>
          <w:rtl/>
          <w:lang w:bidi="he-IL"/>
        </w:rPr>
        <w:t>הזרעים בדמעה</w:t>
      </w:r>
      <w:r>
        <w:rPr>
          <w:rFonts w:cstheme="majorBidi"/>
        </w:rPr>
        <w:t>) do reap with songs of joy</w:t>
      </w:r>
      <w:r>
        <w:rPr>
          <w:rFonts w:cstheme="majorBidi"/>
          <w:lang w:val="en-GB"/>
        </w:rPr>
        <w:t xml:space="preserve"> (</w:t>
      </w:r>
      <w:r>
        <w:rPr>
          <w:rFonts w:cstheme="majorBidi" w:hint="cs"/>
          <w:rtl/>
          <w:lang w:val="en-GB" w:bidi="he-IL"/>
        </w:rPr>
        <w:t>ברנה יקצרו</w:t>
      </w:r>
      <w:r>
        <w:rPr>
          <w:rFonts w:cstheme="majorBidi"/>
          <w:lang w:val="en-GB"/>
        </w:rPr>
        <w:t>)</w:t>
      </w:r>
      <w:r>
        <w:rPr>
          <w:rFonts w:cstheme="majorBidi"/>
        </w:rPr>
        <w:t>. The one who carries the seed-bag weeps as he goes</w:t>
      </w:r>
      <w:r>
        <w:rPr>
          <w:rFonts w:cstheme="majorBidi"/>
          <w:lang w:val="en-GB"/>
        </w:rPr>
        <w:t xml:space="preserve"> (</w:t>
      </w:r>
      <w:r>
        <w:rPr>
          <w:rFonts w:cstheme="majorBidi" w:hint="cs"/>
          <w:rtl/>
          <w:lang w:val="en-GB" w:bidi="he-IL"/>
        </w:rPr>
        <w:t>הלך ילך ובכה נשא משך הזרע</w:t>
      </w:r>
      <w:r>
        <w:rPr>
          <w:rFonts w:cstheme="majorBidi"/>
          <w:lang w:val="en-GB"/>
        </w:rPr>
        <w:t>)</w:t>
      </w:r>
      <w:r>
        <w:rPr>
          <w:rFonts w:cstheme="majorBidi"/>
        </w:rPr>
        <w:t>; the one who carries his sheaves comes with songs of joy</w:t>
      </w:r>
      <w:r>
        <w:rPr>
          <w:rFonts w:cstheme="majorBidi"/>
          <w:lang w:val="en-GB"/>
        </w:rPr>
        <w:t xml:space="preserve"> (</w:t>
      </w:r>
      <w:r>
        <w:rPr>
          <w:rFonts w:cstheme="majorBidi" w:hint="cs"/>
          <w:rtl/>
          <w:lang w:val="en-GB" w:bidi="he-IL"/>
        </w:rPr>
        <w:t>בא יבא ברנה נשא אלמתיו</w:t>
      </w:r>
      <w:r>
        <w:rPr>
          <w:rFonts w:cstheme="majorBidi"/>
          <w:lang w:val="en-GB"/>
        </w:rPr>
        <w:t>)</w:t>
      </w:r>
      <w:r>
        <w:rPr>
          <w:rFonts w:cstheme="majorBidi"/>
        </w:rPr>
        <w:t xml:space="preserve">. </w:t>
      </w:r>
    </w:p>
    <w:p w14:paraId="53B95E99" w14:textId="0FDFD2EF" w:rsidR="005A5A48" w:rsidRPr="006E5224" w:rsidRDefault="005A5A48" w:rsidP="005A5A48">
      <w:pPr>
        <w:ind w:firstLine="0"/>
        <w:rPr>
          <w:rFonts w:eastAsia="Calibri"/>
          <w:rtl/>
        </w:rPr>
      </w:pPr>
      <w:r>
        <w:t xml:space="preserve">These verses, which </w:t>
      </w:r>
      <w:r w:rsidR="005759BF">
        <w:t xml:space="preserve">predate </w:t>
      </w:r>
      <w:r>
        <w:t>the writings of Origen and Jerome (quoted above)</w:t>
      </w:r>
      <w:r w:rsidR="005759BF">
        <w:t xml:space="preserve"> by</w:t>
      </w:r>
      <w:r>
        <w:t xml:space="preserve"> hundreds of years, portray the exact same practice</w:t>
      </w:r>
      <w:r w:rsidR="005759BF">
        <w:t>s</w:t>
      </w:r>
      <w:r>
        <w:t xml:space="preserve"> of weeping during the sowing</w:t>
      </w:r>
      <w:r>
        <w:rPr>
          <w:lang w:val="en-GB"/>
        </w:rPr>
        <w:t>,</w:t>
      </w:r>
      <w:r>
        <w:t xml:space="preserve"> and joy during the harvest </w:t>
      </w:r>
      <w:r w:rsidR="005759BF">
        <w:rPr>
          <w:lang w:val="en-GB" w:bidi="he-IL"/>
        </w:rPr>
        <w:t xml:space="preserve">performed </w:t>
      </w:r>
      <w:r>
        <w:rPr>
          <w:lang w:val="en-GB" w:bidi="he-IL"/>
        </w:rPr>
        <w:t>by the pagan residents of Palestine, as reported by these patristic authors</w:t>
      </w:r>
      <w:r>
        <w:t xml:space="preserve">. </w:t>
      </w:r>
      <w:r>
        <w:rPr>
          <w:rFonts w:eastAsia="Calibri"/>
        </w:rPr>
        <w:t xml:space="preserve">While the psalmist did </w:t>
      </w:r>
      <w:r w:rsidR="005759BF">
        <w:rPr>
          <w:rFonts w:eastAsia="Calibri"/>
        </w:rPr>
        <w:t xml:space="preserve">not </w:t>
      </w:r>
      <w:r>
        <w:rPr>
          <w:rFonts w:eastAsia="Calibri"/>
        </w:rPr>
        <w:t>(or could not</w:t>
      </w:r>
      <w:r w:rsidR="005759BF">
        <w:rPr>
          <w:rFonts w:eastAsia="Calibri"/>
        </w:rPr>
        <w:t>)</w:t>
      </w:r>
      <w:r>
        <w:rPr>
          <w:rFonts w:eastAsia="Calibri"/>
        </w:rPr>
        <w:t xml:space="preserve"> explain the mythological </w:t>
      </w:r>
      <w:r>
        <w:rPr>
          <w:rFonts w:eastAsia="Calibri"/>
          <w:lang w:val="en-GB" w:bidi="he-IL"/>
        </w:rPr>
        <w:t xml:space="preserve">ideas underlying </w:t>
      </w:r>
      <w:r w:rsidR="005759BF">
        <w:rPr>
          <w:rFonts w:eastAsia="Calibri"/>
          <w:lang w:val="en-GB" w:bidi="he-IL"/>
        </w:rPr>
        <w:t xml:space="preserve">the </w:t>
      </w:r>
      <w:r>
        <w:rPr>
          <w:rFonts w:eastAsia="Calibri"/>
          <w:lang w:val="en-GB" w:bidi="he-IL"/>
        </w:rPr>
        <w:t xml:space="preserve">ritual, </w:t>
      </w:r>
      <w:r>
        <w:rPr>
          <w:rFonts w:eastAsia="Calibri"/>
        </w:rPr>
        <w:t>the</w:t>
      </w:r>
      <w:r w:rsidR="005759BF">
        <w:rPr>
          <w:rFonts w:eastAsia="Calibri"/>
        </w:rPr>
        <w:t xml:space="preserve"> comments of the</w:t>
      </w:r>
      <w:r>
        <w:rPr>
          <w:rFonts w:eastAsia="Calibri"/>
        </w:rPr>
        <w:t xml:space="preserve"> patristic authors</w:t>
      </w:r>
      <w:r w:rsidR="005759BF">
        <w:rPr>
          <w:rFonts w:eastAsia="Calibri"/>
        </w:rPr>
        <w:t xml:space="preserve"> disclose its </w:t>
      </w:r>
      <w:r>
        <w:rPr>
          <w:rFonts w:eastAsia="Calibri"/>
        </w:rPr>
        <w:t>earlier roots</w:t>
      </w:r>
      <w:r>
        <w:t>.</w:t>
      </w:r>
      <w:r>
        <w:rPr>
          <w:rStyle w:val="FootnoteReference"/>
          <w:rFonts w:cstheme="majorBidi"/>
        </w:rPr>
        <w:footnoteReference w:id="73"/>
      </w:r>
      <w:r>
        <w:t xml:space="preserve"> </w:t>
      </w:r>
    </w:p>
    <w:p w14:paraId="096EF285" w14:textId="163DE8BB" w:rsidR="005A5A48" w:rsidRPr="00A47B88" w:rsidRDefault="005A5A48" w:rsidP="005A5A48">
      <w:pPr>
        <w:ind w:firstLine="429"/>
        <w:rPr>
          <w:rtl/>
        </w:rPr>
      </w:pPr>
      <w:r>
        <w:lastRenderedPageBreak/>
        <w:t xml:space="preserve">As the writings of Origen, Jerome, Cyril and Aristides (quoted above) and many others testify, the relative </w:t>
      </w:r>
      <w:r>
        <w:rPr>
          <w:lang w:val="en-GB" w:bidi="he-IL"/>
        </w:rPr>
        <w:t>lack</w:t>
      </w:r>
      <w:r>
        <w:t xml:space="preserve"> of evidence from the Levant ends abruptly in the late antiquity, around the rise of Christianity, when pagan texts and patristic polemics against pagans were </w:t>
      </w:r>
      <w:r w:rsidR="005759BF">
        <w:t xml:space="preserve">beginning </w:t>
      </w:r>
      <w:r>
        <w:t xml:space="preserve">to be preserved, copied, and transmitted. Then, unsurprisingly, we are once again treated to a </w:t>
      </w:r>
      <w:r w:rsidR="007F5C93">
        <w:t xml:space="preserve">wealth </w:t>
      </w:r>
      <w:r>
        <w:t xml:space="preserve">of evidence recording the traditions of dying and rising gods that prevailed in the </w:t>
      </w:r>
      <w:proofErr w:type="spellStart"/>
      <w:r>
        <w:t>Syro</w:t>
      </w:r>
      <w:proofErr w:type="spellEnd"/>
      <w:r>
        <w:t>-Levantine region.</w:t>
      </w:r>
      <w:r>
        <w:rPr>
          <w:rStyle w:val="FootnoteReference"/>
        </w:rPr>
        <w:footnoteReference w:id="74"/>
      </w:r>
      <w:r>
        <w:t xml:space="preserve"> These are the very same documents that led Frazer and his predecessors to assume that the mythologem of the dying and rising god was shared by</w:t>
      </w:r>
      <w:r w:rsidRPr="00005CF5" w:rsidDel="002076E2">
        <w:rPr>
          <w:i/>
          <w:iCs/>
        </w:rPr>
        <w:t xml:space="preserve"> </w:t>
      </w:r>
      <w:r w:rsidRPr="005A5A48">
        <w:rPr>
          <w:i/>
          <w:iCs/>
        </w:rPr>
        <w:t>all</w:t>
      </w:r>
      <w:r>
        <w:t xml:space="preserve"> the peoples of the ancient Near East.</w:t>
      </w:r>
      <w:r>
        <w:rPr>
          <w:lang w:val="en-GB" w:bidi="he-IL"/>
        </w:rPr>
        <w:t xml:space="preserve"> </w:t>
      </w:r>
      <w:r>
        <w:t xml:space="preserve"> </w:t>
      </w:r>
    </w:p>
    <w:p w14:paraId="005A911E" w14:textId="77777777" w:rsidR="005A5A48" w:rsidRPr="00A47B88" w:rsidRDefault="005A5A48" w:rsidP="005A5A48">
      <w:pPr>
        <w:bidi/>
        <w:ind w:firstLine="429"/>
        <w:rPr>
          <w:rtl/>
        </w:rPr>
      </w:pPr>
    </w:p>
    <w:p w14:paraId="2D7DD33D" w14:textId="77777777" w:rsidR="005A5A48" w:rsidRPr="00C135E6" w:rsidRDefault="005A5A48" w:rsidP="005A5A48">
      <w:pPr>
        <w:pStyle w:val="Heading2"/>
        <w:keepNext w:val="0"/>
        <w:keepLines w:val="0"/>
        <w:numPr>
          <w:ilvl w:val="0"/>
          <w:numId w:val="5"/>
        </w:numPr>
        <w:spacing w:before="0"/>
        <w:contextualSpacing/>
        <w:jc w:val="left"/>
        <w:rPr>
          <w:rtl/>
        </w:rPr>
      </w:pPr>
      <w:r w:rsidRPr="00C135E6">
        <w:t>Conclusions</w:t>
      </w:r>
    </w:p>
    <w:p w14:paraId="4F1D8C80" w14:textId="0A5AFE5B" w:rsidR="005A5A48" w:rsidRPr="00A47B88" w:rsidRDefault="005A5A48" w:rsidP="006A346E">
      <w:pPr>
        <w:ind w:firstLine="0"/>
        <w:rPr>
          <w:rFonts w:eastAsia="Calibri"/>
          <w:rtl/>
        </w:rPr>
      </w:pPr>
      <w:r>
        <w:rPr>
          <w:rFonts w:eastAsia="Calibri"/>
        </w:rPr>
        <w:lastRenderedPageBreak/>
        <w:t xml:space="preserve">Having analyzed records from Mesopotamia, Mari, and the Levant, we may return to the question with which we opened the present article: </w:t>
      </w:r>
      <w:r w:rsidR="00A2262B">
        <w:rPr>
          <w:rFonts w:eastAsia="Calibri"/>
        </w:rPr>
        <w:t xml:space="preserve">should </w:t>
      </w:r>
      <w:r>
        <w:rPr>
          <w:rFonts w:eastAsia="Calibri"/>
        </w:rPr>
        <w:t xml:space="preserve">the documents from Mari be </w:t>
      </w:r>
      <w:r w:rsidR="00625ECF">
        <w:rPr>
          <w:rFonts w:eastAsia="Calibri"/>
        </w:rPr>
        <w:t>deemed</w:t>
      </w:r>
      <w:r>
        <w:rPr>
          <w:rFonts w:eastAsia="Calibri"/>
        </w:rPr>
        <w:t xml:space="preserve"> Mesopotamian, reinforcing the assumption that Dumuzi was considered a dying and rising god in Mesopotamia, or perhaps </w:t>
      </w:r>
      <w:r w:rsidR="00A2262B">
        <w:rPr>
          <w:rFonts w:eastAsia="Calibri"/>
        </w:rPr>
        <w:t xml:space="preserve">they </w:t>
      </w:r>
      <w:r>
        <w:rPr>
          <w:rFonts w:eastAsia="Calibri"/>
        </w:rPr>
        <w:t xml:space="preserve">represent the first evidence </w:t>
      </w:r>
      <w:r w:rsidR="00E85AC0">
        <w:rPr>
          <w:rFonts w:eastAsia="Calibri"/>
        </w:rPr>
        <w:t>of this</w:t>
      </w:r>
      <w:r w:rsidR="00625ECF">
        <w:rPr>
          <w:rFonts w:eastAsia="Calibri"/>
        </w:rPr>
        <w:t xml:space="preserve"> </w:t>
      </w:r>
      <w:r>
        <w:rPr>
          <w:rFonts w:eastAsia="Calibri"/>
        </w:rPr>
        <w:t>mythologem among Western-Semitic peoples?</w:t>
      </w:r>
    </w:p>
    <w:p w14:paraId="3BA3DB59" w14:textId="21A1BCD2" w:rsidR="005A5A48" w:rsidRDefault="005A5A48" w:rsidP="005A5A48">
      <w:pPr>
        <w:ind w:firstLine="571"/>
        <w:rPr>
          <w:rFonts w:eastAsia="Calibri"/>
        </w:rPr>
      </w:pPr>
      <w:r>
        <w:rPr>
          <w:rFonts w:eastAsia="Calibri"/>
        </w:rPr>
        <w:t xml:space="preserve">Despite </w:t>
      </w:r>
      <w:r>
        <w:rPr>
          <w:rFonts w:eastAsia="Calibri"/>
          <w:lang w:val="en-GB"/>
        </w:rPr>
        <w:t xml:space="preserve">the vast </w:t>
      </w:r>
      <w:r w:rsidR="00625ECF">
        <w:rPr>
          <w:rFonts w:eastAsia="Calibri"/>
          <w:lang w:val="en-GB"/>
        </w:rPr>
        <w:t xml:space="preserve">amount of </w:t>
      </w:r>
      <w:r>
        <w:rPr>
          <w:rFonts w:eastAsia="Calibri"/>
        </w:rPr>
        <w:t xml:space="preserve">epigraphic materials from Mesopotamia in general, and regarding Dumuzi in particular, </w:t>
      </w:r>
      <w:r w:rsidR="00625ECF">
        <w:rPr>
          <w:rFonts w:eastAsia="Calibri"/>
        </w:rPr>
        <w:t>there appears to be only a single</w:t>
      </w:r>
      <w:r>
        <w:rPr>
          <w:rFonts w:eastAsia="Calibri"/>
        </w:rPr>
        <w:t xml:space="preserve"> description of Dumuzi’s rising from the netherworld</w:t>
      </w:r>
      <w:r w:rsidR="00625ECF">
        <w:rPr>
          <w:rFonts w:eastAsia="Calibri"/>
        </w:rPr>
        <w:t xml:space="preserve"> in Mesopotamian literature</w:t>
      </w:r>
      <w:r>
        <w:rPr>
          <w:rFonts w:eastAsia="Calibri"/>
        </w:rPr>
        <w:t xml:space="preserve">, </w:t>
      </w:r>
      <w:commentRangeStart w:id="117"/>
      <w:del w:id="118" w:author="Noga Darshan" w:date="2021-04-12T13:39:00Z">
        <w:r w:rsidDel="00E85AC0">
          <w:rPr>
            <w:rFonts w:eastAsia="Calibri"/>
          </w:rPr>
          <w:delText xml:space="preserve">appearing </w:delText>
        </w:r>
      </w:del>
      <w:ins w:id="119" w:author="Noga Darshan" w:date="2021-04-12T13:39:00Z">
        <w:r w:rsidR="00E85AC0">
          <w:rPr>
            <w:rFonts w:eastAsia="Calibri"/>
          </w:rPr>
          <w:t>occur</w:t>
        </w:r>
      </w:ins>
      <w:ins w:id="120" w:author="Noga Darshan" w:date="2021-04-12T14:08:00Z">
        <w:r w:rsidR="006A346E">
          <w:rPr>
            <w:rFonts w:eastAsia="Calibri"/>
          </w:rPr>
          <w:t>r</w:t>
        </w:r>
      </w:ins>
      <w:ins w:id="121" w:author="Noga Darshan" w:date="2021-04-12T13:39:00Z">
        <w:r w:rsidR="00E85AC0">
          <w:rPr>
            <w:rFonts w:eastAsia="Calibri"/>
          </w:rPr>
          <w:t xml:space="preserve">ing </w:t>
        </w:r>
      </w:ins>
      <w:commentRangeEnd w:id="117"/>
      <w:r w:rsidR="00B91D14">
        <w:rPr>
          <w:rStyle w:val="CommentReference"/>
        </w:rPr>
        <w:commentReference w:id="117"/>
      </w:r>
      <w:r>
        <w:rPr>
          <w:rFonts w:eastAsia="Calibri"/>
        </w:rPr>
        <w:t xml:space="preserve">at the end of a literary work from the eighteenth-century BCE. All other texts referring to Dumuzi and other dying gods do not </w:t>
      </w:r>
      <w:r w:rsidR="00625ECF">
        <w:rPr>
          <w:rFonts w:eastAsia="Calibri"/>
        </w:rPr>
        <w:t xml:space="preserve">treat </w:t>
      </w:r>
      <w:r>
        <w:rPr>
          <w:rFonts w:eastAsia="Calibri"/>
        </w:rPr>
        <w:t xml:space="preserve">them as resurrected gods. In the </w:t>
      </w:r>
      <w:r w:rsidR="00625ECF">
        <w:rPr>
          <w:rFonts w:eastAsia="Calibri"/>
        </w:rPr>
        <w:t>Levant</w:t>
      </w:r>
      <w:r>
        <w:rPr>
          <w:rFonts w:eastAsia="Calibri"/>
        </w:rPr>
        <w:t>, on the other hand</w:t>
      </w:r>
      <w:r w:rsidR="00625ECF">
        <w:rPr>
          <w:rFonts w:eastAsia="Calibri"/>
        </w:rPr>
        <w:t xml:space="preserve"> – </w:t>
      </w:r>
      <w:r>
        <w:rPr>
          <w:rFonts w:eastAsia="Calibri"/>
        </w:rPr>
        <w:t xml:space="preserve"> despite the relative paucity of epigraphic findings, and despite the rejection of this mythologem by biblical authors</w:t>
      </w:r>
      <w:r w:rsidR="00625ECF">
        <w:rPr>
          <w:rFonts w:eastAsia="Calibri"/>
        </w:rPr>
        <w:t xml:space="preserve"> – </w:t>
      </w:r>
      <w:r>
        <w:rPr>
          <w:rFonts w:eastAsia="Calibri"/>
        </w:rPr>
        <w:t xml:space="preserve"> numerous indications for the </w:t>
      </w:r>
      <w:r w:rsidR="00625ECF">
        <w:rPr>
          <w:rFonts w:eastAsia="Calibri"/>
        </w:rPr>
        <w:t xml:space="preserve">prevalence </w:t>
      </w:r>
      <w:r>
        <w:rPr>
          <w:rFonts w:eastAsia="Calibri"/>
        </w:rPr>
        <w:t xml:space="preserve">of the deity’s resurrection in Ugarit of the second millennium and in the Phoenician cultures of the first </w:t>
      </w:r>
      <w:r w:rsidR="00625ECF">
        <w:rPr>
          <w:rFonts w:eastAsia="Calibri"/>
        </w:rPr>
        <w:t xml:space="preserve">have been </w:t>
      </w:r>
      <w:r>
        <w:rPr>
          <w:rFonts w:eastAsia="Calibri"/>
        </w:rPr>
        <w:t xml:space="preserve">preserved. </w:t>
      </w:r>
    </w:p>
    <w:p w14:paraId="1822BECD" w14:textId="09A67737" w:rsidR="005A5A48" w:rsidRPr="00A47B88" w:rsidRDefault="005A5A48" w:rsidP="005A5A48">
      <w:pPr>
        <w:ind w:firstLine="571"/>
        <w:rPr>
          <w:rFonts w:eastAsia="Calibri"/>
          <w:rtl/>
        </w:rPr>
      </w:pPr>
      <w:r>
        <w:rPr>
          <w:rFonts w:eastAsia="Calibri"/>
        </w:rPr>
        <w:t xml:space="preserve">These findings do not completely preclude the possibility that the origin of this mythologem was in Mesopotamia; </w:t>
      </w:r>
      <w:r w:rsidR="00625ECF">
        <w:rPr>
          <w:rFonts w:eastAsia="Calibri"/>
        </w:rPr>
        <w:t xml:space="preserve">perhaps, </w:t>
      </w:r>
      <w:r>
        <w:rPr>
          <w:rFonts w:eastAsia="Calibri"/>
        </w:rPr>
        <w:t xml:space="preserve">while it seems not to have stricken roots there, it </w:t>
      </w:r>
      <w:r w:rsidR="00625ECF">
        <w:rPr>
          <w:rFonts w:eastAsia="Calibri"/>
        </w:rPr>
        <w:t>was</w:t>
      </w:r>
      <w:r>
        <w:rPr>
          <w:rFonts w:eastAsia="Calibri"/>
        </w:rPr>
        <w:t xml:space="preserve"> inherited by cultures to the west and the south, such as Mari and Ugarit. It</w:t>
      </w:r>
      <w:r w:rsidRPr="00A90342">
        <w:rPr>
          <w:rFonts w:eastAsia="Calibri"/>
        </w:rPr>
        <w:t xml:space="preserve"> </w:t>
      </w:r>
      <w:r>
        <w:rPr>
          <w:rFonts w:eastAsia="Calibri"/>
        </w:rPr>
        <w:t>is more likely, however, in light of the evidence present</w:t>
      </w:r>
      <w:r w:rsidR="005D7F3F">
        <w:rPr>
          <w:rFonts w:eastAsia="Calibri"/>
        </w:rPr>
        <w:t>ed</w:t>
      </w:r>
      <w:r>
        <w:rPr>
          <w:rFonts w:eastAsia="Calibri"/>
        </w:rPr>
        <w:t xml:space="preserve"> above, that the mythologem of a dying and rising god originated initially among the Western-Semitic cultures</w:t>
      </w:r>
      <w:r w:rsidR="00625ECF">
        <w:rPr>
          <w:rFonts w:eastAsia="Calibri"/>
        </w:rPr>
        <w:t xml:space="preserve"> </w:t>
      </w:r>
      <w:r w:rsidR="004F3C75">
        <w:rPr>
          <w:rFonts w:eastAsia="Calibri"/>
        </w:rPr>
        <w:t>and</w:t>
      </w:r>
      <w:r>
        <w:rPr>
          <w:rFonts w:eastAsia="Calibri"/>
        </w:rPr>
        <w:t xml:space="preserve"> from </w:t>
      </w:r>
      <w:r w:rsidR="00625ECF">
        <w:rPr>
          <w:rFonts w:eastAsia="Calibri"/>
        </w:rPr>
        <w:t xml:space="preserve">there was </w:t>
      </w:r>
      <w:r>
        <w:rPr>
          <w:rFonts w:eastAsia="Calibri"/>
        </w:rPr>
        <w:t xml:space="preserve">disseminated to the north and the east. Nonetheless, </w:t>
      </w:r>
      <w:r w:rsidR="00BB0E9F">
        <w:rPr>
          <w:rFonts w:eastAsia="Calibri"/>
        </w:rPr>
        <w:t xml:space="preserve">due </w:t>
      </w:r>
      <w:r w:rsidR="000B2ED8">
        <w:rPr>
          <w:rFonts w:eastAsia="Calibri"/>
        </w:rPr>
        <w:t xml:space="preserve">to the </w:t>
      </w:r>
      <w:r w:rsidR="000B2ED8">
        <w:rPr>
          <w:rFonts w:eastAsia="Calibri"/>
          <w:lang w:val="en-GB" w:bidi="he-IL"/>
        </w:rPr>
        <w:t xml:space="preserve">limited </w:t>
      </w:r>
      <w:r>
        <w:rPr>
          <w:rFonts w:eastAsia="Calibri"/>
        </w:rPr>
        <w:t xml:space="preserve">textual </w:t>
      </w:r>
      <w:r w:rsidR="00625ECF">
        <w:rPr>
          <w:rFonts w:eastAsia="Calibri"/>
        </w:rPr>
        <w:t xml:space="preserve">evidence from </w:t>
      </w:r>
      <w:r w:rsidR="00E85AC0">
        <w:rPr>
          <w:rFonts w:eastAsia="Calibri"/>
        </w:rPr>
        <w:t>the Levant</w:t>
      </w:r>
      <w:r>
        <w:rPr>
          <w:rFonts w:eastAsia="Calibri"/>
        </w:rPr>
        <w:t xml:space="preserve"> prior to the </w:t>
      </w:r>
      <w:commentRangeStart w:id="122"/>
      <w:commentRangeStart w:id="123"/>
      <w:r w:rsidR="00E85AC0">
        <w:rPr>
          <w:rFonts w:eastAsia="Calibri"/>
        </w:rPr>
        <w:t>last quarter of the second millennium BCE</w:t>
      </w:r>
      <w:commentRangeEnd w:id="122"/>
      <w:r w:rsidR="006A346E">
        <w:rPr>
          <w:rStyle w:val="CommentReference"/>
        </w:rPr>
        <w:commentReference w:id="122"/>
      </w:r>
      <w:commentRangeEnd w:id="123"/>
      <w:r w:rsidR="00563EFB">
        <w:rPr>
          <w:rStyle w:val="CommentReference"/>
          <w:rtl/>
        </w:rPr>
        <w:commentReference w:id="123"/>
      </w:r>
      <w:r>
        <w:rPr>
          <w:rFonts w:eastAsia="Calibri"/>
        </w:rPr>
        <w:t xml:space="preserve">, and due to the events that took place thousands of years </w:t>
      </w:r>
      <w:r w:rsidR="00E85AC0">
        <w:rPr>
          <w:rFonts w:eastAsia="Calibri"/>
        </w:rPr>
        <w:t>later</w:t>
      </w:r>
      <w:r>
        <w:rPr>
          <w:rFonts w:eastAsia="Calibri"/>
        </w:rPr>
        <w:t xml:space="preserve"> – first the identification between the biblical Tammuz and Adonis made by the patristic</w:t>
      </w:r>
      <w:ins w:id="124" w:author="Avraham Kallenbah" w:date="2021-04-18T15:02:00Z">
        <w:r w:rsidR="00D65528">
          <w:rPr>
            <w:rFonts w:eastAsia="Calibri"/>
          </w:rPr>
          <w:t xml:space="preserve"> writers </w:t>
        </w:r>
      </w:ins>
      <w:del w:id="125" w:author="Avraham Kallenbah" w:date="2021-04-18T15:02:00Z">
        <w:r w:rsidDel="00D65528">
          <w:rPr>
            <w:rFonts w:eastAsia="Calibri"/>
          </w:rPr>
          <w:delText>s</w:delText>
        </w:r>
      </w:del>
      <w:r>
        <w:rPr>
          <w:rFonts w:eastAsia="Calibri"/>
        </w:rPr>
        <w:t xml:space="preserve"> of </w:t>
      </w:r>
      <w:del w:id="126" w:author="Avraham Kallenbah" w:date="2021-04-18T15:02:00Z">
        <w:r w:rsidDel="00D65528">
          <w:rPr>
            <w:rFonts w:eastAsia="Calibri"/>
          </w:rPr>
          <w:delText xml:space="preserve">the </w:delText>
        </w:r>
      </w:del>
      <w:r>
        <w:rPr>
          <w:rFonts w:eastAsia="Calibri"/>
        </w:rPr>
        <w:t xml:space="preserve">late antiquity, and then the imitation of this trend by </w:t>
      </w:r>
      <w:del w:id="127" w:author="Avraham Kallenbah" w:date="2021-04-18T15:02:00Z">
        <w:r w:rsidDel="00D65528">
          <w:rPr>
            <w:rFonts w:eastAsia="Calibri"/>
          </w:rPr>
          <w:delText xml:space="preserve">earlier </w:delText>
        </w:r>
      </w:del>
      <w:r>
        <w:rPr>
          <w:rFonts w:eastAsia="Calibri"/>
        </w:rPr>
        <w:t>modern scholars – the latter were already familiar with the mythologem of a dying and rising god, before even one relevant tablet from Ugarit</w:t>
      </w:r>
      <w:r w:rsidR="00E85AC0">
        <w:rPr>
          <w:rFonts w:eastAsia="Calibri"/>
        </w:rPr>
        <w:t xml:space="preserve"> or</w:t>
      </w:r>
      <w:r>
        <w:rPr>
          <w:rFonts w:eastAsia="Calibri"/>
        </w:rPr>
        <w:t xml:space="preserve"> Mari </w:t>
      </w:r>
      <w:r w:rsidR="00625ECF">
        <w:rPr>
          <w:rFonts w:eastAsia="Calibri"/>
        </w:rPr>
        <w:t xml:space="preserve">had been </w:t>
      </w:r>
      <w:r>
        <w:rPr>
          <w:rFonts w:eastAsia="Calibri"/>
        </w:rPr>
        <w:t xml:space="preserve">deciphered. These complex circumstances led </w:t>
      </w:r>
      <w:r w:rsidR="00B93945">
        <w:rPr>
          <w:rFonts w:eastAsia="Calibri"/>
        </w:rPr>
        <w:t>scholars</w:t>
      </w:r>
      <w:r w:rsidR="00BE0B8A">
        <w:rPr>
          <w:rFonts w:eastAsia="Calibri"/>
        </w:rPr>
        <w:t xml:space="preserve"> to </w:t>
      </w:r>
      <w:r>
        <w:rPr>
          <w:rFonts w:eastAsia="Calibri"/>
        </w:rPr>
        <w:t xml:space="preserve">mistakenly </w:t>
      </w:r>
      <w:r w:rsidR="00BE0B8A">
        <w:rPr>
          <w:rFonts w:eastAsia="Calibri"/>
        </w:rPr>
        <w:t xml:space="preserve">attribute </w:t>
      </w:r>
      <w:r>
        <w:rPr>
          <w:rFonts w:eastAsia="Calibri"/>
        </w:rPr>
        <w:t xml:space="preserve">the mythologem of the dying and rising god </w:t>
      </w:r>
      <w:r>
        <w:rPr>
          <w:rFonts w:eastAsia="Calibri"/>
        </w:rPr>
        <w:lastRenderedPageBreak/>
        <w:t xml:space="preserve">to Mesopotamian literature, </w:t>
      </w:r>
      <w:r w:rsidR="00701898">
        <w:rPr>
          <w:rFonts w:eastAsia="Calibri"/>
        </w:rPr>
        <w:t xml:space="preserve">even though </w:t>
      </w:r>
      <w:r w:rsidR="00E85AC0">
        <w:rPr>
          <w:rFonts w:eastAsia="Calibri"/>
        </w:rPr>
        <w:t xml:space="preserve">the Mesopotamian </w:t>
      </w:r>
      <w:r>
        <w:rPr>
          <w:rFonts w:eastAsia="Calibri"/>
        </w:rPr>
        <w:t>textual evidence show</w:t>
      </w:r>
      <w:r w:rsidR="00701898">
        <w:rPr>
          <w:rFonts w:eastAsia="Calibri"/>
        </w:rPr>
        <w:t>s</w:t>
      </w:r>
      <w:r>
        <w:rPr>
          <w:rFonts w:eastAsia="Calibri"/>
        </w:rPr>
        <w:t xml:space="preserve"> </w:t>
      </w:r>
      <w:r w:rsidR="00BE0B8A">
        <w:rPr>
          <w:rFonts w:eastAsia="Calibri"/>
        </w:rPr>
        <w:t>a</w:t>
      </w:r>
      <w:r w:rsidR="00A8077B">
        <w:rPr>
          <w:rFonts w:eastAsia="Calibri"/>
        </w:rPr>
        <w:t xml:space="preserve"> clear</w:t>
      </w:r>
      <w:r w:rsidR="00BE0B8A">
        <w:rPr>
          <w:rFonts w:eastAsia="Calibri"/>
        </w:rPr>
        <w:t xml:space="preserve"> </w:t>
      </w:r>
      <w:r>
        <w:rPr>
          <w:rFonts w:eastAsia="Calibri"/>
        </w:rPr>
        <w:t xml:space="preserve">preference </w:t>
      </w:r>
      <w:r w:rsidR="002E46F7">
        <w:rPr>
          <w:rFonts w:eastAsia="Calibri"/>
        </w:rPr>
        <w:t xml:space="preserve">only </w:t>
      </w:r>
      <w:r w:rsidR="00BE0B8A">
        <w:rPr>
          <w:rFonts w:eastAsia="Calibri"/>
        </w:rPr>
        <w:t>for the</w:t>
      </w:r>
      <w:r>
        <w:rPr>
          <w:rFonts w:eastAsia="Calibri"/>
        </w:rPr>
        <w:t xml:space="preserve"> first part of the mythologem, that of a </w:t>
      </w:r>
      <w:r w:rsidR="004C44E4">
        <w:rPr>
          <w:rFonts w:eastAsia="Calibri"/>
        </w:rPr>
        <w:t>“</w:t>
      </w:r>
      <w:r>
        <w:rPr>
          <w:rFonts w:eastAsia="Calibri"/>
        </w:rPr>
        <w:t>dead god</w:t>
      </w:r>
      <w:r w:rsidR="004C44E4">
        <w:rPr>
          <w:rFonts w:eastAsia="Calibri"/>
        </w:rPr>
        <w:t>.”</w:t>
      </w:r>
    </w:p>
    <w:p w14:paraId="07FE6D4E" w14:textId="1E4C6024" w:rsidR="005A5A48" w:rsidRPr="00A47B88" w:rsidRDefault="005A5A48" w:rsidP="005A5A48">
      <w:pPr>
        <w:ind w:firstLine="429"/>
        <w:rPr>
          <w:rFonts w:eastAsia="Calibri"/>
          <w:rtl/>
        </w:rPr>
      </w:pPr>
      <w:r>
        <w:rPr>
          <w:rFonts w:eastAsia="Calibri"/>
        </w:rPr>
        <w:t xml:space="preserve">According to this claim, the development of the mythologem of dying and rising gods in Western Asia might be </w:t>
      </w:r>
      <w:r w:rsidR="00BE0B8A">
        <w:rPr>
          <w:rFonts w:eastAsia="Calibri"/>
        </w:rPr>
        <w:t xml:space="preserve">portrayed </w:t>
      </w:r>
      <w:r>
        <w:rPr>
          <w:rFonts w:eastAsia="Calibri"/>
        </w:rPr>
        <w:t>as follows: In third</w:t>
      </w:r>
      <w:r w:rsidR="00BE0B8A">
        <w:rPr>
          <w:rFonts w:eastAsia="Calibri"/>
        </w:rPr>
        <w:t>-</w:t>
      </w:r>
      <w:r>
        <w:rPr>
          <w:rFonts w:eastAsia="Calibri"/>
        </w:rPr>
        <w:t>millennium Mesopotamia (as well as in Egypt), the mythologem of the ‘dead god</w:t>
      </w:r>
      <w:r w:rsidR="00BE0B8A">
        <w:rPr>
          <w:rFonts w:eastAsia="Calibri"/>
        </w:rPr>
        <w:t>,</w:t>
      </w:r>
      <w:r>
        <w:rPr>
          <w:rFonts w:eastAsia="Calibri"/>
        </w:rPr>
        <w:t xml:space="preserve">’ including the mourning and the search for him, was widespread. Over time, Levantine cultures inherited these traditions – as evidenced by the similarity between Ugaritic traditions regarding the death of Baal, and their parallels in Egypt and Mesopotamia. However, while applying the mythologem to their own </w:t>
      </w:r>
      <w:del w:id="128" w:author="Avraham Kallenbah" w:date="2021-04-18T15:04:00Z">
        <w:r w:rsidDel="00D65528">
          <w:rPr>
            <w:rFonts w:eastAsia="Calibri"/>
          </w:rPr>
          <w:delText>gods</w:delText>
        </w:r>
      </w:del>
      <w:ins w:id="129" w:author="Noga Darshan" w:date="2021-04-12T13:45:00Z">
        <w:del w:id="130" w:author="Avraham Kallenbah" w:date="2021-04-18T15:04:00Z">
          <w:r w:rsidR="002A6635" w:rsidDel="00D65528">
            <w:rPr>
              <w:rFonts w:eastAsia="Calibri"/>
            </w:rPr>
            <w:delText xml:space="preserve"> </w:delText>
          </w:r>
        </w:del>
      </w:ins>
      <w:ins w:id="131" w:author="Avraham Kallenbah" w:date="2021-04-18T15:04:00Z">
        <w:r w:rsidR="00D65528">
          <w:rPr>
            <w:rFonts w:eastAsia="Calibri"/>
          </w:rPr>
          <w:t>deities</w:t>
        </w:r>
        <w:r w:rsidR="00D65528">
          <w:rPr>
            <w:rFonts w:eastAsia="Calibri"/>
          </w:rPr>
          <w:t xml:space="preserve"> </w:t>
        </w:r>
      </w:ins>
      <w:r w:rsidR="002A6635">
        <w:rPr>
          <w:rFonts w:eastAsia="Calibri"/>
        </w:rPr>
        <w:t xml:space="preserve">(who </w:t>
      </w:r>
      <w:del w:id="132" w:author="Avraham Kallenbah" w:date="2021-04-18T15:03:00Z">
        <w:r w:rsidR="002A6635" w:rsidDel="00D65528">
          <w:rPr>
            <w:rFonts w:eastAsia="Calibri"/>
          </w:rPr>
          <w:delText xml:space="preserve">were </w:delText>
        </w:r>
      </w:del>
      <w:ins w:id="133" w:author="Avraham Kallenbah" w:date="2021-04-18T15:03:00Z">
        <w:r w:rsidR="00D65528">
          <w:rPr>
            <w:rFonts w:eastAsia="Calibri"/>
          </w:rPr>
          <w:t>had not previously been regarded</w:t>
        </w:r>
        <w:r w:rsidR="00D65528">
          <w:rPr>
            <w:rFonts w:eastAsia="Calibri"/>
          </w:rPr>
          <w:t xml:space="preserve"> </w:t>
        </w:r>
      </w:ins>
      <w:del w:id="134" w:author="Avraham Kallenbah" w:date="2021-04-18T15:03:00Z">
        <w:r w:rsidR="002E46F7" w:rsidDel="00D65528">
          <w:rPr>
            <w:rFonts w:eastAsia="Calibri"/>
          </w:rPr>
          <w:delText>never</w:delText>
        </w:r>
        <w:r w:rsidR="002A6635" w:rsidDel="00D65528">
          <w:rPr>
            <w:rFonts w:eastAsia="Calibri"/>
          </w:rPr>
          <w:delText xml:space="preserve"> considered </w:delText>
        </w:r>
      </w:del>
      <w:r w:rsidR="002A6635">
        <w:rPr>
          <w:rFonts w:eastAsia="Calibri"/>
        </w:rPr>
        <w:t>as ‘dead gods’)</w:t>
      </w:r>
      <w:r>
        <w:rPr>
          <w:rFonts w:eastAsia="Calibri"/>
        </w:rPr>
        <w:t>, an additional, new motif was added by the Levantine people</w:t>
      </w:r>
      <w:r w:rsidR="004C44E4">
        <w:rPr>
          <w:rFonts w:eastAsia="Calibri"/>
        </w:rPr>
        <w:t xml:space="preserve"> –</w:t>
      </w:r>
      <w:r>
        <w:rPr>
          <w:rFonts w:eastAsia="Calibri"/>
        </w:rPr>
        <w:t xml:space="preserve"> that of </w:t>
      </w:r>
      <w:r w:rsidR="00BE0B8A">
        <w:rPr>
          <w:rFonts w:eastAsia="Calibri"/>
        </w:rPr>
        <w:t xml:space="preserve">god’s </w:t>
      </w:r>
      <w:r w:rsidR="004C44E4">
        <w:rPr>
          <w:rFonts w:eastAsia="Calibri"/>
        </w:rPr>
        <w:t xml:space="preserve">eventual </w:t>
      </w:r>
      <w:r w:rsidR="00BE0B8A">
        <w:rPr>
          <w:rFonts w:eastAsia="Calibri"/>
        </w:rPr>
        <w:t>return from the</w:t>
      </w:r>
      <w:r>
        <w:rPr>
          <w:rFonts w:eastAsia="Calibri"/>
        </w:rPr>
        <w:t xml:space="preserve"> netherworld. This return was </w:t>
      </w:r>
      <w:r w:rsidR="00BE0B8A">
        <w:rPr>
          <w:rFonts w:eastAsia="Calibri"/>
        </w:rPr>
        <w:t xml:space="preserve">formulated in parallel to </w:t>
      </w:r>
      <w:r>
        <w:rPr>
          <w:rFonts w:eastAsia="Calibri"/>
        </w:rPr>
        <w:t xml:space="preserve">the characteristics </w:t>
      </w:r>
      <w:r w:rsidR="00BE0B8A">
        <w:rPr>
          <w:rFonts w:eastAsia="Calibri"/>
        </w:rPr>
        <w:t xml:space="preserve">associated with the deity’s </w:t>
      </w:r>
      <w:r>
        <w:rPr>
          <w:rFonts w:eastAsia="Calibri"/>
        </w:rPr>
        <w:t xml:space="preserve">death: after his </w:t>
      </w:r>
      <w:r w:rsidR="00CF5221">
        <w:rPr>
          <w:rFonts w:eastAsia="Calibri"/>
        </w:rPr>
        <w:t>return</w:t>
      </w:r>
      <w:r w:rsidR="00BE0B8A">
        <w:rPr>
          <w:rFonts w:eastAsia="Calibri"/>
        </w:rPr>
        <w:t xml:space="preserve"> is </w:t>
      </w:r>
      <w:r>
        <w:rPr>
          <w:rFonts w:eastAsia="Calibri"/>
        </w:rPr>
        <w:t xml:space="preserve">announced, </w:t>
      </w:r>
      <w:r w:rsidR="00BE0B8A">
        <w:rPr>
          <w:rFonts w:eastAsia="Calibri"/>
        </w:rPr>
        <w:t>his joyous relatives search for him</w:t>
      </w:r>
      <w:r>
        <w:rPr>
          <w:rFonts w:eastAsia="Calibri"/>
        </w:rPr>
        <w:t xml:space="preserve">. Due, however, to the gradual spread of literacy from Mesopotamia westwards and southwards, the first cultures to record the full mythologem were Mari and Babylon – where the Amorite tribes had established their kingdoms toward the end of the third millennium/beginning of second. Only at a later period, when the </w:t>
      </w:r>
      <w:proofErr w:type="spellStart"/>
      <w:r>
        <w:rPr>
          <w:rFonts w:eastAsia="Calibri"/>
        </w:rPr>
        <w:t>Ugaritians</w:t>
      </w:r>
      <w:proofErr w:type="spellEnd"/>
      <w:r>
        <w:rPr>
          <w:rFonts w:eastAsia="Calibri"/>
        </w:rPr>
        <w:t xml:space="preserve"> began to use a local script, </w:t>
      </w:r>
      <w:r w:rsidR="00CF5221">
        <w:rPr>
          <w:rFonts w:eastAsia="Calibri"/>
        </w:rPr>
        <w:t xml:space="preserve">could </w:t>
      </w:r>
      <w:r>
        <w:rPr>
          <w:rFonts w:eastAsia="Calibri"/>
        </w:rPr>
        <w:t xml:space="preserve">records from the Levant </w:t>
      </w:r>
      <w:r w:rsidR="00CF5221">
        <w:rPr>
          <w:rFonts w:eastAsia="Calibri"/>
        </w:rPr>
        <w:t xml:space="preserve">be </w:t>
      </w:r>
      <w:r>
        <w:rPr>
          <w:rFonts w:eastAsia="Calibri"/>
        </w:rPr>
        <w:t>added to this list. As mentioned above, a similar conjecture is made about various customs and mythologies documented in Mari, such as the intuitive prophecy, the treaty ritual “</w:t>
      </w:r>
      <w:proofErr w:type="spellStart"/>
      <w:r>
        <w:rPr>
          <w:rFonts w:eastAsia="Calibri"/>
          <w:i/>
          <w:iCs/>
        </w:rPr>
        <w:t>qatālum</w:t>
      </w:r>
      <w:proofErr w:type="spellEnd"/>
      <w:r>
        <w:rPr>
          <w:rFonts w:eastAsia="Calibri"/>
          <w:i/>
          <w:iCs/>
        </w:rPr>
        <w:t xml:space="preserve"> </w:t>
      </w:r>
      <w:proofErr w:type="spellStart"/>
      <w:r>
        <w:rPr>
          <w:rFonts w:eastAsia="Calibri"/>
          <w:i/>
          <w:iCs/>
        </w:rPr>
        <w:t>ḫayaram</w:t>
      </w:r>
      <w:proofErr w:type="spellEnd"/>
      <w:r w:rsidR="00BE0B8A">
        <w:rPr>
          <w:rFonts w:eastAsia="Calibri"/>
        </w:rPr>
        <w:t>,</w:t>
      </w:r>
      <w:r>
        <w:rPr>
          <w:rFonts w:eastAsia="Calibri"/>
        </w:rPr>
        <w:t xml:space="preserve">” the </w:t>
      </w:r>
      <w:proofErr w:type="spellStart"/>
      <w:r>
        <w:rPr>
          <w:rFonts w:eastAsia="Calibri"/>
        </w:rPr>
        <w:t>Zukrum</w:t>
      </w:r>
      <w:proofErr w:type="spellEnd"/>
      <w:r>
        <w:rPr>
          <w:rFonts w:eastAsia="Calibri"/>
        </w:rPr>
        <w:t xml:space="preserve"> festival and the myth of the Storm-god vs. the Sea; though evidence of these in the Levant is relatively late, it is agreed that they </w:t>
      </w:r>
      <w:r w:rsidR="00BE0B8A">
        <w:rPr>
          <w:rFonts w:eastAsia="Calibri"/>
        </w:rPr>
        <w:t xml:space="preserve">had </w:t>
      </w:r>
      <w:r>
        <w:rPr>
          <w:rFonts w:eastAsia="Calibri"/>
        </w:rPr>
        <w:t>arrived in Mari with the Amorites.</w:t>
      </w:r>
      <w:r>
        <w:rPr>
          <w:rStyle w:val="FootnoteReference"/>
          <w:rFonts w:eastAsia="Calibri"/>
        </w:rPr>
        <w:footnoteReference w:id="75"/>
      </w:r>
      <w:r>
        <w:rPr>
          <w:rFonts w:eastAsia="Calibri"/>
        </w:rPr>
        <w:t xml:space="preserve"> </w:t>
      </w:r>
    </w:p>
    <w:p w14:paraId="50DDD013" w14:textId="72B9B697" w:rsidR="005A5A48" w:rsidRDefault="005A5A48" w:rsidP="006A346E">
      <w:pPr>
        <w:tabs>
          <w:tab w:val="right" w:pos="8651"/>
        </w:tabs>
        <w:ind w:firstLine="429"/>
      </w:pPr>
      <w:r>
        <w:rPr>
          <w:rFonts w:eastAsia="Calibri"/>
        </w:rPr>
        <w:lastRenderedPageBreak/>
        <w:t xml:space="preserve">As the findings from Mesopotamia shows, the </w:t>
      </w:r>
      <w:r w:rsidR="002E46F7">
        <w:rPr>
          <w:rFonts w:eastAsia="Calibri"/>
          <w:lang w:val="en-GB"/>
        </w:rPr>
        <w:t xml:space="preserve">foreign </w:t>
      </w:r>
      <w:r>
        <w:rPr>
          <w:rFonts w:eastAsia="Calibri"/>
        </w:rPr>
        <w:t>motif of a god returning from the netherworld was not accepted by the local populations.</w:t>
      </w:r>
      <w:r>
        <w:rPr>
          <w:rStyle w:val="FootnoteReference"/>
          <w:rFonts w:eastAsia="Calibri"/>
        </w:rPr>
        <w:footnoteReference w:id="76"/>
      </w:r>
      <w:r>
        <w:rPr>
          <w:rFonts w:eastAsia="Calibri"/>
        </w:rPr>
        <w:t xml:space="preserve"> This is perhaps due to the well-entrenched characterization of Dumuzi as a dead god, or due to the characterization of the netherworld itself – which in Mesopotamia was considered a place from which one </w:t>
      </w:r>
      <w:r w:rsidRPr="005A5A48">
        <w:rPr>
          <w:rFonts w:eastAsia="Calibri"/>
        </w:rPr>
        <w:t>cannot</w:t>
      </w:r>
      <w:r>
        <w:rPr>
          <w:rFonts w:eastAsia="Calibri"/>
        </w:rPr>
        <w:t xml:space="preserve"> return, except via extreme measures. As for Mari – while its destruction by Hammurabi prevents us </w:t>
      </w:r>
      <w:r w:rsidR="009637BF">
        <w:rPr>
          <w:rFonts w:eastAsia="Calibri"/>
        </w:rPr>
        <w:t>from seeing</w:t>
      </w:r>
      <w:r>
        <w:rPr>
          <w:rFonts w:eastAsia="Calibri"/>
        </w:rPr>
        <w:t xml:space="preserve"> how the mythologem would be developed there, the very existence of two documents attesting to Dumuzi’s return, one of which was written by the head of an Amorite tribe, suggests that the Amorites continued to maintain this tradition in their new settlements. </w:t>
      </w:r>
      <w:bookmarkEnd w:id="36"/>
      <w:r>
        <w:rPr>
          <w:rFonts w:eastAsia="Calibri"/>
        </w:rPr>
        <w:t xml:space="preserve">Given the fact that at that time Dumuzi was regarded as </w:t>
      </w:r>
      <w:r w:rsidRPr="005A5A48">
        <w:rPr>
          <w:rFonts w:eastAsia="Calibri"/>
          <w:i/>
          <w:iCs/>
        </w:rPr>
        <w:t>the</w:t>
      </w:r>
      <w:r>
        <w:rPr>
          <w:rFonts w:eastAsia="Calibri"/>
        </w:rPr>
        <w:t xml:space="preserve"> ‘dead god’</w:t>
      </w:r>
      <w:r w:rsidR="009637BF">
        <w:rPr>
          <w:rFonts w:eastAsia="Calibri"/>
        </w:rPr>
        <w:t xml:space="preserve"> of Mesopotamia</w:t>
      </w:r>
      <w:r>
        <w:rPr>
          <w:rStyle w:val="FootnoteReference"/>
          <w:rFonts w:eastAsia="Calibri"/>
        </w:rPr>
        <w:footnoteReference w:id="77"/>
      </w:r>
      <w:r w:rsidDel="00126994">
        <w:rPr>
          <w:rFonts w:eastAsia="Calibri"/>
        </w:rPr>
        <w:t xml:space="preserve"> </w:t>
      </w:r>
      <w:r>
        <w:rPr>
          <w:rFonts w:eastAsia="Calibri"/>
        </w:rPr>
        <w:t xml:space="preserve">it is not surprising to find </w:t>
      </w:r>
      <w:r w:rsidR="000C1B5F">
        <w:rPr>
          <w:rFonts w:eastAsia="Calibri"/>
        </w:rPr>
        <w:t>him</w:t>
      </w:r>
      <w:r>
        <w:rPr>
          <w:rFonts w:eastAsia="Calibri"/>
        </w:rPr>
        <w:t xml:space="preserve"> </w:t>
      </w:r>
      <w:r w:rsidR="000C1B5F">
        <w:rPr>
          <w:rFonts w:eastAsia="Calibri"/>
        </w:rPr>
        <w:t>playing the role of a rising god in</w:t>
      </w:r>
      <w:r>
        <w:rPr>
          <w:rFonts w:eastAsia="Calibri"/>
        </w:rPr>
        <w:t xml:space="preserve"> Akkadian documents from Mari</w:t>
      </w:r>
      <w:r w:rsidR="000C1B5F">
        <w:rPr>
          <w:rFonts w:eastAsia="Calibri"/>
        </w:rPr>
        <w:t xml:space="preserve">. It is, however, </w:t>
      </w:r>
      <w:r>
        <w:rPr>
          <w:rFonts w:eastAsia="Calibri"/>
        </w:rPr>
        <w:t xml:space="preserve">difficult to </w:t>
      </w:r>
      <w:r w:rsidR="000C1B5F">
        <w:rPr>
          <w:rFonts w:eastAsia="Calibri"/>
        </w:rPr>
        <w:t>determine</w:t>
      </w:r>
      <w:r>
        <w:rPr>
          <w:rFonts w:eastAsia="Calibri"/>
        </w:rPr>
        <w:t xml:space="preserve"> whether this represents the adoption of the Mesopotamian Dumuzi, or the use of his name as an ideogram to denote another Amorite god. By contrast, in the Levant, the presumed birthplace of this mythologem –</w:t>
      </w:r>
      <w:del w:id="140" w:author="Avraham Kallenbah" w:date="2021-04-18T15:05:00Z">
        <w:r w:rsidDel="00D65528">
          <w:rPr>
            <w:rFonts w:eastAsia="Calibri"/>
          </w:rPr>
          <w:delText xml:space="preserve"> which </w:delText>
        </w:r>
      </w:del>
      <w:r>
        <w:rPr>
          <w:rFonts w:eastAsia="Calibri"/>
        </w:rPr>
        <w:t xml:space="preserve">its </w:t>
      </w:r>
      <w:r w:rsidRPr="005A5A48">
        <w:rPr>
          <w:rFonts w:eastAsia="Calibri"/>
          <w:i/>
          <w:iCs/>
        </w:rPr>
        <w:t xml:space="preserve">terminus post </w:t>
      </w:r>
      <w:proofErr w:type="spellStart"/>
      <w:r w:rsidRPr="005A5A48">
        <w:rPr>
          <w:rFonts w:eastAsia="Calibri"/>
          <w:i/>
          <w:iCs/>
        </w:rPr>
        <w:t>quem</w:t>
      </w:r>
      <w:proofErr w:type="spellEnd"/>
      <w:r>
        <w:rPr>
          <w:rFonts w:eastAsia="Calibri"/>
        </w:rPr>
        <w:t xml:space="preserve"> </w:t>
      </w:r>
      <w:del w:id="141" w:author="Avraham Kallenbah" w:date="2021-04-18T15:05:00Z">
        <w:r w:rsidR="000C1B5F" w:rsidDel="00D65528">
          <w:rPr>
            <w:rFonts w:eastAsia="Calibri"/>
          </w:rPr>
          <w:delText xml:space="preserve">turns </w:delText>
        </w:r>
      </w:del>
      <w:ins w:id="142" w:author="Avraham Kallenbah" w:date="2021-04-18T15:05:00Z">
        <w:r w:rsidR="00D65528">
          <w:rPr>
            <w:rFonts w:eastAsia="Calibri"/>
          </w:rPr>
          <w:t>turning</w:t>
        </w:r>
        <w:r w:rsidR="00D65528">
          <w:rPr>
            <w:rFonts w:eastAsia="Calibri"/>
          </w:rPr>
          <w:t xml:space="preserve"> </w:t>
        </w:r>
      </w:ins>
      <w:r>
        <w:rPr>
          <w:rFonts w:eastAsia="Calibri"/>
        </w:rPr>
        <w:t>out to be as early as the eighteenth century BCE</w:t>
      </w:r>
      <w:r w:rsidR="002A6635">
        <w:rPr>
          <w:rFonts w:eastAsia="Calibri"/>
        </w:rPr>
        <w:t xml:space="preserve"> (thanks to the findings from Mari)</w:t>
      </w:r>
      <w:r>
        <w:rPr>
          <w:rStyle w:val="FootnoteReference"/>
          <w:rFonts w:eastAsia="Calibri"/>
        </w:rPr>
        <w:footnoteReference w:id="78"/>
      </w:r>
      <w:r>
        <w:rPr>
          <w:rFonts w:eastAsia="Calibri"/>
        </w:rPr>
        <w:t xml:space="preserve"> – it continued to develop and diversify over the course of thousands of years, up to late antiquity, at </w:t>
      </w:r>
      <w:r w:rsidR="000C1B5F">
        <w:rPr>
          <w:rFonts w:eastAsia="Calibri"/>
        </w:rPr>
        <w:t xml:space="preserve">the very </w:t>
      </w:r>
      <w:r>
        <w:rPr>
          <w:rFonts w:eastAsia="Calibri"/>
        </w:rPr>
        <w:t>least.</w:t>
      </w:r>
    </w:p>
    <w:sectPr w:rsidR="005A5A48">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vraham Kallenbah" w:date="2021-04-08T12:23:00Z" w:initials="AK">
    <w:p w14:paraId="2E35EA73" w14:textId="78D09C49" w:rsidR="006A346E" w:rsidRDefault="006A346E">
      <w:pPr>
        <w:pStyle w:val="CommentText"/>
      </w:pPr>
      <w:r w:rsidRPr="00DC7178">
        <w:rPr>
          <w:rStyle w:val="CommentReference"/>
          <w:highlight w:val="yellow"/>
        </w:rPr>
        <w:annotationRef/>
      </w:r>
      <w:r w:rsidRPr="00DC7178">
        <w:rPr>
          <w:noProof/>
          <w:highlight w:val="yellow"/>
        </w:rPr>
        <w:t>I know that most of the dates are BCE but I really think this is intuitive (here and elsewhere in the article) when we refer to "scholars" and "scholarship"</w:t>
      </w:r>
      <w:r>
        <w:rPr>
          <w:noProof/>
        </w:rPr>
        <w:t xml:space="preserve"> </w:t>
      </w:r>
    </w:p>
  </w:comment>
  <w:comment w:id="3" w:author="Noga Darshan" w:date="2021-04-12T09:14:00Z" w:initials="ND">
    <w:p w14:paraId="575749E1" w14:textId="4662B8DD" w:rsidR="006A346E" w:rsidRDefault="006A346E">
      <w:pPr>
        <w:pStyle w:val="CommentText"/>
        <w:rPr>
          <w:rtl/>
          <w:lang w:bidi="he-IL"/>
        </w:rPr>
      </w:pPr>
      <w:r>
        <w:rPr>
          <w:rStyle w:val="CommentReference"/>
        </w:rPr>
        <w:annotationRef/>
      </w:r>
      <w:r>
        <w:rPr>
          <w:rFonts w:hint="cs"/>
          <w:rtl/>
          <w:lang w:bidi="he-IL"/>
        </w:rPr>
        <w:t>זאת אומרת שאתה ממליץ להוריד?</w:t>
      </w:r>
    </w:p>
  </w:comment>
  <w:comment w:id="4" w:author="Avraham Kallenbah" w:date="2021-04-13T08:30:00Z" w:initials="AK">
    <w:p w14:paraId="1E8E3F1A" w14:textId="13F06826" w:rsidR="00BE697F" w:rsidRDefault="00BE697F">
      <w:pPr>
        <w:pStyle w:val="CommentText"/>
        <w:rPr>
          <w:rtl/>
          <w:lang w:bidi="he-IL"/>
        </w:rPr>
      </w:pPr>
      <w:r w:rsidRPr="00BE697F">
        <w:rPr>
          <w:rStyle w:val="CommentReference"/>
          <w:highlight w:val="cyan"/>
        </w:rPr>
        <w:annotationRef/>
      </w:r>
      <w:r w:rsidRPr="00BE697F">
        <w:rPr>
          <w:rFonts w:hint="cs"/>
          <w:highlight w:val="cyan"/>
          <w:rtl/>
          <w:lang w:bidi="he-IL"/>
        </w:rPr>
        <w:t>אכן</w:t>
      </w:r>
    </w:p>
  </w:comment>
  <w:comment w:id="23" w:author="Avraham Kallenbah" w:date="2021-04-07T14:02:00Z" w:initials="AK">
    <w:p w14:paraId="2DCE7565" w14:textId="39D2AFBC" w:rsidR="006A346E" w:rsidRDefault="006A346E" w:rsidP="005A5A48">
      <w:pPr>
        <w:pStyle w:val="CommentText"/>
        <w:bidi/>
        <w:rPr>
          <w:rtl/>
          <w:lang w:bidi="he-IL"/>
        </w:rPr>
      </w:pPr>
      <w:r w:rsidRPr="005A5A48">
        <w:rPr>
          <w:rStyle w:val="CommentReference"/>
          <w:highlight w:val="yellow"/>
        </w:rPr>
        <w:annotationRef/>
      </w:r>
      <w:r w:rsidRPr="005A5A48">
        <w:rPr>
          <w:rFonts w:hint="cs"/>
          <w:highlight w:val="yellow"/>
          <w:rtl/>
          <w:lang w:bidi="he-IL"/>
        </w:rPr>
        <w:t xml:space="preserve">העניין אינו שהוא לא מתפתח (ככה זה נשמע) </w:t>
      </w:r>
      <w:r w:rsidRPr="005A5A48">
        <w:rPr>
          <w:highlight w:val="yellow"/>
          <w:rtl/>
          <w:lang w:bidi="he-IL"/>
        </w:rPr>
        <w:t>–</w:t>
      </w:r>
      <w:r w:rsidRPr="005A5A48">
        <w:rPr>
          <w:rFonts w:hint="cs"/>
          <w:highlight w:val="yellow"/>
          <w:rtl/>
          <w:lang w:bidi="he-IL"/>
        </w:rPr>
        <w:t xml:space="preserve"> אם מישהו יעתיק אותו הוא אכן יתפתח </w:t>
      </w:r>
      <w:r w:rsidRPr="005A5A48">
        <w:rPr>
          <w:highlight w:val="yellow"/>
          <w:rtl/>
          <w:lang w:bidi="he-IL"/>
        </w:rPr>
        <w:t>–</w:t>
      </w:r>
      <w:r w:rsidRPr="005A5A48">
        <w:rPr>
          <w:rFonts w:hint="cs"/>
          <w:highlight w:val="yellow"/>
          <w:rtl/>
          <w:lang w:bidi="he-IL"/>
        </w:rPr>
        <w:t xml:space="preserve"> אלא שיש כאן מקור מקורי שלא הגיע אלינו משושלת של מעתיקים</w:t>
      </w:r>
    </w:p>
  </w:comment>
  <w:comment w:id="24" w:author="Noga Darshan" w:date="2021-04-12T10:51:00Z" w:initials="ND">
    <w:p w14:paraId="6F11C142" w14:textId="3A8D9E1E" w:rsidR="006A346E" w:rsidRDefault="006A346E">
      <w:pPr>
        <w:pStyle w:val="CommentText"/>
        <w:rPr>
          <w:rtl/>
          <w:lang w:bidi="he-IL"/>
        </w:rPr>
      </w:pPr>
      <w:r>
        <w:rPr>
          <w:rStyle w:val="CommentReference"/>
        </w:rPr>
        <w:annotationRef/>
      </w:r>
      <w:r>
        <w:rPr>
          <w:rFonts w:hint="cs"/>
          <w:rtl/>
          <w:lang w:bidi="he-IL"/>
        </w:rPr>
        <w:t>אינני בטוחה שהבנתי את כוונתך. כוונתי שמקור אפיסטולרי אכן לא מתפתח כי הוא איננו יצירה ספרותית. אבל אם זה נשמע מוזר באנגלית, אשמח להצעות תיקון</w:t>
      </w:r>
    </w:p>
  </w:comment>
  <w:comment w:id="25" w:author="Avraham Kallenbah" w:date="2021-04-18T14:10:00Z" w:initials="AK">
    <w:p w14:paraId="0C1067E3" w14:textId="59725BE7" w:rsidR="00563EFB" w:rsidRDefault="00563EFB">
      <w:pPr>
        <w:pStyle w:val="CommentText"/>
        <w:rPr>
          <w:rFonts w:hint="cs"/>
          <w:rtl/>
          <w:lang w:bidi="he-IL"/>
        </w:rPr>
      </w:pPr>
      <w:r w:rsidRPr="00563EFB">
        <w:rPr>
          <w:rStyle w:val="CommentReference"/>
          <w:highlight w:val="green"/>
        </w:rPr>
        <w:annotationRef/>
      </w:r>
      <w:r w:rsidRPr="00563EFB">
        <w:rPr>
          <w:rStyle w:val="CommentReference"/>
          <w:rFonts w:hint="cs"/>
          <w:highlight w:val="green"/>
          <w:rtl/>
          <w:lang w:bidi="he-IL"/>
        </w:rPr>
        <w:t>נא לראות עכשיו</w:t>
      </w:r>
    </w:p>
  </w:comment>
  <w:comment w:id="29" w:author="Avraham Kallenbah" w:date="2021-04-07T14:10:00Z" w:initials="AK">
    <w:p w14:paraId="044AB074" w14:textId="0F6EB2E2" w:rsidR="006A346E" w:rsidRDefault="006A346E">
      <w:pPr>
        <w:pStyle w:val="CommentText"/>
      </w:pPr>
      <w:r w:rsidRPr="00A44A0A">
        <w:rPr>
          <w:rStyle w:val="CommentReference"/>
          <w:highlight w:val="yellow"/>
        </w:rPr>
        <w:annotationRef/>
      </w:r>
      <w:r w:rsidRPr="00A44A0A">
        <w:rPr>
          <w:highlight w:val="yellow"/>
        </w:rPr>
        <w:t xml:space="preserve">Ritual of a statue is too vague and </w:t>
      </w:r>
      <w:proofErr w:type="spellStart"/>
      <w:r w:rsidRPr="00A44A0A">
        <w:rPr>
          <w:highlight w:val="yellow"/>
        </w:rPr>
        <w:t>doens;t</w:t>
      </w:r>
      <w:proofErr w:type="spellEnd"/>
      <w:r w:rsidRPr="00A44A0A">
        <w:rPr>
          <w:highlight w:val="yellow"/>
        </w:rPr>
        <w:t xml:space="preserve"> really make sense</w:t>
      </w:r>
      <w:r>
        <w:t xml:space="preserve"> </w:t>
      </w:r>
    </w:p>
  </w:comment>
  <w:comment w:id="30" w:author="Noga Darshan" w:date="2021-04-12T11:15:00Z" w:initials="ND">
    <w:p w14:paraId="07EAA270" w14:textId="39A7166C" w:rsidR="006A346E" w:rsidRDefault="006A346E">
      <w:pPr>
        <w:pStyle w:val="CommentText"/>
        <w:rPr>
          <w:lang w:bidi="he-IL"/>
        </w:rPr>
      </w:pPr>
      <w:r>
        <w:rPr>
          <w:rStyle w:val="CommentReference"/>
        </w:rPr>
        <w:annotationRef/>
      </w:r>
      <w:r>
        <w:rPr>
          <w:rFonts w:hint="cs"/>
          <w:rtl/>
          <w:lang w:bidi="he-IL"/>
        </w:rPr>
        <w:t>אז אחרי התיקון שלך זה בסדר?</w:t>
      </w:r>
    </w:p>
  </w:comment>
  <w:comment w:id="31" w:author="Avraham Kallenbah" w:date="2021-04-13T08:34:00Z" w:initials="AK">
    <w:p w14:paraId="40AD2208" w14:textId="05319E96" w:rsidR="00BE697F" w:rsidRDefault="00BE697F">
      <w:pPr>
        <w:pStyle w:val="CommentText"/>
        <w:rPr>
          <w:rtl/>
          <w:lang w:bidi="he-IL"/>
        </w:rPr>
      </w:pPr>
      <w:r w:rsidRPr="00BE697F">
        <w:rPr>
          <w:rStyle w:val="CommentReference"/>
          <w:highlight w:val="cyan"/>
        </w:rPr>
        <w:annotationRef/>
      </w:r>
      <w:r w:rsidRPr="00BE697F">
        <w:rPr>
          <w:rFonts w:hint="cs"/>
          <w:highlight w:val="cyan"/>
          <w:rtl/>
          <w:lang w:bidi="he-IL"/>
        </w:rPr>
        <w:t>כן</w:t>
      </w:r>
    </w:p>
  </w:comment>
  <w:comment w:id="32" w:author="Avraham Kallenbah" w:date="2021-04-08T12:32:00Z" w:initials="AK">
    <w:p w14:paraId="72AECDEC" w14:textId="13C7618A" w:rsidR="006A346E" w:rsidRDefault="006A346E">
      <w:pPr>
        <w:pStyle w:val="CommentText"/>
      </w:pPr>
      <w:r w:rsidRPr="002A33B9">
        <w:rPr>
          <w:rStyle w:val="CommentReference"/>
          <w:highlight w:val="yellow"/>
        </w:rPr>
        <w:annotationRef/>
      </w:r>
      <w:r w:rsidRPr="002A33B9">
        <w:rPr>
          <w:highlight w:val="yellow"/>
        </w:rPr>
        <w:t>This is the second reiteration of this. I think it should be obvious by now. Consider omitting.</w:t>
      </w:r>
    </w:p>
  </w:comment>
  <w:comment w:id="33" w:author="Noga Darshan" w:date="2021-04-12T11:22:00Z" w:initials="ND">
    <w:p w14:paraId="6B389802" w14:textId="29B2FAC6" w:rsidR="006A346E" w:rsidRDefault="006A346E">
      <w:pPr>
        <w:pStyle w:val="CommentText"/>
        <w:rPr>
          <w:rtl/>
          <w:lang w:bidi="he-IL"/>
        </w:rPr>
      </w:pPr>
      <w:r>
        <w:rPr>
          <w:rStyle w:val="CommentReference"/>
        </w:rPr>
        <w:annotationRef/>
      </w:r>
      <w:r>
        <w:rPr>
          <w:rFonts w:hint="cs"/>
          <w:rtl/>
          <w:lang w:bidi="he-IL"/>
        </w:rPr>
        <w:t>תודה על ההצעה. כרגע אשאיר זאת כדי שהניסוח הנכון יישמר, אך ייתכן שבהמשך אכן אשמיט.</w:t>
      </w:r>
    </w:p>
  </w:comment>
  <w:comment w:id="34" w:author="Avraham Kallenbah" w:date="2021-04-18T14:10:00Z" w:initials="AK">
    <w:p w14:paraId="3C496340" w14:textId="37DDF266" w:rsidR="00563EFB" w:rsidRDefault="00563EFB">
      <w:pPr>
        <w:pStyle w:val="CommentText"/>
        <w:rPr>
          <w:rFonts w:hint="cs"/>
          <w:lang w:bidi="he-IL"/>
        </w:rPr>
      </w:pPr>
      <w:r w:rsidRPr="00563EFB">
        <w:rPr>
          <w:rStyle w:val="CommentReference"/>
          <w:highlight w:val="cyan"/>
        </w:rPr>
        <w:annotationRef/>
      </w:r>
      <w:r w:rsidRPr="00563EFB">
        <w:rPr>
          <w:rFonts w:hint="cs"/>
          <w:highlight w:val="cyan"/>
          <w:rtl/>
          <w:lang w:bidi="he-IL"/>
        </w:rPr>
        <w:t>בסדר גמור</w:t>
      </w:r>
    </w:p>
  </w:comment>
  <w:comment w:id="41" w:author="Avraham Kallenbah" w:date="2021-04-13T08:37:00Z" w:initials="AK">
    <w:p w14:paraId="4E56C24C" w14:textId="5F6D0DE6" w:rsidR="00BE697F" w:rsidRDefault="00BE697F">
      <w:pPr>
        <w:pStyle w:val="CommentText"/>
      </w:pPr>
      <w:r w:rsidRPr="00BE697F">
        <w:rPr>
          <w:rStyle w:val="CommentReference"/>
          <w:highlight w:val="cyan"/>
        </w:rPr>
        <w:annotationRef/>
      </w:r>
      <w:r w:rsidRPr="00BE697F">
        <w:rPr>
          <w:highlight w:val="cyan"/>
        </w:rPr>
        <w:t>Corrections are based on your comment.</w:t>
      </w:r>
      <w:r>
        <w:t xml:space="preserve"> </w:t>
      </w:r>
    </w:p>
  </w:comment>
  <w:comment w:id="92" w:author="Avraham Kallenbah" w:date="2021-04-08T11:58:00Z" w:initials="AK">
    <w:p w14:paraId="28F3A8EA" w14:textId="77777777" w:rsidR="006A346E" w:rsidRPr="005759BF" w:rsidRDefault="006A346E">
      <w:pPr>
        <w:pStyle w:val="CommentText"/>
        <w:rPr>
          <w:rStyle w:val="CommentReference"/>
          <w:highlight w:val="yellow"/>
        </w:rPr>
      </w:pPr>
      <w:r w:rsidRPr="005759BF">
        <w:rPr>
          <w:rStyle w:val="CommentReference"/>
          <w:highlight w:val="yellow"/>
        </w:rPr>
        <w:annotationRef/>
      </w:r>
      <w:r w:rsidRPr="005759BF">
        <w:rPr>
          <w:rStyle w:val="CommentReference"/>
          <w:highlight w:val="yellow"/>
        </w:rPr>
        <w:t>Personnel implies plural. Is that what you mean?</w:t>
      </w:r>
    </w:p>
    <w:p w14:paraId="29650D13" w14:textId="7E5FC5E8" w:rsidR="006A346E" w:rsidRDefault="006A346E">
      <w:pPr>
        <w:pStyle w:val="CommentText"/>
      </w:pPr>
      <w:proofErr w:type="gramStart"/>
      <w:r w:rsidRPr="005759BF">
        <w:rPr>
          <w:rStyle w:val="CommentReference"/>
          <w:highlight w:val="yellow"/>
        </w:rPr>
        <w:t>Also</w:t>
      </w:r>
      <w:proofErr w:type="gramEnd"/>
      <w:r w:rsidRPr="005759BF">
        <w:rPr>
          <w:rStyle w:val="CommentReference"/>
          <w:highlight w:val="yellow"/>
        </w:rPr>
        <w:t xml:space="preserve"> the wording “position of a cultic personnel” and “held” is unclear.</w:t>
      </w:r>
      <w:r>
        <w:rPr>
          <w:rStyle w:val="CommentReference"/>
        </w:rPr>
        <w:t xml:space="preserve"> </w:t>
      </w:r>
    </w:p>
  </w:comment>
  <w:comment w:id="93" w:author="Noga Darshan" w:date="2021-04-12T13:29:00Z" w:initials="ND">
    <w:p w14:paraId="0B3FD687" w14:textId="73C523BE" w:rsidR="006A346E" w:rsidRPr="0013103F" w:rsidRDefault="006A346E" w:rsidP="0013103F">
      <w:pPr>
        <w:pStyle w:val="CommentText"/>
        <w:bidi/>
        <w:rPr>
          <w:rtl/>
          <w:lang w:val="en-GB" w:bidi="he-IL"/>
        </w:rPr>
      </w:pPr>
      <w:r>
        <w:rPr>
          <w:rStyle w:val="CommentReference"/>
        </w:rPr>
        <w:annotationRef/>
      </w:r>
      <w:r>
        <w:rPr>
          <w:rFonts w:hint="cs"/>
          <w:rtl/>
          <w:lang w:bidi="he-IL"/>
        </w:rPr>
        <w:t>ועכשיו? הכוונה לתפקיד פולחני מסויים</w:t>
      </w:r>
      <w:r w:rsidR="0013103F">
        <w:rPr>
          <w:rFonts w:hint="cs"/>
          <w:rtl/>
          <w:lang w:bidi="he-IL"/>
        </w:rPr>
        <w:t xml:space="preserve">. בהמשך אני משתמשת רק במילה </w:t>
      </w:r>
      <w:r w:rsidR="0013103F">
        <w:rPr>
          <w:lang w:val="en-GB" w:bidi="he-IL"/>
        </w:rPr>
        <w:t>position</w:t>
      </w:r>
      <w:r w:rsidR="0013103F">
        <w:rPr>
          <w:rFonts w:hint="cs"/>
          <w:rtl/>
          <w:lang w:val="en-GB" w:bidi="he-IL"/>
        </w:rPr>
        <w:t xml:space="preserve"> ביחס לאותו תפקיד (בגוף ובהערת השוליים). האם זה בסדר, או שיש לך הצעה אחרת?</w:t>
      </w:r>
    </w:p>
  </w:comment>
  <w:comment w:id="94" w:author="Avraham Kallenbah" w:date="2021-04-18T14:14:00Z" w:initials="AK">
    <w:p w14:paraId="193BA3DD" w14:textId="52CEA314" w:rsidR="00563EFB" w:rsidRDefault="00563EFB">
      <w:pPr>
        <w:pStyle w:val="CommentText"/>
        <w:rPr>
          <w:rFonts w:hint="cs"/>
          <w:rtl/>
          <w:lang w:bidi="he-IL"/>
        </w:rPr>
      </w:pPr>
      <w:r w:rsidRPr="00563EFB">
        <w:rPr>
          <w:rStyle w:val="CommentReference"/>
          <w:highlight w:val="cyan"/>
        </w:rPr>
        <w:annotationRef/>
      </w:r>
      <w:r w:rsidRPr="00563EFB">
        <w:rPr>
          <w:rFonts w:hint="cs"/>
          <w:highlight w:val="cyan"/>
          <w:rtl/>
          <w:lang w:bidi="he-IL"/>
        </w:rPr>
        <w:t>נא לראות עכשיו</w:t>
      </w:r>
    </w:p>
  </w:comment>
  <w:comment w:id="117" w:author="Avraham Kallenbah" w:date="2021-04-13T08:41:00Z" w:initials="AK">
    <w:p w14:paraId="6A8F9E6C" w14:textId="51FEAD26" w:rsidR="00B91D14" w:rsidRDefault="00B91D14">
      <w:pPr>
        <w:pStyle w:val="CommentText"/>
      </w:pPr>
      <w:r w:rsidRPr="00B91D14">
        <w:rPr>
          <w:rStyle w:val="CommentReference"/>
          <w:highlight w:val="cyan"/>
        </w:rPr>
        <w:annotationRef/>
      </w:r>
      <w:r w:rsidRPr="00B91D14">
        <w:rPr>
          <w:highlight w:val="cyan"/>
        </w:rPr>
        <w:t>Occurring refers to an event in history. But I think we’re discussing the presence of a description in a literary work and thus “appearing” is, in my opinion, more fitting.</w:t>
      </w:r>
    </w:p>
  </w:comment>
  <w:comment w:id="122" w:author="Noga Darshan" w:date="2021-04-12T14:10:00Z" w:initials="ND">
    <w:p w14:paraId="4F334721" w14:textId="75902C24" w:rsidR="006A346E" w:rsidRDefault="006A346E">
      <w:pPr>
        <w:pStyle w:val="CommentText"/>
        <w:rPr>
          <w:rtl/>
          <w:lang w:bidi="he-IL"/>
        </w:rPr>
      </w:pPr>
      <w:r>
        <w:rPr>
          <w:rStyle w:val="CommentReference"/>
        </w:rPr>
        <w:annotationRef/>
      </w:r>
      <w:r>
        <w:rPr>
          <w:rFonts w:hint="cs"/>
          <w:rtl/>
          <w:lang w:bidi="he-IL"/>
        </w:rPr>
        <w:t>הכוונה לכך שלפני שבני אוגרית העלו את המסורות שלהם על הכתב אין לנו עדויות בכתב מקומי מהלבנט, ולכן איננו יכולים להכיר את המסורות שהסתובבו שם</w:t>
      </w:r>
    </w:p>
  </w:comment>
  <w:comment w:id="123" w:author="Avraham Kallenbah" w:date="2021-04-18T14:11:00Z" w:initials="AK">
    <w:p w14:paraId="6860D1E5" w14:textId="6C7CC527" w:rsidR="00563EFB" w:rsidRDefault="00563EFB">
      <w:pPr>
        <w:pStyle w:val="CommentText"/>
      </w:pPr>
      <w:r w:rsidRPr="00D65528">
        <w:rPr>
          <w:rStyle w:val="CommentReference"/>
          <w:highlight w:val="cyan"/>
        </w:rPr>
        <w:annotationRef/>
      </w:r>
      <w:r w:rsidR="00D65528" w:rsidRPr="00D65528">
        <w:rPr>
          <w:rStyle w:val="CommentReference"/>
          <w:highlight w:val="cyan"/>
        </w:rPr>
        <w:t>Only small corrections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35EA73" w15:done="0"/>
  <w15:commentEx w15:paraId="575749E1" w15:paraIdParent="2E35EA73" w15:done="0"/>
  <w15:commentEx w15:paraId="1E8E3F1A" w15:paraIdParent="2E35EA73" w15:done="0"/>
  <w15:commentEx w15:paraId="2DCE7565" w15:done="0"/>
  <w15:commentEx w15:paraId="6F11C142" w15:paraIdParent="2DCE7565" w15:done="0"/>
  <w15:commentEx w15:paraId="0C1067E3" w15:paraIdParent="2DCE7565" w15:done="0"/>
  <w15:commentEx w15:paraId="044AB074" w15:done="0"/>
  <w15:commentEx w15:paraId="07EAA270" w15:paraIdParent="044AB074" w15:done="0"/>
  <w15:commentEx w15:paraId="40AD2208" w15:paraIdParent="044AB074" w15:done="0"/>
  <w15:commentEx w15:paraId="72AECDEC" w15:done="0"/>
  <w15:commentEx w15:paraId="6B389802" w15:paraIdParent="72AECDEC" w15:done="0"/>
  <w15:commentEx w15:paraId="3C496340" w15:paraIdParent="72AECDEC" w15:done="0"/>
  <w15:commentEx w15:paraId="4E56C24C" w15:done="0"/>
  <w15:commentEx w15:paraId="29650D13" w15:done="0"/>
  <w15:commentEx w15:paraId="0B3FD687" w15:paraIdParent="29650D13" w15:done="0"/>
  <w15:commentEx w15:paraId="193BA3DD" w15:paraIdParent="29650D13" w15:done="0"/>
  <w15:commentEx w15:paraId="6A8F9E6C" w15:done="0"/>
  <w15:commentEx w15:paraId="4F334721" w15:done="0"/>
  <w15:commentEx w15:paraId="6860D1E5" w15:paraIdParent="4F334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7429" w16cex:dateUtc="2021-04-08T09:23:00Z"/>
  <w16cex:commentExtensible w16cex:durableId="241E8E0B" w16cex:dateUtc="2021-04-12T06:14:00Z"/>
  <w16cex:commentExtensible w16cex:durableId="241FD547" w16cex:dateUtc="2021-04-13T05:30:00Z"/>
  <w16cex:commentExtensible w16cex:durableId="241839FC" w16cex:dateUtc="2021-04-07T11:02:00Z"/>
  <w16cex:commentExtensible w16cex:durableId="241EA4AD" w16cex:dateUtc="2021-04-12T07:51:00Z"/>
  <w16cex:commentExtensible w16cex:durableId="2426BC43" w16cex:dateUtc="2021-04-18T11:10:00Z"/>
  <w16cex:commentExtensible w16cex:durableId="24183BD9" w16cex:dateUtc="2021-04-07T11:10:00Z"/>
  <w16cex:commentExtensible w16cex:durableId="241EAA5B" w16cex:dateUtc="2021-04-12T08:15:00Z"/>
  <w16cex:commentExtensible w16cex:durableId="241FD5FF" w16cex:dateUtc="2021-04-13T05:34:00Z"/>
  <w16cex:commentExtensible w16cex:durableId="2419766C" w16cex:dateUtc="2021-04-08T09:32:00Z"/>
  <w16cex:commentExtensible w16cex:durableId="241EABEC" w16cex:dateUtc="2021-04-12T08:22:00Z"/>
  <w16cex:commentExtensible w16cex:durableId="2426BC63" w16cex:dateUtc="2021-04-18T11:10:00Z"/>
  <w16cex:commentExtensible w16cex:durableId="241FD6DB" w16cex:dateUtc="2021-04-13T05:37:00Z"/>
  <w16cex:commentExtensible w16cex:durableId="24196E81" w16cex:dateUtc="2021-04-08T08:58:00Z"/>
  <w16cex:commentExtensible w16cex:durableId="241EC9A2" w16cex:dateUtc="2021-04-12T10:29:00Z"/>
  <w16cex:commentExtensible w16cex:durableId="2426BD3D" w16cex:dateUtc="2021-04-18T11:14:00Z"/>
  <w16cex:commentExtensible w16cex:durableId="241FD7D1" w16cex:dateUtc="2021-04-13T05:41:00Z"/>
  <w16cex:commentExtensible w16cex:durableId="241ED33E" w16cex:dateUtc="2021-04-12T11:10:00Z"/>
  <w16cex:commentExtensible w16cex:durableId="2426BC9F" w16cex:dateUtc="2021-04-1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5EA73" w16cid:durableId="24197429"/>
  <w16cid:commentId w16cid:paraId="575749E1" w16cid:durableId="241E8E0B"/>
  <w16cid:commentId w16cid:paraId="1E8E3F1A" w16cid:durableId="241FD547"/>
  <w16cid:commentId w16cid:paraId="2DCE7565" w16cid:durableId="241839FC"/>
  <w16cid:commentId w16cid:paraId="6F11C142" w16cid:durableId="241EA4AD"/>
  <w16cid:commentId w16cid:paraId="0C1067E3" w16cid:durableId="2426BC43"/>
  <w16cid:commentId w16cid:paraId="044AB074" w16cid:durableId="24183BD9"/>
  <w16cid:commentId w16cid:paraId="07EAA270" w16cid:durableId="241EAA5B"/>
  <w16cid:commentId w16cid:paraId="40AD2208" w16cid:durableId="241FD5FF"/>
  <w16cid:commentId w16cid:paraId="72AECDEC" w16cid:durableId="2419766C"/>
  <w16cid:commentId w16cid:paraId="6B389802" w16cid:durableId="241EABEC"/>
  <w16cid:commentId w16cid:paraId="3C496340" w16cid:durableId="2426BC63"/>
  <w16cid:commentId w16cid:paraId="4E56C24C" w16cid:durableId="241FD6DB"/>
  <w16cid:commentId w16cid:paraId="29650D13" w16cid:durableId="24196E81"/>
  <w16cid:commentId w16cid:paraId="0B3FD687" w16cid:durableId="241EC9A2"/>
  <w16cid:commentId w16cid:paraId="193BA3DD" w16cid:durableId="2426BD3D"/>
  <w16cid:commentId w16cid:paraId="6A8F9E6C" w16cid:durableId="241FD7D1"/>
  <w16cid:commentId w16cid:paraId="4F334721" w16cid:durableId="241ED33E"/>
  <w16cid:commentId w16cid:paraId="6860D1E5" w16cid:durableId="2426B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B626C" w14:textId="77777777" w:rsidR="00B34D08" w:rsidRDefault="00B34D08" w:rsidP="00927F7A">
      <w:r>
        <w:separator/>
      </w:r>
    </w:p>
  </w:endnote>
  <w:endnote w:type="continuationSeparator" w:id="0">
    <w:p w14:paraId="667CD454" w14:textId="77777777" w:rsidR="00B34D08" w:rsidRDefault="00B34D08" w:rsidP="00927F7A">
      <w:r>
        <w:continuationSeparator/>
      </w:r>
    </w:p>
  </w:endnote>
  <w:endnote w:type="continuationNotice" w:id="1">
    <w:p w14:paraId="0A38EDCC" w14:textId="77777777" w:rsidR="00B34D08" w:rsidRDefault="00B34D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AC8A" w14:textId="77777777" w:rsidR="006A346E" w:rsidRDefault="006A3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9DB2B" w14:textId="77777777" w:rsidR="00B34D08" w:rsidRDefault="00B34D08" w:rsidP="00927F7A">
      <w:r>
        <w:separator/>
      </w:r>
    </w:p>
  </w:footnote>
  <w:footnote w:type="continuationSeparator" w:id="0">
    <w:p w14:paraId="09848F24" w14:textId="77777777" w:rsidR="00B34D08" w:rsidRDefault="00B34D08" w:rsidP="00927F7A">
      <w:r>
        <w:continuationSeparator/>
      </w:r>
    </w:p>
  </w:footnote>
  <w:footnote w:type="continuationNotice" w:id="1">
    <w:p w14:paraId="29159AE0" w14:textId="77777777" w:rsidR="00B34D08" w:rsidRDefault="00B34D08">
      <w:pPr>
        <w:spacing w:line="240" w:lineRule="auto"/>
      </w:pPr>
    </w:p>
  </w:footnote>
  <w:footnote w:id="2">
    <w:p w14:paraId="35C9E1E4" w14:textId="52BAA850" w:rsidR="006A346E" w:rsidRPr="00241532" w:rsidRDefault="006A346E" w:rsidP="00241532">
      <w:pPr>
        <w:pStyle w:val="FootnoteText"/>
        <w:spacing w:line="360" w:lineRule="auto"/>
        <w:ind w:firstLine="0"/>
        <w:contextualSpacing/>
        <w:rPr>
          <w:lang w:val="de-DE"/>
        </w:rPr>
      </w:pPr>
      <w:r>
        <w:rPr>
          <w:rStyle w:val="FootnoteReference"/>
        </w:rPr>
        <w:footnoteRef/>
      </w:r>
      <w:r w:rsidRPr="00241532">
        <w:rPr>
          <w:lang w:val="de-DE"/>
        </w:rPr>
        <w:t xml:space="preserve"> Cf. e.g., </w:t>
      </w:r>
      <w:r w:rsidRPr="007F51A8">
        <w:rPr>
          <w:lang w:val="de-DE"/>
        </w:rPr>
        <w:t>F</w:t>
      </w:r>
      <w:r>
        <w:rPr>
          <w:lang w:val="de-DE"/>
        </w:rPr>
        <w:t>rahm</w:t>
      </w:r>
      <w:r w:rsidRPr="00475A03">
        <w:rPr>
          <w:lang w:val="de-DE"/>
        </w:rPr>
        <w:t xml:space="preserve"> </w:t>
      </w:r>
      <w:r>
        <w:rPr>
          <w:lang w:val="de-DE"/>
        </w:rPr>
        <w:t xml:space="preserve">2003; </w:t>
      </w:r>
      <w:r w:rsidRPr="00241532">
        <w:rPr>
          <w:lang w:val="de-DE"/>
        </w:rPr>
        <w:t>Alster</w:t>
      </w:r>
      <w:r>
        <w:rPr>
          <w:lang w:val="de-DE"/>
        </w:rPr>
        <w:t xml:space="preserve"> 2005-2006.</w:t>
      </w:r>
    </w:p>
  </w:footnote>
  <w:footnote w:id="3">
    <w:p w14:paraId="724F63B7" w14:textId="062FEB09" w:rsidR="006A346E" w:rsidRDefault="006A346E" w:rsidP="00ED6B76">
      <w:pPr>
        <w:pStyle w:val="FootnoteText"/>
        <w:spacing w:line="360" w:lineRule="auto"/>
        <w:ind w:firstLine="0"/>
        <w:contextualSpacing/>
      </w:pPr>
      <w:r>
        <w:rPr>
          <w:rStyle w:val="FootnoteReference"/>
        </w:rPr>
        <w:footnoteRef/>
      </w:r>
      <w:r w:rsidRPr="00241532">
        <w:rPr>
          <w:lang w:val="en-GB"/>
        </w:rPr>
        <w:t xml:space="preserve"> For a discussion of the various Western-Semitic characteristics of M</w:t>
      </w:r>
      <w:proofErr w:type="spellStart"/>
      <w:r>
        <w:rPr>
          <w:lang w:bidi="he-IL"/>
        </w:rPr>
        <w:t>ari</w:t>
      </w:r>
      <w:proofErr w:type="spellEnd"/>
      <w:r w:rsidRPr="00241532">
        <w:rPr>
          <w:lang w:val="en-GB"/>
        </w:rPr>
        <w:t xml:space="preserve"> Amorite culture, and </w:t>
      </w:r>
      <w:r>
        <w:rPr>
          <w:lang w:val="en-GB"/>
        </w:rPr>
        <w:t>its</w:t>
      </w:r>
      <w:r w:rsidRPr="00241532">
        <w:rPr>
          <w:lang w:val="en-GB"/>
        </w:rPr>
        <w:t xml:space="preserve"> relation to the </w:t>
      </w:r>
      <w:proofErr w:type="spellStart"/>
      <w:r w:rsidRPr="00241532">
        <w:rPr>
          <w:lang w:val="en-GB"/>
        </w:rPr>
        <w:t>Syro</w:t>
      </w:r>
      <w:proofErr w:type="spellEnd"/>
      <w:r w:rsidRPr="00241532">
        <w:rPr>
          <w:lang w:val="en-GB"/>
        </w:rPr>
        <w:t>-Levant</w:t>
      </w:r>
      <w:r>
        <w:rPr>
          <w:lang w:val="en-GB"/>
        </w:rPr>
        <w:t>ine</w:t>
      </w:r>
      <w:r w:rsidRPr="00241532">
        <w:rPr>
          <w:lang w:val="en-GB"/>
        </w:rPr>
        <w:t xml:space="preserve"> </w:t>
      </w:r>
      <w:r w:rsidRPr="00D7433D">
        <w:rPr>
          <w:lang w:val="en-GB"/>
        </w:rPr>
        <w:t xml:space="preserve">cultures of </w:t>
      </w:r>
      <w:r w:rsidRPr="00241532">
        <w:rPr>
          <w:lang w:val="en-GB"/>
        </w:rPr>
        <w:t xml:space="preserve">the second and first millennia BCE, see the overview of </w:t>
      </w:r>
      <w:proofErr w:type="spellStart"/>
      <w:r w:rsidRPr="00241532">
        <w:rPr>
          <w:lang w:val="en-GB"/>
        </w:rPr>
        <w:t>Malamat</w:t>
      </w:r>
      <w:proofErr w:type="spellEnd"/>
      <w:r w:rsidRPr="00241532">
        <w:rPr>
          <w:lang w:val="en-GB"/>
        </w:rPr>
        <w:t xml:space="preserve">, 1998; and cf. </w:t>
      </w:r>
      <w:r w:rsidRPr="00242607">
        <w:rPr>
          <w:lang w:val="en-GB"/>
        </w:rPr>
        <w:t xml:space="preserve">Held 1970; Durand 1993; 2008; Fleming 2000. </w:t>
      </w:r>
      <w:r>
        <w:rPr>
          <w:lang w:val="en-GB"/>
        </w:rPr>
        <w:t xml:space="preserve">For the Western-Semitic Onomasticon in Mari, see </w:t>
      </w:r>
      <w:proofErr w:type="spellStart"/>
      <w:r>
        <w:rPr>
          <w:lang w:val="en-GB"/>
        </w:rPr>
        <w:t>Streck</w:t>
      </w:r>
      <w:proofErr w:type="spellEnd"/>
      <w:r>
        <w:rPr>
          <w:lang w:val="en-GB"/>
        </w:rPr>
        <w:t xml:space="preserve"> 2000.</w:t>
      </w:r>
    </w:p>
  </w:footnote>
  <w:footnote w:id="4">
    <w:p w14:paraId="6F3C7E88" w14:textId="48C66CEB" w:rsidR="006A346E" w:rsidRPr="00A47B88" w:rsidRDefault="006A346E" w:rsidP="00ED6B76">
      <w:pPr>
        <w:pStyle w:val="FootnoteText"/>
        <w:spacing w:line="360" w:lineRule="auto"/>
        <w:ind w:firstLine="0"/>
        <w:contextualSpacing/>
      </w:pPr>
      <w:r>
        <w:rPr>
          <w:rStyle w:val="FootnoteReference"/>
        </w:rPr>
        <w:footnoteRef/>
      </w:r>
      <w:r>
        <w:t xml:space="preserve"> Ezekiel 8:14: “Next He brought me to the entrance of the north gate of the House of YHWH; and there sat the women bewailing the Tammuz”; An-</w:t>
      </w:r>
      <w:proofErr w:type="spellStart"/>
      <w:r>
        <w:t>Nadīm’s</w:t>
      </w:r>
      <w:proofErr w:type="spellEnd"/>
      <w:r>
        <w:t xml:space="preserve"> </w:t>
      </w:r>
      <w:proofErr w:type="spellStart"/>
      <w:r>
        <w:rPr>
          <w:i/>
          <w:iCs/>
        </w:rPr>
        <w:t>Fihrist</w:t>
      </w:r>
      <w:proofErr w:type="spellEnd"/>
      <w:r>
        <w:t xml:space="preserve">, Dodge edition, 758: “[The month of] </w:t>
      </w:r>
      <w:proofErr w:type="spellStart"/>
      <w:r>
        <w:t>Tammūz</w:t>
      </w:r>
      <w:proofErr w:type="spellEnd"/>
      <w:r>
        <w:t>: In the middle of this [month] there is the feast of al-</w:t>
      </w:r>
      <w:proofErr w:type="spellStart"/>
      <w:r>
        <w:t>Būqāt</w:t>
      </w:r>
      <w:proofErr w:type="spellEnd"/>
      <w:r>
        <w:t xml:space="preserve">, that is, of the weeping women. It is the </w:t>
      </w:r>
      <w:proofErr w:type="spellStart"/>
      <w:r>
        <w:t>Tāwuz</w:t>
      </w:r>
      <w:proofErr w:type="spellEnd"/>
      <w:r>
        <w:t xml:space="preserve">, a feast dedicated to the god </w:t>
      </w:r>
      <w:proofErr w:type="spellStart"/>
      <w:r>
        <w:t>Tāwuz</w:t>
      </w:r>
      <w:proofErr w:type="spellEnd"/>
      <w:r>
        <w:t>. The women weep for him because of how his master killed him and ground his bones in the hand-mill and then winnowed them to the wind. The women do not eat nothing ground in a hand-mill; they only eat moistened wheat, chick-peas, dates, raisins and other similar things.” The translation follows HÄMEEN-ANTTILA 2002, 101. For a discussion of the pagan communities and beliefs in Haran and Iraq during the 10</w:t>
      </w:r>
      <w:r>
        <w:rPr>
          <w:vertAlign w:val="superscript"/>
        </w:rPr>
        <w:t>th</w:t>
      </w:r>
      <w:r>
        <w:t xml:space="preserve"> century CE, see also </w:t>
      </w:r>
      <w:bookmarkStart w:id="5" w:name="_Hlk528571892"/>
      <w:r>
        <w:rPr>
          <w:smallCaps/>
        </w:rPr>
        <w:t>idem</w:t>
      </w:r>
      <w:r>
        <w:t xml:space="preserve">, </w:t>
      </w:r>
      <w:bookmarkEnd w:id="5"/>
      <w:r>
        <w:t>2006</w:t>
      </w:r>
      <w:r w:rsidRPr="005E16F3">
        <w:t xml:space="preserve">. </w:t>
      </w:r>
      <w:r w:rsidRPr="00241532">
        <w:rPr>
          <w:lang w:val="en-GB"/>
        </w:rPr>
        <w:t xml:space="preserve">For the alteration between </w:t>
      </w:r>
      <w:proofErr w:type="spellStart"/>
      <w:r w:rsidRPr="00241532">
        <w:rPr>
          <w:lang w:val="en-GB"/>
        </w:rPr>
        <w:t>k</w:t>
      </w:r>
      <w:r w:rsidRPr="00241532">
        <w:rPr>
          <w:rFonts w:cs="Times New Roman"/>
          <w:lang w:val="en-GB"/>
        </w:rPr>
        <w:t>ā</w:t>
      </w:r>
      <w:r w:rsidRPr="00241532">
        <w:rPr>
          <w:lang w:val="en-GB"/>
        </w:rPr>
        <w:t>f</w:t>
      </w:r>
      <w:proofErr w:type="spellEnd"/>
      <w:r w:rsidRPr="00241532">
        <w:rPr>
          <w:lang w:val="en-GB"/>
        </w:rPr>
        <w:t xml:space="preserve"> and </w:t>
      </w:r>
      <w:proofErr w:type="spellStart"/>
      <w:r w:rsidRPr="00241532">
        <w:rPr>
          <w:lang w:val="en-GB"/>
        </w:rPr>
        <w:t>q</w:t>
      </w:r>
      <w:r w:rsidRPr="00241532">
        <w:rPr>
          <w:rFonts w:cs="Times New Roman"/>
          <w:lang w:val="en-GB"/>
        </w:rPr>
        <w:t>ā</w:t>
      </w:r>
      <w:r w:rsidRPr="00241532">
        <w:rPr>
          <w:lang w:val="en-GB"/>
        </w:rPr>
        <w:t>f</w:t>
      </w:r>
      <w:proofErr w:type="spellEnd"/>
      <w:r w:rsidRPr="00241532">
        <w:rPr>
          <w:lang w:val="en-GB"/>
        </w:rPr>
        <w:t xml:space="preserve"> in the appellation </w:t>
      </w:r>
      <w:r w:rsidRPr="00241532">
        <w:t>al-</w:t>
      </w:r>
      <w:proofErr w:type="spellStart"/>
      <w:r w:rsidRPr="00241532">
        <w:t>Būqāt</w:t>
      </w:r>
      <w:proofErr w:type="spellEnd"/>
      <w:r w:rsidRPr="00241532">
        <w:rPr>
          <w:lang w:val="en-GB"/>
        </w:rPr>
        <w:t xml:space="preserve"> which evidently preserves an old tradition, see Dodge </w:t>
      </w:r>
      <w:r w:rsidRPr="00054001">
        <w:rPr>
          <w:highlight w:val="yellow"/>
          <w:lang w:val="en-GB"/>
        </w:rPr>
        <w:t>YEAR</w:t>
      </w:r>
      <w:r w:rsidRPr="00241532">
        <w:rPr>
          <w:lang w:val="en-GB"/>
        </w:rPr>
        <w:t xml:space="preserve"> 758, n. 63</w:t>
      </w:r>
    </w:p>
  </w:footnote>
  <w:footnote w:id="5">
    <w:p w14:paraId="612FBCF2" w14:textId="313D6216" w:rsidR="006A346E" w:rsidRDefault="006A346E" w:rsidP="00ED6B76">
      <w:pPr>
        <w:pStyle w:val="FootnoteText"/>
        <w:spacing w:line="360" w:lineRule="auto"/>
        <w:ind w:firstLine="0"/>
        <w:contextualSpacing/>
      </w:pPr>
      <w:r>
        <w:rPr>
          <w:rStyle w:val="FootnoteReference"/>
        </w:rPr>
        <w:footnoteRef/>
      </w:r>
      <w:r>
        <w:t xml:space="preserve"> Pagan works, such as </w:t>
      </w:r>
      <w:r>
        <w:rPr>
          <w:i/>
          <w:iCs/>
        </w:rPr>
        <w:t xml:space="preserve">de </w:t>
      </w:r>
      <w:proofErr w:type="spellStart"/>
      <w:r>
        <w:rPr>
          <w:i/>
          <w:iCs/>
        </w:rPr>
        <w:t>Dea</w:t>
      </w:r>
      <w:proofErr w:type="spellEnd"/>
      <w:r>
        <w:rPr>
          <w:i/>
          <w:iCs/>
        </w:rPr>
        <w:t xml:space="preserve"> Syria</w:t>
      </w:r>
      <w:r>
        <w:t xml:space="preserve"> attributed to Lucian of Samosata, also attest to the resurrection of Adonis (Lightfoot 2003, 250-251, passages 6-8, and see the quotation in n. </w:t>
      </w:r>
      <w:r w:rsidRPr="00CA5FD2">
        <w:rPr>
          <w:highlight w:val="yellow"/>
        </w:rPr>
        <w:t>xxx, below</w:t>
      </w:r>
      <w:r>
        <w:t xml:space="preserve">); however, the identification with Tammuz occurs only in patristic writings, whose authors were familiar with the biblical Tammuz. </w:t>
      </w:r>
    </w:p>
  </w:footnote>
  <w:footnote w:id="6">
    <w:p w14:paraId="69B9D9AA" w14:textId="3E6C8973" w:rsidR="006A346E" w:rsidRPr="00A47B88" w:rsidRDefault="006A346E" w:rsidP="00ED6B76">
      <w:pPr>
        <w:pStyle w:val="FootnoteText"/>
        <w:spacing w:line="360" w:lineRule="auto"/>
        <w:ind w:firstLine="0"/>
        <w:contextualSpacing/>
        <w:rPr>
          <w:rtl/>
        </w:rPr>
      </w:pPr>
      <w:r>
        <w:rPr>
          <w:rStyle w:val="FootnoteReference"/>
        </w:rPr>
        <w:footnoteRef/>
      </w:r>
      <w:r w:rsidRPr="00241532">
        <w:rPr>
          <w:lang w:val="en-GB"/>
        </w:rPr>
        <w:t xml:space="preserve"> </w:t>
      </w:r>
      <w:r>
        <w:t xml:space="preserve">For the text, see </w:t>
      </w:r>
      <w:proofErr w:type="spellStart"/>
      <w:r>
        <w:rPr>
          <w:smallCaps/>
        </w:rPr>
        <w:t>Migne</w:t>
      </w:r>
      <w:proofErr w:type="spellEnd"/>
      <w:r>
        <w:t xml:space="preserve"> (ed.), </w:t>
      </w:r>
      <w:proofErr w:type="spellStart"/>
      <w:r>
        <w:rPr>
          <w:i/>
          <w:iCs/>
        </w:rPr>
        <w:t>Patrologiae</w:t>
      </w:r>
      <w:proofErr w:type="spellEnd"/>
      <w:r>
        <w:rPr>
          <w:i/>
          <w:iCs/>
        </w:rPr>
        <w:t xml:space="preserve"> </w:t>
      </w:r>
      <w:proofErr w:type="spellStart"/>
      <w:r>
        <w:rPr>
          <w:i/>
          <w:iCs/>
        </w:rPr>
        <w:t>Graeca</w:t>
      </w:r>
      <w:proofErr w:type="spellEnd"/>
      <w:r>
        <w:t xml:space="preserve"> 13, cols. 797–800. I am grateful to Dr. Guy Darshan for his assistance in translating this text and the following ones. </w:t>
      </w:r>
    </w:p>
  </w:footnote>
  <w:footnote w:id="7">
    <w:p w14:paraId="19E03C61" w14:textId="77777777" w:rsidR="006A346E" w:rsidRPr="00A47B88" w:rsidRDefault="006A346E" w:rsidP="00ED6B76">
      <w:pPr>
        <w:pStyle w:val="FootnoteText"/>
        <w:spacing w:line="360" w:lineRule="auto"/>
        <w:ind w:firstLine="0"/>
        <w:contextualSpacing/>
      </w:pPr>
      <w:r>
        <w:rPr>
          <w:rStyle w:val="FootnoteReference"/>
        </w:rPr>
        <w:footnoteRef/>
      </w:r>
      <w:r>
        <w:t xml:space="preserve"> The Vulgate renders Tammuz in Ezekiel 8 as Adonis.</w:t>
      </w:r>
    </w:p>
  </w:footnote>
  <w:footnote w:id="8">
    <w:p w14:paraId="4A79251D" w14:textId="6EB232A6" w:rsidR="006A346E" w:rsidRPr="00A47B88" w:rsidRDefault="006A346E" w:rsidP="00ED6B76">
      <w:pPr>
        <w:pStyle w:val="FootnoteText"/>
        <w:spacing w:line="360" w:lineRule="auto"/>
        <w:ind w:firstLine="0"/>
        <w:contextualSpacing/>
      </w:pPr>
      <w:r>
        <w:rPr>
          <w:rStyle w:val="FootnoteReference"/>
        </w:rPr>
        <w:footnoteRef/>
      </w:r>
      <w:r>
        <w:t xml:space="preserve"> For the text, see </w:t>
      </w:r>
      <w:proofErr w:type="spellStart"/>
      <w:r>
        <w:rPr>
          <w:smallCaps/>
        </w:rPr>
        <w:t>Migne</w:t>
      </w:r>
      <w:proofErr w:type="spellEnd"/>
      <w:r>
        <w:t xml:space="preserve"> (ed.) </w:t>
      </w:r>
      <w:proofErr w:type="spellStart"/>
      <w:r>
        <w:rPr>
          <w:i/>
          <w:iCs/>
        </w:rPr>
        <w:t>Patrologiae</w:t>
      </w:r>
      <w:proofErr w:type="spellEnd"/>
      <w:r>
        <w:rPr>
          <w:i/>
          <w:iCs/>
        </w:rPr>
        <w:t xml:space="preserve"> Latina</w:t>
      </w:r>
      <w:r>
        <w:t xml:space="preserve"> 25, cols. 85–86. The translation follows (with modifications) </w:t>
      </w:r>
      <w:r>
        <w:rPr>
          <w:smallCaps/>
        </w:rPr>
        <w:t xml:space="preserve">Scheck </w:t>
      </w:r>
      <w:r>
        <w:t xml:space="preserve">2017, 96. </w:t>
      </w:r>
      <w:proofErr w:type="spellStart"/>
      <w:r>
        <w:rPr>
          <w:smallCaps/>
        </w:rPr>
        <w:t>Mettinger</w:t>
      </w:r>
      <w:proofErr w:type="spellEnd"/>
      <w:r>
        <w:t xml:space="preserve"> 2001, 129–130, argues that despite Jerome’s acquaintance with Origen’s writings, it is unlikely that he was basing himself on Origen here given the fact that he adds the etiological tale of Adonis which is missing from Origen. Most scholars, however, do not agree; see, e.g. </w:t>
      </w:r>
      <w:r>
        <w:rPr>
          <w:smallCaps/>
        </w:rPr>
        <w:t>de Vaux</w:t>
      </w:r>
      <w:r>
        <w:t xml:space="preserve"> 1972, 227.</w:t>
      </w:r>
    </w:p>
  </w:footnote>
  <w:footnote w:id="9">
    <w:p w14:paraId="24919524" w14:textId="6830D359" w:rsidR="006A346E" w:rsidRPr="00A47B88" w:rsidRDefault="006A346E" w:rsidP="00ED6B76">
      <w:pPr>
        <w:pStyle w:val="FootnoteText"/>
        <w:spacing w:line="360" w:lineRule="auto"/>
        <w:ind w:firstLine="0"/>
        <w:contextualSpacing/>
      </w:pPr>
      <w:r>
        <w:rPr>
          <w:rStyle w:val="FootnoteReference"/>
        </w:rPr>
        <w:footnoteRef/>
      </w:r>
      <w:r>
        <w:t xml:space="preserve"> For the text, see </w:t>
      </w:r>
      <w:proofErr w:type="spellStart"/>
      <w:r>
        <w:rPr>
          <w:smallCaps/>
        </w:rPr>
        <w:t>Migne</w:t>
      </w:r>
      <w:proofErr w:type="spellEnd"/>
      <w:r>
        <w:t xml:space="preserve"> (ed.), </w:t>
      </w:r>
      <w:proofErr w:type="spellStart"/>
      <w:r>
        <w:rPr>
          <w:i/>
          <w:iCs/>
        </w:rPr>
        <w:t>Patrologiae</w:t>
      </w:r>
      <w:proofErr w:type="spellEnd"/>
      <w:r>
        <w:rPr>
          <w:i/>
          <w:iCs/>
        </w:rPr>
        <w:t xml:space="preserve"> </w:t>
      </w:r>
      <w:proofErr w:type="spellStart"/>
      <w:r>
        <w:rPr>
          <w:i/>
          <w:iCs/>
        </w:rPr>
        <w:t>Graeca</w:t>
      </w:r>
      <w:proofErr w:type="spellEnd"/>
      <w:r>
        <w:t xml:space="preserve"> 70, cols. 440-441. The translation here follows Hill 2008, 34 with the modifications proposed by Cook 2018, 104. </w:t>
      </w:r>
    </w:p>
  </w:footnote>
  <w:footnote w:id="10">
    <w:p w14:paraId="0013441F" w14:textId="3D19AA1F" w:rsidR="006A346E" w:rsidRPr="00A47B88" w:rsidRDefault="006A346E" w:rsidP="00ED6B76">
      <w:pPr>
        <w:pStyle w:val="FootnoteText"/>
        <w:spacing w:line="360" w:lineRule="auto"/>
        <w:ind w:firstLine="0"/>
        <w:contextualSpacing/>
        <w:rPr>
          <w:rtl/>
        </w:rPr>
      </w:pPr>
      <w:r>
        <w:rPr>
          <w:rStyle w:val="FootnoteReference"/>
        </w:rPr>
        <w:footnoteRef/>
      </w:r>
      <w:r>
        <w:rPr>
          <w:rFonts w:hint="cs"/>
          <w:rtl/>
          <w:lang w:bidi="he-IL"/>
        </w:rPr>
        <w:t xml:space="preserve"> </w:t>
      </w:r>
      <w:r>
        <w:t xml:space="preserve">For the Syriac text (dated to the fourth or fifth century CE), see </w:t>
      </w:r>
      <w:proofErr w:type="spellStart"/>
      <w:r>
        <w:t>Rendel</w:t>
      </w:r>
      <w:proofErr w:type="spellEnd"/>
      <w:r>
        <w:t xml:space="preserve"> Harris 1891, 44; </w:t>
      </w:r>
      <w:proofErr w:type="spellStart"/>
      <w:r>
        <w:t>Pouderon</w:t>
      </w:r>
      <w:proofErr w:type="spellEnd"/>
      <w:r>
        <w:t xml:space="preserve"> and Pierre 2003, 218-219. I am grateful to Dr. Yifat Monnickendam for her assistance in translating this text. For a discussion of the Greek, </w:t>
      </w:r>
      <w:r>
        <w:rPr>
          <w:i/>
          <w:iCs/>
        </w:rPr>
        <w:t xml:space="preserve">Barlaam and </w:t>
      </w:r>
      <w:proofErr w:type="spellStart"/>
      <w:r>
        <w:rPr>
          <w:i/>
          <w:iCs/>
        </w:rPr>
        <w:t>Ioasaph</w:t>
      </w:r>
      <w:proofErr w:type="spellEnd"/>
      <w:r>
        <w:t>, and its relation to the Syriac work, see Simpson 2015. Note that in the passage cited, the name of Adonis has been corrupted due to scribal errors.</w:t>
      </w:r>
      <w:r>
        <w:rPr>
          <w:rtl/>
        </w:rPr>
        <w:t xml:space="preserve"> </w:t>
      </w:r>
    </w:p>
  </w:footnote>
  <w:footnote w:id="11">
    <w:p w14:paraId="7E291C05" w14:textId="77777777" w:rsidR="006A346E" w:rsidRPr="00241532" w:rsidRDefault="006A346E" w:rsidP="00ED6B76">
      <w:pPr>
        <w:pStyle w:val="FootnoteText"/>
        <w:spacing w:line="360" w:lineRule="auto"/>
        <w:ind w:firstLine="0"/>
        <w:contextualSpacing/>
        <w:rPr>
          <w:lang w:val="en-GB"/>
        </w:rPr>
      </w:pPr>
      <w:r>
        <w:rPr>
          <w:rStyle w:val="FootnoteReference"/>
        </w:rPr>
        <w:footnoteRef/>
      </w:r>
      <w:r w:rsidRPr="00241532">
        <w:rPr>
          <w:lang w:val="en-GB"/>
        </w:rPr>
        <w:t xml:space="preserve"> </w:t>
      </w:r>
      <w:proofErr w:type="spellStart"/>
      <w:r w:rsidRPr="00241532">
        <w:rPr>
          <w:lang w:val="en-GB"/>
        </w:rPr>
        <w:t>Mannhard</w:t>
      </w:r>
      <w:proofErr w:type="spellEnd"/>
      <w:r w:rsidRPr="00241532">
        <w:rPr>
          <w:lang w:val="en-GB"/>
        </w:rPr>
        <w:t xml:space="preserve"> 1877, 274-275; </w:t>
      </w:r>
      <w:proofErr w:type="spellStart"/>
      <w:r w:rsidRPr="00241532">
        <w:rPr>
          <w:lang w:val="en-GB"/>
        </w:rPr>
        <w:t>Sayce</w:t>
      </w:r>
      <w:proofErr w:type="spellEnd"/>
      <w:r w:rsidRPr="00241532">
        <w:rPr>
          <w:lang w:val="en-GB"/>
        </w:rPr>
        <w:t xml:space="preserve"> 1887, 178-221; Zimmern 1903, 397-399.</w:t>
      </w:r>
    </w:p>
  </w:footnote>
  <w:footnote w:id="12">
    <w:p w14:paraId="4C171CEE" w14:textId="399302BC" w:rsidR="006A346E" w:rsidRPr="002B608B" w:rsidRDefault="006A346E" w:rsidP="00CA5FD2">
      <w:pPr>
        <w:pStyle w:val="FootnoteText"/>
        <w:spacing w:line="360" w:lineRule="auto"/>
        <w:ind w:firstLine="0"/>
        <w:rPr>
          <w:lang w:val="en-GB"/>
        </w:rPr>
      </w:pPr>
      <w:r>
        <w:rPr>
          <w:rStyle w:val="FootnoteReference"/>
        </w:rPr>
        <w:footnoteRef/>
      </w:r>
      <w:r>
        <w:t xml:space="preserve"> He may have reached this conclusion from works related to </w:t>
      </w:r>
      <w:proofErr w:type="spellStart"/>
      <w:r>
        <w:t>Melito</w:t>
      </w:r>
      <w:proofErr w:type="spellEnd"/>
      <w:r>
        <w:t xml:space="preserve">, Bishop of </w:t>
      </w:r>
      <w:proofErr w:type="spellStart"/>
      <w:r>
        <w:t>Sardes</w:t>
      </w:r>
      <w:proofErr w:type="spellEnd"/>
      <w:r>
        <w:t xml:space="preserve"> of the second or third century CE (</w:t>
      </w:r>
      <w:r w:rsidRPr="00241532">
        <w:rPr>
          <w:i/>
          <w:iCs/>
          <w:lang w:val="en-GB"/>
        </w:rPr>
        <w:t xml:space="preserve">Oration before </w:t>
      </w:r>
      <w:proofErr w:type="spellStart"/>
      <w:r w:rsidRPr="00241532">
        <w:rPr>
          <w:i/>
          <w:iCs/>
          <w:lang w:val="en-GB"/>
        </w:rPr>
        <w:t>Antoninus</w:t>
      </w:r>
      <w:proofErr w:type="spellEnd"/>
      <w:r w:rsidRPr="00241532">
        <w:rPr>
          <w:i/>
          <w:iCs/>
          <w:lang w:val="en-GB"/>
        </w:rPr>
        <w:t xml:space="preserve"> Caesar</w:t>
      </w:r>
      <w:r w:rsidRPr="00241532">
        <w:rPr>
          <w:lang w:val="en-GB"/>
        </w:rPr>
        <w:t xml:space="preserve"> preserved in </w:t>
      </w:r>
      <w:r>
        <w:rPr>
          <w:lang w:val="en-GB"/>
        </w:rPr>
        <w:t>M</w:t>
      </w:r>
      <w:r w:rsidRPr="00241532">
        <w:rPr>
          <w:lang w:val="en-GB"/>
        </w:rPr>
        <w:t xml:space="preserve">s. </w:t>
      </w:r>
      <w:r w:rsidRPr="0030399E">
        <w:t xml:space="preserve">Brit. </w:t>
      </w:r>
      <w:proofErr w:type="spellStart"/>
      <w:r w:rsidRPr="0030399E">
        <w:t>Libr</w:t>
      </w:r>
      <w:proofErr w:type="spellEnd"/>
      <w:r w:rsidRPr="0030399E">
        <w:t>. Add 14,658</w:t>
      </w:r>
      <w:r>
        <w:t>), that recount how Tammuz (obviously identified with Adonis) was slain by a boar</w:t>
      </w:r>
      <w:r>
        <w:rPr>
          <w:lang w:bidi="he-IL"/>
        </w:rPr>
        <w:t>:</w:t>
      </w:r>
      <w:r>
        <w:t xml:space="preserve"> “</w:t>
      </w:r>
      <w:r w:rsidRPr="00241532">
        <w:t xml:space="preserve">The people of Phoenicia worshipped </w:t>
      </w:r>
      <w:proofErr w:type="spellStart"/>
      <w:r w:rsidRPr="00241532">
        <w:t>Balthi</w:t>
      </w:r>
      <w:proofErr w:type="spellEnd"/>
      <w:r w:rsidRPr="0030399E">
        <w:rPr>
          <w:lang w:val="en-GB"/>
        </w:rPr>
        <w:t xml:space="preserve"> (</w:t>
      </w:r>
      <w:proofErr w:type="spellStart"/>
      <w:r w:rsidRPr="0030399E">
        <w:rPr>
          <w:rFonts w:hint="cs"/>
          <w:rtl/>
        </w:rPr>
        <w:t>בלתי</w:t>
      </w:r>
      <w:proofErr w:type="spellEnd"/>
      <w:r w:rsidRPr="0030399E">
        <w:rPr>
          <w:lang w:val="en-GB"/>
        </w:rPr>
        <w:t>)</w:t>
      </w:r>
      <w:r w:rsidRPr="00241532">
        <w:t>, queen of Cyprus, because she</w:t>
      </w:r>
      <w:r w:rsidRPr="0030399E">
        <w:rPr>
          <w:lang w:val="en-GB"/>
        </w:rPr>
        <w:t xml:space="preserve"> </w:t>
      </w:r>
      <w:r w:rsidRPr="00241532">
        <w:t xml:space="preserve">fell in love with Tamuz, son of </w:t>
      </w:r>
      <w:proofErr w:type="spellStart"/>
      <w:r w:rsidRPr="00241532">
        <w:t>Cuthar</w:t>
      </w:r>
      <w:proofErr w:type="spellEnd"/>
      <w:r w:rsidRPr="0030399E">
        <w:rPr>
          <w:lang w:val="en-GB"/>
        </w:rPr>
        <w:t xml:space="preserve"> (</w:t>
      </w:r>
      <w:proofErr w:type="spellStart"/>
      <w:r w:rsidRPr="0030399E">
        <w:rPr>
          <w:rFonts w:hint="cs"/>
          <w:rtl/>
        </w:rPr>
        <w:t>מטול</w:t>
      </w:r>
      <w:proofErr w:type="spellEnd"/>
      <w:r w:rsidRPr="0030399E">
        <w:rPr>
          <w:rFonts w:hint="cs"/>
          <w:rtl/>
        </w:rPr>
        <w:t xml:space="preserve"> </w:t>
      </w:r>
      <w:proofErr w:type="spellStart"/>
      <w:r w:rsidRPr="0030399E">
        <w:rPr>
          <w:rFonts w:hint="cs"/>
          <w:rtl/>
        </w:rPr>
        <w:t>לרחמת</w:t>
      </w:r>
      <w:proofErr w:type="spellEnd"/>
      <w:r w:rsidRPr="0030399E">
        <w:rPr>
          <w:rFonts w:hint="cs"/>
          <w:rtl/>
        </w:rPr>
        <w:t xml:space="preserve"> </w:t>
      </w:r>
      <w:proofErr w:type="spellStart"/>
      <w:r w:rsidRPr="0030399E">
        <w:rPr>
          <w:rFonts w:hint="cs"/>
          <w:rtl/>
        </w:rPr>
        <w:t>לתמוזא</w:t>
      </w:r>
      <w:proofErr w:type="spellEnd"/>
      <w:r w:rsidRPr="0030399E">
        <w:rPr>
          <w:rFonts w:hint="cs"/>
          <w:rtl/>
        </w:rPr>
        <w:t xml:space="preserve"> </w:t>
      </w:r>
      <w:proofErr w:type="spellStart"/>
      <w:r w:rsidRPr="0030399E">
        <w:rPr>
          <w:rFonts w:hint="cs"/>
          <w:rtl/>
        </w:rPr>
        <w:t>בר</w:t>
      </w:r>
      <w:proofErr w:type="spellEnd"/>
      <w:r w:rsidRPr="0030399E">
        <w:rPr>
          <w:rFonts w:hint="cs"/>
          <w:rtl/>
        </w:rPr>
        <w:t xml:space="preserve"> </w:t>
      </w:r>
      <w:proofErr w:type="spellStart"/>
      <w:r w:rsidRPr="0030399E">
        <w:rPr>
          <w:rFonts w:hint="cs"/>
          <w:rtl/>
        </w:rPr>
        <w:t>כותר</w:t>
      </w:r>
      <w:proofErr w:type="spellEnd"/>
      <w:r w:rsidRPr="0030399E">
        <w:rPr>
          <w:lang w:val="en-GB"/>
        </w:rPr>
        <w:t>)</w:t>
      </w:r>
      <w:r w:rsidRPr="00241532">
        <w:t>, king of the Phoenicians, and left her</w:t>
      </w:r>
      <w:r w:rsidRPr="0030399E">
        <w:rPr>
          <w:lang w:val="en-GB"/>
        </w:rPr>
        <w:t xml:space="preserve"> </w:t>
      </w:r>
      <w:r w:rsidRPr="00241532">
        <w:t xml:space="preserve">own kingdom, and came and dwelt in </w:t>
      </w:r>
      <w:proofErr w:type="spellStart"/>
      <w:r w:rsidRPr="00241532">
        <w:t>Gebal</w:t>
      </w:r>
      <w:proofErr w:type="spellEnd"/>
      <w:r w:rsidRPr="00241532">
        <w:t>, a fortress of the Phoenicians,</w:t>
      </w:r>
      <w:r w:rsidRPr="0030399E">
        <w:rPr>
          <w:lang w:val="en-GB"/>
        </w:rPr>
        <w:t xml:space="preserve"> </w:t>
      </w:r>
      <w:r w:rsidRPr="00241532">
        <w:t xml:space="preserve">and at that time she made all the Cyprians subject to the king </w:t>
      </w:r>
      <w:proofErr w:type="spellStart"/>
      <w:r w:rsidRPr="00241532">
        <w:t>Cuthar</w:t>
      </w:r>
      <w:proofErr w:type="spellEnd"/>
      <w:r w:rsidRPr="00241532">
        <w:t>: for</w:t>
      </w:r>
      <w:r w:rsidRPr="0030399E">
        <w:rPr>
          <w:lang w:val="en-GB"/>
        </w:rPr>
        <w:t xml:space="preserve"> </w:t>
      </w:r>
      <w:r w:rsidRPr="00241532">
        <w:t>before Tamuz she was in love with Ares, and committed adultery with him,</w:t>
      </w:r>
      <w:r w:rsidRPr="0030399E">
        <w:rPr>
          <w:lang w:val="en-GB"/>
        </w:rPr>
        <w:t xml:space="preserve"> </w:t>
      </w:r>
      <w:r w:rsidRPr="00241532">
        <w:t>and Hephaestus her husband caught her, and was jealous over her, and came</w:t>
      </w:r>
      <w:r w:rsidRPr="0030399E">
        <w:rPr>
          <w:lang w:val="en-GB"/>
        </w:rPr>
        <w:t xml:space="preserve"> </w:t>
      </w:r>
      <w:r w:rsidRPr="00241532">
        <w:t>and slew Tamuz in Mount Lebanon, while he was hunting the wild boar</w:t>
      </w:r>
      <w:r w:rsidRPr="0030399E">
        <w:rPr>
          <w:lang w:val="en-GB"/>
        </w:rPr>
        <w:t xml:space="preserve"> (</w:t>
      </w:r>
      <w:proofErr w:type="spellStart"/>
      <w:r w:rsidRPr="0030399E">
        <w:rPr>
          <w:rFonts w:hint="cs"/>
          <w:rtl/>
        </w:rPr>
        <w:t>ואתא</w:t>
      </w:r>
      <w:proofErr w:type="spellEnd"/>
      <w:r w:rsidRPr="0030399E">
        <w:rPr>
          <w:rFonts w:hint="cs"/>
          <w:rtl/>
        </w:rPr>
        <w:t xml:space="preserve"> </w:t>
      </w:r>
      <w:proofErr w:type="spellStart"/>
      <w:r w:rsidRPr="0030399E">
        <w:rPr>
          <w:rFonts w:hint="cs"/>
          <w:rtl/>
        </w:rPr>
        <w:t>קטל</w:t>
      </w:r>
      <w:proofErr w:type="spellEnd"/>
      <w:r w:rsidRPr="0030399E">
        <w:rPr>
          <w:rFonts w:hint="cs"/>
          <w:rtl/>
        </w:rPr>
        <w:t xml:space="preserve"> </w:t>
      </w:r>
      <w:proofErr w:type="spellStart"/>
      <w:r w:rsidRPr="0030399E">
        <w:rPr>
          <w:rFonts w:hint="cs"/>
          <w:rtl/>
        </w:rPr>
        <w:t>לתמוזא</w:t>
      </w:r>
      <w:proofErr w:type="spellEnd"/>
      <w:r w:rsidRPr="0030399E">
        <w:rPr>
          <w:rFonts w:hint="cs"/>
          <w:rtl/>
        </w:rPr>
        <w:t xml:space="preserve"> </w:t>
      </w:r>
      <w:proofErr w:type="spellStart"/>
      <w:r w:rsidRPr="0030399E">
        <w:rPr>
          <w:rFonts w:hint="cs"/>
          <w:rtl/>
        </w:rPr>
        <w:t>בלבנן</w:t>
      </w:r>
      <w:proofErr w:type="spellEnd"/>
      <w:r w:rsidRPr="0030399E">
        <w:rPr>
          <w:rFonts w:hint="cs"/>
          <w:rtl/>
        </w:rPr>
        <w:t xml:space="preserve"> </w:t>
      </w:r>
      <w:proofErr w:type="spellStart"/>
      <w:r w:rsidRPr="0030399E">
        <w:rPr>
          <w:rFonts w:hint="cs"/>
          <w:rtl/>
        </w:rPr>
        <w:t>טורא</w:t>
      </w:r>
      <w:proofErr w:type="spellEnd"/>
      <w:r w:rsidRPr="0030399E">
        <w:rPr>
          <w:rFonts w:hint="cs"/>
          <w:rtl/>
        </w:rPr>
        <w:t xml:space="preserve"> </w:t>
      </w:r>
      <w:proofErr w:type="spellStart"/>
      <w:r w:rsidRPr="0030399E">
        <w:rPr>
          <w:rFonts w:hint="cs"/>
          <w:rtl/>
        </w:rPr>
        <w:t>כד</w:t>
      </w:r>
      <w:proofErr w:type="spellEnd"/>
      <w:r w:rsidRPr="0030399E">
        <w:rPr>
          <w:rFonts w:hint="cs"/>
          <w:rtl/>
        </w:rPr>
        <w:t xml:space="preserve"> </w:t>
      </w:r>
      <w:proofErr w:type="spellStart"/>
      <w:r w:rsidRPr="0030399E">
        <w:rPr>
          <w:rFonts w:hint="cs"/>
          <w:rtl/>
        </w:rPr>
        <w:t>עבד</w:t>
      </w:r>
      <w:proofErr w:type="spellEnd"/>
      <w:r w:rsidRPr="0030399E">
        <w:rPr>
          <w:rFonts w:hint="cs"/>
          <w:rtl/>
        </w:rPr>
        <w:t xml:space="preserve"> </w:t>
      </w:r>
      <w:proofErr w:type="spellStart"/>
      <w:r w:rsidRPr="0030399E">
        <w:rPr>
          <w:rFonts w:hint="cs"/>
          <w:rtl/>
        </w:rPr>
        <w:t>חזירא</w:t>
      </w:r>
      <w:proofErr w:type="spellEnd"/>
      <w:r w:rsidRPr="0030399E">
        <w:rPr>
          <w:rFonts w:hint="cs"/>
          <w:rtl/>
        </w:rPr>
        <w:t xml:space="preserve"> </w:t>
      </w:r>
      <w:proofErr w:type="spellStart"/>
      <w:r w:rsidRPr="0030399E">
        <w:rPr>
          <w:rFonts w:hint="cs"/>
          <w:rtl/>
        </w:rPr>
        <w:t>בורזא</w:t>
      </w:r>
      <w:proofErr w:type="spellEnd"/>
      <w:r w:rsidRPr="0030399E">
        <w:rPr>
          <w:lang w:val="en-GB"/>
        </w:rPr>
        <w:t>)</w:t>
      </w:r>
      <w:r w:rsidRPr="00241532">
        <w:t>;</w:t>
      </w:r>
      <w:r w:rsidRPr="0030399E">
        <w:rPr>
          <w:lang w:val="en-GB"/>
        </w:rPr>
        <w:t xml:space="preserve"> </w:t>
      </w:r>
      <w:r w:rsidRPr="00241532">
        <w:t xml:space="preserve">and from that time </w:t>
      </w:r>
      <w:proofErr w:type="spellStart"/>
      <w:r w:rsidRPr="00241532">
        <w:t>Balthi</w:t>
      </w:r>
      <w:proofErr w:type="spellEnd"/>
      <w:r w:rsidRPr="00241532">
        <w:t xml:space="preserve"> remained in </w:t>
      </w:r>
      <w:proofErr w:type="spellStart"/>
      <w:r w:rsidRPr="00241532">
        <w:t>Gebal</w:t>
      </w:r>
      <w:proofErr w:type="spellEnd"/>
      <w:r w:rsidRPr="00241532">
        <w:t xml:space="preserve">, and died in the city </w:t>
      </w:r>
      <w:proofErr w:type="spellStart"/>
      <w:r w:rsidRPr="00241532">
        <w:t>Aphaca</w:t>
      </w:r>
      <w:proofErr w:type="spellEnd"/>
      <w:r w:rsidRPr="0030399E">
        <w:rPr>
          <w:lang w:val="en-GB"/>
        </w:rPr>
        <w:t xml:space="preserve"> </w:t>
      </w:r>
      <w:r w:rsidRPr="00241532">
        <w:t>where Tamuz was buried</w:t>
      </w:r>
      <w:r>
        <w:t>” (</w:t>
      </w:r>
      <w:r w:rsidRPr="00241532">
        <w:t>Cureton 1885</w:t>
      </w:r>
      <w:r w:rsidRPr="009557A2">
        <w:rPr>
          <w:lang w:val="en-GB"/>
        </w:rPr>
        <w:t>,</w:t>
      </w:r>
      <w:r w:rsidRPr="00241532">
        <w:t xml:space="preserve"> 44</w:t>
      </w:r>
      <w:r w:rsidRPr="009557A2">
        <w:rPr>
          <w:lang w:val="en-GB"/>
        </w:rPr>
        <w:t xml:space="preserve">; cf. </w:t>
      </w:r>
      <w:r w:rsidRPr="00241532">
        <w:t xml:space="preserve">Brown </w:t>
      </w:r>
      <w:r w:rsidRPr="009557A2">
        <w:rPr>
          <w:lang w:val="en-GB"/>
        </w:rPr>
        <w:t>1995, 24</w:t>
      </w:r>
      <w:r>
        <w:rPr>
          <w:lang w:bidi="he-IL"/>
        </w:rPr>
        <w:t>).</w:t>
      </w:r>
      <w:r>
        <w:t xml:space="preserve"> </w:t>
      </w:r>
    </w:p>
  </w:footnote>
  <w:footnote w:id="13">
    <w:p w14:paraId="0A24E5F4" w14:textId="77777777" w:rsidR="006A346E" w:rsidRPr="00241532" w:rsidRDefault="006A346E" w:rsidP="00ED6B76">
      <w:pPr>
        <w:pStyle w:val="FootnoteText"/>
        <w:spacing w:line="360" w:lineRule="auto"/>
        <w:ind w:firstLine="0"/>
        <w:contextualSpacing/>
        <w:rPr>
          <w:lang w:val="en-GB"/>
        </w:rPr>
      </w:pPr>
      <w:r>
        <w:rPr>
          <w:rStyle w:val="FootnoteReference"/>
        </w:rPr>
        <w:footnoteRef/>
      </w:r>
      <w:r w:rsidRPr="00241532">
        <w:rPr>
          <w:lang w:val="en-GB"/>
        </w:rPr>
        <w:t xml:space="preserve"> </w:t>
      </w:r>
      <w:proofErr w:type="spellStart"/>
      <w:r w:rsidRPr="00241532">
        <w:rPr>
          <w:lang w:val="en-GB"/>
        </w:rPr>
        <w:t>Sayce</w:t>
      </w:r>
      <w:proofErr w:type="spellEnd"/>
      <w:r w:rsidRPr="00241532">
        <w:rPr>
          <w:lang w:val="en-GB"/>
        </w:rPr>
        <w:t>, ibid, 227, 230.</w:t>
      </w:r>
    </w:p>
  </w:footnote>
  <w:footnote w:id="14">
    <w:p w14:paraId="449685C0" w14:textId="508D482D" w:rsidR="006A346E" w:rsidRPr="00A47B88" w:rsidRDefault="006A346E" w:rsidP="00ED6B76">
      <w:pPr>
        <w:pStyle w:val="FootnoteText"/>
        <w:spacing w:line="360" w:lineRule="auto"/>
        <w:ind w:firstLine="0"/>
        <w:contextualSpacing/>
      </w:pPr>
      <w:r>
        <w:rPr>
          <w:rStyle w:val="FootnoteReference"/>
        </w:rPr>
        <w:footnoteRef/>
      </w:r>
      <w:r>
        <w:t xml:space="preserve"> Frazer 1894, 287-288. Regarding the general identification of all the dying and rising gods in antiquity, see pp. 278-279: “</w:t>
      </w:r>
      <w:r w:rsidRPr="00241532">
        <w:t xml:space="preserve">But it is in Egypt and Western Asia that the death and resurrection of vegetation appear to have been most widely celebrated with ceremonies like those of modern Europe. Under the names of Osiris, Adonis, Thammuz, Attis, and Dionysus, the Egyptians, Syrians, Babylonians, Phrygians, and Greeks represented the decay and revival of vegetation with rites which, as the ancients themselves </w:t>
      </w:r>
      <w:proofErr w:type="spellStart"/>
      <w:r w:rsidRPr="00241532">
        <w:t>recognised</w:t>
      </w:r>
      <w:proofErr w:type="spellEnd"/>
      <w:r w:rsidRPr="00241532">
        <w:t xml:space="preserve"> were substantially the same, and which find their parallels in the spring and midsummer customs of our European peasantry.</w:t>
      </w:r>
      <w:r>
        <w:t xml:space="preserve">” In 1906 Frazer published a volume dedicated entirely to the subject of dying and rising gods. Once again, he cited the “definitive” evidence from </w:t>
      </w:r>
      <w:r w:rsidRPr="00CA5FD2">
        <w:rPr>
          <w:i/>
          <w:iCs/>
        </w:rPr>
        <w:t xml:space="preserve">Ishtar’s </w:t>
      </w:r>
      <w:r>
        <w:rPr>
          <w:i/>
          <w:iCs/>
        </w:rPr>
        <w:t>D</w:t>
      </w:r>
      <w:r w:rsidRPr="00CA5FD2">
        <w:rPr>
          <w:i/>
          <w:iCs/>
        </w:rPr>
        <w:t>escent</w:t>
      </w:r>
      <w:r>
        <w:t xml:space="preserve"> to support the notion of Dumuzi’s resurrection. This volume was eventually added to the third edition of the </w:t>
      </w:r>
      <w:r>
        <w:rPr>
          <w:i/>
          <w:iCs/>
        </w:rPr>
        <w:t>Golden Bough</w:t>
      </w:r>
      <w:r>
        <w:t>; see Frazer 1914, 8-9.</w:t>
      </w:r>
      <w:r>
        <w:rPr>
          <w:rtl/>
        </w:rPr>
        <w:t xml:space="preserve"> </w:t>
      </w:r>
    </w:p>
  </w:footnote>
  <w:footnote w:id="15">
    <w:p w14:paraId="5D95F4DC" w14:textId="0828CA50" w:rsidR="006A346E" w:rsidRPr="00A47B88" w:rsidRDefault="006A346E" w:rsidP="00ED6B76">
      <w:pPr>
        <w:pStyle w:val="FootnoteText"/>
        <w:spacing w:line="360" w:lineRule="auto"/>
        <w:ind w:firstLine="0"/>
        <w:contextualSpacing/>
        <w:rPr>
          <w:rtl/>
        </w:rPr>
      </w:pPr>
      <w:r>
        <w:rPr>
          <w:rStyle w:val="FootnoteReference"/>
        </w:rPr>
        <w:footnoteRef/>
      </w:r>
      <w:r>
        <w:t xml:space="preserve"> For a discussion of the </w:t>
      </w:r>
      <w:r>
        <w:rPr>
          <w:i/>
          <w:iCs/>
        </w:rPr>
        <w:t>Golden Bough</w:t>
      </w:r>
      <w:r>
        <w:t xml:space="preserve">’s significant influence on the scholarship and Western culture in general, see Vickery 1973. Though Frazer had many detractors, they </w:t>
      </w:r>
      <w:r>
        <w:rPr>
          <w:lang w:val="en-GB" w:bidi="he-IL"/>
        </w:rPr>
        <w:t>did not oppose</w:t>
      </w:r>
      <w:r w:rsidRPr="00241532">
        <w:rPr>
          <w:lang w:val="en-GB"/>
        </w:rPr>
        <w:t xml:space="preserve"> his</w:t>
      </w:r>
      <w:r>
        <w:t xml:space="preserve"> description of Dumuzi, which was the prevailing interpretation of </w:t>
      </w:r>
      <w:proofErr w:type="spellStart"/>
      <w:r>
        <w:rPr>
          <w:i/>
          <w:iCs/>
        </w:rPr>
        <w:t>Ištar’s</w:t>
      </w:r>
      <w:proofErr w:type="spellEnd"/>
      <w:r>
        <w:rPr>
          <w:i/>
          <w:iCs/>
        </w:rPr>
        <w:t xml:space="preserve"> Descent</w:t>
      </w:r>
      <w:r>
        <w:t xml:space="preserve"> at the time (cf. e.g., de Vaux 1971, 231-232). Among Assyriologists, Langdon (1914) was particularly impressed by Frazer’s analysis, going on to add further Mesopotamian gods to Frazer’s list of dying and rising gods. </w:t>
      </w:r>
      <w:proofErr w:type="spellStart"/>
      <w:r>
        <w:t>Marduk</w:t>
      </w:r>
      <w:proofErr w:type="spellEnd"/>
      <w:r>
        <w:t xml:space="preserve"> was added to the list by Zimmern (1918) – based on his interpretation of </w:t>
      </w:r>
      <w:r w:rsidRPr="00241532">
        <w:rPr>
          <w:i/>
          <w:iCs/>
        </w:rPr>
        <w:t>KAR</w:t>
      </w:r>
      <w:r>
        <w:t xml:space="preserve"> 143 (see ibid., pp. 2-3). It was only in the 1950s that this interpretation was refuted by von </w:t>
      </w:r>
      <w:proofErr w:type="spellStart"/>
      <w:r>
        <w:t>Soden</w:t>
      </w:r>
      <w:proofErr w:type="spellEnd"/>
      <w:r>
        <w:t xml:space="preserve"> (1955).</w:t>
      </w:r>
    </w:p>
  </w:footnote>
  <w:footnote w:id="16">
    <w:p w14:paraId="5CDF7B28" w14:textId="77777777" w:rsidR="006A346E" w:rsidRPr="00A47B88" w:rsidRDefault="006A346E" w:rsidP="00ED6B76">
      <w:pPr>
        <w:pStyle w:val="FootnoteText"/>
        <w:spacing w:line="360" w:lineRule="auto"/>
        <w:ind w:firstLine="0"/>
        <w:contextualSpacing/>
        <w:rPr>
          <w:rtl/>
        </w:rPr>
      </w:pPr>
      <w:r>
        <w:rPr>
          <w:rStyle w:val="FootnoteReference"/>
        </w:rPr>
        <w:footnoteRef/>
      </w:r>
      <w:r>
        <w:t xml:space="preserve"> Kramer 1951.</w:t>
      </w:r>
    </w:p>
  </w:footnote>
  <w:footnote w:id="17">
    <w:p w14:paraId="04848234" w14:textId="3EB689EB" w:rsidR="006A346E" w:rsidRPr="00A47B88" w:rsidRDefault="006A346E" w:rsidP="00ED6B76">
      <w:pPr>
        <w:pStyle w:val="FootnoteText"/>
        <w:spacing w:line="360" w:lineRule="auto"/>
        <w:ind w:firstLine="0"/>
        <w:contextualSpacing/>
      </w:pPr>
      <w:r>
        <w:rPr>
          <w:rStyle w:val="FootnoteReference"/>
        </w:rPr>
        <w:footnoteRef/>
      </w:r>
      <w:r>
        <w:t xml:space="preserve"> For a discussion of the relation between the </w:t>
      </w:r>
      <w:r w:rsidRPr="00370FA3">
        <w:t>Sumerian</w:t>
      </w:r>
      <w:r w:rsidRPr="00370FA3">
        <w:rPr>
          <w:i/>
          <w:iCs/>
        </w:rPr>
        <w:t xml:space="preserve"> Inana’s Descent</w:t>
      </w:r>
      <w:r>
        <w:t xml:space="preserve"> and the Akkadian </w:t>
      </w:r>
      <w:proofErr w:type="spellStart"/>
      <w:r>
        <w:rPr>
          <w:i/>
          <w:iCs/>
        </w:rPr>
        <w:t>Ištar’s</w:t>
      </w:r>
      <w:proofErr w:type="spellEnd"/>
      <w:r>
        <w:rPr>
          <w:i/>
          <w:iCs/>
        </w:rPr>
        <w:t xml:space="preserve"> Descent</w:t>
      </w:r>
      <w:r>
        <w:t xml:space="preserve">, see </w:t>
      </w:r>
      <w:proofErr w:type="spellStart"/>
      <w:r>
        <w:t>Sladek</w:t>
      </w:r>
      <w:proofErr w:type="spellEnd"/>
      <w:r>
        <w:t xml:space="preserve"> 1974, 43-51; Katz 1995.</w:t>
      </w:r>
    </w:p>
  </w:footnote>
  <w:footnote w:id="18">
    <w:p w14:paraId="6A83C21B" w14:textId="6A983AF8" w:rsidR="006A346E" w:rsidRPr="00241532" w:rsidRDefault="006A346E">
      <w:pPr>
        <w:pStyle w:val="FootnoteText"/>
        <w:spacing w:line="360" w:lineRule="auto"/>
        <w:ind w:firstLine="0"/>
        <w:contextualSpacing/>
        <w:rPr>
          <w:rtl/>
          <w:lang w:val="de-DE"/>
        </w:rPr>
      </w:pPr>
      <w:r>
        <w:rPr>
          <w:rStyle w:val="FootnoteReference"/>
        </w:rPr>
        <w:footnoteRef/>
      </w:r>
      <w:r>
        <w:t xml:space="preserve"> Kramer 1959, 198, n. 1; 1961, 10. In fact, even earlier, during the publication of isolated fragments of the Sumerian work, scholars noted that </w:t>
      </w:r>
      <w:proofErr w:type="spellStart"/>
      <w:r>
        <w:t>Inana</w:t>
      </w:r>
      <w:proofErr w:type="spellEnd"/>
      <w:r>
        <w:t xml:space="preserve"> emerged from the netherworld by herself, meeting Dumuzi on her way out.</w:t>
      </w:r>
      <w:r w:rsidRPr="006A346E">
        <w:rPr>
          <w:lang w:val="en-GB"/>
        </w:rPr>
        <w:t xml:space="preserve"> </w:t>
      </w:r>
      <w:r>
        <w:rPr>
          <w:lang w:val="de-DE"/>
        </w:rPr>
        <w:t>S</w:t>
      </w:r>
      <w:r w:rsidRPr="00241532">
        <w:rPr>
          <w:lang w:val="de-DE"/>
        </w:rPr>
        <w:t>ee</w:t>
      </w:r>
      <w:r>
        <w:rPr>
          <w:lang w:val="de-DE"/>
        </w:rPr>
        <w:t>, e.g.,</w:t>
      </w:r>
      <w:r w:rsidRPr="00241532">
        <w:rPr>
          <w:lang w:val="de-DE"/>
        </w:rPr>
        <w:t xml:space="preserve"> Falkenstein 1941-1944, 138: “Inanna kommt allein aus der Unterwelt, das heisst: sie bringt nicht, wie man vielleicht vermuten könnte, Tamüz auf die Erde zurück. </w:t>
      </w:r>
      <w:r w:rsidRPr="001F24BB">
        <w:rPr>
          <w:lang w:val="de-DE"/>
        </w:rPr>
        <w:t>Somit muss für die alten Sumerer der Kernpunkt des Mythos darin bestanden haben, dass es Inanna durch das Eingreifen Enkis möglich geworden ist, den Gesetzen des „Landes ohne Wiederkehr" zum Trotz den Weg nach oben wieder anzutreten.”</w:t>
      </w:r>
      <w:r w:rsidRPr="00241532">
        <w:rPr>
          <w:lang w:val="de-DE"/>
        </w:rPr>
        <w:t xml:space="preserve"> </w:t>
      </w:r>
      <w:proofErr w:type="spellStart"/>
      <w:r>
        <w:t>Falkenstein’s</w:t>
      </w:r>
      <w:proofErr w:type="spellEnd"/>
      <w:r>
        <w:t xml:space="preserve"> last conjecture would only be revisited by scholars forty years later (cf. Katz 1996; </w:t>
      </w:r>
      <w:proofErr w:type="spellStart"/>
      <w:r>
        <w:t>Alster</w:t>
      </w:r>
      <w:proofErr w:type="spellEnd"/>
      <w:r>
        <w:t xml:space="preserve"> </w:t>
      </w:r>
      <w:r w:rsidRPr="00241532">
        <w:rPr>
          <w:highlight w:val="yellow"/>
        </w:rPr>
        <w:t>???</w:t>
      </w:r>
      <w:r>
        <w:t>).</w:t>
      </w:r>
      <w:r>
        <w:rPr>
          <w:rtl/>
        </w:rPr>
        <w:t xml:space="preserve"> </w:t>
      </w:r>
    </w:p>
  </w:footnote>
  <w:footnote w:id="19">
    <w:p w14:paraId="5BBA6F02" w14:textId="2C67C94A" w:rsidR="006A346E" w:rsidRPr="00A47B88" w:rsidRDefault="006A346E" w:rsidP="00ED6B76">
      <w:pPr>
        <w:pStyle w:val="FootnoteText"/>
        <w:spacing w:line="360" w:lineRule="auto"/>
        <w:ind w:firstLine="0"/>
        <w:contextualSpacing/>
      </w:pPr>
      <w:r>
        <w:rPr>
          <w:rStyle w:val="FootnoteReference"/>
        </w:rPr>
        <w:footnoteRef/>
      </w:r>
      <w:r>
        <w:t xml:space="preserve"> Burkert 1979, 101. Burkert’s remarks reflect enthusiasm prompted by Kramer’s discovery, although by the time the former’s book was published the latter had already retracted his original conclusion based on </w:t>
      </w:r>
      <w:proofErr w:type="spellStart"/>
      <w:r>
        <w:t>Falkenstein’s</w:t>
      </w:r>
      <w:proofErr w:type="spellEnd"/>
      <w:r>
        <w:t xml:space="preserve"> corrections (see below). Elsewhere in his book (p. 109) Burkert shows an awareness of this.</w:t>
      </w:r>
      <w:r>
        <w:rPr>
          <w:rtl/>
        </w:rPr>
        <w:t xml:space="preserve"> </w:t>
      </w:r>
    </w:p>
  </w:footnote>
  <w:footnote w:id="20">
    <w:p w14:paraId="1A417A78" w14:textId="56A5AB85" w:rsidR="006A346E" w:rsidRPr="00A47B88" w:rsidRDefault="006A346E" w:rsidP="00ED6B76">
      <w:pPr>
        <w:pStyle w:val="FootnoteText"/>
        <w:spacing w:line="360" w:lineRule="auto"/>
        <w:ind w:firstLine="0"/>
        <w:contextualSpacing/>
      </w:pPr>
      <w:r>
        <w:rPr>
          <w:rStyle w:val="FootnoteReference"/>
        </w:rPr>
        <w:footnoteRef/>
      </w:r>
      <w:r>
        <w:t xml:space="preserve"> The term “dead god,” as opposed to a dying god, was first coined by </w:t>
      </w:r>
      <w:proofErr w:type="spellStart"/>
      <w:r>
        <w:t>Frankort</w:t>
      </w:r>
      <w:proofErr w:type="spellEnd"/>
      <w:r>
        <w:t xml:space="preserve"> 1978, 185 (first published in 1948), in relation to Osiris who like Dumuzi was defined by Frazer as a dying and rising god; but in light of findings from ancient Egypt, it turns out that he was not a resurrected god. As for </w:t>
      </w:r>
      <w:proofErr w:type="spellStart"/>
      <w:r>
        <w:t>Ningišzida</w:t>
      </w:r>
      <w:proofErr w:type="spellEnd"/>
      <w:r>
        <w:t xml:space="preserve"> – while some Assyriologists (since Langdon 1914 up to by Lambert 1990, 330) took it for granted that he had returned from the netherworld, in this case as well, only laments about his death are extant; cf. </w:t>
      </w:r>
      <w:proofErr w:type="spellStart"/>
      <w:r>
        <w:t>Alster</w:t>
      </w:r>
      <w:proofErr w:type="spellEnd"/>
      <w:r>
        <w:t xml:space="preserve"> and Jacobsen 200, 331 and n. 33. </w:t>
      </w:r>
    </w:p>
  </w:footnote>
  <w:footnote w:id="21">
    <w:p w14:paraId="5D03FFCB" w14:textId="10DE3706" w:rsidR="006A346E" w:rsidRPr="00A47B88" w:rsidRDefault="006A346E" w:rsidP="00ED6B76">
      <w:pPr>
        <w:pStyle w:val="FootnoteText"/>
        <w:spacing w:line="360" w:lineRule="auto"/>
        <w:ind w:firstLine="0"/>
        <w:contextualSpacing/>
      </w:pPr>
      <w:r>
        <w:rPr>
          <w:rStyle w:val="FootnoteReference"/>
        </w:rPr>
        <w:footnoteRef/>
      </w:r>
      <w:r>
        <w:t xml:space="preserve"> Such as </w:t>
      </w:r>
      <w:r w:rsidRPr="00692701">
        <w:rPr>
          <w:i/>
          <w:iCs/>
        </w:rPr>
        <w:t>Dumuzi’s Dream</w:t>
      </w:r>
      <w:r>
        <w:t xml:space="preserve"> (ETCSL 1.4.3); </w:t>
      </w:r>
      <w:r w:rsidRPr="00692701">
        <w:rPr>
          <w:i/>
          <w:iCs/>
        </w:rPr>
        <w:t xml:space="preserve">Dumuzi and </w:t>
      </w:r>
      <w:proofErr w:type="spellStart"/>
      <w:r w:rsidRPr="00692701">
        <w:rPr>
          <w:i/>
          <w:iCs/>
        </w:rPr>
        <w:t>Geštinana</w:t>
      </w:r>
      <w:proofErr w:type="spellEnd"/>
      <w:r>
        <w:t xml:space="preserve"> (ETCSL 1.4.1.1); </w:t>
      </w:r>
      <w:bookmarkStart w:id="10" w:name="_Hlk59467241"/>
      <w:r w:rsidRPr="00692701">
        <w:rPr>
          <w:i/>
          <w:iCs/>
        </w:rPr>
        <w:t xml:space="preserve">Dumuzi and </w:t>
      </w:r>
      <w:r>
        <w:rPr>
          <w:i/>
          <w:iCs/>
        </w:rPr>
        <w:t>H</w:t>
      </w:r>
      <w:r w:rsidRPr="00692701">
        <w:rPr>
          <w:i/>
          <w:iCs/>
        </w:rPr>
        <w:t>is Sisters</w:t>
      </w:r>
      <w:r>
        <w:t xml:space="preserve"> (ETCSL 1.4.1.3); </w:t>
      </w:r>
      <w:proofErr w:type="spellStart"/>
      <w:r w:rsidRPr="00692701">
        <w:rPr>
          <w:i/>
          <w:iCs/>
        </w:rPr>
        <w:t>Inana</w:t>
      </w:r>
      <w:proofErr w:type="spellEnd"/>
      <w:r w:rsidRPr="00692701">
        <w:rPr>
          <w:i/>
          <w:iCs/>
        </w:rPr>
        <w:t xml:space="preserve"> and </w:t>
      </w:r>
      <w:proofErr w:type="spellStart"/>
      <w:r w:rsidRPr="00692701">
        <w:rPr>
          <w:i/>
          <w:iCs/>
        </w:rPr>
        <w:t>Bilulu</w:t>
      </w:r>
      <w:proofErr w:type="spellEnd"/>
      <w:r>
        <w:t xml:space="preserve"> (ETCSL 1.4.4); </w:t>
      </w:r>
      <w:r w:rsidRPr="00F96D03">
        <w:rPr>
          <w:i/>
          <w:iCs/>
        </w:rPr>
        <w:t>The Most Bitter Cry =</w:t>
      </w:r>
      <w:r>
        <w:t xml:space="preserve"> </w:t>
      </w:r>
      <w:r w:rsidRPr="0016263E">
        <w:rPr>
          <w:i/>
          <w:iCs/>
        </w:rPr>
        <w:t xml:space="preserve">An </w:t>
      </w:r>
      <w:proofErr w:type="spellStart"/>
      <w:r w:rsidRPr="0016263E">
        <w:rPr>
          <w:i/>
          <w:iCs/>
        </w:rPr>
        <w:t>Eršemma</w:t>
      </w:r>
      <w:proofErr w:type="spellEnd"/>
      <w:r w:rsidRPr="0016263E">
        <w:rPr>
          <w:i/>
          <w:iCs/>
        </w:rPr>
        <w:t xml:space="preserve"> of </w:t>
      </w:r>
      <w:bookmarkEnd w:id="10"/>
      <w:proofErr w:type="spellStart"/>
      <w:r w:rsidRPr="0016263E">
        <w:rPr>
          <w:i/>
          <w:iCs/>
        </w:rPr>
        <w:t>Inana</w:t>
      </w:r>
      <w:proofErr w:type="spellEnd"/>
      <w:r w:rsidRPr="0016263E">
        <w:rPr>
          <w:i/>
          <w:iCs/>
        </w:rPr>
        <w:t xml:space="preserve"> and Dumuzi</w:t>
      </w:r>
      <w:r>
        <w:t xml:space="preserve"> (no. 97; Cohen, Sumerian Hymnology, 71-84); </w:t>
      </w:r>
      <w:r w:rsidRPr="00692701">
        <w:rPr>
          <w:i/>
          <w:iCs/>
        </w:rPr>
        <w:t xml:space="preserve">An </w:t>
      </w:r>
      <w:proofErr w:type="spellStart"/>
      <w:r w:rsidRPr="00692701">
        <w:rPr>
          <w:i/>
          <w:iCs/>
        </w:rPr>
        <w:t>Eršemma</w:t>
      </w:r>
      <w:proofErr w:type="spellEnd"/>
      <w:r w:rsidRPr="00692701">
        <w:rPr>
          <w:i/>
          <w:iCs/>
        </w:rPr>
        <w:t xml:space="preserve"> of Dumuzi and </w:t>
      </w:r>
      <w:proofErr w:type="spellStart"/>
      <w:r w:rsidRPr="00692701">
        <w:rPr>
          <w:i/>
          <w:iCs/>
        </w:rPr>
        <w:t>Ṣirtur</w:t>
      </w:r>
      <w:proofErr w:type="spellEnd"/>
      <w:r>
        <w:t xml:space="preserve"> (no. 88; </w:t>
      </w:r>
      <w:bookmarkStart w:id="11" w:name="_Hlk59467576"/>
      <w:r>
        <w:t xml:space="preserve">Cohen 1988, </w:t>
      </w:r>
      <w:bookmarkEnd w:id="11"/>
      <w:r>
        <w:t xml:space="preserve">84-87); </w:t>
      </w:r>
      <w:r w:rsidRPr="00241532">
        <w:rPr>
          <w:i/>
          <w:iCs/>
        </w:rPr>
        <w:t xml:space="preserve">An </w:t>
      </w:r>
      <w:proofErr w:type="spellStart"/>
      <w:r w:rsidRPr="00241532">
        <w:rPr>
          <w:i/>
          <w:iCs/>
        </w:rPr>
        <w:t>Eršemma</w:t>
      </w:r>
      <w:proofErr w:type="spellEnd"/>
      <w:r w:rsidRPr="00241532">
        <w:rPr>
          <w:i/>
          <w:iCs/>
        </w:rPr>
        <w:t xml:space="preserve"> of Dumuzi</w:t>
      </w:r>
      <w:r>
        <w:t xml:space="preserve"> (no. 165; Cohen 1988, 87-89); </w:t>
      </w:r>
      <w:r w:rsidRPr="00692701">
        <w:rPr>
          <w:i/>
          <w:iCs/>
        </w:rPr>
        <w:t xml:space="preserve">An </w:t>
      </w:r>
      <w:proofErr w:type="spellStart"/>
      <w:r w:rsidRPr="00692701">
        <w:rPr>
          <w:i/>
          <w:iCs/>
        </w:rPr>
        <w:t>Eršemma</w:t>
      </w:r>
      <w:proofErr w:type="spellEnd"/>
      <w:r w:rsidRPr="00692701">
        <w:rPr>
          <w:i/>
          <w:iCs/>
        </w:rPr>
        <w:t xml:space="preserve"> of Dumuzi</w:t>
      </w:r>
      <w:r>
        <w:t xml:space="preserve"> (no. 60; Cohen 1988, 89-93); </w:t>
      </w:r>
      <w:r w:rsidRPr="00692701">
        <w:rPr>
          <w:i/>
          <w:iCs/>
        </w:rPr>
        <w:t>The Lament of the Reed</w:t>
      </w:r>
      <w:r>
        <w:t xml:space="preserve"> = </w:t>
      </w:r>
      <w:r w:rsidRPr="00692701">
        <w:rPr>
          <w:i/>
          <w:iCs/>
        </w:rPr>
        <w:t xml:space="preserve">An </w:t>
      </w:r>
      <w:proofErr w:type="spellStart"/>
      <w:r w:rsidRPr="00692701">
        <w:rPr>
          <w:i/>
          <w:iCs/>
        </w:rPr>
        <w:t>Eršemma</w:t>
      </w:r>
      <w:proofErr w:type="spellEnd"/>
      <w:r w:rsidRPr="00692701">
        <w:rPr>
          <w:i/>
          <w:iCs/>
        </w:rPr>
        <w:t xml:space="preserve"> of Dumuzi</w:t>
      </w:r>
      <w:r>
        <w:t xml:space="preserve"> (</w:t>
      </w:r>
      <w:proofErr w:type="spellStart"/>
      <w:r>
        <w:t>Bruschweiler</w:t>
      </w:r>
      <w:proofErr w:type="spellEnd"/>
      <w:r>
        <w:t xml:space="preserve"> 1990); </w:t>
      </w:r>
      <w:r w:rsidRPr="00692701">
        <w:rPr>
          <w:i/>
          <w:iCs/>
        </w:rPr>
        <w:t>The Death of Dumuzi</w:t>
      </w:r>
      <w:r>
        <w:t xml:space="preserve"> (Kramer 1980), etc. For further compositions, see Fritz 2003. </w:t>
      </w:r>
    </w:p>
  </w:footnote>
  <w:footnote w:id="22">
    <w:p w14:paraId="7D790368" w14:textId="61638822" w:rsidR="006A346E" w:rsidRPr="00A47B88" w:rsidRDefault="006A346E" w:rsidP="00ED6B76">
      <w:pPr>
        <w:pStyle w:val="FootnoteText"/>
        <w:spacing w:line="360" w:lineRule="auto"/>
        <w:ind w:firstLine="0"/>
        <w:contextualSpacing/>
      </w:pPr>
      <w:r>
        <w:rPr>
          <w:rStyle w:val="FootnoteReference"/>
        </w:rPr>
        <w:footnoteRef/>
      </w:r>
      <w:r>
        <w:t xml:space="preserve"> Such as </w:t>
      </w:r>
      <w:r>
        <w:rPr>
          <w:i/>
          <w:iCs/>
        </w:rPr>
        <w:t xml:space="preserve">The Death of </w:t>
      </w:r>
      <w:proofErr w:type="spellStart"/>
      <w:r>
        <w:rPr>
          <w:i/>
          <w:iCs/>
        </w:rPr>
        <w:t>Gilgameš</w:t>
      </w:r>
      <w:proofErr w:type="spellEnd"/>
      <w:r>
        <w:t xml:space="preserve"> (ETCSL 1.8.1.3): version B from Nippur, ll. 8-18; a version from me-</w:t>
      </w:r>
      <w:proofErr w:type="spellStart"/>
      <w:r>
        <w:t>Turan</w:t>
      </w:r>
      <w:proofErr w:type="spellEnd"/>
      <w:r>
        <w:t xml:space="preserve">, seg. F, ll. 38-41, 82-86, 131-134; </w:t>
      </w:r>
      <w:r>
        <w:rPr>
          <w:i/>
          <w:iCs/>
        </w:rPr>
        <w:t xml:space="preserve">The Death of </w:t>
      </w:r>
      <w:proofErr w:type="spellStart"/>
      <w:r>
        <w:rPr>
          <w:i/>
          <w:iCs/>
        </w:rPr>
        <w:t>Urnamma</w:t>
      </w:r>
      <w:proofErr w:type="spellEnd"/>
      <w:r>
        <w:t xml:space="preserve"> (ETCSL 2.4.1.1): a version from Nippur, ll. 102-105; a version from Susa, Seg. C., ll. 33-37; </w:t>
      </w:r>
      <w:proofErr w:type="spellStart"/>
      <w:r>
        <w:rPr>
          <w:i/>
          <w:iCs/>
        </w:rPr>
        <w:t>Gilgameš</w:t>
      </w:r>
      <w:proofErr w:type="spellEnd"/>
      <w:r>
        <w:t xml:space="preserve"> VI 46-47 (George 2003, 621-621); </w:t>
      </w:r>
      <w:proofErr w:type="spellStart"/>
      <w:r>
        <w:rPr>
          <w:i/>
          <w:iCs/>
        </w:rPr>
        <w:t>Adapa</w:t>
      </w:r>
      <w:proofErr w:type="spellEnd"/>
      <w:r>
        <w:t>, the Amarna version, ll. 21’-25’, 41’-45’ (</w:t>
      </w:r>
      <w:proofErr w:type="spellStart"/>
      <w:r>
        <w:t>Izre’el</w:t>
      </w:r>
      <w:proofErr w:type="spellEnd"/>
      <w:r>
        <w:t xml:space="preserve"> 2001, 18-19). </w:t>
      </w:r>
    </w:p>
  </w:footnote>
  <w:footnote w:id="23">
    <w:p w14:paraId="2684A5DE" w14:textId="77777777" w:rsidR="006A346E" w:rsidRPr="00A47B88" w:rsidRDefault="006A346E" w:rsidP="00ED6B76">
      <w:pPr>
        <w:pStyle w:val="FootnoteText"/>
        <w:spacing w:line="360" w:lineRule="auto"/>
        <w:ind w:firstLine="0"/>
        <w:contextualSpacing/>
        <w:rPr>
          <w:rtl/>
        </w:rPr>
      </w:pPr>
      <w:r>
        <w:rPr>
          <w:rStyle w:val="FootnoteReference"/>
        </w:rPr>
        <w:footnoteRef/>
      </w:r>
      <w:r>
        <w:t xml:space="preserve"> Such as YOS XII 427 (Old Babylonian; cf. Kutscher 1990, 42); </w:t>
      </w:r>
      <w:bookmarkStart w:id="12" w:name="_Hlk60148813"/>
      <w:r>
        <w:t xml:space="preserve">CT 58.21 (Old Babylonian; cf. Katz 2003, 162-165); </w:t>
      </w:r>
      <w:proofErr w:type="spellStart"/>
      <w:r>
        <w:t>Astrolab</w:t>
      </w:r>
      <w:proofErr w:type="spellEnd"/>
      <w:r>
        <w:t xml:space="preserve"> B = </w:t>
      </w:r>
      <w:r>
        <w:rPr>
          <w:i/>
          <w:iCs/>
        </w:rPr>
        <w:t>KAV</w:t>
      </w:r>
      <w:r>
        <w:t xml:space="preserve"> 218 A I 50 (reign of Tiglath Pileser I; cf. Kutscher 1990, 42; Livingstone 1986, 138); </w:t>
      </w:r>
      <w:proofErr w:type="spellStart"/>
      <w:r>
        <w:rPr>
          <w:i/>
          <w:iCs/>
        </w:rPr>
        <w:t>Attī</w:t>
      </w:r>
      <w:proofErr w:type="spellEnd"/>
      <w:r>
        <w:rPr>
          <w:i/>
          <w:iCs/>
        </w:rPr>
        <w:t xml:space="preserve"> </w:t>
      </w:r>
      <w:proofErr w:type="spellStart"/>
      <w:r>
        <w:rPr>
          <w:i/>
          <w:iCs/>
        </w:rPr>
        <w:t>Ištar</w:t>
      </w:r>
      <w:proofErr w:type="spellEnd"/>
      <w:r>
        <w:rPr>
          <w:i/>
          <w:iCs/>
        </w:rPr>
        <w:t xml:space="preserve"> </w:t>
      </w:r>
      <w:proofErr w:type="spellStart"/>
      <w:r>
        <w:rPr>
          <w:i/>
          <w:iCs/>
        </w:rPr>
        <w:t>ša</w:t>
      </w:r>
      <w:proofErr w:type="spellEnd"/>
      <w:r>
        <w:rPr>
          <w:i/>
          <w:iCs/>
        </w:rPr>
        <w:t xml:space="preserve"> </w:t>
      </w:r>
      <w:proofErr w:type="spellStart"/>
      <w:r>
        <w:rPr>
          <w:i/>
          <w:iCs/>
        </w:rPr>
        <w:t>ḫaramša</w:t>
      </w:r>
      <w:proofErr w:type="spellEnd"/>
      <w:r>
        <w:rPr>
          <w:i/>
          <w:iCs/>
        </w:rPr>
        <w:t xml:space="preserve"> Dumuzi</w:t>
      </w:r>
      <w:r>
        <w:t xml:space="preserve"> 3-4 (Neo-Assyrian; cf. Farber 1977, 128, 140-141); VAT 10099 (Neo Assyrian; cf. Livingstone 1986, 116-121); </w:t>
      </w:r>
      <w:bookmarkEnd w:id="12"/>
      <w:r>
        <w:rPr>
          <w:i/>
          <w:iCs/>
        </w:rPr>
        <w:t>ABL</w:t>
      </w:r>
      <w:r>
        <w:t xml:space="preserve"> 1097 = </w:t>
      </w:r>
      <w:r>
        <w:rPr>
          <w:i/>
          <w:iCs/>
        </w:rPr>
        <w:t>LAS</w:t>
      </w:r>
      <w:r>
        <w:t xml:space="preserve"> 6; </w:t>
      </w:r>
      <w:r>
        <w:rPr>
          <w:i/>
          <w:iCs/>
        </w:rPr>
        <w:t>ABL</w:t>
      </w:r>
      <w:r>
        <w:t xml:space="preserve"> 35 = </w:t>
      </w:r>
      <w:r>
        <w:rPr>
          <w:i/>
          <w:iCs/>
        </w:rPr>
        <w:t>LAS</w:t>
      </w:r>
      <w:r>
        <w:t xml:space="preserve"> 5 (Neo-Assyrian; cf. Livingston 1986, 139-140); </w:t>
      </w:r>
      <w:r>
        <w:rPr>
          <w:i/>
          <w:iCs/>
        </w:rPr>
        <w:t>SBH</w:t>
      </w:r>
      <w:r>
        <w:t xml:space="preserve"> VIII </w:t>
      </w:r>
      <w:proofErr w:type="spellStart"/>
      <w:r>
        <w:t>obv</w:t>
      </w:r>
      <w:proofErr w:type="spellEnd"/>
      <w:r>
        <w:t xml:space="preserve">. III 1-4 (Seleucid period; cf. Kutscher 1990, 42; Livingstone 1986, 139); BM 34035 33 (Seleucid period; cf. Livingstone 1986 256). For the rituals from Mari, see below. </w:t>
      </w:r>
    </w:p>
  </w:footnote>
  <w:footnote w:id="24">
    <w:p w14:paraId="49DBFD81" w14:textId="027FDF2C" w:rsidR="006A346E" w:rsidRPr="00A47B88" w:rsidRDefault="006A346E" w:rsidP="00ED6B76">
      <w:pPr>
        <w:pStyle w:val="FootnoteText"/>
        <w:spacing w:line="360" w:lineRule="auto"/>
        <w:ind w:firstLine="0"/>
        <w:contextualSpacing/>
        <w:rPr>
          <w:rtl/>
        </w:rPr>
      </w:pPr>
      <w:r>
        <w:rPr>
          <w:rStyle w:val="FootnoteReference"/>
        </w:rPr>
        <w:footnoteRef/>
      </w:r>
      <w:r>
        <w:t xml:space="preserve"> See further, e.g., </w:t>
      </w:r>
      <w:proofErr w:type="spellStart"/>
      <w:r>
        <w:t>Witzel</w:t>
      </w:r>
      <w:proofErr w:type="spellEnd"/>
      <w:r>
        <w:t xml:space="preserve"> 1952; Gurney 1962; Yamauchi 1966. In light of this new consensus, scholars revisited the nineteenth century interpretation of the concluding passage of </w:t>
      </w:r>
      <w:proofErr w:type="spellStart"/>
      <w:r>
        <w:rPr>
          <w:i/>
          <w:iCs/>
        </w:rPr>
        <w:t>Ištar’s</w:t>
      </w:r>
      <w:proofErr w:type="spellEnd"/>
      <w:r>
        <w:rPr>
          <w:i/>
          <w:iCs/>
        </w:rPr>
        <w:t xml:space="preserve"> Descent</w:t>
      </w:r>
      <w:r>
        <w:t>, arguing that it is indeed a funerary text lamenting Dumuzi’s death, and not a description of his ascent from the netherworld.</w:t>
      </w:r>
    </w:p>
  </w:footnote>
  <w:footnote w:id="25">
    <w:p w14:paraId="17991F1F" w14:textId="77777777" w:rsidR="006A346E" w:rsidRPr="00A47B88" w:rsidRDefault="006A346E" w:rsidP="00ED6B76">
      <w:pPr>
        <w:pStyle w:val="FootnoteText"/>
        <w:spacing w:line="360" w:lineRule="auto"/>
        <w:ind w:firstLine="0"/>
        <w:contextualSpacing/>
      </w:pPr>
      <w:r>
        <w:rPr>
          <w:rStyle w:val="FootnoteReference"/>
        </w:rPr>
        <w:footnoteRef/>
      </w:r>
      <w:r>
        <w:t xml:space="preserve"> Kramer 1963, 514-515.</w:t>
      </w:r>
    </w:p>
  </w:footnote>
  <w:footnote w:id="26">
    <w:p w14:paraId="49840F7B" w14:textId="560F2273" w:rsidR="006A346E" w:rsidRPr="00A47B88" w:rsidRDefault="006A346E" w:rsidP="00ED6B76">
      <w:pPr>
        <w:pStyle w:val="FootnoteText"/>
        <w:spacing w:line="360" w:lineRule="auto"/>
        <w:ind w:firstLine="0"/>
        <w:contextualSpacing/>
        <w:rPr>
          <w:rtl/>
        </w:rPr>
      </w:pPr>
      <w:r>
        <w:rPr>
          <w:rStyle w:val="FootnoteReference"/>
        </w:rPr>
        <w:footnoteRef/>
      </w:r>
      <w:r>
        <w:t xml:space="preserve"> </w:t>
      </w:r>
      <w:proofErr w:type="spellStart"/>
      <w:r>
        <w:t>Falkenstein</w:t>
      </w:r>
      <w:proofErr w:type="spellEnd"/>
      <w:r>
        <w:t xml:space="preserve"> 1965, 281; 1968, 107 ff.; and cf. </w:t>
      </w:r>
      <w:proofErr w:type="spellStart"/>
      <w:r>
        <w:t>Sladek</w:t>
      </w:r>
      <w:proofErr w:type="spellEnd"/>
      <w:r>
        <w:t xml:space="preserve"> 1974 who suggests reconstructing the root e</w:t>
      </w:r>
      <w:r>
        <w:rPr>
          <w:vertAlign w:val="subscript"/>
        </w:rPr>
        <w:t>11</w:t>
      </w:r>
      <w:r>
        <w:t>.</w:t>
      </w:r>
    </w:p>
  </w:footnote>
  <w:footnote w:id="27">
    <w:p w14:paraId="3C0F0061" w14:textId="0E3E15D3" w:rsidR="006A346E" w:rsidRPr="00A47B88" w:rsidRDefault="006A346E" w:rsidP="00ED6B76">
      <w:pPr>
        <w:pStyle w:val="FootnoteText"/>
        <w:spacing w:line="360" w:lineRule="auto"/>
        <w:ind w:firstLine="0"/>
        <w:contextualSpacing/>
      </w:pPr>
      <w:r>
        <w:rPr>
          <w:rStyle w:val="FootnoteReference"/>
        </w:rPr>
        <w:footnoteRef/>
      </w:r>
      <w:r>
        <w:t xml:space="preserve"> Kramer 1966, and cf. the excerpt from Cyril of Alexandria cited above. In classical sources, however, no connection is drawn between the death of Adonis, and the division of his time between Aphrodite and Persephone (occurring before his death). See e.g., Pseudo-</w:t>
      </w:r>
      <w:proofErr w:type="spellStart"/>
      <w:r>
        <w:t>Apollodorus</w:t>
      </w:r>
      <w:proofErr w:type="spellEnd"/>
      <w:r>
        <w:t xml:space="preserve">, </w:t>
      </w:r>
      <w:r>
        <w:rPr>
          <w:i/>
          <w:iCs/>
        </w:rPr>
        <w:t>Bibliotheca</w:t>
      </w:r>
      <w:r>
        <w:t xml:space="preserve"> 3.14.4, and cf., Reed 2002, 220. </w:t>
      </w:r>
    </w:p>
  </w:footnote>
  <w:footnote w:id="28">
    <w:p w14:paraId="268E5631" w14:textId="29D18E78" w:rsidR="006A346E" w:rsidRPr="00A47B88" w:rsidRDefault="006A346E" w:rsidP="00ED6B76">
      <w:pPr>
        <w:pStyle w:val="FootnoteText"/>
        <w:spacing w:line="360" w:lineRule="auto"/>
        <w:ind w:firstLine="0"/>
        <w:contextualSpacing/>
        <w:rPr>
          <w:rtl/>
        </w:rPr>
      </w:pPr>
      <w:r>
        <w:rPr>
          <w:rStyle w:val="FootnoteReference"/>
        </w:rPr>
        <w:footnoteRef/>
      </w:r>
      <w:r>
        <w:t xml:space="preserve"> This plot appears already in the Homeric hymn to </w:t>
      </w:r>
      <w:proofErr w:type="spellStart"/>
      <w:r>
        <w:t>Detemer</w:t>
      </w:r>
      <w:proofErr w:type="spellEnd"/>
      <w:r>
        <w:t xml:space="preserve">. Cf. </w:t>
      </w:r>
      <w:proofErr w:type="spellStart"/>
      <w:r>
        <w:t>Alster</w:t>
      </w:r>
      <w:proofErr w:type="spellEnd"/>
      <w:r>
        <w:t xml:space="preserve"> 1996, 1, no 3.</w:t>
      </w:r>
    </w:p>
  </w:footnote>
  <w:footnote w:id="29">
    <w:p w14:paraId="3D8D5E2F" w14:textId="77777777" w:rsidR="006A346E" w:rsidRPr="00A47B88" w:rsidRDefault="006A346E" w:rsidP="00ED6B76">
      <w:pPr>
        <w:pStyle w:val="FootnoteText"/>
        <w:spacing w:line="360" w:lineRule="auto"/>
        <w:ind w:firstLine="0"/>
        <w:contextualSpacing/>
        <w:rPr>
          <w:rtl/>
        </w:rPr>
      </w:pPr>
      <w:r>
        <w:rPr>
          <w:rStyle w:val="FootnoteReference"/>
        </w:rPr>
        <w:footnoteRef/>
      </w:r>
      <w:r>
        <w:t xml:space="preserve"> ETCSL 1.4.1, 407-409; and cf. </w:t>
      </w:r>
      <w:proofErr w:type="spellStart"/>
      <w:r>
        <w:t>Alster</w:t>
      </w:r>
      <w:proofErr w:type="spellEnd"/>
      <w:r>
        <w:t xml:space="preserve"> 1996.</w:t>
      </w:r>
    </w:p>
  </w:footnote>
  <w:footnote w:id="30">
    <w:p w14:paraId="7362F661" w14:textId="228B2347" w:rsidR="006A346E" w:rsidRPr="00A47B88" w:rsidRDefault="006A346E" w:rsidP="00ED6B76">
      <w:pPr>
        <w:pStyle w:val="FootnoteText"/>
        <w:spacing w:line="360" w:lineRule="auto"/>
        <w:ind w:firstLine="0"/>
        <w:contextualSpacing/>
        <w:rPr>
          <w:rtl/>
        </w:rPr>
      </w:pPr>
      <w:r>
        <w:rPr>
          <w:rStyle w:val="FootnoteReference"/>
        </w:rPr>
        <w:footnoteRef/>
      </w:r>
      <w:r>
        <w:t xml:space="preserve"> For additional texts, beside those mentioned in n. </w:t>
      </w:r>
      <w:r w:rsidRPr="00241532">
        <w:rPr>
          <w:highlight w:val="yellow"/>
        </w:rPr>
        <w:t>xxx</w:t>
      </w:r>
      <w:r>
        <w:t xml:space="preserve">, see Fritz 2003. </w:t>
      </w:r>
    </w:p>
  </w:footnote>
  <w:footnote w:id="31">
    <w:p w14:paraId="3692E81E" w14:textId="0587473C" w:rsidR="006A346E" w:rsidRPr="00A47B88" w:rsidRDefault="006A346E" w:rsidP="00ED6B76">
      <w:pPr>
        <w:pStyle w:val="FootnoteText"/>
        <w:spacing w:line="360" w:lineRule="auto"/>
        <w:ind w:firstLine="0"/>
        <w:contextualSpacing/>
        <w:rPr>
          <w:rtl/>
        </w:rPr>
      </w:pPr>
      <w:r>
        <w:rPr>
          <w:rStyle w:val="FootnoteReference"/>
        </w:rPr>
        <w:footnoteRef/>
      </w:r>
      <w:r>
        <w:t xml:space="preserve"> For </w:t>
      </w:r>
      <w:r w:rsidRPr="00554814">
        <w:rPr>
          <w:i/>
          <w:iCs/>
        </w:rPr>
        <w:t xml:space="preserve">Dumuzi and </w:t>
      </w:r>
      <w:proofErr w:type="spellStart"/>
      <w:r w:rsidRPr="00554814">
        <w:rPr>
          <w:i/>
          <w:iCs/>
        </w:rPr>
        <w:t>Geštinana</w:t>
      </w:r>
      <w:r>
        <w:t>’s</w:t>
      </w:r>
      <w:proofErr w:type="spellEnd"/>
      <w:r>
        <w:t xml:space="preserve"> familiarity with motifs first introduced in </w:t>
      </w:r>
      <w:r>
        <w:rPr>
          <w:i/>
          <w:iCs/>
        </w:rPr>
        <w:t>Inana’s Descent</w:t>
      </w:r>
      <w:r>
        <w:t>, see Katz 1996; 2003, 294-300.</w:t>
      </w:r>
    </w:p>
  </w:footnote>
  <w:footnote w:id="32">
    <w:p w14:paraId="1BDD2308" w14:textId="68BB78F1" w:rsidR="006A346E" w:rsidRDefault="006A346E">
      <w:pPr>
        <w:pStyle w:val="FootnoteText"/>
        <w:spacing w:line="360" w:lineRule="auto"/>
        <w:ind w:firstLine="0"/>
        <w:contextualSpacing/>
      </w:pPr>
      <w:r>
        <w:rPr>
          <w:rStyle w:val="FootnoteReference"/>
        </w:rPr>
        <w:footnoteRef/>
      </w:r>
      <w:r>
        <w:t xml:space="preserve"> See ll. 136-138 (</w:t>
      </w:r>
      <w:proofErr w:type="spellStart"/>
      <w:r>
        <w:t>Lapinkivi</w:t>
      </w:r>
      <w:proofErr w:type="spellEnd"/>
      <w:r>
        <w:t xml:space="preserve"> edition):</w:t>
      </w:r>
    </w:p>
    <w:tbl>
      <w:tblPr>
        <w:bidiVisual/>
        <w:tblW w:w="8935" w:type="dxa"/>
        <w:tblInd w:w="104" w:type="dxa"/>
        <w:tblCellMar>
          <w:left w:w="0" w:type="dxa"/>
          <w:right w:w="0" w:type="dxa"/>
        </w:tblCellMar>
        <w:tblLook w:val="04A0" w:firstRow="1" w:lastRow="0" w:firstColumn="1" w:lastColumn="0" w:noHBand="0" w:noVBand="1"/>
      </w:tblPr>
      <w:tblGrid>
        <w:gridCol w:w="4404"/>
        <w:gridCol w:w="4531"/>
      </w:tblGrid>
      <w:tr w:rsidR="006A346E" w:rsidRPr="00440C92" w14:paraId="08269131" w14:textId="77777777" w:rsidTr="00236BF5">
        <w:tc>
          <w:tcPr>
            <w:tcW w:w="4404" w:type="dxa"/>
            <w:tcBorders>
              <w:top w:val="nil"/>
              <w:left w:val="nil"/>
              <w:bottom w:val="nil"/>
              <w:right w:val="nil"/>
            </w:tcBorders>
            <w:shd w:val="clear" w:color="auto" w:fill="auto"/>
            <w:tcMar>
              <w:top w:w="15" w:type="dxa"/>
              <w:left w:w="108" w:type="dxa"/>
              <w:bottom w:w="0" w:type="dxa"/>
              <w:right w:w="108" w:type="dxa"/>
            </w:tcMar>
            <w:hideMark/>
          </w:tcPr>
          <w:p w14:paraId="0D95B1B1" w14:textId="77777777" w:rsidR="006A346E" w:rsidRPr="00440C92" w:rsidRDefault="006A346E" w:rsidP="00236BF5">
            <w:pPr>
              <w:pStyle w:val="FootnoteText"/>
              <w:spacing w:line="360" w:lineRule="auto"/>
              <w:ind w:firstLine="0"/>
              <w:contextualSpacing/>
            </w:pPr>
            <w:proofErr w:type="spellStart"/>
            <w:r w:rsidRPr="00440C92">
              <w:rPr>
                <w:i/>
                <w:iCs/>
              </w:rPr>
              <w:t>ina</w:t>
            </w:r>
            <w:proofErr w:type="spellEnd"/>
            <w:r w:rsidRPr="00440C92">
              <w:rPr>
                <w:i/>
                <w:iCs/>
              </w:rPr>
              <w:t xml:space="preserve"> </w:t>
            </w:r>
            <w:proofErr w:type="spellStart"/>
            <w:r w:rsidRPr="00440C92">
              <w:rPr>
                <w:i/>
                <w:iCs/>
              </w:rPr>
              <w:t>ūmē</w:t>
            </w:r>
            <w:proofErr w:type="spellEnd"/>
            <w:r w:rsidRPr="00440C92">
              <w:rPr>
                <w:i/>
                <w:iCs/>
              </w:rPr>
              <w:t xml:space="preserve"> Dumuzi </w:t>
            </w:r>
            <w:proofErr w:type="spellStart"/>
            <w:r w:rsidRPr="00440C92">
              <w:rPr>
                <w:i/>
                <w:iCs/>
              </w:rPr>
              <w:t>ellânni</w:t>
            </w:r>
            <w:proofErr w:type="spellEnd"/>
            <w:r w:rsidRPr="00440C92">
              <w:rPr>
                <w:i/>
                <w:iCs/>
              </w:rPr>
              <w:t xml:space="preserve"> </w:t>
            </w:r>
            <w:proofErr w:type="spellStart"/>
            <w:r w:rsidRPr="00440C92">
              <w:rPr>
                <w:i/>
                <w:iCs/>
              </w:rPr>
              <w:t>malīl</w:t>
            </w:r>
            <w:proofErr w:type="spellEnd"/>
            <w:r w:rsidRPr="00440C92">
              <w:rPr>
                <w:i/>
                <w:iCs/>
              </w:rPr>
              <w:t xml:space="preserve"> </w:t>
            </w:r>
            <w:proofErr w:type="spellStart"/>
            <w:r w:rsidRPr="00440C92">
              <w:rPr>
                <w:i/>
                <w:iCs/>
              </w:rPr>
              <w:t>uqnî</w:t>
            </w:r>
            <w:proofErr w:type="spellEnd"/>
            <w:r w:rsidRPr="00440C92">
              <w:rPr>
                <w:i/>
                <w:iCs/>
              </w:rPr>
              <w:t xml:space="preserve"> </w:t>
            </w:r>
            <w:proofErr w:type="spellStart"/>
            <w:r w:rsidRPr="00440C92">
              <w:rPr>
                <w:i/>
                <w:iCs/>
              </w:rPr>
              <w:t>šemer</w:t>
            </w:r>
            <w:proofErr w:type="spellEnd"/>
            <w:r w:rsidRPr="00440C92">
              <w:rPr>
                <w:i/>
                <w:iCs/>
              </w:rPr>
              <w:t xml:space="preserve"> </w:t>
            </w:r>
            <w:proofErr w:type="spellStart"/>
            <w:r w:rsidRPr="00440C92">
              <w:rPr>
                <w:i/>
                <w:iCs/>
              </w:rPr>
              <w:t>sāmti</w:t>
            </w:r>
            <w:proofErr w:type="spellEnd"/>
            <w:r w:rsidRPr="00440C92">
              <w:rPr>
                <w:i/>
                <w:iCs/>
              </w:rPr>
              <w:t xml:space="preserve"> </w:t>
            </w:r>
            <w:proofErr w:type="spellStart"/>
            <w:r w:rsidRPr="00440C92">
              <w:rPr>
                <w:i/>
                <w:iCs/>
              </w:rPr>
              <w:t>ittišu</w:t>
            </w:r>
            <w:proofErr w:type="spellEnd"/>
            <w:r w:rsidRPr="00440C92">
              <w:rPr>
                <w:i/>
                <w:iCs/>
              </w:rPr>
              <w:t xml:space="preserve"> </w:t>
            </w:r>
            <w:proofErr w:type="spellStart"/>
            <w:r w:rsidRPr="00440C92">
              <w:rPr>
                <w:i/>
                <w:iCs/>
              </w:rPr>
              <w:t>ellânni</w:t>
            </w:r>
            <w:proofErr w:type="spellEnd"/>
          </w:p>
        </w:tc>
        <w:tc>
          <w:tcPr>
            <w:tcW w:w="4531" w:type="dxa"/>
            <w:tcBorders>
              <w:top w:val="nil"/>
              <w:left w:val="nil"/>
              <w:bottom w:val="nil"/>
              <w:right w:val="nil"/>
            </w:tcBorders>
            <w:shd w:val="clear" w:color="auto" w:fill="auto"/>
            <w:tcMar>
              <w:top w:w="15" w:type="dxa"/>
              <w:left w:w="108" w:type="dxa"/>
              <w:bottom w:w="0" w:type="dxa"/>
              <w:right w:w="108" w:type="dxa"/>
            </w:tcMar>
            <w:hideMark/>
          </w:tcPr>
          <w:p w14:paraId="42CE873A" w14:textId="77777777" w:rsidR="006A346E" w:rsidRPr="00440C92" w:rsidRDefault="006A346E" w:rsidP="00236BF5">
            <w:pPr>
              <w:pStyle w:val="FootnoteText"/>
              <w:spacing w:line="360" w:lineRule="auto"/>
              <w:ind w:firstLine="0"/>
              <w:contextualSpacing/>
            </w:pPr>
            <w:r w:rsidRPr="00440C92">
              <w:t>When Dumuzi will rise to me, the lapis lazuli pipe and the carnelian ring will rise with him to me,</w:t>
            </w:r>
          </w:p>
        </w:tc>
      </w:tr>
      <w:tr w:rsidR="006A346E" w:rsidRPr="00440C92" w14:paraId="4F4F7460" w14:textId="77777777" w:rsidTr="00236BF5">
        <w:tc>
          <w:tcPr>
            <w:tcW w:w="4404" w:type="dxa"/>
            <w:tcBorders>
              <w:top w:val="nil"/>
              <w:left w:val="nil"/>
              <w:bottom w:val="nil"/>
              <w:right w:val="nil"/>
            </w:tcBorders>
            <w:shd w:val="clear" w:color="auto" w:fill="auto"/>
            <w:tcMar>
              <w:top w:w="15" w:type="dxa"/>
              <w:left w:w="108" w:type="dxa"/>
              <w:bottom w:w="0" w:type="dxa"/>
              <w:right w:w="108" w:type="dxa"/>
            </w:tcMar>
            <w:hideMark/>
          </w:tcPr>
          <w:p w14:paraId="4A9CC577" w14:textId="77777777" w:rsidR="006A346E" w:rsidRPr="00440C92" w:rsidRDefault="006A346E" w:rsidP="00236BF5">
            <w:pPr>
              <w:pStyle w:val="FootnoteText"/>
              <w:spacing w:line="360" w:lineRule="auto"/>
              <w:ind w:firstLine="0"/>
              <w:contextualSpacing/>
            </w:pPr>
            <w:r w:rsidRPr="00236BF5">
              <w:rPr>
                <w:i/>
                <w:iCs/>
              </w:rPr>
              <w:t>ittišu ellânni bakkā’ū u bakkāyātu</w:t>
            </w:r>
          </w:p>
        </w:tc>
        <w:tc>
          <w:tcPr>
            <w:tcW w:w="4531" w:type="dxa"/>
            <w:tcBorders>
              <w:top w:val="nil"/>
              <w:left w:val="nil"/>
              <w:bottom w:val="nil"/>
              <w:right w:val="nil"/>
            </w:tcBorders>
            <w:shd w:val="clear" w:color="auto" w:fill="auto"/>
            <w:tcMar>
              <w:top w:w="15" w:type="dxa"/>
              <w:left w:w="108" w:type="dxa"/>
              <w:bottom w:w="0" w:type="dxa"/>
              <w:right w:w="108" w:type="dxa"/>
            </w:tcMar>
            <w:hideMark/>
          </w:tcPr>
          <w:p w14:paraId="7B5036B3" w14:textId="77777777" w:rsidR="006A346E" w:rsidRPr="00440C92" w:rsidRDefault="006A346E" w:rsidP="00236BF5">
            <w:pPr>
              <w:pStyle w:val="FootnoteText"/>
              <w:spacing w:line="360" w:lineRule="auto"/>
              <w:ind w:firstLine="0"/>
              <w:contextualSpacing/>
            </w:pPr>
            <w:r w:rsidRPr="00440C92">
              <w:t>the male and female mourners will rise with him to me,</w:t>
            </w:r>
          </w:p>
        </w:tc>
      </w:tr>
      <w:tr w:rsidR="006A346E" w:rsidRPr="00440C92" w14:paraId="039D1C2A" w14:textId="77777777" w:rsidTr="00236BF5">
        <w:tc>
          <w:tcPr>
            <w:tcW w:w="4404" w:type="dxa"/>
            <w:tcBorders>
              <w:top w:val="nil"/>
              <w:left w:val="nil"/>
              <w:bottom w:val="nil"/>
              <w:right w:val="nil"/>
            </w:tcBorders>
            <w:shd w:val="clear" w:color="auto" w:fill="auto"/>
            <w:tcMar>
              <w:top w:w="15" w:type="dxa"/>
              <w:left w:w="108" w:type="dxa"/>
              <w:bottom w:w="0" w:type="dxa"/>
              <w:right w:w="108" w:type="dxa"/>
            </w:tcMar>
            <w:hideMark/>
          </w:tcPr>
          <w:p w14:paraId="363070C0" w14:textId="77777777" w:rsidR="006A346E" w:rsidRPr="00440C92" w:rsidRDefault="006A346E" w:rsidP="00236BF5">
            <w:pPr>
              <w:pStyle w:val="FootnoteText"/>
              <w:spacing w:line="360" w:lineRule="auto"/>
              <w:ind w:firstLine="0"/>
              <w:contextualSpacing/>
            </w:pPr>
            <w:proofErr w:type="spellStart"/>
            <w:r w:rsidRPr="00440C92">
              <w:rPr>
                <w:i/>
                <w:iCs/>
              </w:rPr>
              <w:t>mītūtu</w:t>
            </w:r>
            <w:proofErr w:type="spellEnd"/>
            <w:r w:rsidRPr="00440C92">
              <w:rPr>
                <w:i/>
                <w:iCs/>
              </w:rPr>
              <w:t xml:space="preserve"> </w:t>
            </w:r>
            <w:proofErr w:type="spellStart"/>
            <w:r w:rsidRPr="00440C92">
              <w:rPr>
                <w:i/>
                <w:iCs/>
              </w:rPr>
              <w:t>līlûnimma</w:t>
            </w:r>
            <w:proofErr w:type="spellEnd"/>
            <w:r w:rsidRPr="00440C92">
              <w:rPr>
                <w:i/>
                <w:iCs/>
              </w:rPr>
              <w:t xml:space="preserve"> </w:t>
            </w:r>
            <w:proofErr w:type="spellStart"/>
            <w:r w:rsidRPr="00440C92">
              <w:rPr>
                <w:i/>
                <w:iCs/>
              </w:rPr>
              <w:t>qutrinna</w:t>
            </w:r>
            <w:proofErr w:type="spellEnd"/>
            <w:r w:rsidRPr="00440C92">
              <w:rPr>
                <w:i/>
                <w:iCs/>
              </w:rPr>
              <w:t xml:space="preserve"> </w:t>
            </w:r>
            <w:proofErr w:type="spellStart"/>
            <w:r w:rsidRPr="00440C92">
              <w:rPr>
                <w:i/>
                <w:iCs/>
              </w:rPr>
              <w:t>liṣṣinū</w:t>
            </w:r>
            <w:proofErr w:type="spellEnd"/>
          </w:p>
        </w:tc>
        <w:tc>
          <w:tcPr>
            <w:tcW w:w="4531" w:type="dxa"/>
            <w:tcBorders>
              <w:top w:val="nil"/>
              <w:left w:val="nil"/>
              <w:bottom w:val="nil"/>
              <w:right w:val="nil"/>
            </w:tcBorders>
            <w:shd w:val="clear" w:color="auto" w:fill="auto"/>
            <w:tcMar>
              <w:top w:w="15" w:type="dxa"/>
              <w:left w:w="108" w:type="dxa"/>
              <w:bottom w:w="0" w:type="dxa"/>
              <w:right w:w="108" w:type="dxa"/>
            </w:tcMar>
            <w:hideMark/>
          </w:tcPr>
          <w:p w14:paraId="7B624279" w14:textId="77777777" w:rsidR="006A346E" w:rsidRPr="00440C92" w:rsidRDefault="006A346E" w:rsidP="00236BF5">
            <w:pPr>
              <w:pStyle w:val="FootnoteText"/>
              <w:spacing w:line="360" w:lineRule="auto"/>
              <w:ind w:firstLine="0"/>
              <w:contextualSpacing/>
            </w:pPr>
            <w:r w:rsidRPr="00440C92">
              <w:t xml:space="preserve">may the dead rise to me and smell the incense. </w:t>
            </w:r>
          </w:p>
        </w:tc>
      </w:tr>
    </w:tbl>
    <w:p w14:paraId="3CDF8A8F" w14:textId="5206F5BB" w:rsidR="006A346E" w:rsidRPr="00A47B88" w:rsidRDefault="006A346E" w:rsidP="005A5A48">
      <w:pPr>
        <w:pStyle w:val="FootnoteText"/>
        <w:spacing w:before="120" w:line="360" w:lineRule="auto"/>
        <w:ind w:firstLine="0"/>
        <w:contextualSpacing/>
        <w:rPr>
          <w:color w:val="000000"/>
          <w:rtl/>
          <w:lang w:bidi="he-IL"/>
        </w:rPr>
      </w:pPr>
      <w:r>
        <w:t xml:space="preserve">A comparison of several funerary texts nevertheless indicates that the concluding lines of </w:t>
      </w:r>
      <w:proofErr w:type="spellStart"/>
      <w:r>
        <w:rPr>
          <w:i/>
          <w:iCs/>
        </w:rPr>
        <w:t>Ištar’s</w:t>
      </w:r>
      <w:proofErr w:type="spellEnd"/>
      <w:r>
        <w:rPr>
          <w:i/>
          <w:iCs/>
        </w:rPr>
        <w:t xml:space="preserve"> Descent</w:t>
      </w:r>
      <w:r>
        <w:t xml:space="preserve"> present a reverse order of the funerary ritual: first Dumuzi is dressed and anointed (ll. 127-130) and finally he and the dead are brought up from the netherworld (ll. 136-138). </w:t>
      </w:r>
    </w:p>
  </w:footnote>
  <w:footnote w:id="33">
    <w:p w14:paraId="67CA7D47" w14:textId="650A49E2" w:rsidR="006A346E" w:rsidRPr="00A47B88" w:rsidRDefault="006A346E" w:rsidP="001C00E8">
      <w:pPr>
        <w:pStyle w:val="FootnoteText"/>
        <w:spacing w:line="360" w:lineRule="auto"/>
        <w:ind w:firstLine="0"/>
        <w:contextualSpacing/>
        <w:rPr>
          <w:color w:val="000000"/>
          <w:rtl/>
          <w:lang w:bidi="he-IL"/>
        </w:rPr>
      </w:pPr>
      <w:r>
        <w:rPr>
          <w:rStyle w:val="FootnoteReference"/>
        </w:rPr>
        <w:footnoteRef/>
      </w:r>
      <w:r>
        <w:t xml:space="preserve"> In addition to the studies mentioned in n. </w:t>
      </w:r>
      <w:r w:rsidRPr="00241532">
        <w:rPr>
          <w:highlight w:val="yellow"/>
        </w:rPr>
        <w:t>xxx</w:t>
      </w:r>
      <w:r>
        <w:t xml:space="preserve"> above, cf. also Jeremias 1887, 7-8, who compares [p. 44] the playing of the flute mentioned in these lines to Mishnah </w:t>
      </w:r>
      <w:proofErr w:type="spellStart"/>
      <w:r>
        <w:t>Ketubot</w:t>
      </w:r>
      <w:proofErr w:type="spellEnd"/>
      <w:r>
        <w:t xml:space="preserve"> 4:4: “Rabbi Judah says: even the poorest man in Israel must provide no less than two flutes and one female mourner”</w:t>
      </w:r>
      <w:r>
        <w:rPr>
          <w:color w:val="000000"/>
        </w:rPr>
        <w:t xml:space="preserve">. As mentioned above, </w:t>
      </w:r>
      <w:r>
        <w:t xml:space="preserve">this approach was reiterated by scholars from the 1960s and onwards </w:t>
      </w:r>
      <w:ins w:id="16" w:author="Avraham Kallenbah" w:date="2021-04-13T08:43:00Z">
        <w:r w:rsidR="00B91D14">
          <w:t xml:space="preserve">– </w:t>
        </w:r>
      </w:ins>
      <w:r>
        <w:t xml:space="preserve">after most of </w:t>
      </w:r>
      <w:r>
        <w:rPr>
          <w:i/>
          <w:iCs/>
        </w:rPr>
        <w:t xml:space="preserve">Inana’s Descent </w:t>
      </w:r>
      <w:r>
        <w:t xml:space="preserve">as well as neo-Assyrian letters which mention the </w:t>
      </w:r>
      <w:r w:rsidRPr="00241532">
        <w:rPr>
          <w:i/>
          <w:iCs/>
        </w:rPr>
        <w:t>Taklimtu</w:t>
      </w:r>
      <w:r>
        <w:t xml:space="preserve"> ritual, revolving around the figure of Dumuzi, being held at the end of the month of </w:t>
      </w:r>
      <w:proofErr w:type="spellStart"/>
      <w:r>
        <w:t>Duzu’u</w:t>
      </w:r>
      <w:proofErr w:type="spellEnd"/>
      <w:r>
        <w:t xml:space="preserve"> for three days, were published; see Yamauchi 1966, and cf. </w:t>
      </w:r>
      <w:proofErr w:type="spellStart"/>
      <w:r>
        <w:t>Sladek</w:t>
      </w:r>
      <w:proofErr w:type="spellEnd"/>
      <w:r>
        <w:t xml:space="preserve"> 1974, 46-47; Reiner 1985, 47; </w:t>
      </w:r>
      <w:proofErr w:type="spellStart"/>
      <w:r>
        <w:t>Dalley</w:t>
      </w:r>
      <w:proofErr w:type="spellEnd"/>
      <w:r>
        <w:t xml:space="preserve"> 2000, 154; Scurlock 1992. For the NA letters, see LAS 5 and 6, and see further n</w:t>
      </w:r>
      <w:r w:rsidRPr="005A5A48">
        <w:rPr>
          <w:highlight w:val="yellow"/>
        </w:rPr>
        <w:t>. xxx</w:t>
      </w:r>
      <w:r>
        <w:t xml:space="preserve"> below.</w:t>
      </w:r>
    </w:p>
  </w:footnote>
  <w:footnote w:id="34">
    <w:p w14:paraId="66D36A9C" w14:textId="77777777" w:rsidR="006A346E" w:rsidRPr="00A47B88" w:rsidRDefault="006A346E" w:rsidP="00ED6B76">
      <w:pPr>
        <w:pStyle w:val="FootnoteText"/>
        <w:spacing w:line="360" w:lineRule="auto"/>
        <w:ind w:firstLine="0"/>
        <w:contextualSpacing/>
        <w:rPr>
          <w:rtl/>
          <w:lang w:bidi="he-IL"/>
        </w:rPr>
      </w:pPr>
      <w:r>
        <w:rPr>
          <w:rStyle w:val="FootnoteReference"/>
        </w:rPr>
        <w:footnoteRef/>
      </w:r>
      <w:r w:rsidRPr="006A346E">
        <w:rPr>
          <w:lang w:val="de-DE"/>
        </w:rPr>
        <w:t xml:space="preserve"> Katz 1996; 2003, 275-284; Alster 2011.</w:t>
      </w:r>
    </w:p>
  </w:footnote>
  <w:footnote w:id="35">
    <w:p w14:paraId="31D99A89" w14:textId="77777777" w:rsidR="006A346E" w:rsidRPr="0069694D" w:rsidRDefault="006A346E" w:rsidP="00EB64C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A346E">
        <w:rPr>
          <w:rFonts w:asciiTheme="majorBidi" w:hAnsiTheme="majorBidi" w:cstheme="majorBidi"/>
          <w:lang w:val="de-DE"/>
        </w:rPr>
        <w:t xml:space="preserve"> Cf. Parpola 1997, p. xciv, n. 127; Mettinger 2001, 201-202; Frahm 2003; Alster 2005-2006, 353-354; Cohen 2011, 262. </w:t>
      </w:r>
      <w:r w:rsidRPr="0069694D">
        <w:rPr>
          <w:rFonts w:asciiTheme="majorBidi" w:hAnsiTheme="majorBidi" w:cstheme="majorBidi"/>
        </w:rPr>
        <w:t>By contrast, Durand 1995, 206-207 maintained that most occurrences of the name Dumuzi in the records from Mari do not refer to the Mesopotamian deity but rather to a god of Amorite provenance, who shares certain characteristics with the Mesopotamian Dumuzi and was thus referred to using the Mesopotamian name.</w:t>
      </w:r>
    </w:p>
  </w:footnote>
  <w:footnote w:id="36">
    <w:p w14:paraId="040A48AC" w14:textId="31E19CD4"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For </w:t>
      </w:r>
      <w:r>
        <w:rPr>
          <w:rFonts w:asciiTheme="majorBidi" w:hAnsiTheme="majorBidi" w:cstheme="majorBidi"/>
        </w:rPr>
        <w:t>the</w:t>
      </w:r>
      <w:r w:rsidRPr="0069694D">
        <w:rPr>
          <w:rFonts w:asciiTheme="majorBidi" w:hAnsiTheme="majorBidi" w:cstheme="majorBidi"/>
        </w:rPr>
        <w:t xml:space="preserve"> text and </w:t>
      </w:r>
      <w:r>
        <w:rPr>
          <w:rFonts w:asciiTheme="majorBidi" w:hAnsiTheme="majorBidi" w:cstheme="majorBidi"/>
        </w:rPr>
        <w:t xml:space="preserve">(French) </w:t>
      </w:r>
      <w:r w:rsidRPr="0069694D">
        <w:rPr>
          <w:rFonts w:asciiTheme="majorBidi" w:hAnsiTheme="majorBidi" w:cstheme="majorBidi"/>
        </w:rPr>
        <w:t xml:space="preserve">translation, see </w:t>
      </w:r>
      <w:proofErr w:type="spellStart"/>
      <w:r w:rsidRPr="0069694D">
        <w:rPr>
          <w:rFonts w:asciiTheme="majorBidi" w:hAnsiTheme="majorBidi" w:cstheme="majorBidi"/>
        </w:rPr>
        <w:t>Marello</w:t>
      </w:r>
      <w:proofErr w:type="spellEnd"/>
      <w:r w:rsidRPr="0069694D">
        <w:rPr>
          <w:rFonts w:asciiTheme="majorBidi" w:hAnsiTheme="majorBidi" w:cstheme="majorBidi"/>
        </w:rPr>
        <w:t xml:space="preserve"> 1992; Durand 1997, 147-151.</w:t>
      </w:r>
    </w:p>
  </w:footnote>
  <w:footnote w:id="37">
    <w:p w14:paraId="1992AC3A" w14:textId="77777777"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proofErr w:type="spellStart"/>
      <w:r w:rsidRPr="0069694D">
        <w:rPr>
          <w:rFonts w:asciiTheme="majorBidi" w:hAnsiTheme="majorBidi" w:cstheme="majorBidi"/>
        </w:rPr>
        <w:t>Marello</w:t>
      </w:r>
      <w:proofErr w:type="spellEnd"/>
      <w:r w:rsidRPr="0069694D">
        <w:rPr>
          <w:rFonts w:asciiTheme="majorBidi" w:hAnsiTheme="majorBidi" w:cstheme="majorBidi"/>
        </w:rPr>
        <w:t xml:space="preserve"> 1992 </w:t>
      </w:r>
      <w:r>
        <w:rPr>
          <w:rFonts w:asciiTheme="majorBidi" w:hAnsiTheme="majorBidi" w:cstheme="majorBidi"/>
        </w:rPr>
        <w:t>reconstructs</w:t>
      </w:r>
      <w:r>
        <w:t xml:space="preserve"> </w:t>
      </w:r>
      <w:proofErr w:type="spellStart"/>
      <w:r w:rsidRPr="005A5A48">
        <w:rPr>
          <w:rFonts w:cstheme="majorBidi"/>
          <w:i/>
          <w:iCs/>
        </w:rPr>
        <w:t>lā</w:t>
      </w:r>
      <w:proofErr w:type="spellEnd"/>
      <w:r w:rsidRPr="005A5A48">
        <w:rPr>
          <w:rFonts w:cstheme="majorBidi"/>
          <w:i/>
          <w:iCs/>
        </w:rPr>
        <w:t xml:space="preserve"> </w:t>
      </w:r>
      <w:proofErr w:type="spellStart"/>
      <w:r w:rsidRPr="005A5A48">
        <w:rPr>
          <w:rFonts w:cstheme="majorBidi"/>
          <w:i/>
          <w:iCs/>
        </w:rPr>
        <w:t>anāku</w:t>
      </w:r>
      <w:proofErr w:type="spellEnd"/>
      <w:r w:rsidRPr="002F6CE4">
        <w:rPr>
          <w:rFonts w:asciiTheme="majorBidi" w:hAnsiTheme="majorBidi" w:cstheme="majorBidi"/>
        </w:rPr>
        <w:t xml:space="preserve"> </w:t>
      </w:r>
      <w:r w:rsidRPr="0069694D">
        <w:rPr>
          <w:rFonts w:asciiTheme="majorBidi" w:hAnsiTheme="majorBidi" w:cstheme="majorBidi"/>
        </w:rPr>
        <w:t>(</w:t>
      </w:r>
      <w:r>
        <w:rPr>
          <w:rFonts w:asciiTheme="majorBidi" w:hAnsiTheme="majorBidi" w:cstheme="majorBidi"/>
        </w:rPr>
        <w:t>‘am I not’…</w:t>
      </w:r>
      <w:r w:rsidRPr="0069694D">
        <w:rPr>
          <w:rFonts w:asciiTheme="majorBidi" w:hAnsiTheme="majorBidi" w:cstheme="majorBidi"/>
        </w:rPr>
        <w:t>)</w:t>
      </w:r>
      <w:r>
        <w:rPr>
          <w:rFonts w:asciiTheme="majorBidi" w:hAnsiTheme="majorBidi" w:cstheme="majorBidi"/>
        </w:rPr>
        <w:t>.</w:t>
      </w:r>
    </w:p>
  </w:footnote>
  <w:footnote w:id="38">
    <w:p w14:paraId="53C1000B" w14:textId="27A00675"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proofErr w:type="spellStart"/>
      <w:r w:rsidRPr="0069694D">
        <w:rPr>
          <w:rFonts w:asciiTheme="majorBidi" w:hAnsiTheme="majorBidi" w:cstheme="majorBidi"/>
        </w:rPr>
        <w:t>Marello</w:t>
      </w:r>
      <w:proofErr w:type="spellEnd"/>
      <w:r w:rsidRPr="0069694D">
        <w:rPr>
          <w:rFonts w:asciiTheme="majorBidi" w:hAnsiTheme="majorBidi" w:cstheme="majorBidi"/>
        </w:rPr>
        <w:t xml:space="preserve"> 1992 </w:t>
      </w:r>
      <w:r>
        <w:rPr>
          <w:rFonts w:asciiTheme="majorBidi" w:hAnsiTheme="majorBidi" w:cstheme="majorBidi"/>
        </w:rPr>
        <w:t>reconstructs</w:t>
      </w:r>
      <w:r w:rsidRPr="0069694D">
        <w:rPr>
          <w:rFonts w:asciiTheme="majorBidi" w:hAnsiTheme="majorBidi" w:cstheme="majorBidi"/>
        </w:rPr>
        <w:t xml:space="preserve"> </w:t>
      </w:r>
      <w:proofErr w:type="spellStart"/>
      <w:r w:rsidRPr="0069694D">
        <w:rPr>
          <w:rFonts w:asciiTheme="majorBidi" w:hAnsiTheme="majorBidi" w:cstheme="majorBidi"/>
          <w:i/>
          <w:iCs/>
        </w:rPr>
        <w:t>ina</w:t>
      </w:r>
      <w:proofErr w:type="spellEnd"/>
      <w:r w:rsidRPr="0069694D">
        <w:rPr>
          <w:rFonts w:asciiTheme="majorBidi" w:hAnsiTheme="majorBidi" w:cstheme="majorBidi"/>
          <w:i/>
          <w:iCs/>
        </w:rPr>
        <w:t xml:space="preserve"> </w:t>
      </w:r>
      <w:proofErr w:type="spellStart"/>
      <w:r w:rsidRPr="0069694D">
        <w:rPr>
          <w:rFonts w:asciiTheme="majorBidi" w:hAnsiTheme="majorBidi" w:cstheme="majorBidi"/>
          <w:i/>
          <w:iCs/>
        </w:rPr>
        <w:t>dīšim</w:t>
      </w:r>
      <w:proofErr w:type="spellEnd"/>
      <w:r w:rsidRPr="0069694D">
        <w:rPr>
          <w:rFonts w:asciiTheme="majorBidi" w:hAnsiTheme="majorBidi" w:cstheme="majorBidi"/>
          <w:i/>
          <w:iCs/>
        </w:rPr>
        <w:t xml:space="preserve"> </w:t>
      </w:r>
      <w:r w:rsidRPr="0069694D">
        <w:rPr>
          <w:rFonts w:asciiTheme="majorBidi" w:hAnsiTheme="majorBidi" w:cstheme="majorBidi"/>
        </w:rPr>
        <w:t xml:space="preserve">(in the spring), and though many have agreed with him, there is no evidence to </w:t>
      </w:r>
      <w:r>
        <w:rPr>
          <w:rFonts w:asciiTheme="majorBidi" w:hAnsiTheme="majorBidi" w:cstheme="majorBidi"/>
        </w:rPr>
        <w:t>support</w:t>
      </w:r>
      <w:r w:rsidRPr="0069694D">
        <w:rPr>
          <w:rFonts w:asciiTheme="majorBidi" w:hAnsiTheme="majorBidi" w:cstheme="majorBidi"/>
        </w:rPr>
        <w:t xml:space="preserve"> </w:t>
      </w:r>
      <w:r>
        <w:rPr>
          <w:rFonts w:asciiTheme="majorBidi" w:hAnsiTheme="majorBidi" w:cstheme="majorBidi"/>
        </w:rPr>
        <w:t>it</w:t>
      </w:r>
      <w:r w:rsidRPr="0069694D">
        <w:rPr>
          <w:rFonts w:asciiTheme="majorBidi" w:hAnsiTheme="majorBidi" w:cstheme="majorBidi"/>
        </w:rPr>
        <w:t>.</w:t>
      </w:r>
    </w:p>
  </w:footnote>
  <w:footnote w:id="39">
    <w:p w14:paraId="2E2B812F" w14:textId="53B8CCB2"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5A5A48">
        <w:rPr>
          <w:rFonts w:asciiTheme="majorBidi" w:hAnsiTheme="majorBidi" w:cstheme="majorBidi"/>
          <w:lang w:val="de-DE"/>
        </w:rPr>
        <w:t xml:space="preserve"> Sumerian: kur-nu-gi</w:t>
      </w:r>
      <w:r w:rsidRPr="005A5A48">
        <w:rPr>
          <w:rFonts w:asciiTheme="majorBidi" w:hAnsiTheme="majorBidi" w:cstheme="majorBidi"/>
          <w:vertAlign w:val="subscript"/>
          <w:lang w:val="de-DE"/>
        </w:rPr>
        <w:t>4</w:t>
      </w:r>
      <w:r w:rsidRPr="005A5A48">
        <w:rPr>
          <w:rFonts w:asciiTheme="majorBidi" w:hAnsiTheme="majorBidi" w:cstheme="majorBidi"/>
          <w:lang w:val="de-DE"/>
        </w:rPr>
        <w:t>/gi; kur-nu-gi</w:t>
      </w:r>
      <w:r w:rsidRPr="005A5A48">
        <w:rPr>
          <w:rFonts w:asciiTheme="majorBidi" w:hAnsiTheme="majorBidi" w:cstheme="majorBidi"/>
          <w:vertAlign w:val="subscript"/>
          <w:lang w:val="de-DE"/>
        </w:rPr>
        <w:t>4</w:t>
      </w:r>
      <w:r w:rsidRPr="005A5A48">
        <w:rPr>
          <w:rFonts w:asciiTheme="majorBidi" w:hAnsiTheme="majorBidi" w:cstheme="majorBidi"/>
          <w:lang w:val="de-DE"/>
        </w:rPr>
        <w:t>/gi-a; kur-nu-gi</w:t>
      </w:r>
      <w:r w:rsidRPr="005A5A48">
        <w:rPr>
          <w:rFonts w:asciiTheme="majorBidi" w:hAnsiTheme="majorBidi" w:cstheme="majorBidi"/>
          <w:vertAlign w:val="subscript"/>
          <w:lang w:val="de-DE"/>
        </w:rPr>
        <w:t>4</w:t>
      </w:r>
      <w:r w:rsidRPr="005A5A48">
        <w:rPr>
          <w:rFonts w:asciiTheme="majorBidi" w:hAnsiTheme="majorBidi" w:cstheme="majorBidi"/>
          <w:lang w:val="de-DE"/>
        </w:rPr>
        <w:t>-gi</w:t>
      </w:r>
      <w:r w:rsidRPr="005A5A48">
        <w:rPr>
          <w:rFonts w:asciiTheme="majorBidi" w:hAnsiTheme="majorBidi" w:cstheme="majorBidi"/>
          <w:vertAlign w:val="subscript"/>
          <w:lang w:val="de-DE"/>
        </w:rPr>
        <w:t>4</w:t>
      </w:r>
      <w:r w:rsidRPr="005A5A48">
        <w:rPr>
          <w:rFonts w:asciiTheme="majorBidi" w:hAnsiTheme="majorBidi" w:cstheme="majorBidi"/>
          <w:lang w:val="de-DE"/>
        </w:rPr>
        <w:t>.</w:t>
      </w:r>
      <w:r w:rsidRPr="005A5A48">
        <w:rPr>
          <w:rFonts w:asciiTheme="majorBidi" w:hAnsiTheme="majorBidi" w:cstheme="majorBidi"/>
          <w:vertAlign w:val="subscript"/>
          <w:lang w:val="de-DE"/>
        </w:rPr>
        <w:t xml:space="preserve"> </w:t>
      </w:r>
      <w:r w:rsidRPr="0069694D">
        <w:rPr>
          <w:rFonts w:asciiTheme="majorBidi" w:hAnsiTheme="majorBidi" w:cstheme="majorBidi"/>
        </w:rPr>
        <w:t>For a discussion of the occurrences of these terms in Sumerian and Akkadian, see Horowitz 2011.</w:t>
      </w:r>
    </w:p>
  </w:footnote>
  <w:footnote w:id="40">
    <w:p w14:paraId="5607C416" w14:textId="400C2EEA"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r w:rsidRPr="00501A31">
        <w:rPr>
          <w:i/>
          <w:iCs/>
        </w:rPr>
        <w:t xml:space="preserve">Inana’s </w:t>
      </w:r>
      <w:r w:rsidRPr="005A5A48">
        <w:rPr>
          <w:i/>
          <w:iCs/>
        </w:rPr>
        <w:t>Descent</w:t>
      </w:r>
      <w:r>
        <w:t xml:space="preserve"> alternatively uses </w:t>
      </w:r>
      <w:r w:rsidRPr="00501A31">
        <w:rPr>
          <w:rStyle w:val="CommentReference"/>
        </w:rPr>
        <w:annotationRef/>
      </w:r>
      <w:r w:rsidRPr="005A5A48">
        <w:t xml:space="preserve">the Sumerian verb </w:t>
      </w:r>
      <w:proofErr w:type="spellStart"/>
      <w:r w:rsidRPr="005A5A48">
        <w:t>búr</w:t>
      </w:r>
      <w:proofErr w:type="spellEnd"/>
      <w:r w:rsidRPr="005A5A48">
        <w:t xml:space="preserve"> </w:t>
      </w:r>
      <w:r>
        <w:t xml:space="preserve">(“to release”) to </w:t>
      </w:r>
      <w:r w:rsidRPr="005A5A48">
        <w:t>describ</w:t>
      </w:r>
      <w:r>
        <w:t>e</w:t>
      </w:r>
      <w:r w:rsidRPr="005A5A48">
        <w:t xml:space="preserve"> Dumuzi’s </w:t>
      </w:r>
      <w:r>
        <w:t>rising</w:t>
      </w:r>
      <w:r w:rsidRPr="005A5A48">
        <w:t xml:space="preserve"> from the netherworld</w:t>
      </w:r>
      <w:r>
        <w:t xml:space="preserve">. </w:t>
      </w:r>
      <w:r w:rsidRPr="007E5C3E">
        <w:rPr>
          <w:rFonts w:asciiTheme="majorBidi" w:hAnsiTheme="majorBidi" w:cstheme="majorBidi"/>
        </w:rPr>
        <w:t>The</w:t>
      </w:r>
      <w:r w:rsidRPr="0069694D">
        <w:rPr>
          <w:rFonts w:asciiTheme="majorBidi" w:hAnsiTheme="majorBidi" w:cstheme="majorBidi"/>
        </w:rPr>
        <w:t xml:space="preserve"> analogous Akkadian verb </w:t>
      </w:r>
      <w:proofErr w:type="spellStart"/>
      <w:r w:rsidRPr="0069694D">
        <w:rPr>
          <w:rFonts w:asciiTheme="majorBidi" w:hAnsiTheme="majorBidi" w:cstheme="majorBidi"/>
          <w:i/>
          <w:iCs/>
        </w:rPr>
        <w:t>pašāru</w:t>
      </w:r>
      <w:proofErr w:type="spellEnd"/>
      <w:r w:rsidRPr="0069694D">
        <w:rPr>
          <w:rFonts w:asciiTheme="majorBidi" w:hAnsiTheme="majorBidi" w:cstheme="majorBidi"/>
          <w:i/>
          <w:iCs/>
        </w:rPr>
        <w:t xml:space="preserve"> </w:t>
      </w:r>
      <w:r w:rsidRPr="0069694D">
        <w:rPr>
          <w:rFonts w:asciiTheme="majorBidi" w:hAnsiTheme="majorBidi" w:cstheme="majorBidi"/>
        </w:rPr>
        <w:t xml:space="preserve">may have later been incorporated into the name of </w:t>
      </w:r>
      <w:r>
        <w:rPr>
          <w:rFonts w:asciiTheme="majorBidi" w:hAnsiTheme="majorBidi" w:cstheme="majorBidi"/>
        </w:rPr>
        <w:t>the second day</w:t>
      </w:r>
      <w:r w:rsidRPr="0069694D">
        <w:rPr>
          <w:rFonts w:asciiTheme="majorBidi" w:hAnsiTheme="majorBidi" w:cstheme="majorBidi"/>
        </w:rPr>
        <w:t xml:space="preserve"> of the </w:t>
      </w:r>
      <w:r w:rsidRPr="005A5A48">
        <w:rPr>
          <w:rFonts w:asciiTheme="majorBidi" w:hAnsiTheme="majorBidi" w:cstheme="majorBidi"/>
          <w:i/>
          <w:iCs/>
        </w:rPr>
        <w:t>Taklimtu</w:t>
      </w:r>
      <w:r w:rsidRPr="0069694D">
        <w:rPr>
          <w:rFonts w:asciiTheme="majorBidi" w:hAnsiTheme="majorBidi" w:cstheme="majorBidi"/>
        </w:rPr>
        <w:t xml:space="preserve"> rituals held for Dumuzi in the first millennium BCE. The names of the ritual’s </w:t>
      </w:r>
      <w:r>
        <w:rPr>
          <w:rFonts w:asciiTheme="majorBidi" w:hAnsiTheme="majorBidi" w:cstheme="majorBidi"/>
        </w:rPr>
        <w:t>three</w:t>
      </w:r>
      <w:r w:rsidRPr="0069694D">
        <w:rPr>
          <w:rFonts w:asciiTheme="majorBidi" w:hAnsiTheme="majorBidi" w:cstheme="majorBidi"/>
        </w:rPr>
        <w:t xml:space="preserve"> day</w:t>
      </w:r>
      <w:r>
        <w:rPr>
          <w:rFonts w:asciiTheme="majorBidi" w:hAnsiTheme="majorBidi" w:cstheme="majorBidi"/>
        </w:rPr>
        <w:t>s</w:t>
      </w:r>
      <w:r w:rsidRPr="0069694D">
        <w:rPr>
          <w:rFonts w:asciiTheme="majorBidi" w:hAnsiTheme="majorBidi" w:cstheme="majorBidi"/>
        </w:rPr>
        <w:t xml:space="preserve">, mentioned in Neo-Assyrian letters (LAS 5 + LAS 6) </w:t>
      </w:r>
      <w:r>
        <w:rPr>
          <w:rFonts w:asciiTheme="majorBidi" w:hAnsiTheme="majorBidi" w:cstheme="majorBidi"/>
        </w:rPr>
        <w:t>we</w:t>
      </w:r>
      <w:r w:rsidRPr="0069694D">
        <w:rPr>
          <w:rFonts w:asciiTheme="majorBidi" w:hAnsiTheme="majorBidi" w:cstheme="majorBidi"/>
        </w:rPr>
        <w:t xml:space="preserve">re: 1) </w:t>
      </w:r>
      <w:proofErr w:type="spellStart"/>
      <w:r w:rsidRPr="0069694D">
        <w:rPr>
          <w:rFonts w:asciiTheme="majorBidi" w:hAnsiTheme="majorBidi" w:cstheme="majorBidi"/>
          <w:i/>
          <w:iCs/>
        </w:rPr>
        <w:t>killu</w:t>
      </w:r>
      <w:proofErr w:type="spellEnd"/>
      <w:r w:rsidRPr="0069694D">
        <w:rPr>
          <w:rFonts w:asciiTheme="majorBidi" w:hAnsiTheme="majorBidi" w:cstheme="majorBidi"/>
        </w:rPr>
        <w:t xml:space="preserve"> “day of wailing”; 2) </w:t>
      </w:r>
      <w:proofErr w:type="spellStart"/>
      <w:r w:rsidRPr="0069694D">
        <w:rPr>
          <w:rFonts w:asciiTheme="majorBidi" w:hAnsiTheme="majorBidi" w:cstheme="majorBidi"/>
          <w:i/>
          <w:iCs/>
        </w:rPr>
        <w:t>pašāru</w:t>
      </w:r>
      <w:proofErr w:type="spellEnd"/>
      <w:r w:rsidRPr="0069694D">
        <w:rPr>
          <w:rFonts w:asciiTheme="majorBidi" w:hAnsiTheme="majorBidi" w:cstheme="majorBidi"/>
        </w:rPr>
        <w:t xml:space="preserve"> “day of release”; and 3) Dumuzi </w:t>
      </w:r>
      <w:r>
        <w:rPr>
          <w:rFonts w:asciiTheme="majorBidi" w:hAnsiTheme="majorBidi" w:cstheme="majorBidi"/>
        </w:rPr>
        <w:t>(</w:t>
      </w:r>
      <w:r w:rsidRPr="0069694D">
        <w:rPr>
          <w:rFonts w:asciiTheme="majorBidi" w:hAnsiTheme="majorBidi" w:cstheme="majorBidi"/>
        </w:rPr>
        <w:t xml:space="preserve">“day of </w:t>
      </w:r>
      <w:r>
        <w:rPr>
          <w:rFonts w:asciiTheme="majorBidi" w:hAnsiTheme="majorBidi" w:cstheme="majorBidi"/>
        </w:rPr>
        <w:t>D</w:t>
      </w:r>
      <w:r w:rsidRPr="0069694D">
        <w:rPr>
          <w:rFonts w:asciiTheme="majorBidi" w:hAnsiTheme="majorBidi" w:cstheme="majorBidi"/>
        </w:rPr>
        <w:t>umuzi</w:t>
      </w:r>
      <w:r>
        <w:rPr>
          <w:rFonts w:asciiTheme="majorBidi" w:hAnsiTheme="majorBidi" w:cstheme="majorBidi"/>
        </w:rPr>
        <w:t>).</w:t>
      </w:r>
      <w:r w:rsidRPr="0069694D">
        <w:rPr>
          <w:rFonts w:asciiTheme="majorBidi" w:hAnsiTheme="majorBidi" w:cstheme="majorBidi"/>
        </w:rPr>
        <w:t xml:space="preserve">” </w:t>
      </w:r>
      <w:r>
        <w:rPr>
          <w:rFonts w:asciiTheme="majorBidi" w:hAnsiTheme="majorBidi" w:cstheme="majorBidi"/>
        </w:rPr>
        <w:t>The assumed</w:t>
      </w:r>
      <w:r w:rsidRPr="0069694D">
        <w:rPr>
          <w:rFonts w:asciiTheme="majorBidi" w:hAnsiTheme="majorBidi" w:cstheme="majorBidi"/>
        </w:rPr>
        <w:t xml:space="preserve"> relation between the name of the </w:t>
      </w:r>
      <w:r w:rsidRPr="005A5A48">
        <w:rPr>
          <w:rFonts w:asciiTheme="majorBidi" w:hAnsiTheme="majorBidi" w:cstheme="majorBidi"/>
          <w:i/>
          <w:iCs/>
        </w:rPr>
        <w:t>Taklimtu</w:t>
      </w:r>
      <w:r w:rsidRPr="0069694D">
        <w:rPr>
          <w:rFonts w:asciiTheme="majorBidi" w:hAnsiTheme="majorBidi" w:cstheme="majorBidi"/>
        </w:rPr>
        <w:t xml:space="preserve"> ritual’s second day</w:t>
      </w:r>
      <w:r>
        <w:rPr>
          <w:rFonts w:asciiTheme="majorBidi" w:hAnsiTheme="majorBidi" w:cstheme="majorBidi"/>
        </w:rPr>
        <w:t xml:space="preserve"> – </w:t>
      </w:r>
      <w:r w:rsidRPr="0069694D">
        <w:rPr>
          <w:rFonts w:asciiTheme="majorBidi" w:hAnsiTheme="majorBidi" w:cstheme="majorBidi"/>
        </w:rPr>
        <w:t xml:space="preserve">a ritual </w:t>
      </w:r>
      <w:del w:id="18" w:author="Avraham Kallenbah" w:date="2021-04-13T08:44:00Z">
        <w:r w:rsidRPr="0069694D" w:rsidDel="00B91D14">
          <w:rPr>
            <w:rFonts w:asciiTheme="majorBidi" w:hAnsiTheme="majorBidi" w:cstheme="majorBidi"/>
          </w:rPr>
          <w:delText xml:space="preserve">intended </w:delText>
        </w:r>
      </w:del>
      <w:ins w:id="19" w:author="Noga Darshan" w:date="2021-04-12T10:49:00Z">
        <w:del w:id="20" w:author="Avraham Kallenbah" w:date="2021-04-13T08:44:00Z">
          <w:r w:rsidDel="00B91D14">
            <w:rPr>
              <w:rFonts w:asciiTheme="majorBidi" w:hAnsiTheme="majorBidi" w:cstheme="majorBidi"/>
              <w:lang w:val="en-GB"/>
            </w:rPr>
            <w:delText>usually</w:delText>
          </w:r>
        </w:del>
      </w:ins>
      <w:ins w:id="21" w:author="Avraham Kallenbah" w:date="2021-04-13T08:44:00Z">
        <w:r w:rsidR="00B91D14">
          <w:rPr>
            <w:rFonts w:asciiTheme="majorBidi" w:hAnsiTheme="majorBidi" w:cstheme="majorBidi"/>
          </w:rPr>
          <w:t>generally intended</w:t>
        </w:r>
      </w:ins>
      <w:ins w:id="22" w:author="Noga Darshan" w:date="2021-04-12T10:49:00Z">
        <w:r>
          <w:rPr>
            <w:rFonts w:asciiTheme="majorBidi" w:hAnsiTheme="majorBidi" w:cstheme="majorBidi"/>
            <w:lang w:val="en-GB"/>
          </w:rPr>
          <w:t xml:space="preserve"> </w:t>
        </w:r>
      </w:ins>
      <w:r w:rsidRPr="0069694D">
        <w:rPr>
          <w:rFonts w:asciiTheme="majorBidi" w:hAnsiTheme="majorBidi" w:cstheme="majorBidi"/>
        </w:rPr>
        <w:t>for human dead</w:t>
      </w:r>
      <w:r>
        <w:rPr>
          <w:rFonts w:asciiTheme="majorBidi" w:hAnsiTheme="majorBidi" w:cstheme="majorBidi"/>
        </w:rPr>
        <w:t xml:space="preserve"> –</w:t>
      </w:r>
      <w:r w:rsidRPr="0069694D">
        <w:rPr>
          <w:rFonts w:asciiTheme="majorBidi" w:hAnsiTheme="majorBidi" w:cstheme="majorBidi"/>
        </w:rPr>
        <w:t xml:space="preserve"> and the </w:t>
      </w:r>
      <w:r>
        <w:rPr>
          <w:rFonts w:asciiTheme="majorBidi" w:hAnsiTheme="majorBidi" w:cstheme="majorBidi"/>
        </w:rPr>
        <w:t>rising</w:t>
      </w:r>
      <w:r w:rsidRPr="0069694D">
        <w:rPr>
          <w:rFonts w:asciiTheme="majorBidi" w:hAnsiTheme="majorBidi" w:cstheme="majorBidi"/>
        </w:rPr>
        <w:t xml:space="preserve"> of Dumuzi from the netherworld in </w:t>
      </w:r>
      <w:r w:rsidRPr="0069694D">
        <w:rPr>
          <w:rFonts w:asciiTheme="majorBidi" w:hAnsiTheme="majorBidi" w:cstheme="majorBidi"/>
          <w:i/>
          <w:iCs/>
        </w:rPr>
        <w:t>Inana’s Descent</w:t>
      </w:r>
      <w:r>
        <w:rPr>
          <w:rFonts w:asciiTheme="majorBidi" w:hAnsiTheme="majorBidi" w:cstheme="majorBidi"/>
        </w:rPr>
        <w:t>, reveals again that</w:t>
      </w:r>
      <w:r w:rsidRPr="0069694D">
        <w:rPr>
          <w:rFonts w:asciiTheme="majorBidi" w:hAnsiTheme="majorBidi" w:cstheme="majorBidi"/>
        </w:rPr>
        <w:t xml:space="preserve"> Dumuzi’s </w:t>
      </w:r>
      <w:r>
        <w:rPr>
          <w:rFonts w:asciiTheme="majorBidi" w:hAnsiTheme="majorBidi" w:cstheme="majorBidi"/>
        </w:rPr>
        <w:t xml:space="preserve">semi-annual </w:t>
      </w:r>
      <w:r w:rsidRPr="0069694D">
        <w:rPr>
          <w:rFonts w:asciiTheme="majorBidi" w:hAnsiTheme="majorBidi" w:cstheme="majorBidi"/>
        </w:rPr>
        <w:t xml:space="preserve">resurrection was interpreted in the only way known to Mesopotamians at that time: Dumuzi rises with other dead from the netherworld in order to participate in the ritual of his periodic descent. </w:t>
      </w:r>
    </w:p>
  </w:footnote>
  <w:footnote w:id="41">
    <w:p w14:paraId="02FA5BEF" w14:textId="77777777"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In another letter from Mari (</w:t>
      </w:r>
      <w:r w:rsidRPr="00642704">
        <w:rPr>
          <w:rFonts w:asciiTheme="majorBidi" w:hAnsiTheme="majorBidi" w:cstheme="majorBidi"/>
          <w:i/>
          <w:iCs/>
        </w:rPr>
        <w:t>ARMT</w:t>
      </w:r>
      <w:r w:rsidRPr="0069694D">
        <w:rPr>
          <w:rFonts w:asciiTheme="majorBidi" w:hAnsiTheme="majorBidi" w:cstheme="majorBidi"/>
        </w:rPr>
        <w:t xml:space="preserve"> 13, 29:9; </w:t>
      </w:r>
      <w:r w:rsidRPr="00642704">
        <w:rPr>
          <w:rFonts w:asciiTheme="majorBidi" w:hAnsiTheme="majorBidi" w:cstheme="majorBidi"/>
          <w:i/>
          <w:iCs/>
        </w:rPr>
        <w:t>CAD</w:t>
      </w:r>
      <w:r w:rsidRPr="0069694D">
        <w:rPr>
          <w:rFonts w:asciiTheme="majorBidi" w:hAnsiTheme="majorBidi" w:cstheme="majorBidi"/>
        </w:rPr>
        <w:t xml:space="preserve"> M2, 206a) the term </w:t>
      </w:r>
      <w:proofErr w:type="spellStart"/>
      <w:r w:rsidRPr="0069694D">
        <w:rPr>
          <w:rFonts w:asciiTheme="majorBidi" w:hAnsiTheme="majorBidi" w:cstheme="majorBidi"/>
          <w:i/>
          <w:iCs/>
        </w:rPr>
        <w:t>munûtum</w:t>
      </w:r>
      <w:proofErr w:type="spellEnd"/>
      <w:r w:rsidRPr="0069694D">
        <w:rPr>
          <w:rFonts w:asciiTheme="majorBidi" w:hAnsiTheme="majorBidi" w:cstheme="majorBidi"/>
        </w:rPr>
        <w:t xml:space="preserve"> refers to the end of a month-long period</w:t>
      </w:r>
      <w:r>
        <w:rPr>
          <w:rFonts w:asciiTheme="majorBidi" w:hAnsiTheme="majorBidi" w:cstheme="majorBidi"/>
        </w:rPr>
        <w:t>.</w:t>
      </w:r>
      <w:r w:rsidRPr="0069694D">
        <w:rPr>
          <w:rFonts w:asciiTheme="majorBidi" w:hAnsiTheme="majorBidi" w:cstheme="majorBidi"/>
        </w:rPr>
        <w:t xml:space="preserve"> Cf. the biblical term </w:t>
      </w:r>
      <w:r w:rsidRPr="0069694D">
        <w:rPr>
          <w:rFonts w:asciiTheme="majorBidi" w:hAnsiTheme="majorBidi" w:cstheme="majorBidi"/>
          <w:rtl/>
        </w:rPr>
        <w:t>תקופת השנה</w:t>
      </w:r>
      <w:r w:rsidRPr="0069694D">
        <w:rPr>
          <w:rFonts w:asciiTheme="majorBidi" w:hAnsiTheme="majorBidi" w:cstheme="majorBidi"/>
        </w:rPr>
        <w:t xml:space="preserve"> (Ex 34:22) which is parallel to </w:t>
      </w:r>
      <w:r w:rsidRPr="0069694D">
        <w:rPr>
          <w:rFonts w:asciiTheme="majorBidi" w:hAnsiTheme="majorBidi" w:cstheme="majorBidi"/>
          <w:rtl/>
        </w:rPr>
        <w:t>צאת השנה</w:t>
      </w:r>
      <w:r w:rsidRPr="0069694D">
        <w:rPr>
          <w:rFonts w:asciiTheme="majorBidi" w:hAnsiTheme="majorBidi" w:cstheme="majorBidi"/>
        </w:rPr>
        <w:t xml:space="preserve"> (Ex 23:16) – meaning the end of the year.</w:t>
      </w:r>
      <w:r w:rsidRPr="0069694D">
        <w:rPr>
          <w:rFonts w:asciiTheme="majorBidi" w:hAnsiTheme="majorBidi" w:cstheme="majorBidi"/>
          <w:rtl/>
        </w:rPr>
        <w:t xml:space="preserve"> </w:t>
      </w:r>
    </w:p>
  </w:footnote>
  <w:footnote w:id="42">
    <w:p w14:paraId="59A58E6E" w14:textId="77777777"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Thus Durand 1997, 150, note n, but cf. </w:t>
      </w:r>
      <w:proofErr w:type="spellStart"/>
      <w:r w:rsidRPr="0069694D">
        <w:rPr>
          <w:rFonts w:asciiTheme="majorBidi" w:hAnsiTheme="majorBidi" w:cstheme="majorBidi"/>
        </w:rPr>
        <w:t>Marello</w:t>
      </w:r>
      <w:proofErr w:type="spellEnd"/>
      <w:r w:rsidRPr="0069694D">
        <w:rPr>
          <w:rFonts w:asciiTheme="majorBidi" w:hAnsiTheme="majorBidi" w:cstheme="majorBidi"/>
        </w:rPr>
        <w:t xml:space="preserve"> 1992, 120, n. l. By contrast, Frahm 2003, suggests that the verb is derived from the root </w:t>
      </w:r>
      <w:proofErr w:type="spellStart"/>
      <w:r w:rsidRPr="0069694D">
        <w:rPr>
          <w:rFonts w:asciiTheme="majorBidi" w:hAnsiTheme="majorBidi" w:cstheme="majorBidi"/>
          <w:i/>
          <w:iCs/>
        </w:rPr>
        <w:t>dekû</w:t>
      </w:r>
      <w:proofErr w:type="spellEnd"/>
      <w:r w:rsidRPr="0069694D">
        <w:rPr>
          <w:rFonts w:asciiTheme="majorBidi" w:hAnsiTheme="majorBidi" w:cstheme="majorBidi"/>
          <w:i/>
          <w:iCs/>
        </w:rPr>
        <w:t xml:space="preserve"> (</w:t>
      </w:r>
      <w:proofErr w:type="spellStart"/>
      <w:r w:rsidRPr="0069694D">
        <w:rPr>
          <w:rFonts w:asciiTheme="majorBidi" w:hAnsiTheme="majorBidi" w:cstheme="majorBidi"/>
          <w:i/>
          <w:iCs/>
        </w:rPr>
        <w:t>idakkûšu</w:t>
      </w:r>
      <w:proofErr w:type="spellEnd"/>
      <w:r w:rsidRPr="0069694D">
        <w:rPr>
          <w:rFonts w:asciiTheme="majorBidi" w:hAnsiTheme="majorBidi" w:cstheme="majorBidi"/>
        </w:rPr>
        <w:t xml:space="preserve">) meaning “to arouse from sleep, to raise.” If this suggestion is correct, </w:t>
      </w:r>
      <w:r>
        <w:rPr>
          <w:rFonts w:asciiTheme="majorBidi" w:hAnsiTheme="majorBidi" w:cstheme="majorBidi"/>
        </w:rPr>
        <w:t xml:space="preserve">Mari’s version of </w:t>
      </w:r>
      <w:r w:rsidRPr="0069694D">
        <w:rPr>
          <w:rFonts w:asciiTheme="majorBidi" w:hAnsiTheme="majorBidi" w:cstheme="majorBidi"/>
        </w:rPr>
        <w:t>Dumuzi’s resurrection would more closely resemble the resurrection of gods and men in Greek (</w:t>
      </w:r>
      <w:proofErr w:type="spellStart"/>
      <w:r w:rsidRPr="0069694D">
        <w:rPr>
          <w:rStyle w:val="eforth"/>
          <w:rFonts w:asciiTheme="majorBidi" w:hAnsiTheme="majorBidi" w:cstheme="majorBidi"/>
        </w:rPr>
        <w:t>ἐγείρω</w:t>
      </w:r>
      <w:proofErr w:type="spellEnd"/>
      <w:r w:rsidRPr="0069694D">
        <w:rPr>
          <w:rStyle w:val="eforth"/>
          <w:rFonts w:asciiTheme="majorBidi" w:hAnsiTheme="majorBidi" w:cstheme="majorBidi"/>
        </w:rPr>
        <w:t xml:space="preserve">, </w:t>
      </w:r>
      <w:proofErr w:type="spellStart"/>
      <w:r w:rsidRPr="0069694D">
        <w:rPr>
          <w:rStyle w:val="eforth"/>
          <w:rFonts w:asciiTheme="majorBidi" w:hAnsiTheme="majorBidi" w:cstheme="majorBidi"/>
        </w:rPr>
        <w:t>ἀνίστημι</w:t>
      </w:r>
      <w:proofErr w:type="spellEnd"/>
      <w:r w:rsidRPr="0069694D">
        <w:rPr>
          <w:rFonts w:asciiTheme="majorBidi" w:hAnsiTheme="majorBidi" w:cstheme="majorBidi"/>
        </w:rPr>
        <w:t>), Phoenician (</w:t>
      </w:r>
      <w:r w:rsidRPr="0069694D">
        <w:rPr>
          <w:rFonts w:asciiTheme="majorBidi" w:hAnsiTheme="majorBidi" w:cstheme="majorBidi"/>
          <w:i/>
          <w:iCs/>
        </w:rPr>
        <w:t>q-w-m</w:t>
      </w:r>
      <w:r w:rsidRPr="0069694D">
        <w:rPr>
          <w:rFonts w:asciiTheme="majorBidi" w:hAnsiTheme="majorBidi" w:cstheme="majorBidi"/>
        </w:rPr>
        <w:t>), and Hebrew (</w:t>
      </w:r>
      <w:r w:rsidRPr="0069694D">
        <w:rPr>
          <w:rFonts w:asciiTheme="majorBidi" w:hAnsiTheme="majorBidi" w:cstheme="majorBidi"/>
          <w:i/>
          <w:iCs/>
        </w:rPr>
        <w:t>y-q-ṣ/q-y-ṣ, q-w-m</w:t>
      </w:r>
      <w:r w:rsidRPr="0069694D">
        <w:rPr>
          <w:rFonts w:asciiTheme="majorBidi" w:hAnsiTheme="majorBidi" w:cstheme="majorBidi"/>
        </w:rPr>
        <w:t>) texts from the first millennium BCE</w:t>
      </w:r>
      <w:r>
        <w:rPr>
          <w:rFonts w:asciiTheme="majorBidi" w:hAnsiTheme="majorBidi" w:cstheme="majorBidi"/>
        </w:rPr>
        <w:t xml:space="preserve"> and CE</w:t>
      </w:r>
      <w:r w:rsidRPr="0069694D">
        <w:rPr>
          <w:rFonts w:asciiTheme="majorBidi" w:hAnsiTheme="majorBidi" w:cstheme="majorBidi"/>
        </w:rPr>
        <w:t xml:space="preserve">. (For a discussion of these verbs, see Cook 2018, 7-30 and see more below). We lack, however, evidence of such a tradition regarding the gods of Syria and Mesopotamia in the second millennium BCE. </w:t>
      </w:r>
    </w:p>
  </w:footnote>
  <w:footnote w:id="43">
    <w:p w14:paraId="3F55EB0E" w14:textId="5CF7D8D8"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r>
        <w:t>E</w:t>
      </w:r>
      <w:r w:rsidRPr="005A5A48">
        <w:t xml:space="preserve">specially notable in this regard are the sophisticated letters of </w:t>
      </w:r>
      <w:proofErr w:type="spellStart"/>
      <w:r w:rsidRPr="005A5A48">
        <w:t>Nūr-Sîn</w:t>
      </w:r>
      <w:proofErr w:type="spellEnd"/>
      <w:r w:rsidRPr="005A5A48">
        <w:t xml:space="preserve"> the ambassador of Mari in Aleppo</w:t>
      </w:r>
      <w:r w:rsidRPr="005A5A48">
        <w:rPr>
          <w:rStyle w:val="CommentReference"/>
          <w:sz w:val="20"/>
          <w:szCs w:val="20"/>
        </w:rPr>
        <w:annotationRef/>
      </w:r>
      <w:r>
        <w:rPr>
          <w:rFonts w:asciiTheme="majorBidi" w:hAnsiTheme="majorBidi" w:cstheme="majorBidi"/>
        </w:rPr>
        <w:t>; s</w:t>
      </w:r>
      <w:r w:rsidRPr="0069694D">
        <w:rPr>
          <w:rFonts w:asciiTheme="majorBidi" w:hAnsiTheme="majorBidi" w:cstheme="majorBidi"/>
        </w:rPr>
        <w:t>ee, e.g., Sasson 1994.</w:t>
      </w:r>
    </w:p>
  </w:footnote>
  <w:footnote w:id="44">
    <w:p w14:paraId="5E274170" w14:textId="77777777"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Dossin 1975, 27-28; </w:t>
      </w:r>
      <w:proofErr w:type="spellStart"/>
      <w:r w:rsidRPr="0069694D">
        <w:rPr>
          <w:rFonts w:asciiTheme="majorBidi" w:hAnsiTheme="majorBidi" w:cstheme="majorBidi"/>
          <w:i/>
          <w:iCs/>
        </w:rPr>
        <w:t>AhW</w:t>
      </w:r>
      <w:proofErr w:type="spellEnd"/>
      <w:r w:rsidRPr="0069694D">
        <w:rPr>
          <w:rFonts w:asciiTheme="majorBidi" w:hAnsiTheme="majorBidi" w:cstheme="majorBidi"/>
        </w:rPr>
        <w:t xml:space="preserve"> 1346, </w:t>
      </w:r>
      <w:proofErr w:type="spellStart"/>
      <w:r w:rsidRPr="0069694D">
        <w:rPr>
          <w:rFonts w:asciiTheme="majorBidi" w:hAnsiTheme="majorBidi" w:cstheme="majorBidi"/>
        </w:rPr>
        <w:t>s.v.</w:t>
      </w:r>
      <w:proofErr w:type="spellEnd"/>
      <w:r w:rsidRPr="0069694D">
        <w:rPr>
          <w:rFonts w:asciiTheme="majorBidi" w:hAnsiTheme="majorBidi" w:cstheme="majorBidi"/>
        </w:rPr>
        <w:t xml:space="preserve"> </w:t>
      </w:r>
      <w:proofErr w:type="spellStart"/>
      <w:r w:rsidRPr="0069694D">
        <w:rPr>
          <w:rFonts w:asciiTheme="majorBidi" w:hAnsiTheme="majorBidi" w:cstheme="majorBidi"/>
          <w:i/>
          <w:iCs/>
        </w:rPr>
        <w:t>temrum</w:t>
      </w:r>
      <w:proofErr w:type="spellEnd"/>
      <w:r w:rsidRPr="0069694D">
        <w:rPr>
          <w:rFonts w:asciiTheme="majorBidi" w:hAnsiTheme="majorBidi" w:cstheme="majorBidi"/>
        </w:rPr>
        <w:t xml:space="preserve">; </w:t>
      </w:r>
      <w:r w:rsidRPr="005A5A48">
        <w:rPr>
          <w:rFonts w:asciiTheme="majorBidi" w:hAnsiTheme="majorBidi" w:cstheme="majorBidi"/>
          <w:i/>
          <w:iCs/>
        </w:rPr>
        <w:t>CAD</w:t>
      </w:r>
      <w:r w:rsidRPr="0069694D">
        <w:rPr>
          <w:rFonts w:asciiTheme="majorBidi" w:hAnsiTheme="majorBidi" w:cstheme="majorBidi"/>
        </w:rPr>
        <w:t xml:space="preserve"> T, 419, </w:t>
      </w:r>
      <w:proofErr w:type="spellStart"/>
      <w:r w:rsidRPr="0069694D">
        <w:rPr>
          <w:rFonts w:asciiTheme="majorBidi" w:hAnsiTheme="majorBidi" w:cstheme="majorBidi"/>
        </w:rPr>
        <w:t>s.v.</w:t>
      </w:r>
      <w:proofErr w:type="spellEnd"/>
      <w:r w:rsidRPr="0069694D">
        <w:rPr>
          <w:rFonts w:asciiTheme="majorBidi" w:hAnsiTheme="majorBidi" w:cstheme="majorBidi"/>
        </w:rPr>
        <w:t xml:space="preserve"> </w:t>
      </w:r>
      <w:proofErr w:type="spellStart"/>
      <w:r w:rsidRPr="0069694D">
        <w:rPr>
          <w:rFonts w:asciiTheme="majorBidi" w:hAnsiTheme="majorBidi" w:cstheme="majorBidi"/>
          <w:i/>
          <w:iCs/>
        </w:rPr>
        <w:t>timru</w:t>
      </w:r>
      <w:proofErr w:type="spellEnd"/>
      <w:r w:rsidRPr="0069694D">
        <w:rPr>
          <w:rFonts w:asciiTheme="majorBidi" w:hAnsiTheme="majorBidi" w:cstheme="majorBidi"/>
        </w:rPr>
        <w:t xml:space="preserve">; </w:t>
      </w:r>
      <w:r w:rsidRPr="005A5A48">
        <w:rPr>
          <w:rFonts w:asciiTheme="majorBidi" w:hAnsiTheme="majorBidi" w:cstheme="majorBidi"/>
          <w:i/>
          <w:iCs/>
        </w:rPr>
        <w:t>CDA</w:t>
      </w:r>
      <w:r w:rsidRPr="0069694D">
        <w:rPr>
          <w:rFonts w:asciiTheme="majorBidi" w:hAnsiTheme="majorBidi" w:cstheme="majorBidi"/>
        </w:rPr>
        <w:t xml:space="preserve">, 404, </w:t>
      </w:r>
      <w:proofErr w:type="spellStart"/>
      <w:r w:rsidRPr="0069694D">
        <w:rPr>
          <w:rFonts w:asciiTheme="majorBidi" w:hAnsiTheme="majorBidi" w:cstheme="majorBidi"/>
        </w:rPr>
        <w:t>s.v.</w:t>
      </w:r>
      <w:proofErr w:type="spellEnd"/>
      <w:r w:rsidRPr="0069694D">
        <w:rPr>
          <w:rFonts w:asciiTheme="majorBidi" w:hAnsiTheme="majorBidi" w:cstheme="majorBidi"/>
        </w:rPr>
        <w:t xml:space="preserve"> </w:t>
      </w:r>
      <w:proofErr w:type="spellStart"/>
      <w:r w:rsidRPr="0069694D">
        <w:rPr>
          <w:rFonts w:asciiTheme="majorBidi" w:hAnsiTheme="majorBidi" w:cstheme="majorBidi"/>
          <w:i/>
          <w:iCs/>
        </w:rPr>
        <w:t>temrum</w:t>
      </w:r>
      <w:proofErr w:type="spellEnd"/>
      <w:r w:rsidRPr="0069694D">
        <w:rPr>
          <w:rFonts w:asciiTheme="majorBidi" w:hAnsiTheme="majorBidi" w:cstheme="majorBidi"/>
        </w:rPr>
        <w:t>.</w:t>
      </w:r>
    </w:p>
  </w:footnote>
  <w:footnote w:id="45">
    <w:p w14:paraId="23065F39" w14:textId="2AA4E374"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proofErr w:type="spellStart"/>
      <w:r w:rsidRPr="0069694D">
        <w:rPr>
          <w:rFonts w:asciiTheme="majorBidi" w:hAnsiTheme="majorBidi" w:cstheme="majorBidi"/>
        </w:rPr>
        <w:t>Jacquet</w:t>
      </w:r>
      <w:proofErr w:type="spellEnd"/>
      <w:r w:rsidRPr="0069694D">
        <w:rPr>
          <w:rFonts w:asciiTheme="majorBidi" w:hAnsiTheme="majorBidi" w:cstheme="majorBidi"/>
        </w:rPr>
        <w:t xml:space="preserve"> 2008, </w:t>
      </w:r>
      <w:r w:rsidRPr="005A5A48">
        <w:rPr>
          <w:rFonts w:asciiTheme="majorBidi" w:hAnsiTheme="majorBidi" w:cstheme="majorBidi"/>
          <w:highlight w:val="yellow"/>
        </w:rPr>
        <w:t>410-411 and 418-419</w:t>
      </w:r>
      <w:r w:rsidRPr="0069694D">
        <w:rPr>
          <w:rFonts w:asciiTheme="majorBidi" w:hAnsiTheme="majorBidi" w:cstheme="majorBidi"/>
        </w:rPr>
        <w:t xml:space="preserve">; 2011, 139; </w:t>
      </w:r>
      <w:proofErr w:type="spellStart"/>
      <w:r w:rsidRPr="0069694D">
        <w:rPr>
          <w:rFonts w:asciiTheme="majorBidi" w:hAnsiTheme="majorBidi" w:cstheme="majorBidi"/>
        </w:rPr>
        <w:t>Charpin</w:t>
      </w:r>
      <w:proofErr w:type="spellEnd"/>
      <w:r w:rsidRPr="0069694D">
        <w:rPr>
          <w:rFonts w:asciiTheme="majorBidi" w:hAnsiTheme="majorBidi" w:cstheme="majorBidi"/>
        </w:rPr>
        <w:t xml:space="preserve"> 2012, 77. Another </w:t>
      </w:r>
      <w:r>
        <w:rPr>
          <w:rFonts w:asciiTheme="majorBidi" w:hAnsiTheme="majorBidi" w:cstheme="majorBidi"/>
        </w:rPr>
        <w:t>conjugation</w:t>
      </w:r>
      <w:r w:rsidRPr="0069694D">
        <w:rPr>
          <w:rFonts w:asciiTheme="majorBidi" w:hAnsiTheme="majorBidi" w:cstheme="majorBidi"/>
        </w:rPr>
        <w:t xml:space="preserve"> of the root</w:t>
      </w:r>
      <w:r>
        <w:rPr>
          <w:rFonts w:asciiTheme="majorBidi" w:hAnsiTheme="majorBidi" w:cstheme="majorBidi"/>
        </w:rPr>
        <w:t xml:space="preserve"> – </w:t>
      </w:r>
      <w:proofErr w:type="spellStart"/>
      <w:r w:rsidRPr="0069694D">
        <w:rPr>
          <w:rFonts w:asciiTheme="majorBidi" w:hAnsiTheme="majorBidi" w:cstheme="majorBidi"/>
          <w:i/>
          <w:iCs/>
        </w:rPr>
        <w:t>timirtum</w:t>
      </w:r>
      <w:proofErr w:type="spellEnd"/>
      <w:r>
        <w:rPr>
          <w:rFonts w:asciiTheme="majorBidi" w:hAnsiTheme="majorBidi" w:cstheme="majorBidi"/>
        </w:rPr>
        <w:t xml:space="preserve"> – </w:t>
      </w:r>
      <w:r w:rsidRPr="0069694D">
        <w:rPr>
          <w:rFonts w:asciiTheme="majorBidi" w:hAnsiTheme="majorBidi" w:cstheme="majorBidi"/>
        </w:rPr>
        <w:t xml:space="preserve">with a similar meaning, is also attested in Mari, and in the plural – </w:t>
      </w:r>
      <w:proofErr w:type="spellStart"/>
      <w:r w:rsidRPr="0069694D">
        <w:rPr>
          <w:rFonts w:asciiTheme="majorBidi" w:hAnsiTheme="majorBidi" w:cstheme="majorBidi"/>
          <w:i/>
          <w:iCs/>
        </w:rPr>
        <w:t>timrāni</w:t>
      </w:r>
      <w:proofErr w:type="spellEnd"/>
      <w:r w:rsidRPr="0069694D">
        <w:rPr>
          <w:rFonts w:asciiTheme="majorBidi" w:hAnsiTheme="majorBidi" w:cstheme="majorBidi"/>
        </w:rPr>
        <w:t xml:space="preserve"> – in a Neo-Assyrian letter (</w:t>
      </w:r>
      <w:r w:rsidRPr="005A5A48">
        <w:rPr>
          <w:rFonts w:asciiTheme="majorBidi" w:hAnsiTheme="majorBidi" w:cstheme="majorBidi"/>
          <w:i/>
          <w:iCs/>
        </w:rPr>
        <w:t>CAD</w:t>
      </w:r>
      <w:r w:rsidRPr="0069694D">
        <w:rPr>
          <w:rFonts w:asciiTheme="majorBidi" w:hAnsiTheme="majorBidi" w:cstheme="majorBidi"/>
        </w:rPr>
        <w:t xml:space="preserve"> T, </w:t>
      </w:r>
      <w:proofErr w:type="spellStart"/>
      <w:r w:rsidRPr="0069694D">
        <w:rPr>
          <w:rFonts w:asciiTheme="majorBidi" w:hAnsiTheme="majorBidi" w:cstheme="majorBidi"/>
        </w:rPr>
        <w:t>s.v.</w:t>
      </w:r>
      <w:proofErr w:type="spellEnd"/>
      <w:r w:rsidRPr="0069694D">
        <w:rPr>
          <w:rFonts w:asciiTheme="majorBidi" w:hAnsiTheme="majorBidi" w:cstheme="majorBidi"/>
        </w:rPr>
        <w:t xml:space="preserve"> </w:t>
      </w:r>
      <w:proofErr w:type="spellStart"/>
      <w:r w:rsidRPr="0069694D">
        <w:rPr>
          <w:rFonts w:asciiTheme="majorBidi" w:hAnsiTheme="majorBidi" w:cstheme="majorBidi"/>
          <w:i/>
          <w:iCs/>
        </w:rPr>
        <w:t>timirtu</w:t>
      </w:r>
      <w:proofErr w:type="spellEnd"/>
      <w:r w:rsidRPr="0069694D">
        <w:rPr>
          <w:rFonts w:asciiTheme="majorBidi" w:hAnsiTheme="majorBidi" w:cstheme="majorBidi"/>
        </w:rPr>
        <w:t xml:space="preserve">, </w:t>
      </w:r>
      <w:proofErr w:type="spellStart"/>
      <w:r w:rsidRPr="0069694D">
        <w:rPr>
          <w:rFonts w:asciiTheme="majorBidi" w:hAnsiTheme="majorBidi" w:cstheme="majorBidi"/>
          <w:i/>
          <w:iCs/>
        </w:rPr>
        <w:t>timru</w:t>
      </w:r>
      <w:proofErr w:type="spellEnd"/>
      <w:r w:rsidRPr="0069694D">
        <w:rPr>
          <w:rFonts w:asciiTheme="majorBidi" w:hAnsiTheme="majorBidi" w:cstheme="majorBidi"/>
        </w:rPr>
        <w:t>).</w:t>
      </w:r>
      <w:r w:rsidRPr="0069694D">
        <w:rPr>
          <w:rFonts w:asciiTheme="majorBidi" w:hAnsiTheme="majorBidi" w:cstheme="majorBidi"/>
          <w:rtl/>
        </w:rPr>
        <w:t xml:space="preserve"> </w:t>
      </w:r>
    </w:p>
  </w:footnote>
  <w:footnote w:id="46">
    <w:p w14:paraId="467FD903" w14:textId="2B46B64E"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For later evidence of funerary rituals connected to Dumuzi during these months, see </w:t>
      </w:r>
      <w:r w:rsidRPr="00CF0683">
        <w:rPr>
          <w:rFonts w:asciiTheme="majorBidi" w:hAnsiTheme="majorBidi" w:cstheme="majorBidi"/>
          <w:highlight w:val="yellow"/>
        </w:rPr>
        <w:t>n. …</w:t>
      </w:r>
      <w:r w:rsidRPr="0069694D">
        <w:rPr>
          <w:rFonts w:asciiTheme="majorBidi" w:hAnsiTheme="majorBidi" w:cstheme="majorBidi"/>
        </w:rPr>
        <w:t xml:space="preserve"> above.</w:t>
      </w:r>
      <w:r>
        <w:rPr>
          <w:rFonts w:asciiTheme="majorBidi" w:hAnsiTheme="majorBidi" w:cstheme="majorBidi"/>
        </w:rPr>
        <w:t xml:space="preserve"> </w:t>
      </w:r>
      <w:r w:rsidRPr="0069694D">
        <w:rPr>
          <w:rFonts w:asciiTheme="majorBidi" w:hAnsiTheme="majorBidi" w:cstheme="majorBidi"/>
        </w:rPr>
        <w:t xml:space="preserve">Kutscher 1990, 40 </w:t>
      </w:r>
      <w:r>
        <w:rPr>
          <w:rFonts w:asciiTheme="majorBidi" w:hAnsiTheme="majorBidi" w:cstheme="majorBidi"/>
        </w:rPr>
        <w:t>suggests</w:t>
      </w:r>
      <w:r w:rsidRPr="0069694D">
        <w:rPr>
          <w:rFonts w:asciiTheme="majorBidi" w:hAnsiTheme="majorBidi" w:cstheme="majorBidi"/>
        </w:rPr>
        <w:t xml:space="preserve"> that document </w:t>
      </w:r>
      <w:r w:rsidRPr="005A5A48">
        <w:rPr>
          <w:rFonts w:asciiTheme="majorBidi" w:hAnsiTheme="majorBidi" w:cstheme="majorBidi"/>
          <w:i/>
          <w:iCs/>
        </w:rPr>
        <w:t>ARM</w:t>
      </w:r>
      <w:r w:rsidRPr="0069694D">
        <w:rPr>
          <w:rFonts w:asciiTheme="majorBidi" w:hAnsiTheme="majorBidi" w:cstheme="majorBidi"/>
        </w:rPr>
        <w:t xml:space="preserve"> IX 175 </w:t>
      </w:r>
      <w:r>
        <w:rPr>
          <w:rFonts w:asciiTheme="majorBidi" w:hAnsiTheme="majorBidi" w:cstheme="majorBidi"/>
        </w:rPr>
        <w:t xml:space="preserve">from Mari </w:t>
      </w:r>
      <w:r w:rsidRPr="0069694D">
        <w:rPr>
          <w:rFonts w:asciiTheme="majorBidi" w:hAnsiTheme="majorBidi" w:cstheme="majorBidi"/>
        </w:rPr>
        <w:t xml:space="preserve">– which prescribes a large amount of barley for female mourners </w:t>
      </w:r>
      <w:r>
        <w:rPr>
          <w:rFonts w:asciiTheme="majorBidi" w:hAnsiTheme="majorBidi" w:cstheme="majorBidi"/>
        </w:rPr>
        <w:t>(“3</w:t>
      </w:r>
      <w:r w:rsidRPr="0069694D">
        <w:rPr>
          <w:rFonts w:asciiTheme="majorBidi" w:hAnsiTheme="majorBidi" w:cstheme="majorBidi"/>
          <w:i/>
          <w:iCs/>
        </w:rPr>
        <w:t xml:space="preserve"> </w:t>
      </w:r>
      <w:proofErr w:type="spellStart"/>
      <w:r w:rsidRPr="0069694D">
        <w:rPr>
          <w:rFonts w:asciiTheme="majorBidi" w:hAnsiTheme="majorBidi" w:cstheme="majorBidi"/>
          <w:i/>
          <w:iCs/>
        </w:rPr>
        <w:t>ugar</w:t>
      </w:r>
      <w:proofErr w:type="spellEnd"/>
      <w:r w:rsidRPr="0069694D">
        <w:rPr>
          <w:rFonts w:asciiTheme="majorBidi" w:hAnsiTheme="majorBidi" w:cstheme="majorBidi"/>
          <w:i/>
          <w:iCs/>
        </w:rPr>
        <w:t xml:space="preserve"> </w:t>
      </w:r>
      <w:r w:rsidRPr="005A5A48">
        <w:rPr>
          <w:rFonts w:asciiTheme="majorBidi" w:hAnsiTheme="majorBidi" w:cstheme="majorBidi"/>
        </w:rPr>
        <w:t>(=3600</w:t>
      </w:r>
      <w:r w:rsidRPr="0069694D">
        <w:rPr>
          <w:rFonts w:asciiTheme="majorBidi" w:hAnsiTheme="majorBidi" w:cstheme="majorBidi"/>
          <w:i/>
          <w:iCs/>
        </w:rPr>
        <w:t xml:space="preserve"> </w:t>
      </w:r>
      <w:proofErr w:type="spellStart"/>
      <w:r w:rsidRPr="0069694D">
        <w:rPr>
          <w:rFonts w:asciiTheme="majorBidi" w:hAnsiTheme="majorBidi" w:cstheme="majorBidi"/>
          <w:i/>
          <w:iCs/>
        </w:rPr>
        <w:t>qa</w:t>
      </w:r>
      <w:proofErr w:type="spellEnd"/>
      <w:r w:rsidRPr="005A5A48">
        <w:rPr>
          <w:rFonts w:asciiTheme="majorBidi" w:hAnsiTheme="majorBidi" w:cstheme="majorBidi"/>
        </w:rPr>
        <w:t>)</w:t>
      </w:r>
      <w:r w:rsidRPr="0069694D">
        <w:rPr>
          <w:rFonts w:asciiTheme="majorBidi" w:hAnsiTheme="majorBidi" w:cstheme="majorBidi"/>
          <w:i/>
          <w:iCs/>
        </w:rPr>
        <w:t xml:space="preserve"> </w:t>
      </w:r>
      <w:proofErr w:type="spellStart"/>
      <w:r w:rsidRPr="0069694D">
        <w:rPr>
          <w:rFonts w:asciiTheme="majorBidi" w:hAnsiTheme="majorBidi" w:cstheme="majorBidi"/>
          <w:i/>
          <w:iCs/>
        </w:rPr>
        <w:t>še’um</w:t>
      </w:r>
      <w:proofErr w:type="spellEnd"/>
      <w:r w:rsidRPr="0069694D">
        <w:rPr>
          <w:rFonts w:asciiTheme="majorBidi" w:hAnsiTheme="majorBidi" w:cstheme="majorBidi"/>
          <w:i/>
          <w:iCs/>
        </w:rPr>
        <w:t xml:space="preserve"> ana </w:t>
      </w:r>
      <w:proofErr w:type="spellStart"/>
      <w:r w:rsidRPr="0069694D">
        <w:rPr>
          <w:rFonts w:asciiTheme="majorBidi" w:hAnsiTheme="majorBidi" w:cstheme="majorBidi"/>
          <w:vertAlign w:val="superscript"/>
        </w:rPr>
        <w:t>mí.meš</w:t>
      </w:r>
      <w:r w:rsidRPr="0069694D">
        <w:rPr>
          <w:rFonts w:asciiTheme="majorBidi" w:hAnsiTheme="majorBidi" w:cstheme="majorBidi"/>
          <w:i/>
          <w:iCs/>
        </w:rPr>
        <w:t>bakkītim</w:t>
      </w:r>
      <w:proofErr w:type="spellEnd"/>
      <w:r>
        <w:rPr>
          <w:rFonts w:asciiTheme="majorBidi" w:hAnsiTheme="majorBidi" w:cstheme="majorBidi"/>
        </w:rPr>
        <w:t>”)</w:t>
      </w:r>
      <w:r w:rsidRPr="0069694D">
        <w:rPr>
          <w:rFonts w:asciiTheme="majorBidi" w:hAnsiTheme="majorBidi" w:cstheme="majorBidi"/>
          <w:i/>
          <w:iCs/>
        </w:rPr>
        <w:t xml:space="preserve"> </w:t>
      </w:r>
      <w:r w:rsidRPr="0069694D">
        <w:rPr>
          <w:rFonts w:asciiTheme="majorBidi" w:hAnsiTheme="majorBidi" w:cstheme="majorBidi"/>
        </w:rPr>
        <w:t xml:space="preserve">and </w:t>
      </w:r>
      <w:r>
        <w:rPr>
          <w:rFonts w:asciiTheme="majorBidi" w:hAnsiTheme="majorBidi" w:cstheme="majorBidi"/>
        </w:rPr>
        <w:t>which is</w:t>
      </w:r>
      <w:r w:rsidRPr="0069694D">
        <w:rPr>
          <w:rFonts w:asciiTheme="majorBidi" w:hAnsiTheme="majorBidi" w:cstheme="majorBidi"/>
        </w:rPr>
        <w:t xml:space="preserve"> dated to Abu (</w:t>
      </w:r>
      <w:r>
        <w:rPr>
          <w:rFonts w:asciiTheme="majorBidi" w:hAnsiTheme="majorBidi" w:cstheme="majorBidi"/>
        </w:rPr>
        <w:t xml:space="preserve">= </w:t>
      </w:r>
      <w:r w:rsidRPr="0069694D">
        <w:rPr>
          <w:rFonts w:asciiTheme="majorBidi" w:hAnsiTheme="majorBidi" w:cstheme="majorBidi"/>
        </w:rPr>
        <w:t>the fourth month) 9</w:t>
      </w:r>
      <w:r w:rsidRPr="005A5A48">
        <w:rPr>
          <w:rFonts w:asciiTheme="majorBidi" w:hAnsiTheme="majorBidi" w:cstheme="majorBidi"/>
          <w:vertAlign w:val="superscript"/>
        </w:rPr>
        <w:t>th</w:t>
      </w:r>
      <w:r>
        <w:rPr>
          <w:rFonts w:asciiTheme="majorBidi" w:hAnsiTheme="majorBidi" w:cstheme="majorBidi"/>
        </w:rPr>
        <w:t xml:space="preserve"> </w:t>
      </w:r>
      <w:r w:rsidRPr="0069694D">
        <w:rPr>
          <w:rFonts w:asciiTheme="majorBidi" w:hAnsiTheme="majorBidi" w:cstheme="majorBidi"/>
        </w:rPr>
        <w:t xml:space="preserve">– is also </w:t>
      </w:r>
      <w:r>
        <w:rPr>
          <w:rFonts w:asciiTheme="majorBidi" w:hAnsiTheme="majorBidi" w:cstheme="majorBidi"/>
        </w:rPr>
        <w:t>referring to</w:t>
      </w:r>
      <w:r w:rsidRPr="0069694D">
        <w:rPr>
          <w:rFonts w:asciiTheme="majorBidi" w:hAnsiTheme="majorBidi" w:cstheme="majorBidi"/>
        </w:rPr>
        <w:t xml:space="preserve"> a ritual mourning for Dumuzi’s death. However, </w:t>
      </w:r>
      <w:r>
        <w:rPr>
          <w:rFonts w:asciiTheme="majorBidi" w:hAnsiTheme="majorBidi" w:cstheme="majorBidi"/>
        </w:rPr>
        <w:t>an additional document from Mari,</w:t>
      </w:r>
      <w:r w:rsidRPr="0069694D">
        <w:rPr>
          <w:rFonts w:asciiTheme="majorBidi" w:hAnsiTheme="majorBidi" w:cstheme="majorBidi"/>
        </w:rPr>
        <w:t xml:space="preserve"> </w:t>
      </w:r>
      <w:r w:rsidRPr="005A5A48">
        <w:rPr>
          <w:rFonts w:asciiTheme="majorBidi" w:hAnsiTheme="majorBidi" w:cstheme="majorBidi"/>
          <w:i/>
          <w:iCs/>
        </w:rPr>
        <w:t>ARM</w:t>
      </w:r>
      <w:r w:rsidRPr="0069694D">
        <w:rPr>
          <w:rFonts w:asciiTheme="majorBidi" w:hAnsiTheme="majorBidi" w:cstheme="majorBidi"/>
        </w:rPr>
        <w:t xml:space="preserve"> XII 437</w:t>
      </w:r>
      <w:r>
        <w:rPr>
          <w:rFonts w:asciiTheme="majorBidi" w:hAnsiTheme="majorBidi" w:cstheme="majorBidi"/>
        </w:rPr>
        <w:t>, which</w:t>
      </w:r>
      <w:r w:rsidRPr="0069694D">
        <w:rPr>
          <w:rFonts w:asciiTheme="majorBidi" w:hAnsiTheme="majorBidi" w:cstheme="majorBidi"/>
        </w:rPr>
        <w:t xml:space="preserve"> </w:t>
      </w:r>
      <w:r>
        <w:rPr>
          <w:rFonts w:asciiTheme="majorBidi" w:hAnsiTheme="majorBidi" w:cstheme="majorBidi"/>
        </w:rPr>
        <w:t xml:space="preserve">is </w:t>
      </w:r>
      <w:r w:rsidRPr="0069694D">
        <w:rPr>
          <w:rFonts w:asciiTheme="majorBidi" w:hAnsiTheme="majorBidi" w:cstheme="majorBidi"/>
        </w:rPr>
        <w:t>also dated to Abu 9</w:t>
      </w:r>
      <w:r w:rsidRPr="005A5A48">
        <w:rPr>
          <w:rFonts w:asciiTheme="majorBidi" w:hAnsiTheme="majorBidi" w:cstheme="majorBidi"/>
          <w:vertAlign w:val="superscript"/>
        </w:rPr>
        <w:t>th</w:t>
      </w:r>
      <w:r>
        <w:rPr>
          <w:rFonts w:asciiTheme="majorBidi" w:hAnsiTheme="majorBidi" w:cstheme="majorBidi"/>
        </w:rPr>
        <w:t xml:space="preserve">, </w:t>
      </w:r>
      <w:r w:rsidRPr="0069694D">
        <w:rPr>
          <w:rFonts w:asciiTheme="majorBidi" w:hAnsiTheme="majorBidi" w:cstheme="majorBidi"/>
        </w:rPr>
        <w:t>mention</w:t>
      </w:r>
      <w:r>
        <w:rPr>
          <w:rFonts w:asciiTheme="majorBidi" w:hAnsiTheme="majorBidi" w:cstheme="majorBidi"/>
        </w:rPr>
        <w:t>s</w:t>
      </w:r>
      <w:r w:rsidRPr="0069694D">
        <w:rPr>
          <w:rFonts w:asciiTheme="majorBidi" w:hAnsiTheme="majorBidi" w:cstheme="majorBidi"/>
        </w:rPr>
        <w:t xml:space="preserve"> large amounts of </w:t>
      </w:r>
      <w:r>
        <w:rPr>
          <w:rFonts w:asciiTheme="majorBidi" w:hAnsiTheme="majorBidi" w:cstheme="majorBidi"/>
        </w:rPr>
        <w:t>products</w:t>
      </w:r>
      <w:r w:rsidRPr="0069694D">
        <w:rPr>
          <w:rFonts w:asciiTheme="majorBidi" w:hAnsiTheme="majorBidi" w:cstheme="majorBidi"/>
        </w:rPr>
        <w:t xml:space="preserve"> for the </w:t>
      </w:r>
      <w:proofErr w:type="spellStart"/>
      <w:r w:rsidRPr="0069694D">
        <w:rPr>
          <w:rFonts w:asciiTheme="majorBidi" w:hAnsiTheme="majorBidi" w:cstheme="majorBidi"/>
          <w:i/>
          <w:iCs/>
        </w:rPr>
        <w:t>Kipsum</w:t>
      </w:r>
      <w:proofErr w:type="spellEnd"/>
      <w:r w:rsidRPr="0069694D">
        <w:rPr>
          <w:rFonts w:asciiTheme="majorBidi" w:hAnsiTheme="majorBidi" w:cstheme="majorBidi"/>
        </w:rPr>
        <w:t xml:space="preserve"> ritual</w:t>
      </w:r>
      <w:r>
        <w:rPr>
          <w:rFonts w:asciiTheme="majorBidi" w:hAnsiTheme="majorBidi" w:cstheme="majorBidi"/>
        </w:rPr>
        <w:t>,</w:t>
      </w:r>
      <w:r w:rsidRPr="0069694D">
        <w:rPr>
          <w:rFonts w:asciiTheme="majorBidi" w:hAnsiTheme="majorBidi" w:cstheme="majorBidi"/>
        </w:rPr>
        <w:t xml:space="preserve"> </w:t>
      </w:r>
      <w:r>
        <w:rPr>
          <w:rFonts w:asciiTheme="majorBidi" w:hAnsiTheme="majorBidi" w:cstheme="majorBidi"/>
        </w:rPr>
        <w:t>thus supplying</w:t>
      </w:r>
      <w:r w:rsidRPr="0069694D">
        <w:rPr>
          <w:rFonts w:asciiTheme="majorBidi" w:hAnsiTheme="majorBidi" w:cstheme="majorBidi"/>
        </w:rPr>
        <w:t xml:space="preserve"> </w:t>
      </w:r>
      <w:r>
        <w:rPr>
          <w:rFonts w:asciiTheme="majorBidi" w:hAnsiTheme="majorBidi" w:cstheme="majorBidi"/>
        </w:rPr>
        <w:t>an</w:t>
      </w:r>
      <w:r w:rsidRPr="0069694D">
        <w:rPr>
          <w:rFonts w:asciiTheme="majorBidi" w:hAnsiTheme="majorBidi" w:cstheme="majorBidi"/>
        </w:rPr>
        <w:t>other explanation for the presence of female mourners</w:t>
      </w:r>
      <w:r>
        <w:rPr>
          <w:rFonts w:asciiTheme="majorBidi" w:hAnsiTheme="majorBidi" w:cstheme="majorBidi"/>
        </w:rPr>
        <w:t xml:space="preserve"> on this date</w:t>
      </w:r>
      <w:r w:rsidRPr="0069694D">
        <w:rPr>
          <w:rFonts w:asciiTheme="majorBidi" w:hAnsiTheme="majorBidi" w:cstheme="majorBidi"/>
        </w:rPr>
        <w:t>. Cf.</w:t>
      </w:r>
      <w:r>
        <w:rPr>
          <w:rFonts w:asciiTheme="majorBidi" w:hAnsiTheme="majorBidi" w:cstheme="majorBidi"/>
        </w:rPr>
        <w:t xml:space="preserve"> </w:t>
      </w:r>
      <w:proofErr w:type="spellStart"/>
      <w:r w:rsidRPr="0069694D">
        <w:rPr>
          <w:rFonts w:asciiTheme="majorBidi" w:hAnsiTheme="majorBidi" w:cstheme="majorBidi"/>
        </w:rPr>
        <w:t>Sasson</w:t>
      </w:r>
      <w:proofErr w:type="spellEnd"/>
      <w:r w:rsidRPr="0069694D">
        <w:rPr>
          <w:rFonts w:asciiTheme="majorBidi" w:hAnsiTheme="majorBidi" w:cstheme="majorBidi"/>
        </w:rPr>
        <w:t xml:space="preserve"> 1979, 124; </w:t>
      </w:r>
      <w:proofErr w:type="spellStart"/>
      <w:r w:rsidRPr="0069694D">
        <w:rPr>
          <w:rFonts w:asciiTheme="majorBidi" w:hAnsiTheme="majorBidi" w:cstheme="majorBidi"/>
        </w:rPr>
        <w:t>Mettinger</w:t>
      </w:r>
      <w:proofErr w:type="spellEnd"/>
      <w:r w:rsidRPr="0069694D">
        <w:rPr>
          <w:rFonts w:asciiTheme="majorBidi" w:hAnsiTheme="majorBidi" w:cstheme="majorBidi"/>
        </w:rPr>
        <w:t xml:space="preserve"> 2001, 200-201 and n. 91. </w:t>
      </w:r>
    </w:p>
  </w:footnote>
  <w:footnote w:id="47">
    <w:p w14:paraId="31B5109F" w14:textId="77777777" w:rsidR="006A346E" w:rsidRPr="0069694D" w:rsidRDefault="006A346E" w:rsidP="00A873E4">
      <w:pPr>
        <w:pStyle w:val="FootnoteText"/>
        <w:spacing w:line="360" w:lineRule="auto"/>
        <w:ind w:firstLine="0"/>
        <w:rPr>
          <w:rFonts w:asciiTheme="majorBidi" w:hAnsiTheme="majorBidi" w:cstheme="majorBidi"/>
          <w:rtl/>
          <w:lang w:bidi="he-IL"/>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proofErr w:type="spellStart"/>
      <w:r w:rsidRPr="0069694D">
        <w:rPr>
          <w:rFonts w:asciiTheme="majorBidi" w:hAnsiTheme="majorBidi" w:cstheme="majorBidi"/>
        </w:rPr>
        <w:t>Charpin</w:t>
      </w:r>
      <w:proofErr w:type="spellEnd"/>
      <w:r w:rsidRPr="0069694D">
        <w:rPr>
          <w:rFonts w:asciiTheme="majorBidi" w:hAnsiTheme="majorBidi" w:cstheme="majorBidi"/>
        </w:rPr>
        <w:t xml:space="preserve"> 1987</w:t>
      </w:r>
      <w:r>
        <w:rPr>
          <w:rFonts w:asciiTheme="majorBidi" w:hAnsiTheme="majorBidi" w:cstheme="majorBidi"/>
        </w:rPr>
        <w:t>, 599</w:t>
      </w:r>
      <w:r w:rsidRPr="0069694D">
        <w:rPr>
          <w:rFonts w:asciiTheme="majorBidi" w:hAnsiTheme="majorBidi" w:cstheme="majorBidi"/>
        </w:rPr>
        <w:t>.</w:t>
      </w:r>
    </w:p>
  </w:footnote>
  <w:footnote w:id="48">
    <w:p w14:paraId="0A4B7703" w14:textId="77777777" w:rsidR="006A346E" w:rsidRPr="00377B67" w:rsidRDefault="006A346E" w:rsidP="00A873E4">
      <w:pPr>
        <w:pStyle w:val="FootnoteText"/>
        <w:spacing w:line="360" w:lineRule="auto"/>
        <w:ind w:firstLine="0"/>
        <w:rPr>
          <w:rFonts w:asciiTheme="majorBidi" w:hAnsiTheme="majorBidi" w:cstheme="majorBidi"/>
          <w:lang w:val="en-GB"/>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r>
        <w:rPr>
          <w:rFonts w:asciiTheme="majorBidi" w:hAnsiTheme="majorBidi" w:cstheme="majorBidi"/>
        </w:rPr>
        <w:t xml:space="preserve">Cf. </w:t>
      </w:r>
      <w:proofErr w:type="spellStart"/>
      <w:r w:rsidRPr="00377B67">
        <w:rPr>
          <w:rFonts w:asciiTheme="majorBidi" w:hAnsiTheme="majorBidi" w:cstheme="majorBidi"/>
        </w:rPr>
        <w:t>Charpin</w:t>
      </w:r>
      <w:proofErr w:type="spellEnd"/>
      <w:r w:rsidRPr="00377B67">
        <w:rPr>
          <w:rFonts w:asciiTheme="majorBidi" w:hAnsiTheme="majorBidi" w:cstheme="majorBidi"/>
        </w:rPr>
        <w:t xml:space="preserve"> 2012, 77.</w:t>
      </w:r>
      <w:r w:rsidRPr="00377B67">
        <w:t xml:space="preserve"> However, </w:t>
      </w:r>
      <w:r>
        <w:t>it cannot be ruled out that this line denotes</w:t>
      </w:r>
      <w:r w:rsidRPr="00377B67">
        <w:t xml:space="preserve"> the return of Dumuzi’s statue to its original place after it was used for a ritual in another temple</w:t>
      </w:r>
      <w:r w:rsidRPr="00377B67">
        <w:rPr>
          <w:lang w:val="en-GB"/>
        </w:rPr>
        <w:t xml:space="preserve">; see </w:t>
      </w:r>
      <w:r w:rsidRPr="00377B67">
        <w:rPr>
          <w:rFonts w:asciiTheme="majorBidi" w:hAnsiTheme="majorBidi" w:cstheme="majorBidi"/>
        </w:rPr>
        <w:t>Cohen 2015, 319</w:t>
      </w:r>
    </w:p>
  </w:footnote>
  <w:footnote w:id="49">
    <w:p w14:paraId="1F796DC4" w14:textId="0C716528"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proofErr w:type="spellStart"/>
      <w:r w:rsidRPr="0069694D">
        <w:rPr>
          <w:rFonts w:asciiTheme="majorBidi" w:hAnsiTheme="majorBidi" w:cstheme="majorBidi"/>
        </w:rPr>
        <w:t>Mettinger</w:t>
      </w:r>
      <w:proofErr w:type="spellEnd"/>
      <w:r w:rsidRPr="0069694D">
        <w:rPr>
          <w:rFonts w:asciiTheme="majorBidi" w:hAnsiTheme="majorBidi" w:cstheme="majorBidi"/>
        </w:rPr>
        <w:t xml:space="preserve"> 2001, 201, n. 94 suggests that </w:t>
      </w:r>
      <w:r>
        <w:rPr>
          <w:rFonts w:asciiTheme="majorBidi" w:hAnsiTheme="majorBidi" w:cstheme="majorBidi"/>
        </w:rPr>
        <w:t>document</w:t>
      </w:r>
      <w:r w:rsidRPr="0069694D">
        <w:rPr>
          <w:rFonts w:asciiTheme="majorBidi" w:hAnsiTheme="majorBidi" w:cstheme="majorBidi"/>
        </w:rPr>
        <w:t xml:space="preserve"> A.512 (</w:t>
      </w:r>
      <w:r w:rsidRPr="0069694D">
        <w:rPr>
          <w:rFonts w:asciiTheme="majorBidi" w:hAnsiTheme="majorBidi" w:cstheme="majorBidi"/>
          <w:i/>
          <w:iCs/>
        </w:rPr>
        <w:t>ARMT</w:t>
      </w:r>
      <w:r w:rsidRPr="0069694D">
        <w:rPr>
          <w:rFonts w:asciiTheme="majorBidi" w:hAnsiTheme="majorBidi" w:cstheme="majorBidi"/>
        </w:rPr>
        <w:t xml:space="preserve"> XXVI/3) </w:t>
      </w:r>
      <w:r>
        <w:rPr>
          <w:rFonts w:asciiTheme="majorBidi" w:hAnsiTheme="majorBidi" w:cstheme="majorBidi"/>
        </w:rPr>
        <w:t xml:space="preserve">from Mari </w:t>
      </w:r>
      <w:r w:rsidRPr="0069694D">
        <w:rPr>
          <w:rFonts w:asciiTheme="majorBidi" w:hAnsiTheme="majorBidi" w:cstheme="majorBidi"/>
        </w:rPr>
        <w:t xml:space="preserve">which reports Dumuzi’s entrance into the temple of </w:t>
      </w:r>
      <w:proofErr w:type="spellStart"/>
      <w:r w:rsidRPr="0069694D">
        <w:rPr>
          <w:rFonts w:asciiTheme="majorBidi" w:hAnsiTheme="majorBidi" w:cstheme="majorBidi"/>
        </w:rPr>
        <w:t>Anunnitum</w:t>
      </w:r>
      <w:proofErr w:type="spellEnd"/>
      <w:r w:rsidRPr="0069694D">
        <w:rPr>
          <w:rFonts w:asciiTheme="majorBidi" w:hAnsiTheme="majorBidi" w:cstheme="majorBidi"/>
        </w:rPr>
        <w:t xml:space="preserve"> (ll. 7-15) </w:t>
      </w:r>
      <w:r>
        <w:rPr>
          <w:rFonts w:asciiTheme="majorBidi" w:hAnsiTheme="majorBidi" w:cstheme="majorBidi"/>
        </w:rPr>
        <w:t>may also</w:t>
      </w:r>
      <w:r w:rsidRPr="0069694D">
        <w:rPr>
          <w:rFonts w:asciiTheme="majorBidi" w:hAnsiTheme="majorBidi" w:cstheme="majorBidi"/>
        </w:rPr>
        <w:t xml:space="preserve"> reinforce the evidence from </w:t>
      </w:r>
      <w:proofErr w:type="spellStart"/>
      <w:r w:rsidRPr="0069694D">
        <w:rPr>
          <w:rFonts w:asciiTheme="majorBidi" w:hAnsiTheme="majorBidi" w:cstheme="majorBidi"/>
        </w:rPr>
        <w:t>Ḫammi-ištamar’s</w:t>
      </w:r>
      <w:proofErr w:type="spellEnd"/>
      <w:r w:rsidRPr="0069694D">
        <w:rPr>
          <w:rFonts w:asciiTheme="majorBidi" w:hAnsiTheme="majorBidi" w:cstheme="majorBidi"/>
        </w:rPr>
        <w:t xml:space="preserve"> letter. This </w:t>
      </w:r>
      <w:r>
        <w:rPr>
          <w:rFonts w:asciiTheme="majorBidi" w:hAnsiTheme="majorBidi" w:cstheme="majorBidi"/>
        </w:rPr>
        <w:t>text</w:t>
      </w:r>
      <w:r w:rsidRPr="0069694D">
        <w:rPr>
          <w:rFonts w:asciiTheme="majorBidi" w:hAnsiTheme="majorBidi" w:cstheme="majorBidi"/>
        </w:rPr>
        <w:t xml:space="preserve"> uses the hapax legomenon </w:t>
      </w:r>
      <w:proofErr w:type="spellStart"/>
      <w:r w:rsidRPr="0069694D">
        <w:rPr>
          <w:rFonts w:asciiTheme="majorBidi" w:hAnsiTheme="majorBidi" w:cstheme="majorBidi"/>
          <w:i/>
          <w:iCs/>
        </w:rPr>
        <w:t>pudûm</w:t>
      </w:r>
      <w:proofErr w:type="spellEnd"/>
      <w:r>
        <w:rPr>
          <w:rFonts w:asciiTheme="majorBidi" w:hAnsiTheme="majorBidi" w:cstheme="majorBidi"/>
        </w:rPr>
        <w:t xml:space="preserve">, </w:t>
      </w:r>
      <w:r w:rsidRPr="0069694D">
        <w:rPr>
          <w:rFonts w:asciiTheme="majorBidi" w:hAnsiTheme="majorBidi" w:cstheme="majorBidi"/>
        </w:rPr>
        <w:t xml:space="preserve">which may derive from the root </w:t>
      </w:r>
      <w:proofErr w:type="spellStart"/>
      <w:r w:rsidRPr="0069694D">
        <w:rPr>
          <w:rFonts w:asciiTheme="majorBidi" w:hAnsiTheme="majorBidi" w:cstheme="majorBidi"/>
          <w:i/>
          <w:iCs/>
        </w:rPr>
        <w:t>padûm</w:t>
      </w:r>
      <w:proofErr w:type="spellEnd"/>
      <w:r w:rsidRPr="0069694D">
        <w:rPr>
          <w:rFonts w:asciiTheme="majorBidi" w:hAnsiTheme="majorBidi" w:cstheme="majorBidi"/>
          <w:i/>
          <w:iCs/>
        </w:rPr>
        <w:t xml:space="preserve"> – </w:t>
      </w:r>
      <w:r w:rsidRPr="0069694D">
        <w:rPr>
          <w:rFonts w:asciiTheme="majorBidi" w:hAnsiTheme="majorBidi" w:cstheme="majorBidi"/>
        </w:rPr>
        <w:t xml:space="preserve">“to set free.” </w:t>
      </w:r>
      <w:r>
        <w:rPr>
          <w:rFonts w:asciiTheme="majorBidi" w:hAnsiTheme="majorBidi" w:cstheme="majorBidi"/>
        </w:rPr>
        <w:t>Al</w:t>
      </w:r>
      <w:r w:rsidRPr="0069694D">
        <w:rPr>
          <w:rFonts w:asciiTheme="majorBidi" w:hAnsiTheme="majorBidi" w:cstheme="majorBidi"/>
        </w:rPr>
        <w:t xml:space="preserve">though the context in which the </w:t>
      </w:r>
      <w:r>
        <w:rPr>
          <w:rFonts w:asciiTheme="majorBidi" w:hAnsiTheme="majorBidi" w:cstheme="majorBidi"/>
        </w:rPr>
        <w:t>term</w:t>
      </w:r>
      <w:r w:rsidRPr="0069694D">
        <w:rPr>
          <w:rFonts w:asciiTheme="majorBidi" w:hAnsiTheme="majorBidi" w:cstheme="majorBidi"/>
        </w:rPr>
        <w:t xml:space="preserve"> appears is not entirely clear, </w:t>
      </w:r>
      <w:proofErr w:type="spellStart"/>
      <w:r w:rsidRPr="0069694D">
        <w:rPr>
          <w:rFonts w:asciiTheme="majorBidi" w:hAnsiTheme="majorBidi" w:cstheme="majorBidi"/>
        </w:rPr>
        <w:t>Mettinger</w:t>
      </w:r>
      <w:proofErr w:type="spellEnd"/>
      <w:r w:rsidRPr="0069694D">
        <w:rPr>
          <w:rFonts w:asciiTheme="majorBidi" w:hAnsiTheme="majorBidi" w:cstheme="majorBidi"/>
        </w:rPr>
        <w:t xml:space="preserve"> notes that the</w:t>
      </w:r>
      <w:r>
        <w:rPr>
          <w:rFonts w:asciiTheme="majorBidi" w:hAnsiTheme="majorBidi" w:cstheme="majorBidi"/>
        </w:rPr>
        <w:t xml:space="preserve"> analogous</w:t>
      </w:r>
      <w:r w:rsidRPr="0069694D">
        <w:rPr>
          <w:rFonts w:asciiTheme="majorBidi" w:hAnsiTheme="majorBidi" w:cstheme="majorBidi"/>
        </w:rPr>
        <w:t xml:space="preserve"> </w:t>
      </w:r>
      <w:r>
        <w:rPr>
          <w:rFonts w:asciiTheme="majorBidi" w:hAnsiTheme="majorBidi" w:cstheme="majorBidi"/>
        </w:rPr>
        <w:t xml:space="preserve">Hebrew </w:t>
      </w:r>
      <w:r w:rsidRPr="0069694D">
        <w:rPr>
          <w:rFonts w:asciiTheme="majorBidi" w:hAnsiTheme="majorBidi" w:cstheme="majorBidi"/>
        </w:rPr>
        <w:t xml:space="preserve">root </w:t>
      </w:r>
      <w:r w:rsidRPr="0069694D">
        <w:rPr>
          <w:rFonts w:asciiTheme="majorBidi" w:hAnsiTheme="majorBidi" w:cstheme="majorBidi"/>
          <w:i/>
          <w:iCs/>
        </w:rPr>
        <w:t xml:space="preserve">p-d-y </w:t>
      </w:r>
      <w:r>
        <w:rPr>
          <w:rFonts w:asciiTheme="majorBidi" w:hAnsiTheme="majorBidi" w:cstheme="majorBidi"/>
        </w:rPr>
        <w:t>denotes</w:t>
      </w:r>
      <w:r w:rsidRPr="0069694D">
        <w:rPr>
          <w:rFonts w:asciiTheme="majorBidi" w:hAnsiTheme="majorBidi" w:cstheme="majorBidi"/>
        </w:rPr>
        <w:t xml:space="preserve"> “to ransom” and </w:t>
      </w:r>
      <w:r>
        <w:rPr>
          <w:rFonts w:asciiTheme="majorBidi" w:hAnsiTheme="majorBidi" w:cstheme="majorBidi"/>
        </w:rPr>
        <w:t>therefore it has</w:t>
      </w:r>
      <w:r w:rsidRPr="0069694D">
        <w:rPr>
          <w:rFonts w:asciiTheme="majorBidi" w:hAnsiTheme="majorBidi" w:cstheme="majorBidi"/>
        </w:rPr>
        <w:t xml:space="preserve"> some connection to Dumuzi’s fate as portrayed in </w:t>
      </w:r>
      <w:r w:rsidRPr="0069694D">
        <w:rPr>
          <w:rFonts w:asciiTheme="majorBidi" w:hAnsiTheme="majorBidi" w:cstheme="majorBidi"/>
          <w:i/>
          <w:iCs/>
        </w:rPr>
        <w:t>Inana’s Descent</w:t>
      </w:r>
      <w:r w:rsidRPr="0069694D">
        <w:rPr>
          <w:rFonts w:asciiTheme="majorBidi" w:hAnsiTheme="majorBidi" w:cstheme="majorBidi"/>
        </w:rPr>
        <w:t xml:space="preserve">. </w:t>
      </w:r>
      <w:proofErr w:type="spellStart"/>
      <w:r w:rsidRPr="0069694D">
        <w:rPr>
          <w:rFonts w:asciiTheme="majorBidi" w:hAnsiTheme="majorBidi" w:cstheme="majorBidi"/>
        </w:rPr>
        <w:t>Alster</w:t>
      </w:r>
      <w:proofErr w:type="spellEnd"/>
      <w:r w:rsidRPr="0069694D">
        <w:rPr>
          <w:rFonts w:asciiTheme="majorBidi" w:hAnsiTheme="majorBidi" w:cstheme="majorBidi"/>
        </w:rPr>
        <w:t xml:space="preserve"> 2005-2006, however, finds the evidence unconvincing.</w:t>
      </w:r>
      <w:r w:rsidRPr="0069694D">
        <w:rPr>
          <w:rFonts w:asciiTheme="majorBidi" w:hAnsiTheme="majorBidi" w:cstheme="majorBidi"/>
          <w:rtl/>
        </w:rPr>
        <w:t xml:space="preserve"> </w:t>
      </w:r>
    </w:p>
  </w:footnote>
  <w:footnote w:id="50">
    <w:p w14:paraId="1074C6F5" w14:textId="5BEE1ABB"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Pr>
          <w:rFonts w:asciiTheme="majorBidi" w:hAnsiTheme="majorBidi" w:cstheme="majorBidi"/>
        </w:rPr>
        <w:t xml:space="preserve"> </w:t>
      </w:r>
      <w:r w:rsidRPr="0069694D">
        <w:rPr>
          <w:rFonts w:asciiTheme="majorBidi" w:hAnsiTheme="majorBidi" w:cstheme="majorBidi"/>
        </w:rPr>
        <w:t>A</w:t>
      </w:r>
      <w:r>
        <w:rPr>
          <w:rFonts w:asciiTheme="majorBidi" w:hAnsiTheme="majorBidi" w:cstheme="majorBidi"/>
        </w:rPr>
        <w:t>s mentioned above (</w:t>
      </w:r>
      <w:r w:rsidRPr="005A5A48">
        <w:rPr>
          <w:rFonts w:asciiTheme="majorBidi" w:hAnsiTheme="majorBidi" w:cstheme="majorBidi"/>
          <w:highlight w:val="yellow"/>
        </w:rPr>
        <w:t>n…</w:t>
      </w:r>
      <w:r>
        <w:rPr>
          <w:rFonts w:asciiTheme="majorBidi" w:hAnsiTheme="majorBidi" w:cstheme="majorBidi"/>
        </w:rPr>
        <w:t>), a</w:t>
      </w:r>
      <w:r w:rsidRPr="0069694D">
        <w:rPr>
          <w:rFonts w:asciiTheme="majorBidi" w:hAnsiTheme="majorBidi" w:cstheme="majorBidi"/>
        </w:rPr>
        <w:t xml:space="preserve"> similar view </w:t>
      </w:r>
      <w:r>
        <w:rPr>
          <w:rFonts w:asciiTheme="majorBidi" w:hAnsiTheme="majorBidi" w:cstheme="majorBidi"/>
        </w:rPr>
        <w:t>is</w:t>
      </w:r>
      <w:r w:rsidRPr="0069694D">
        <w:rPr>
          <w:rFonts w:asciiTheme="majorBidi" w:hAnsiTheme="majorBidi" w:cstheme="majorBidi"/>
        </w:rPr>
        <w:t xml:space="preserve"> </w:t>
      </w:r>
      <w:r>
        <w:rPr>
          <w:rFonts w:asciiTheme="majorBidi" w:hAnsiTheme="majorBidi" w:cstheme="majorBidi"/>
          <w:lang w:val="en-GB"/>
        </w:rPr>
        <w:t>held</w:t>
      </w:r>
      <w:r w:rsidRPr="0069694D">
        <w:rPr>
          <w:rFonts w:asciiTheme="majorBidi" w:hAnsiTheme="majorBidi" w:cstheme="majorBidi"/>
        </w:rPr>
        <w:t xml:space="preserve"> by Durand 1995, 206-207. He, however, maintains that several cultures were familiar with the mythologem of dying and rising gods</w:t>
      </w:r>
      <w:r>
        <w:rPr>
          <w:rFonts w:asciiTheme="majorBidi" w:hAnsiTheme="majorBidi" w:cstheme="majorBidi"/>
        </w:rPr>
        <w:t>;</w:t>
      </w:r>
      <w:r w:rsidRPr="0069694D">
        <w:rPr>
          <w:rFonts w:asciiTheme="majorBidi" w:hAnsiTheme="majorBidi" w:cstheme="majorBidi"/>
        </w:rPr>
        <w:t xml:space="preserve"> </w:t>
      </w:r>
      <w:r>
        <w:rPr>
          <w:rFonts w:asciiTheme="majorBidi" w:hAnsiTheme="majorBidi" w:cstheme="majorBidi"/>
        </w:rPr>
        <w:t>among them were the Amorites and their</w:t>
      </w:r>
      <w:r w:rsidRPr="0069694D">
        <w:rPr>
          <w:rFonts w:asciiTheme="majorBidi" w:hAnsiTheme="majorBidi" w:cstheme="majorBidi"/>
        </w:rPr>
        <w:t xml:space="preserve"> tradition </w:t>
      </w:r>
      <w:r>
        <w:rPr>
          <w:rFonts w:asciiTheme="majorBidi" w:hAnsiTheme="majorBidi" w:cstheme="majorBidi"/>
        </w:rPr>
        <w:t>regarding</w:t>
      </w:r>
      <w:r w:rsidRPr="0069694D">
        <w:rPr>
          <w:rFonts w:asciiTheme="majorBidi" w:hAnsiTheme="majorBidi" w:cstheme="majorBidi"/>
        </w:rPr>
        <w:t xml:space="preserve"> Dumuzi.</w:t>
      </w:r>
    </w:p>
  </w:footnote>
  <w:footnote w:id="51">
    <w:p w14:paraId="6B0154CE" w14:textId="40A8B377"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r>
        <w:rPr>
          <w:rFonts w:asciiTheme="majorBidi" w:hAnsiTheme="majorBidi" w:cstheme="majorBidi"/>
        </w:rPr>
        <w:t xml:space="preserve">Cf., </w:t>
      </w:r>
      <w:r w:rsidRPr="005A5A48">
        <w:rPr>
          <w:rFonts w:asciiTheme="majorBidi" w:hAnsiTheme="majorBidi" w:cstheme="majorBidi"/>
          <w:i/>
          <w:iCs/>
        </w:rPr>
        <w:t>inter alia</w:t>
      </w:r>
      <w:r>
        <w:rPr>
          <w:rFonts w:asciiTheme="majorBidi" w:hAnsiTheme="majorBidi" w:cstheme="majorBidi"/>
        </w:rPr>
        <w:t>,</w:t>
      </w:r>
      <w:r w:rsidRPr="0069694D">
        <w:rPr>
          <w:rFonts w:asciiTheme="majorBidi" w:hAnsiTheme="majorBidi" w:cstheme="majorBidi"/>
        </w:rPr>
        <w:t xml:space="preserve"> </w:t>
      </w:r>
      <w:proofErr w:type="spellStart"/>
      <w:r w:rsidRPr="0069694D">
        <w:rPr>
          <w:rFonts w:asciiTheme="majorBidi" w:hAnsiTheme="majorBidi" w:cstheme="majorBidi"/>
        </w:rPr>
        <w:t>Virolleaud</w:t>
      </w:r>
      <w:proofErr w:type="spellEnd"/>
      <w:r w:rsidRPr="0069694D">
        <w:rPr>
          <w:rFonts w:asciiTheme="majorBidi" w:hAnsiTheme="majorBidi" w:cstheme="majorBidi"/>
        </w:rPr>
        <w:t xml:space="preserve"> 1931, 172; </w:t>
      </w:r>
      <w:proofErr w:type="spellStart"/>
      <w:r w:rsidRPr="0069694D">
        <w:rPr>
          <w:rFonts w:asciiTheme="majorBidi" w:hAnsiTheme="majorBidi" w:cstheme="majorBidi"/>
        </w:rPr>
        <w:t>Dussaud</w:t>
      </w:r>
      <w:proofErr w:type="spellEnd"/>
      <w:r w:rsidRPr="0069694D">
        <w:rPr>
          <w:rFonts w:asciiTheme="majorBidi" w:hAnsiTheme="majorBidi" w:cstheme="majorBidi"/>
        </w:rPr>
        <w:t xml:space="preserve"> 1931, 353-408. For further bibliographical sources, see de-Moor 1971, 212, n. 1; Ayali-Darshan 2017-2019.</w:t>
      </w:r>
    </w:p>
  </w:footnote>
  <w:footnote w:id="52">
    <w:p w14:paraId="2D1F5EB2" w14:textId="38507255"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The </w:t>
      </w:r>
      <w:r>
        <w:rPr>
          <w:rFonts w:asciiTheme="majorBidi" w:hAnsiTheme="majorBidi" w:cstheme="majorBidi"/>
          <w:lang w:val="en-GB"/>
        </w:rPr>
        <w:t xml:space="preserve">Baal Cycle is composed of two parts, each </w:t>
      </w:r>
      <w:r w:rsidRPr="0069694D">
        <w:rPr>
          <w:rFonts w:asciiTheme="majorBidi" w:hAnsiTheme="majorBidi" w:cstheme="majorBidi"/>
        </w:rPr>
        <w:t>constitutes an independent literary unit</w:t>
      </w:r>
      <w:r>
        <w:rPr>
          <w:rFonts w:asciiTheme="majorBidi" w:hAnsiTheme="majorBidi" w:cstheme="majorBidi"/>
        </w:rPr>
        <w:t>. The first tells of</w:t>
      </w:r>
      <w:r w:rsidRPr="0069694D">
        <w:rPr>
          <w:rFonts w:asciiTheme="majorBidi" w:hAnsiTheme="majorBidi" w:cstheme="majorBidi"/>
        </w:rPr>
        <w:t xml:space="preserve"> the </w:t>
      </w:r>
      <w:r>
        <w:rPr>
          <w:rFonts w:asciiTheme="majorBidi" w:hAnsiTheme="majorBidi" w:cstheme="majorBidi"/>
        </w:rPr>
        <w:t>combat</w:t>
      </w:r>
      <w:r w:rsidRPr="0069694D">
        <w:rPr>
          <w:rFonts w:asciiTheme="majorBidi" w:hAnsiTheme="majorBidi" w:cstheme="majorBidi"/>
        </w:rPr>
        <w:t xml:space="preserve"> between </w:t>
      </w:r>
      <w:r>
        <w:rPr>
          <w:rFonts w:asciiTheme="majorBidi" w:hAnsiTheme="majorBidi" w:cstheme="majorBidi"/>
        </w:rPr>
        <w:t xml:space="preserve">Baal and </w:t>
      </w:r>
      <w:proofErr w:type="spellStart"/>
      <w:r>
        <w:rPr>
          <w:rFonts w:asciiTheme="majorBidi" w:hAnsiTheme="majorBidi" w:cstheme="majorBidi"/>
        </w:rPr>
        <w:t>Yamm</w:t>
      </w:r>
      <w:proofErr w:type="spellEnd"/>
      <w:r w:rsidRPr="0069694D">
        <w:rPr>
          <w:rFonts w:asciiTheme="majorBidi" w:hAnsiTheme="majorBidi" w:cstheme="majorBidi"/>
        </w:rPr>
        <w:t>, the former’s coronation, and the construction of his palace</w:t>
      </w:r>
      <w:r>
        <w:rPr>
          <w:rFonts w:asciiTheme="majorBidi" w:hAnsiTheme="majorBidi" w:cstheme="majorBidi"/>
        </w:rPr>
        <w:t>, while the second tells of the combat between Baal and Mot.</w:t>
      </w:r>
      <w:r w:rsidRPr="0069694D">
        <w:rPr>
          <w:rFonts w:asciiTheme="majorBidi" w:hAnsiTheme="majorBidi" w:cstheme="majorBidi"/>
        </w:rPr>
        <w:t xml:space="preserve"> For the traditions which comprise th</w:t>
      </w:r>
      <w:r>
        <w:rPr>
          <w:rFonts w:asciiTheme="majorBidi" w:hAnsiTheme="majorBidi" w:cstheme="majorBidi"/>
        </w:rPr>
        <w:t>e</w:t>
      </w:r>
      <w:r w:rsidRPr="0069694D">
        <w:rPr>
          <w:rFonts w:asciiTheme="majorBidi" w:hAnsiTheme="majorBidi" w:cstheme="majorBidi"/>
        </w:rPr>
        <w:t xml:space="preserve"> </w:t>
      </w:r>
      <w:r>
        <w:rPr>
          <w:rFonts w:asciiTheme="majorBidi" w:hAnsiTheme="majorBidi" w:cstheme="majorBidi"/>
        </w:rPr>
        <w:t xml:space="preserve">first </w:t>
      </w:r>
      <w:r w:rsidRPr="0069694D">
        <w:rPr>
          <w:rFonts w:asciiTheme="majorBidi" w:hAnsiTheme="majorBidi" w:cstheme="majorBidi"/>
        </w:rPr>
        <w:t>unit,</w:t>
      </w:r>
      <w:r>
        <w:rPr>
          <w:rFonts w:asciiTheme="majorBidi" w:hAnsiTheme="majorBidi" w:cstheme="majorBidi"/>
        </w:rPr>
        <w:t xml:space="preserve"> known from additional compositions prevalent in the ancient Near East,</w:t>
      </w:r>
      <w:r w:rsidRPr="0069694D">
        <w:rPr>
          <w:rFonts w:asciiTheme="majorBidi" w:hAnsiTheme="majorBidi" w:cstheme="majorBidi"/>
        </w:rPr>
        <w:t xml:space="preserve"> see Ayali-Darshan 2020a. </w:t>
      </w:r>
      <w:r w:rsidRPr="005A5A48">
        <w:rPr>
          <w:rFonts w:asciiTheme="majorBidi" w:hAnsiTheme="majorBidi" w:cstheme="majorBidi"/>
          <w:i/>
          <w:iCs/>
        </w:rPr>
        <w:t>KTU</w:t>
      </w:r>
      <w:r w:rsidRPr="0069694D">
        <w:rPr>
          <w:rFonts w:asciiTheme="majorBidi" w:hAnsiTheme="majorBidi" w:cstheme="majorBidi"/>
        </w:rPr>
        <w:t xml:space="preserve"> 1.4</w:t>
      </w:r>
      <w:r>
        <w:rPr>
          <w:rFonts w:asciiTheme="majorBidi" w:hAnsiTheme="majorBidi" w:cstheme="majorBidi"/>
        </w:rPr>
        <w:t xml:space="preserve"> </w:t>
      </w:r>
      <w:r w:rsidRPr="005A5A48">
        <w:rPr>
          <w:rFonts w:asciiTheme="majorBidi" w:hAnsiTheme="majorBidi" w:cstheme="majorBidi"/>
          <w:highlight w:val="yellow"/>
        </w:rPr>
        <w:t>COLUMN</w:t>
      </w:r>
      <w:r w:rsidRPr="0069694D">
        <w:rPr>
          <w:rFonts w:asciiTheme="majorBidi" w:hAnsiTheme="majorBidi" w:cstheme="majorBidi"/>
        </w:rPr>
        <w:t xml:space="preserve"> 42 bridges between the first literary unit and the second</w:t>
      </w:r>
      <w:r>
        <w:rPr>
          <w:rFonts w:asciiTheme="majorBidi" w:hAnsiTheme="majorBidi" w:cstheme="majorBidi"/>
        </w:rPr>
        <w:t>.</w:t>
      </w:r>
      <w:r w:rsidRPr="0069694D">
        <w:rPr>
          <w:rFonts w:asciiTheme="majorBidi" w:hAnsiTheme="majorBidi" w:cstheme="majorBidi"/>
          <w:rtl/>
        </w:rPr>
        <w:t xml:space="preserve"> </w:t>
      </w:r>
    </w:p>
  </w:footnote>
  <w:footnote w:id="53">
    <w:p w14:paraId="27808FE2" w14:textId="1F3474E9"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Cf.</w:t>
      </w:r>
      <w:r>
        <w:rPr>
          <w:rFonts w:asciiTheme="majorBidi" w:hAnsiTheme="majorBidi" w:cstheme="majorBidi"/>
        </w:rPr>
        <w:t>, e.g.,</w:t>
      </w:r>
      <w:r w:rsidRPr="0069694D">
        <w:rPr>
          <w:rFonts w:asciiTheme="majorBidi" w:hAnsiTheme="majorBidi" w:cstheme="majorBidi"/>
        </w:rPr>
        <w:t xml:space="preserve"> Burkert 1979, 188 n. 14 who, after denying that Dumuzi was a resurrected god, writes: “A new dying god turned up with Ugaritic Baal </w:t>
      </w:r>
      <w:r w:rsidRPr="005A5A48">
        <w:rPr>
          <w:rFonts w:asciiTheme="majorBidi" w:hAnsiTheme="majorBidi" w:cstheme="majorBidi"/>
        </w:rPr>
        <w:t xml:space="preserve">[…]. </w:t>
      </w:r>
      <w:r w:rsidRPr="0069694D">
        <w:rPr>
          <w:rFonts w:asciiTheme="majorBidi" w:hAnsiTheme="majorBidi" w:cstheme="majorBidi"/>
        </w:rPr>
        <w:t>The Fragments of the Baal poems can be arranged to fit a seasonal pattern […]. In view of the desperately fragmentary texts this must remain hypothetical.” J.Z. Smith 1987 and M.S. Smith 1998</w:t>
      </w:r>
      <w:r>
        <w:rPr>
          <w:rFonts w:asciiTheme="majorBidi" w:hAnsiTheme="majorBidi" w:cstheme="majorBidi"/>
        </w:rPr>
        <w:t xml:space="preserve"> argue that t</w:t>
      </w:r>
      <w:r w:rsidRPr="0069694D">
        <w:rPr>
          <w:rFonts w:asciiTheme="majorBidi" w:hAnsiTheme="majorBidi" w:cstheme="majorBidi"/>
        </w:rPr>
        <w:t xml:space="preserve">he lack of rituals </w:t>
      </w:r>
      <w:r>
        <w:rPr>
          <w:rFonts w:asciiTheme="majorBidi" w:hAnsiTheme="majorBidi" w:cstheme="majorBidi"/>
        </w:rPr>
        <w:t>of mourning or resurrection is</w:t>
      </w:r>
      <w:r w:rsidRPr="0069694D">
        <w:rPr>
          <w:rFonts w:asciiTheme="majorBidi" w:hAnsiTheme="majorBidi" w:cstheme="majorBidi"/>
        </w:rPr>
        <w:t xml:space="preserve"> evidence that Baal </w:t>
      </w:r>
      <w:r>
        <w:rPr>
          <w:rFonts w:asciiTheme="majorBidi" w:hAnsiTheme="majorBidi" w:cstheme="majorBidi"/>
        </w:rPr>
        <w:t>was</w:t>
      </w:r>
      <w:r w:rsidRPr="0069694D">
        <w:rPr>
          <w:rFonts w:asciiTheme="majorBidi" w:hAnsiTheme="majorBidi" w:cstheme="majorBidi"/>
        </w:rPr>
        <w:t xml:space="preserve"> not a dying and rising god, at least not according to Frazer’s criteria. The </w:t>
      </w:r>
      <w:r>
        <w:rPr>
          <w:rFonts w:asciiTheme="majorBidi" w:hAnsiTheme="majorBidi" w:cstheme="majorBidi"/>
        </w:rPr>
        <w:t>account</w:t>
      </w:r>
      <w:r w:rsidRPr="0069694D">
        <w:rPr>
          <w:rFonts w:asciiTheme="majorBidi" w:hAnsiTheme="majorBidi" w:cstheme="majorBidi"/>
        </w:rPr>
        <w:t xml:space="preserve"> of Baal’s death was explained either as an illusion “[it is] as if he is dead” (J.Z. Smith) or a</w:t>
      </w:r>
      <w:r>
        <w:rPr>
          <w:rFonts w:asciiTheme="majorBidi" w:hAnsiTheme="majorBidi" w:cstheme="majorBidi"/>
        </w:rPr>
        <w:t>s a</w:t>
      </w:r>
      <w:r w:rsidRPr="0069694D">
        <w:rPr>
          <w:rFonts w:asciiTheme="majorBidi" w:hAnsiTheme="majorBidi" w:cstheme="majorBidi"/>
        </w:rPr>
        <w:t xml:space="preserve"> disappearance into the netherworld (M.S. Smith) – similar to the stories of disappearing gods that </w:t>
      </w:r>
      <w:r>
        <w:rPr>
          <w:rFonts w:asciiTheme="majorBidi" w:hAnsiTheme="majorBidi" w:cstheme="majorBidi"/>
        </w:rPr>
        <w:t>prevailed</w:t>
      </w:r>
      <w:r w:rsidRPr="0069694D">
        <w:rPr>
          <w:rFonts w:asciiTheme="majorBidi" w:hAnsiTheme="majorBidi" w:cstheme="majorBidi"/>
        </w:rPr>
        <w:t xml:space="preserve"> in Hatti. This is despite the fact that in the </w:t>
      </w:r>
      <w:r w:rsidRPr="005A5A48">
        <w:rPr>
          <w:rFonts w:asciiTheme="majorBidi" w:hAnsiTheme="majorBidi" w:cstheme="majorBidi"/>
        </w:rPr>
        <w:t>Hittite</w:t>
      </w:r>
      <w:r w:rsidRPr="0069694D">
        <w:rPr>
          <w:rFonts w:asciiTheme="majorBidi" w:hAnsiTheme="majorBidi" w:cstheme="majorBidi"/>
        </w:rPr>
        <w:t xml:space="preserve"> texts</w:t>
      </w:r>
      <w:r>
        <w:rPr>
          <w:rFonts w:asciiTheme="majorBidi" w:hAnsiTheme="majorBidi" w:cstheme="majorBidi"/>
        </w:rPr>
        <w:t xml:space="preserve">, </w:t>
      </w:r>
      <w:r w:rsidRPr="0069694D">
        <w:rPr>
          <w:rFonts w:asciiTheme="majorBidi" w:hAnsiTheme="majorBidi" w:cstheme="majorBidi"/>
        </w:rPr>
        <w:t>as opposed to the Baal Cycle</w:t>
      </w:r>
      <w:r>
        <w:rPr>
          <w:rFonts w:asciiTheme="majorBidi" w:hAnsiTheme="majorBidi" w:cstheme="majorBidi"/>
        </w:rPr>
        <w:t>,</w:t>
      </w:r>
      <w:r w:rsidRPr="0069694D">
        <w:rPr>
          <w:rFonts w:asciiTheme="majorBidi" w:hAnsiTheme="majorBidi" w:cstheme="majorBidi"/>
        </w:rPr>
        <w:t xml:space="preserve"> no verbs denoting death</w:t>
      </w:r>
      <w:r>
        <w:rPr>
          <w:rFonts w:asciiTheme="majorBidi" w:hAnsiTheme="majorBidi" w:cstheme="majorBidi"/>
        </w:rPr>
        <w:t xml:space="preserve"> or descending to the netherworld</w:t>
      </w:r>
      <w:r w:rsidRPr="0069694D">
        <w:rPr>
          <w:rFonts w:asciiTheme="majorBidi" w:hAnsiTheme="majorBidi" w:cstheme="majorBidi"/>
        </w:rPr>
        <w:t xml:space="preserve"> are employed</w:t>
      </w:r>
      <w:r>
        <w:rPr>
          <w:rFonts w:asciiTheme="majorBidi" w:hAnsiTheme="majorBidi" w:cstheme="majorBidi"/>
        </w:rPr>
        <w:t>,</w:t>
      </w:r>
      <w:r w:rsidRPr="0069694D">
        <w:rPr>
          <w:rFonts w:asciiTheme="majorBidi" w:hAnsiTheme="majorBidi" w:cstheme="majorBidi"/>
        </w:rPr>
        <w:t xml:space="preserve"> nor </w:t>
      </w:r>
      <w:r>
        <w:rPr>
          <w:rFonts w:asciiTheme="majorBidi" w:hAnsiTheme="majorBidi" w:cstheme="majorBidi"/>
        </w:rPr>
        <w:t xml:space="preserve">is there any </w:t>
      </w:r>
      <w:r w:rsidRPr="0069694D">
        <w:rPr>
          <w:rFonts w:asciiTheme="majorBidi" w:hAnsiTheme="majorBidi" w:cstheme="majorBidi"/>
        </w:rPr>
        <w:t>mention of burial</w:t>
      </w:r>
      <w:r>
        <w:rPr>
          <w:rFonts w:asciiTheme="majorBidi" w:hAnsiTheme="majorBidi" w:cstheme="majorBidi"/>
        </w:rPr>
        <w:t xml:space="preserve"> and mourning</w:t>
      </w:r>
      <w:r w:rsidRPr="0069694D">
        <w:rPr>
          <w:rFonts w:asciiTheme="majorBidi" w:hAnsiTheme="majorBidi" w:cstheme="majorBidi"/>
        </w:rPr>
        <w:t xml:space="preserve"> (for indeed the gods, in these contexts, have not actually died). Another interpretation of the Baal Cycle, also implicitly denying that Baal was a dying and rising god, was offered by de Moor 1971, 188-189. He maintained that the Baal Cycle is recounting how Baal deceived Mot</w:t>
      </w:r>
      <w:r w:rsidR="004A0182">
        <w:rPr>
          <w:rFonts w:asciiTheme="majorBidi" w:hAnsiTheme="majorBidi" w:cstheme="majorBidi"/>
        </w:rPr>
        <w:t xml:space="preserve"> by giving birth </w:t>
      </w:r>
      <w:ins w:id="39" w:author="Avraham Kallenbah" w:date="2021-04-13T08:44:00Z">
        <w:r w:rsidR="00B91D14">
          <w:rPr>
            <w:rFonts w:asciiTheme="majorBidi" w:hAnsiTheme="majorBidi" w:cstheme="majorBidi"/>
          </w:rPr>
          <w:t>[</w:t>
        </w:r>
        <w:r w:rsidR="00B91D14" w:rsidRPr="00B91D14">
          <w:rPr>
            <w:rFonts w:asciiTheme="majorBidi" w:hAnsiTheme="majorBidi" w:cstheme="majorBidi"/>
            <w:highlight w:val="cyan"/>
            <w:rPrChange w:id="40" w:author="Avraham Kallenbah" w:date="2021-04-13T08:44:00Z">
              <w:rPr>
                <w:rFonts w:asciiTheme="majorBidi" w:hAnsiTheme="majorBidi" w:cstheme="majorBidi"/>
              </w:rPr>
            </w:rPrChange>
          </w:rPr>
          <w:t>literally? from a womb or from seed?]</w:t>
        </w:r>
        <w:r w:rsidR="00B91D14">
          <w:rPr>
            <w:rFonts w:asciiTheme="majorBidi" w:hAnsiTheme="majorBidi" w:cstheme="majorBidi"/>
          </w:rPr>
          <w:t xml:space="preserve"> </w:t>
        </w:r>
      </w:ins>
      <w:r w:rsidR="004A0182">
        <w:rPr>
          <w:rFonts w:asciiTheme="majorBidi" w:hAnsiTheme="majorBidi" w:cstheme="majorBidi"/>
        </w:rPr>
        <w:t>to</w:t>
      </w:r>
      <w:r w:rsidRPr="0069694D">
        <w:rPr>
          <w:rFonts w:asciiTheme="majorBidi" w:hAnsiTheme="majorBidi" w:cstheme="majorBidi"/>
        </w:rPr>
        <w:t xml:space="preserve"> a twin brother who descended into the netherworld in his place.</w:t>
      </w:r>
      <w:r w:rsidRPr="0069694D">
        <w:rPr>
          <w:rFonts w:asciiTheme="majorBidi" w:hAnsiTheme="majorBidi" w:cstheme="majorBidi"/>
          <w:rtl/>
        </w:rPr>
        <w:t xml:space="preserve"> </w:t>
      </w:r>
    </w:p>
  </w:footnote>
  <w:footnote w:id="54">
    <w:p w14:paraId="0A1C93F1" w14:textId="0EA2834E"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Cf. </w:t>
      </w:r>
      <w:proofErr w:type="spellStart"/>
      <w:r w:rsidRPr="0069694D">
        <w:rPr>
          <w:rFonts w:asciiTheme="majorBidi" w:hAnsiTheme="majorBidi" w:cstheme="majorBidi"/>
        </w:rPr>
        <w:t>Mettinger</w:t>
      </w:r>
      <w:proofErr w:type="spellEnd"/>
      <w:r w:rsidRPr="0069694D">
        <w:rPr>
          <w:rFonts w:asciiTheme="majorBidi" w:hAnsiTheme="majorBidi" w:cstheme="majorBidi"/>
        </w:rPr>
        <w:t xml:space="preserve"> 2001, 15-17, 55-64, and the bibliography cited there.</w:t>
      </w:r>
      <w:r w:rsidRPr="0069694D">
        <w:rPr>
          <w:rFonts w:asciiTheme="majorBidi" w:hAnsiTheme="majorBidi" w:cstheme="majorBidi"/>
          <w:rtl/>
        </w:rPr>
        <w:t xml:space="preserve"> </w:t>
      </w:r>
    </w:p>
  </w:footnote>
  <w:footnote w:id="55">
    <w:p w14:paraId="0C0D1A4D" w14:textId="36C46E8A"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As the outcome </w:t>
      </w:r>
      <w:r>
        <w:rPr>
          <w:rFonts w:asciiTheme="majorBidi" w:hAnsiTheme="majorBidi" w:cstheme="majorBidi"/>
        </w:rPr>
        <w:t xml:space="preserve">of the last searching </w:t>
      </w:r>
      <w:r w:rsidRPr="0069694D">
        <w:rPr>
          <w:rFonts w:asciiTheme="majorBidi" w:hAnsiTheme="majorBidi" w:cstheme="majorBidi"/>
        </w:rPr>
        <w:t xml:space="preserve">is the discovery of Mot, </w:t>
      </w:r>
      <w:r>
        <w:rPr>
          <w:rFonts w:asciiTheme="majorBidi" w:hAnsiTheme="majorBidi" w:cstheme="majorBidi"/>
        </w:rPr>
        <w:t xml:space="preserve">the </w:t>
      </w:r>
      <w:r w:rsidRPr="0069694D">
        <w:rPr>
          <w:rFonts w:asciiTheme="majorBidi" w:hAnsiTheme="majorBidi" w:cstheme="majorBidi"/>
        </w:rPr>
        <w:t>god of the netherworld, one could assume that these searches took place in the netherworld as well</w:t>
      </w:r>
      <w:r>
        <w:rPr>
          <w:rFonts w:asciiTheme="majorBidi" w:hAnsiTheme="majorBidi" w:cstheme="majorBidi"/>
        </w:rPr>
        <w:t xml:space="preserve"> (cf. Smith</w:t>
      </w:r>
      <w:r w:rsidRPr="005A5A48">
        <w:rPr>
          <w:rFonts w:asciiTheme="majorBidi" w:hAnsiTheme="majorBidi" w:cstheme="majorBidi"/>
          <w:highlight w:val="yellow"/>
        </w:rPr>
        <w:t>…</w:t>
      </w:r>
      <w:r>
        <w:rPr>
          <w:rFonts w:asciiTheme="majorBidi" w:hAnsiTheme="majorBidi" w:cstheme="majorBidi"/>
        </w:rPr>
        <w:t>)</w:t>
      </w:r>
      <w:r w:rsidRPr="0069694D">
        <w:rPr>
          <w:rFonts w:asciiTheme="majorBidi" w:hAnsiTheme="majorBidi" w:cstheme="majorBidi"/>
        </w:rPr>
        <w:t xml:space="preserve">. In these </w:t>
      </w:r>
      <w:r>
        <w:rPr>
          <w:rFonts w:asciiTheme="majorBidi" w:hAnsiTheme="majorBidi" w:cstheme="majorBidi"/>
        </w:rPr>
        <w:t>cas</w:t>
      </w:r>
      <w:r w:rsidRPr="0069694D">
        <w:rPr>
          <w:rFonts w:asciiTheme="majorBidi" w:hAnsiTheme="majorBidi" w:cstheme="majorBidi"/>
        </w:rPr>
        <w:t>es, however, the author does not describe the vistas of the netherworld</w:t>
      </w:r>
      <w:r>
        <w:rPr>
          <w:rFonts w:asciiTheme="majorBidi" w:hAnsiTheme="majorBidi" w:cstheme="majorBidi"/>
        </w:rPr>
        <w:t>,</w:t>
      </w:r>
      <w:r w:rsidRPr="0069694D">
        <w:rPr>
          <w:rFonts w:asciiTheme="majorBidi" w:hAnsiTheme="majorBidi" w:cstheme="majorBidi"/>
        </w:rPr>
        <w:t xml:space="preserve"> as he does elsewhere (KTU 1.4 VIII 1-12; 1.5 V 11-14)</w:t>
      </w:r>
      <w:r>
        <w:rPr>
          <w:rFonts w:asciiTheme="majorBidi" w:hAnsiTheme="majorBidi" w:cstheme="majorBidi"/>
        </w:rPr>
        <w:t>,</w:t>
      </w:r>
      <w:r w:rsidRPr="0069694D">
        <w:rPr>
          <w:rFonts w:asciiTheme="majorBidi" w:hAnsiTheme="majorBidi" w:cstheme="majorBidi"/>
        </w:rPr>
        <w:t xml:space="preserve"> </w:t>
      </w:r>
      <w:r>
        <w:rPr>
          <w:rFonts w:asciiTheme="majorBidi" w:hAnsiTheme="majorBidi" w:cstheme="majorBidi"/>
        </w:rPr>
        <w:t>but rather</w:t>
      </w:r>
      <w:r w:rsidRPr="0069694D">
        <w:rPr>
          <w:rFonts w:asciiTheme="majorBidi" w:hAnsiTheme="majorBidi" w:cstheme="majorBidi"/>
        </w:rPr>
        <w:t xml:space="preserve"> a </w:t>
      </w:r>
      <w:r>
        <w:rPr>
          <w:rFonts w:asciiTheme="majorBidi" w:hAnsiTheme="majorBidi" w:cstheme="majorBidi"/>
        </w:rPr>
        <w:t>common</w:t>
      </w:r>
      <w:r w:rsidRPr="0069694D">
        <w:rPr>
          <w:rFonts w:asciiTheme="majorBidi" w:hAnsiTheme="majorBidi" w:cstheme="majorBidi"/>
        </w:rPr>
        <w:t xml:space="preserve"> mountainous terrain sets the scene.</w:t>
      </w:r>
      <w:r>
        <w:rPr>
          <w:rFonts w:asciiTheme="majorBidi" w:hAnsiTheme="majorBidi" w:cstheme="majorBidi"/>
        </w:rPr>
        <w:t xml:space="preserve"> Since in contrast to the Mesopotamian view, Mot </w:t>
      </w:r>
      <w:r w:rsidR="0060255A">
        <w:rPr>
          <w:rFonts w:asciiTheme="majorBidi" w:hAnsiTheme="majorBidi" w:cstheme="majorBidi"/>
        </w:rPr>
        <w:t>i</w:t>
      </w:r>
      <w:r>
        <w:rPr>
          <w:rFonts w:asciiTheme="majorBidi" w:hAnsiTheme="majorBidi" w:cstheme="majorBidi"/>
        </w:rPr>
        <w:t xml:space="preserve">s not </w:t>
      </w:r>
      <w:ins w:id="65" w:author="Avraham Kallenbah" w:date="2021-04-13T08:45:00Z">
        <w:r w:rsidR="00B91D14">
          <w:rPr>
            <w:rFonts w:asciiTheme="majorBidi" w:hAnsiTheme="majorBidi" w:cstheme="majorBidi"/>
          </w:rPr>
          <w:t xml:space="preserve">necessarily </w:t>
        </w:r>
      </w:ins>
      <w:r>
        <w:rPr>
          <w:rFonts w:asciiTheme="majorBidi" w:hAnsiTheme="majorBidi" w:cstheme="majorBidi"/>
        </w:rPr>
        <w:t xml:space="preserve">limited </w:t>
      </w:r>
      <w:del w:id="66" w:author="Avraham Kallenbah" w:date="2021-04-13T08:44:00Z">
        <w:r w:rsidDel="00B91D14">
          <w:rPr>
            <w:rFonts w:asciiTheme="majorBidi" w:hAnsiTheme="majorBidi" w:cstheme="majorBidi"/>
          </w:rPr>
          <w:delText xml:space="preserve">necessarily </w:delText>
        </w:r>
      </w:del>
      <w:r>
        <w:rPr>
          <w:rFonts w:asciiTheme="majorBidi" w:hAnsiTheme="majorBidi" w:cstheme="majorBidi"/>
        </w:rPr>
        <w:t>to the netherworld, this view</w:t>
      </w:r>
      <w:r w:rsidR="004A0182">
        <w:rPr>
          <w:rFonts w:asciiTheme="majorBidi" w:hAnsiTheme="majorBidi" w:cstheme="majorBidi"/>
        </w:rPr>
        <w:t xml:space="preserve"> is doubtful</w:t>
      </w:r>
      <w:r>
        <w:rPr>
          <w:rFonts w:asciiTheme="majorBidi" w:hAnsiTheme="majorBidi" w:cstheme="majorBidi"/>
        </w:rPr>
        <w:t>.</w:t>
      </w:r>
    </w:p>
  </w:footnote>
  <w:footnote w:id="56">
    <w:p w14:paraId="70E8B4A9" w14:textId="58845C30"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For </w:t>
      </w:r>
      <w:r>
        <w:rPr>
          <w:rFonts w:asciiTheme="majorBidi" w:hAnsiTheme="majorBidi" w:cstheme="majorBidi"/>
        </w:rPr>
        <w:t>the occurrences of these</w:t>
      </w:r>
      <w:r w:rsidRPr="0069694D">
        <w:rPr>
          <w:rFonts w:asciiTheme="majorBidi" w:hAnsiTheme="majorBidi" w:cstheme="majorBidi"/>
        </w:rPr>
        <w:t xml:space="preserve"> motifs </w:t>
      </w:r>
      <w:r>
        <w:rPr>
          <w:rFonts w:asciiTheme="majorBidi" w:hAnsiTheme="majorBidi" w:cstheme="majorBidi"/>
        </w:rPr>
        <w:t xml:space="preserve">in </w:t>
      </w:r>
      <w:r w:rsidRPr="0069694D">
        <w:rPr>
          <w:rFonts w:asciiTheme="majorBidi" w:hAnsiTheme="majorBidi" w:cstheme="majorBidi"/>
        </w:rPr>
        <w:t>Mesopotamian</w:t>
      </w:r>
      <w:r>
        <w:rPr>
          <w:rFonts w:asciiTheme="majorBidi" w:hAnsiTheme="majorBidi" w:cstheme="majorBidi"/>
        </w:rPr>
        <w:t xml:space="preserve"> texts related to</w:t>
      </w:r>
      <w:r w:rsidRPr="0069694D">
        <w:rPr>
          <w:rFonts w:asciiTheme="majorBidi" w:hAnsiTheme="majorBidi" w:cstheme="majorBidi"/>
        </w:rPr>
        <w:t xml:space="preserve"> Dumuzi, see the relevant rubrics in the table prepared by Fritz 2003, 294-298. For a discussion of these motifs in relation to Osiris in Egypt, see Ayali-Darshan 2017-2019, 12-18.</w:t>
      </w:r>
    </w:p>
  </w:footnote>
  <w:footnote w:id="57">
    <w:p w14:paraId="2A67AC0F" w14:textId="31BF01C7"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Th</w:t>
      </w:r>
      <w:r>
        <w:rPr>
          <w:rFonts w:asciiTheme="majorBidi" w:hAnsiTheme="majorBidi" w:cstheme="majorBidi"/>
        </w:rPr>
        <w:t>e</w:t>
      </w:r>
      <w:r w:rsidRPr="0069694D">
        <w:rPr>
          <w:rFonts w:asciiTheme="majorBidi" w:hAnsiTheme="majorBidi" w:cstheme="majorBidi"/>
        </w:rPr>
        <w:t xml:space="preserve"> translation </w:t>
      </w:r>
      <w:r>
        <w:rPr>
          <w:rFonts w:asciiTheme="majorBidi" w:hAnsiTheme="majorBidi" w:cstheme="majorBidi"/>
        </w:rPr>
        <w:t>f</w:t>
      </w:r>
      <w:r w:rsidRPr="0069694D">
        <w:rPr>
          <w:rFonts w:asciiTheme="majorBidi" w:hAnsiTheme="majorBidi" w:cstheme="majorBidi"/>
        </w:rPr>
        <w:t>ollows Smith 1997, 158; Wyatt 2002, 137; Pardee 2003, 271.</w:t>
      </w:r>
    </w:p>
  </w:footnote>
  <w:footnote w:id="58">
    <w:p w14:paraId="66408E3E" w14:textId="6656ABA2"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This narrative appears only in the Baal </w:t>
      </w:r>
      <w:r>
        <w:rPr>
          <w:rFonts w:asciiTheme="majorBidi" w:hAnsiTheme="majorBidi" w:cstheme="majorBidi"/>
        </w:rPr>
        <w:t>C</w:t>
      </w:r>
      <w:r w:rsidRPr="0069694D">
        <w:rPr>
          <w:rFonts w:asciiTheme="majorBidi" w:hAnsiTheme="majorBidi" w:cstheme="majorBidi"/>
        </w:rPr>
        <w:t>ycle and</w:t>
      </w:r>
      <w:r>
        <w:rPr>
          <w:rFonts w:asciiTheme="majorBidi" w:hAnsiTheme="majorBidi" w:cstheme="majorBidi"/>
        </w:rPr>
        <w:t xml:space="preserve"> seems to</w:t>
      </w:r>
      <w:r w:rsidRPr="0069694D">
        <w:rPr>
          <w:rFonts w:asciiTheme="majorBidi" w:hAnsiTheme="majorBidi" w:cstheme="majorBidi"/>
        </w:rPr>
        <w:t xml:space="preserve"> belong </w:t>
      </w:r>
      <w:r>
        <w:rPr>
          <w:rFonts w:asciiTheme="majorBidi" w:hAnsiTheme="majorBidi" w:cstheme="majorBidi"/>
        </w:rPr>
        <w:t>to an</w:t>
      </w:r>
      <w:r w:rsidRPr="0069694D">
        <w:rPr>
          <w:rFonts w:asciiTheme="majorBidi" w:hAnsiTheme="majorBidi" w:cstheme="majorBidi"/>
        </w:rPr>
        <w:t xml:space="preserve"> </w:t>
      </w:r>
      <w:r>
        <w:rPr>
          <w:rFonts w:asciiTheme="majorBidi" w:hAnsiTheme="majorBidi" w:cstheme="majorBidi"/>
        </w:rPr>
        <w:t>editorial stratum; s</w:t>
      </w:r>
      <w:r w:rsidRPr="0069694D">
        <w:rPr>
          <w:rFonts w:asciiTheme="majorBidi" w:hAnsiTheme="majorBidi" w:cstheme="majorBidi"/>
        </w:rPr>
        <w:t>ee Ayali-Darshan 2013.</w:t>
      </w:r>
      <w:r>
        <w:rPr>
          <w:rFonts w:asciiTheme="majorBidi" w:hAnsiTheme="majorBidi" w:cstheme="majorBidi"/>
        </w:rPr>
        <w:t xml:space="preserve"> For the double paternity of Baal, see there</w:t>
      </w:r>
      <w:ins w:id="70" w:author="Noga Darshan" w:date="2021-04-12T13:09:00Z">
        <w:r>
          <w:rPr>
            <w:rFonts w:asciiTheme="majorBidi" w:hAnsiTheme="majorBidi" w:cstheme="majorBidi"/>
          </w:rPr>
          <w:t>.</w:t>
        </w:r>
      </w:ins>
    </w:p>
  </w:footnote>
  <w:footnote w:id="59">
    <w:p w14:paraId="559DD5B6" w14:textId="271585ED"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Scholars are divided over the meaning of the </w:t>
      </w:r>
      <w:r>
        <w:rPr>
          <w:rFonts w:asciiTheme="majorBidi" w:hAnsiTheme="majorBidi" w:cstheme="majorBidi"/>
        </w:rPr>
        <w:t>lemma</w:t>
      </w:r>
      <w:r w:rsidRPr="0069694D">
        <w:rPr>
          <w:rFonts w:asciiTheme="majorBidi" w:hAnsiTheme="majorBidi" w:cstheme="majorBidi"/>
        </w:rPr>
        <w:t xml:space="preserve"> </w:t>
      </w:r>
      <w:r w:rsidRPr="0069694D">
        <w:rPr>
          <w:rFonts w:asciiTheme="majorBidi" w:hAnsiTheme="majorBidi" w:cstheme="majorBidi"/>
          <w:i/>
          <w:iCs/>
        </w:rPr>
        <w:t>pl.</w:t>
      </w:r>
      <w:r w:rsidRPr="0069694D">
        <w:rPr>
          <w:rFonts w:asciiTheme="majorBidi" w:hAnsiTheme="majorBidi" w:cstheme="majorBidi"/>
        </w:rPr>
        <w:t xml:space="preserve"> The current translation, as</w:t>
      </w:r>
      <w:r>
        <w:rPr>
          <w:rFonts w:asciiTheme="majorBidi" w:hAnsiTheme="majorBidi" w:cstheme="majorBidi"/>
        </w:rPr>
        <w:t xml:space="preserve"> an</w:t>
      </w:r>
      <w:r w:rsidRPr="0069694D">
        <w:rPr>
          <w:rFonts w:asciiTheme="majorBidi" w:hAnsiTheme="majorBidi" w:cstheme="majorBidi"/>
        </w:rPr>
        <w:t xml:space="preserve"> imp</w:t>
      </w:r>
      <w:r>
        <w:rPr>
          <w:rFonts w:asciiTheme="majorBidi" w:hAnsiTheme="majorBidi" w:cstheme="majorBidi"/>
        </w:rPr>
        <w:t xml:space="preserve">erative </w:t>
      </w:r>
      <w:r w:rsidRPr="0069694D">
        <w:rPr>
          <w:rFonts w:asciiTheme="majorBidi" w:hAnsiTheme="majorBidi" w:cstheme="majorBidi"/>
        </w:rPr>
        <w:t>f</w:t>
      </w:r>
      <w:r>
        <w:rPr>
          <w:rFonts w:asciiTheme="majorBidi" w:hAnsiTheme="majorBidi" w:cstheme="majorBidi"/>
        </w:rPr>
        <w:t xml:space="preserve">eminine </w:t>
      </w:r>
      <w:r w:rsidRPr="0069694D">
        <w:rPr>
          <w:rFonts w:asciiTheme="majorBidi" w:hAnsiTheme="majorBidi" w:cstheme="majorBidi"/>
        </w:rPr>
        <w:t>s</w:t>
      </w:r>
      <w:r>
        <w:rPr>
          <w:rFonts w:asciiTheme="majorBidi" w:hAnsiTheme="majorBidi" w:cstheme="majorBidi"/>
        </w:rPr>
        <w:t>ingular</w:t>
      </w:r>
      <w:r w:rsidRPr="0069694D">
        <w:rPr>
          <w:rFonts w:asciiTheme="majorBidi" w:hAnsiTheme="majorBidi" w:cstheme="majorBidi"/>
        </w:rPr>
        <w:t xml:space="preserve">, is based on the root </w:t>
      </w:r>
      <w:r w:rsidRPr="0069694D">
        <w:rPr>
          <w:rFonts w:asciiTheme="majorBidi" w:hAnsiTheme="majorBidi" w:cstheme="majorBidi"/>
          <w:i/>
          <w:iCs/>
        </w:rPr>
        <w:t xml:space="preserve">p-l-y </w:t>
      </w:r>
      <w:r w:rsidRPr="0069694D">
        <w:rPr>
          <w:rFonts w:asciiTheme="majorBidi" w:hAnsiTheme="majorBidi" w:cstheme="majorBidi"/>
        </w:rPr>
        <w:t>in Aramaic, Mishnaic Hebrew, and Arabic</w:t>
      </w:r>
      <w:r>
        <w:rPr>
          <w:rFonts w:asciiTheme="majorBidi" w:hAnsiTheme="majorBidi" w:cstheme="majorBidi"/>
        </w:rPr>
        <w:t>,</w:t>
      </w:r>
      <w:r w:rsidRPr="0069694D">
        <w:rPr>
          <w:rFonts w:asciiTheme="majorBidi" w:hAnsiTheme="majorBidi" w:cstheme="majorBidi"/>
        </w:rPr>
        <w:t xml:space="preserve"> which means “to scrutinize” (thus Ginsberg 1933-1934, 115-116; </w:t>
      </w:r>
      <w:proofErr w:type="spellStart"/>
      <w:r w:rsidRPr="0069694D">
        <w:rPr>
          <w:rFonts w:asciiTheme="majorBidi" w:hAnsiTheme="majorBidi" w:cstheme="majorBidi"/>
        </w:rPr>
        <w:t>Dussaud</w:t>
      </w:r>
      <w:proofErr w:type="spellEnd"/>
      <w:r w:rsidRPr="0069694D">
        <w:rPr>
          <w:rFonts w:asciiTheme="majorBidi" w:hAnsiTheme="majorBidi" w:cstheme="majorBidi"/>
        </w:rPr>
        <w:t xml:space="preserve"> 1934, 204; Margalit 1980, 170; Wyatt 2002: 137). Others, however, have interpreted it as an adjective (“parched are the furrows…”) based on the Arabic </w:t>
      </w:r>
      <w:r w:rsidRPr="0069694D">
        <w:rPr>
          <w:rFonts w:asciiTheme="majorBidi" w:hAnsiTheme="majorBidi" w:cstheme="majorBidi"/>
          <w:i/>
          <w:iCs/>
        </w:rPr>
        <w:t>p-l-l</w:t>
      </w:r>
      <w:r w:rsidRPr="0069694D">
        <w:rPr>
          <w:rFonts w:asciiTheme="majorBidi" w:hAnsiTheme="majorBidi" w:cstheme="majorBidi"/>
        </w:rPr>
        <w:t xml:space="preserve"> (&gt; </w:t>
      </w:r>
      <w:r w:rsidRPr="0069694D">
        <w:rPr>
          <w:rFonts w:asciiTheme="majorBidi" w:hAnsiTheme="majorBidi" w:cstheme="majorBidi"/>
          <w:i/>
          <w:iCs/>
        </w:rPr>
        <w:t>f-l-l</w:t>
      </w:r>
      <w:r w:rsidRPr="0069694D">
        <w:rPr>
          <w:rFonts w:asciiTheme="majorBidi" w:hAnsiTheme="majorBidi" w:cstheme="majorBidi"/>
        </w:rPr>
        <w:t xml:space="preserve">) (thus Ginsberg 1969, 141; Driver 1956, 113, 163; de Moor 1971, 220; Smith 1997: 158; Pardee 2003: 271). For a discussion, see de Moor 1971. Both interpretations fit in context. </w:t>
      </w:r>
      <w:r>
        <w:rPr>
          <w:rFonts w:asciiTheme="majorBidi" w:hAnsiTheme="majorBidi" w:cstheme="majorBidi"/>
        </w:rPr>
        <w:t>Nevertheless</w:t>
      </w:r>
      <w:r w:rsidRPr="0069694D">
        <w:rPr>
          <w:rFonts w:asciiTheme="majorBidi" w:hAnsiTheme="majorBidi" w:cstheme="majorBidi"/>
        </w:rPr>
        <w:t xml:space="preserve">, even if we follow the second suggestion, the question at the end of El’s </w:t>
      </w:r>
      <w:r>
        <w:rPr>
          <w:rFonts w:asciiTheme="majorBidi" w:hAnsiTheme="majorBidi" w:cstheme="majorBidi"/>
        </w:rPr>
        <w:t>speech (ll. 4-5)</w:t>
      </w:r>
      <w:r w:rsidRPr="0069694D">
        <w:rPr>
          <w:rFonts w:asciiTheme="majorBidi" w:hAnsiTheme="majorBidi" w:cstheme="majorBidi"/>
        </w:rPr>
        <w:t xml:space="preserve">, and the ensuing description of </w:t>
      </w:r>
      <w:proofErr w:type="spellStart"/>
      <w:r w:rsidRPr="0069694D">
        <w:rPr>
          <w:rFonts w:asciiTheme="majorBidi" w:hAnsiTheme="majorBidi" w:cstheme="majorBidi"/>
        </w:rPr>
        <w:t>Šapšu</w:t>
      </w:r>
      <w:proofErr w:type="spellEnd"/>
      <w:r w:rsidRPr="0069694D">
        <w:rPr>
          <w:rFonts w:asciiTheme="majorBidi" w:hAnsiTheme="majorBidi" w:cstheme="majorBidi"/>
        </w:rPr>
        <w:t xml:space="preserve"> (see above</w:t>
      </w:r>
      <w:r>
        <w:rPr>
          <w:rFonts w:asciiTheme="majorBidi" w:hAnsiTheme="majorBidi" w:cstheme="majorBidi"/>
        </w:rPr>
        <w:t>, l. 20</w:t>
      </w:r>
      <w:r w:rsidRPr="0069694D">
        <w:rPr>
          <w:rFonts w:asciiTheme="majorBidi" w:hAnsiTheme="majorBidi" w:cstheme="majorBidi"/>
        </w:rPr>
        <w:t xml:space="preserve">) </w:t>
      </w:r>
      <w:r>
        <w:rPr>
          <w:rFonts w:asciiTheme="majorBidi" w:hAnsiTheme="majorBidi" w:cstheme="majorBidi"/>
        </w:rPr>
        <w:t>indicate</w:t>
      </w:r>
      <w:r w:rsidRPr="0069694D">
        <w:rPr>
          <w:rFonts w:asciiTheme="majorBidi" w:hAnsiTheme="majorBidi" w:cstheme="majorBidi"/>
        </w:rPr>
        <w:t xml:space="preserve"> that the author </w:t>
      </w:r>
      <w:del w:id="71" w:author="Avraham Kallenbah" w:date="2021-04-13T08:45:00Z">
        <w:r w:rsidDel="00B91D14">
          <w:rPr>
            <w:rFonts w:asciiTheme="majorBidi" w:hAnsiTheme="majorBidi" w:cstheme="majorBidi"/>
          </w:rPr>
          <w:delText>portrayed</w:delText>
        </w:r>
        <w:r w:rsidRPr="0069694D" w:rsidDel="00B91D14">
          <w:rPr>
            <w:rFonts w:asciiTheme="majorBidi" w:hAnsiTheme="majorBidi" w:cstheme="majorBidi"/>
          </w:rPr>
          <w:delText xml:space="preserve"> </w:delText>
        </w:r>
      </w:del>
      <w:ins w:id="72" w:author="Avraham Kallenbah" w:date="2021-04-13T08:45:00Z">
        <w:r w:rsidR="00B91D14">
          <w:rPr>
            <w:rFonts w:asciiTheme="majorBidi" w:hAnsiTheme="majorBidi" w:cstheme="majorBidi"/>
          </w:rPr>
          <w:t>sought to portray</w:t>
        </w:r>
        <w:r w:rsidR="00B91D14" w:rsidRPr="0069694D">
          <w:rPr>
            <w:rFonts w:asciiTheme="majorBidi" w:hAnsiTheme="majorBidi" w:cstheme="majorBidi"/>
          </w:rPr>
          <w:t xml:space="preserve"> </w:t>
        </w:r>
      </w:ins>
      <w:r w:rsidRPr="0069694D">
        <w:rPr>
          <w:rFonts w:asciiTheme="majorBidi" w:hAnsiTheme="majorBidi" w:cstheme="majorBidi"/>
        </w:rPr>
        <w:t>the absence of Baal and the desire to find him</w:t>
      </w:r>
      <w:r>
        <w:rPr>
          <w:rFonts w:asciiTheme="majorBidi" w:hAnsiTheme="majorBidi" w:cstheme="majorBidi"/>
        </w:rPr>
        <w:t>.</w:t>
      </w:r>
    </w:p>
  </w:footnote>
  <w:footnote w:id="60">
    <w:p w14:paraId="231C8441" w14:textId="63D7487F"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Scholars are even more sharply divided over the interpretation of th</w:t>
      </w:r>
      <w:r>
        <w:rPr>
          <w:rFonts w:asciiTheme="majorBidi" w:hAnsiTheme="majorBidi" w:cstheme="majorBidi"/>
        </w:rPr>
        <w:t>e</w:t>
      </w:r>
      <w:r w:rsidRPr="0069694D">
        <w:rPr>
          <w:rFonts w:asciiTheme="majorBidi" w:hAnsiTheme="majorBidi" w:cstheme="majorBidi"/>
        </w:rPr>
        <w:t xml:space="preserve"> </w:t>
      </w:r>
      <w:r>
        <w:rPr>
          <w:rFonts w:asciiTheme="majorBidi" w:hAnsiTheme="majorBidi" w:cstheme="majorBidi"/>
        </w:rPr>
        <w:t xml:space="preserve">lemma </w:t>
      </w:r>
      <w:proofErr w:type="spellStart"/>
      <w:r w:rsidRPr="00623051">
        <w:rPr>
          <w:rFonts w:asciiTheme="majorBidi" w:hAnsiTheme="majorBidi" w:cstheme="majorBidi"/>
          <w:i/>
          <w:iCs/>
        </w:rPr>
        <w:t>yštk</w:t>
      </w:r>
      <w:proofErr w:type="spellEnd"/>
      <w:r w:rsidRPr="0069694D">
        <w:rPr>
          <w:rFonts w:asciiTheme="majorBidi" w:hAnsiTheme="majorBidi" w:cstheme="majorBidi"/>
        </w:rPr>
        <w:t xml:space="preserve">. For different suggestions, see Wyatt 2002, 138, n. 94. Many have followed Ginsberg, 1969, 141, translating “Baal is neglecting” but without any etymological basis. The translation above interprets the verb </w:t>
      </w:r>
      <w:proofErr w:type="spellStart"/>
      <w:r w:rsidRPr="0069694D">
        <w:rPr>
          <w:rFonts w:asciiTheme="majorBidi" w:hAnsiTheme="majorBidi" w:cstheme="majorBidi"/>
          <w:i/>
          <w:iCs/>
        </w:rPr>
        <w:t>yštk</w:t>
      </w:r>
      <w:proofErr w:type="spellEnd"/>
      <w:r w:rsidRPr="0069694D">
        <w:rPr>
          <w:rFonts w:asciiTheme="majorBidi" w:hAnsiTheme="majorBidi" w:cstheme="majorBidi"/>
        </w:rPr>
        <w:t xml:space="preserve"> as deriving from the root </w:t>
      </w:r>
      <w:r w:rsidRPr="0069694D">
        <w:rPr>
          <w:rFonts w:asciiTheme="majorBidi" w:hAnsiTheme="majorBidi" w:cstheme="majorBidi"/>
          <w:i/>
          <w:iCs/>
        </w:rPr>
        <w:t xml:space="preserve">n-t-k </w:t>
      </w:r>
      <w:r w:rsidRPr="0069694D">
        <w:rPr>
          <w:rFonts w:asciiTheme="majorBidi" w:hAnsiTheme="majorBidi" w:cstheme="majorBidi"/>
        </w:rPr>
        <w:t>(“to pour out”) in the Š</w:t>
      </w:r>
      <w:r>
        <w:rPr>
          <w:rFonts w:asciiTheme="majorBidi" w:hAnsiTheme="majorBidi" w:cstheme="majorBidi"/>
        </w:rPr>
        <w:t xml:space="preserve"> stem</w:t>
      </w:r>
      <w:r w:rsidRPr="0069694D">
        <w:rPr>
          <w:rFonts w:asciiTheme="majorBidi" w:hAnsiTheme="majorBidi" w:cstheme="majorBidi"/>
        </w:rPr>
        <w:t xml:space="preserve">. This interpretation also fits the instructions for the ritual at the end of </w:t>
      </w:r>
      <w:r w:rsidRPr="0069694D">
        <w:rPr>
          <w:rFonts w:asciiTheme="majorBidi" w:hAnsiTheme="majorBidi" w:cstheme="majorBidi"/>
          <w:i/>
          <w:iCs/>
        </w:rPr>
        <w:t>KTU</w:t>
      </w:r>
      <w:r w:rsidRPr="0069694D">
        <w:rPr>
          <w:rFonts w:asciiTheme="majorBidi" w:hAnsiTheme="majorBidi" w:cstheme="majorBidi"/>
        </w:rPr>
        <w:t xml:space="preserve"> 1.12</w:t>
      </w:r>
      <w:r>
        <w:rPr>
          <w:rFonts w:asciiTheme="majorBidi" w:hAnsiTheme="majorBidi" w:cstheme="majorBidi"/>
        </w:rPr>
        <w:t>;</w:t>
      </w:r>
      <w:r w:rsidRPr="0069694D">
        <w:rPr>
          <w:rFonts w:asciiTheme="majorBidi" w:hAnsiTheme="majorBidi" w:cstheme="majorBidi"/>
        </w:rPr>
        <w:t xml:space="preserve"> Cf. </w:t>
      </w:r>
      <w:bookmarkStart w:id="73" w:name="_Hlk60645566"/>
      <w:r w:rsidRPr="0069694D">
        <w:rPr>
          <w:rFonts w:asciiTheme="majorBidi" w:hAnsiTheme="majorBidi" w:cstheme="majorBidi"/>
        </w:rPr>
        <w:t xml:space="preserve">de Moor and </w:t>
      </w:r>
      <w:proofErr w:type="spellStart"/>
      <w:r w:rsidRPr="0069694D">
        <w:rPr>
          <w:rFonts w:asciiTheme="majorBidi" w:hAnsiTheme="majorBidi" w:cstheme="majorBidi"/>
        </w:rPr>
        <w:t>Spronk</w:t>
      </w:r>
      <w:proofErr w:type="spellEnd"/>
      <w:r w:rsidRPr="0069694D">
        <w:rPr>
          <w:rFonts w:asciiTheme="majorBidi" w:hAnsiTheme="majorBidi" w:cstheme="majorBidi"/>
        </w:rPr>
        <w:t xml:space="preserve"> 1987, 156, </w:t>
      </w:r>
      <w:proofErr w:type="spellStart"/>
      <w:r w:rsidRPr="0069694D">
        <w:rPr>
          <w:rFonts w:asciiTheme="majorBidi" w:hAnsiTheme="majorBidi" w:cstheme="majorBidi"/>
        </w:rPr>
        <w:t>s.v.</w:t>
      </w:r>
      <w:proofErr w:type="spellEnd"/>
      <w:r w:rsidRPr="0069694D">
        <w:rPr>
          <w:rFonts w:asciiTheme="majorBidi" w:hAnsiTheme="majorBidi" w:cstheme="majorBidi"/>
        </w:rPr>
        <w:t xml:space="preserve"> </w:t>
      </w:r>
      <w:proofErr w:type="spellStart"/>
      <w:r w:rsidRPr="0069694D">
        <w:rPr>
          <w:rFonts w:asciiTheme="majorBidi" w:hAnsiTheme="majorBidi" w:cstheme="majorBidi"/>
          <w:i/>
          <w:iCs/>
        </w:rPr>
        <w:t>ntk</w:t>
      </w:r>
      <w:bookmarkEnd w:id="73"/>
      <w:proofErr w:type="spellEnd"/>
      <w:r w:rsidRPr="0069694D">
        <w:rPr>
          <w:rFonts w:asciiTheme="majorBidi" w:hAnsiTheme="majorBidi" w:cstheme="majorBidi"/>
        </w:rPr>
        <w:t>.</w:t>
      </w:r>
    </w:p>
  </w:footnote>
  <w:footnote w:id="61">
    <w:p w14:paraId="180A82FD" w14:textId="15B479C4"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Th</w:t>
      </w:r>
      <w:r>
        <w:rPr>
          <w:rFonts w:asciiTheme="majorBidi" w:hAnsiTheme="majorBidi" w:cstheme="majorBidi"/>
        </w:rPr>
        <w:t>e motif of the sun goddess searching in the netherworld</w:t>
      </w:r>
      <w:r w:rsidRPr="0069694D">
        <w:rPr>
          <w:rFonts w:asciiTheme="majorBidi" w:hAnsiTheme="majorBidi" w:cstheme="majorBidi"/>
        </w:rPr>
        <w:t xml:space="preserve"> </w:t>
      </w:r>
      <w:r>
        <w:rPr>
          <w:rFonts w:asciiTheme="majorBidi" w:hAnsiTheme="majorBidi" w:cstheme="majorBidi"/>
        </w:rPr>
        <w:t>fits well</w:t>
      </w:r>
      <w:r w:rsidRPr="0069694D">
        <w:rPr>
          <w:rFonts w:asciiTheme="majorBidi" w:hAnsiTheme="majorBidi" w:cstheme="majorBidi"/>
        </w:rPr>
        <w:t xml:space="preserve"> </w:t>
      </w:r>
      <w:r>
        <w:rPr>
          <w:rFonts w:asciiTheme="majorBidi" w:hAnsiTheme="majorBidi" w:cstheme="majorBidi"/>
        </w:rPr>
        <w:t xml:space="preserve">with </w:t>
      </w:r>
      <w:r w:rsidRPr="0069694D">
        <w:rPr>
          <w:rFonts w:asciiTheme="majorBidi" w:hAnsiTheme="majorBidi" w:cstheme="majorBidi"/>
        </w:rPr>
        <w:t xml:space="preserve">the prevalent conception in </w:t>
      </w:r>
      <w:del w:id="74" w:author="Noga Darshan" w:date="2021-04-12T13:14:00Z">
        <w:r w:rsidRPr="0069694D" w:rsidDel="0097405C">
          <w:rPr>
            <w:rFonts w:asciiTheme="majorBidi" w:hAnsiTheme="majorBidi" w:cstheme="majorBidi"/>
          </w:rPr>
          <w:delText xml:space="preserve">many </w:delText>
        </w:r>
      </w:del>
      <w:ins w:id="75" w:author="Noga Darshan" w:date="2021-04-12T13:14:00Z">
        <w:r>
          <w:rPr>
            <w:rFonts w:asciiTheme="majorBidi" w:hAnsiTheme="majorBidi" w:cstheme="majorBidi"/>
          </w:rPr>
          <w:t>the</w:t>
        </w:r>
        <w:r w:rsidRPr="0069694D">
          <w:rPr>
            <w:rFonts w:asciiTheme="majorBidi" w:hAnsiTheme="majorBidi" w:cstheme="majorBidi"/>
          </w:rPr>
          <w:t xml:space="preserve"> </w:t>
        </w:r>
      </w:ins>
      <w:del w:id="76" w:author="Avraham Kallenbah" w:date="2021-04-13T08:46:00Z">
        <w:r w:rsidRPr="0069694D" w:rsidDel="00B91D14">
          <w:rPr>
            <w:rFonts w:asciiTheme="majorBidi" w:hAnsiTheme="majorBidi" w:cstheme="majorBidi"/>
          </w:rPr>
          <w:delText>ancient Near Eastern cultures</w:delText>
        </w:r>
      </w:del>
      <w:ins w:id="77" w:author="Avraham Kallenbah" w:date="2021-04-13T08:46:00Z">
        <w:r w:rsidR="00B91D14">
          <w:rPr>
            <w:rFonts w:asciiTheme="majorBidi" w:hAnsiTheme="majorBidi" w:cstheme="majorBidi"/>
          </w:rPr>
          <w:t>cultures of the Ancient Near East</w:t>
        </w:r>
      </w:ins>
      <w:r w:rsidRPr="0069694D">
        <w:rPr>
          <w:rFonts w:asciiTheme="majorBidi" w:hAnsiTheme="majorBidi" w:cstheme="majorBidi"/>
        </w:rPr>
        <w:t>, including Ugarit, that the sun is one of the netherworld</w:t>
      </w:r>
      <w:r>
        <w:rPr>
          <w:rFonts w:asciiTheme="majorBidi" w:hAnsiTheme="majorBidi" w:cstheme="majorBidi"/>
        </w:rPr>
        <w:t>’s</w:t>
      </w:r>
      <w:r w:rsidRPr="0069694D">
        <w:rPr>
          <w:rFonts w:asciiTheme="majorBidi" w:hAnsiTheme="majorBidi" w:cstheme="majorBidi"/>
        </w:rPr>
        <w:t xml:space="preserve"> denizens, descending there </w:t>
      </w:r>
      <w:r>
        <w:rPr>
          <w:rFonts w:asciiTheme="majorBidi" w:hAnsiTheme="majorBidi" w:cstheme="majorBidi"/>
        </w:rPr>
        <w:t>every</w:t>
      </w:r>
      <w:r w:rsidRPr="0069694D">
        <w:rPr>
          <w:rFonts w:asciiTheme="majorBidi" w:hAnsiTheme="majorBidi" w:cstheme="majorBidi"/>
        </w:rPr>
        <w:t xml:space="preserve"> night. Cf. Healey 1980; Lewis 1989: 35-46; Ayali-Darshan 2020b. However, it is only in Ugarit that the motif of </w:t>
      </w:r>
      <w:r>
        <w:rPr>
          <w:rFonts w:asciiTheme="majorBidi" w:hAnsiTheme="majorBidi" w:cstheme="majorBidi"/>
        </w:rPr>
        <w:t>the</w:t>
      </w:r>
      <w:r w:rsidRPr="0069694D">
        <w:rPr>
          <w:rFonts w:asciiTheme="majorBidi" w:hAnsiTheme="majorBidi" w:cstheme="majorBidi"/>
        </w:rPr>
        <w:t xml:space="preserve"> search</w:t>
      </w:r>
      <w:r>
        <w:rPr>
          <w:rFonts w:asciiTheme="majorBidi" w:hAnsiTheme="majorBidi" w:cstheme="majorBidi"/>
        </w:rPr>
        <w:t xml:space="preserve"> after the dead god</w:t>
      </w:r>
      <w:r w:rsidRPr="0069694D">
        <w:rPr>
          <w:rFonts w:asciiTheme="majorBidi" w:hAnsiTheme="majorBidi" w:cstheme="majorBidi"/>
        </w:rPr>
        <w:t xml:space="preserve"> is connected to the sun goddess.</w:t>
      </w:r>
    </w:p>
  </w:footnote>
  <w:footnote w:id="62">
    <w:p w14:paraId="664FE16D" w14:textId="2035E722"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For this motif (which appears </w:t>
      </w:r>
      <w:r>
        <w:rPr>
          <w:rFonts w:asciiTheme="majorBidi" w:hAnsiTheme="majorBidi" w:cstheme="majorBidi"/>
        </w:rPr>
        <w:t xml:space="preserve">also </w:t>
      </w:r>
      <w:r w:rsidRPr="0069694D">
        <w:rPr>
          <w:rFonts w:asciiTheme="majorBidi" w:hAnsiTheme="majorBidi" w:cstheme="majorBidi"/>
        </w:rPr>
        <w:t xml:space="preserve">in classical literature in relation to Demeter) cf. also </w:t>
      </w:r>
      <w:proofErr w:type="spellStart"/>
      <w:r w:rsidRPr="0069694D">
        <w:rPr>
          <w:rFonts w:asciiTheme="majorBidi" w:hAnsiTheme="majorBidi" w:cstheme="majorBidi"/>
        </w:rPr>
        <w:t>Gaster</w:t>
      </w:r>
      <w:proofErr w:type="spellEnd"/>
      <w:r w:rsidRPr="0069694D">
        <w:rPr>
          <w:rFonts w:asciiTheme="majorBidi" w:hAnsiTheme="majorBidi" w:cstheme="majorBidi"/>
        </w:rPr>
        <w:t xml:space="preserve"> 1961: 213-214, 220; 1969: 605–606</w:t>
      </w:r>
      <w:r>
        <w:rPr>
          <w:rFonts w:asciiTheme="majorBidi" w:hAnsiTheme="majorBidi" w:cstheme="majorBidi"/>
        </w:rPr>
        <w:t>,</w:t>
      </w:r>
      <w:r w:rsidRPr="0069694D">
        <w:rPr>
          <w:rFonts w:asciiTheme="majorBidi" w:hAnsiTheme="majorBidi" w:cstheme="majorBidi"/>
        </w:rPr>
        <w:t xml:space="preserve"> </w:t>
      </w:r>
      <w:r>
        <w:rPr>
          <w:rFonts w:asciiTheme="majorBidi" w:hAnsiTheme="majorBidi" w:cstheme="majorBidi"/>
        </w:rPr>
        <w:t>a</w:t>
      </w:r>
      <w:r w:rsidRPr="0069694D">
        <w:rPr>
          <w:rFonts w:asciiTheme="majorBidi" w:hAnsiTheme="majorBidi" w:cstheme="majorBidi"/>
        </w:rPr>
        <w:t xml:space="preserve">nd see the references in n. </w:t>
      </w:r>
      <w:r w:rsidRPr="005A5A48">
        <w:rPr>
          <w:rFonts w:asciiTheme="majorBidi" w:hAnsiTheme="majorBidi" w:cstheme="majorBidi"/>
          <w:highlight w:val="yellow"/>
        </w:rPr>
        <w:t>xxx</w:t>
      </w:r>
      <w:r w:rsidRPr="0069694D">
        <w:rPr>
          <w:rFonts w:asciiTheme="majorBidi" w:hAnsiTheme="majorBidi" w:cstheme="majorBidi"/>
        </w:rPr>
        <w:t xml:space="preserve"> above.</w:t>
      </w:r>
      <w:r w:rsidRPr="00F63CE9">
        <w:rPr>
          <w:rFonts w:asciiTheme="majorBidi" w:hAnsiTheme="majorBidi" w:cstheme="majorBidi"/>
        </w:rPr>
        <w:t xml:space="preserve"> </w:t>
      </w:r>
      <w:r w:rsidRPr="0069694D">
        <w:rPr>
          <w:rFonts w:asciiTheme="majorBidi" w:hAnsiTheme="majorBidi" w:cstheme="majorBidi"/>
        </w:rPr>
        <w:t xml:space="preserve">In contrast to the present passage, </w:t>
      </w:r>
      <w:r>
        <w:rPr>
          <w:rFonts w:asciiTheme="majorBidi" w:hAnsiTheme="majorBidi" w:cstheme="majorBidi"/>
        </w:rPr>
        <w:t xml:space="preserve">the author of the Baal Cycle separates between </w:t>
      </w:r>
      <w:r w:rsidRPr="0069694D">
        <w:rPr>
          <w:rFonts w:asciiTheme="majorBidi" w:hAnsiTheme="majorBidi" w:cstheme="majorBidi"/>
        </w:rPr>
        <w:t>the scene of El’s mourning</w:t>
      </w:r>
      <w:r>
        <w:rPr>
          <w:rFonts w:asciiTheme="majorBidi" w:hAnsiTheme="majorBidi" w:cstheme="majorBidi"/>
        </w:rPr>
        <w:t xml:space="preserve"> over the dead Baal </w:t>
      </w:r>
      <w:r w:rsidRPr="0069694D">
        <w:rPr>
          <w:rFonts w:asciiTheme="majorBidi" w:hAnsiTheme="majorBidi" w:cstheme="majorBidi"/>
        </w:rPr>
        <w:t xml:space="preserve">(1.5 VI 1-25), and the scene of </w:t>
      </w:r>
      <w:r>
        <w:rPr>
          <w:rFonts w:asciiTheme="majorBidi" w:hAnsiTheme="majorBidi" w:cstheme="majorBidi"/>
        </w:rPr>
        <w:t>Baal’s</w:t>
      </w:r>
      <w:r w:rsidRPr="0069694D">
        <w:rPr>
          <w:rFonts w:asciiTheme="majorBidi" w:hAnsiTheme="majorBidi" w:cstheme="majorBidi"/>
        </w:rPr>
        <w:t xml:space="preserve"> body being found by </w:t>
      </w:r>
      <w:proofErr w:type="spellStart"/>
      <w:r w:rsidRPr="0069694D">
        <w:rPr>
          <w:rFonts w:asciiTheme="majorBidi" w:hAnsiTheme="majorBidi" w:cstheme="majorBidi"/>
        </w:rPr>
        <w:t>Anat</w:t>
      </w:r>
      <w:proofErr w:type="spellEnd"/>
      <w:r w:rsidRPr="0069694D">
        <w:rPr>
          <w:rFonts w:asciiTheme="majorBidi" w:hAnsiTheme="majorBidi" w:cstheme="majorBidi"/>
        </w:rPr>
        <w:t xml:space="preserve"> and </w:t>
      </w:r>
      <w:proofErr w:type="spellStart"/>
      <w:r w:rsidRPr="0069694D">
        <w:rPr>
          <w:rFonts w:asciiTheme="majorBidi" w:hAnsiTheme="majorBidi" w:cstheme="majorBidi"/>
        </w:rPr>
        <w:t>Šapšu</w:t>
      </w:r>
      <w:proofErr w:type="spellEnd"/>
      <w:r w:rsidRPr="0069694D">
        <w:rPr>
          <w:rFonts w:asciiTheme="majorBidi" w:hAnsiTheme="majorBidi" w:cstheme="majorBidi"/>
        </w:rPr>
        <w:t xml:space="preserve"> (1.6 I 8-15)</w:t>
      </w:r>
      <w:r>
        <w:rPr>
          <w:rFonts w:asciiTheme="majorBidi" w:hAnsiTheme="majorBidi" w:cstheme="majorBidi"/>
        </w:rPr>
        <w:t>.</w:t>
      </w:r>
    </w:p>
  </w:footnote>
  <w:footnote w:id="63">
    <w:p w14:paraId="253CB71F" w14:textId="77777777"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r>
        <w:rPr>
          <w:rFonts w:asciiTheme="majorBidi" w:hAnsiTheme="majorBidi" w:cstheme="majorBidi"/>
        </w:rPr>
        <w:t xml:space="preserve">For discussion, </w:t>
      </w:r>
      <w:r w:rsidRPr="005A5A48">
        <w:rPr>
          <w:rFonts w:asciiTheme="majorBidi" w:hAnsiTheme="majorBidi" w:cstheme="majorBidi"/>
          <w:highlight w:val="yellow"/>
        </w:rPr>
        <w:t>see….</w:t>
      </w:r>
    </w:p>
  </w:footnote>
  <w:footnote w:id="64">
    <w:p w14:paraId="2549D4DD" w14:textId="77777777"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Cf. Gordon 1949, 4-5.</w:t>
      </w:r>
    </w:p>
  </w:footnote>
  <w:footnote w:id="65">
    <w:p w14:paraId="1C77E965" w14:textId="1B6C9581"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r>
        <w:rPr>
          <w:rFonts w:asciiTheme="majorBidi" w:hAnsiTheme="majorBidi" w:cstheme="majorBidi"/>
        </w:rPr>
        <w:t>While the following lines are interpreted sometimes as a literary description of the weather, or as a curse (</w:t>
      </w:r>
      <w:r w:rsidRPr="005A5A48">
        <w:rPr>
          <w:rFonts w:asciiTheme="majorBidi" w:hAnsiTheme="majorBidi" w:cstheme="majorBidi"/>
          <w:highlight w:val="yellow"/>
        </w:rPr>
        <w:t>SCHOLARS</w:t>
      </w:r>
      <w:r>
        <w:rPr>
          <w:rFonts w:asciiTheme="majorBidi" w:hAnsiTheme="majorBidi" w:cstheme="majorBidi"/>
        </w:rPr>
        <w:t>), t</w:t>
      </w:r>
      <w:r w:rsidRPr="00E34C6D">
        <w:rPr>
          <w:rFonts w:asciiTheme="majorBidi" w:hAnsiTheme="majorBidi" w:cstheme="majorBidi"/>
        </w:rPr>
        <w:t xml:space="preserve">he context in which </w:t>
      </w:r>
      <w:r>
        <w:rPr>
          <w:rFonts w:asciiTheme="majorBidi" w:hAnsiTheme="majorBidi" w:cstheme="majorBidi"/>
        </w:rPr>
        <w:t>it</w:t>
      </w:r>
      <w:r w:rsidRPr="00E34C6D">
        <w:rPr>
          <w:rFonts w:asciiTheme="majorBidi" w:hAnsiTheme="majorBidi" w:cstheme="majorBidi"/>
        </w:rPr>
        <w:t xml:space="preserve"> appears – a hot and cloudy summer day during the seasonal ripening of crops – is typical of a </w:t>
      </w:r>
      <w:r>
        <w:rPr>
          <w:rFonts w:asciiTheme="majorBidi" w:hAnsiTheme="majorBidi" w:cstheme="majorBidi"/>
        </w:rPr>
        <w:t>Levantine</w:t>
      </w:r>
      <w:r w:rsidRPr="00E34C6D">
        <w:rPr>
          <w:rFonts w:asciiTheme="majorBidi" w:hAnsiTheme="majorBidi" w:cstheme="majorBidi"/>
        </w:rPr>
        <w:t xml:space="preserve"> summer, and does not conjure up images of a long drought. Therefore, this </w:t>
      </w:r>
      <w:r>
        <w:rPr>
          <w:rFonts w:asciiTheme="majorBidi" w:hAnsiTheme="majorBidi" w:cstheme="majorBidi"/>
        </w:rPr>
        <w:t>line</w:t>
      </w:r>
      <w:r w:rsidRPr="00E34C6D">
        <w:rPr>
          <w:rFonts w:asciiTheme="majorBidi" w:hAnsiTheme="majorBidi" w:cstheme="majorBidi"/>
        </w:rPr>
        <w:t xml:space="preserve"> seems to be a saying that was incorporated into the text simply to emphasize that the day was particularly hot.</w:t>
      </w:r>
    </w:p>
  </w:footnote>
  <w:footnote w:id="66">
    <w:p w14:paraId="3F4189A1" w14:textId="10366CA6"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Cf. Driver 1956, 73, 153; Wyatt 2002, 166-167. For a discussion of the theme of seven-year cycles, which appears in other Ugaritic texts and in the Bible, see Gordon 1949, 4-5. </w:t>
      </w:r>
      <w:del w:id="83" w:author="Avraham Kallenbah" w:date="2021-04-13T08:46:00Z">
        <w:r w:rsidRPr="0069694D" w:rsidDel="00B91D14">
          <w:rPr>
            <w:rFonts w:asciiTheme="majorBidi" w:hAnsiTheme="majorBidi" w:cstheme="majorBidi"/>
          </w:rPr>
          <w:delText>To these examples</w:delText>
        </w:r>
      </w:del>
      <w:ins w:id="84" w:author="Noga Darshan" w:date="2021-04-12T15:32:00Z">
        <w:del w:id="85" w:author="Avraham Kallenbah" w:date="2021-04-13T08:46:00Z">
          <w:r w:rsidR="0013103F" w:rsidDel="00B91D14">
            <w:rPr>
              <w:rFonts w:asciiTheme="majorBidi" w:hAnsiTheme="majorBidi" w:cstheme="majorBidi"/>
            </w:rPr>
            <w:delText xml:space="preserve"> mentioned by him</w:delText>
          </w:r>
        </w:del>
      </w:ins>
      <w:ins w:id="86" w:author="Avraham Kallenbah" w:date="2021-04-13T08:46:00Z">
        <w:r w:rsidR="00B91D14">
          <w:rPr>
            <w:rFonts w:asciiTheme="majorBidi" w:hAnsiTheme="majorBidi" w:cstheme="majorBidi"/>
          </w:rPr>
          <w:t>In addition to the examples brough there</w:t>
        </w:r>
      </w:ins>
      <w:r w:rsidRPr="0069694D">
        <w:rPr>
          <w:rFonts w:asciiTheme="majorBidi" w:hAnsiTheme="majorBidi" w:cstheme="majorBidi"/>
        </w:rPr>
        <w:t xml:space="preserve">, the seven-year cycle of the </w:t>
      </w:r>
      <w:proofErr w:type="spellStart"/>
      <w:r w:rsidRPr="0069694D">
        <w:rPr>
          <w:rFonts w:asciiTheme="majorBidi" w:hAnsiTheme="majorBidi" w:cstheme="majorBidi"/>
        </w:rPr>
        <w:t>Zukru</w:t>
      </w:r>
      <w:proofErr w:type="spellEnd"/>
      <w:r w:rsidRPr="0069694D">
        <w:rPr>
          <w:rFonts w:asciiTheme="majorBidi" w:hAnsiTheme="majorBidi" w:cstheme="majorBidi"/>
        </w:rPr>
        <w:t xml:space="preserve"> celebrations </w:t>
      </w:r>
      <w:r>
        <w:rPr>
          <w:rFonts w:asciiTheme="majorBidi" w:hAnsiTheme="majorBidi" w:cstheme="majorBidi"/>
        </w:rPr>
        <w:t xml:space="preserve">in </w:t>
      </w:r>
      <w:proofErr w:type="spellStart"/>
      <w:r w:rsidRPr="0069694D">
        <w:rPr>
          <w:rFonts w:asciiTheme="majorBidi" w:hAnsiTheme="majorBidi" w:cstheme="majorBidi"/>
        </w:rPr>
        <w:t>Emar</w:t>
      </w:r>
      <w:proofErr w:type="spellEnd"/>
      <w:r w:rsidRPr="0069694D">
        <w:rPr>
          <w:rFonts w:asciiTheme="majorBidi" w:hAnsiTheme="majorBidi" w:cstheme="majorBidi"/>
        </w:rPr>
        <w:t xml:space="preserve"> should be </w:t>
      </w:r>
      <w:del w:id="87" w:author="Avraham Kallenbah" w:date="2021-04-13T08:46:00Z">
        <w:r w:rsidRPr="0069694D" w:rsidDel="00B91D14">
          <w:rPr>
            <w:rFonts w:asciiTheme="majorBidi" w:hAnsiTheme="majorBidi" w:cstheme="majorBidi"/>
          </w:rPr>
          <w:delText>added</w:delText>
        </w:r>
        <w:r w:rsidDel="00B91D14">
          <w:rPr>
            <w:rFonts w:asciiTheme="majorBidi" w:hAnsiTheme="majorBidi" w:cstheme="majorBidi"/>
          </w:rPr>
          <w:delText xml:space="preserve"> </w:delText>
        </w:r>
      </w:del>
      <w:ins w:id="88" w:author="Avraham Kallenbah" w:date="2021-04-13T08:46:00Z">
        <w:r w:rsidR="00B91D14">
          <w:rPr>
            <w:rFonts w:asciiTheme="majorBidi" w:hAnsiTheme="majorBidi" w:cstheme="majorBidi"/>
          </w:rPr>
          <w:t xml:space="preserve">mentioned </w:t>
        </w:r>
      </w:ins>
      <w:r>
        <w:rPr>
          <w:rFonts w:asciiTheme="majorBidi" w:hAnsiTheme="majorBidi" w:cstheme="majorBidi"/>
        </w:rPr>
        <w:t>(</w:t>
      </w:r>
      <w:r w:rsidRPr="005A5A48">
        <w:rPr>
          <w:rFonts w:asciiTheme="majorBidi" w:hAnsiTheme="majorBidi" w:cstheme="majorBidi"/>
          <w:highlight w:val="yellow"/>
        </w:rPr>
        <w:t>see…</w:t>
      </w:r>
      <w:r>
        <w:rPr>
          <w:rFonts w:asciiTheme="majorBidi" w:hAnsiTheme="majorBidi" w:cstheme="majorBidi"/>
        </w:rPr>
        <w:t>)</w:t>
      </w:r>
      <w:r w:rsidRPr="0069694D">
        <w:rPr>
          <w:rFonts w:asciiTheme="majorBidi" w:hAnsiTheme="majorBidi" w:cstheme="majorBidi"/>
        </w:rPr>
        <w:t>.</w:t>
      </w:r>
    </w:p>
  </w:footnote>
  <w:footnote w:id="67">
    <w:p w14:paraId="5049B955" w14:textId="77777777"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Cf. de Moor 1987, 134; </w:t>
      </w:r>
      <w:proofErr w:type="spellStart"/>
      <w:r w:rsidRPr="0069694D">
        <w:rPr>
          <w:rFonts w:asciiTheme="majorBidi" w:hAnsiTheme="majorBidi" w:cstheme="majorBidi"/>
        </w:rPr>
        <w:t>Tropper</w:t>
      </w:r>
      <w:proofErr w:type="spellEnd"/>
      <w:r w:rsidRPr="0069694D">
        <w:rPr>
          <w:rFonts w:asciiTheme="majorBidi" w:hAnsiTheme="majorBidi" w:cstheme="majorBidi"/>
        </w:rPr>
        <w:t xml:space="preserve"> 1990, 47-48; Dietrich and </w:t>
      </w:r>
      <w:proofErr w:type="spellStart"/>
      <w:r w:rsidRPr="0069694D">
        <w:rPr>
          <w:rFonts w:asciiTheme="majorBidi" w:hAnsiTheme="majorBidi" w:cstheme="majorBidi"/>
        </w:rPr>
        <w:t>Loretz</w:t>
      </w:r>
      <w:proofErr w:type="spellEnd"/>
      <w:r w:rsidRPr="0069694D">
        <w:rPr>
          <w:rFonts w:asciiTheme="majorBidi" w:hAnsiTheme="majorBidi" w:cstheme="majorBidi"/>
        </w:rPr>
        <w:t xml:space="preserve"> 1997, 1211-1212; Wyatt 2002, 167-168. For other interpretations of this section, see Dietrich and </w:t>
      </w:r>
      <w:proofErr w:type="spellStart"/>
      <w:r w:rsidRPr="0069694D">
        <w:rPr>
          <w:rFonts w:asciiTheme="majorBidi" w:hAnsiTheme="majorBidi" w:cstheme="majorBidi"/>
        </w:rPr>
        <w:t>Loretz</w:t>
      </w:r>
      <w:proofErr w:type="spellEnd"/>
      <w:r w:rsidRPr="0069694D">
        <w:rPr>
          <w:rFonts w:asciiTheme="majorBidi" w:hAnsiTheme="majorBidi" w:cstheme="majorBidi"/>
        </w:rPr>
        <w:t xml:space="preserve"> 1997, n. 94.</w:t>
      </w:r>
    </w:p>
  </w:footnote>
  <w:footnote w:id="68">
    <w:p w14:paraId="3FA7B293" w14:textId="2FB03840"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proofErr w:type="spellStart"/>
      <w:r w:rsidRPr="0069694D">
        <w:rPr>
          <w:rFonts w:asciiTheme="majorBidi" w:hAnsiTheme="majorBidi" w:cstheme="majorBidi"/>
        </w:rPr>
        <w:t>Mettinger</w:t>
      </w:r>
      <w:proofErr w:type="spellEnd"/>
      <w:r w:rsidRPr="0069694D">
        <w:rPr>
          <w:rFonts w:asciiTheme="majorBidi" w:hAnsiTheme="majorBidi" w:cstheme="majorBidi"/>
        </w:rPr>
        <w:t xml:space="preserve"> </w:t>
      </w:r>
      <w:proofErr w:type="gramStart"/>
      <w:r w:rsidRPr="0069694D">
        <w:rPr>
          <w:rFonts w:asciiTheme="majorBidi" w:hAnsiTheme="majorBidi" w:cstheme="majorBidi"/>
        </w:rPr>
        <w:t>2001</w:t>
      </w:r>
      <w:r>
        <w:rPr>
          <w:rFonts w:asciiTheme="majorBidi" w:hAnsiTheme="majorBidi" w:cstheme="majorBidi"/>
        </w:rPr>
        <w:t>, and</w:t>
      </w:r>
      <w:proofErr w:type="gramEnd"/>
      <w:r>
        <w:rPr>
          <w:rFonts w:asciiTheme="majorBidi" w:hAnsiTheme="majorBidi" w:cstheme="majorBidi"/>
        </w:rPr>
        <w:t xml:space="preserve"> see also </w:t>
      </w:r>
      <w:r w:rsidRPr="0069694D">
        <w:rPr>
          <w:rFonts w:asciiTheme="majorBidi" w:hAnsiTheme="majorBidi" w:cstheme="majorBidi"/>
        </w:rPr>
        <w:t>Cook 2018.</w:t>
      </w:r>
    </w:p>
  </w:footnote>
  <w:footnote w:id="69">
    <w:p w14:paraId="1F7A8806" w14:textId="23578DBE" w:rsidR="006A346E" w:rsidRPr="0069694D" w:rsidRDefault="006A346E" w:rsidP="00A873E4">
      <w:pPr>
        <w:pStyle w:val="FootnoteText"/>
        <w:spacing w:line="360" w:lineRule="auto"/>
        <w:ind w:firstLine="0"/>
        <w:rPr>
          <w:rFonts w:asciiTheme="majorBidi" w:hAnsiTheme="majorBidi" w:cstheme="majorBidi"/>
          <w:rtl/>
        </w:rPr>
      </w:pPr>
      <w:r w:rsidRPr="0069694D">
        <w:rPr>
          <w:rFonts w:asciiTheme="majorBidi" w:hAnsiTheme="majorBidi" w:cstheme="majorBidi"/>
        </w:rPr>
        <w:t xml:space="preserve"> </w:t>
      </w:r>
      <w:r w:rsidRPr="0069694D">
        <w:rPr>
          <w:rStyle w:val="FootnoteReference"/>
          <w:rFonts w:asciiTheme="majorBidi" w:hAnsiTheme="majorBidi" w:cstheme="majorBidi"/>
        </w:rPr>
        <w:footnoteRef/>
      </w:r>
      <w:r>
        <w:rPr>
          <w:rFonts w:asciiTheme="majorBidi" w:hAnsiTheme="majorBidi" w:cstheme="majorBidi"/>
        </w:rPr>
        <w:t xml:space="preserve"> </w:t>
      </w:r>
      <w:r w:rsidRPr="0069694D">
        <w:rPr>
          <w:rFonts w:asciiTheme="majorBidi" w:hAnsiTheme="majorBidi" w:cstheme="majorBidi"/>
        </w:rPr>
        <w:t xml:space="preserve">For a </w:t>
      </w:r>
      <w:r>
        <w:rPr>
          <w:rFonts w:asciiTheme="majorBidi" w:hAnsiTheme="majorBidi" w:cstheme="majorBidi"/>
        </w:rPr>
        <w:t>reevaluation</w:t>
      </w:r>
      <w:r w:rsidRPr="0069694D">
        <w:rPr>
          <w:rFonts w:asciiTheme="majorBidi" w:hAnsiTheme="majorBidi" w:cstheme="majorBidi"/>
        </w:rPr>
        <w:t xml:space="preserve"> of all the occurrences in Phoenician and Punic inscriptions, see Zamora 2017. For a discussion of the Phoenician verb </w:t>
      </w:r>
      <w:r w:rsidRPr="0069694D">
        <w:rPr>
          <w:rFonts w:asciiTheme="majorBidi" w:hAnsiTheme="majorBidi" w:cstheme="majorBidi"/>
          <w:i/>
          <w:iCs/>
        </w:rPr>
        <w:t>q-w-m</w:t>
      </w:r>
      <w:r w:rsidRPr="0069694D">
        <w:rPr>
          <w:rFonts w:asciiTheme="majorBidi" w:hAnsiTheme="majorBidi" w:cstheme="majorBidi"/>
        </w:rPr>
        <w:t xml:space="preserve">, denoting “rising after death” </w:t>
      </w:r>
      <w:r>
        <w:rPr>
          <w:rFonts w:asciiTheme="majorBidi" w:hAnsiTheme="majorBidi" w:cstheme="majorBidi"/>
        </w:rPr>
        <w:t>(</w:t>
      </w:r>
      <w:r w:rsidRPr="0069694D">
        <w:rPr>
          <w:rFonts w:asciiTheme="majorBidi" w:hAnsiTheme="majorBidi" w:cstheme="majorBidi"/>
        </w:rPr>
        <w:t>in light of Biblical Hebrew</w:t>
      </w:r>
      <w:r>
        <w:rPr>
          <w:rFonts w:asciiTheme="majorBidi" w:hAnsiTheme="majorBidi" w:cstheme="majorBidi"/>
        </w:rPr>
        <w:t>)</w:t>
      </w:r>
      <w:r w:rsidRPr="0069694D">
        <w:rPr>
          <w:rFonts w:asciiTheme="majorBidi" w:hAnsiTheme="majorBidi" w:cstheme="majorBidi"/>
        </w:rPr>
        <w:t>, see Greenfield 1987, 397-399.</w:t>
      </w:r>
    </w:p>
  </w:footnote>
  <w:footnote w:id="70">
    <w:p w14:paraId="3AC100C2" w14:textId="05E78F69" w:rsidR="006A346E" w:rsidRPr="0069694D" w:rsidRDefault="006A346E" w:rsidP="00A873E4">
      <w:pPr>
        <w:autoSpaceDE w:val="0"/>
        <w:autoSpaceDN w:val="0"/>
        <w:adjustRightInd w:val="0"/>
        <w:spacing w:line="360" w:lineRule="auto"/>
        <w:ind w:firstLine="0"/>
        <w:rPr>
          <w:rFonts w:asciiTheme="majorBidi" w:eastAsia="AGaramondPro-Regular" w:hAnsiTheme="majorBidi" w:cstheme="majorBidi"/>
          <w:sz w:val="20"/>
          <w:szCs w:val="20"/>
        </w:rPr>
      </w:pPr>
      <w:r w:rsidRPr="0069694D">
        <w:rPr>
          <w:rStyle w:val="FootnoteReference"/>
          <w:rFonts w:asciiTheme="majorBidi" w:hAnsiTheme="majorBidi" w:cstheme="majorBidi"/>
          <w:sz w:val="20"/>
          <w:szCs w:val="20"/>
        </w:rPr>
        <w:footnoteRef/>
      </w:r>
      <w:r w:rsidRPr="0069694D">
        <w:rPr>
          <w:rFonts w:asciiTheme="majorBidi" w:hAnsiTheme="majorBidi" w:cstheme="majorBidi"/>
          <w:sz w:val="20"/>
          <w:szCs w:val="20"/>
        </w:rPr>
        <w:t xml:space="preserve"> The reconstruction and translation of the Greek phrase follow Clermont-</w:t>
      </w:r>
      <w:proofErr w:type="spellStart"/>
      <w:r w:rsidRPr="0069694D">
        <w:rPr>
          <w:rFonts w:asciiTheme="majorBidi" w:hAnsiTheme="majorBidi" w:cstheme="majorBidi"/>
          <w:sz w:val="20"/>
          <w:szCs w:val="20"/>
        </w:rPr>
        <w:t>Ganneau</w:t>
      </w:r>
      <w:proofErr w:type="spellEnd"/>
      <w:r w:rsidRPr="0069694D">
        <w:rPr>
          <w:rFonts w:asciiTheme="majorBidi" w:hAnsiTheme="majorBidi" w:cstheme="majorBidi"/>
          <w:sz w:val="20"/>
          <w:szCs w:val="20"/>
        </w:rPr>
        <w:t xml:space="preserve"> 1906; </w:t>
      </w:r>
      <w:r w:rsidRPr="005A5A48">
        <w:rPr>
          <w:rFonts w:asciiTheme="majorBidi" w:hAnsiTheme="majorBidi" w:cstheme="majorBidi"/>
          <w:sz w:val="20"/>
          <w:szCs w:val="20"/>
          <w:highlight w:val="yellow"/>
        </w:rPr>
        <w:t>1924a; 1924b</w:t>
      </w:r>
      <w:r w:rsidRPr="0069694D">
        <w:rPr>
          <w:rFonts w:asciiTheme="majorBidi" w:hAnsiTheme="majorBidi" w:cstheme="majorBidi"/>
          <w:sz w:val="20"/>
          <w:szCs w:val="20"/>
        </w:rPr>
        <w:t xml:space="preserve">; </w:t>
      </w:r>
      <w:proofErr w:type="spellStart"/>
      <w:r w:rsidRPr="0069694D">
        <w:rPr>
          <w:rFonts w:asciiTheme="majorBidi" w:hAnsiTheme="majorBidi" w:cstheme="majorBidi"/>
          <w:sz w:val="20"/>
          <w:szCs w:val="20"/>
        </w:rPr>
        <w:t>Lipiński</w:t>
      </w:r>
      <w:proofErr w:type="spellEnd"/>
      <w:r w:rsidRPr="0069694D">
        <w:rPr>
          <w:rFonts w:asciiTheme="majorBidi" w:hAnsiTheme="majorBidi" w:cstheme="majorBidi"/>
          <w:sz w:val="20"/>
          <w:szCs w:val="20"/>
        </w:rPr>
        <w:t xml:space="preserve"> 1970, 31, 56; 1995, 238-243; </w:t>
      </w:r>
      <w:proofErr w:type="spellStart"/>
      <w:r w:rsidRPr="0069694D">
        <w:rPr>
          <w:rFonts w:asciiTheme="majorBidi" w:hAnsiTheme="majorBidi" w:cstheme="majorBidi"/>
          <w:sz w:val="20"/>
          <w:szCs w:val="20"/>
        </w:rPr>
        <w:t>Mettinger</w:t>
      </w:r>
      <w:proofErr w:type="spellEnd"/>
      <w:r w:rsidRPr="0069694D">
        <w:rPr>
          <w:rFonts w:asciiTheme="majorBidi" w:hAnsiTheme="majorBidi" w:cstheme="majorBidi"/>
          <w:sz w:val="20"/>
          <w:szCs w:val="20"/>
        </w:rPr>
        <w:t xml:space="preserve"> 2001, 90-91; Cook 2018, 126-127. </w:t>
      </w:r>
      <w:r>
        <w:rPr>
          <w:rFonts w:asciiTheme="majorBidi" w:hAnsiTheme="majorBidi" w:cstheme="majorBidi"/>
          <w:sz w:val="20"/>
          <w:szCs w:val="20"/>
        </w:rPr>
        <w:t>T</w:t>
      </w:r>
      <w:r w:rsidRPr="0069694D">
        <w:rPr>
          <w:rFonts w:asciiTheme="majorBidi" w:hAnsiTheme="majorBidi" w:cstheme="majorBidi"/>
          <w:sz w:val="20"/>
          <w:szCs w:val="20"/>
        </w:rPr>
        <w:t xml:space="preserve">he same position </w:t>
      </w:r>
      <w:r>
        <w:rPr>
          <w:rFonts w:asciiTheme="majorBidi" w:hAnsiTheme="majorBidi" w:cstheme="majorBidi"/>
          <w:sz w:val="20"/>
          <w:szCs w:val="20"/>
        </w:rPr>
        <w:t>is apparently</w:t>
      </w:r>
      <w:r w:rsidRPr="0069694D">
        <w:rPr>
          <w:rFonts w:asciiTheme="majorBidi" w:hAnsiTheme="majorBidi" w:cstheme="majorBidi"/>
          <w:sz w:val="20"/>
          <w:szCs w:val="20"/>
        </w:rPr>
        <w:t xml:space="preserve"> referred to </w:t>
      </w:r>
      <w:r>
        <w:rPr>
          <w:rFonts w:asciiTheme="majorBidi" w:hAnsiTheme="majorBidi" w:cstheme="majorBidi"/>
          <w:sz w:val="20"/>
          <w:szCs w:val="20"/>
        </w:rPr>
        <w:t xml:space="preserve">also </w:t>
      </w:r>
      <w:r w:rsidRPr="0069694D">
        <w:rPr>
          <w:rFonts w:asciiTheme="majorBidi" w:hAnsiTheme="majorBidi" w:cstheme="majorBidi"/>
          <w:sz w:val="20"/>
          <w:szCs w:val="20"/>
        </w:rPr>
        <w:t xml:space="preserve">in an inscription from </w:t>
      </w:r>
      <w:proofErr w:type="spellStart"/>
      <w:r w:rsidRPr="0069694D">
        <w:rPr>
          <w:rFonts w:asciiTheme="majorBidi" w:hAnsiTheme="majorBidi" w:cstheme="majorBidi"/>
          <w:sz w:val="20"/>
          <w:szCs w:val="20"/>
        </w:rPr>
        <w:t>As</w:t>
      </w:r>
      <w:r>
        <w:rPr>
          <w:rFonts w:asciiTheme="majorBidi" w:hAnsiTheme="majorBidi" w:cstheme="majorBidi"/>
          <w:sz w:val="20"/>
          <w:szCs w:val="20"/>
        </w:rPr>
        <w:t>ca</w:t>
      </w:r>
      <w:r w:rsidRPr="0069694D">
        <w:rPr>
          <w:rFonts w:asciiTheme="majorBidi" w:hAnsiTheme="majorBidi" w:cstheme="majorBidi"/>
          <w:sz w:val="20"/>
          <w:szCs w:val="20"/>
        </w:rPr>
        <w:t>lon</w:t>
      </w:r>
      <w:proofErr w:type="spellEnd"/>
      <w:r w:rsidRPr="0069694D">
        <w:rPr>
          <w:rFonts w:asciiTheme="majorBidi" w:hAnsiTheme="majorBidi" w:cstheme="majorBidi"/>
          <w:sz w:val="20"/>
          <w:szCs w:val="20"/>
        </w:rPr>
        <w:t>, which uses an identical formulation to that appearing in the Ramle</w:t>
      </w:r>
      <w:r>
        <w:rPr>
          <w:rFonts w:asciiTheme="majorBidi" w:hAnsiTheme="majorBidi" w:cstheme="majorBidi"/>
          <w:sz w:val="20"/>
          <w:szCs w:val="20"/>
        </w:rPr>
        <w:t>h</w:t>
      </w:r>
      <w:r w:rsidRPr="0069694D">
        <w:rPr>
          <w:rFonts w:asciiTheme="majorBidi" w:hAnsiTheme="majorBidi" w:cstheme="majorBidi"/>
          <w:sz w:val="20"/>
          <w:szCs w:val="20"/>
        </w:rPr>
        <w:t xml:space="preserve"> inscription. See Boehm and Eck 2012; Cook 2018, 127, n. 387. </w:t>
      </w:r>
    </w:p>
  </w:footnote>
  <w:footnote w:id="71">
    <w:p w14:paraId="1946DD42" w14:textId="1BF15AA7" w:rsidR="006A346E" w:rsidRPr="0069694D" w:rsidRDefault="006A346E" w:rsidP="00A873E4">
      <w:pPr>
        <w:autoSpaceDE w:val="0"/>
        <w:autoSpaceDN w:val="0"/>
        <w:adjustRightInd w:val="0"/>
        <w:spacing w:line="360" w:lineRule="auto"/>
        <w:ind w:firstLine="0"/>
        <w:rPr>
          <w:rFonts w:asciiTheme="majorBidi" w:hAnsiTheme="majorBidi" w:cstheme="majorBidi"/>
          <w:sz w:val="20"/>
          <w:szCs w:val="20"/>
          <w:rtl/>
        </w:rPr>
      </w:pPr>
      <w:r w:rsidRPr="0069694D">
        <w:rPr>
          <w:rStyle w:val="FootnoteReference"/>
          <w:rFonts w:asciiTheme="majorBidi" w:hAnsiTheme="majorBidi" w:cstheme="majorBidi"/>
          <w:sz w:val="20"/>
          <w:szCs w:val="20"/>
        </w:rPr>
        <w:footnoteRef/>
      </w:r>
      <w:r w:rsidRPr="0069694D">
        <w:rPr>
          <w:rFonts w:asciiTheme="majorBidi" w:hAnsiTheme="majorBidi" w:cstheme="majorBidi"/>
          <w:sz w:val="20"/>
          <w:szCs w:val="20"/>
        </w:rPr>
        <w:t xml:space="preserve"> Cf. Zamora 2017, 82-83. For a different view, see </w:t>
      </w:r>
      <w:proofErr w:type="spellStart"/>
      <w:r w:rsidRPr="0069694D">
        <w:rPr>
          <w:rFonts w:asciiTheme="majorBidi" w:hAnsiTheme="majorBidi" w:cstheme="majorBidi"/>
          <w:sz w:val="20"/>
          <w:szCs w:val="20"/>
        </w:rPr>
        <w:t>Lipiński</w:t>
      </w:r>
      <w:proofErr w:type="spellEnd"/>
      <w:r w:rsidRPr="0069694D">
        <w:rPr>
          <w:rFonts w:asciiTheme="majorBidi" w:hAnsiTheme="majorBidi" w:cstheme="majorBidi"/>
          <w:sz w:val="20"/>
          <w:szCs w:val="20"/>
        </w:rPr>
        <w:t xml:space="preserve"> 1970, 33; Bonnet 1986, 215-216. </w:t>
      </w:r>
      <w:r>
        <w:rPr>
          <w:rFonts w:asciiTheme="majorBidi" w:hAnsiTheme="majorBidi" w:cstheme="majorBidi"/>
          <w:sz w:val="20"/>
          <w:szCs w:val="20"/>
        </w:rPr>
        <w:t>T</w:t>
      </w:r>
      <w:r w:rsidRPr="0069694D">
        <w:rPr>
          <w:rFonts w:asciiTheme="majorBidi" w:hAnsiTheme="majorBidi" w:cstheme="majorBidi"/>
          <w:sz w:val="20"/>
          <w:szCs w:val="20"/>
        </w:rPr>
        <w:t xml:space="preserve">he </w:t>
      </w:r>
      <w:r>
        <w:rPr>
          <w:rFonts w:asciiTheme="majorBidi" w:hAnsiTheme="majorBidi" w:cstheme="majorBidi"/>
          <w:sz w:val="20"/>
          <w:szCs w:val="20"/>
        </w:rPr>
        <w:t>statement</w:t>
      </w:r>
      <w:r w:rsidRPr="0069694D">
        <w:rPr>
          <w:rFonts w:asciiTheme="majorBidi" w:hAnsiTheme="majorBidi" w:cstheme="majorBidi"/>
          <w:sz w:val="20"/>
          <w:szCs w:val="20"/>
        </w:rPr>
        <w:t xml:space="preserve"> of Josephus (Ant. Jud.</w:t>
      </w:r>
      <w:r>
        <w:rPr>
          <w:rFonts w:asciiTheme="majorBidi" w:hAnsiTheme="majorBidi" w:cstheme="majorBidi"/>
          <w:sz w:val="20"/>
          <w:szCs w:val="20"/>
        </w:rPr>
        <w:t xml:space="preserve"> </w:t>
      </w:r>
      <w:r w:rsidRPr="0069694D">
        <w:rPr>
          <w:rFonts w:asciiTheme="majorBidi" w:hAnsiTheme="majorBidi" w:cstheme="majorBidi"/>
          <w:sz w:val="20"/>
          <w:szCs w:val="20"/>
        </w:rPr>
        <w:t xml:space="preserve">8.5.3; and cf. </w:t>
      </w:r>
      <w:r w:rsidRPr="0069694D">
        <w:rPr>
          <w:rFonts w:asciiTheme="majorBidi" w:hAnsiTheme="majorBidi" w:cstheme="majorBidi"/>
          <w:i/>
          <w:iCs/>
          <w:sz w:val="20"/>
          <w:szCs w:val="20"/>
        </w:rPr>
        <w:t xml:space="preserve">Contra Ap., </w:t>
      </w:r>
      <w:r w:rsidRPr="0069694D">
        <w:rPr>
          <w:rFonts w:asciiTheme="majorBidi" w:hAnsiTheme="majorBidi" w:cstheme="majorBidi"/>
          <w:sz w:val="20"/>
          <w:szCs w:val="20"/>
        </w:rPr>
        <w:t xml:space="preserve">1.18) </w:t>
      </w:r>
      <w:r>
        <w:rPr>
          <w:rFonts w:asciiTheme="majorBidi" w:hAnsiTheme="majorBidi" w:cstheme="majorBidi"/>
          <w:sz w:val="20"/>
          <w:szCs w:val="20"/>
        </w:rPr>
        <w:t>about</w:t>
      </w:r>
      <w:r w:rsidRPr="0069694D">
        <w:rPr>
          <w:rFonts w:asciiTheme="majorBidi" w:hAnsiTheme="majorBidi" w:cstheme="majorBidi"/>
          <w:sz w:val="20"/>
          <w:szCs w:val="20"/>
        </w:rPr>
        <w:t xml:space="preserve"> </w:t>
      </w:r>
      <w:r>
        <w:rPr>
          <w:rFonts w:asciiTheme="majorBidi" w:hAnsiTheme="majorBidi" w:cstheme="majorBidi"/>
          <w:sz w:val="20"/>
          <w:szCs w:val="20"/>
        </w:rPr>
        <w:t>king</w:t>
      </w:r>
      <w:r w:rsidRPr="0069694D">
        <w:rPr>
          <w:rFonts w:asciiTheme="majorBidi" w:hAnsiTheme="majorBidi" w:cstheme="majorBidi"/>
          <w:sz w:val="20"/>
          <w:szCs w:val="20"/>
        </w:rPr>
        <w:t xml:space="preserve"> Hiram </w:t>
      </w:r>
      <w:r>
        <w:rPr>
          <w:rFonts w:asciiTheme="majorBidi" w:hAnsiTheme="majorBidi" w:cstheme="majorBidi"/>
          <w:sz w:val="20"/>
          <w:szCs w:val="20"/>
        </w:rPr>
        <w:t xml:space="preserve">who </w:t>
      </w:r>
      <w:r w:rsidRPr="0069694D">
        <w:rPr>
          <w:rFonts w:asciiTheme="majorBidi" w:hAnsiTheme="majorBidi" w:cstheme="majorBidi"/>
          <w:sz w:val="20"/>
          <w:szCs w:val="20"/>
        </w:rPr>
        <w:t>was the first to celebrate the “awakening (</w:t>
      </w:r>
      <w:proofErr w:type="spellStart"/>
      <w:r w:rsidRPr="0069694D">
        <w:rPr>
          <w:rStyle w:val="eforth"/>
          <w:rFonts w:asciiTheme="majorBidi" w:hAnsiTheme="majorBidi" w:cstheme="majorBidi"/>
          <w:sz w:val="20"/>
          <w:szCs w:val="20"/>
        </w:rPr>
        <w:t>ἔγερσις</w:t>
      </w:r>
      <w:proofErr w:type="spellEnd"/>
      <w:r w:rsidRPr="0069694D">
        <w:rPr>
          <w:rFonts w:asciiTheme="majorBidi" w:hAnsiTheme="majorBidi" w:cstheme="majorBidi"/>
          <w:sz w:val="20"/>
          <w:szCs w:val="20"/>
        </w:rPr>
        <w:t xml:space="preserve">) of Heracles” in the month of </w:t>
      </w:r>
      <w:proofErr w:type="spellStart"/>
      <w:r w:rsidRPr="0069694D">
        <w:rPr>
          <w:rFonts w:asciiTheme="majorBidi" w:hAnsiTheme="majorBidi" w:cstheme="majorBidi"/>
          <w:sz w:val="20"/>
          <w:szCs w:val="20"/>
        </w:rPr>
        <w:t>Peritius</w:t>
      </w:r>
      <w:proofErr w:type="spellEnd"/>
      <w:r>
        <w:rPr>
          <w:rFonts w:asciiTheme="majorBidi" w:hAnsiTheme="majorBidi" w:cstheme="majorBidi"/>
          <w:sz w:val="20"/>
          <w:szCs w:val="20"/>
        </w:rPr>
        <w:t xml:space="preserve"> is usually mentioned by scholars in this context</w:t>
      </w:r>
      <w:r w:rsidRPr="0069694D">
        <w:rPr>
          <w:rFonts w:asciiTheme="majorBidi" w:hAnsiTheme="majorBidi" w:cstheme="majorBidi"/>
          <w:sz w:val="20"/>
          <w:szCs w:val="20"/>
        </w:rPr>
        <w:t xml:space="preserve">. For a </w:t>
      </w:r>
      <w:r>
        <w:rPr>
          <w:rFonts w:asciiTheme="majorBidi" w:hAnsiTheme="majorBidi" w:cstheme="majorBidi"/>
          <w:sz w:val="20"/>
          <w:szCs w:val="20"/>
        </w:rPr>
        <w:t>discussion</w:t>
      </w:r>
      <w:r w:rsidRPr="0069694D">
        <w:rPr>
          <w:rFonts w:asciiTheme="majorBidi" w:hAnsiTheme="majorBidi" w:cstheme="majorBidi"/>
          <w:sz w:val="20"/>
          <w:szCs w:val="20"/>
        </w:rPr>
        <w:t xml:space="preserve">, including </w:t>
      </w:r>
      <w:r>
        <w:rPr>
          <w:rFonts w:asciiTheme="majorBidi" w:hAnsiTheme="majorBidi" w:cstheme="majorBidi"/>
          <w:sz w:val="20"/>
          <w:szCs w:val="20"/>
        </w:rPr>
        <w:t>the</w:t>
      </w:r>
      <w:r w:rsidRPr="0069694D">
        <w:rPr>
          <w:rFonts w:asciiTheme="majorBidi" w:hAnsiTheme="majorBidi" w:cstheme="majorBidi"/>
          <w:sz w:val="20"/>
          <w:szCs w:val="20"/>
        </w:rPr>
        <w:t xml:space="preserve"> opposing approach which translates</w:t>
      </w:r>
      <w:r>
        <w:rPr>
          <w:rFonts w:asciiTheme="majorBidi" w:hAnsiTheme="majorBidi" w:cstheme="majorBidi"/>
          <w:sz w:val="20"/>
          <w:szCs w:val="20"/>
        </w:rPr>
        <w:t xml:space="preserve"> (without grounds)</w:t>
      </w:r>
      <w:r w:rsidRPr="0069694D">
        <w:rPr>
          <w:rFonts w:asciiTheme="majorBidi" w:hAnsiTheme="majorBidi" w:cstheme="majorBidi"/>
          <w:sz w:val="20"/>
          <w:szCs w:val="20"/>
        </w:rPr>
        <w:t xml:space="preserve"> the Greek and Phoenician verbs as “the erecter of...</w:t>
      </w:r>
      <w:r>
        <w:rPr>
          <w:rFonts w:asciiTheme="majorBidi" w:hAnsiTheme="majorBidi" w:cstheme="majorBidi"/>
          <w:sz w:val="20"/>
          <w:szCs w:val="20"/>
        </w:rPr>
        <w:t>,</w:t>
      </w:r>
      <w:r w:rsidRPr="0069694D">
        <w:rPr>
          <w:rFonts w:asciiTheme="majorBidi" w:hAnsiTheme="majorBidi" w:cstheme="majorBidi"/>
          <w:sz w:val="20"/>
          <w:szCs w:val="20"/>
        </w:rPr>
        <w:t xml:space="preserve">” see </w:t>
      </w:r>
      <w:proofErr w:type="spellStart"/>
      <w:r w:rsidRPr="0069694D">
        <w:rPr>
          <w:rFonts w:asciiTheme="majorBidi" w:hAnsiTheme="majorBidi" w:cstheme="majorBidi"/>
          <w:sz w:val="20"/>
          <w:szCs w:val="20"/>
        </w:rPr>
        <w:t>Mettinger</w:t>
      </w:r>
      <w:proofErr w:type="spellEnd"/>
      <w:r w:rsidRPr="0069694D">
        <w:rPr>
          <w:rFonts w:asciiTheme="majorBidi" w:hAnsiTheme="majorBidi" w:cstheme="majorBidi"/>
          <w:sz w:val="20"/>
          <w:szCs w:val="20"/>
        </w:rPr>
        <w:t xml:space="preserve"> 2001, 89-90; Cook 2018, 126-127.</w:t>
      </w:r>
    </w:p>
  </w:footnote>
  <w:footnote w:id="72">
    <w:p w14:paraId="4EA2EB17" w14:textId="7FE61C37" w:rsidR="006A346E" w:rsidRPr="0069694D" w:rsidRDefault="006A346E" w:rsidP="00A873E4">
      <w:pPr>
        <w:autoSpaceDE w:val="0"/>
        <w:autoSpaceDN w:val="0"/>
        <w:adjustRightInd w:val="0"/>
        <w:spacing w:line="360" w:lineRule="auto"/>
        <w:ind w:firstLine="0"/>
        <w:rPr>
          <w:rFonts w:asciiTheme="majorBidi" w:hAnsiTheme="majorBidi" w:cstheme="majorBidi"/>
          <w:sz w:val="20"/>
          <w:szCs w:val="20"/>
          <w:rtl/>
        </w:rPr>
      </w:pPr>
      <w:r w:rsidRPr="0069694D">
        <w:rPr>
          <w:rStyle w:val="FootnoteReference"/>
          <w:rFonts w:asciiTheme="majorBidi" w:hAnsiTheme="majorBidi" w:cstheme="majorBidi"/>
          <w:sz w:val="20"/>
          <w:szCs w:val="20"/>
        </w:rPr>
        <w:footnoteRef/>
      </w:r>
      <w:r>
        <w:rPr>
          <w:rFonts w:asciiTheme="majorBidi" w:hAnsiTheme="majorBidi" w:cstheme="majorBidi"/>
          <w:sz w:val="20"/>
          <w:szCs w:val="20"/>
        </w:rPr>
        <w:t xml:space="preserve"> In addition to the mourning rites for the dying gods Tammuz (Ezekiel 8) and </w:t>
      </w:r>
      <w:proofErr w:type="spellStart"/>
      <w:r>
        <w:rPr>
          <w:rFonts w:asciiTheme="majorBidi" w:hAnsiTheme="majorBidi" w:cstheme="majorBidi"/>
          <w:sz w:val="20"/>
          <w:szCs w:val="20"/>
        </w:rPr>
        <w:t>Hadad-Rimmon</w:t>
      </w:r>
      <w:proofErr w:type="spellEnd"/>
      <w:r>
        <w:rPr>
          <w:rFonts w:asciiTheme="majorBidi" w:hAnsiTheme="majorBidi" w:cstheme="majorBidi"/>
          <w:sz w:val="20"/>
          <w:szCs w:val="20"/>
        </w:rPr>
        <w:t xml:space="preserve"> (Zechariah</w:t>
      </w:r>
      <w:r>
        <w:rPr>
          <w:rFonts w:asciiTheme="majorBidi" w:hAnsiTheme="majorBidi" w:cstheme="majorBidi"/>
          <w:sz w:val="20"/>
          <w:szCs w:val="20"/>
          <w:lang w:bidi="he-IL"/>
        </w:rPr>
        <w:t xml:space="preserve"> 12), </w:t>
      </w:r>
      <w:r>
        <w:rPr>
          <w:rFonts w:asciiTheme="majorBidi" w:hAnsiTheme="majorBidi" w:cstheme="majorBidi"/>
          <w:sz w:val="20"/>
          <w:szCs w:val="20"/>
        </w:rPr>
        <w:t>since the end of the nineteenth century</w:t>
      </w:r>
      <w:del w:id="113" w:author="Avraham Kallenbah" w:date="2021-04-18T14:12:00Z">
        <w:r w:rsidDel="00563EFB">
          <w:rPr>
            <w:rFonts w:asciiTheme="majorBidi" w:hAnsiTheme="majorBidi" w:cstheme="majorBidi"/>
            <w:sz w:val="20"/>
            <w:szCs w:val="20"/>
          </w:rPr>
          <w:delText xml:space="preserve"> CE</w:delText>
        </w:r>
      </w:del>
      <w:r>
        <w:rPr>
          <w:rFonts w:asciiTheme="majorBidi" w:hAnsiTheme="majorBidi" w:cstheme="majorBidi"/>
          <w:sz w:val="20"/>
          <w:szCs w:val="20"/>
        </w:rPr>
        <w:t xml:space="preserve">, </w:t>
      </w:r>
      <w:r w:rsidRPr="00B060D9">
        <w:rPr>
          <w:rFonts w:asciiTheme="majorBidi" w:hAnsiTheme="majorBidi" w:cstheme="majorBidi"/>
          <w:sz w:val="20"/>
          <w:szCs w:val="20"/>
        </w:rPr>
        <w:t>Isa. 17:10-11</w:t>
      </w:r>
      <w:r>
        <w:rPr>
          <w:rFonts w:asciiTheme="majorBidi" w:hAnsiTheme="majorBidi" w:cstheme="majorBidi"/>
          <w:sz w:val="20"/>
          <w:szCs w:val="20"/>
        </w:rPr>
        <w:t xml:space="preserve"> </w:t>
      </w:r>
      <w:r>
        <w:rPr>
          <w:rFonts w:asciiTheme="majorBidi" w:hAnsiTheme="majorBidi" w:cstheme="majorBidi"/>
          <w:sz w:val="20"/>
          <w:szCs w:val="20"/>
          <w:lang w:val="en-GB" w:bidi="he-IL"/>
        </w:rPr>
        <w:t>is often mentioned</w:t>
      </w:r>
      <w:r>
        <w:rPr>
          <w:rFonts w:asciiTheme="majorBidi" w:hAnsiTheme="majorBidi" w:cstheme="majorBidi"/>
          <w:sz w:val="20"/>
          <w:szCs w:val="20"/>
        </w:rPr>
        <w:t xml:space="preserve"> as referring to a resurrection rite, due to the ritual of </w:t>
      </w:r>
      <w:r>
        <w:rPr>
          <w:rFonts w:asciiTheme="majorBidi" w:hAnsiTheme="majorBidi" w:cstheme="majorBidi" w:hint="cs"/>
          <w:sz w:val="20"/>
          <w:szCs w:val="20"/>
          <w:rtl/>
          <w:lang w:bidi="he-IL"/>
        </w:rPr>
        <w:t>נטעי נעמנים</w:t>
      </w:r>
      <w:r>
        <w:rPr>
          <w:rFonts w:asciiTheme="majorBidi" w:hAnsiTheme="majorBidi" w:cstheme="majorBidi"/>
          <w:sz w:val="20"/>
          <w:szCs w:val="20"/>
          <w:lang w:val="en-GB" w:bidi="he-IL"/>
        </w:rPr>
        <w:t xml:space="preserve"> </w:t>
      </w:r>
      <w:r>
        <w:rPr>
          <w:rFonts w:asciiTheme="majorBidi" w:hAnsiTheme="majorBidi" w:cstheme="majorBidi"/>
          <w:sz w:val="20"/>
          <w:szCs w:val="20"/>
        </w:rPr>
        <w:t xml:space="preserve">“planting of </w:t>
      </w:r>
      <w:proofErr w:type="spellStart"/>
      <w:r>
        <w:rPr>
          <w:rFonts w:asciiTheme="majorBidi" w:hAnsiTheme="majorBidi" w:cstheme="majorBidi"/>
          <w:sz w:val="20"/>
          <w:szCs w:val="20"/>
        </w:rPr>
        <w:t>Naamanim</w:t>
      </w:r>
      <w:proofErr w:type="spellEnd"/>
      <w:r>
        <w:rPr>
          <w:rFonts w:asciiTheme="majorBidi" w:hAnsiTheme="majorBidi" w:cstheme="majorBidi"/>
          <w:sz w:val="20"/>
          <w:szCs w:val="20"/>
        </w:rPr>
        <w:t>,” occurring there: see Robertson-Smith 1887, 307, and the earlier bibliography there, followed by Frazer 1894, 280. The example above is much less discussed.</w:t>
      </w:r>
    </w:p>
  </w:footnote>
  <w:footnote w:id="73">
    <w:p w14:paraId="62A6BAA8" w14:textId="18FDB8B0"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For the Levantine mythological and ritual background of these verses, see</w:t>
      </w:r>
      <w:r>
        <w:rPr>
          <w:rFonts w:asciiTheme="majorBidi" w:hAnsiTheme="majorBidi" w:cstheme="majorBidi"/>
        </w:rPr>
        <w:t xml:space="preserve"> further</w:t>
      </w:r>
      <w:r w:rsidRPr="0069694D">
        <w:rPr>
          <w:rFonts w:asciiTheme="majorBidi" w:hAnsiTheme="majorBidi" w:cstheme="majorBidi"/>
        </w:rPr>
        <w:t xml:space="preserve"> </w:t>
      </w:r>
      <w:r w:rsidRPr="0069694D">
        <w:rPr>
          <w:rFonts w:asciiTheme="majorBidi" w:hAnsiTheme="majorBidi" w:cstheme="majorBidi"/>
          <w:smallCaps/>
        </w:rPr>
        <w:t>Weiser</w:t>
      </w:r>
      <w:r>
        <w:rPr>
          <w:rFonts w:asciiTheme="majorBidi" w:hAnsiTheme="majorBidi" w:cstheme="majorBidi"/>
          <w:smallCaps/>
        </w:rPr>
        <w:t xml:space="preserve"> </w:t>
      </w:r>
      <w:r w:rsidRPr="0069694D">
        <w:rPr>
          <w:rFonts w:asciiTheme="majorBidi" w:hAnsiTheme="majorBidi" w:cstheme="majorBidi"/>
        </w:rPr>
        <w:t xml:space="preserve">1962, 762–763; </w:t>
      </w:r>
      <w:proofErr w:type="spellStart"/>
      <w:r w:rsidRPr="0069694D">
        <w:rPr>
          <w:rFonts w:asciiTheme="majorBidi" w:hAnsiTheme="majorBidi" w:cstheme="majorBidi"/>
          <w:smallCaps/>
        </w:rPr>
        <w:t>Hvidberg</w:t>
      </w:r>
      <w:proofErr w:type="spellEnd"/>
      <w:r w:rsidRPr="0069694D">
        <w:rPr>
          <w:rFonts w:asciiTheme="majorBidi" w:hAnsiTheme="majorBidi" w:cstheme="majorBidi"/>
        </w:rPr>
        <w:t xml:space="preserve"> 1962, 132–134; </w:t>
      </w:r>
      <w:r w:rsidRPr="0069694D">
        <w:rPr>
          <w:rFonts w:asciiTheme="majorBidi" w:hAnsiTheme="majorBidi" w:cstheme="majorBidi"/>
          <w:smallCaps/>
        </w:rPr>
        <w:t xml:space="preserve">Anderson </w:t>
      </w:r>
      <w:r w:rsidRPr="0069694D">
        <w:rPr>
          <w:rFonts w:asciiTheme="majorBidi" w:hAnsiTheme="majorBidi" w:cstheme="majorBidi"/>
        </w:rPr>
        <w:t>1981, 865–866. They, however, were apparently unaware of the texts of Jerome and Origen.</w:t>
      </w:r>
      <w:r>
        <w:rPr>
          <w:rFonts w:asciiTheme="majorBidi" w:hAnsiTheme="majorBidi" w:cstheme="majorBidi"/>
        </w:rPr>
        <w:t xml:space="preserve"> The fact that the beginning of Psalms 126 describes the returning of the god to his land, the joy of his people and the flooding of the wadies, is apparently related to the same mythologem.</w:t>
      </w:r>
    </w:p>
  </w:footnote>
  <w:footnote w:id="74">
    <w:p w14:paraId="3153AFCD" w14:textId="12F2C3F2"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As we began with the patristic accounts of pagan practices in the </w:t>
      </w:r>
      <w:proofErr w:type="spellStart"/>
      <w:r>
        <w:rPr>
          <w:rFonts w:asciiTheme="majorBidi" w:hAnsiTheme="majorBidi" w:cstheme="majorBidi"/>
        </w:rPr>
        <w:t>Syro</w:t>
      </w:r>
      <w:proofErr w:type="spellEnd"/>
      <w:r>
        <w:rPr>
          <w:rFonts w:asciiTheme="majorBidi" w:hAnsiTheme="majorBidi" w:cstheme="majorBidi"/>
        </w:rPr>
        <w:t>-</w:t>
      </w:r>
      <w:r w:rsidRPr="0069694D">
        <w:rPr>
          <w:rFonts w:asciiTheme="majorBidi" w:hAnsiTheme="majorBidi" w:cstheme="majorBidi"/>
        </w:rPr>
        <w:t>Levant</w:t>
      </w:r>
      <w:r>
        <w:rPr>
          <w:rFonts w:asciiTheme="majorBidi" w:hAnsiTheme="majorBidi" w:cstheme="majorBidi"/>
        </w:rPr>
        <w:t>ine</w:t>
      </w:r>
      <w:r w:rsidRPr="0069694D">
        <w:rPr>
          <w:rFonts w:asciiTheme="majorBidi" w:hAnsiTheme="majorBidi" w:cstheme="majorBidi"/>
        </w:rPr>
        <w:t xml:space="preserve"> </w:t>
      </w:r>
      <w:r>
        <w:rPr>
          <w:rFonts w:asciiTheme="majorBidi" w:hAnsiTheme="majorBidi" w:cstheme="majorBidi"/>
        </w:rPr>
        <w:t>region</w:t>
      </w:r>
      <w:r w:rsidRPr="0069694D">
        <w:rPr>
          <w:rFonts w:asciiTheme="majorBidi" w:hAnsiTheme="majorBidi" w:cstheme="majorBidi"/>
        </w:rPr>
        <w:t xml:space="preserve">, it would only be fitting to conclude with two examples from the accounts of pagans themselves </w:t>
      </w:r>
      <w:r>
        <w:rPr>
          <w:rFonts w:asciiTheme="majorBidi" w:hAnsiTheme="majorBidi" w:cstheme="majorBidi"/>
        </w:rPr>
        <w:t>attesting</w:t>
      </w:r>
      <w:r w:rsidRPr="0069694D">
        <w:rPr>
          <w:rFonts w:asciiTheme="majorBidi" w:hAnsiTheme="majorBidi" w:cstheme="majorBidi"/>
        </w:rPr>
        <w:t xml:space="preserve"> to their own customs and literature. Lucian of Samosata </w:t>
      </w:r>
      <w:r>
        <w:rPr>
          <w:rFonts w:asciiTheme="majorBidi" w:hAnsiTheme="majorBidi" w:cstheme="majorBidi"/>
        </w:rPr>
        <w:t>(</w:t>
      </w:r>
      <w:r w:rsidRPr="003E3DD2">
        <w:rPr>
          <w:highlight w:val="yellow"/>
        </w:rPr>
        <w:t>c</w:t>
      </w:r>
      <w:ins w:id="114" w:author="Avraham Kallenbah" w:date="2021-04-13T08:46:00Z">
        <w:r w:rsidR="00B91D14">
          <w:rPr>
            <w:highlight w:val="yellow"/>
          </w:rPr>
          <w:t>.</w:t>
        </w:r>
      </w:ins>
      <w:del w:id="115" w:author="Avraham Kallenbah" w:date="2021-04-13T08:46:00Z">
        <w:r w:rsidRPr="003E3DD2" w:rsidDel="00B91D14">
          <w:rPr>
            <w:highlight w:val="yellow"/>
          </w:rPr>
          <w:delText xml:space="preserve">a. </w:delText>
        </w:r>
      </w:del>
      <w:r w:rsidRPr="003E3DD2">
        <w:rPr>
          <w:highlight w:val="yellow"/>
        </w:rPr>
        <w:t>125 – after 180 CE</w:t>
      </w:r>
      <w:r>
        <w:rPr>
          <w:rFonts w:asciiTheme="majorBidi" w:hAnsiTheme="majorBidi" w:cstheme="majorBidi"/>
        </w:rPr>
        <w:t xml:space="preserve">) thus </w:t>
      </w:r>
      <w:r w:rsidRPr="0069694D">
        <w:rPr>
          <w:rFonts w:asciiTheme="majorBidi" w:hAnsiTheme="majorBidi" w:cstheme="majorBidi"/>
        </w:rPr>
        <w:t>writes the following about the cult of Adonis in Byblos:</w:t>
      </w:r>
      <w:r>
        <w:rPr>
          <w:rFonts w:asciiTheme="majorBidi" w:hAnsiTheme="majorBidi" w:cstheme="majorBidi"/>
        </w:rPr>
        <w:t xml:space="preserve"> “</w:t>
      </w:r>
      <w:r w:rsidRPr="00692995">
        <w:rPr>
          <w:rFonts w:asciiTheme="majorBidi" w:hAnsiTheme="majorBidi" w:cstheme="majorBidi"/>
        </w:rPr>
        <w:t xml:space="preserve">I also saw in Byblos a large temple of </w:t>
      </w:r>
      <w:proofErr w:type="spellStart"/>
      <w:r w:rsidRPr="00692995">
        <w:rPr>
          <w:rFonts w:asciiTheme="majorBidi" w:hAnsiTheme="majorBidi" w:cstheme="majorBidi"/>
        </w:rPr>
        <w:t>Byblian</w:t>
      </w:r>
      <w:proofErr w:type="spellEnd"/>
      <w:r w:rsidRPr="00692995">
        <w:rPr>
          <w:rFonts w:asciiTheme="majorBidi" w:hAnsiTheme="majorBidi" w:cstheme="majorBidi"/>
        </w:rPr>
        <w:t xml:space="preserve"> Aphrodite, in which they perform the ritual to Adonis. I also learnt the rites. They say that the affair of Adonis and the boar took place in their country, and in memory of the sad event they beat their breasts each year and lament and perform the rites, and there is much mourning throughout the country. after they have finished beating their breasts and lamenting, they first make offerings to Adonis as to the dead, and afterwards, on the next day, they claim that he lives and send him into the air (</w:t>
      </w:r>
      <w:r w:rsidRPr="00692995">
        <w:rPr>
          <w:rFonts w:asciiTheme="majorBidi" w:hAnsiTheme="majorBidi" w:cstheme="majorBidi"/>
          <w:i/>
          <w:iCs/>
        </w:rPr>
        <w:t xml:space="preserve">de </w:t>
      </w:r>
      <w:proofErr w:type="spellStart"/>
      <w:r w:rsidRPr="00692995">
        <w:rPr>
          <w:rFonts w:asciiTheme="majorBidi" w:hAnsiTheme="majorBidi" w:cstheme="majorBidi"/>
          <w:i/>
          <w:iCs/>
        </w:rPr>
        <w:t>Dea</w:t>
      </w:r>
      <w:proofErr w:type="spellEnd"/>
      <w:r w:rsidRPr="00692995">
        <w:rPr>
          <w:rFonts w:asciiTheme="majorBidi" w:hAnsiTheme="majorBidi" w:cstheme="majorBidi"/>
          <w:i/>
          <w:iCs/>
        </w:rPr>
        <w:t xml:space="preserve"> Syria</w:t>
      </w:r>
      <w:r w:rsidRPr="00692995">
        <w:rPr>
          <w:rFonts w:asciiTheme="majorBidi" w:hAnsiTheme="majorBidi" w:cstheme="majorBidi"/>
        </w:rPr>
        <w:t xml:space="preserve"> 6; Lightfoot 2003, 250-251).</w:t>
      </w:r>
      <w:r>
        <w:rPr>
          <w:rFonts w:asciiTheme="majorBidi" w:hAnsiTheme="majorBidi" w:cstheme="majorBidi"/>
        </w:rPr>
        <w:t xml:space="preserve">” </w:t>
      </w:r>
      <w:r w:rsidRPr="0069694D">
        <w:rPr>
          <w:rFonts w:asciiTheme="majorBidi" w:hAnsiTheme="majorBidi" w:cstheme="majorBidi"/>
        </w:rPr>
        <w:t xml:space="preserve">Likewise, </w:t>
      </w:r>
      <w:proofErr w:type="spellStart"/>
      <w:r w:rsidRPr="0069694D">
        <w:rPr>
          <w:rFonts w:asciiTheme="majorBidi" w:hAnsiTheme="majorBidi" w:cstheme="majorBidi"/>
        </w:rPr>
        <w:t>Damascius</w:t>
      </w:r>
      <w:proofErr w:type="spellEnd"/>
      <w:r>
        <w:rPr>
          <w:rFonts w:asciiTheme="majorBidi" w:hAnsiTheme="majorBidi" w:cstheme="majorBidi"/>
        </w:rPr>
        <w:t xml:space="preserve"> (</w:t>
      </w:r>
      <w:r w:rsidRPr="003E3DD2">
        <w:rPr>
          <w:highlight w:val="yellow"/>
          <w:lang w:val="en-GB"/>
        </w:rPr>
        <w:t>c</w:t>
      </w:r>
      <w:del w:id="116" w:author="Avraham Kallenbah" w:date="2021-04-13T08:46:00Z">
        <w:r w:rsidRPr="003E3DD2" w:rsidDel="00B91D14">
          <w:rPr>
            <w:highlight w:val="yellow"/>
            <w:lang w:val="en-GB"/>
          </w:rPr>
          <w:delText>a</w:delText>
        </w:r>
      </w:del>
      <w:r w:rsidRPr="003E3DD2">
        <w:rPr>
          <w:highlight w:val="yellow"/>
          <w:lang w:val="en-GB"/>
        </w:rPr>
        <w:t>. 458 – after 538 CE</w:t>
      </w:r>
      <w:r>
        <w:rPr>
          <w:rFonts w:asciiTheme="majorBidi" w:hAnsiTheme="majorBidi" w:cstheme="majorBidi"/>
        </w:rPr>
        <w:t>)</w:t>
      </w:r>
      <w:r w:rsidRPr="0069694D">
        <w:rPr>
          <w:rFonts w:asciiTheme="majorBidi" w:hAnsiTheme="majorBidi" w:cstheme="majorBidi"/>
        </w:rPr>
        <w:t xml:space="preserve">, the last scholarch of the Neoplatonic academy in Athens, writes the following about the Phoenician </w:t>
      </w:r>
      <w:proofErr w:type="spellStart"/>
      <w:r w:rsidRPr="0069694D">
        <w:rPr>
          <w:rFonts w:asciiTheme="majorBidi" w:hAnsiTheme="majorBidi" w:cstheme="majorBidi"/>
        </w:rPr>
        <w:t>Eshmun</w:t>
      </w:r>
      <w:proofErr w:type="spellEnd"/>
      <w:r w:rsidRPr="0069694D">
        <w:rPr>
          <w:rFonts w:asciiTheme="majorBidi" w:hAnsiTheme="majorBidi" w:cstheme="majorBidi"/>
        </w:rPr>
        <w:t>:</w:t>
      </w:r>
      <w:r>
        <w:rPr>
          <w:rFonts w:asciiTheme="majorBidi" w:hAnsiTheme="majorBidi" w:cstheme="majorBidi"/>
        </w:rPr>
        <w:t xml:space="preserve"> “</w:t>
      </w:r>
      <w:r w:rsidRPr="00692995">
        <w:rPr>
          <w:rFonts w:asciiTheme="majorBidi" w:hAnsiTheme="majorBidi" w:cstheme="majorBidi"/>
          <w:lang w:val="en-GB"/>
        </w:rPr>
        <w:t xml:space="preserve">The Asclepius of </w:t>
      </w:r>
      <w:proofErr w:type="spellStart"/>
      <w:r w:rsidRPr="00692995">
        <w:rPr>
          <w:rFonts w:asciiTheme="majorBidi" w:hAnsiTheme="majorBidi" w:cstheme="majorBidi"/>
          <w:lang w:val="en-GB"/>
        </w:rPr>
        <w:t>Berytus</w:t>
      </w:r>
      <w:proofErr w:type="spellEnd"/>
      <w:r w:rsidRPr="00692995">
        <w:rPr>
          <w:rFonts w:asciiTheme="majorBidi" w:hAnsiTheme="majorBidi" w:cstheme="majorBidi"/>
          <w:lang w:val="en-GB"/>
        </w:rPr>
        <w:t xml:space="preserve"> is neither Greek nor Egyptian but a local Phoenician […]. Being an extremely beautiful young man, ravishing to the eye, he was loved, according to the myth, by the Phoenician goddess </w:t>
      </w:r>
      <w:proofErr w:type="spellStart"/>
      <w:r w:rsidRPr="00692995">
        <w:rPr>
          <w:rFonts w:asciiTheme="majorBidi" w:hAnsiTheme="majorBidi" w:cstheme="majorBidi"/>
          <w:lang w:val="en-GB"/>
        </w:rPr>
        <w:t>Astronoe</w:t>
      </w:r>
      <w:proofErr w:type="spellEnd"/>
      <w:r w:rsidRPr="00692995">
        <w:rPr>
          <w:rFonts w:asciiTheme="majorBidi" w:hAnsiTheme="majorBidi" w:cstheme="majorBidi"/>
          <w:lang w:val="en-GB"/>
        </w:rPr>
        <w:t xml:space="preserve">, the mother of the gods. He was hunting, as was his custom, in these glens when he saw the goddess chasing after him; as she continued her pursuit and was about to catch him, he fell into a state of frenzy and cut of his own organs of procreation with an axe. Devastated by grief at this misfortune, the goddess summoned paean and, reviving the youth with her life-giving warmth, she made him a god, called by the Phoenicians </w:t>
      </w:r>
      <w:proofErr w:type="spellStart"/>
      <w:r w:rsidRPr="00692995">
        <w:rPr>
          <w:rFonts w:asciiTheme="majorBidi" w:hAnsiTheme="majorBidi" w:cstheme="majorBidi"/>
          <w:lang w:val="en-GB"/>
        </w:rPr>
        <w:t>Eshmun</w:t>
      </w:r>
      <w:proofErr w:type="spellEnd"/>
      <w:r w:rsidRPr="00692995">
        <w:rPr>
          <w:rFonts w:asciiTheme="majorBidi" w:hAnsiTheme="majorBidi" w:cstheme="majorBidi"/>
          <w:lang w:val="en-GB"/>
        </w:rPr>
        <w:t xml:space="preserve"> after the warmth of life</w:t>
      </w:r>
      <w:r>
        <w:rPr>
          <w:rFonts w:asciiTheme="majorBidi" w:hAnsiTheme="majorBidi" w:cstheme="majorBidi"/>
          <w:lang w:val="en-GB"/>
        </w:rPr>
        <w:t>”</w:t>
      </w:r>
      <w:r w:rsidRPr="00692995">
        <w:rPr>
          <w:rFonts w:asciiTheme="majorBidi" w:hAnsiTheme="majorBidi" w:cstheme="majorBidi"/>
          <w:lang w:val="en-GB"/>
        </w:rPr>
        <w:t xml:space="preserve"> (</w:t>
      </w:r>
      <w:r w:rsidRPr="00692995">
        <w:rPr>
          <w:rFonts w:asciiTheme="majorBidi" w:hAnsiTheme="majorBidi" w:cstheme="majorBidi"/>
          <w:i/>
          <w:iCs/>
          <w:lang w:val="en-GB"/>
        </w:rPr>
        <w:t xml:space="preserve">Vita </w:t>
      </w:r>
      <w:proofErr w:type="spellStart"/>
      <w:r w:rsidRPr="00692995">
        <w:rPr>
          <w:rFonts w:asciiTheme="majorBidi" w:hAnsiTheme="majorBidi" w:cstheme="majorBidi"/>
          <w:i/>
          <w:iCs/>
          <w:lang w:val="en-GB"/>
        </w:rPr>
        <w:t>Isidori</w:t>
      </w:r>
      <w:proofErr w:type="spellEnd"/>
      <w:r w:rsidRPr="00692995">
        <w:rPr>
          <w:rFonts w:asciiTheme="majorBidi" w:hAnsiTheme="majorBidi" w:cstheme="majorBidi"/>
          <w:lang w:val="en-GB"/>
        </w:rPr>
        <w:t xml:space="preserve"> frag. 142 B; </w:t>
      </w:r>
      <w:proofErr w:type="spellStart"/>
      <w:r w:rsidRPr="00692995">
        <w:rPr>
          <w:rFonts w:asciiTheme="majorBidi" w:hAnsiTheme="majorBidi" w:cstheme="majorBidi"/>
          <w:lang w:val="en-GB"/>
        </w:rPr>
        <w:t>Athanassiadi</w:t>
      </w:r>
      <w:proofErr w:type="spellEnd"/>
      <w:r w:rsidRPr="00692995">
        <w:rPr>
          <w:rFonts w:asciiTheme="majorBidi" w:hAnsiTheme="majorBidi" w:cstheme="majorBidi"/>
          <w:lang w:val="en-GB"/>
        </w:rPr>
        <w:t xml:space="preserve"> 1999, 315).</w:t>
      </w:r>
      <w:r>
        <w:rPr>
          <w:rFonts w:asciiTheme="majorBidi" w:hAnsiTheme="majorBidi" w:cstheme="majorBidi"/>
        </w:rPr>
        <w:t xml:space="preserve"> </w:t>
      </w:r>
      <w:r w:rsidRPr="0069694D">
        <w:rPr>
          <w:rFonts w:asciiTheme="majorBidi" w:hAnsiTheme="majorBidi" w:cstheme="majorBidi"/>
        </w:rPr>
        <w:t xml:space="preserve">While the </w:t>
      </w:r>
      <w:r>
        <w:rPr>
          <w:rFonts w:asciiTheme="majorBidi" w:hAnsiTheme="majorBidi" w:cstheme="majorBidi"/>
        </w:rPr>
        <w:t>influence</w:t>
      </w:r>
      <w:r w:rsidRPr="0069694D">
        <w:rPr>
          <w:rFonts w:asciiTheme="majorBidi" w:hAnsiTheme="majorBidi" w:cstheme="majorBidi"/>
        </w:rPr>
        <w:t xml:space="preserve"> of the classic</w:t>
      </w:r>
      <w:r>
        <w:rPr>
          <w:rFonts w:asciiTheme="majorBidi" w:hAnsiTheme="majorBidi" w:cstheme="majorBidi"/>
        </w:rPr>
        <w:t>al</w:t>
      </w:r>
      <w:r w:rsidRPr="0069694D">
        <w:rPr>
          <w:rFonts w:asciiTheme="majorBidi" w:hAnsiTheme="majorBidi" w:cstheme="majorBidi"/>
        </w:rPr>
        <w:t xml:space="preserve"> Adonis on these two authors is certain, the resurrection of the protagonist is unique to </w:t>
      </w:r>
      <w:r>
        <w:rPr>
          <w:rFonts w:asciiTheme="majorBidi" w:hAnsiTheme="majorBidi" w:cstheme="majorBidi"/>
        </w:rPr>
        <w:t>Near</w:t>
      </w:r>
      <w:r w:rsidRPr="0069694D">
        <w:rPr>
          <w:rFonts w:asciiTheme="majorBidi" w:hAnsiTheme="majorBidi" w:cstheme="majorBidi"/>
        </w:rPr>
        <w:t xml:space="preserve"> Eastern sources (among pagans and patristic sources alike) and has no record in early classical sources. </w:t>
      </w:r>
      <w:r>
        <w:rPr>
          <w:rFonts w:asciiTheme="majorBidi" w:hAnsiTheme="majorBidi" w:cstheme="majorBidi"/>
        </w:rPr>
        <w:t>C</w:t>
      </w:r>
      <w:r w:rsidRPr="0069694D">
        <w:rPr>
          <w:rFonts w:asciiTheme="majorBidi" w:hAnsiTheme="majorBidi" w:cstheme="majorBidi"/>
        </w:rPr>
        <w:t xml:space="preserve">f. Burkert 1979, 101 and n. </w:t>
      </w:r>
      <w:r w:rsidRPr="0069694D">
        <w:rPr>
          <w:rFonts w:asciiTheme="majorBidi" w:hAnsiTheme="majorBidi" w:cstheme="majorBidi"/>
          <w:cs/>
        </w:rPr>
        <w:t>‎</w:t>
      </w:r>
      <w:r w:rsidRPr="0069694D">
        <w:rPr>
          <w:rFonts w:asciiTheme="majorBidi" w:hAnsiTheme="majorBidi" w:cstheme="majorBidi"/>
        </w:rPr>
        <w:t>10; Reed 2002, 220 and n.</w:t>
      </w:r>
      <w:r w:rsidRPr="0069694D">
        <w:rPr>
          <w:rFonts w:asciiTheme="majorBidi" w:hAnsiTheme="majorBidi" w:cstheme="majorBidi"/>
          <w:cs/>
        </w:rPr>
        <w:t xml:space="preserve"> ‎</w:t>
      </w:r>
      <w:r w:rsidRPr="0069694D">
        <w:rPr>
          <w:rFonts w:asciiTheme="majorBidi" w:hAnsiTheme="majorBidi" w:cstheme="majorBidi"/>
        </w:rPr>
        <w:t>4. For a discussion of the</w:t>
      </w:r>
      <w:r>
        <w:rPr>
          <w:rFonts w:asciiTheme="majorBidi" w:hAnsiTheme="majorBidi" w:cstheme="majorBidi"/>
        </w:rPr>
        <w:t>se</w:t>
      </w:r>
      <w:r w:rsidRPr="0069694D">
        <w:rPr>
          <w:rFonts w:asciiTheme="majorBidi" w:hAnsiTheme="majorBidi" w:cstheme="majorBidi"/>
        </w:rPr>
        <w:t xml:space="preserve"> sources and further bibliography, see </w:t>
      </w:r>
      <w:proofErr w:type="spellStart"/>
      <w:r w:rsidRPr="0069694D">
        <w:rPr>
          <w:rFonts w:asciiTheme="majorBidi" w:hAnsiTheme="majorBidi" w:cstheme="majorBidi"/>
        </w:rPr>
        <w:t>Mettinger</w:t>
      </w:r>
      <w:proofErr w:type="spellEnd"/>
      <w:r w:rsidRPr="0069694D">
        <w:rPr>
          <w:rFonts w:asciiTheme="majorBidi" w:hAnsiTheme="majorBidi" w:cstheme="majorBidi"/>
        </w:rPr>
        <w:t xml:space="preserve"> 2001, 131-137, 155-164.</w:t>
      </w:r>
    </w:p>
  </w:footnote>
  <w:footnote w:id="75">
    <w:p w14:paraId="728C0D1B" w14:textId="54828AFA"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r>
        <w:rPr>
          <w:rFonts w:asciiTheme="majorBidi" w:hAnsiTheme="majorBidi" w:cstheme="majorBidi"/>
        </w:rPr>
        <w:t xml:space="preserve">Regarding Babylon, note that the same interpretation for the </w:t>
      </w:r>
      <w:r w:rsidRPr="0069694D">
        <w:rPr>
          <w:rFonts w:asciiTheme="majorBidi" w:hAnsiTheme="majorBidi" w:cstheme="majorBidi"/>
        </w:rPr>
        <w:t>single use of</w:t>
      </w:r>
      <w:r>
        <w:rPr>
          <w:rFonts w:asciiTheme="majorBidi" w:hAnsiTheme="majorBidi" w:cstheme="majorBidi"/>
        </w:rPr>
        <w:t xml:space="preserve"> the</w:t>
      </w:r>
      <w:r w:rsidRPr="0069694D">
        <w:rPr>
          <w:rFonts w:asciiTheme="majorBidi" w:hAnsiTheme="majorBidi" w:cstheme="majorBidi"/>
        </w:rPr>
        <w:t xml:space="preserve"> </w:t>
      </w:r>
      <w:r w:rsidRPr="0069694D">
        <w:rPr>
          <w:rFonts w:asciiTheme="majorBidi" w:hAnsiTheme="majorBidi" w:cstheme="majorBidi"/>
          <w:i/>
          <w:iCs/>
        </w:rPr>
        <w:t xml:space="preserve">lex talionis </w:t>
      </w:r>
      <w:r>
        <w:rPr>
          <w:rFonts w:asciiTheme="majorBidi" w:hAnsiTheme="majorBidi" w:cstheme="majorBidi"/>
        </w:rPr>
        <w:t xml:space="preserve">principle </w:t>
      </w:r>
      <w:r w:rsidRPr="0069694D">
        <w:rPr>
          <w:rFonts w:asciiTheme="majorBidi" w:hAnsiTheme="majorBidi" w:cstheme="majorBidi"/>
        </w:rPr>
        <w:t xml:space="preserve">in </w:t>
      </w:r>
      <w:r>
        <w:rPr>
          <w:rFonts w:asciiTheme="majorBidi" w:hAnsiTheme="majorBidi" w:cstheme="majorBidi"/>
        </w:rPr>
        <w:t xml:space="preserve">the Code of Hammurabi of the Old-Babylonian period </w:t>
      </w:r>
      <w:del w:id="135" w:author="Noga Darshan" w:date="2021-04-12T15:46:00Z">
        <w:r w:rsidDel="002E46F7">
          <w:rPr>
            <w:rFonts w:asciiTheme="majorBidi" w:hAnsiTheme="majorBidi" w:cstheme="majorBidi"/>
          </w:rPr>
          <w:delText xml:space="preserve">and </w:delText>
        </w:r>
      </w:del>
      <w:ins w:id="136" w:author="Noga Darshan" w:date="2021-04-12T15:46:00Z">
        <w:r w:rsidR="002E46F7">
          <w:rPr>
            <w:rFonts w:asciiTheme="majorBidi" w:hAnsiTheme="majorBidi" w:cstheme="majorBidi"/>
          </w:rPr>
          <w:t xml:space="preserve">as well as </w:t>
        </w:r>
      </w:ins>
      <w:r>
        <w:rPr>
          <w:rFonts w:asciiTheme="majorBidi" w:hAnsiTheme="majorBidi" w:cstheme="majorBidi"/>
        </w:rPr>
        <w:t xml:space="preserve">the </w:t>
      </w:r>
      <w:del w:id="137" w:author="Avraham Kallenbah" w:date="2021-04-13T08:47:00Z">
        <w:r w:rsidDel="00B91D14">
          <w:rPr>
            <w:rFonts w:asciiTheme="majorBidi" w:hAnsiTheme="majorBidi" w:cstheme="majorBidi"/>
          </w:rPr>
          <w:delText xml:space="preserve">transition </w:delText>
        </w:r>
      </w:del>
      <w:ins w:id="138" w:author="Avraham Kallenbah" w:date="2021-04-13T08:47:00Z">
        <w:r w:rsidR="00B91D14">
          <w:rPr>
            <w:rFonts w:asciiTheme="majorBidi" w:hAnsiTheme="majorBidi" w:cstheme="majorBidi"/>
          </w:rPr>
          <w:t xml:space="preserve">transmission </w:t>
        </w:r>
      </w:ins>
      <w:r>
        <w:rPr>
          <w:rFonts w:asciiTheme="majorBidi" w:hAnsiTheme="majorBidi" w:cstheme="majorBidi"/>
        </w:rPr>
        <w:t xml:space="preserve">of the Cedar Forest in the </w:t>
      </w:r>
      <w:r w:rsidRPr="005A5A48">
        <w:rPr>
          <w:rFonts w:asciiTheme="majorBidi" w:hAnsiTheme="majorBidi" w:cstheme="majorBidi"/>
          <w:i/>
          <w:iCs/>
        </w:rPr>
        <w:t>Gilgamesh</w:t>
      </w:r>
      <w:r>
        <w:rPr>
          <w:rFonts w:asciiTheme="majorBidi" w:hAnsiTheme="majorBidi" w:cstheme="majorBidi"/>
        </w:rPr>
        <w:t xml:space="preserve"> epic from the east to Lebanon</w:t>
      </w:r>
      <w:del w:id="139" w:author="Noga Darshan" w:date="2021-04-12T13:47:00Z">
        <w:r w:rsidDel="002A6635">
          <w:rPr>
            <w:rFonts w:asciiTheme="majorBidi" w:hAnsiTheme="majorBidi" w:cstheme="majorBidi"/>
          </w:rPr>
          <w:delText xml:space="preserve"> at the same period</w:delText>
        </w:r>
      </w:del>
      <w:r>
        <w:rPr>
          <w:rFonts w:asciiTheme="majorBidi" w:hAnsiTheme="majorBidi" w:cstheme="majorBidi"/>
        </w:rPr>
        <w:t>, was suggested by</w:t>
      </w:r>
      <w:r w:rsidRPr="0069694D">
        <w:rPr>
          <w:rFonts w:asciiTheme="majorBidi" w:hAnsiTheme="majorBidi" w:cstheme="majorBidi"/>
        </w:rPr>
        <w:t xml:space="preserve"> Lambert 1987, 313–314</w:t>
      </w:r>
      <w:r>
        <w:rPr>
          <w:rFonts w:asciiTheme="majorBidi" w:hAnsiTheme="majorBidi" w:cstheme="majorBidi"/>
        </w:rPr>
        <w:t>. According to him, these are</w:t>
      </w:r>
      <w:r w:rsidRPr="0069694D">
        <w:rPr>
          <w:rFonts w:asciiTheme="majorBidi" w:hAnsiTheme="majorBidi" w:cstheme="majorBidi"/>
        </w:rPr>
        <w:t xml:space="preserve"> originally Western-Semitic motif</w:t>
      </w:r>
      <w:r>
        <w:rPr>
          <w:rFonts w:asciiTheme="majorBidi" w:hAnsiTheme="majorBidi" w:cstheme="majorBidi"/>
        </w:rPr>
        <w:t>s</w:t>
      </w:r>
      <w:r w:rsidRPr="0069694D">
        <w:rPr>
          <w:rFonts w:asciiTheme="majorBidi" w:hAnsiTheme="majorBidi" w:cstheme="majorBidi"/>
        </w:rPr>
        <w:t xml:space="preserve"> that made </w:t>
      </w:r>
      <w:r>
        <w:rPr>
          <w:rFonts w:asciiTheme="majorBidi" w:hAnsiTheme="majorBidi" w:cstheme="majorBidi"/>
        </w:rPr>
        <w:t>their</w:t>
      </w:r>
      <w:r w:rsidRPr="0069694D">
        <w:rPr>
          <w:rFonts w:asciiTheme="majorBidi" w:hAnsiTheme="majorBidi" w:cstheme="majorBidi"/>
        </w:rPr>
        <w:t xml:space="preserve"> way to Babylon with the Amorites</w:t>
      </w:r>
      <w:r>
        <w:rPr>
          <w:rFonts w:asciiTheme="majorBidi" w:hAnsiTheme="majorBidi" w:cstheme="majorBidi"/>
        </w:rPr>
        <w:t>.</w:t>
      </w:r>
    </w:p>
  </w:footnote>
  <w:footnote w:id="76">
    <w:p w14:paraId="01DFC983" w14:textId="6A436FE7"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Similar to the principle of </w:t>
      </w:r>
      <w:r w:rsidRPr="0069694D">
        <w:rPr>
          <w:rFonts w:asciiTheme="majorBidi" w:hAnsiTheme="majorBidi" w:cstheme="majorBidi"/>
          <w:i/>
          <w:iCs/>
        </w:rPr>
        <w:t>lex talionis</w:t>
      </w:r>
      <w:r w:rsidRPr="0069694D">
        <w:rPr>
          <w:rFonts w:asciiTheme="majorBidi" w:hAnsiTheme="majorBidi" w:cstheme="majorBidi"/>
        </w:rPr>
        <w:t xml:space="preserve"> in Babylonian law, which </w:t>
      </w:r>
      <w:r>
        <w:rPr>
          <w:rFonts w:asciiTheme="majorBidi" w:hAnsiTheme="majorBidi" w:cstheme="majorBidi"/>
        </w:rPr>
        <w:t>occurs on</w:t>
      </w:r>
      <w:r>
        <w:rPr>
          <w:rFonts w:asciiTheme="majorBidi" w:hAnsiTheme="majorBidi" w:cstheme="majorBidi"/>
          <w:lang w:val="en-GB"/>
        </w:rPr>
        <w:t>c</w:t>
      </w:r>
      <w:r>
        <w:rPr>
          <w:rFonts w:asciiTheme="majorBidi" w:hAnsiTheme="majorBidi" w:cstheme="majorBidi"/>
        </w:rPr>
        <w:t xml:space="preserve">e in the Old Babylonian period </w:t>
      </w:r>
      <w:r w:rsidRPr="0069694D">
        <w:rPr>
          <w:rFonts w:asciiTheme="majorBidi" w:hAnsiTheme="majorBidi" w:cstheme="majorBidi"/>
        </w:rPr>
        <w:t>(</w:t>
      </w:r>
      <w:proofErr w:type="spellStart"/>
      <w:r w:rsidRPr="00380474">
        <w:rPr>
          <w:rFonts w:asciiTheme="majorBidi" w:hAnsiTheme="majorBidi" w:cstheme="majorBidi"/>
          <w:highlight w:val="yellow"/>
        </w:rPr>
        <w:t>see</w:t>
      </w:r>
      <w:r>
        <w:rPr>
          <w:rFonts w:asciiTheme="majorBidi" w:hAnsiTheme="majorBidi" w:cstheme="majorBidi"/>
          <w:highlight w:val="yellow"/>
        </w:rPr>
        <w:t xml:space="preserve"> </w:t>
      </w:r>
      <w:r w:rsidRPr="00380474">
        <w:rPr>
          <w:rFonts w:asciiTheme="majorBidi" w:hAnsiTheme="majorBidi" w:cstheme="majorBidi"/>
          <w:highlight w:val="yellow"/>
        </w:rPr>
        <w:t>n</w:t>
      </w:r>
      <w:proofErr w:type="spellEnd"/>
      <w:r w:rsidRPr="00380474">
        <w:rPr>
          <w:rFonts w:asciiTheme="majorBidi" w:hAnsiTheme="majorBidi" w:cstheme="majorBidi"/>
          <w:highlight w:val="yellow"/>
        </w:rPr>
        <w:t>. xxx above</w:t>
      </w:r>
      <w:r w:rsidRPr="0069694D">
        <w:rPr>
          <w:rFonts w:asciiTheme="majorBidi" w:hAnsiTheme="majorBidi" w:cstheme="majorBidi"/>
        </w:rPr>
        <w:t>)</w:t>
      </w:r>
      <w:r>
        <w:rPr>
          <w:rFonts w:asciiTheme="majorBidi" w:hAnsiTheme="majorBidi" w:cstheme="majorBidi"/>
        </w:rPr>
        <w:t>, just to disappear later without leaving a trace</w:t>
      </w:r>
      <w:r w:rsidRPr="0069694D">
        <w:rPr>
          <w:rFonts w:asciiTheme="majorBidi" w:hAnsiTheme="majorBidi" w:cstheme="majorBidi"/>
        </w:rPr>
        <w:t>.</w:t>
      </w:r>
      <w:r>
        <w:rPr>
          <w:rFonts w:asciiTheme="majorBidi" w:hAnsiTheme="majorBidi" w:cstheme="majorBidi"/>
        </w:rPr>
        <w:t xml:space="preserve"> This new, imported motif was also not accepted in Mesopotamian culture.</w:t>
      </w:r>
    </w:p>
  </w:footnote>
  <w:footnote w:id="77">
    <w:p w14:paraId="01424E15" w14:textId="77777777" w:rsidR="006A346E" w:rsidRPr="0069694D" w:rsidRDefault="006A346E" w:rsidP="00A873E4">
      <w:pPr>
        <w:pStyle w:val="FootnoteText"/>
        <w:spacing w:line="360" w:lineRule="auto"/>
        <w:ind w:firstLine="0"/>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Cf., Katz 2003, 163.</w:t>
      </w:r>
    </w:p>
  </w:footnote>
  <w:footnote w:id="78">
    <w:p w14:paraId="6B18B9B6" w14:textId="112AD850" w:rsidR="006A346E" w:rsidRPr="0069694D" w:rsidRDefault="006A346E" w:rsidP="00A873E4">
      <w:pPr>
        <w:pStyle w:val="FootnoteText"/>
        <w:spacing w:line="360" w:lineRule="auto"/>
        <w:ind w:firstLine="0"/>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r>
        <w:rPr>
          <w:rFonts w:asciiTheme="majorBidi" w:hAnsiTheme="majorBidi" w:cstheme="majorBidi"/>
        </w:rPr>
        <w:t>Therefore, the account of Baal in the</w:t>
      </w:r>
      <w:r w:rsidRPr="0069694D">
        <w:rPr>
          <w:rFonts w:asciiTheme="majorBidi" w:hAnsiTheme="majorBidi" w:cstheme="majorBidi"/>
        </w:rPr>
        <w:t xml:space="preserve"> Ugaritic Baal Cycle </w:t>
      </w:r>
      <w:r>
        <w:rPr>
          <w:rFonts w:asciiTheme="majorBidi" w:hAnsiTheme="majorBidi" w:cstheme="majorBidi"/>
        </w:rPr>
        <w:t>cannot be considered the</w:t>
      </w:r>
      <w:r w:rsidRPr="0069694D">
        <w:rPr>
          <w:rFonts w:asciiTheme="majorBidi" w:hAnsiTheme="majorBidi" w:cstheme="majorBidi"/>
        </w:rPr>
        <w:t xml:space="preserve"> first belonging to this </w:t>
      </w:r>
      <w:r>
        <w:rPr>
          <w:rFonts w:asciiTheme="majorBidi" w:hAnsiTheme="majorBidi" w:cstheme="majorBidi"/>
        </w:rPr>
        <w:t>mythologem</w:t>
      </w:r>
      <w:r w:rsidRPr="0069694D">
        <w:rPr>
          <w:rFonts w:asciiTheme="majorBidi" w:hAnsiTheme="majorBidi" w:cstheme="majorBidi"/>
        </w:rPr>
        <w:t xml:space="preserve">, but rather the first </w:t>
      </w:r>
      <w:r>
        <w:rPr>
          <w:rFonts w:asciiTheme="majorBidi" w:hAnsiTheme="majorBidi" w:cstheme="majorBidi"/>
        </w:rPr>
        <w:t>extant instance</w:t>
      </w:r>
      <w:r w:rsidRPr="0069694D">
        <w:rPr>
          <w:rFonts w:asciiTheme="majorBidi" w:hAnsiTheme="majorBidi" w:cstheme="majorBidi"/>
        </w:rPr>
        <w:t>. We may assume that in other versions</w:t>
      </w:r>
      <w:r>
        <w:rPr>
          <w:rFonts w:asciiTheme="majorBidi" w:hAnsiTheme="majorBidi" w:cstheme="majorBidi"/>
        </w:rPr>
        <w:t xml:space="preserve"> of this account, the goddess – the spouse or sister of the dying and rising god – played an important role</w:t>
      </w:r>
      <w:r w:rsidRPr="0069694D">
        <w:rPr>
          <w:rFonts w:asciiTheme="majorBidi" w:hAnsiTheme="majorBidi" w:cstheme="majorBidi"/>
        </w:rPr>
        <w:t xml:space="preserve">, as </w:t>
      </w:r>
      <w:r>
        <w:rPr>
          <w:rFonts w:asciiTheme="majorBidi" w:hAnsiTheme="majorBidi" w:cstheme="majorBidi"/>
        </w:rPr>
        <w:t>is</w:t>
      </w:r>
      <w:r w:rsidRPr="0069694D">
        <w:rPr>
          <w:rFonts w:asciiTheme="majorBidi" w:hAnsiTheme="majorBidi" w:cstheme="majorBidi"/>
        </w:rPr>
        <w:t xml:space="preserve"> evidence</w:t>
      </w:r>
      <w:r>
        <w:rPr>
          <w:rFonts w:asciiTheme="majorBidi" w:hAnsiTheme="majorBidi" w:cstheme="majorBidi"/>
        </w:rPr>
        <w:t>d</w:t>
      </w:r>
      <w:r w:rsidRPr="0069694D">
        <w:rPr>
          <w:rFonts w:asciiTheme="majorBidi" w:hAnsiTheme="majorBidi" w:cstheme="majorBidi"/>
        </w:rPr>
        <w:t xml:space="preserve"> </w:t>
      </w:r>
      <w:r>
        <w:rPr>
          <w:rFonts w:asciiTheme="majorBidi" w:hAnsiTheme="majorBidi" w:cstheme="majorBidi"/>
        </w:rPr>
        <w:t>in</w:t>
      </w:r>
      <w:r w:rsidRPr="0069694D">
        <w:rPr>
          <w:rFonts w:asciiTheme="majorBidi" w:hAnsiTheme="majorBidi" w:cstheme="majorBidi"/>
        </w:rPr>
        <w:t xml:space="preserve"> Mari and later </w:t>
      </w:r>
      <w:r>
        <w:rPr>
          <w:rFonts w:asciiTheme="majorBidi" w:hAnsiTheme="majorBidi" w:cstheme="majorBidi"/>
        </w:rPr>
        <w:t>Near</w:t>
      </w:r>
      <w:r w:rsidRPr="0069694D">
        <w:rPr>
          <w:rFonts w:asciiTheme="majorBidi" w:hAnsiTheme="majorBidi" w:cstheme="majorBidi"/>
        </w:rPr>
        <w:t xml:space="preserve"> Eastern </w:t>
      </w:r>
      <w:r>
        <w:rPr>
          <w:rFonts w:asciiTheme="majorBidi" w:hAnsiTheme="majorBidi" w:cstheme="majorBidi"/>
        </w:rPr>
        <w:t>texts</w:t>
      </w:r>
      <w:r w:rsidRPr="0069694D">
        <w:rPr>
          <w:rFonts w:asciiTheme="majorBidi" w:hAnsiTheme="majorBidi" w:cstheme="majorBidi"/>
        </w:rPr>
        <w:t>. Similar</w:t>
      </w:r>
      <w:r>
        <w:rPr>
          <w:rFonts w:asciiTheme="majorBidi" w:hAnsiTheme="majorBidi" w:cstheme="majorBidi"/>
        </w:rPr>
        <w:t>ly</w:t>
      </w:r>
      <w:r w:rsidRPr="0069694D">
        <w:rPr>
          <w:rFonts w:asciiTheme="majorBidi" w:hAnsiTheme="majorBidi" w:cstheme="majorBidi"/>
        </w:rPr>
        <w:t xml:space="preserve">, the first part of the Baal Cycle, which recounts Baal’s </w:t>
      </w:r>
      <w:r>
        <w:rPr>
          <w:rFonts w:asciiTheme="majorBidi" w:hAnsiTheme="majorBidi" w:cstheme="majorBidi"/>
        </w:rPr>
        <w:t>combat</w:t>
      </w:r>
      <w:r w:rsidRPr="0069694D">
        <w:rPr>
          <w:rFonts w:asciiTheme="majorBidi" w:hAnsiTheme="majorBidi" w:cstheme="majorBidi"/>
        </w:rPr>
        <w:t xml:space="preserve"> with </w:t>
      </w:r>
      <w:proofErr w:type="spellStart"/>
      <w:r w:rsidRPr="0069694D">
        <w:rPr>
          <w:rFonts w:asciiTheme="majorBidi" w:hAnsiTheme="majorBidi" w:cstheme="majorBidi"/>
        </w:rPr>
        <w:t>Yam</w:t>
      </w:r>
      <w:r>
        <w:rPr>
          <w:rFonts w:asciiTheme="majorBidi" w:hAnsiTheme="majorBidi" w:cstheme="majorBidi"/>
        </w:rPr>
        <w:t>m</w:t>
      </w:r>
      <w:proofErr w:type="spellEnd"/>
      <w:r w:rsidRPr="0069694D">
        <w:rPr>
          <w:rFonts w:asciiTheme="majorBidi" w:hAnsiTheme="majorBidi" w:cstheme="majorBidi"/>
        </w:rPr>
        <w:t xml:space="preserve">, </w:t>
      </w:r>
      <w:r>
        <w:rPr>
          <w:rFonts w:asciiTheme="majorBidi" w:hAnsiTheme="majorBidi" w:cstheme="majorBidi"/>
        </w:rPr>
        <w:t xml:space="preserve">is silent regarding </w:t>
      </w:r>
      <w:r w:rsidRPr="0069694D">
        <w:rPr>
          <w:rFonts w:asciiTheme="majorBidi" w:hAnsiTheme="majorBidi" w:cstheme="majorBidi"/>
        </w:rPr>
        <w:t xml:space="preserve">the role played by the goddess </w:t>
      </w:r>
      <w:r>
        <w:rPr>
          <w:rFonts w:asciiTheme="majorBidi" w:hAnsiTheme="majorBidi" w:cstheme="majorBidi"/>
        </w:rPr>
        <w:t xml:space="preserve">in the combat, </w:t>
      </w:r>
      <w:r w:rsidRPr="0069694D">
        <w:rPr>
          <w:rFonts w:asciiTheme="majorBidi" w:hAnsiTheme="majorBidi" w:cstheme="majorBidi"/>
        </w:rPr>
        <w:t>as opposed to other versions of the story, in which she is one of the protagonists (see Ayali-Darshan 2020a).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2BCB1" w14:textId="77777777" w:rsidR="006A346E" w:rsidRDefault="006A3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2EB"/>
    <w:multiLevelType w:val="hybridMultilevel"/>
    <w:tmpl w:val="6A6AED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3604555"/>
    <w:multiLevelType w:val="hybridMultilevel"/>
    <w:tmpl w:val="3C2E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E5C89"/>
    <w:multiLevelType w:val="hybridMultilevel"/>
    <w:tmpl w:val="8F38DBF4"/>
    <w:lvl w:ilvl="0" w:tplc="5006769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E350497"/>
    <w:multiLevelType w:val="hybridMultilevel"/>
    <w:tmpl w:val="821A86E2"/>
    <w:lvl w:ilvl="0" w:tplc="343EB2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E4EF0"/>
    <w:multiLevelType w:val="hybridMultilevel"/>
    <w:tmpl w:val="65AAAE80"/>
    <w:lvl w:ilvl="0" w:tplc="A0264EFA">
      <w:start w:val="2"/>
      <w:numFmt w:val="upperLetter"/>
      <w:lvlText w:val="%1."/>
      <w:lvlJc w:val="left"/>
      <w:pPr>
        <w:ind w:left="1637" w:hanging="360"/>
      </w:pPr>
      <w:rPr>
        <w:rFonts w:hint="default"/>
      </w:rPr>
    </w:lvl>
    <w:lvl w:ilvl="1" w:tplc="20000019" w:tentative="1">
      <w:start w:val="1"/>
      <w:numFmt w:val="lowerLetter"/>
      <w:lvlText w:val="%2."/>
      <w:lvlJc w:val="left"/>
      <w:pPr>
        <w:ind w:left="2357" w:hanging="360"/>
      </w:pPr>
    </w:lvl>
    <w:lvl w:ilvl="2" w:tplc="2000001B" w:tentative="1">
      <w:start w:val="1"/>
      <w:numFmt w:val="lowerRoman"/>
      <w:lvlText w:val="%3."/>
      <w:lvlJc w:val="right"/>
      <w:pPr>
        <w:ind w:left="3077" w:hanging="180"/>
      </w:pPr>
    </w:lvl>
    <w:lvl w:ilvl="3" w:tplc="2000000F" w:tentative="1">
      <w:start w:val="1"/>
      <w:numFmt w:val="decimal"/>
      <w:lvlText w:val="%4."/>
      <w:lvlJc w:val="left"/>
      <w:pPr>
        <w:ind w:left="3797" w:hanging="360"/>
      </w:pPr>
    </w:lvl>
    <w:lvl w:ilvl="4" w:tplc="20000019" w:tentative="1">
      <w:start w:val="1"/>
      <w:numFmt w:val="lowerLetter"/>
      <w:lvlText w:val="%5."/>
      <w:lvlJc w:val="left"/>
      <w:pPr>
        <w:ind w:left="4517" w:hanging="360"/>
      </w:pPr>
    </w:lvl>
    <w:lvl w:ilvl="5" w:tplc="2000001B" w:tentative="1">
      <w:start w:val="1"/>
      <w:numFmt w:val="lowerRoman"/>
      <w:lvlText w:val="%6."/>
      <w:lvlJc w:val="right"/>
      <w:pPr>
        <w:ind w:left="5237" w:hanging="180"/>
      </w:pPr>
    </w:lvl>
    <w:lvl w:ilvl="6" w:tplc="2000000F" w:tentative="1">
      <w:start w:val="1"/>
      <w:numFmt w:val="decimal"/>
      <w:lvlText w:val="%7."/>
      <w:lvlJc w:val="left"/>
      <w:pPr>
        <w:ind w:left="5957" w:hanging="360"/>
      </w:pPr>
    </w:lvl>
    <w:lvl w:ilvl="7" w:tplc="20000019" w:tentative="1">
      <w:start w:val="1"/>
      <w:numFmt w:val="lowerLetter"/>
      <w:lvlText w:val="%8."/>
      <w:lvlJc w:val="left"/>
      <w:pPr>
        <w:ind w:left="6677" w:hanging="360"/>
      </w:pPr>
    </w:lvl>
    <w:lvl w:ilvl="8" w:tplc="2000001B" w:tentative="1">
      <w:start w:val="1"/>
      <w:numFmt w:val="lowerRoman"/>
      <w:lvlText w:val="%9."/>
      <w:lvlJc w:val="right"/>
      <w:pPr>
        <w:ind w:left="7397" w:hanging="180"/>
      </w:p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raham Kallenbah">
    <w15:presenceInfo w15:providerId="None" w15:userId="Avraham Kallenbah"/>
  </w15:person>
  <w15:person w15:author="Noga Darshan">
    <w15:presenceInfo w15:providerId="None" w15:userId="Noga Dars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B0"/>
    <w:rsid w:val="000061CE"/>
    <w:rsid w:val="0000636E"/>
    <w:rsid w:val="00006B32"/>
    <w:rsid w:val="0001091E"/>
    <w:rsid w:val="00020499"/>
    <w:rsid w:val="00020E35"/>
    <w:rsid w:val="0002470F"/>
    <w:rsid w:val="00025079"/>
    <w:rsid w:val="00025177"/>
    <w:rsid w:val="00025E67"/>
    <w:rsid w:val="0002672A"/>
    <w:rsid w:val="0003112B"/>
    <w:rsid w:val="00034EB6"/>
    <w:rsid w:val="00042E45"/>
    <w:rsid w:val="00053984"/>
    <w:rsid w:val="00054001"/>
    <w:rsid w:val="00054158"/>
    <w:rsid w:val="00056917"/>
    <w:rsid w:val="000571BF"/>
    <w:rsid w:val="00057EB7"/>
    <w:rsid w:val="00060644"/>
    <w:rsid w:val="000626B1"/>
    <w:rsid w:val="00063116"/>
    <w:rsid w:val="000708AD"/>
    <w:rsid w:val="000723A7"/>
    <w:rsid w:val="00077EA5"/>
    <w:rsid w:val="00082AD7"/>
    <w:rsid w:val="00086948"/>
    <w:rsid w:val="0009077C"/>
    <w:rsid w:val="00090863"/>
    <w:rsid w:val="00093164"/>
    <w:rsid w:val="00094FAF"/>
    <w:rsid w:val="0009524E"/>
    <w:rsid w:val="000A02B0"/>
    <w:rsid w:val="000A1683"/>
    <w:rsid w:val="000A4714"/>
    <w:rsid w:val="000A4A8D"/>
    <w:rsid w:val="000A60DF"/>
    <w:rsid w:val="000A7607"/>
    <w:rsid w:val="000B1D9B"/>
    <w:rsid w:val="000B2ED8"/>
    <w:rsid w:val="000C1B5F"/>
    <w:rsid w:val="000C7357"/>
    <w:rsid w:val="000E43BF"/>
    <w:rsid w:val="000F2074"/>
    <w:rsid w:val="000F23E2"/>
    <w:rsid w:val="000F30BC"/>
    <w:rsid w:val="000F5297"/>
    <w:rsid w:val="000F6490"/>
    <w:rsid w:val="000F718B"/>
    <w:rsid w:val="0010292A"/>
    <w:rsid w:val="00106F2F"/>
    <w:rsid w:val="001174E6"/>
    <w:rsid w:val="001263FD"/>
    <w:rsid w:val="00126952"/>
    <w:rsid w:val="00127166"/>
    <w:rsid w:val="0013103F"/>
    <w:rsid w:val="00131B72"/>
    <w:rsid w:val="00133575"/>
    <w:rsid w:val="00142139"/>
    <w:rsid w:val="00145E93"/>
    <w:rsid w:val="0016263E"/>
    <w:rsid w:val="00164718"/>
    <w:rsid w:val="001710CB"/>
    <w:rsid w:val="0018132B"/>
    <w:rsid w:val="00192646"/>
    <w:rsid w:val="00197CC9"/>
    <w:rsid w:val="001A7BE6"/>
    <w:rsid w:val="001C00E8"/>
    <w:rsid w:val="001C02E0"/>
    <w:rsid w:val="001C2A14"/>
    <w:rsid w:val="001C7600"/>
    <w:rsid w:val="001E1ABB"/>
    <w:rsid w:val="001E3489"/>
    <w:rsid w:val="001E7213"/>
    <w:rsid w:val="001F04BA"/>
    <w:rsid w:val="001F24BB"/>
    <w:rsid w:val="001F43FB"/>
    <w:rsid w:val="002015C9"/>
    <w:rsid w:val="002017AC"/>
    <w:rsid w:val="002063DA"/>
    <w:rsid w:val="00221271"/>
    <w:rsid w:val="00224382"/>
    <w:rsid w:val="0022573B"/>
    <w:rsid w:val="00230430"/>
    <w:rsid w:val="00231D90"/>
    <w:rsid w:val="00236BF5"/>
    <w:rsid w:val="00237144"/>
    <w:rsid w:val="00241532"/>
    <w:rsid w:val="00242607"/>
    <w:rsid w:val="002523DF"/>
    <w:rsid w:val="002561CE"/>
    <w:rsid w:val="00256EA5"/>
    <w:rsid w:val="0026123A"/>
    <w:rsid w:val="00261A33"/>
    <w:rsid w:val="00261B9B"/>
    <w:rsid w:val="0026615A"/>
    <w:rsid w:val="002803B1"/>
    <w:rsid w:val="00286CED"/>
    <w:rsid w:val="00287B72"/>
    <w:rsid w:val="002963FC"/>
    <w:rsid w:val="002A33B9"/>
    <w:rsid w:val="002A61E6"/>
    <w:rsid w:val="002A6635"/>
    <w:rsid w:val="002B608B"/>
    <w:rsid w:val="002D60AA"/>
    <w:rsid w:val="002E076F"/>
    <w:rsid w:val="002E3735"/>
    <w:rsid w:val="002E3ACA"/>
    <w:rsid w:val="002E46F7"/>
    <w:rsid w:val="002E6028"/>
    <w:rsid w:val="002E6FF7"/>
    <w:rsid w:val="002F0684"/>
    <w:rsid w:val="002F088D"/>
    <w:rsid w:val="00301FCD"/>
    <w:rsid w:val="0030399E"/>
    <w:rsid w:val="00307A45"/>
    <w:rsid w:val="00311C41"/>
    <w:rsid w:val="003229ED"/>
    <w:rsid w:val="003413C3"/>
    <w:rsid w:val="00342EA3"/>
    <w:rsid w:val="003430CC"/>
    <w:rsid w:val="00343C5C"/>
    <w:rsid w:val="003445FA"/>
    <w:rsid w:val="00345BC5"/>
    <w:rsid w:val="00354BC3"/>
    <w:rsid w:val="00360FC8"/>
    <w:rsid w:val="0036438B"/>
    <w:rsid w:val="00370FA3"/>
    <w:rsid w:val="0037180E"/>
    <w:rsid w:val="00383B0B"/>
    <w:rsid w:val="0038580C"/>
    <w:rsid w:val="003859A4"/>
    <w:rsid w:val="00385C04"/>
    <w:rsid w:val="00394959"/>
    <w:rsid w:val="003A2FEB"/>
    <w:rsid w:val="003B6514"/>
    <w:rsid w:val="003D2D73"/>
    <w:rsid w:val="003D3B3E"/>
    <w:rsid w:val="003D5522"/>
    <w:rsid w:val="003D75B6"/>
    <w:rsid w:val="003E0874"/>
    <w:rsid w:val="003E1105"/>
    <w:rsid w:val="003E1FB8"/>
    <w:rsid w:val="003E5A9C"/>
    <w:rsid w:val="003E75CF"/>
    <w:rsid w:val="003F03D4"/>
    <w:rsid w:val="003F3587"/>
    <w:rsid w:val="004005E7"/>
    <w:rsid w:val="004005F1"/>
    <w:rsid w:val="00403037"/>
    <w:rsid w:val="004044C4"/>
    <w:rsid w:val="00405325"/>
    <w:rsid w:val="0040576C"/>
    <w:rsid w:val="00406E3C"/>
    <w:rsid w:val="00412D61"/>
    <w:rsid w:val="00414948"/>
    <w:rsid w:val="00420C25"/>
    <w:rsid w:val="00422B8B"/>
    <w:rsid w:val="004246A8"/>
    <w:rsid w:val="00433DDE"/>
    <w:rsid w:val="00440C92"/>
    <w:rsid w:val="00444E87"/>
    <w:rsid w:val="004465F1"/>
    <w:rsid w:val="00447D02"/>
    <w:rsid w:val="004535A6"/>
    <w:rsid w:val="00455C44"/>
    <w:rsid w:val="004711D7"/>
    <w:rsid w:val="004714E7"/>
    <w:rsid w:val="00475A03"/>
    <w:rsid w:val="004870BB"/>
    <w:rsid w:val="00496F08"/>
    <w:rsid w:val="004A0182"/>
    <w:rsid w:val="004A12B6"/>
    <w:rsid w:val="004A365D"/>
    <w:rsid w:val="004B38E4"/>
    <w:rsid w:val="004B5477"/>
    <w:rsid w:val="004B6D57"/>
    <w:rsid w:val="004C1741"/>
    <w:rsid w:val="004C44E4"/>
    <w:rsid w:val="004C5D40"/>
    <w:rsid w:val="004D7FBD"/>
    <w:rsid w:val="004E405B"/>
    <w:rsid w:val="004F3C75"/>
    <w:rsid w:val="004F4D3B"/>
    <w:rsid w:val="004F64EB"/>
    <w:rsid w:val="005063C5"/>
    <w:rsid w:val="005104E5"/>
    <w:rsid w:val="005158C3"/>
    <w:rsid w:val="00516AD1"/>
    <w:rsid w:val="005265AF"/>
    <w:rsid w:val="005376ED"/>
    <w:rsid w:val="00543429"/>
    <w:rsid w:val="00546B53"/>
    <w:rsid w:val="00546DB7"/>
    <w:rsid w:val="00554814"/>
    <w:rsid w:val="00554C64"/>
    <w:rsid w:val="00563EFB"/>
    <w:rsid w:val="005644D3"/>
    <w:rsid w:val="00566631"/>
    <w:rsid w:val="00575356"/>
    <w:rsid w:val="005759BF"/>
    <w:rsid w:val="005806EB"/>
    <w:rsid w:val="00584B99"/>
    <w:rsid w:val="00587309"/>
    <w:rsid w:val="005958E3"/>
    <w:rsid w:val="005A2009"/>
    <w:rsid w:val="005A5A48"/>
    <w:rsid w:val="005A66F6"/>
    <w:rsid w:val="005B1665"/>
    <w:rsid w:val="005B1E02"/>
    <w:rsid w:val="005B49E7"/>
    <w:rsid w:val="005C05C9"/>
    <w:rsid w:val="005D0ED9"/>
    <w:rsid w:val="005D7F3F"/>
    <w:rsid w:val="005E16F3"/>
    <w:rsid w:val="005E5062"/>
    <w:rsid w:val="005E5A22"/>
    <w:rsid w:val="005E64C3"/>
    <w:rsid w:val="005F5B5E"/>
    <w:rsid w:val="005F689A"/>
    <w:rsid w:val="005F6D04"/>
    <w:rsid w:val="005F71EF"/>
    <w:rsid w:val="0060255A"/>
    <w:rsid w:val="00603478"/>
    <w:rsid w:val="0061266C"/>
    <w:rsid w:val="00612F77"/>
    <w:rsid w:val="00613A0C"/>
    <w:rsid w:val="00617A8F"/>
    <w:rsid w:val="00621C97"/>
    <w:rsid w:val="00625ECF"/>
    <w:rsid w:val="006355B3"/>
    <w:rsid w:val="006358ED"/>
    <w:rsid w:val="006372D0"/>
    <w:rsid w:val="00641BC3"/>
    <w:rsid w:val="006441C5"/>
    <w:rsid w:val="006638CD"/>
    <w:rsid w:val="00692701"/>
    <w:rsid w:val="006A070B"/>
    <w:rsid w:val="006A346E"/>
    <w:rsid w:val="006B7D47"/>
    <w:rsid w:val="006C334E"/>
    <w:rsid w:val="006C4E43"/>
    <w:rsid w:val="006D1C1A"/>
    <w:rsid w:val="006D7A3E"/>
    <w:rsid w:val="006E4074"/>
    <w:rsid w:val="006F6DB1"/>
    <w:rsid w:val="006F71A8"/>
    <w:rsid w:val="006F746A"/>
    <w:rsid w:val="00701898"/>
    <w:rsid w:val="00703D4C"/>
    <w:rsid w:val="0072119B"/>
    <w:rsid w:val="007268AE"/>
    <w:rsid w:val="007369FF"/>
    <w:rsid w:val="00741D58"/>
    <w:rsid w:val="007422E4"/>
    <w:rsid w:val="00752655"/>
    <w:rsid w:val="00755DF1"/>
    <w:rsid w:val="0075672B"/>
    <w:rsid w:val="0077276D"/>
    <w:rsid w:val="00776989"/>
    <w:rsid w:val="00782E95"/>
    <w:rsid w:val="00785E15"/>
    <w:rsid w:val="00787A4C"/>
    <w:rsid w:val="00794938"/>
    <w:rsid w:val="00796411"/>
    <w:rsid w:val="007A4A37"/>
    <w:rsid w:val="007A4C09"/>
    <w:rsid w:val="007B7517"/>
    <w:rsid w:val="007C079D"/>
    <w:rsid w:val="007C3EA3"/>
    <w:rsid w:val="007D01B0"/>
    <w:rsid w:val="007D0366"/>
    <w:rsid w:val="007D73C3"/>
    <w:rsid w:val="007E3329"/>
    <w:rsid w:val="007E358D"/>
    <w:rsid w:val="007E7FBB"/>
    <w:rsid w:val="007F07FA"/>
    <w:rsid w:val="007F57FD"/>
    <w:rsid w:val="007F5C93"/>
    <w:rsid w:val="00801EEF"/>
    <w:rsid w:val="00803615"/>
    <w:rsid w:val="00805A1A"/>
    <w:rsid w:val="00806154"/>
    <w:rsid w:val="00806F67"/>
    <w:rsid w:val="00810F82"/>
    <w:rsid w:val="0081650B"/>
    <w:rsid w:val="008203D2"/>
    <w:rsid w:val="0082400D"/>
    <w:rsid w:val="008257D2"/>
    <w:rsid w:val="00826AAA"/>
    <w:rsid w:val="00826B63"/>
    <w:rsid w:val="00830F72"/>
    <w:rsid w:val="00832723"/>
    <w:rsid w:val="00847A98"/>
    <w:rsid w:val="0085224F"/>
    <w:rsid w:val="00856A5B"/>
    <w:rsid w:val="00871DE6"/>
    <w:rsid w:val="00876119"/>
    <w:rsid w:val="008763B9"/>
    <w:rsid w:val="008944EE"/>
    <w:rsid w:val="008946F9"/>
    <w:rsid w:val="00894F16"/>
    <w:rsid w:val="00895DEF"/>
    <w:rsid w:val="008A0825"/>
    <w:rsid w:val="008A6C62"/>
    <w:rsid w:val="008B08A3"/>
    <w:rsid w:val="008B106B"/>
    <w:rsid w:val="008B36BE"/>
    <w:rsid w:val="008B3D85"/>
    <w:rsid w:val="008D2656"/>
    <w:rsid w:val="008D504D"/>
    <w:rsid w:val="008E05FD"/>
    <w:rsid w:val="008E3436"/>
    <w:rsid w:val="008E4A08"/>
    <w:rsid w:val="008F0850"/>
    <w:rsid w:val="0090326A"/>
    <w:rsid w:val="00912363"/>
    <w:rsid w:val="00913328"/>
    <w:rsid w:val="00924C0C"/>
    <w:rsid w:val="0092571B"/>
    <w:rsid w:val="00926BD2"/>
    <w:rsid w:val="00927F7A"/>
    <w:rsid w:val="00940EB2"/>
    <w:rsid w:val="009538C9"/>
    <w:rsid w:val="009557A2"/>
    <w:rsid w:val="00955EBA"/>
    <w:rsid w:val="009637BF"/>
    <w:rsid w:val="00965835"/>
    <w:rsid w:val="0097405C"/>
    <w:rsid w:val="00977F53"/>
    <w:rsid w:val="009817E0"/>
    <w:rsid w:val="00984473"/>
    <w:rsid w:val="00985EA3"/>
    <w:rsid w:val="0099655F"/>
    <w:rsid w:val="009A5B19"/>
    <w:rsid w:val="009C126A"/>
    <w:rsid w:val="009D5072"/>
    <w:rsid w:val="009E5DF9"/>
    <w:rsid w:val="009F18B6"/>
    <w:rsid w:val="009F2959"/>
    <w:rsid w:val="00A06FC6"/>
    <w:rsid w:val="00A11AE6"/>
    <w:rsid w:val="00A220C2"/>
    <w:rsid w:val="00A2262B"/>
    <w:rsid w:val="00A31D60"/>
    <w:rsid w:val="00A33DB7"/>
    <w:rsid w:val="00A44A0A"/>
    <w:rsid w:val="00A5241B"/>
    <w:rsid w:val="00A56F7D"/>
    <w:rsid w:val="00A63A28"/>
    <w:rsid w:val="00A722B7"/>
    <w:rsid w:val="00A8077B"/>
    <w:rsid w:val="00A80DFB"/>
    <w:rsid w:val="00A81B4D"/>
    <w:rsid w:val="00A82ECF"/>
    <w:rsid w:val="00A85CCC"/>
    <w:rsid w:val="00A8602C"/>
    <w:rsid w:val="00A873E4"/>
    <w:rsid w:val="00A942B9"/>
    <w:rsid w:val="00A94AB4"/>
    <w:rsid w:val="00AB380A"/>
    <w:rsid w:val="00AB773C"/>
    <w:rsid w:val="00AD29E1"/>
    <w:rsid w:val="00AD2A89"/>
    <w:rsid w:val="00AE3373"/>
    <w:rsid w:val="00AF081F"/>
    <w:rsid w:val="00AF6AB8"/>
    <w:rsid w:val="00B053DB"/>
    <w:rsid w:val="00B14A36"/>
    <w:rsid w:val="00B17E42"/>
    <w:rsid w:val="00B22651"/>
    <w:rsid w:val="00B2415A"/>
    <w:rsid w:val="00B34D08"/>
    <w:rsid w:val="00B43046"/>
    <w:rsid w:val="00B453B5"/>
    <w:rsid w:val="00B461AD"/>
    <w:rsid w:val="00B53E85"/>
    <w:rsid w:val="00B729AB"/>
    <w:rsid w:val="00B73154"/>
    <w:rsid w:val="00B81246"/>
    <w:rsid w:val="00B82A29"/>
    <w:rsid w:val="00B91D14"/>
    <w:rsid w:val="00B93808"/>
    <w:rsid w:val="00B93945"/>
    <w:rsid w:val="00BA3D2A"/>
    <w:rsid w:val="00BA57F6"/>
    <w:rsid w:val="00BA7004"/>
    <w:rsid w:val="00BB0E9F"/>
    <w:rsid w:val="00BB1BA4"/>
    <w:rsid w:val="00BB305F"/>
    <w:rsid w:val="00BC3394"/>
    <w:rsid w:val="00BD1475"/>
    <w:rsid w:val="00BD3F24"/>
    <w:rsid w:val="00BD3F68"/>
    <w:rsid w:val="00BD411F"/>
    <w:rsid w:val="00BE0B8A"/>
    <w:rsid w:val="00BE1C8F"/>
    <w:rsid w:val="00BE697F"/>
    <w:rsid w:val="00BF2982"/>
    <w:rsid w:val="00BF4B24"/>
    <w:rsid w:val="00BF78CF"/>
    <w:rsid w:val="00C0382B"/>
    <w:rsid w:val="00C13DF7"/>
    <w:rsid w:val="00C23810"/>
    <w:rsid w:val="00C31033"/>
    <w:rsid w:val="00C33B93"/>
    <w:rsid w:val="00C3559D"/>
    <w:rsid w:val="00C364A3"/>
    <w:rsid w:val="00C40AA2"/>
    <w:rsid w:val="00C420D6"/>
    <w:rsid w:val="00C47577"/>
    <w:rsid w:val="00C5687E"/>
    <w:rsid w:val="00C577B4"/>
    <w:rsid w:val="00C579AC"/>
    <w:rsid w:val="00C645F9"/>
    <w:rsid w:val="00C701FA"/>
    <w:rsid w:val="00C75102"/>
    <w:rsid w:val="00CA5FD2"/>
    <w:rsid w:val="00CB03CB"/>
    <w:rsid w:val="00CC1F59"/>
    <w:rsid w:val="00CC309F"/>
    <w:rsid w:val="00CC5E69"/>
    <w:rsid w:val="00CE239E"/>
    <w:rsid w:val="00CE363F"/>
    <w:rsid w:val="00CF2660"/>
    <w:rsid w:val="00CF2D1B"/>
    <w:rsid w:val="00CF3391"/>
    <w:rsid w:val="00CF33D5"/>
    <w:rsid w:val="00CF5221"/>
    <w:rsid w:val="00D05A09"/>
    <w:rsid w:val="00D21CF0"/>
    <w:rsid w:val="00D23CCB"/>
    <w:rsid w:val="00D3106B"/>
    <w:rsid w:val="00D37031"/>
    <w:rsid w:val="00D47476"/>
    <w:rsid w:val="00D5729B"/>
    <w:rsid w:val="00D65528"/>
    <w:rsid w:val="00D67BC5"/>
    <w:rsid w:val="00D7433D"/>
    <w:rsid w:val="00D74783"/>
    <w:rsid w:val="00D909C0"/>
    <w:rsid w:val="00D9294B"/>
    <w:rsid w:val="00D94612"/>
    <w:rsid w:val="00D97387"/>
    <w:rsid w:val="00DA059F"/>
    <w:rsid w:val="00DA4CF3"/>
    <w:rsid w:val="00DB1FDC"/>
    <w:rsid w:val="00DB6B96"/>
    <w:rsid w:val="00DB7E9B"/>
    <w:rsid w:val="00DC20CF"/>
    <w:rsid w:val="00DC41E6"/>
    <w:rsid w:val="00DC7178"/>
    <w:rsid w:val="00DD2073"/>
    <w:rsid w:val="00DD5B81"/>
    <w:rsid w:val="00DD7AFC"/>
    <w:rsid w:val="00DE3CEC"/>
    <w:rsid w:val="00DE56FC"/>
    <w:rsid w:val="00DE6F1E"/>
    <w:rsid w:val="00E1109D"/>
    <w:rsid w:val="00E1256B"/>
    <w:rsid w:val="00E252EE"/>
    <w:rsid w:val="00E34314"/>
    <w:rsid w:val="00E35A91"/>
    <w:rsid w:val="00E43034"/>
    <w:rsid w:val="00E46D8D"/>
    <w:rsid w:val="00E5116E"/>
    <w:rsid w:val="00E54BDB"/>
    <w:rsid w:val="00E57B28"/>
    <w:rsid w:val="00E60D7B"/>
    <w:rsid w:val="00E66A2F"/>
    <w:rsid w:val="00E7475B"/>
    <w:rsid w:val="00E7640E"/>
    <w:rsid w:val="00E76F47"/>
    <w:rsid w:val="00E81A45"/>
    <w:rsid w:val="00E83441"/>
    <w:rsid w:val="00E84E47"/>
    <w:rsid w:val="00E85AC0"/>
    <w:rsid w:val="00E86303"/>
    <w:rsid w:val="00EA0222"/>
    <w:rsid w:val="00EB536F"/>
    <w:rsid w:val="00EB64C4"/>
    <w:rsid w:val="00EC0B3B"/>
    <w:rsid w:val="00EC5BA8"/>
    <w:rsid w:val="00ED6B76"/>
    <w:rsid w:val="00EE44F8"/>
    <w:rsid w:val="00EF11E6"/>
    <w:rsid w:val="00EF7BC7"/>
    <w:rsid w:val="00F0025A"/>
    <w:rsid w:val="00F03A10"/>
    <w:rsid w:val="00F110BC"/>
    <w:rsid w:val="00F25DB5"/>
    <w:rsid w:val="00F274DA"/>
    <w:rsid w:val="00F312B3"/>
    <w:rsid w:val="00F37202"/>
    <w:rsid w:val="00F62D6F"/>
    <w:rsid w:val="00F7028B"/>
    <w:rsid w:val="00F72E35"/>
    <w:rsid w:val="00F74BCF"/>
    <w:rsid w:val="00F85886"/>
    <w:rsid w:val="00F90896"/>
    <w:rsid w:val="00F92AF9"/>
    <w:rsid w:val="00F96D03"/>
    <w:rsid w:val="00FA104E"/>
    <w:rsid w:val="00FA4213"/>
    <w:rsid w:val="00FA6ECF"/>
    <w:rsid w:val="00FB4022"/>
    <w:rsid w:val="00FC1962"/>
    <w:rsid w:val="00FC534D"/>
    <w:rsid w:val="00FC68D7"/>
    <w:rsid w:val="00FC6A4E"/>
    <w:rsid w:val="00FD091A"/>
    <w:rsid w:val="00FE475E"/>
    <w:rsid w:val="00FE69DE"/>
    <w:rsid w:val="00FF1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CFEA"/>
  <w15:chartTrackingRefBased/>
  <w15:docId w15:val="{40B2FC10-D022-4C49-9DA8-30BBAE3B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7A"/>
    <w:pPr>
      <w:spacing w:after="0" w:line="480" w:lineRule="auto"/>
      <w:ind w:firstLine="720"/>
      <w:jc w:val="both"/>
    </w:pPr>
    <w:rPr>
      <w:rFonts w:ascii="Times New Roman" w:hAnsi="Times New Roman" w:cs="David"/>
      <w:sz w:val="24"/>
      <w:szCs w:val="24"/>
      <w:lang w:bidi="ar-SA"/>
    </w:rPr>
  </w:style>
  <w:style w:type="paragraph" w:styleId="Heading1">
    <w:name w:val="heading 1"/>
    <w:basedOn w:val="Normal"/>
    <w:next w:val="Normal"/>
    <w:link w:val="Heading1Char"/>
    <w:uiPriority w:val="9"/>
    <w:qFormat/>
    <w:rsid w:val="00927F7A"/>
    <w:pPr>
      <w:keepNext/>
      <w:keepLines/>
      <w:spacing w:before="240"/>
      <w:jc w:val="center"/>
      <w:outlineLvl w:val="0"/>
    </w:pPr>
    <w:rPr>
      <w:rFonts w:asciiTheme="majorBidi" w:eastAsia="Calibri" w:hAnsiTheme="majorBidi" w:cstheme="majorBidi"/>
      <w:b/>
      <w:bCs/>
      <w:color w:val="2F5496" w:themeColor="accent1" w:themeShade="BF"/>
      <w:lang w:val="en" w:bidi="he-IL"/>
    </w:rPr>
  </w:style>
  <w:style w:type="paragraph" w:styleId="Heading2">
    <w:name w:val="heading 2"/>
    <w:basedOn w:val="Normal"/>
    <w:next w:val="Normal"/>
    <w:link w:val="Heading2Char"/>
    <w:uiPriority w:val="9"/>
    <w:unhideWhenUsed/>
    <w:qFormat/>
    <w:rsid w:val="00927F7A"/>
    <w:pPr>
      <w:keepNext/>
      <w:keepLines/>
      <w:spacing w:before="40"/>
      <w:outlineLvl w:val="1"/>
    </w:pPr>
    <w:rPr>
      <w:rFonts w:asciiTheme="majorBidi" w:eastAsia="Calibri" w:hAnsiTheme="majorBid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01B0"/>
    <w:rPr>
      <w:sz w:val="16"/>
      <w:szCs w:val="16"/>
    </w:rPr>
  </w:style>
  <w:style w:type="paragraph" w:styleId="CommentText">
    <w:name w:val="annotation text"/>
    <w:basedOn w:val="Normal"/>
    <w:link w:val="CommentTextChar"/>
    <w:uiPriority w:val="99"/>
    <w:unhideWhenUsed/>
    <w:rsid w:val="007D01B0"/>
    <w:pPr>
      <w:spacing w:line="240" w:lineRule="auto"/>
    </w:pPr>
    <w:rPr>
      <w:sz w:val="20"/>
      <w:szCs w:val="20"/>
    </w:rPr>
  </w:style>
  <w:style w:type="character" w:customStyle="1" w:styleId="CommentTextChar">
    <w:name w:val="Comment Text Char"/>
    <w:basedOn w:val="DefaultParagraphFont"/>
    <w:link w:val="CommentText"/>
    <w:uiPriority w:val="99"/>
    <w:rsid w:val="007D01B0"/>
    <w:rPr>
      <w:sz w:val="20"/>
      <w:szCs w:val="20"/>
      <w:lang w:bidi="ar-SA"/>
    </w:rPr>
  </w:style>
  <w:style w:type="paragraph" w:styleId="BalloonText">
    <w:name w:val="Balloon Text"/>
    <w:basedOn w:val="Normal"/>
    <w:link w:val="BalloonTextChar"/>
    <w:uiPriority w:val="99"/>
    <w:semiHidden/>
    <w:unhideWhenUsed/>
    <w:rsid w:val="007D01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B0"/>
    <w:rPr>
      <w:rFonts w:ascii="Segoe UI" w:hAnsi="Segoe UI" w:cs="Segoe UI"/>
      <w:sz w:val="18"/>
      <w:szCs w:val="18"/>
      <w:lang w:bidi="ar-SA"/>
    </w:rPr>
  </w:style>
  <w:style w:type="paragraph" w:styleId="FootnoteText">
    <w:name w:val="footnote text"/>
    <w:aliases w:val=" תו"/>
    <w:basedOn w:val="Normal"/>
    <w:link w:val="FootnoteTextChar"/>
    <w:uiPriority w:val="99"/>
    <w:unhideWhenUsed/>
    <w:rsid w:val="007D01B0"/>
    <w:pPr>
      <w:spacing w:line="240" w:lineRule="auto"/>
    </w:pPr>
    <w:rPr>
      <w:sz w:val="20"/>
      <w:szCs w:val="20"/>
    </w:rPr>
  </w:style>
  <w:style w:type="character" w:customStyle="1" w:styleId="FootnoteTextChar">
    <w:name w:val="Footnote Text Char"/>
    <w:aliases w:val=" תו Char"/>
    <w:basedOn w:val="DefaultParagraphFont"/>
    <w:link w:val="FootnoteText"/>
    <w:uiPriority w:val="99"/>
    <w:rsid w:val="007D01B0"/>
    <w:rPr>
      <w:sz w:val="20"/>
      <w:szCs w:val="20"/>
      <w:lang w:bidi="ar-SA"/>
    </w:rPr>
  </w:style>
  <w:style w:type="character" w:styleId="FootnoteReference">
    <w:name w:val="footnote reference"/>
    <w:basedOn w:val="DefaultParagraphFont"/>
    <w:uiPriority w:val="99"/>
    <w:semiHidden/>
    <w:unhideWhenUsed/>
    <w:rsid w:val="007D01B0"/>
    <w:rPr>
      <w:vertAlign w:val="superscript"/>
    </w:rPr>
  </w:style>
  <w:style w:type="table" w:styleId="TableGrid">
    <w:name w:val="Table Grid"/>
    <w:basedOn w:val="TableNormal"/>
    <w:uiPriority w:val="39"/>
    <w:rsid w:val="007D01B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B1665"/>
    <w:pPr>
      <w:autoSpaceDE w:val="0"/>
      <w:autoSpaceDN w:val="0"/>
      <w:adjustRightInd w:val="0"/>
      <w:spacing w:after="120"/>
      <w:ind w:left="720" w:right="720" w:firstLine="0"/>
    </w:pPr>
    <w:rPr>
      <w:rFonts w:cstheme="majorBidi"/>
      <w:sz w:val="22"/>
      <w:szCs w:val="22"/>
    </w:rPr>
  </w:style>
  <w:style w:type="character" w:customStyle="1" w:styleId="QuoteChar">
    <w:name w:val="Quote Char"/>
    <w:basedOn w:val="DefaultParagraphFont"/>
    <w:link w:val="Quote"/>
    <w:uiPriority w:val="29"/>
    <w:rsid w:val="005B1665"/>
    <w:rPr>
      <w:rFonts w:ascii="Times New Roman" w:hAnsi="Times New Roman" w:cstheme="majorBidi"/>
      <w:lang w:bidi="ar-SA"/>
    </w:rPr>
  </w:style>
  <w:style w:type="character" w:customStyle="1" w:styleId="Heading1Char">
    <w:name w:val="Heading 1 Char"/>
    <w:basedOn w:val="DefaultParagraphFont"/>
    <w:link w:val="Heading1"/>
    <w:uiPriority w:val="9"/>
    <w:rsid w:val="00927F7A"/>
    <w:rPr>
      <w:rFonts w:asciiTheme="majorBidi" w:eastAsia="Calibri" w:hAnsiTheme="majorBidi" w:cstheme="majorBidi"/>
      <w:b/>
      <w:bCs/>
      <w:color w:val="2F5496" w:themeColor="accent1" w:themeShade="BF"/>
      <w:sz w:val="24"/>
      <w:szCs w:val="24"/>
      <w:lang w:val="en"/>
    </w:rPr>
  </w:style>
  <w:style w:type="character" w:customStyle="1" w:styleId="Heading2Char">
    <w:name w:val="Heading 2 Char"/>
    <w:basedOn w:val="DefaultParagraphFont"/>
    <w:link w:val="Heading2"/>
    <w:uiPriority w:val="9"/>
    <w:rsid w:val="00927F7A"/>
    <w:rPr>
      <w:rFonts w:asciiTheme="majorBidi" w:eastAsia="Calibri" w:hAnsiTheme="majorBidi" w:cstheme="majorBidi"/>
      <w:b/>
      <w:bCs/>
      <w:lang w:bidi="ar-SA"/>
    </w:rPr>
  </w:style>
  <w:style w:type="paragraph" w:styleId="CommentSubject">
    <w:name w:val="annotation subject"/>
    <w:basedOn w:val="CommentText"/>
    <w:next w:val="CommentText"/>
    <w:link w:val="CommentSubjectChar"/>
    <w:uiPriority w:val="99"/>
    <w:semiHidden/>
    <w:unhideWhenUsed/>
    <w:rsid w:val="005B1665"/>
    <w:rPr>
      <w:b/>
      <w:bCs/>
    </w:rPr>
  </w:style>
  <w:style w:type="character" w:customStyle="1" w:styleId="CommentSubjectChar">
    <w:name w:val="Comment Subject Char"/>
    <w:basedOn w:val="CommentTextChar"/>
    <w:link w:val="CommentSubject"/>
    <w:uiPriority w:val="99"/>
    <w:semiHidden/>
    <w:rsid w:val="005B1665"/>
    <w:rPr>
      <w:rFonts w:ascii="Times New Roman" w:hAnsi="Times New Roman" w:cs="David"/>
      <w:b/>
      <w:bCs/>
      <w:sz w:val="20"/>
      <w:szCs w:val="20"/>
      <w:lang w:bidi="ar-SA"/>
    </w:rPr>
  </w:style>
  <w:style w:type="paragraph" w:styleId="Header">
    <w:name w:val="header"/>
    <w:basedOn w:val="Normal"/>
    <w:link w:val="HeaderChar"/>
    <w:uiPriority w:val="99"/>
    <w:unhideWhenUsed/>
    <w:rsid w:val="00DE56FC"/>
    <w:pPr>
      <w:tabs>
        <w:tab w:val="center" w:pos="4680"/>
        <w:tab w:val="right" w:pos="9360"/>
      </w:tabs>
      <w:spacing w:line="240" w:lineRule="auto"/>
    </w:pPr>
  </w:style>
  <w:style w:type="character" w:customStyle="1" w:styleId="HeaderChar">
    <w:name w:val="Header Char"/>
    <w:basedOn w:val="DefaultParagraphFont"/>
    <w:link w:val="Header"/>
    <w:uiPriority w:val="99"/>
    <w:rsid w:val="00DE56FC"/>
    <w:rPr>
      <w:rFonts w:ascii="Times New Roman" w:hAnsi="Times New Roman" w:cs="David"/>
      <w:sz w:val="24"/>
      <w:szCs w:val="24"/>
      <w:lang w:bidi="ar-SA"/>
    </w:rPr>
  </w:style>
  <w:style w:type="paragraph" w:styleId="Footer">
    <w:name w:val="footer"/>
    <w:basedOn w:val="Normal"/>
    <w:link w:val="FooterChar"/>
    <w:uiPriority w:val="99"/>
    <w:unhideWhenUsed/>
    <w:rsid w:val="00DE56FC"/>
    <w:pPr>
      <w:tabs>
        <w:tab w:val="center" w:pos="4680"/>
        <w:tab w:val="right" w:pos="9360"/>
      </w:tabs>
      <w:spacing w:line="240" w:lineRule="auto"/>
    </w:pPr>
  </w:style>
  <w:style w:type="character" w:customStyle="1" w:styleId="FooterChar">
    <w:name w:val="Footer Char"/>
    <w:basedOn w:val="DefaultParagraphFont"/>
    <w:link w:val="Footer"/>
    <w:uiPriority w:val="99"/>
    <w:rsid w:val="00DE56FC"/>
    <w:rPr>
      <w:rFonts w:ascii="Times New Roman" w:hAnsi="Times New Roman" w:cs="David"/>
      <w:sz w:val="24"/>
      <w:szCs w:val="24"/>
      <w:lang w:bidi="ar-SA"/>
    </w:rPr>
  </w:style>
  <w:style w:type="paragraph" w:styleId="Revision">
    <w:name w:val="Revision"/>
    <w:hidden/>
    <w:uiPriority w:val="99"/>
    <w:semiHidden/>
    <w:rsid w:val="00C645F9"/>
    <w:pPr>
      <w:spacing w:after="0" w:line="240" w:lineRule="auto"/>
    </w:pPr>
    <w:rPr>
      <w:rFonts w:ascii="Times New Roman" w:hAnsi="Times New Roman" w:cs="David"/>
      <w:sz w:val="24"/>
      <w:szCs w:val="24"/>
      <w:lang w:bidi="ar-SA"/>
    </w:rPr>
  </w:style>
  <w:style w:type="paragraph" w:styleId="ListParagraph">
    <w:name w:val="List Paragraph"/>
    <w:basedOn w:val="Normal"/>
    <w:uiPriority w:val="34"/>
    <w:qFormat/>
    <w:rsid w:val="002D60AA"/>
    <w:pPr>
      <w:spacing w:after="160" w:line="259" w:lineRule="auto"/>
      <w:ind w:left="720" w:firstLine="0"/>
      <w:contextualSpacing/>
      <w:jc w:val="left"/>
    </w:pPr>
    <w:rPr>
      <w:rFonts w:asciiTheme="minorHAnsi" w:hAnsiTheme="minorHAnsi" w:cstheme="minorBidi"/>
      <w:sz w:val="22"/>
      <w:szCs w:val="22"/>
    </w:rPr>
  </w:style>
  <w:style w:type="character" w:customStyle="1" w:styleId="eforth">
    <w:name w:val="ef_orth"/>
    <w:basedOn w:val="DefaultParagraphFont"/>
    <w:rsid w:val="002D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6675">
      <w:bodyDiv w:val="1"/>
      <w:marLeft w:val="0"/>
      <w:marRight w:val="0"/>
      <w:marTop w:val="0"/>
      <w:marBottom w:val="0"/>
      <w:divBdr>
        <w:top w:val="none" w:sz="0" w:space="0" w:color="auto"/>
        <w:left w:val="none" w:sz="0" w:space="0" w:color="auto"/>
        <w:bottom w:val="none" w:sz="0" w:space="0" w:color="auto"/>
        <w:right w:val="none" w:sz="0" w:space="0" w:color="auto"/>
      </w:divBdr>
    </w:div>
    <w:div w:id="125927172">
      <w:bodyDiv w:val="1"/>
      <w:marLeft w:val="0"/>
      <w:marRight w:val="0"/>
      <w:marTop w:val="0"/>
      <w:marBottom w:val="0"/>
      <w:divBdr>
        <w:top w:val="none" w:sz="0" w:space="0" w:color="auto"/>
        <w:left w:val="none" w:sz="0" w:space="0" w:color="auto"/>
        <w:bottom w:val="none" w:sz="0" w:space="0" w:color="auto"/>
        <w:right w:val="none" w:sz="0" w:space="0" w:color="auto"/>
      </w:divBdr>
    </w:div>
    <w:div w:id="6023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306D-1EC9-4B53-BB65-422B6342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33</Pages>
  <Words>6937</Words>
  <Characters>39543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Kallenbah</dc:creator>
  <cp:keywords/>
  <dc:description/>
  <cp:lastModifiedBy>Avraham Kallenbah</cp:lastModifiedBy>
  <cp:revision>12</cp:revision>
  <dcterms:created xsi:type="dcterms:W3CDTF">2021-04-12T08:40:00Z</dcterms:created>
  <dcterms:modified xsi:type="dcterms:W3CDTF">2021-04-18T12:06:00Z</dcterms:modified>
</cp:coreProperties>
</file>