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1.0 -->
  <w:body>
    <w:p>
      <w:pPr>
        <w:pStyle w:val="Bodytext40"/>
        <w:keepNext w:val="0"/>
        <w:keepLines w:val="0"/>
        <w:widowControl w:val="0"/>
        <w:shd w:val="clear" w:color="auto" w:fill="auto"/>
        <w:tabs>
          <w:tab w:val="left" w:pos="6126"/>
          <w:tab w:val="left" w:leader="hyphen" w:pos="6748"/>
        </w:tabs>
        <w:bidi w:val="0"/>
        <w:spacing w:before="0" w:after="0" w:line="240" w:lineRule="auto"/>
        <w:ind w:left="0" w:right="0"/>
        <w:jc w:val="left"/>
      </w:pPr>
      <w:r>
        <w:rPr>
          <w:rStyle w:val="Bodytext4"/>
          <w:rFonts w:ascii="Arial" w:eastAsia="Arial" w:hAnsi="Arial" w:cs="Arial"/>
          <w:sz w:val="32"/>
          <w:szCs w:val="32"/>
          <w:rtl w:val="0"/>
        </w:rPr>
        <w:t>CRITERIOS DE YAD VASHEM</w:t>
        <w:tab/>
      </w:r>
      <w:r>
        <w:rPr>
          <w:rStyle w:val="Bodytext4"/>
          <w:rtl w:val="0"/>
        </w:rPr>
        <w:tab/>
      </w:r>
      <w:r>
        <w:rPr>
          <w:rStyle w:val="Bodytext4"/>
          <w:u w:val="single"/>
          <w:rtl w:val="0"/>
        </w:rPr>
        <w:t>■</w:t>
      </w:r>
      <w:r>
        <w:rPr>
          <w:rStyle w:val="Bodytext4"/>
          <w:rtl w:val="0"/>
        </w:rPr>
        <w:t xml:space="preserve"> ECOS Y REFLEXIONES</w:t>
      </w:r>
    </w:p>
    <w:p>
      <w:pPr>
        <w:pStyle w:val="Bodytext60"/>
        <w:keepNext w:val="0"/>
        <w:keepLines w:val="0"/>
        <w:widowControl w:val="0"/>
        <w:shd w:val="clear" w:color="auto" w:fill="auto"/>
        <w:tabs>
          <w:tab w:val="left" w:pos="6126"/>
        </w:tabs>
        <w:bidi w:val="0"/>
        <w:spacing w:before="0" w:after="0" w:line="240" w:lineRule="auto"/>
        <w:ind w:left="0" w:right="0"/>
        <w:jc w:val="left"/>
      </w:pPr>
      <w:r>
        <w:rPr>
          <w:rStyle w:val="Bodytext6"/>
          <w:rtl w:val="0"/>
        </w:rPr>
        <w:t>POR “JUSTOS ENTRE</w:t>
        <w:tab/>
        <w:t>=</w:t>
      </w:r>
    </w:p>
    <w:p>
      <w:pPr>
        <w:pStyle w:val="Bodytext60"/>
        <w:keepNext w:val="0"/>
        <w:keepLines w:val="0"/>
        <w:widowControl w:val="0"/>
        <w:shd w:val="clear" w:color="auto" w:fill="auto"/>
        <w:bidi w:val="0"/>
        <w:spacing w:before="0" w:after="640" w:line="240" w:lineRule="auto"/>
        <w:ind w:left="0" w:right="0"/>
        <w:jc w:val="left"/>
      </w:pPr>
      <w:r>
        <w:rPr>
          <w:rStyle w:val="Bodytext6"/>
          <w:rtl w:val="0"/>
        </w:rPr>
        <w:t>LAS NACIONES"</w:t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140" w:line="240" w:lineRule="auto"/>
        <w:ind w:left="0" w:right="0"/>
        <w:jc w:val="left"/>
      </w:pPr>
      <w:r>
        <w:rPr>
          <w:rStyle w:val="Bodytext5"/>
          <w:b/>
          <w:bCs/>
          <w:rtl w:val="0"/>
        </w:rPr>
        <w:t>CRITERIOS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line="271" w:lineRule="auto"/>
        <w:ind w:left="220" w:right="0" w:firstLine="40"/>
        <w:jc w:val="left"/>
      </w:pPr>
      <w:r>
        <w:rPr>
          <w:rStyle w:val="Bodytext1"/>
          <w:rtl w:val="0"/>
        </w:rPr>
        <w:t>Los criterios para otorgar el honor de “Justo entre las Naciones”, determinados por el comité público de Yad Vashem, son los siguientes: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/>
        <w:ind w:left="980" w:right="0" w:hanging="380"/>
        <w:jc w:val="left"/>
      </w:pPr>
      <w:r>
        <w:rPr>
          <w:rStyle w:val="Bodytext1"/>
          <w:rtl w:val="0"/>
        </w:rPr>
        <w:t>Un intento que incluyó la participación activa del protector para salvar a un judío independientemente de si el intento terminó en éxito o fracaso.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/>
        <w:ind w:left="980" w:right="0" w:hanging="380"/>
        <w:jc w:val="left"/>
      </w:pPr>
      <w:r>
        <w:rPr>
          <w:rStyle w:val="Bodytext1"/>
          <w:rtl w:val="0"/>
        </w:rPr>
        <w:t>Se reconoció riesgo mortal del rescatador a lo largo de la misión: durante el régimen nazi, las advertencias indicaban claramente que quien tendiera la mano en ayuda a los judíos ponía en riesgo no sólo su propia vida, sino también la de sus seres queridos.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 w:line="271" w:lineRule="auto"/>
        <w:ind w:left="980" w:right="0" w:hanging="380"/>
        <w:jc w:val="left"/>
      </w:pPr>
      <w:r>
        <w:rPr>
          <w:rStyle w:val="Bodytext1"/>
          <w:rtl w:val="0"/>
        </w:rPr>
        <w:t>Motivos humanitarios como incentivo principal: el salvador recibió compensación material como condición para sus acciones.</w:t>
      </w:r>
    </w:p>
    <w:p>
      <w:pPr>
        <w:pStyle w:val="Bodytext10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val="left" w:pos="955"/>
        </w:tabs>
        <w:bidi w:val="0"/>
        <w:spacing w:before="0" w:after="200"/>
        <w:ind w:left="0" w:right="0" w:firstLine="600"/>
        <w:jc w:val="left"/>
      </w:pPr>
      <w:r>
        <w:rPr>
          <w:rStyle w:val="Bodytext1"/>
          <w:rtl w:val="0"/>
        </w:rPr>
        <w:t>Debe existir un respaldo testimonial de la persona rescatada o material de archivo sobre el hecho.</w:t>
      </w:r>
    </w:p>
    <w:p>
      <w:pPr>
        <w:pStyle w:val="Bodytext5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/>
        <w:jc w:val="left"/>
      </w:pPr>
      <w:r>
        <w:rPr>
          <w:rStyle w:val="Bodytext5"/>
          <w:b/>
          <w:bCs/>
          <w:rtl w:val="0"/>
        </w:rPr>
        <w:t>“JUSTOS ENTRE LAS NACIONES”</w:t>
      </w:r>
    </w:p>
    <w:p>
      <w:pPr>
        <w:pStyle w:val="Bodytext10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360"/>
        <w:jc w:val="left"/>
      </w:pPr>
      <w:r>
        <w:rPr>
          <w:rStyle w:val="Bodytext1"/>
          <w:rtl w:val="0"/>
        </w:rPr>
        <w:t>por país a partir del 1 de enero de 2022*</w:t>
      </w:r>
    </w:p>
    <w:tbl>
      <w:tblPr>
        <w:tblOverlap w:val="never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74"/>
        <w:gridCol w:w="1320"/>
        <w:gridCol w:w="2342"/>
        <w:gridCol w:w="1128"/>
        <w:gridCol w:w="2083"/>
        <w:gridCol w:w="1320"/>
      </w:tblGrid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470"/>
          <w:jc w:val="center"/>
        </w:trPr>
        <w:tc>
          <w:tcPr>
            <w:tcW w:w="2074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Polonia</w:t>
            </w:r>
          </w:p>
        </w:tc>
        <w:tc>
          <w:tcPr>
            <w:tcW w:w="1320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7,2</w:t>
            </w:r>
            <w:r>
              <w:rPr>
                <w:rStyle w:val="Other1"/>
                <w:color w:val="000000"/>
                <w:rtl w:val="0"/>
              </w:rPr>
              <w:t>32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Moldavia</w:t>
            </w:r>
          </w:p>
        </w:tc>
        <w:tc>
          <w:tcPr>
            <w:tcW w:w="1128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79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color w:val="000000"/>
                <w:rtl w:val="0"/>
              </w:rPr>
              <w:t>Perú</w:t>
            </w:r>
          </w:p>
        </w:tc>
        <w:tc>
          <w:tcPr>
            <w:tcW w:w="1320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3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Países Bajos**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5,982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Albania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75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color w:val="000000"/>
                <w:rtl w:val="0"/>
              </w:rPr>
              <w:t>Brasil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2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Francia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4,206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Rumania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left"/>
            </w:pPr>
            <w:r>
              <w:rPr>
                <w:rStyle w:val="Other1"/>
                <w:rtl w:val="0"/>
              </w:rPr>
              <w:t>69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color w:val="000000"/>
                <w:rtl w:val="0"/>
              </w:rPr>
              <w:t>China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2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Ucrania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2,691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Noruega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left"/>
            </w:pPr>
            <w:r>
              <w:rPr>
                <w:rStyle w:val="Other1"/>
                <w:rtl w:val="0"/>
              </w:rPr>
              <w:t>68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Chile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2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Bélgica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00"/>
              <w:jc w:val="both"/>
            </w:pPr>
            <w:r>
              <w:rPr>
                <w:rStyle w:val="Other1"/>
                <w:rtl w:val="0"/>
              </w:rPr>
              <w:t>1,787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Suiza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49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Irlanda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69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Lituania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924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Bosnia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49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Egipto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98"/>
          <w:jc w:val="center"/>
        </w:trPr>
        <w:tc>
          <w:tcPr>
            <w:tcW w:w="2074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Hungría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left"/>
            </w:pPr>
            <w:r>
              <w:rPr>
                <w:rStyle w:val="Other1"/>
                <w:rtl w:val="0"/>
              </w:rPr>
              <w:t>876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Armenia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24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Japón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Italia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766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Dinamarca***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22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Luxemburgo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Bielorrusia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680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Reino Unido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22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Turquía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Alemania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left"/>
            </w:pPr>
            <w:r>
              <w:rPr>
                <w:rStyle w:val="Other1"/>
                <w:rtl w:val="0"/>
              </w:rPr>
              <w:t>651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Bulgaria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20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Georgia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Eslovaquia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638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Eslovenia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left"/>
            </w:pPr>
            <w:r>
              <w:rPr>
                <w:rStyle w:val="Other1"/>
                <w:rtl w:val="0"/>
              </w:rPr>
              <w:t>16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Montenegro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59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Grecia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364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macedonia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10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Vietnam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Rusia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Fonts w:ascii="Calibri" w:eastAsia="Calibri" w:hAnsi="Calibri" w:cs="Calibri"/>
                <w:rtl w:val="0"/>
              </w:rPr>
              <w:t>2</w:t>
            </w:r>
            <w:r>
              <w:rPr>
                <w:rStyle w:val="Other1"/>
                <w:rtl w:val="0"/>
              </w:rPr>
              <w:t>17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Suecia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740"/>
              <w:jc w:val="both"/>
            </w:pPr>
            <w:r>
              <w:rPr>
                <w:rStyle w:val="Other1"/>
                <w:rtl w:val="0"/>
              </w:rPr>
              <w:t>10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El Salvador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83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Serbia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139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España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left"/>
            </w:pPr>
            <w:r>
              <w:rPr>
                <w:rStyle w:val="Other1"/>
                <w:rtl w:val="0"/>
              </w:rPr>
              <w:t>9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Cuba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78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Letonia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138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EE.UU.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5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rtl w:val="0"/>
              </w:rPr>
              <w:t>Ecuador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tl w:val="0"/>
              </w:rPr>
              <w:t>1</w:t>
            </w: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46"/>
          <w:jc w:val="center"/>
        </w:trPr>
        <w:tc>
          <w:tcPr>
            <w:tcW w:w="2074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Croacia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Fonts w:ascii="Calibri" w:eastAsia="Calibri" w:hAnsi="Calibri" w:cs="Calibri"/>
                <w:rtl w:val="0"/>
              </w:rPr>
              <w:t>1</w:t>
            </w:r>
            <w:r>
              <w:rPr>
                <w:rStyle w:val="Other1"/>
                <w:rtl w:val="0"/>
              </w:rPr>
              <w:t>30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Estonia</w:t>
            </w:r>
          </w:p>
        </w:tc>
        <w:tc>
          <w:tcPr>
            <w:tcW w:w="1128" w:type="dxa"/>
            <w:shd w:val="clear" w:color="auto" w:fill="auto"/>
            <w:vAlign w:val="center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140" w:firstLine="0"/>
              <w:jc w:val="right"/>
            </w:pPr>
            <w:r>
              <w:rPr>
                <w:rStyle w:val="Other1"/>
                <w:rtl w:val="0"/>
              </w:rPr>
              <w:t>3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235"/>
          <w:jc w:val="center"/>
        </w:trPr>
        <w:tc>
          <w:tcPr>
            <w:tcW w:w="2074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República Checa</w:t>
            </w: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Fonts w:ascii="Calibri" w:eastAsia="Calibri" w:hAnsi="Calibri" w:cs="Calibri"/>
                <w:rtl w:val="0"/>
              </w:rPr>
              <w:t>1</w:t>
            </w:r>
            <w:r>
              <w:rPr>
                <w:rStyle w:val="Other1"/>
                <w:rtl w:val="0"/>
              </w:rPr>
              <w:t>25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rtl w:val="0"/>
              </w:rPr>
              <w:t>Portugal</w:t>
            </w:r>
          </w:p>
        </w:tc>
        <w:tc>
          <w:tcPr>
            <w:tcW w:w="1128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3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shd w:val="clear" w:color="auto" w:fill="auto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  <w:tr>
        <w:tblPrEx>
          <w:jc w:val="center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hRule="exact" w:val="355"/>
          <w:jc w:val="center"/>
        </w:trPr>
        <w:tc>
          <w:tcPr>
            <w:tcW w:w="2074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Other1"/>
                <w:rtl w:val="0"/>
              </w:rPr>
              <w:t>Austria</w:t>
            </w: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840"/>
              <w:jc w:val="both"/>
            </w:pPr>
            <w:r>
              <w:rPr>
                <w:rStyle w:val="Other1"/>
                <w:rtl w:val="0"/>
              </w:rPr>
              <w:t>115</w:t>
            </w:r>
          </w:p>
        </w:tc>
        <w:tc>
          <w:tcPr>
            <w:tcW w:w="2342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60"/>
              <w:jc w:val="left"/>
            </w:pPr>
            <w:r>
              <w:rPr>
                <w:rStyle w:val="Other1"/>
                <w:color w:val="000000"/>
                <w:rtl w:val="0"/>
              </w:rPr>
              <w:t>Indonesia</w:t>
            </w:r>
          </w:p>
        </w:tc>
        <w:tc>
          <w:tcPr>
            <w:tcW w:w="1128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140" w:firstLine="0"/>
              <w:jc w:val="right"/>
            </w:pPr>
            <w:r>
              <w:rPr>
                <w:rStyle w:val="Other1"/>
                <w:rtl w:val="0"/>
              </w:rPr>
              <w:t>3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rStyle w:val="Other1"/>
                <w:b/>
                <w:bCs/>
                <w:color w:val="00CAD4"/>
                <w:rtl w:val="0"/>
              </w:rPr>
              <w:t>Total de personas</w:t>
            </w:r>
          </w:p>
        </w:tc>
        <w:tc>
          <w:tcPr>
            <w:tcW w:w="1320" w:type="dxa"/>
            <w:shd w:val="clear" w:color="auto" w:fill="auto"/>
            <w:vAlign w:val="top"/>
          </w:tcPr>
          <w:p>
            <w:pPr>
              <w:pStyle w:val="Other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rStyle w:val="Other1"/>
                <w:rFonts w:ascii="Arial" w:eastAsia="Arial" w:hAnsi="Arial" w:cs="Arial"/>
                <w:b/>
                <w:bCs/>
                <w:color w:val="00CAD4"/>
                <w:rtl w:val="0"/>
              </w:rPr>
              <w:t>28</w:t>
            </w:r>
            <w:r>
              <w:rPr>
                <w:rStyle w:val="Other1"/>
                <w:b/>
                <w:bCs/>
                <w:color w:val="00CAD4"/>
                <w:rtl w:val="0"/>
              </w:rPr>
              <w:t>,</w:t>
            </w:r>
            <w:r>
              <w:rPr>
                <w:rStyle w:val="Other1"/>
                <w:rFonts w:ascii="Arial" w:eastAsia="Arial" w:hAnsi="Arial" w:cs="Arial"/>
                <w:b/>
                <w:bCs/>
                <w:color w:val="00CAD4"/>
                <w:rtl w:val="0"/>
              </w:rPr>
              <w:t>217</w:t>
            </w:r>
          </w:p>
        </w:tc>
      </w:tr>
    </w:tbl>
    <w:p>
      <w:pPr>
        <w:widowControl w:val="0"/>
        <w:spacing w:after="859" w:line="1" w:lineRule="exact"/>
      </w:pP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360" w:right="0"/>
        <w:jc w:val="left"/>
      </w:pPr>
      <w:r>
        <w:rPr>
          <w:rStyle w:val="Bodytext2"/>
          <w:i/>
          <w:iCs/>
          <w:rtl w:val="0"/>
        </w:rPr>
        <w:t>*Estas cifras no son una indicación del número real de judíos salvados en cada país, sino que reflejan material sobre las operaciones de rescate puestos a disposición de Yad Vashem.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60" w:line="240" w:lineRule="auto"/>
        <w:ind w:left="0" w:right="0" w:firstLine="220"/>
        <w:jc w:val="left"/>
      </w:pPr>
      <w:r>
        <w:rPr>
          <w:rStyle w:val="Bodytext2"/>
          <w:i/>
          <w:iCs/>
          <w:rtl w:val="0"/>
        </w:rPr>
        <w:t>**Incluye dos personas originarias de Indonesia, pero que residen en Holanda.</w:t>
      </w:r>
    </w:p>
    <w:p>
      <w:pPr>
        <w:pStyle w:val="Bodytext20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520" w:right="0" w:hanging="260"/>
        <w:jc w:val="left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5447030</wp:posOffset>
                </wp:positionH>
                <wp:positionV relativeFrom="paragraph">
                  <wp:posOffset>419100</wp:posOffset>
                </wp:positionV>
                <wp:extent cx="1685290" cy="140335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685290" cy="1403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Bodytext30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Style w:val="Bodytext3"/>
                                <w:rtl w:val="0"/>
                              </w:rPr>
                              <w:t>© Asociación Ecos y Reflexiones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5" type="#_x0000_t202" style="width:132.7pt;height:11.05pt;margin-top:33pt;margin-left:428.9pt;mso-position-horizontal-relative:page;mso-wrap-distance-bottom:0;mso-wrap-distance-left:9pt;mso-wrap-distance-right:9pt;mso-wrap-distance-top:0;mso-wrap-style:none;position:absolute;v-text-anchor:top;z-index:251658240" filled="f" fillcolor="this">
                <v:textbox inset="0,0,0,0">
                  <w:txbxContent>
                    <w:p>
                      <w:pPr>
                        <w:pStyle w:val="Bodytext30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rStyle w:val="Bodytext3"/>
                          <w:rtl w:val="0"/>
                        </w:rPr>
                        <w:t>© Asociación Ecos y Reflexiones</w:t>
                      </w:r>
                    </w:p>
                  </w:txbxContent>
                </v:textbox>
                <w10:wrap type="square" side="left"/>
              </v:shape>
            </w:pict>
          </mc:Fallback>
        </mc:AlternateContent>
      </w:r>
      <w:r>
        <w:rPr>
          <w:rStyle w:val="Bodytext2"/>
          <w:i/>
          <w:iCs/>
          <w:rtl w:val="0"/>
        </w:rPr>
        <w:t>***La clandestinidad danesa solicitó que todos sus miembros que participaron en el rescate de la comunidad judía no figuraran individualmente, sino como un solo grupo.</w:t>
      </w:r>
    </w:p>
    <w:p>
      <w:pPr>
        <w:pStyle w:val="Bodytext30"/>
        <w:keepNext w:val="0"/>
        <w:keepLines w:val="0"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left"/>
      </w:pPr>
      <w:r>
        <w:rPr>
          <w:rStyle w:val="Bodytext3"/>
          <w:rtl w:val="0"/>
        </w:rPr>
        <w:t>RESCATE Y JUSTOS ENTRE LAS NACIONES</w:t>
      </w:r>
    </w:p>
    <w:sectPr>
      <w:pgSz w:w="12240" w:h="15840"/>
      <w:pgMar w:top="758" w:right="979" w:bottom="337" w:left="811" w:header="330" w:footer="3" w:gutter="0"/>
      <w:pgNumType w:start="1"/>
      <w:cols w:space="720"/>
      <w:noEndnote/>
      <w:rtlGutter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4D4B2D"/>
    <w:multiLevelType w:val="multilevel"/>
    <w:tmpl w:val="00000000"/>
    <w:lvl w:ilvl="0">
      <w:start w:val="1"/>
      <w:numFmt w:val="bullet"/>
      <w:lvlText w:val="•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Jc w:val="left"/>
    </w:lvl>
    <w:lvl w:ilvl="2">
      <w:start w:val="1"/>
      <w:numFmt w:val="decimal"/>
      <w:lvlJc w:val="left"/>
    </w:lvl>
    <w:lvl w:ilvl="3">
      <w:start w:val="1"/>
      <w:numFmt w:val="decimal"/>
      <w:lvlJc w:val="left"/>
    </w:lvl>
    <w:lvl w:ilvl="4">
      <w:start w:val="1"/>
      <w:numFmt w:val="decimal"/>
      <w:lvlJc w:val="left"/>
    </w:lvl>
    <w:lvl w:ilvl="5">
      <w:start w:val="1"/>
      <w:numFmt w:val="decimal"/>
      <w:lvlJc w:val="left"/>
    </w:lvl>
    <w:lvl w:ilvl="6">
      <w:start w:val="1"/>
      <w:numFmt w:val="decimal"/>
      <w:lvlJc w:val="left"/>
    </w:lvl>
    <w:lvl w:ilvl="7">
      <w:start w:val="1"/>
      <w:numFmt w:val="decimal"/>
      <w:lvlJc w:val="left"/>
    </w:lvl>
    <w:lvl w:ilvl="8">
      <w:start w:val="1"/>
      <w:numFmt w:val="decimal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defaultTabStop w:val="720"/>
  <w:drawingGridHorizontalSpacing w:val="181"/>
  <w:drawingGridVerticalSpacing w:val="181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DefaultParagraphFont">
    <w:name w:val="Default Paragraph Font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3">
    <w:name w:val="Body text|3_"/>
    <w:basedOn w:val="DefaultParagraphFont"/>
    <w:link w:val="Bodytext30"/>
    <w:rPr>
      <w:rFonts w:ascii="Tahoma" w:eastAsia="Tahoma" w:hAnsi="Tahoma" w:cs="Tahoma"/>
      <w:bCs w:val="0"/>
      <w:i w:val="0"/>
      <w:iCs w:val="0"/>
      <w:smallCaps w:val="0"/>
      <w:strike w:val="0"/>
      <w:color w:val="535759"/>
      <w:sz w:val="16"/>
      <w:szCs w:val="16"/>
      <w:u w:val="none"/>
    </w:rPr>
  </w:style>
  <w:style w:type="character" w:customStyle="1" w:styleId="Bodytext4">
    <w:name w:val="Body text|4_"/>
    <w:basedOn w:val="DefaultParagraphFont"/>
    <w:link w:val="Bodytext40"/>
    <w:rPr>
      <w:bCs w:val="0"/>
      <w:i w:val="0"/>
      <w:iCs w:val="0"/>
      <w:smallCaps w:val="0"/>
      <w:strike w:val="0"/>
      <w:color w:val="017198"/>
      <w:sz w:val="28"/>
      <w:szCs w:val="28"/>
      <w:u w:val="none"/>
    </w:rPr>
  </w:style>
  <w:style w:type="character" w:customStyle="1" w:styleId="Bodytext6">
    <w:name w:val="Body text|6_"/>
    <w:basedOn w:val="DefaultParagraphFont"/>
    <w:link w:val="Bodytext60"/>
    <w:rPr>
      <w:rFonts w:ascii="Arial" w:eastAsia="Arial" w:hAnsi="Arial" w:cs="Arial"/>
      <w:bCs w:val="0"/>
      <w:i w:val="0"/>
      <w:iCs w:val="0"/>
      <w:smallCaps w:val="0"/>
      <w:strike w:val="0"/>
      <w:color w:val="017198"/>
      <w:sz w:val="32"/>
      <w:szCs w:val="32"/>
      <w:u w:val="none"/>
    </w:rPr>
  </w:style>
  <w:style w:type="character" w:customStyle="1" w:styleId="Bodytext5">
    <w:name w:val="Body text|5_"/>
    <w:basedOn w:val="DefaultParagraphFont"/>
    <w:link w:val="Bodytext50"/>
    <w:rPr>
      <w:rFonts w:ascii="Arial Black" w:eastAsia="Arial Black" w:hAnsi="Arial Black" w:cs="Arial Black"/>
      <w:b/>
      <w:bCs/>
      <w:i w:val="0"/>
      <w:iCs w:val="0"/>
      <w:smallCaps w:val="0"/>
      <w:strike w:val="0"/>
      <w:color w:val="00CAD4"/>
      <w:u w:val="none"/>
    </w:rPr>
  </w:style>
  <w:style w:type="character" w:customStyle="1" w:styleId="Bodytext1">
    <w:name w:val="Body text|1_"/>
    <w:basedOn w:val="DefaultParagraphFont"/>
    <w:link w:val="Bodytext10"/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Other1">
    <w:name w:val="Other|1_"/>
    <w:basedOn w:val="DefaultParagraphFont"/>
    <w:link w:val="Other10"/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character" w:customStyle="1" w:styleId="Bodytext2">
    <w:name w:val="Body text|2_"/>
    <w:basedOn w:val="DefaultParagraphFont"/>
    <w:link w:val="Bodytext20"/>
    <w:rPr>
      <w:rFonts w:ascii="Calibri" w:eastAsia="Calibri" w:hAnsi="Calibri" w:cs="Calibri"/>
      <w:bCs w:val="0"/>
      <w:i/>
      <w:iCs/>
      <w:smallCaps w:val="0"/>
      <w:strike w:val="0"/>
      <w:color w:val="231F20"/>
      <w:sz w:val="16"/>
      <w:szCs w:val="16"/>
      <w:u w:val="none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auto"/>
      <w:spacing w:after="70"/>
    </w:pPr>
    <w:rPr>
      <w:rFonts w:ascii="Tahoma" w:eastAsia="Tahoma" w:hAnsi="Tahoma" w:cs="Tahoma"/>
      <w:bCs w:val="0"/>
      <w:i w:val="0"/>
      <w:iCs w:val="0"/>
      <w:smallCaps w:val="0"/>
      <w:strike w:val="0"/>
      <w:color w:val="535759"/>
      <w:sz w:val="16"/>
      <w:szCs w:val="16"/>
      <w:u w:val="none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auto"/>
      <w:ind w:firstLine="220"/>
    </w:pPr>
    <w:rPr>
      <w:bCs w:val="0"/>
      <w:i w:val="0"/>
      <w:iCs w:val="0"/>
      <w:smallCaps w:val="0"/>
      <w:strike w:val="0"/>
      <w:color w:val="017198"/>
      <w:sz w:val="28"/>
      <w:szCs w:val="28"/>
      <w:u w:val="none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auto"/>
      <w:spacing w:after="320"/>
      <w:ind w:firstLine="220"/>
    </w:pPr>
    <w:rPr>
      <w:rFonts w:ascii="Arial" w:eastAsia="Arial" w:hAnsi="Arial" w:cs="Arial"/>
      <w:bCs w:val="0"/>
      <w:i w:val="0"/>
      <w:iCs w:val="0"/>
      <w:smallCaps w:val="0"/>
      <w:strike w:val="0"/>
      <w:color w:val="017198"/>
      <w:sz w:val="32"/>
      <w:szCs w:val="32"/>
      <w:u w:val="none"/>
    </w:r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auto"/>
      <w:spacing w:after="70"/>
      <w:ind w:firstLine="220"/>
    </w:pPr>
    <w:rPr>
      <w:rFonts w:ascii="Arial Black" w:eastAsia="Arial Black" w:hAnsi="Arial Black" w:cs="Arial Black"/>
      <w:b/>
      <w:bCs/>
      <w:i w:val="0"/>
      <w:iCs w:val="0"/>
      <w:smallCaps w:val="0"/>
      <w:strike w:val="0"/>
      <w:color w:val="00CAD4"/>
      <w:u w:val="none"/>
    </w:rPr>
  </w:style>
  <w:style w:type="paragraph" w:customStyle="1" w:styleId="Bodytext10">
    <w:name w:val="Body text|1"/>
    <w:basedOn w:val="Normal"/>
    <w:link w:val="Bodytext1"/>
    <w:pPr>
      <w:widowControl w:val="0"/>
      <w:shd w:val="clear" w:color="auto" w:fill="auto"/>
      <w:spacing w:after="140" w:line="276" w:lineRule="auto"/>
    </w:pPr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paragraph" w:customStyle="1" w:styleId="Other10">
    <w:name w:val="Other|1"/>
    <w:basedOn w:val="Normal"/>
    <w:link w:val="Other1"/>
    <w:pPr>
      <w:widowControl w:val="0"/>
      <w:shd w:val="clear" w:color="auto" w:fill="auto"/>
      <w:spacing w:after="140" w:line="276" w:lineRule="auto"/>
    </w:pPr>
    <w:rPr>
      <w:rFonts w:ascii="Palatino Linotype" w:eastAsia="Palatino Linotype" w:hAnsi="Palatino Linotype" w:cs="Palatino Linotype"/>
      <w:bCs w:val="0"/>
      <w:i w:val="0"/>
      <w:iCs w:val="0"/>
      <w:smallCaps w:val="0"/>
      <w:strike w:val="0"/>
      <w:color w:val="231F20"/>
      <w:sz w:val="18"/>
      <w:szCs w:val="18"/>
      <w:u w:val="none"/>
    </w:rPr>
  </w:style>
  <w:style w:type="paragraph" w:customStyle="1" w:styleId="Bodytext20">
    <w:name w:val="Body text|2"/>
    <w:basedOn w:val="Normal"/>
    <w:link w:val="Bodytext2"/>
    <w:pPr>
      <w:widowControl w:val="0"/>
      <w:shd w:val="clear" w:color="auto" w:fill="auto"/>
      <w:spacing w:after="160"/>
      <w:ind w:left="440" w:hanging="100"/>
    </w:pPr>
    <w:rPr>
      <w:rFonts w:ascii="Calibri" w:eastAsia="Calibri" w:hAnsi="Calibri" w:cs="Calibri"/>
      <w:bCs w:val="0"/>
      <w:i/>
      <w:iCs/>
      <w:smallCaps w:val="0"/>
      <w:strike w:val="0"/>
      <w:color w:val="231F20"/>
      <w:sz w:val="16"/>
      <w:szCs w:val="1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