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1AEC5" w14:textId="77777777" w:rsidR="00F31EBB" w:rsidRPr="000D6E51" w:rsidRDefault="00F31EBB" w:rsidP="007A384E">
      <w:pPr>
        <w:pStyle w:val="Heading2"/>
        <w:spacing w:before="0" w:line="360" w:lineRule="auto"/>
        <w:ind w:left="312"/>
        <w:rPr>
          <w:sz w:val="24"/>
          <w:szCs w:val="24"/>
          <w:lang w:val="fr-CA"/>
        </w:rPr>
      </w:pPr>
      <w:r w:rsidRPr="000D6E51">
        <w:rPr>
          <w:sz w:val="24"/>
          <w:szCs w:val="24"/>
          <w:lang w:val="fr-CA"/>
        </w:rPr>
        <w:t>Décolonisation et transformation du savoir</w:t>
      </w:r>
    </w:p>
    <w:p w14:paraId="69AA8811" w14:textId="504885CD" w:rsidR="00F31EBB" w:rsidRPr="000D6E51" w:rsidRDefault="00F31EBB" w:rsidP="007A384E">
      <w:pPr>
        <w:pStyle w:val="BodyText"/>
        <w:spacing w:line="360" w:lineRule="auto"/>
        <w:ind w:left="302" w:right="243" w:firstLine="6"/>
        <w:jc w:val="both"/>
        <w:rPr>
          <w:w w:val="110"/>
          <w:sz w:val="24"/>
          <w:szCs w:val="24"/>
          <w:lang w:val="fr-CA"/>
        </w:rPr>
      </w:pPr>
      <w:r w:rsidRPr="000D6E51">
        <w:rPr>
          <w:w w:val="110"/>
          <w:sz w:val="24"/>
          <w:szCs w:val="24"/>
          <w:lang w:val="fr-CA"/>
        </w:rPr>
        <w:t xml:space="preserve">Les conversations qui animent depuis les 25 dernières années la communauté autochtone d’éducateurs éduqués et de chercheurs tournent autour de la colonisation et l’oppression des peuples à l’échelle globale. L’éducation a été le véhicule d’un processus tant </w:t>
      </w:r>
      <w:r w:rsidRPr="00A54D47">
        <w:rPr>
          <w:w w:val="110"/>
          <w:sz w:val="24"/>
          <w:szCs w:val="24"/>
          <w:lang w:val="fr-CA"/>
        </w:rPr>
        <w:t>systémique qu’individu</w:t>
      </w:r>
      <w:r w:rsidR="00575C10" w:rsidRPr="00A54D47">
        <w:rPr>
          <w:w w:val="110"/>
          <w:sz w:val="24"/>
          <w:szCs w:val="24"/>
          <w:lang w:val="fr-CA"/>
        </w:rPr>
        <w:t>alisé</w:t>
      </w:r>
      <w:r w:rsidRPr="00A54D47">
        <w:rPr>
          <w:w w:val="110"/>
          <w:sz w:val="24"/>
          <w:szCs w:val="24"/>
          <w:lang w:val="fr-CA"/>
        </w:rPr>
        <w:t>. Nous</w:t>
      </w:r>
      <w:r w:rsidRPr="000D6E51">
        <w:rPr>
          <w:w w:val="110"/>
          <w:sz w:val="24"/>
          <w:szCs w:val="24"/>
          <w:lang w:val="fr-CA"/>
        </w:rPr>
        <w:t xml:space="preserve"> sommes </w:t>
      </w:r>
      <w:r w:rsidR="00A54D47">
        <w:rPr>
          <w:w w:val="110"/>
          <w:sz w:val="24"/>
          <w:szCs w:val="24"/>
          <w:lang w:val="fr-CA"/>
        </w:rPr>
        <w:t>en quête</w:t>
      </w:r>
      <w:r w:rsidRPr="000D6E51">
        <w:rPr>
          <w:w w:val="110"/>
          <w:sz w:val="24"/>
          <w:szCs w:val="24"/>
          <w:lang w:val="fr-CA"/>
        </w:rPr>
        <w:t xml:space="preserve"> d’une histoire non censurée afin d’avoir une vision claire des réalités sociohistoriques qui nous permettront d’entamer le processus </w:t>
      </w:r>
      <w:r w:rsidR="00015769">
        <w:rPr>
          <w:w w:val="110"/>
          <w:sz w:val="24"/>
          <w:szCs w:val="24"/>
          <w:lang w:val="fr-CA"/>
        </w:rPr>
        <w:t>de ressourcement</w:t>
      </w:r>
      <w:r w:rsidRPr="000D6E51">
        <w:rPr>
          <w:w w:val="110"/>
          <w:sz w:val="24"/>
          <w:szCs w:val="24"/>
          <w:lang w:val="fr-CA"/>
        </w:rPr>
        <w:t xml:space="preserve"> (Duran &amp; Duran, 1995). Au cours de nos cheminements, nous avons </w:t>
      </w:r>
      <w:r w:rsidR="00F439FE">
        <w:rPr>
          <w:w w:val="110"/>
          <w:sz w:val="24"/>
          <w:szCs w:val="24"/>
          <w:lang w:val="fr-CA"/>
        </w:rPr>
        <w:t>mis en place</w:t>
      </w:r>
      <w:r w:rsidR="001D0379">
        <w:rPr>
          <w:w w:val="110"/>
          <w:sz w:val="24"/>
          <w:szCs w:val="24"/>
          <w:lang w:val="fr-CA"/>
        </w:rPr>
        <w:t xml:space="preserve"> </w:t>
      </w:r>
      <w:bookmarkStart w:id="0" w:name="_GoBack"/>
      <w:r w:rsidR="001D0379">
        <w:rPr>
          <w:w w:val="110"/>
          <w:sz w:val="24"/>
          <w:szCs w:val="24"/>
          <w:lang w:val="fr-CA"/>
        </w:rPr>
        <w:t>d</w:t>
      </w:r>
      <w:r w:rsidRPr="000D6E51">
        <w:rPr>
          <w:w w:val="110"/>
          <w:sz w:val="24"/>
          <w:szCs w:val="24"/>
          <w:lang w:val="fr-CA"/>
        </w:rPr>
        <w:t>ifférentes</w:t>
      </w:r>
      <w:bookmarkEnd w:id="0"/>
      <w:r w:rsidRPr="000D6E51">
        <w:rPr>
          <w:w w:val="110"/>
          <w:sz w:val="24"/>
          <w:szCs w:val="24"/>
          <w:lang w:val="fr-CA"/>
        </w:rPr>
        <w:t xml:space="preserve"> manières de nous exprimer</w:t>
      </w:r>
      <w:r w:rsidR="00F439FE">
        <w:rPr>
          <w:w w:val="110"/>
          <w:sz w:val="24"/>
          <w:szCs w:val="24"/>
          <w:lang w:val="fr-CA"/>
        </w:rPr>
        <w:t xml:space="preserve">, </w:t>
      </w:r>
      <w:r w:rsidRPr="000D6E51">
        <w:rPr>
          <w:w w:val="110"/>
          <w:sz w:val="24"/>
          <w:szCs w:val="24"/>
          <w:lang w:val="fr-CA"/>
        </w:rPr>
        <w:t xml:space="preserve">de faire entendre et voir notre douleur et notre détresse, nos espoirs et nos rêves, nos stratégies et les solutions dont nous disposons, notre résistance et notre résilience. </w:t>
      </w:r>
      <w:r w:rsidRPr="000D6E51">
        <w:rPr>
          <w:noProof/>
          <w:sz w:val="24"/>
          <w:szCs w:val="24"/>
          <w:lang w:val="fr-CA"/>
        </w:rPr>
        <mc:AlternateContent>
          <mc:Choice Requires="wps">
            <w:drawing>
              <wp:anchor distT="0" distB="0" distL="114300" distR="114300" simplePos="0" relativeHeight="251659264" behindDoc="0" locked="0" layoutInCell="1" allowOverlap="1" wp14:anchorId="50B46B9D" wp14:editId="283FC11A">
                <wp:simplePos x="0" y="0"/>
                <wp:positionH relativeFrom="page">
                  <wp:posOffset>3175</wp:posOffset>
                </wp:positionH>
                <wp:positionV relativeFrom="page">
                  <wp:posOffset>8168640</wp:posOffset>
                </wp:positionV>
                <wp:extent cx="0" cy="0"/>
                <wp:effectExtent l="12700" t="8178165" r="6350" b="81819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8778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643.2pt" to=".2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" strokeweight=".25458mm">
                <w10:wrap anchorx="page" anchory="page"/>
              </v:line>
            </w:pict>
          </mc:Fallback>
        </mc:AlternateContent>
      </w:r>
    </w:p>
    <w:p w14:paraId="4E32DF79" w14:textId="60E38A9B" w:rsidR="00F31EBB" w:rsidRPr="000D6E51" w:rsidRDefault="00F31EBB" w:rsidP="007A384E">
      <w:pPr>
        <w:pStyle w:val="BodyText"/>
        <w:spacing w:line="360" w:lineRule="auto"/>
        <w:ind w:left="306" w:right="281"/>
        <w:jc w:val="both"/>
        <w:rPr>
          <w:w w:val="110"/>
          <w:sz w:val="24"/>
          <w:szCs w:val="24"/>
          <w:lang w:val="fr-CA"/>
        </w:rPr>
      </w:pPr>
      <w:r w:rsidRPr="000D6E51">
        <w:rPr>
          <w:w w:val="110"/>
          <w:sz w:val="24"/>
          <w:szCs w:val="24"/>
          <w:lang w:val="fr-CA"/>
        </w:rPr>
        <w:t xml:space="preserve">Beaucoup d’entre nous ont fini par se rendre compte que nous n’avons pas à nous soumettre au prisme des Occidentaux pour être légitimés. Nous sommes néanmoins conscients </w:t>
      </w:r>
      <w:r w:rsidR="00651DD7" w:rsidRPr="000D6E51">
        <w:rPr>
          <w:w w:val="110"/>
          <w:sz w:val="24"/>
          <w:szCs w:val="24"/>
          <w:lang w:val="fr-CA"/>
        </w:rPr>
        <w:t>du fait que</w:t>
      </w:r>
      <w:r w:rsidRPr="000D6E51">
        <w:rPr>
          <w:w w:val="110"/>
          <w:sz w:val="24"/>
          <w:szCs w:val="24"/>
          <w:lang w:val="fr-CA"/>
        </w:rPr>
        <w:t xml:space="preserve"> le savoir, tel qu’il est défini par le système éducatif, ne correspond pas à notre conception</w:t>
      </w:r>
      <w:r w:rsidR="00BC088A">
        <w:rPr>
          <w:w w:val="110"/>
          <w:sz w:val="24"/>
          <w:szCs w:val="24"/>
          <w:lang w:val="fr-CA"/>
        </w:rPr>
        <w:t xml:space="preserve"> du savoir;</w:t>
      </w:r>
      <w:r w:rsidRPr="000D6E51">
        <w:rPr>
          <w:w w:val="110"/>
          <w:sz w:val="24"/>
          <w:szCs w:val="24"/>
          <w:lang w:val="fr-CA"/>
        </w:rPr>
        <w:t xml:space="preserve"> nous devons </w:t>
      </w:r>
      <w:r w:rsidR="00BC088A">
        <w:rPr>
          <w:w w:val="110"/>
          <w:sz w:val="24"/>
          <w:szCs w:val="24"/>
          <w:lang w:val="fr-CA"/>
        </w:rPr>
        <w:t>par conséquen</w:t>
      </w:r>
      <w:r w:rsidR="00EE01BD">
        <w:rPr>
          <w:w w:val="110"/>
          <w:sz w:val="24"/>
          <w:szCs w:val="24"/>
          <w:lang w:val="fr-CA"/>
        </w:rPr>
        <w:t>t</w:t>
      </w:r>
      <w:r w:rsidR="00BC088A">
        <w:rPr>
          <w:w w:val="110"/>
          <w:sz w:val="24"/>
          <w:szCs w:val="24"/>
          <w:lang w:val="fr-CA"/>
        </w:rPr>
        <w:t xml:space="preserve"> </w:t>
      </w:r>
      <w:r w:rsidRPr="000D6E51">
        <w:rPr>
          <w:w w:val="110"/>
          <w:sz w:val="24"/>
          <w:szCs w:val="24"/>
          <w:lang w:val="fr-CA"/>
        </w:rPr>
        <w:t xml:space="preserve">trouver </w:t>
      </w:r>
      <w:r w:rsidR="00BE1617">
        <w:rPr>
          <w:w w:val="110"/>
          <w:sz w:val="24"/>
          <w:szCs w:val="24"/>
          <w:lang w:val="fr-CA"/>
        </w:rPr>
        <w:t>le</w:t>
      </w:r>
      <w:r w:rsidRPr="000D6E51">
        <w:rPr>
          <w:w w:val="110"/>
          <w:sz w:val="24"/>
          <w:szCs w:val="24"/>
          <w:lang w:val="fr-CA"/>
        </w:rPr>
        <w:t xml:space="preserve"> moyen </w:t>
      </w:r>
      <w:r w:rsidR="00651DD7" w:rsidRPr="000D6E51">
        <w:rPr>
          <w:w w:val="110"/>
          <w:sz w:val="24"/>
          <w:szCs w:val="24"/>
          <w:lang w:val="fr-CA"/>
        </w:rPr>
        <w:t xml:space="preserve">d’avoir notre place </w:t>
      </w:r>
      <w:r w:rsidR="00003931">
        <w:rPr>
          <w:w w:val="110"/>
          <w:sz w:val="24"/>
          <w:szCs w:val="24"/>
          <w:lang w:val="fr-CA"/>
        </w:rPr>
        <w:t>au sein des</w:t>
      </w:r>
      <w:r w:rsidR="00651DD7" w:rsidRPr="000D6E51">
        <w:rPr>
          <w:w w:val="110"/>
          <w:sz w:val="24"/>
          <w:szCs w:val="24"/>
          <w:lang w:val="fr-CA"/>
        </w:rPr>
        <w:t xml:space="preserve"> textes étudiés et </w:t>
      </w:r>
      <w:r w:rsidR="00003931">
        <w:rPr>
          <w:w w:val="110"/>
          <w:sz w:val="24"/>
          <w:szCs w:val="24"/>
          <w:lang w:val="fr-CA"/>
        </w:rPr>
        <w:t>des</w:t>
      </w:r>
      <w:r w:rsidR="00651DD7" w:rsidRPr="000D6E51">
        <w:rPr>
          <w:w w:val="110"/>
          <w:sz w:val="24"/>
          <w:szCs w:val="24"/>
          <w:lang w:val="fr-CA"/>
        </w:rPr>
        <w:t xml:space="preserve"> établissement</w:t>
      </w:r>
      <w:r w:rsidR="007A384E" w:rsidRPr="000D6E51">
        <w:rPr>
          <w:w w:val="110"/>
          <w:sz w:val="24"/>
          <w:szCs w:val="24"/>
          <w:lang w:val="fr-CA"/>
        </w:rPr>
        <w:t>s</w:t>
      </w:r>
      <w:r w:rsidR="00651DD7" w:rsidRPr="000D6E51">
        <w:rPr>
          <w:w w:val="110"/>
          <w:sz w:val="24"/>
          <w:szCs w:val="24"/>
          <w:lang w:val="fr-CA"/>
        </w:rPr>
        <w:t xml:space="preserve"> d’enseignement</w:t>
      </w:r>
      <w:r w:rsidR="007A384E" w:rsidRPr="000D6E51">
        <w:rPr>
          <w:w w:val="110"/>
          <w:sz w:val="24"/>
          <w:szCs w:val="24"/>
          <w:lang w:val="fr-CA"/>
        </w:rPr>
        <w:t xml:space="preserve">. </w:t>
      </w:r>
      <w:r w:rsidRPr="000D6E51">
        <w:rPr>
          <w:w w:val="110"/>
          <w:sz w:val="24"/>
          <w:szCs w:val="24"/>
          <w:lang w:val="fr-CA"/>
        </w:rPr>
        <w:t>Nous devons faire partie intégrante du processus de transformation du savoir. Comme l’affirme Minnick (1990), ce ne sont pas seulement le savoir et la pensée qu’il importe de changer, mais également les « habitudes et présupposés préconscients portant sur la culture</w:t>
      </w:r>
      <w:r w:rsidR="00A47979">
        <w:rPr>
          <w:w w:val="110"/>
          <w:sz w:val="24"/>
          <w:szCs w:val="24"/>
          <w:lang w:val="fr-CA"/>
        </w:rPr>
        <w:t xml:space="preserve">, car ils sont </w:t>
      </w:r>
      <w:r w:rsidR="00EE01BD">
        <w:rPr>
          <w:w w:val="110"/>
          <w:sz w:val="24"/>
          <w:szCs w:val="24"/>
          <w:lang w:val="fr-CA"/>
        </w:rPr>
        <w:t xml:space="preserve">chargés </w:t>
      </w:r>
      <w:r w:rsidRPr="000D6E51">
        <w:rPr>
          <w:w w:val="110"/>
          <w:sz w:val="24"/>
          <w:szCs w:val="24"/>
          <w:lang w:val="fr-CA"/>
        </w:rPr>
        <w:t>d’émotion et refl</w:t>
      </w:r>
      <w:r w:rsidR="008B21A9">
        <w:rPr>
          <w:w w:val="110"/>
          <w:sz w:val="24"/>
          <w:szCs w:val="24"/>
          <w:lang w:val="fr-CA"/>
        </w:rPr>
        <w:t>è</w:t>
      </w:r>
      <w:r w:rsidRPr="000D6E51">
        <w:rPr>
          <w:w w:val="110"/>
          <w:sz w:val="24"/>
          <w:szCs w:val="24"/>
          <w:lang w:val="fr-CA"/>
        </w:rPr>
        <w:t>t</w:t>
      </w:r>
      <w:r w:rsidR="0094251C">
        <w:rPr>
          <w:w w:val="110"/>
          <w:sz w:val="24"/>
          <w:szCs w:val="24"/>
          <w:lang w:val="fr-CA"/>
        </w:rPr>
        <w:t>e</w:t>
      </w:r>
      <w:r w:rsidRPr="000D6E51">
        <w:rPr>
          <w:w w:val="110"/>
          <w:sz w:val="24"/>
          <w:szCs w:val="24"/>
          <w:lang w:val="fr-CA"/>
        </w:rPr>
        <w:t>nt non seulement l’ignorance de la culture dominante</w:t>
      </w:r>
      <w:r w:rsidR="008B21A9">
        <w:rPr>
          <w:w w:val="110"/>
          <w:sz w:val="24"/>
          <w:szCs w:val="24"/>
          <w:lang w:val="fr-CA"/>
        </w:rPr>
        <w:t>,</w:t>
      </w:r>
      <w:r w:rsidR="00A47979">
        <w:rPr>
          <w:w w:val="110"/>
          <w:sz w:val="24"/>
          <w:szCs w:val="24"/>
          <w:lang w:val="fr-CA"/>
        </w:rPr>
        <w:t xml:space="preserve"> </w:t>
      </w:r>
      <w:r w:rsidRPr="000D6E51">
        <w:rPr>
          <w:w w:val="110"/>
          <w:sz w:val="24"/>
          <w:szCs w:val="24"/>
          <w:lang w:val="fr-CA"/>
        </w:rPr>
        <w:t xml:space="preserve">mais aussi les préjugés créés et renforcés sur le plan systémique » (p. 93). </w:t>
      </w:r>
    </w:p>
    <w:p w14:paraId="10B402FF" w14:textId="152AC80D" w:rsidR="00F31EBB" w:rsidRPr="000D6E51" w:rsidRDefault="001B1D21" w:rsidP="007A384E">
      <w:pPr>
        <w:pStyle w:val="BodyText"/>
        <w:spacing w:line="360" w:lineRule="auto"/>
        <w:ind w:left="306" w:right="281" w:firstLine="283"/>
        <w:jc w:val="both"/>
        <w:rPr>
          <w:w w:val="110"/>
          <w:sz w:val="24"/>
          <w:szCs w:val="24"/>
          <w:lang w:val="fr-CA"/>
        </w:rPr>
      </w:pPr>
      <w:r w:rsidRPr="000D6E51">
        <w:rPr>
          <w:w w:val="110"/>
          <w:sz w:val="24"/>
          <w:szCs w:val="24"/>
          <w:lang w:val="fr-CA"/>
        </w:rPr>
        <w:t xml:space="preserve">Au fur et à mesure </w:t>
      </w:r>
      <w:r w:rsidR="00600F94">
        <w:rPr>
          <w:w w:val="110"/>
          <w:sz w:val="24"/>
          <w:szCs w:val="24"/>
          <w:lang w:val="fr-CA"/>
        </w:rPr>
        <w:t>de</w:t>
      </w:r>
      <w:r w:rsidR="00F959AA">
        <w:rPr>
          <w:w w:val="110"/>
          <w:sz w:val="24"/>
          <w:szCs w:val="24"/>
          <w:lang w:val="fr-CA"/>
        </w:rPr>
        <w:t xml:space="preserve"> la</w:t>
      </w:r>
      <w:r w:rsidR="00600F94">
        <w:rPr>
          <w:w w:val="110"/>
          <w:sz w:val="24"/>
          <w:szCs w:val="24"/>
          <w:lang w:val="fr-CA"/>
        </w:rPr>
        <w:t xml:space="preserve"> découverte de</w:t>
      </w:r>
      <w:r w:rsidR="00F31EBB" w:rsidRPr="000D6E51">
        <w:rPr>
          <w:w w:val="110"/>
          <w:sz w:val="24"/>
          <w:szCs w:val="24"/>
          <w:lang w:val="fr-CA"/>
        </w:rPr>
        <w:t xml:space="preserve"> ces injustices, </w:t>
      </w:r>
      <w:r w:rsidR="00254BBE" w:rsidRPr="000D6E51">
        <w:rPr>
          <w:w w:val="110"/>
          <w:sz w:val="24"/>
          <w:szCs w:val="24"/>
          <w:lang w:val="fr-CA"/>
        </w:rPr>
        <w:t xml:space="preserve">nous </w:t>
      </w:r>
      <w:r w:rsidR="00101712">
        <w:rPr>
          <w:w w:val="110"/>
          <w:sz w:val="24"/>
          <w:szCs w:val="24"/>
          <w:lang w:val="fr-CA"/>
        </w:rPr>
        <w:t>réalisons</w:t>
      </w:r>
      <w:r w:rsidR="0066744D" w:rsidRPr="000D6E51">
        <w:rPr>
          <w:w w:val="110"/>
          <w:sz w:val="24"/>
          <w:szCs w:val="24"/>
          <w:lang w:val="fr-CA"/>
        </w:rPr>
        <w:t xml:space="preserve"> que</w:t>
      </w:r>
      <w:r w:rsidR="00F31EBB" w:rsidRPr="000D6E51">
        <w:rPr>
          <w:w w:val="110"/>
          <w:sz w:val="24"/>
          <w:szCs w:val="24"/>
          <w:lang w:val="fr-CA"/>
        </w:rPr>
        <w:t xml:space="preserve"> nos propres traditions peuvent constituer une source à laquelle puiser pour reconstruire, </w:t>
      </w:r>
      <w:r w:rsidR="00CF0273">
        <w:rPr>
          <w:w w:val="110"/>
          <w:sz w:val="24"/>
          <w:szCs w:val="24"/>
          <w:lang w:val="fr-CA"/>
        </w:rPr>
        <w:t>nous</w:t>
      </w:r>
      <w:r w:rsidR="00600F94">
        <w:rPr>
          <w:w w:val="110"/>
          <w:sz w:val="24"/>
          <w:szCs w:val="24"/>
          <w:lang w:val="fr-CA"/>
        </w:rPr>
        <w:t xml:space="preserve"> ressourc</w:t>
      </w:r>
      <w:r w:rsidR="00CF0273">
        <w:rPr>
          <w:w w:val="110"/>
          <w:sz w:val="24"/>
          <w:szCs w:val="24"/>
          <w:lang w:val="fr-CA"/>
        </w:rPr>
        <w:t>er</w:t>
      </w:r>
      <w:r w:rsidR="00F31EBB" w:rsidRPr="000D6E51">
        <w:rPr>
          <w:w w:val="110"/>
          <w:sz w:val="24"/>
          <w:szCs w:val="24"/>
          <w:lang w:val="fr-CA"/>
        </w:rPr>
        <w:t xml:space="preserve">, nous rétablir et </w:t>
      </w:r>
      <w:r w:rsidR="00F97210">
        <w:rPr>
          <w:w w:val="110"/>
          <w:sz w:val="24"/>
          <w:szCs w:val="24"/>
          <w:lang w:val="fr-CA"/>
        </w:rPr>
        <w:t>retrouver</w:t>
      </w:r>
      <w:r w:rsidR="00F31EBB" w:rsidRPr="000D6E51">
        <w:rPr>
          <w:w w:val="110"/>
          <w:sz w:val="24"/>
          <w:szCs w:val="24"/>
          <w:lang w:val="fr-CA"/>
        </w:rPr>
        <w:t xml:space="preserve"> </w:t>
      </w:r>
      <w:r w:rsidR="00F31EBB" w:rsidRPr="00BD6756">
        <w:rPr>
          <w:w w:val="110"/>
          <w:sz w:val="24"/>
          <w:szCs w:val="24"/>
          <w:lang w:val="fr-CA"/>
        </w:rPr>
        <w:t>des relations saines. Il nous faut reconnaître l’ombre de la colonisation en prenant la pleine mesure de</w:t>
      </w:r>
      <w:r w:rsidR="00F31EBB" w:rsidRPr="000D6E51">
        <w:rPr>
          <w:w w:val="110"/>
          <w:sz w:val="24"/>
          <w:szCs w:val="24"/>
          <w:lang w:val="fr-CA"/>
        </w:rPr>
        <w:t xml:space="preserve"> la réalité sociohistorique </w:t>
      </w:r>
      <w:r w:rsidR="000B73EF">
        <w:rPr>
          <w:w w:val="110"/>
          <w:sz w:val="24"/>
          <w:szCs w:val="24"/>
          <w:lang w:val="fr-CA"/>
        </w:rPr>
        <w:t xml:space="preserve">qui est </w:t>
      </w:r>
      <w:r w:rsidR="00F31EBB" w:rsidRPr="000D6E51">
        <w:rPr>
          <w:w w:val="110"/>
          <w:sz w:val="24"/>
          <w:szCs w:val="24"/>
          <w:lang w:val="fr-CA"/>
        </w:rPr>
        <w:t>à l’origine du contexte actuel</w:t>
      </w:r>
      <w:r w:rsidR="00701320">
        <w:rPr>
          <w:w w:val="110"/>
          <w:sz w:val="24"/>
          <w:szCs w:val="24"/>
          <w:lang w:val="fr-CA"/>
        </w:rPr>
        <w:t xml:space="preserve"> et</w:t>
      </w:r>
      <w:r w:rsidR="00F31EBB" w:rsidRPr="000D6E51">
        <w:rPr>
          <w:w w:val="110"/>
          <w:sz w:val="24"/>
          <w:szCs w:val="24"/>
          <w:lang w:val="fr-CA"/>
        </w:rPr>
        <w:t xml:space="preserve"> en </w:t>
      </w:r>
      <w:r w:rsidR="00C219E4">
        <w:rPr>
          <w:w w:val="110"/>
          <w:sz w:val="24"/>
          <w:szCs w:val="24"/>
          <w:lang w:val="fr-CA"/>
        </w:rPr>
        <w:t>reconnaissant</w:t>
      </w:r>
      <w:r w:rsidR="00F31EBB" w:rsidRPr="000D6E51">
        <w:rPr>
          <w:w w:val="110"/>
          <w:sz w:val="24"/>
          <w:szCs w:val="24"/>
          <w:lang w:val="fr-CA"/>
        </w:rPr>
        <w:t xml:space="preserve"> que la profonde « blessure de l’âme » collective qui nous a été infligée a affecté l’ensemble de nos nations (Duran &amp; Duran, 1995). C’est </w:t>
      </w:r>
      <w:r w:rsidR="006F5C67" w:rsidRPr="000D6E51">
        <w:rPr>
          <w:w w:val="110"/>
          <w:sz w:val="24"/>
          <w:szCs w:val="24"/>
          <w:lang w:val="fr-CA"/>
        </w:rPr>
        <w:t>n’est qu’à partir de là</w:t>
      </w:r>
      <w:r w:rsidR="00F31EBB" w:rsidRPr="000D6E51">
        <w:rPr>
          <w:w w:val="110"/>
          <w:sz w:val="24"/>
          <w:szCs w:val="24"/>
          <w:lang w:val="fr-CA"/>
        </w:rPr>
        <w:t xml:space="preserve"> que nous pourrons </w:t>
      </w:r>
      <w:r w:rsidR="00EC661F" w:rsidRPr="000D6E51">
        <w:rPr>
          <w:w w:val="110"/>
          <w:sz w:val="24"/>
          <w:szCs w:val="24"/>
          <w:lang w:val="fr-CA"/>
        </w:rPr>
        <w:t>arrêter de nous culpabiliser individuellement</w:t>
      </w:r>
      <w:r w:rsidR="00F31EBB" w:rsidRPr="000D6E51">
        <w:rPr>
          <w:w w:val="110"/>
          <w:sz w:val="24"/>
          <w:szCs w:val="24"/>
          <w:lang w:val="fr-CA"/>
        </w:rPr>
        <w:t xml:space="preserve"> et entamer le processus </w:t>
      </w:r>
      <w:r w:rsidR="00E770CA">
        <w:rPr>
          <w:w w:val="110"/>
          <w:sz w:val="24"/>
          <w:szCs w:val="24"/>
          <w:lang w:val="fr-CA"/>
        </w:rPr>
        <w:t>de ressourcement</w:t>
      </w:r>
      <w:r w:rsidR="00F31EBB" w:rsidRPr="000D6E51">
        <w:rPr>
          <w:w w:val="110"/>
          <w:sz w:val="24"/>
          <w:szCs w:val="24"/>
          <w:lang w:val="fr-CA"/>
        </w:rPr>
        <w:t xml:space="preserve"> </w:t>
      </w:r>
      <w:r w:rsidR="00F31EBB" w:rsidRPr="00F959AA">
        <w:rPr>
          <w:w w:val="110"/>
          <w:sz w:val="24"/>
          <w:szCs w:val="24"/>
          <w:lang w:val="fr-CA"/>
        </w:rPr>
        <w:t>de la nation, lentement</w:t>
      </w:r>
      <w:r w:rsidR="00F31EBB" w:rsidRPr="000D6E51">
        <w:rPr>
          <w:w w:val="110"/>
          <w:sz w:val="24"/>
          <w:szCs w:val="24"/>
          <w:lang w:val="fr-CA"/>
        </w:rPr>
        <w:t xml:space="preserve"> mais sûrement. </w:t>
      </w:r>
    </w:p>
    <w:p w14:paraId="64E3A289" w14:textId="19509BB5" w:rsidR="00F31EBB" w:rsidRPr="000D6E51" w:rsidRDefault="00F31EBB" w:rsidP="007A384E">
      <w:pPr>
        <w:pStyle w:val="BodyText"/>
        <w:spacing w:line="360" w:lineRule="auto"/>
        <w:ind w:left="302" w:right="288" w:firstLine="288"/>
        <w:jc w:val="both"/>
        <w:rPr>
          <w:sz w:val="24"/>
          <w:szCs w:val="24"/>
          <w:lang w:val="fr-CA"/>
        </w:rPr>
      </w:pPr>
      <w:r w:rsidRPr="000D6E51">
        <w:rPr>
          <w:w w:val="110"/>
          <w:sz w:val="24"/>
          <w:szCs w:val="24"/>
          <w:lang w:val="fr-CA"/>
        </w:rPr>
        <w:lastRenderedPageBreak/>
        <w:t>Pour les éducateurs autochtones, il ne fait plus l’ombre d’un doute que toute tentative d’</w:t>
      </w:r>
      <w:proofErr w:type="spellStart"/>
      <w:r w:rsidRPr="000D6E51">
        <w:rPr>
          <w:w w:val="110"/>
          <w:sz w:val="24"/>
          <w:szCs w:val="24"/>
          <w:lang w:val="fr-CA"/>
        </w:rPr>
        <w:t>autodécolonisation</w:t>
      </w:r>
      <w:proofErr w:type="spellEnd"/>
      <w:r w:rsidRPr="000D6E51">
        <w:rPr>
          <w:w w:val="110"/>
          <w:sz w:val="24"/>
          <w:szCs w:val="24"/>
          <w:lang w:val="fr-CA"/>
        </w:rPr>
        <w:t xml:space="preserve"> et de résistance active aux paradigmes coloniaux représente une entreprise complexe et titanesque. Nous ne pouvons pas laisser les élèves et les étudiants autochtones continuer à vivre une existence fragmentée en </w:t>
      </w:r>
      <w:r w:rsidR="00DE42EC" w:rsidRPr="000D6E51">
        <w:rPr>
          <w:w w:val="110"/>
          <w:sz w:val="24"/>
          <w:szCs w:val="24"/>
          <w:lang w:val="fr-CA"/>
        </w:rPr>
        <w:t>leur</w:t>
      </w:r>
      <w:r w:rsidRPr="000D6E51">
        <w:rPr>
          <w:w w:val="110"/>
          <w:sz w:val="24"/>
          <w:szCs w:val="24"/>
          <w:lang w:val="fr-CA"/>
        </w:rPr>
        <w:t xml:space="preserve"> faisant suivre un programme qui ne leur ressemble pas, ni les empêcher de comprendre le contexte historique à l’origine de cette fragmentation. </w:t>
      </w:r>
      <w:r w:rsidRPr="000D6E51">
        <w:rPr>
          <w:sz w:val="24"/>
          <w:szCs w:val="24"/>
          <w:lang w:val="fr-CA"/>
        </w:rPr>
        <w:t xml:space="preserve">Il est impossible de conceptualiser un cadre postcolonial sans que les peuples autochtones renouvellent et reconstruisent les principes sous-tendant leurs propres façons de voir le monde, leur environnement, leurs langues et modes de communication, et réfléchissent à la manière dont la conjonction de tous ces éléments façonne leur humanité. </w:t>
      </w:r>
    </w:p>
    <w:p w14:paraId="0BDF60ED" w14:textId="21DF744F" w:rsidR="00F31EBB" w:rsidRPr="000D6E51" w:rsidRDefault="00F31EBB" w:rsidP="007A384E">
      <w:pPr>
        <w:pStyle w:val="BodyText"/>
        <w:spacing w:line="360" w:lineRule="auto"/>
        <w:ind w:left="310" w:right="278" w:firstLine="279"/>
        <w:jc w:val="both"/>
        <w:rPr>
          <w:w w:val="110"/>
          <w:sz w:val="24"/>
          <w:szCs w:val="24"/>
          <w:lang w:val="fr-CA"/>
        </w:rPr>
      </w:pPr>
      <w:r w:rsidRPr="000D6E51">
        <w:rPr>
          <w:sz w:val="24"/>
          <w:szCs w:val="24"/>
          <w:lang w:val="fr-CA"/>
        </w:rPr>
        <w:t>Alors que les gouvernements et les institutions d</w:t>
      </w:r>
      <w:r w:rsidR="007A384E" w:rsidRPr="000D6E51">
        <w:rPr>
          <w:sz w:val="24"/>
          <w:szCs w:val="24"/>
          <w:lang w:val="fr-CA"/>
        </w:rPr>
        <w:t>e l</w:t>
      </w:r>
      <w:r w:rsidRPr="000D6E51">
        <w:rPr>
          <w:sz w:val="24"/>
          <w:szCs w:val="24"/>
          <w:lang w:val="fr-CA"/>
        </w:rPr>
        <w:t xml:space="preserve">’État persistent à modeler notre identité autochtone au travers du prisme de leurs </w:t>
      </w:r>
      <w:r w:rsidR="00BC58EE" w:rsidRPr="000D6E51">
        <w:rPr>
          <w:sz w:val="24"/>
          <w:szCs w:val="24"/>
          <w:lang w:val="fr-CA"/>
        </w:rPr>
        <w:t>objectifs</w:t>
      </w:r>
      <w:r w:rsidRPr="000D6E51">
        <w:rPr>
          <w:sz w:val="24"/>
          <w:szCs w:val="24"/>
          <w:lang w:val="fr-CA"/>
        </w:rPr>
        <w:t xml:space="preserve"> socioéconomiques, prenant terres et ressources au passage, l’appel à l’autodétermination ne cesse de s’affermir chez les peuples autochtones. Quoi qu’il en soit</w:t>
      </w:r>
      <w:r w:rsidRPr="00DE3275">
        <w:rPr>
          <w:sz w:val="24"/>
          <w:szCs w:val="24"/>
          <w:lang w:val="fr-CA"/>
        </w:rPr>
        <w:t>, l’autodétermination ne va pas sans son lot d’ambiguïtés, ambiguïtés vis-à-vis desquelles les responsables autochtones</w:t>
      </w:r>
      <w:r w:rsidRPr="000D6E51">
        <w:rPr>
          <w:sz w:val="24"/>
          <w:szCs w:val="24"/>
          <w:lang w:val="fr-CA"/>
        </w:rPr>
        <w:t xml:space="preserve"> se sentent plus à l’aise que les autres membres de notre communauté</w:t>
      </w:r>
      <w:r w:rsidR="00DE3275">
        <w:rPr>
          <w:sz w:val="24"/>
          <w:szCs w:val="24"/>
          <w:lang w:val="fr-CA"/>
        </w:rPr>
        <w:t xml:space="preserve">, </w:t>
      </w:r>
      <w:r w:rsidRPr="000D6E51">
        <w:rPr>
          <w:sz w:val="24"/>
          <w:szCs w:val="24"/>
          <w:lang w:val="fr-CA"/>
        </w:rPr>
        <w:t xml:space="preserve">dont beaucoup ne savent que trop bien que le pouvoir et l’encadrement peuvent aussi être employés aux fins d’exclusion et de répression. La voie de l’autodétermination </w:t>
      </w:r>
      <w:r w:rsidR="0038797E">
        <w:rPr>
          <w:sz w:val="24"/>
          <w:szCs w:val="24"/>
          <w:lang w:val="fr-CA"/>
        </w:rPr>
        <w:t xml:space="preserve">nous </w:t>
      </w:r>
      <w:r w:rsidR="00D23EA5">
        <w:rPr>
          <w:sz w:val="24"/>
          <w:szCs w:val="24"/>
          <w:lang w:val="fr-CA"/>
        </w:rPr>
        <w:t>permet de</w:t>
      </w:r>
      <w:r w:rsidR="0038797E">
        <w:rPr>
          <w:sz w:val="24"/>
          <w:szCs w:val="24"/>
          <w:lang w:val="fr-CA"/>
        </w:rPr>
        <w:t xml:space="preserve"> prendre conscience</w:t>
      </w:r>
      <w:r w:rsidRPr="000D6E51">
        <w:rPr>
          <w:sz w:val="24"/>
          <w:szCs w:val="24"/>
          <w:lang w:val="fr-CA"/>
        </w:rPr>
        <w:t xml:space="preserve"> </w:t>
      </w:r>
      <w:r w:rsidR="00D23EA5">
        <w:rPr>
          <w:sz w:val="24"/>
          <w:szCs w:val="24"/>
          <w:lang w:val="fr-CA"/>
        </w:rPr>
        <w:t>du fait</w:t>
      </w:r>
      <w:r w:rsidRPr="000D6E51">
        <w:rPr>
          <w:sz w:val="24"/>
          <w:szCs w:val="24"/>
          <w:lang w:val="fr-CA"/>
        </w:rPr>
        <w:t xml:space="preserve"> la pensée eurocentrique n’est pas habilitée à définir le savoir </w:t>
      </w:r>
      <w:r w:rsidR="00FD5742">
        <w:rPr>
          <w:sz w:val="24"/>
          <w:szCs w:val="24"/>
          <w:lang w:val="fr-CA"/>
        </w:rPr>
        <w:t>ni</w:t>
      </w:r>
      <w:r w:rsidRPr="000D6E51">
        <w:rPr>
          <w:sz w:val="24"/>
          <w:szCs w:val="24"/>
          <w:lang w:val="fr-CA"/>
        </w:rPr>
        <w:t xml:space="preserve"> les peuples autochtones </w:t>
      </w:r>
      <w:r w:rsidR="002D3BFA">
        <w:rPr>
          <w:sz w:val="24"/>
          <w:szCs w:val="24"/>
          <w:lang w:val="fr-CA"/>
        </w:rPr>
        <w:t xml:space="preserve">et </w:t>
      </w:r>
      <w:r w:rsidR="00D23EA5">
        <w:rPr>
          <w:sz w:val="24"/>
          <w:szCs w:val="24"/>
          <w:lang w:val="fr-CA"/>
        </w:rPr>
        <w:t>qu’il est temps aussi de</w:t>
      </w:r>
      <w:r w:rsidR="008F1F45">
        <w:rPr>
          <w:sz w:val="24"/>
          <w:szCs w:val="24"/>
          <w:lang w:val="fr-CA"/>
        </w:rPr>
        <w:t xml:space="preserve"> rétablir</w:t>
      </w:r>
      <w:r w:rsidRPr="00B93153">
        <w:rPr>
          <w:sz w:val="24"/>
          <w:szCs w:val="24"/>
          <w:lang w:val="fr-CA"/>
        </w:rPr>
        <w:t xml:space="preserve"> l’aboriginalité</w:t>
      </w:r>
      <w:r w:rsidRPr="000D6E51">
        <w:rPr>
          <w:sz w:val="24"/>
          <w:szCs w:val="24"/>
          <w:lang w:val="fr-CA"/>
        </w:rPr>
        <w:t xml:space="preserve"> </w:t>
      </w:r>
      <w:r w:rsidR="008F1F45">
        <w:rPr>
          <w:sz w:val="24"/>
          <w:szCs w:val="24"/>
          <w:lang w:val="fr-CA"/>
        </w:rPr>
        <w:t xml:space="preserve">dans </w:t>
      </w:r>
      <w:r w:rsidRPr="000D6E51">
        <w:rPr>
          <w:sz w:val="24"/>
          <w:szCs w:val="24"/>
          <w:lang w:val="fr-CA"/>
        </w:rPr>
        <w:t xml:space="preserve">les écologies et </w:t>
      </w:r>
      <w:r w:rsidR="00107C52" w:rsidRPr="000D6E51">
        <w:rPr>
          <w:sz w:val="24"/>
          <w:szCs w:val="24"/>
          <w:lang w:val="fr-CA"/>
        </w:rPr>
        <w:t xml:space="preserve">les </w:t>
      </w:r>
      <w:r w:rsidRPr="000D6E51">
        <w:rPr>
          <w:sz w:val="24"/>
          <w:szCs w:val="24"/>
          <w:lang w:val="fr-CA"/>
        </w:rPr>
        <w:t>langues locales</w:t>
      </w:r>
      <w:r w:rsidR="008F1F45">
        <w:rPr>
          <w:sz w:val="24"/>
          <w:szCs w:val="24"/>
          <w:lang w:val="fr-CA"/>
        </w:rPr>
        <w:t xml:space="preserve">. </w:t>
      </w:r>
      <w:r w:rsidRPr="000D6E51">
        <w:rPr>
          <w:w w:val="110"/>
          <w:sz w:val="24"/>
          <w:szCs w:val="24"/>
          <w:lang w:val="fr-CA"/>
        </w:rPr>
        <w:t xml:space="preserve">La compétence linguistique est essentielle au renouveau et au respect du savoir et de l’humanité autochtones. </w:t>
      </w:r>
      <w:r w:rsidRPr="005B77B2">
        <w:rPr>
          <w:w w:val="110"/>
          <w:sz w:val="24"/>
          <w:szCs w:val="24"/>
          <w:lang w:val="fr-CA"/>
        </w:rPr>
        <w:t xml:space="preserve">Pour définir sa réalité, le peuple autochtone ne peut pas </w:t>
      </w:r>
      <w:r w:rsidR="005B77B2" w:rsidRPr="005B77B2">
        <w:rPr>
          <w:w w:val="110"/>
          <w:sz w:val="24"/>
          <w:szCs w:val="24"/>
          <w:lang w:val="fr-CA"/>
        </w:rPr>
        <w:t>s’appuyer sur</w:t>
      </w:r>
      <w:r w:rsidRPr="005B77B2">
        <w:rPr>
          <w:w w:val="110"/>
          <w:sz w:val="24"/>
          <w:szCs w:val="24"/>
          <w:lang w:val="fr-CA"/>
        </w:rPr>
        <w:t xml:space="preserve"> </w:t>
      </w:r>
      <w:r w:rsidR="003277D7" w:rsidRPr="005B77B2">
        <w:rPr>
          <w:w w:val="110"/>
          <w:sz w:val="24"/>
          <w:szCs w:val="24"/>
          <w:lang w:val="fr-CA"/>
        </w:rPr>
        <w:t xml:space="preserve">les langues </w:t>
      </w:r>
      <w:r w:rsidR="003277D7">
        <w:rPr>
          <w:w w:val="110"/>
          <w:sz w:val="24"/>
          <w:szCs w:val="24"/>
          <w:lang w:val="fr-CA"/>
        </w:rPr>
        <w:t xml:space="preserve">et </w:t>
      </w:r>
      <w:r w:rsidR="00D12A10">
        <w:rPr>
          <w:w w:val="110"/>
          <w:sz w:val="24"/>
          <w:szCs w:val="24"/>
          <w:lang w:val="fr-CA"/>
        </w:rPr>
        <w:t>la pensée</w:t>
      </w:r>
      <w:r w:rsidR="005B24B6">
        <w:rPr>
          <w:w w:val="110"/>
          <w:sz w:val="24"/>
          <w:szCs w:val="24"/>
          <w:lang w:val="fr-CA"/>
        </w:rPr>
        <w:t xml:space="preserve"> colonia</w:t>
      </w:r>
      <w:r w:rsidR="00D12A10">
        <w:rPr>
          <w:w w:val="110"/>
          <w:sz w:val="24"/>
          <w:szCs w:val="24"/>
          <w:lang w:val="fr-CA"/>
        </w:rPr>
        <w:t>les</w:t>
      </w:r>
      <w:r w:rsidRPr="005B77B2">
        <w:rPr>
          <w:w w:val="110"/>
          <w:sz w:val="24"/>
          <w:szCs w:val="24"/>
          <w:lang w:val="fr-CA"/>
        </w:rPr>
        <w:t xml:space="preserve"> </w:t>
      </w:r>
      <w:r w:rsidR="005B77B2">
        <w:rPr>
          <w:w w:val="110"/>
          <w:sz w:val="24"/>
          <w:szCs w:val="24"/>
          <w:lang w:val="fr-CA"/>
        </w:rPr>
        <w:t>établi</w:t>
      </w:r>
      <w:r w:rsidR="00D12A10">
        <w:rPr>
          <w:w w:val="110"/>
          <w:sz w:val="24"/>
          <w:szCs w:val="24"/>
          <w:lang w:val="fr-CA"/>
        </w:rPr>
        <w:t>e</w:t>
      </w:r>
      <w:r w:rsidR="00052374">
        <w:rPr>
          <w:w w:val="110"/>
          <w:sz w:val="24"/>
          <w:szCs w:val="24"/>
          <w:lang w:val="fr-CA"/>
        </w:rPr>
        <w:t>s</w:t>
      </w:r>
      <w:r w:rsidRPr="005B77B2">
        <w:rPr>
          <w:w w:val="110"/>
          <w:sz w:val="24"/>
          <w:szCs w:val="24"/>
          <w:lang w:val="fr-CA"/>
        </w:rPr>
        <w:t xml:space="preserve"> </w:t>
      </w:r>
      <w:r w:rsidR="00052374">
        <w:rPr>
          <w:w w:val="110"/>
          <w:sz w:val="24"/>
          <w:szCs w:val="24"/>
          <w:lang w:val="fr-CA"/>
        </w:rPr>
        <w:t>par</w:t>
      </w:r>
      <w:r w:rsidRPr="005B77B2">
        <w:rPr>
          <w:w w:val="110"/>
          <w:sz w:val="24"/>
          <w:szCs w:val="24"/>
          <w:lang w:val="fr-CA"/>
        </w:rPr>
        <w:t xml:space="preserve"> les programmes</w:t>
      </w:r>
      <w:r w:rsidRPr="000D6E51">
        <w:rPr>
          <w:w w:val="110"/>
          <w:sz w:val="24"/>
          <w:szCs w:val="24"/>
          <w:lang w:val="fr-CA"/>
        </w:rPr>
        <w:t xml:space="preserve"> </w:t>
      </w:r>
      <w:r w:rsidR="005B77B2">
        <w:rPr>
          <w:w w:val="110"/>
          <w:sz w:val="24"/>
          <w:szCs w:val="24"/>
          <w:lang w:val="fr-CA"/>
        </w:rPr>
        <w:t>d’études</w:t>
      </w:r>
      <w:r w:rsidRPr="000D6E51">
        <w:rPr>
          <w:w w:val="110"/>
          <w:sz w:val="24"/>
          <w:szCs w:val="24"/>
          <w:lang w:val="fr-CA"/>
        </w:rPr>
        <w:t xml:space="preserve"> </w:t>
      </w:r>
      <w:r w:rsidR="005B77B2">
        <w:rPr>
          <w:w w:val="110"/>
          <w:sz w:val="24"/>
          <w:szCs w:val="24"/>
          <w:lang w:val="fr-CA"/>
        </w:rPr>
        <w:t>des provinces</w:t>
      </w:r>
      <w:r w:rsidRPr="000D6E51">
        <w:rPr>
          <w:w w:val="110"/>
          <w:sz w:val="24"/>
          <w:szCs w:val="24"/>
          <w:lang w:val="fr-CA"/>
        </w:rPr>
        <w:t>. Si nous continuons à penser notre réalité par le biais des termes et des constructs hérités du diffusion</w:t>
      </w:r>
      <w:r w:rsidR="00497232">
        <w:rPr>
          <w:w w:val="110"/>
          <w:sz w:val="24"/>
          <w:szCs w:val="24"/>
          <w:lang w:val="fr-CA"/>
        </w:rPr>
        <w:t>n</w:t>
      </w:r>
      <w:r w:rsidRPr="000D6E51">
        <w:rPr>
          <w:w w:val="110"/>
          <w:sz w:val="24"/>
          <w:szCs w:val="24"/>
          <w:lang w:val="fr-CA"/>
        </w:rPr>
        <w:t xml:space="preserve">isme et des langues eurocentriques, nous perpétuons notre propre pillage. La reconstruction du savoir se bâtit sur l’esprit de nos terres et dans les langues autochtones. Les langues autochtones ne représentent pas </w:t>
      </w:r>
      <w:r w:rsidR="009F54AC" w:rsidRPr="000D6E51">
        <w:rPr>
          <w:w w:val="110"/>
          <w:sz w:val="24"/>
          <w:szCs w:val="24"/>
          <w:lang w:val="fr-CA"/>
        </w:rPr>
        <w:t>seulement</w:t>
      </w:r>
      <w:r w:rsidRPr="000D6E51">
        <w:rPr>
          <w:w w:val="110"/>
          <w:sz w:val="24"/>
          <w:szCs w:val="24"/>
          <w:lang w:val="fr-CA"/>
        </w:rPr>
        <w:t xml:space="preserve"> un outil de communication permettant d’accéder au savoir, mais aussi un processus </w:t>
      </w:r>
      <w:r w:rsidR="009F54AC" w:rsidRPr="000D6E51">
        <w:rPr>
          <w:w w:val="110"/>
          <w:sz w:val="24"/>
          <w:szCs w:val="24"/>
          <w:lang w:val="fr-CA"/>
        </w:rPr>
        <w:t>de positionnem</w:t>
      </w:r>
      <w:r w:rsidR="009F54AC" w:rsidRPr="001F3D91">
        <w:rPr>
          <w:w w:val="110"/>
          <w:sz w:val="24"/>
          <w:szCs w:val="24"/>
          <w:lang w:val="fr-CA"/>
        </w:rPr>
        <w:t>ent</w:t>
      </w:r>
      <w:r w:rsidRPr="001F3D91">
        <w:rPr>
          <w:w w:val="110"/>
          <w:sz w:val="24"/>
          <w:szCs w:val="24"/>
          <w:lang w:val="fr-CA"/>
        </w:rPr>
        <w:t xml:space="preserve"> nous permettant d’échapper à une réalité rigide régentée par le nom et un processus</w:t>
      </w:r>
      <w:r w:rsidRPr="000D6E51">
        <w:rPr>
          <w:w w:val="110"/>
          <w:sz w:val="24"/>
          <w:szCs w:val="24"/>
          <w:lang w:val="fr-CA"/>
        </w:rPr>
        <w:t xml:space="preserve"> paradigmatique permettant la réhabilitation et </w:t>
      </w:r>
      <w:r w:rsidR="00E770CA">
        <w:rPr>
          <w:w w:val="110"/>
          <w:sz w:val="24"/>
          <w:szCs w:val="24"/>
          <w:lang w:val="fr-CA"/>
        </w:rPr>
        <w:t>le ressourcement</w:t>
      </w:r>
      <w:r w:rsidRPr="000D6E51">
        <w:rPr>
          <w:w w:val="110"/>
          <w:sz w:val="24"/>
          <w:szCs w:val="24"/>
          <w:lang w:val="fr-CA"/>
        </w:rPr>
        <w:t xml:space="preserve">. </w:t>
      </w:r>
      <w:r w:rsidR="00CB432A" w:rsidRPr="00CB432A">
        <w:rPr>
          <w:w w:val="110"/>
          <w:sz w:val="24"/>
          <w:szCs w:val="24"/>
          <w:lang w:val="fr-CA"/>
        </w:rPr>
        <w:t>La</w:t>
      </w:r>
      <w:r w:rsidRPr="00CB432A">
        <w:rPr>
          <w:w w:val="110"/>
          <w:sz w:val="24"/>
          <w:szCs w:val="24"/>
          <w:lang w:val="fr-CA"/>
        </w:rPr>
        <w:t xml:space="preserve"> compétence </w:t>
      </w:r>
      <w:commentRangeStart w:id="1"/>
      <w:r w:rsidRPr="00CB432A">
        <w:rPr>
          <w:w w:val="110"/>
          <w:sz w:val="24"/>
          <w:szCs w:val="24"/>
          <w:lang w:val="fr-CA"/>
        </w:rPr>
        <w:t>linguistique</w:t>
      </w:r>
      <w:commentRangeEnd w:id="1"/>
      <w:r w:rsidR="00CB432A">
        <w:rPr>
          <w:rStyle w:val="CommentReference"/>
        </w:rPr>
        <w:commentReference w:id="1"/>
      </w:r>
      <w:r w:rsidRPr="00CB432A">
        <w:rPr>
          <w:w w:val="110"/>
          <w:sz w:val="24"/>
          <w:szCs w:val="24"/>
          <w:lang w:val="fr-CA"/>
        </w:rPr>
        <w:t xml:space="preserve"> reflète</w:t>
      </w:r>
      <w:r w:rsidRPr="000D6E51">
        <w:rPr>
          <w:w w:val="110"/>
          <w:sz w:val="24"/>
          <w:szCs w:val="24"/>
          <w:lang w:val="fr-CA"/>
        </w:rPr>
        <w:t xml:space="preserve"> la réalité des transformations </w:t>
      </w:r>
      <w:r w:rsidRPr="000D6E51">
        <w:rPr>
          <w:w w:val="110"/>
          <w:sz w:val="24"/>
          <w:szCs w:val="24"/>
          <w:lang w:val="fr-CA"/>
        </w:rPr>
        <w:lastRenderedPageBreak/>
        <w:t xml:space="preserve">et </w:t>
      </w:r>
      <w:r w:rsidR="00B6577D">
        <w:rPr>
          <w:w w:val="110"/>
          <w:sz w:val="24"/>
          <w:szCs w:val="24"/>
          <w:lang w:val="fr-CA"/>
        </w:rPr>
        <w:t xml:space="preserve">des </w:t>
      </w:r>
      <w:r w:rsidRPr="000D6E51">
        <w:rPr>
          <w:w w:val="110"/>
          <w:sz w:val="24"/>
          <w:szCs w:val="24"/>
          <w:lang w:val="fr-CA"/>
        </w:rPr>
        <w:t>changements qui s’opèrent dans les représentations et processus holistiques mettant l’accent sur l’interaction, la réciprocité, le respect et la non</w:t>
      </w:r>
      <w:r w:rsidR="00596705">
        <w:rPr>
          <w:w w:val="110"/>
          <w:sz w:val="24"/>
          <w:szCs w:val="24"/>
          <w:lang w:val="fr-CA"/>
        </w:rPr>
        <w:noBreakHyphen/>
      </w:r>
      <w:r w:rsidRPr="000D6E51">
        <w:rPr>
          <w:w w:val="110"/>
          <w:sz w:val="24"/>
          <w:szCs w:val="24"/>
          <w:lang w:val="fr-CA"/>
        </w:rPr>
        <w:t>ingérence.</w:t>
      </w:r>
    </w:p>
    <w:p w14:paraId="017A83EA" w14:textId="3DF01E35" w:rsidR="00F31EBB" w:rsidRDefault="006440E0" w:rsidP="00A06B93">
      <w:pPr>
        <w:pStyle w:val="BodyText"/>
        <w:spacing w:line="360" w:lineRule="auto"/>
        <w:ind w:left="310" w:right="278" w:firstLine="279"/>
        <w:jc w:val="both"/>
        <w:rPr>
          <w:w w:val="110"/>
          <w:sz w:val="24"/>
          <w:szCs w:val="24"/>
          <w:lang w:val="fr-CA"/>
        </w:rPr>
      </w:pPr>
      <w:r w:rsidRPr="000D6E51">
        <w:rPr>
          <w:w w:val="110"/>
          <w:sz w:val="24"/>
          <w:szCs w:val="24"/>
          <w:lang w:val="fr-CA"/>
        </w:rPr>
        <w:t>Réalisant</w:t>
      </w:r>
      <w:r w:rsidR="00F31EBB" w:rsidRPr="000D6E51">
        <w:rPr>
          <w:w w:val="110"/>
          <w:sz w:val="24"/>
          <w:szCs w:val="24"/>
          <w:lang w:val="fr-CA"/>
        </w:rPr>
        <w:t xml:space="preserve"> les immenses pertes linguistiques survenant </w:t>
      </w:r>
      <w:r w:rsidRPr="000D6E51">
        <w:rPr>
          <w:w w:val="110"/>
          <w:sz w:val="24"/>
          <w:szCs w:val="24"/>
          <w:lang w:val="fr-CA"/>
        </w:rPr>
        <w:t>un peu partout dans le monde</w:t>
      </w:r>
      <w:r w:rsidR="00F31EBB" w:rsidRPr="000D6E51">
        <w:rPr>
          <w:w w:val="110"/>
          <w:sz w:val="24"/>
          <w:szCs w:val="24"/>
          <w:lang w:val="fr-CA"/>
        </w:rPr>
        <w:t xml:space="preserve">, les peuples autochtones, </w:t>
      </w:r>
      <w:r w:rsidR="001D2AF5" w:rsidRPr="000D6E51">
        <w:rPr>
          <w:w w:val="110"/>
          <w:sz w:val="24"/>
          <w:szCs w:val="24"/>
          <w:lang w:val="fr-CA"/>
        </w:rPr>
        <w:t>dont certaines des</w:t>
      </w:r>
      <w:r w:rsidR="00F31EBB" w:rsidRPr="000D6E51">
        <w:rPr>
          <w:w w:val="110"/>
          <w:sz w:val="24"/>
          <w:szCs w:val="24"/>
          <w:lang w:val="fr-CA"/>
        </w:rPr>
        <w:t xml:space="preserve"> langues </w:t>
      </w:r>
      <w:r w:rsidR="001D2AF5" w:rsidRPr="000D6E51">
        <w:rPr>
          <w:w w:val="110"/>
          <w:sz w:val="24"/>
          <w:szCs w:val="24"/>
          <w:lang w:val="fr-CA"/>
        </w:rPr>
        <w:t xml:space="preserve">sont mortes </w:t>
      </w:r>
      <w:r w:rsidR="00F31EBB" w:rsidRPr="000D6E51">
        <w:rPr>
          <w:w w:val="110"/>
          <w:sz w:val="24"/>
          <w:szCs w:val="24"/>
          <w:lang w:val="fr-CA"/>
        </w:rPr>
        <w:t xml:space="preserve">en raison des politiques génocidaires et assimilationnistes des gouvernements, font face à des défis de taille. Comment peuvent-ils reconstruire leur savoir sans leurs langues communautaires? Au cours de ma propre quête, je me suis </w:t>
      </w:r>
      <w:r w:rsidR="00F31EBB" w:rsidRPr="0052171F">
        <w:rPr>
          <w:w w:val="110"/>
          <w:sz w:val="24"/>
          <w:szCs w:val="24"/>
          <w:lang w:val="fr-CA"/>
        </w:rPr>
        <w:t>souvent posé la</w:t>
      </w:r>
      <w:r w:rsidR="00F31EBB" w:rsidRPr="000D6E51">
        <w:rPr>
          <w:w w:val="110"/>
          <w:sz w:val="24"/>
          <w:szCs w:val="24"/>
          <w:lang w:val="fr-CA"/>
        </w:rPr>
        <w:t xml:space="preserve"> question. M’appuyant sur des recherches portant sur la langue seconde, j’ai eu confirmation du fait que la perte d’une langue ne se limite pas à la sphère linguistique; il ne s’agit pas d’une simple perte de sons, mais bien de socialisation de la langue et du savoir, d’un rapport à la connaissance, de communication verbale et non</w:t>
      </w:r>
      <w:r w:rsidR="00497232">
        <w:rPr>
          <w:w w:val="110"/>
          <w:sz w:val="24"/>
          <w:szCs w:val="24"/>
          <w:lang w:val="fr-CA"/>
        </w:rPr>
        <w:t xml:space="preserve"> verbale — </w:t>
      </w:r>
      <w:r w:rsidR="00F31EBB" w:rsidRPr="000D6E51">
        <w:rPr>
          <w:w w:val="110"/>
          <w:sz w:val="24"/>
          <w:szCs w:val="24"/>
          <w:lang w:val="fr-CA"/>
        </w:rPr>
        <w:t xml:space="preserve">autant de processus qui ne disparaissent pas si facilement que ça. Pour moi, cela signifie que l’esprit des langues est résilient et que dans beaucoup de communautés qui, en l’espace d’une ou deux générations, </w:t>
      </w:r>
      <w:r w:rsidR="00B07821" w:rsidRPr="000D6E51">
        <w:rPr>
          <w:w w:val="110"/>
          <w:sz w:val="24"/>
          <w:szCs w:val="24"/>
          <w:lang w:val="fr-CA"/>
        </w:rPr>
        <w:t xml:space="preserve">sont </w:t>
      </w:r>
      <w:r w:rsidR="00F31EBB" w:rsidRPr="000D6E51">
        <w:rPr>
          <w:w w:val="110"/>
          <w:sz w:val="24"/>
          <w:szCs w:val="24"/>
          <w:lang w:val="fr-CA"/>
        </w:rPr>
        <w:t xml:space="preserve">passées aux langues coloniales, l’esprit et la socialisation liés aux langues autochtones font encore partie du bagage des </w:t>
      </w:r>
      <w:r w:rsidR="00F31EBB" w:rsidRPr="00673DEA">
        <w:rPr>
          <w:w w:val="110"/>
          <w:sz w:val="24"/>
          <w:szCs w:val="24"/>
          <w:lang w:val="fr-CA"/>
        </w:rPr>
        <w:t xml:space="preserve">générations à venir. Les langues autochtones possèdent un esprit ou une âme dont l’accès passe par </w:t>
      </w:r>
      <w:r w:rsidR="00202AE5" w:rsidRPr="00673DEA">
        <w:rPr>
          <w:w w:val="110"/>
          <w:sz w:val="24"/>
          <w:szCs w:val="24"/>
          <w:lang w:val="fr-CA"/>
        </w:rPr>
        <w:t>les</w:t>
      </w:r>
      <w:r w:rsidR="00F31EBB" w:rsidRPr="00673DEA">
        <w:rPr>
          <w:w w:val="110"/>
          <w:sz w:val="24"/>
          <w:szCs w:val="24"/>
          <w:lang w:val="fr-CA"/>
        </w:rPr>
        <w:t xml:space="preserve"> peupl</w:t>
      </w:r>
      <w:r w:rsidR="006B3594" w:rsidRPr="00673DEA">
        <w:rPr>
          <w:w w:val="110"/>
          <w:sz w:val="24"/>
          <w:szCs w:val="24"/>
          <w:lang w:val="fr-CA"/>
        </w:rPr>
        <w:t>e</w:t>
      </w:r>
      <w:r w:rsidR="00202AE5" w:rsidRPr="00673DEA">
        <w:rPr>
          <w:w w:val="110"/>
          <w:sz w:val="24"/>
          <w:szCs w:val="24"/>
          <w:lang w:val="fr-CA"/>
        </w:rPr>
        <w:t>s autochtones</w:t>
      </w:r>
      <w:r w:rsidR="00F31EBB" w:rsidRPr="00673DEA">
        <w:rPr>
          <w:w w:val="110"/>
          <w:sz w:val="24"/>
          <w:szCs w:val="24"/>
          <w:lang w:val="fr-CA"/>
        </w:rPr>
        <w:t>; renouvel</w:t>
      </w:r>
      <w:r w:rsidR="00202AE5" w:rsidRPr="00673DEA">
        <w:rPr>
          <w:w w:val="110"/>
          <w:sz w:val="24"/>
          <w:szCs w:val="24"/>
          <w:lang w:val="fr-CA"/>
        </w:rPr>
        <w:t>er</w:t>
      </w:r>
      <w:r w:rsidR="00F31EBB" w:rsidRPr="00673DEA">
        <w:rPr>
          <w:w w:val="110"/>
          <w:sz w:val="24"/>
          <w:szCs w:val="24"/>
          <w:lang w:val="fr-CA"/>
        </w:rPr>
        <w:t xml:space="preserve"> et reconstru</w:t>
      </w:r>
      <w:r w:rsidR="00202AE5" w:rsidRPr="00673DEA">
        <w:rPr>
          <w:w w:val="110"/>
          <w:sz w:val="24"/>
          <w:szCs w:val="24"/>
          <w:lang w:val="fr-CA"/>
        </w:rPr>
        <w:t>ire</w:t>
      </w:r>
      <w:r w:rsidR="00F31EBB" w:rsidRPr="00673DEA">
        <w:rPr>
          <w:w w:val="110"/>
          <w:sz w:val="24"/>
          <w:szCs w:val="24"/>
          <w:lang w:val="fr-CA"/>
        </w:rPr>
        <w:t xml:space="preserve"> </w:t>
      </w:r>
      <w:r w:rsidR="00202AE5" w:rsidRPr="00673DEA">
        <w:rPr>
          <w:w w:val="110"/>
          <w:sz w:val="24"/>
          <w:szCs w:val="24"/>
          <w:lang w:val="fr-CA"/>
        </w:rPr>
        <w:t>à partir</w:t>
      </w:r>
      <w:r w:rsidR="008B0374" w:rsidRPr="00673DEA">
        <w:rPr>
          <w:w w:val="110"/>
          <w:sz w:val="24"/>
          <w:szCs w:val="24"/>
          <w:lang w:val="fr-CA"/>
        </w:rPr>
        <w:t xml:space="preserve"> </w:t>
      </w:r>
      <w:r w:rsidR="00202AE5" w:rsidRPr="00673DEA">
        <w:rPr>
          <w:w w:val="110"/>
          <w:sz w:val="24"/>
          <w:szCs w:val="24"/>
          <w:lang w:val="fr-CA"/>
        </w:rPr>
        <w:t xml:space="preserve">des </w:t>
      </w:r>
      <w:r w:rsidR="00F31EBB" w:rsidRPr="00673DEA">
        <w:rPr>
          <w:w w:val="110"/>
          <w:sz w:val="24"/>
          <w:szCs w:val="24"/>
          <w:lang w:val="fr-CA"/>
        </w:rPr>
        <w:t>peuples autochtones</w:t>
      </w:r>
      <w:r w:rsidR="008B0374" w:rsidRPr="00673DEA">
        <w:rPr>
          <w:w w:val="110"/>
          <w:sz w:val="24"/>
          <w:szCs w:val="24"/>
          <w:lang w:val="fr-CA"/>
        </w:rPr>
        <w:t xml:space="preserve">, </w:t>
      </w:r>
      <w:r w:rsidR="0085637C" w:rsidRPr="00673DEA">
        <w:rPr>
          <w:w w:val="110"/>
          <w:sz w:val="24"/>
          <w:szCs w:val="24"/>
          <w:lang w:val="fr-CA"/>
        </w:rPr>
        <w:t>voilà ce</w:t>
      </w:r>
      <w:r w:rsidR="007958F8" w:rsidRPr="00673DEA">
        <w:rPr>
          <w:w w:val="110"/>
          <w:sz w:val="24"/>
          <w:szCs w:val="24"/>
          <w:lang w:val="fr-CA"/>
        </w:rPr>
        <w:t xml:space="preserve"> qui</w:t>
      </w:r>
      <w:r w:rsidR="008B0374" w:rsidRPr="00673DEA">
        <w:rPr>
          <w:w w:val="110"/>
          <w:sz w:val="24"/>
          <w:szCs w:val="24"/>
          <w:lang w:val="fr-CA"/>
        </w:rPr>
        <w:t xml:space="preserve"> constitue l</w:t>
      </w:r>
      <w:r w:rsidR="006E3054" w:rsidRPr="00673DEA">
        <w:rPr>
          <w:w w:val="110"/>
          <w:sz w:val="24"/>
          <w:szCs w:val="24"/>
          <w:lang w:val="fr-CA"/>
        </w:rPr>
        <w:t>’accès à</w:t>
      </w:r>
      <w:r w:rsidR="008B0374" w:rsidRPr="00673DEA">
        <w:rPr>
          <w:w w:val="110"/>
          <w:sz w:val="24"/>
          <w:szCs w:val="24"/>
          <w:lang w:val="fr-CA"/>
        </w:rPr>
        <w:t xml:space="preserve"> la connaissance</w:t>
      </w:r>
      <w:r w:rsidR="006E3054" w:rsidRPr="00673DEA">
        <w:rPr>
          <w:w w:val="110"/>
          <w:sz w:val="24"/>
          <w:szCs w:val="24"/>
          <w:lang w:val="fr-CA"/>
        </w:rPr>
        <w:t xml:space="preserve"> à proprement parler</w:t>
      </w:r>
      <w:r w:rsidR="00F31EBB" w:rsidRPr="00673DEA">
        <w:rPr>
          <w:w w:val="110"/>
          <w:sz w:val="24"/>
          <w:szCs w:val="24"/>
          <w:lang w:val="fr-CA"/>
        </w:rPr>
        <w:t>. Hampton</w:t>
      </w:r>
      <w:r w:rsidR="00F31EBB" w:rsidRPr="000D6E51">
        <w:rPr>
          <w:w w:val="110"/>
          <w:sz w:val="24"/>
          <w:szCs w:val="24"/>
          <w:lang w:val="fr-CA"/>
        </w:rPr>
        <w:t xml:space="preserve"> (1995) parle avec éloquence de cette résilience</w:t>
      </w:r>
      <w:r w:rsidR="00A72679">
        <w:rPr>
          <w:w w:val="110"/>
          <w:sz w:val="24"/>
          <w:szCs w:val="24"/>
          <w:lang w:val="fr-CA"/>
        </w:rPr>
        <w:t> :</w:t>
      </w:r>
    </w:p>
    <w:p w14:paraId="2A7D73C0" w14:textId="77777777" w:rsidR="0038455C" w:rsidRPr="000D6E51" w:rsidRDefault="0038455C" w:rsidP="00A06B93">
      <w:pPr>
        <w:pStyle w:val="BodyText"/>
        <w:spacing w:line="360" w:lineRule="auto"/>
        <w:ind w:left="310" w:right="278" w:firstLine="279"/>
        <w:jc w:val="both"/>
        <w:rPr>
          <w:w w:val="110"/>
          <w:sz w:val="24"/>
          <w:szCs w:val="24"/>
          <w:lang w:val="fr-CA"/>
        </w:rPr>
      </w:pPr>
    </w:p>
    <w:p w14:paraId="54234AA0" w14:textId="7E852F01" w:rsidR="00F31EBB" w:rsidRPr="000D6E51"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Les Européens ont pris notre terre, nos vies et nos enfants, à l’image de la neige hivernale escamotant l’herbe. C’est une perte douloureuse, mais la graine continue à vivre malgré la neige. À l’automne, l’herbe meurt et essaime sa graine qui sera recouverte par la neige. La neige se dit peut-être que la graine a disparu, mais celle</w:t>
      </w:r>
      <w:r w:rsidR="00C64A0C" w:rsidRPr="000D6E51">
        <w:rPr>
          <w:w w:val="110"/>
          <w:sz w:val="24"/>
          <w:szCs w:val="24"/>
          <w:lang w:val="fr-CA"/>
        </w:rPr>
        <w:noBreakHyphen/>
      </w:r>
      <w:r w:rsidRPr="000D6E51">
        <w:rPr>
          <w:w w:val="110"/>
          <w:sz w:val="24"/>
          <w:szCs w:val="24"/>
          <w:lang w:val="fr-CA"/>
        </w:rPr>
        <w:t xml:space="preserve">ci continue à vivre </w:t>
      </w:r>
      <w:r w:rsidR="00780B8E" w:rsidRPr="000D6E51">
        <w:rPr>
          <w:w w:val="110"/>
          <w:sz w:val="24"/>
          <w:szCs w:val="24"/>
          <w:lang w:val="fr-CA"/>
        </w:rPr>
        <w:t>cachée</w:t>
      </w:r>
      <w:r w:rsidRPr="000D6E51">
        <w:rPr>
          <w:w w:val="110"/>
          <w:sz w:val="24"/>
          <w:szCs w:val="24"/>
          <w:lang w:val="fr-CA"/>
        </w:rPr>
        <w:t xml:space="preserve"> ou </w:t>
      </w:r>
      <w:r w:rsidR="00C64A0C" w:rsidRPr="000D6E51">
        <w:rPr>
          <w:w w:val="110"/>
          <w:sz w:val="24"/>
          <w:szCs w:val="24"/>
          <w:lang w:val="fr-CA"/>
        </w:rPr>
        <w:t>flottant</w:t>
      </w:r>
      <w:r w:rsidRPr="000D6E51">
        <w:rPr>
          <w:w w:val="110"/>
          <w:sz w:val="24"/>
          <w:szCs w:val="24"/>
          <w:lang w:val="fr-CA"/>
        </w:rPr>
        <w:t xml:space="preserve"> au vent ou accrochée à la branche du progrès. Comment le gland se transforme-t-il en chêne? Parce qu’il sait intimement </w:t>
      </w:r>
      <w:r w:rsidR="00430B42" w:rsidRPr="000D6E51">
        <w:rPr>
          <w:w w:val="110"/>
          <w:sz w:val="24"/>
          <w:szCs w:val="24"/>
          <w:lang w:val="fr-CA"/>
        </w:rPr>
        <w:t>ce qu’</w:t>
      </w:r>
      <w:r w:rsidRPr="000D6E51">
        <w:rPr>
          <w:w w:val="110"/>
          <w:sz w:val="24"/>
          <w:szCs w:val="24"/>
          <w:lang w:val="fr-CA"/>
        </w:rPr>
        <w:t>il est</w:t>
      </w:r>
      <w:r w:rsidR="009A0967">
        <w:rPr>
          <w:w w:val="110"/>
          <w:sz w:val="24"/>
          <w:szCs w:val="24"/>
          <w:lang w:val="fr-CA"/>
        </w:rPr>
        <w:t>,</w:t>
      </w:r>
      <w:r w:rsidRPr="000D6E51">
        <w:rPr>
          <w:w w:val="110"/>
          <w:sz w:val="24"/>
          <w:szCs w:val="24"/>
          <w:lang w:val="fr-CA"/>
        </w:rPr>
        <w:t xml:space="preserve"> et il en va de même pour nous. Nous avons une connaissance intime du cycle de la vie. (</w:t>
      </w:r>
      <w:proofErr w:type="gramStart"/>
      <w:r w:rsidRPr="000D6E51">
        <w:rPr>
          <w:w w:val="110"/>
          <w:sz w:val="24"/>
          <w:szCs w:val="24"/>
          <w:lang w:val="fr-CA"/>
        </w:rPr>
        <w:t>p.</w:t>
      </w:r>
      <w:proofErr w:type="gramEnd"/>
      <w:r w:rsidR="00E32516">
        <w:rPr>
          <w:w w:val="110"/>
          <w:sz w:val="24"/>
          <w:szCs w:val="24"/>
          <w:lang w:val="fr-CA"/>
        </w:rPr>
        <w:t> </w:t>
      </w:r>
      <w:r w:rsidRPr="000D6E51">
        <w:rPr>
          <w:w w:val="110"/>
          <w:sz w:val="24"/>
          <w:szCs w:val="24"/>
          <w:lang w:val="fr-CA"/>
        </w:rPr>
        <w:t>31</w:t>
      </w:r>
      <w:r w:rsidRPr="000D6E51">
        <w:rPr>
          <w:w w:val="110"/>
          <w:sz w:val="24"/>
          <w:szCs w:val="24"/>
          <w:lang w:val="fr-CA"/>
        </w:rPr>
        <w:noBreakHyphen/>
        <w:t>32)</w:t>
      </w:r>
    </w:p>
    <w:p w14:paraId="68F2B2D1" w14:textId="77777777" w:rsidR="00F31EBB" w:rsidRPr="000D6E51" w:rsidRDefault="00F31EBB" w:rsidP="007A384E">
      <w:pPr>
        <w:pStyle w:val="BodyText"/>
        <w:spacing w:line="360" w:lineRule="auto"/>
        <w:ind w:left="310" w:right="278"/>
        <w:jc w:val="both"/>
        <w:rPr>
          <w:w w:val="110"/>
          <w:sz w:val="24"/>
          <w:szCs w:val="24"/>
          <w:lang w:val="fr-CA"/>
        </w:rPr>
      </w:pPr>
    </w:p>
    <w:p w14:paraId="41C2E74C" w14:textId="2ACA5C96" w:rsidR="00F31EBB" w:rsidRPr="000D6E51"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ab/>
        <w:t>Les chercheurs autochtones qui s’intéresse</w:t>
      </w:r>
      <w:r w:rsidR="00545AC6" w:rsidRPr="000D6E51">
        <w:rPr>
          <w:w w:val="110"/>
          <w:sz w:val="24"/>
          <w:szCs w:val="24"/>
          <w:lang w:val="fr-CA"/>
        </w:rPr>
        <w:t>nt</w:t>
      </w:r>
      <w:r w:rsidRPr="000D6E51">
        <w:rPr>
          <w:w w:val="110"/>
          <w:sz w:val="24"/>
          <w:szCs w:val="24"/>
          <w:lang w:val="fr-CA"/>
        </w:rPr>
        <w:t xml:space="preserve"> à l’âme autochtone ont tout intérêt à se pencher sur les langues et les savoirs de leur communauté. </w:t>
      </w:r>
      <w:r w:rsidR="00CF3EA7">
        <w:rPr>
          <w:w w:val="110"/>
          <w:sz w:val="24"/>
          <w:szCs w:val="24"/>
          <w:lang w:val="fr-CA"/>
        </w:rPr>
        <w:t>Il faudra que l</w:t>
      </w:r>
      <w:r w:rsidRPr="000D6E51">
        <w:rPr>
          <w:w w:val="110"/>
          <w:sz w:val="24"/>
          <w:szCs w:val="24"/>
          <w:lang w:val="fr-CA"/>
        </w:rPr>
        <w:t xml:space="preserve">es </w:t>
      </w:r>
      <w:r w:rsidRPr="000D6E51">
        <w:rPr>
          <w:w w:val="110"/>
          <w:sz w:val="24"/>
          <w:szCs w:val="24"/>
          <w:lang w:val="fr-CA"/>
        </w:rPr>
        <w:lastRenderedPageBreak/>
        <w:t>chercheurs non</w:t>
      </w:r>
      <w:r w:rsidR="00CF3EA7">
        <w:rPr>
          <w:w w:val="110"/>
          <w:sz w:val="24"/>
          <w:szCs w:val="24"/>
          <w:lang w:val="fr-CA"/>
        </w:rPr>
        <w:t xml:space="preserve"> </w:t>
      </w:r>
      <w:r w:rsidRPr="000D6E51">
        <w:rPr>
          <w:w w:val="110"/>
          <w:sz w:val="24"/>
          <w:szCs w:val="24"/>
          <w:lang w:val="fr-CA"/>
        </w:rPr>
        <w:t xml:space="preserve">autochtones </w:t>
      </w:r>
      <w:r w:rsidR="00CF3EA7">
        <w:rPr>
          <w:w w:val="110"/>
          <w:sz w:val="24"/>
          <w:szCs w:val="24"/>
          <w:lang w:val="fr-CA"/>
        </w:rPr>
        <w:t>apprennent</w:t>
      </w:r>
      <w:r w:rsidRPr="000D6E51">
        <w:rPr>
          <w:w w:val="110"/>
          <w:sz w:val="24"/>
          <w:szCs w:val="24"/>
          <w:lang w:val="fr-CA"/>
        </w:rPr>
        <w:t xml:space="preserve"> les langues autochtones et se familiarise</w:t>
      </w:r>
      <w:r w:rsidR="00CF3EA7">
        <w:rPr>
          <w:w w:val="110"/>
          <w:sz w:val="24"/>
          <w:szCs w:val="24"/>
          <w:lang w:val="fr-CA"/>
        </w:rPr>
        <w:t>nt</w:t>
      </w:r>
      <w:r w:rsidRPr="000D6E51">
        <w:rPr>
          <w:w w:val="110"/>
          <w:sz w:val="24"/>
          <w:szCs w:val="24"/>
          <w:lang w:val="fr-CA"/>
        </w:rPr>
        <w:t xml:space="preserve"> avec leur vision du monde au lieu d</w:t>
      </w:r>
      <w:r w:rsidR="00742813" w:rsidRPr="000D6E51">
        <w:rPr>
          <w:w w:val="110"/>
          <w:sz w:val="24"/>
          <w:szCs w:val="24"/>
          <w:lang w:val="fr-CA"/>
        </w:rPr>
        <w:t xml:space="preserve">’essayer </w:t>
      </w:r>
      <w:r w:rsidRPr="000D6E51">
        <w:rPr>
          <w:w w:val="110"/>
          <w:sz w:val="24"/>
          <w:szCs w:val="24"/>
          <w:lang w:val="fr-CA"/>
        </w:rPr>
        <w:t xml:space="preserve">de se comporter en oracles. La perspective extérieure des chercheurs eurocentriques peut aider les peuples autochtones à exprimer leurs inquiétudes, mais </w:t>
      </w:r>
      <w:r w:rsidR="00023E5C">
        <w:rPr>
          <w:w w:val="110"/>
          <w:sz w:val="24"/>
          <w:szCs w:val="24"/>
          <w:lang w:val="fr-CA"/>
        </w:rPr>
        <w:t xml:space="preserve">le fait de </w:t>
      </w:r>
      <w:r w:rsidRPr="000D6E51">
        <w:rPr>
          <w:w w:val="110"/>
          <w:sz w:val="24"/>
          <w:szCs w:val="24"/>
          <w:lang w:val="fr-CA"/>
        </w:rPr>
        <w:t>parler au nom des peuples autochtones revient à nier l’autodétermination nécessaire au progrès de l’humanité.</w:t>
      </w:r>
    </w:p>
    <w:p w14:paraId="6D30339C" w14:textId="0B8F560E" w:rsidR="00F31EBB"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ab/>
        <w:t xml:space="preserve">La discrimination </w:t>
      </w:r>
      <w:r w:rsidR="00B9513D">
        <w:rPr>
          <w:w w:val="110"/>
          <w:sz w:val="24"/>
          <w:szCs w:val="24"/>
          <w:lang w:val="fr-CA"/>
        </w:rPr>
        <w:t>est</w:t>
      </w:r>
      <w:r w:rsidRPr="000D6E51">
        <w:rPr>
          <w:w w:val="110"/>
          <w:sz w:val="24"/>
          <w:szCs w:val="24"/>
          <w:lang w:val="fr-CA"/>
        </w:rPr>
        <w:t xml:space="preserve"> défini</w:t>
      </w:r>
      <w:r w:rsidR="00B9513D">
        <w:rPr>
          <w:w w:val="110"/>
          <w:sz w:val="24"/>
          <w:szCs w:val="24"/>
          <w:lang w:val="fr-CA"/>
        </w:rPr>
        <w:t>e</w:t>
      </w:r>
      <w:r w:rsidRPr="000D6E51">
        <w:rPr>
          <w:w w:val="110"/>
          <w:sz w:val="24"/>
          <w:szCs w:val="24"/>
          <w:lang w:val="fr-CA"/>
        </w:rPr>
        <w:t xml:space="preserve">, </w:t>
      </w:r>
      <w:r w:rsidR="00080634">
        <w:rPr>
          <w:w w:val="110"/>
          <w:sz w:val="24"/>
          <w:szCs w:val="24"/>
          <w:lang w:val="fr-CA"/>
        </w:rPr>
        <w:t xml:space="preserve">sur les plans </w:t>
      </w:r>
      <w:r w:rsidR="00F60613">
        <w:rPr>
          <w:w w:val="110"/>
          <w:sz w:val="24"/>
          <w:szCs w:val="24"/>
          <w:lang w:val="fr-CA"/>
        </w:rPr>
        <w:t>inter</w:t>
      </w:r>
      <w:r w:rsidR="00080634">
        <w:rPr>
          <w:w w:val="110"/>
          <w:sz w:val="24"/>
          <w:szCs w:val="24"/>
          <w:lang w:val="fr-CA"/>
        </w:rPr>
        <w:t>national et</w:t>
      </w:r>
      <w:r w:rsidRPr="000D6E51">
        <w:rPr>
          <w:w w:val="110"/>
          <w:sz w:val="24"/>
          <w:szCs w:val="24"/>
          <w:lang w:val="fr-CA"/>
        </w:rPr>
        <w:t xml:space="preserve"> national, comme le traitement injuste de personnes ou le refus de privilèges normaux à des personnes en raison de leur ethnicité, leur âge, leur sexe, leur nationalité ou leur religion. Lorsque ces discriminations sont intégrées aux rouages de l’</w:t>
      </w:r>
      <w:r w:rsidR="00E27297" w:rsidRPr="000D6E51">
        <w:rPr>
          <w:w w:val="110"/>
          <w:sz w:val="24"/>
          <w:szCs w:val="24"/>
          <w:lang w:val="fr-CA"/>
        </w:rPr>
        <w:t>É</w:t>
      </w:r>
      <w:r w:rsidRPr="000D6E51">
        <w:rPr>
          <w:w w:val="110"/>
          <w:sz w:val="24"/>
          <w:szCs w:val="24"/>
          <w:lang w:val="fr-CA"/>
        </w:rPr>
        <w:t>tat, elles peuvent avoir des effets désastreux sur les personnes affectées, allant de séquelles psychologiques graves aux génocides ethnique ou culturel, comme le prouve l’histoire des peuples autochtones. Pour les victimes, la provenance de ces discriminations est secondaire, qu’elles résultent d’action</w:t>
      </w:r>
      <w:r w:rsidR="003105A9" w:rsidRPr="000D6E51">
        <w:rPr>
          <w:w w:val="110"/>
          <w:sz w:val="24"/>
          <w:szCs w:val="24"/>
          <w:lang w:val="fr-CA"/>
        </w:rPr>
        <w:t>s</w:t>
      </w:r>
      <w:r w:rsidRPr="000D6E51">
        <w:rPr>
          <w:w w:val="110"/>
          <w:sz w:val="24"/>
          <w:szCs w:val="24"/>
          <w:lang w:val="fr-CA"/>
        </w:rPr>
        <w:t xml:space="preserve"> de l’É</w:t>
      </w:r>
      <w:r w:rsidR="003105A9" w:rsidRPr="000D6E51">
        <w:rPr>
          <w:w w:val="110"/>
          <w:sz w:val="24"/>
          <w:szCs w:val="24"/>
          <w:lang w:val="fr-CA"/>
        </w:rPr>
        <w:t xml:space="preserve">tat </w:t>
      </w:r>
      <w:r w:rsidRPr="000D6E51">
        <w:rPr>
          <w:w w:val="110"/>
          <w:sz w:val="24"/>
          <w:szCs w:val="24"/>
          <w:lang w:val="fr-CA"/>
        </w:rPr>
        <w:t xml:space="preserve">ou bien d’applications moins </w:t>
      </w:r>
      <w:r w:rsidR="00707CAB" w:rsidRPr="000D6E51">
        <w:rPr>
          <w:w w:val="110"/>
          <w:sz w:val="24"/>
          <w:szCs w:val="24"/>
          <w:lang w:val="fr-CA"/>
        </w:rPr>
        <w:t>palpables</w:t>
      </w:r>
      <w:r w:rsidRPr="000D6E51">
        <w:rPr>
          <w:w w:val="110"/>
          <w:sz w:val="24"/>
          <w:szCs w:val="24"/>
          <w:lang w:val="fr-CA"/>
        </w:rPr>
        <w:t xml:space="preserve"> ou encore de règles de neutralité simplistes. </w:t>
      </w:r>
      <w:r w:rsidR="00B503A5" w:rsidRPr="000D6E51">
        <w:rPr>
          <w:w w:val="110"/>
          <w:sz w:val="24"/>
          <w:szCs w:val="24"/>
          <w:lang w:val="fr-CA"/>
        </w:rPr>
        <w:t>Par ailleurs</w:t>
      </w:r>
      <w:r w:rsidRPr="000D6E51">
        <w:rPr>
          <w:w w:val="110"/>
          <w:sz w:val="24"/>
          <w:szCs w:val="24"/>
          <w:lang w:val="fr-CA"/>
        </w:rPr>
        <w:t xml:space="preserve">, </w:t>
      </w:r>
      <w:r w:rsidR="00B503A5" w:rsidRPr="000D6E51">
        <w:rPr>
          <w:w w:val="110"/>
          <w:sz w:val="24"/>
          <w:szCs w:val="24"/>
          <w:lang w:val="fr-CA"/>
        </w:rPr>
        <w:t xml:space="preserve">il faut que </w:t>
      </w:r>
      <w:r w:rsidRPr="004D73DD">
        <w:rPr>
          <w:w w:val="110"/>
          <w:sz w:val="24"/>
          <w:szCs w:val="24"/>
          <w:lang w:val="fr-CA"/>
        </w:rPr>
        <w:t xml:space="preserve">les </w:t>
      </w:r>
      <w:r w:rsidR="00B503A5" w:rsidRPr="004D73DD">
        <w:rPr>
          <w:w w:val="110"/>
          <w:sz w:val="24"/>
          <w:szCs w:val="24"/>
          <w:lang w:val="fr-CA"/>
        </w:rPr>
        <w:t>É</w:t>
      </w:r>
      <w:r w:rsidRPr="004D73DD">
        <w:rPr>
          <w:w w:val="110"/>
          <w:sz w:val="24"/>
          <w:szCs w:val="24"/>
          <w:lang w:val="fr-CA"/>
        </w:rPr>
        <w:t xml:space="preserve">tats </w:t>
      </w:r>
      <w:r w:rsidR="00B503A5" w:rsidRPr="004D73DD">
        <w:rPr>
          <w:w w:val="110"/>
          <w:sz w:val="24"/>
          <w:szCs w:val="24"/>
          <w:lang w:val="fr-CA"/>
        </w:rPr>
        <w:t>définissent</w:t>
      </w:r>
      <w:r w:rsidRPr="004D73DD">
        <w:rPr>
          <w:w w:val="110"/>
          <w:sz w:val="24"/>
          <w:szCs w:val="24"/>
          <w:lang w:val="fr-CA"/>
        </w:rPr>
        <w:t xml:space="preserve"> des mesures de protection, </w:t>
      </w:r>
      <w:proofErr w:type="gramStart"/>
      <w:r w:rsidR="001F6BD2">
        <w:rPr>
          <w:w w:val="110"/>
          <w:sz w:val="24"/>
          <w:szCs w:val="24"/>
          <w:lang w:val="fr-CA"/>
        </w:rPr>
        <w:t xml:space="preserve">qu’elles </w:t>
      </w:r>
      <w:r w:rsidR="00E20426" w:rsidRPr="004D73DD">
        <w:rPr>
          <w:w w:val="110"/>
          <w:sz w:val="24"/>
          <w:szCs w:val="24"/>
          <w:lang w:val="fr-CA"/>
        </w:rPr>
        <w:t>soit</w:t>
      </w:r>
      <w:proofErr w:type="gramEnd"/>
      <w:r w:rsidR="00E20426" w:rsidRPr="004D73DD">
        <w:rPr>
          <w:w w:val="110"/>
          <w:sz w:val="24"/>
          <w:szCs w:val="24"/>
          <w:lang w:val="fr-CA"/>
        </w:rPr>
        <w:t xml:space="preserve"> d’inspiration locale</w:t>
      </w:r>
      <w:r w:rsidR="001F6BD2">
        <w:rPr>
          <w:w w:val="110"/>
          <w:sz w:val="24"/>
          <w:szCs w:val="24"/>
          <w:lang w:val="fr-CA"/>
        </w:rPr>
        <w:t xml:space="preserve"> ou </w:t>
      </w:r>
      <w:r w:rsidR="00E20426" w:rsidRPr="004D73DD">
        <w:rPr>
          <w:w w:val="110"/>
          <w:sz w:val="24"/>
          <w:szCs w:val="24"/>
          <w:lang w:val="fr-CA"/>
        </w:rPr>
        <w:t>définies à l’échelle nationale</w:t>
      </w:r>
      <w:r w:rsidRPr="004D73DD">
        <w:rPr>
          <w:w w:val="110"/>
          <w:sz w:val="24"/>
          <w:szCs w:val="24"/>
          <w:lang w:val="fr-CA"/>
        </w:rPr>
        <w:t>. Alors que les communautés</w:t>
      </w:r>
      <w:r w:rsidRPr="000D6E51">
        <w:rPr>
          <w:w w:val="110"/>
          <w:sz w:val="24"/>
          <w:szCs w:val="24"/>
          <w:lang w:val="fr-CA"/>
        </w:rPr>
        <w:t xml:space="preserve"> </w:t>
      </w:r>
      <w:r w:rsidR="00E5652E" w:rsidRPr="000D6E51">
        <w:rPr>
          <w:w w:val="110"/>
          <w:sz w:val="24"/>
          <w:szCs w:val="24"/>
          <w:lang w:val="fr-CA"/>
        </w:rPr>
        <w:t>élaborent</w:t>
      </w:r>
      <w:r w:rsidRPr="000D6E51">
        <w:rPr>
          <w:w w:val="110"/>
          <w:sz w:val="24"/>
          <w:szCs w:val="24"/>
          <w:lang w:val="fr-CA"/>
        </w:rPr>
        <w:t xml:space="preserve"> leurs priorités, </w:t>
      </w:r>
      <w:r w:rsidR="000B6A7F">
        <w:rPr>
          <w:w w:val="110"/>
          <w:sz w:val="24"/>
          <w:szCs w:val="24"/>
          <w:lang w:val="fr-CA"/>
        </w:rPr>
        <w:t>il ne faut pas que l</w:t>
      </w:r>
      <w:r w:rsidR="008A2FD7">
        <w:rPr>
          <w:w w:val="110"/>
          <w:sz w:val="24"/>
          <w:szCs w:val="24"/>
          <w:lang w:val="fr-CA"/>
        </w:rPr>
        <w:t>es</w:t>
      </w:r>
      <w:r w:rsidRPr="000D6E51">
        <w:rPr>
          <w:w w:val="110"/>
          <w:sz w:val="24"/>
          <w:szCs w:val="24"/>
          <w:lang w:val="fr-CA"/>
        </w:rPr>
        <w:t xml:space="preserve"> établissements d’enseignement supérieur </w:t>
      </w:r>
      <w:r w:rsidR="000B6A7F">
        <w:rPr>
          <w:w w:val="110"/>
          <w:sz w:val="24"/>
          <w:szCs w:val="24"/>
          <w:lang w:val="fr-CA"/>
        </w:rPr>
        <w:t xml:space="preserve">imposent </w:t>
      </w:r>
      <w:r w:rsidRPr="000D6E51">
        <w:rPr>
          <w:w w:val="110"/>
          <w:sz w:val="24"/>
          <w:szCs w:val="24"/>
          <w:lang w:val="fr-CA"/>
        </w:rPr>
        <w:t xml:space="preserve">des normes </w:t>
      </w:r>
      <w:r w:rsidR="000B6A7F">
        <w:rPr>
          <w:w w:val="110"/>
          <w:sz w:val="24"/>
          <w:szCs w:val="24"/>
          <w:lang w:val="fr-CA"/>
        </w:rPr>
        <w:t>sans associer les</w:t>
      </w:r>
      <w:r w:rsidRPr="000D6E51">
        <w:rPr>
          <w:w w:val="110"/>
          <w:sz w:val="24"/>
          <w:szCs w:val="24"/>
          <w:lang w:val="fr-CA"/>
        </w:rPr>
        <w:t xml:space="preserve"> commun</w:t>
      </w:r>
      <w:r w:rsidR="00EC502D">
        <w:rPr>
          <w:w w:val="110"/>
          <w:sz w:val="24"/>
          <w:szCs w:val="24"/>
          <w:lang w:val="fr-CA"/>
        </w:rPr>
        <w:t>au</w:t>
      </w:r>
      <w:r w:rsidRPr="000D6E51">
        <w:rPr>
          <w:w w:val="110"/>
          <w:sz w:val="24"/>
          <w:szCs w:val="24"/>
          <w:lang w:val="fr-CA"/>
        </w:rPr>
        <w:t>tés autochtones qui souhaitent administrer leur propre savoir et sont habilité</w:t>
      </w:r>
      <w:r w:rsidR="00FC1234" w:rsidRPr="000D6E51">
        <w:rPr>
          <w:w w:val="110"/>
          <w:sz w:val="24"/>
          <w:szCs w:val="24"/>
          <w:lang w:val="fr-CA"/>
        </w:rPr>
        <w:t>e</w:t>
      </w:r>
      <w:r w:rsidRPr="000D6E51">
        <w:rPr>
          <w:w w:val="110"/>
          <w:sz w:val="24"/>
          <w:szCs w:val="24"/>
          <w:lang w:val="fr-CA"/>
        </w:rPr>
        <w:t>s à le faire. De plus, bien que la notion d’éducation égalitaire soit perçue différemment selon les groupes, il est clair que, comme l’affirme Minnick (1990) :</w:t>
      </w:r>
    </w:p>
    <w:p w14:paraId="6C9353EC" w14:textId="77777777" w:rsidR="0038455C" w:rsidRPr="000D6E51" w:rsidRDefault="0038455C" w:rsidP="007A384E">
      <w:pPr>
        <w:pStyle w:val="BodyText"/>
        <w:spacing w:line="360" w:lineRule="auto"/>
        <w:ind w:left="310" w:right="278"/>
        <w:jc w:val="both"/>
        <w:rPr>
          <w:w w:val="110"/>
          <w:sz w:val="24"/>
          <w:szCs w:val="24"/>
          <w:lang w:val="fr-CA"/>
        </w:rPr>
      </w:pPr>
    </w:p>
    <w:p w14:paraId="3A49D7F4" w14:textId="0E357F59" w:rsidR="00F31EBB" w:rsidRDefault="00F31EBB" w:rsidP="0038455C">
      <w:pPr>
        <w:pStyle w:val="BodyText"/>
        <w:spacing w:line="360" w:lineRule="auto"/>
        <w:ind w:left="310" w:right="278"/>
        <w:jc w:val="both"/>
        <w:rPr>
          <w:w w:val="110"/>
          <w:sz w:val="24"/>
          <w:szCs w:val="24"/>
          <w:lang w:val="fr-CA"/>
        </w:rPr>
      </w:pPr>
      <w:r w:rsidRPr="000D6E51">
        <w:rPr>
          <w:w w:val="110"/>
          <w:sz w:val="24"/>
          <w:szCs w:val="24"/>
          <w:lang w:val="fr-CA"/>
        </w:rPr>
        <w:t xml:space="preserve">Ce que nous savons, c’est que l’éducation égalitaire </w:t>
      </w:r>
      <w:r w:rsidR="00931746">
        <w:rPr>
          <w:w w:val="110"/>
          <w:sz w:val="24"/>
          <w:szCs w:val="24"/>
          <w:lang w:val="fr-CA"/>
        </w:rPr>
        <w:t>(</w:t>
      </w:r>
      <w:r w:rsidR="00C27D22" w:rsidRPr="000D6E51">
        <w:rPr>
          <w:w w:val="110"/>
          <w:sz w:val="24"/>
          <w:szCs w:val="24"/>
          <w:lang w:val="fr-CA"/>
        </w:rPr>
        <w:t>quel que soit le sens qui lui soit donné</w:t>
      </w:r>
      <w:r w:rsidR="00931746">
        <w:rPr>
          <w:w w:val="110"/>
          <w:sz w:val="24"/>
          <w:szCs w:val="24"/>
          <w:lang w:val="fr-CA"/>
        </w:rPr>
        <w:t xml:space="preserve">) </w:t>
      </w:r>
      <w:r w:rsidRPr="000D6E51">
        <w:rPr>
          <w:w w:val="110"/>
          <w:sz w:val="24"/>
          <w:szCs w:val="24"/>
          <w:lang w:val="fr-CA"/>
        </w:rPr>
        <w:t>pour toutes les femmes</w:t>
      </w:r>
      <w:r w:rsidR="00AE3D61">
        <w:rPr>
          <w:w w:val="110"/>
          <w:sz w:val="24"/>
          <w:szCs w:val="24"/>
          <w:lang w:val="fr-CA"/>
        </w:rPr>
        <w:t>,</w:t>
      </w:r>
      <w:r w:rsidRPr="000D6E51">
        <w:rPr>
          <w:w w:val="110"/>
          <w:sz w:val="24"/>
          <w:szCs w:val="24"/>
          <w:lang w:val="fr-CA"/>
        </w:rPr>
        <w:t xml:space="preserve"> quel</w:t>
      </w:r>
      <w:r w:rsidR="001B0B76">
        <w:rPr>
          <w:w w:val="110"/>
          <w:sz w:val="24"/>
          <w:szCs w:val="24"/>
          <w:lang w:val="fr-CA"/>
        </w:rPr>
        <w:t>s</w:t>
      </w:r>
      <w:r w:rsidRPr="000D6E51">
        <w:rPr>
          <w:w w:val="110"/>
          <w:sz w:val="24"/>
          <w:szCs w:val="24"/>
          <w:lang w:val="fr-CA"/>
        </w:rPr>
        <w:t xml:space="preserve"> que soi</w:t>
      </w:r>
      <w:r w:rsidR="001B0B76">
        <w:rPr>
          <w:w w:val="110"/>
          <w:sz w:val="24"/>
          <w:szCs w:val="24"/>
          <w:lang w:val="fr-CA"/>
        </w:rPr>
        <w:t>en</w:t>
      </w:r>
      <w:r w:rsidRPr="000D6E51">
        <w:rPr>
          <w:w w:val="110"/>
          <w:sz w:val="24"/>
          <w:szCs w:val="24"/>
          <w:lang w:val="fr-CA"/>
        </w:rPr>
        <w:t>t leur</w:t>
      </w:r>
      <w:r w:rsidR="001B0B76">
        <w:rPr>
          <w:w w:val="110"/>
          <w:sz w:val="24"/>
          <w:szCs w:val="24"/>
          <w:lang w:val="fr-CA"/>
        </w:rPr>
        <w:t>s</w:t>
      </w:r>
      <w:r w:rsidRPr="000D6E51">
        <w:rPr>
          <w:w w:val="110"/>
          <w:sz w:val="24"/>
          <w:szCs w:val="24"/>
          <w:lang w:val="fr-CA"/>
        </w:rPr>
        <w:t xml:space="preserve"> groupe</w:t>
      </w:r>
      <w:r w:rsidR="001B0B76">
        <w:rPr>
          <w:w w:val="110"/>
          <w:sz w:val="24"/>
          <w:szCs w:val="24"/>
          <w:lang w:val="fr-CA"/>
        </w:rPr>
        <w:t>s</w:t>
      </w:r>
      <w:r w:rsidRPr="000D6E51">
        <w:rPr>
          <w:w w:val="110"/>
          <w:sz w:val="24"/>
          <w:szCs w:val="24"/>
          <w:lang w:val="fr-CA"/>
        </w:rPr>
        <w:t xml:space="preserve"> d’origine</w:t>
      </w:r>
      <w:r w:rsidR="00AE3D61">
        <w:rPr>
          <w:w w:val="110"/>
          <w:sz w:val="24"/>
          <w:szCs w:val="24"/>
          <w:lang w:val="fr-CA"/>
        </w:rPr>
        <w:t>,</w:t>
      </w:r>
      <w:r w:rsidRPr="000D6E51">
        <w:rPr>
          <w:w w:val="110"/>
          <w:sz w:val="24"/>
          <w:szCs w:val="24"/>
          <w:lang w:val="fr-CA"/>
        </w:rPr>
        <w:t xml:space="preserve"> et pour les hommes de groupes défavorisés</w:t>
      </w:r>
      <w:r w:rsidR="00927E9F">
        <w:rPr>
          <w:w w:val="110"/>
          <w:sz w:val="24"/>
          <w:szCs w:val="24"/>
          <w:lang w:val="fr-CA"/>
        </w:rPr>
        <w:t> </w:t>
      </w:r>
      <w:r w:rsidRPr="000D6E51">
        <w:rPr>
          <w:w w:val="110"/>
          <w:sz w:val="24"/>
          <w:szCs w:val="24"/>
          <w:lang w:val="fr-CA"/>
        </w:rPr>
        <w:t xml:space="preserve">ne saurait être celle qui a été élaborée </w:t>
      </w:r>
      <w:r w:rsidR="007C7982" w:rsidRPr="000D6E51">
        <w:rPr>
          <w:w w:val="110"/>
          <w:sz w:val="24"/>
          <w:szCs w:val="24"/>
          <w:lang w:val="fr-CA"/>
        </w:rPr>
        <w:t>au sein d’</w:t>
      </w:r>
      <w:r w:rsidRPr="000D6E51">
        <w:rPr>
          <w:w w:val="110"/>
          <w:sz w:val="24"/>
          <w:szCs w:val="24"/>
          <w:lang w:val="fr-CA"/>
        </w:rPr>
        <w:t xml:space="preserve">une culture fondée sur l’exclusion. Nous ne pourrons juger de ce qui est adéquat et de ce qui ne l’est pas dans une situation donnée qu’à partir du moment où nous particulariserons ce qui a été défini </w:t>
      </w:r>
      <w:r w:rsidR="005A51C1" w:rsidRPr="000D6E51">
        <w:rPr>
          <w:w w:val="110"/>
          <w:sz w:val="24"/>
          <w:szCs w:val="24"/>
          <w:lang w:val="fr-CA"/>
        </w:rPr>
        <w:t xml:space="preserve">jusqu’ici </w:t>
      </w:r>
      <w:r w:rsidRPr="000D6E51">
        <w:rPr>
          <w:w w:val="110"/>
          <w:sz w:val="24"/>
          <w:szCs w:val="24"/>
          <w:lang w:val="fr-CA"/>
        </w:rPr>
        <w:t>comme universel. (</w:t>
      </w:r>
      <w:proofErr w:type="gramStart"/>
      <w:r w:rsidRPr="000D6E51">
        <w:rPr>
          <w:w w:val="110"/>
          <w:sz w:val="24"/>
          <w:szCs w:val="24"/>
          <w:lang w:val="fr-CA"/>
        </w:rPr>
        <w:t>p.</w:t>
      </w:r>
      <w:proofErr w:type="gramEnd"/>
      <w:r w:rsidRPr="000D6E51">
        <w:rPr>
          <w:w w:val="110"/>
          <w:sz w:val="24"/>
          <w:szCs w:val="24"/>
          <w:lang w:val="fr-CA"/>
        </w:rPr>
        <w:t> 109)</w:t>
      </w:r>
    </w:p>
    <w:p w14:paraId="31417F93" w14:textId="77777777" w:rsidR="0038455C" w:rsidRPr="000D6E51" w:rsidRDefault="0038455C" w:rsidP="0038455C">
      <w:pPr>
        <w:pStyle w:val="BodyText"/>
        <w:spacing w:line="360" w:lineRule="auto"/>
        <w:ind w:left="310" w:right="278"/>
        <w:jc w:val="both"/>
        <w:rPr>
          <w:w w:val="110"/>
          <w:sz w:val="24"/>
          <w:szCs w:val="24"/>
          <w:lang w:val="fr-CA"/>
        </w:rPr>
      </w:pPr>
    </w:p>
    <w:p w14:paraId="3DEE6C01" w14:textId="3BA6313F" w:rsidR="00F31EBB" w:rsidRPr="000D6E51"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ab/>
        <w:t xml:space="preserve">Pour les États-nations, y compris le Canada, ceci représente une occasion exceptionnelle </w:t>
      </w:r>
      <w:r w:rsidR="000D6E51" w:rsidRPr="000D6E51">
        <w:rPr>
          <w:w w:val="110"/>
          <w:sz w:val="24"/>
          <w:szCs w:val="24"/>
          <w:lang w:val="fr-CA"/>
        </w:rPr>
        <w:t xml:space="preserve">d’entrevoir </w:t>
      </w:r>
      <w:r w:rsidRPr="000D6E51">
        <w:rPr>
          <w:w w:val="110"/>
          <w:sz w:val="24"/>
          <w:szCs w:val="24"/>
          <w:lang w:val="fr-CA"/>
        </w:rPr>
        <w:t>une autre vision de l</w:t>
      </w:r>
      <w:r w:rsidR="00237F47">
        <w:rPr>
          <w:w w:val="110"/>
          <w:sz w:val="24"/>
          <w:szCs w:val="24"/>
          <w:lang w:val="fr-CA"/>
        </w:rPr>
        <w:t>’</w:t>
      </w:r>
      <w:r w:rsidRPr="000D6E51">
        <w:rPr>
          <w:w w:val="110"/>
          <w:sz w:val="24"/>
          <w:szCs w:val="24"/>
          <w:lang w:val="fr-CA"/>
        </w:rPr>
        <w:t xml:space="preserve">humanité. Il faut qu’ils comprennent l’humanité autochtone et ses manifestations en faisant abstraction de tout </w:t>
      </w:r>
      <w:r w:rsidRPr="000D6E51">
        <w:rPr>
          <w:w w:val="110"/>
          <w:sz w:val="24"/>
          <w:szCs w:val="24"/>
          <w:lang w:val="fr-CA"/>
        </w:rPr>
        <w:lastRenderedPageBreak/>
        <w:t xml:space="preserve">paternalisme et de </w:t>
      </w:r>
      <w:r w:rsidR="00CF761A">
        <w:rPr>
          <w:w w:val="110"/>
          <w:sz w:val="24"/>
          <w:szCs w:val="24"/>
          <w:lang w:val="fr-CA"/>
        </w:rPr>
        <w:t xml:space="preserve">toute </w:t>
      </w:r>
      <w:r w:rsidRPr="000D6E51">
        <w:rPr>
          <w:w w:val="110"/>
          <w:sz w:val="24"/>
          <w:szCs w:val="24"/>
          <w:lang w:val="fr-CA"/>
        </w:rPr>
        <w:t xml:space="preserve">condescendance. Concrètement, cela signifie que les peuples autochtones doivent être associés à toutes les étapes et </w:t>
      </w:r>
      <w:r w:rsidR="00783A39">
        <w:rPr>
          <w:w w:val="110"/>
          <w:sz w:val="24"/>
          <w:szCs w:val="24"/>
          <w:lang w:val="fr-CA"/>
        </w:rPr>
        <w:t xml:space="preserve">toutes </w:t>
      </w:r>
      <w:r w:rsidRPr="000D6E51">
        <w:rPr>
          <w:w w:val="110"/>
          <w:sz w:val="24"/>
          <w:szCs w:val="24"/>
          <w:lang w:val="fr-CA"/>
        </w:rPr>
        <w:t xml:space="preserve">les phases de leur programme, comme l’exprime le document du Groupe de travail des Nations Unies intitulé </w:t>
      </w:r>
      <w:r w:rsidRPr="000D6E51">
        <w:rPr>
          <w:i/>
          <w:iCs/>
          <w:w w:val="110"/>
          <w:sz w:val="24"/>
          <w:szCs w:val="24"/>
          <w:lang w:val="fr-CA"/>
        </w:rPr>
        <w:t xml:space="preserve">Principes et directives pour la protection des peuples </w:t>
      </w:r>
      <w:commentRangeStart w:id="2"/>
      <w:r w:rsidRPr="000D6E51">
        <w:rPr>
          <w:i/>
          <w:iCs/>
          <w:w w:val="110"/>
          <w:sz w:val="24"/>
          <w:szCs w:val="24"/>
          <w:lang w:val="fr-CA"/>
        </w:rPr>
        <w:t>autochtones</w:t>
      </w:r>
      <w:commentRangeEnd w:id="2"/>
      <w:r w:rsidRPr="000D6E51">
        <w:rPr>
          <w:rStyle w:val="CommentReference"/>
          <w:i/>
          <w:iCs/>
          <w:sz w:val="24"/>
          <w:szCs w:val="24"/>
          <w:lang w:val="fr-CA"/>
        </w:rPr>
        <w:commentReference w:id="2"/>
      </w:r>
      <w:r w:rsidRPr="000D6E51">
        <w:rPr>
          <w:i/>
          <w:iCs/>
          <w:w w:val="110"/>
          <w:sz w:val="24"/>
          <w:szCs w:val="24"/>
          <w:lang w:val="fr-CA"/>
        </w:rPr>
        <w:t xml:space="preserve"> </w:t>
      </w:r>
      <w:r w:rsidRPr="000D6E51">
        <w:rPr>
          <w:w w:val="110"/>
          <w:sz w:val="24"/>
          <w:szCs w:val="24"/>
          <w:lang w:val="fr-CA"/>
        </w:rPr>
        <w:t>(1993). C’est donc l’occasion, pour chaque État-nation, de s</w:t>
      </w:r>
      <w:r w:rsidR="002E7647">
        <w:rPr>
          <w:w w:val="110"/>
          <w:sz w:val="24"/>
          <w:szCs w:val="24"/>
          <w:lang w:val="fr-CA"/>
        </w:rPr>
        <w:t xml:space="preserve">’atteler </w:t>
      </w:r>
      <w:r w:rsidRPr="000D6E51">
        <w:rPr>
          <w:w w:val="110"/>
          <w:sz w:val="24"/>
          <w:szCs w:val="24"/>
          <w:lang w:val="fr-CA"/>
        </w:rPr>
        <w:t>désormais à la protection de l’humanité, à réparer les dommages et les pertes dont les peuples autochtones ont souffert en matière de langues, de culture, de biens, et de permettre aux communautés autochtones d’assurer la pérennité de leur savoir.</w:t>
      </w:r>
    </w:p>
    <w:p w14:paraId="7EB23D53" w14:textId="218B981F" w:rsidR="00F31EBB" w:rsidRPr="000D6E51" w:rsidRDefault="00F31EBB" w:rsidP="007A384E">
      <w:pPr>
        <w:pStyle w:val="BodyText"/>
        <w:spacing w:line="360" w:lineRule="auto"/>
        <w:rPr>
          <w:sz w:val="24"/>
          <w:szCs w:val="24"/>
          <w:lang w:val="fr-CA"/>
        </w:rPr>
      </w:pPr>
      <w:r w:rsidRPr="000D6E51">
        <w:rPr>
          <w:noProof/>
          <w:sz w:val="24"/>
          <w:szCs w:val="24"/>
          <w:lang w:val="fr-CA"/>
        </w:rPr>
        <mc:AlternateContent>
          <mc:Choice Requires="wps">
            <w:drawing>
              <wp:anchor distT="0" distB="0" distL="114300" distR="114300" simplePos="0" relativeHeight="251660288" behindDoc="0" locked="0" layoutInCell="1" allowOverlap="1" wp14:anchorId="34914D5D" wp14:editId="5B748E7F">
                <wp:simplePos x="0" y="0"/>
                <wp:positionH relativeFrom="page">
                  <wp:posOffset>10795</wp:posOffset>
                </wp:positionH>
                <wp:positionV relativeFrom="page">
                  <wp:posOffset>6885305</wp:posOffset>
                </wp:positionV>
                <wp:extent cx="0" cy="0"/>
                <wp:effectExtent l="10795" t="6875780" r="17780" b="6871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DE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542.15pt" to=".85pt,5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" strokeweight=".594mm">
                <w10:wrap anchorx="page" anchory="page"/>
              </v:line>
            </w:pict>
          </mc:Fallback>
        </mc:AlternateContent>
      </w:r>
    </w:p>
    <w:p w14:paraId="16E786A0" w14:textId="77777777" w:rsidR="00F31EBB" w:rsidRPr="000D6E51" w:rsidRDefault="00F31EBB" w:rsidP="007A384E">
      <w:pPr>
        <w:pStyle w:val="BodyText"/>
        <w:spacing w:line="360" w:lineRule="auto"/>
        <w:rPr>
          <w:i/>
          <w:sz w:val="24"/>
          <w:szCs w:val="24"/>
          <w:lang w:val="fr-CA"/>
        </w:rPr>
      </w:pPr>
    </w:p>
    <w:p w14:paraId="26E70784" w14:textId="77777777" w:rsidR="00F31EBB" w:rsidRPr="000D6E51" w:rsidRDefault="00F31EBB" w:rsidP="007A384E">
      <w:pPr>
        <w:spacing w:after="0" w:line="360" w:lineRule="auto"/>
        <w:rPr>
          <w:sz w:val="24"/>
          <w:szCs w:val="24"/>
          <w:lang w:val="fr-CA"/>
        </w:rPr>
      </w:pPr>
    </w:p>
    <w:sectPr w:rsidR="00F31EBB" w:rsidRPr="000D6E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aurence Ibrahim Aibo" w:date="2019-09-30T07:22:00Z" w:initials="LIA">
    <w:p w14:paraId="24196099" w14:textId="6F0D3E4A" w:rsidR="00CB432A" w:rsidRDefault="00CB432A">
      <w:pPr>
        <w:pStyle w:val="CommentText"/>
      </w:pPr>
      <w:r>
        <w:rPr>
          <w:rStyle w:val="CommentReference"/>
        </w:rPr>
        <w:annotationRef/>
      </w:r>
      <w:r>
        <w:t>The source text mentions “it”. I inferred from the context that “it” most likely referred to “linguistic competence” which is the topic of that paragraph.</w:t>
      </w:r>
    </w:p>
  </w:comment>
  <w:comment w:id="2" w:author="Laurence Ibrahim Aibo" w:date="2019-09-26T14:45:00Z" w:initials="LIA">
    <w:p w14:paraId="49CF269E" w14:textId="77777777" w:rsidR="00DA7808" w:rsidRDefault="00F31EBB" w:rsidP="00F31EBB">
      <w:pPr>
        <w:pStyle w:val="CommentText"/>
      </w:pPr>
      <w:r>
        <w:rPr>
          <w:rStyle w:val="CommentReference"/>
        </w:rPr>
        <w:annotationRef/>
      </w:r>
      <w:r>
        <w:t>The title of this 1993 doc</w:t>
      </w:r>
      <w:r w:rsidRPr="00492478">
        <w:t xml:space="preserve">ument </w:t>
      </w:r>
      <w:r>
        <w:t>seems to be the following</w:t>
      </w:r>
      <w:r w:rsidRPr="00492478">
        <w:t xml:space="preserve"> “Principles and guidelines for the protection </w:t>
      </w:r>
      <w:r w:rsidRPr="00492478">
        <w:rPr>
          <w:highlight w:val="yellow"/>
        </w:rPr>
        <w:t>of the heritage</w:t>
      </w:r>
      <w:r w:rsidRPr="00492478">
        <w:t xml:space="preserve"> of indigenous peoples”</w:t>
      </w:r>
    </w:p>
    <w:p w14:paraId="4B246A23" w14:textId="1D5FF3C8" w:rsidR="00F31EBB" w:rsidRDefault="00F31EBB" w:rsidP="00F31EBB">
      <w:pPr>
        <w:pStyle w:val="CommentText"/>
      </w:pPr>
      <w:r>
        <w:rPr>
          <w:b/>
          <w:bCs/>
        </w:rPr>
        <w:t>(</w:t>
      </w:r>
      <w:hyperlink r:id="rId1" w:history="1">
        <w:r>
          <w:rPr>
            <w:rStyle w:val="Hyperlink"/>
          </w:rPr>
          <w:t>https://unterm.un.org/UNTERM/Display/Record/UNOG/NA?OriginalId=56871</w:t>
        </w:r>
      </w:hyperlink>
      <w:r>
        <w:t xml:space="preserve"> and </w:t>
      </w:r>
      <w:hyperlink r:id="rId2" w:history="1">
        <w:r>
          <w:rPr>
            <w:rStyle w:val="Hyperlink"/>
          </w:rPr>
          <w:t>http://www.gitpa.org/Processus%20GITPA%20200/GITPA200-29RESSOURCESDOCU1995_DAES_patrimoine.pdf</w:t>
        </w:r>
      </w:hyperlink>
      <w:r>
        <w:t>). My translation, however, reflects what is written in the source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196099" w15:done="0"/>
  <w15:commentEx w15:paraId="4B246A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96099" w16cid:durableId="213C2BBC"/>
  <w16cid:commentId w16cid:paraId="4B246A23" w16cid:durableId="21374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3E255" w14:textId="77777777" w:rsidR="00D45960" w:rsidRDefault="00D45960" w:rsidP="00CB432A">
      <w:pPr>
        <w:spacing w:after="0" w:line="240" w:lineRule="auto"/>
      </w:pPr>
      <w:r>
        <w:separator/>
      </w:r>
    </w:p>
  </w:endnote>
  <w:endnote w:type="continuationSeparator" w:id="0">
    <w:p w14:paraId="71ADCDBB" w14:textId="77777777" w:rsidR="00D45960" w:rsidRDefault="00D45960" w:rsidP="00CB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C123" w14:textId="77777777" w:rsidR="00EE01BD" w:rsidRDefault="00EE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64497" w14:textId="77777777" w:rsidR="00EE01BD" w:rsidRDefault="00EE0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97D7" w14:textId="77777777" w:rsidR="00EE01BD" w:rsidRDefault="00EE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736D" w14:textId="77777777" w:rsidR="00D45960" w:rsidRDefault="00D45960" w:rsidP="00CB432A">
      <w:pPr>
        <w:spacing w:after="0" w:line="240" w:lineRule="auto"/>
      </w:pPr>
      <w:r>
        <w:separator/>
      </w:r>
    </w:p>
  </w:footnote>
  <w:footnote w:type="continuationSeparator" w:id="0">
    <w:p w14:paraId="55BB25D3" w14:textId="77777777" w:rsidR="00D45960" w:rsidRDefault="00D45960" w:rsidP="00CB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B3A96" w14:textId="77777777" w:rsidR="00EE01BD" w:rsidRDefault="00EE0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70ED" w14:textId="77777777" w:rsidR="00EE01BD" w:rsidRDefault="00EE0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21B65" w14:textId="77777777" w:rsidR="00EE01BD" w:rsidRDefault="00EE01B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B"/>
    <w:rsid w:val="00003931"/>
    <w:rsid w:val="00015769"/>
    <w:rsid w:val="00023E5C"/>
    <w:rsid w:val="00052374"/>
    <w:rsid w:val="00080634"/>
    <w:rsid w:val="00093295"/>
    <w:rsid w:val="000B6A7F"/>
    <w:rsid w:val="000B73EF"/>
    <w:rsid w:val="000D6E51"/>
    <w:rsid w:val="000E677C"/>
    <w:rsid w:val="00101712"/>
    <w:rsid w:val="00107C52"/>
    <w:rsid w:val="001A13F0"/>
    <w:rsid w:val="001B0B76"/>
    <w:rsid w:val="001B1D21"/>
    <w:rsid w:val="001D0379"/>
    <w:rsid w:val="001D2AF5"/>
    <w:rsid w:val="001F3D91"/>
    <w:rsid w:val="001F6BD2"/>
    <w:rsid w:val="00202AE5"/>
    <w:rsid w:val="00237F47"/>
    <w:rsid w:val="0025326C"/>
    <w:rsid w:val="00254BBE"/>
    <w:rsid w:val="002A113E"/>
    <w:rsid w:val="002D2ED9"/>
    <w:rsid w:val="002D3BFA"/>
    <w:rsid w:val="002E7647"/>
    <w:rsid w:val="00305019"/>
    <w:rsid w:val="003105A9"/>
    <w:rsid w:val="003277D7"/>
    <w:rsid w:val="00335D93"/>
    <w:rsid w:val="00340008"/>
    <w:rsid w:val="0035222B"/>
    <w:rsid w:val="0038455C"/>
    <w:rsid w:val="0038797E"/>
    <w:rsid w:val="003924A7"/>
    <w:rsid w:val="003C07ED"/>
    <w:rsid w:val="00430B42"/>
    <w:rsid w:val="004867EB"/>
    <w:rsid w:val="00497232"/>
    <w:rsid w:val="004D73DD"/>
    <w:rsid w:val="004E12A0"/>
    <w:rsid w:val="0052171F"/>
    <w:rsid w:val="00545AC6"/>
    <w:rsid w:val="00575C10"/>
    <w:rsid w:val="00592307"/>
    <w:rsid w:val="00596705"/>
    <w:rsid w:val="005A51C1"/>
    <w:rsid w:val="005B24B6"/>
    <w:rsid w:val="005B77B2"/>
    <w:rsid w:val="005C361D"/>
    <w:rsid w:val="00600F94"/>
    <w:rsid w:val="006232C7"/>
    <w:rsid w:val="00633142"/>
    <w:rsid w:val="006440E0"/>
    <w:rsid w:val="006446E6"/>
    <w:rsid w:val="00651DD7"/>
    <w:rsid w:val="0066744D"/>
    <w:rsid w:val="00673DEA"/>
    <w:rsid w:val="006B3569"/>
    <w:rsid w:val="006B3594"/>
    <w:rsid w:val="006E3054"/>
    <w:rsid w:val="006F5C67"/>
    <w:rsid w:val="00701320"/>
    <w:rsid w:val="00707CAB"/>
    <w:rsid w:val="00742813"/>
    <w:rsid w:val="00780B8E"/>
    <w:rsid w:val="00783A39"/>
    <w:rsid w:val="007958F8"/>
    <w:rsid w:val="007A384E"/>
    <w:rsid w:val="007C7982"/>
    <w:rsid w:val="007F26BF"/>
    <w:rsid w:val="0083698E"/>
    <w:rsid w:val="0085637C"/>
    <w:rsid w:val="00896407"/>
    <w:rsid w:val="008A2FD7"/>
    <w:rsid w:val="008B0374"/>
    <w:rsid w:val="008B21A9"/>
    <w:rsid w:val="008F0C4B"/>
    <w:rsid w:val="008F1F45"/>
    <w:rsid w:val="00927E9F"/>
    <w:rsid w:val="00931746"/>
    <w:rsid w:val="0094251C"/>
    <w:rsid w:val="009A0967"/>
    <w:rsid w:val="009B4D3C"/>
    <w:rsid w:val="009F54AC"/>
    <w:rsid w:val="009F561B"/>
    <w:rsid w:val="00A06B93"/>
    <w:rsid w:val="00A47979"/>
    <w:rsid w:val="00A54690"/>
    <w:rsid w:val="00A54D47"/>
    <w:rsid w:val="00A72679"/>
    <w:rsid w:val="00AE3D61"/>
    <w:rsid w:val="00B07821"/>
    <w:rsid w:val="00B13226"/>
    <w:rsid w:val="00B47866"/>
    <w:rsid w:val="00B503A5"/>
    <w:rsid w:val="00B6577D"/>
    <w:rsid w:val="00B93153"/>
    <w:rsid w:val="00B9513D"/>
    <w:rsid w:val="00BC088A"/>
    <w:rsid w:val="00BC58EE"/>
    <w:rsid w:val="00BD6756"/>
    <w:rsid w:val="00BE1617"/>
    <w:rsid w:val="00C219E4"/>
    <w:rsid w:val="00C27D22"/>
    <w:rsid w:val="00C50F9A"/>
    <w:rsid w:val="00C64A0C"/>
    <w:rsid w:val="00CA7B0B"/>
    <w:rsid w:val="00CB432A"/>
    <w:rsid w:val="00CF0273"/>
    <w:rsid w:val="00CF3EA7"/>
    <w:rsid w:val="00CF761A"/>
    <w:rsid w:val="00D12A10"/>
    <w:rsid w:val="00D14B75"/>
    <w:rsid w:val="00D15DBD"/>
    <w:rsid w:val="00D23EA5"/>
    <w:rsid w:val="00D27BD2"/>
    <w:rsid w:val="00D45960"/>
    <w:rsid w:val="00D960CF"/>
    <w:rsid w:val="00DA7808"/>
    <w:rsid w:val="00DE3275"/>
    <w:rsid w:val="00DE42EC"/>
    <w:rsid w:val="00DE6721"/>
    <w:rsid w:val="00E20426"/>
    <w:rsid w:val="00E27297"/>
    <w:rsid w:val="00E32516"/>
    <w:rsid w:val="00E52539"/>
    <w:rsid w:val="00E5652E"/>
    <w:rsid w:val="00E770CA"/>
    <w:rsid w:val="00E93A1E"/>
    <w:rsid w:val="00EA25D6"/>
    <w:rsid w:val="00EC502D"/>
    <w:rsid w:val="00EC661F"/>
    <w:rsid w:val="00EE01BD"/>
    <w:rsid w:val="00F31EBB"/>
    <w:rsid w:val="00F439FE"/>
    <w:rsid w:val="00F56C43"/>
    <w:rsid w:val="00F60613"/>
    <w:rsid w:val="00F959AA"/>
    <w:rsid w:val="00F97210"/>
    <w:rsid w:val="00FC1234"/>
    <w:rsid w:val="00FD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5FBB"/>
  <w15:chartTrackingRefBased/>
  <w15:docId w15:val="{4FEC1A76-F31D-444D-96EA-3E1CF82E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31EBB"/>
    <w:pPr>
      <w:widowControl w:val="0"/>
      <w:autoSpaceDE w:val="0"/>
      <w:autoSpaceDN w:val="0"/>
      <w:spacing w:before="154" w:after="0" w:line="240" w:lineRule="auto"/>
      <w:ind w:left="298"/>
      <w:outlineLvl w:val="1"/>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EBB"/>
    <w:rPr>
      <w:rFonts w:ascii="Times New Roman" w:eastAsia="Times New Roman" w:hAnsi="Times New Roman" w:cs="Times New Roman"/>
      <w:i/>
    </w:rPr>
  </w:style>
  <w:style w:type="paragraph" w:styleId="BodyText">
    <w:name w:val="Body Text"/>
    <w:basedOn w:val="Normal"/>
    <w:link w:val="BodyTextChar"/>
    <w:uiPriority w:val="1"/>
    <w:qFormat/>
    <w:rsid w:val="00F31EBB"/>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F31EBB"/>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F31EBB"/>
    <w:rPr>
      <w:sz w:val="16"/>
      <w:szCs w:val="16"/>
    </w:rPr>
  </w:style>
  <w:style w:type="paragraph" w:styleId="CommentText">
    <w:name w:val="annotation text"/>
    <w:basedOn w:val="Normal"/>
    <w:link w:val="CommentTextChar"/>
    <w:uiPriority w:val="99"/>
    <w:semiHidden/>
    <w:unhideWhenUsed/>
    <w:rsid w:val="00F31EB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31EBB"/>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F31EBB"/>
    <w:rPr>
      <w:color w:val="0000FF"/>
      <w:u w:val="single"/>
    </w:rPr>
  </w:style>
  <w:style w:type="paragraph" w:styleId="BalloonText">
    <w:name w:val="Balloon Text"/>
    <w:basedOn w:val="Normal"/>
    <w:link w:val="BalloonTextChar"/>
    <w:uiPriority w:val="99"/>
    <w:semiHidden/>
    <w:unhideWhenUsed/>
    <w:rsid w:val="00F31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BB"/>
    <w:rPr>
      <w:rFonts w:ascii="Segoe UI" w:hAnsi="Segoe UI" w:cs="Segoe UI"/>
      <w:sz w:val="18"/>
      <w:szCs w:val="18"/>
    </w:rPr>
  </w:style>
  <w:style w:type="paragraph" w:styleId="FootnoteText">
    <w:name w:val="footnote text"/>
    <w:basedOn w:val="Normal"/>
    <w:link w:val="FootnoteTextChar"/>
    <w:uiPriority w:val="99"/>
    <w:semiHidden/>
    <w:unhideWhenUsed/>
    <w:rsid w:val="00CB4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32A"/>
    <w:rPr>
      <w:sz w:val="20"/>
      <w:szCs w:val="20"/>
    </w:rPr>
  </w:style>
  <w:style w:type="character" w:styleId="FootnoteReference">
    <w:name w:val="footnote reference"/>
    <w:basedOn w:val="DefaultParagraphFont"/>
    <w:uiPriority w:val="99"/>
    <w:semiHidden/>
    <w:unhideWhenUsed/>
    <w:rsid w:val="00CB432A"/>
    <w:rPr>
      <w:vertAlign w:val="superscript"/>
    </w:rPr>
  </w:style>
  <w:style w:type="paragraph" w:styleId="CommentSubject">
    <w:name w:val="annotation subject"/>
    <w:basedOn w:val="CommentText"/>
    <w:next w:val="CommentText"/>
    <w:link w:val="CommentSubjectChar"/>
    <w:uiPriority w:val="99"/>
    <w:semiHidden/>
    <w:unhideWhenUsed/>
    <w:rsid w:val="00CB432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432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E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BD"/>
  </w:style>
  <w:style w:type="paragraph" w:styleId="Footer">
    <w:name w:val="footer"/>
    <w:basedOn w:val="Normal"/>
    <w:link w:val="FooterChar"/>
    <w:uiPriority w:val="99"/>
    <w:unhideWhenUsed/>
    <w:rsid w:val="00EE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gitpa.org/Processus%20GITPA%20200/GITPA200-29RESSOURCESDOCU1995_DAES_patrimoine.pdf" TargetMode="External"/><Relationship Id="rId1" Type="http://schemas.openxmlformats.org/officeDocument/2006/relationships/hyperlink" Target="https://unterm.un.org/UNTERM/Display/Record/UNOG/NA?OriginalId=56871"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344A-A784-43AE-A602-BF3234E5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Ibrahim Aibo</dc:creator>
  <cp:keywords/>
  <dc:description/>
  <cp:lastModifiedBy>Laurence Ibrahim Aibo</cp:lastModifiedBy>
  <cp:revision>173</cp:revision>
  <dcterms:created xsi:type="dcterms:W3CDTF">2019-09-26T19:00:00Z</dcterms:created>
  <dcterms:modified xsi:type="dcterms:W3CDTF">2019-09-30T12:21:00Z</dcterms:modified>
</cp:coreProperties>
</file>