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E687" w14:textId="686E2F48" w:rsidR="00BD4930" w:rsidRPr="008C3E9E" w:rsidRDefault="00BD4930" w:rsidP="008C3E9E">
      <w:pPr>
        <w:spacing w:after="120" w:line="360" w:lineRule="auto"/>
        <w:jc w:val="center"/>
        <w:rPr>
          <w:rFonts w:asciiTheme="majorBidi" w:hAnsiTheme="majorBidi" w:cstheme="majorBidi"/>
          <w:b/>
          <w:sz w:val="24"/>
          <w:szCs w:val="24"/>
        </w:rPr>
      </w:pPr>
      <w:r w:rsidRPr="005D2631">
        <w:rPr>
          <w:rFonts w:asciiTheme="majorBidi" w:hAnsiTheme="majorBidi" w:cstheme="majorBidi"/>
          <w:b/>
          <w:sz w:val="24"/>
          <w:szCs w:val="24"/>
        </w:rPr>
        <w:t>The Semiotics of the Mosque</w:t>
      </w:r>
      <w:r w:rsidR="008C3E9E">
        <w:rPr>
          <w:rFonts w:asciiTheme="majorBidi" w:hAnsiTheme="majorBidi" w:cstheme="majorBidi"/>
          <w:b/>
          <w:sz w:val="24"/>
          <w:szCs w:val="24"/>
        </w:rPr>
        <w:t xml:space="preserve"> –</w:t>
      </w:r>
      <w:r w:rsidRPr="005D2631">
        <w:rPr>
          <w:rFonts w:asciiTheme="majorBidi" w:hAnsiTheme="majorBidi" w:cstheme="majorBidi"/>
          <w:b/>
          <w:sz w:val="24"/>
          <w:szCs w:val="24"/>
        </w:rPr>
        <w:t xml:space="preserve"> Friday Prayers and the </w:t>
      </w:r>
      <w:proofErr w:type="spellStart"/>
      <w:r w:rsidRPr="005D2631">
        <w:rPr>
          <w:rFonts w:asciiTheme="majorBidi" w:hAnsiTheme="majorBidi" w:cstheme="majorBidi"/>
          <w:b/>
          <w:sz w:val="24"/>
          <w:szCs w:val="24"/>
        </w:rPr>
        <w:t>Ka</w:t>
      </w:r>
      <w:r w:rsidR="00711895">
        <w:rPr>
          <w:rFonts w:asciiTheme="majorBidi" w:hAnsiTheme="majorBidi" w:cstheme="majorBidi"/>
          <w:b/>
          <w:sz w:val="24"/>
          <w:szCs w:val="24"/>
        </w:rPr>
        <w:t>’</w:t>
      </w:r>
      <w:r w:rsidRPr="005D2631">
        <w:rPr>
          <w:rFonts w:asciiTheme="majorBidi" w:hAnsiTheme="majorBidi" w:cstheme="majorBidi"/>
          <w:b/>
          <w:sz w:val="24"/>
          <w:szCs w:val="24"/>
        </w:rPr>
        <w:t>abah</w:t>
      </w:r>
      <w:proofErr w:type="spellEnd"/>
      <w:r w:rsidRPr="005D2631">
        <w:rPr>
          <w:rFonts w:asciiTheme="majorBidi" w:hAnsiTheme="majorBidi" w:cstheme="majorBidi"/>
          <w:b/>
          <w:sz w:val="24"/>
          <w:szCs w:val="24"/>
        </w:rPr>
        <w:t xml:space="preserve"> in Islam</w:t>
      </w:r>
    </w:p>
    <w:p w14:paraId="40FC7CD2" w14:textId="77777777" w:rsidR="00863C33" w:rsidRPr="005D2631" w:rsidRDefault="00863C33" w:rsidP="005D2631">
      <w:pPr>
        <w:spacing w:after="120" w:line="360" w:lineRule="auto"/>
        <w:jc w:val="both"/>
        <w:rPr>
          <w:rFonts w:asciiTheme="majorBidi" w:hAnsiTheme="majorBidi" w:cstheme="majorBidi"/>
          <w:b/>
          <w:bCs/>
          <w:sz w:val="24"/>
          <w:szCs w:val="24"/>
          <w:rtl/>
        </w:rPr>
      </w:pPr>
    </w:p>
    <w:p w14:paraId="314D4B79" w14:textId="06DEDB18" w:rsidR="004A08C9" w:rsidRPr="005D2631" w:rsidRDefault="007D42EE" w:rsidP="005D2631">
      <w:pPr>
        <w:spacing w:after="120" w:line="360" w:lineRule="auto"/>
        <w:jc w:val="both"/>
        <w:rPr>
          <w:rFonts w:asciiTheme="majorBidi" w:hAnsiTheme="majorBidi" w:cstheme="majorBidi"/>
          <w:sz w:val="24"/>
          <w:szCs w:val="24"/>
        </w:rPr>
      </w:pPr>
      <w:r w:rsidRPr="005D2631">
        <w:rPr>
          <w:rFonts w:asciiTheme="majorBidi" w:hAnsiTheme="majorBidi" w:cstheme="majorBidi"/>
          <w:sz w:val="24"/>
          <w:szCs w:val="24"/>
        </w:rPr>
        <w:t xml:space="preserve">Communal prayers in the mosque are held on Fridays, the holy day of the week in Islam, although there is no prohibition to work </w:t>
      </w:r>
      <w:r w:rsidR="00886688">
        <w:rPr>
          <w:rFonts w:asciiTheme="majorBidi" w:hAnsiTheme="majorBidi" w:cstheme="majorBidi"/>
          <w:sz w:val="24"/>
          <w:szCs w:val="24"/>
        </w:rPr>
        <w:t xml:space="preserve">on this day </w:t>
      </w:r>
      <w:r w:rsidRPr="005D2631">
        <w:rPr>
          <w:rFonts w:asciiTheme="majorBidi" w:hAnsiTheme="majorBidi" w:cstheme="majorBidi"/>
          <w:sz w:val="24"/>
          <w:szCs w:val="24"/>
        </w:rPr>
        <w:t>as in Judaism. Men are obliged to take part in th</w:t>
      </w:r>
      <w:r w:rsidR="0073347E">
        <w:rPr>
          <w:rFonts w:asciiTheme="majorBidi" w:hAnsiTheme="majorBidi" w:cstheme="majorBidi"/>
          <w:sz w:val="24"/>
          <w:szCs w:val="24"/>
        </w:rPr>
        <w:t>ese</w:t>
      </w:r>
      <w:r w:rsidRPr="005D2631">
        <w:rPr>
          <w:rFonts w:asciiTheme="majorBidi" w:hAnsiTheme="majorBidi" w:cstheme="majorBidi"/>
          <w:sz w:val="24"/>
          <w:szCs w:val="24"/>
        </w:rPr>
        <w:t xml:space="preserve"> prayer</w:t>
      </w:r>
      <w:r w:rsidR="0073347E">
        <w:rPr>
          <w:rFonts w:asciiTheme="majorBidi" w:hAnsiTheme="majorBidi" w:cstheme="majorBidi"/>
          <w:sz w:val="24"/>
          <w:szCs w:val="24"/>
        </w:rPr>
        <w:t>s</w:t>
      </w:r>
      <w:r w:rsidR="005A2EEE">
        <w:rPr>
          <w:rFonts w:asciiTheme="majorBidi" w:hAnsiTheme="majorBidi" w:cstheme="majorBidi"/>
          <w:sz w:val="24"/>
          <w:szCs w:val="24"/>
        </w:rPr>
        <w:t>,</w:t>
      </w:r>
      <w:r w:rsidRPr="005D2631">
        <w:rPr>
          <w:rFonts w:asciiTheme="majorBidi" w:hAnsiTheme="majorBidi" w:cstheme="majorBidi"/>
          <w:sz w:val="24"/>
          <w:szCs w:val="24"/>
        </w:rPr>
        <w:t xml:space="preserve"> which generally require a quorum of forty males. The prayers are held </w:t>
      </w:r>
      <w:r w:rsidRPr="00715517">
        <w:rPr>
          <w:rFonts w:asciiTheme="majorBidi" w:hAnsiTheme="majorBidi" w:cstheme="majorBidi"/>
          <w:sz w:val="24"/>
          <w:szCs w:val="24"/>
        </w:rPr>
        <w:t xml:space="preserve">anywhere in the </w:t>
      </w:r>
      <w:r w:rsidR="00715517">
        <w:rPr>
          <w:rFonts w:asciiTheme="majorBidi" w:hAnsiTheme="majorBidi" w:cstheme="majorBidi"/>
          <w:sz w:val="24"/>
          <w:szCs w:val="24"/>
        </w:rPr>
        <w:t>great</w:t>
      </w:r>
      <w:r w:rsidRPr="005D2631">
        <w:rPr>
          <w:rFonts w:asciiTheme="majorBidi" w:hAnsiTheme="majorBidi" w:cstheme="majorBidi"/>
          <w:sz w:val="24"/>
          <w:szCs w:val="24"/>
        </w:rPr>
        <w:t xml:space="preserve"> Al-</w:t>
      </w:r>
      <w:proofErr w:type="spellStart"/>
      <w:r w:rsidRPr="005D2631">
        <w:rPr>
          <w:rFonts w:asciiTheme="majorBidi" w:hAnsiTheme="majorBidi" w:cstheme="majorBidi"/>
          <w:sz w:val="24"/>
          <w:szCs w:val="24"/>
        </w:rPr>
        <w:t>Jum’ah</w:t>
      </w:r>
      <w:proofErr w:type="spellEnd"/>
      <w:r w:rsidRPr="005D2631">
        <w:rPr>
          <w:rFonts w:asciiTheme="majorBidi" w:hAnsiTheme="majorBidi" w:cstheme="majorBidi"/>
          <w:sz w:val="24"/>
          <w:szCs w:val="24"/>
        </w:rPr>
        <w:t xml:space="preserve"> Mosque. There is no fundamental difference between communal prayers and regular personal prayers, the main distinction being the addition of two communal </w:t>
      </w:r>
      <w:proofErr w:type="spellStart"/>
      <w:r w:rsidRPr="007C6C5A">
        <w:rPr>
          <w:rFonts w:asciiTheme="majorBidi" w:hAnsiTheme="majorBidi" w:cstheme="majorBidi"/>
          <w:i/>
          <w:iCs/>
          <w:sz w:val="24"/>
          <w:szCs w:val="24"/>
        </w:rPr>
        <w:t>rak</w:t>
      </w:r>
      <w:r w:rsidR="00711895" w:rsidRPr="007C6C5A">
        <w:rPr>
          <w:rFonts w:asciiTheme="majorBidi" w:hAnsiTheme="majorBidi" w:cstheme="majorBidi"/>
          <w:i/>
          <w:iCs/>
          <w:sz w:val="24"/>
          <w:szCs w:val="24"/>
        </w:rPr>
        <w:t>’</w:t>
      </w:r>
      <w:r w:rsidRPr="007C6C5A">
        <w:rPr>
          <w:rFonts w:asciiTheme="majorBidi" w:hAnsiTheme="majorBidi" w:cstheme="majorBidi"/>
          <w:i/>
          <w:iCs/>
          <w:sz w:val="24"/>
          <w:szCs w:val="24"/>
        </w:rPr>
        <w:t>ats</w:t>
      </w:r>
      <w:proofErr w:type="spellEnd"/>
      <w:r w:rsidR="00467B78">
        <w:rPr>
          <w:rFonts w:asciiTheme="majorBidi" w:hAnsiTheme="majorBidi" w:cstheme="majorBidi"/>
          <w:sz w:val="24"/>
          <w:szCs w:val="24"/>
        </w:rPr>
        <w:t>,</w:t>
      </w:r>
      <w:r w:rsidRPr="007C6C5A">
        <w:rPr>
          <w:rFonts w:asciiTheme="majorBidi" w:hAnsiTheme="majorBidi" w:cstheme="majorBidi"/>
          <w:sz w:val="24"/>
          <w:szCs w:val="24"/>
        </w:rPr>
        <w:t xml:space="preserve"> </w:t>
      </w:r>
      <w:commentRangeStart w:id="0"/>
      <w:r w:rsidRPr="007C6C5A">
        <w:rPr>
          <w:rFonts w:asciiTheme="majorBidi" w:hAnsiTheme="majorBidi" w:cstheme="majorBidi"/>
          <w:sz w:val="24"/>
          <w:szCs w:val="24"/>
        </w:rPr>
        <w:t>a</w:t>
      </w:r>
      <w:r w:rsidRPr="005D2631">
        <w:rPr>
          <w:rFonts w:asciiTheme="majorBidi" w:hAnsiTheme="majorBidi" w:cstheme="majorBidi"/>
          <w:sz w:val="24"/>
          <w:szCs w:val="24"/>
        </w:rPr>
        <w:t>s</w:t>
      </w:r>
      <w:commentRangeEnd w:id="0"/>
      <w:r w:rsidR="00F75D3A">
        <w:rPr>
          <w:rStyle w:val="a7"/>
        </w:rPr>
        <w:commentReference w:id="0"/>
      </w:r>
      <w:r w:rsidRPr="005D2631">
        <w:rPr>
          <w:rFonts w:asciiTheme="majorBidi" w:hAnsiTheme="majorBidi" w:cstheme="majorBidi"/>
          <w:sz w:val="24"/>
          <w:szCs w:val="24"/>
        </w:rPr>
        <w:t xml:space="preserve"> well as </w:t>
      </w:r>
      <w:r w:rsidR="00645907">
        <w:rPr>
          <w:rFonts w:asciiTheme="majorBidi" w:hAnsiTheme="majorBidi" w:cstheme="majorBidi"/>
          <w:sz w:val="24"/>
          <w:szCs w:val="24"/>
        </w:rPr>
        <w:t xml:space="preserve">the need to </w:t>
      </w:r>
      <w:r w:rsidRPr="005D2631">
        <w:rPr>
          <w:rFonts w:asciiTheme="majorBidi" w:hAnsiTheme="majorBidi" w:cstheme="majorBidi"/>
          <w:sz w:val="24"/>
          <w:szCs w:val="24"/>
        </w:rPr>
        <w:t xml:space="preserve">listen to the sermon prior to them. The communal prayer is led by the </w:t>
      </w:r>
      <w:r w:rsidRPr="005D2631">
        <w:rPr>
          <w:rFonts w:asciiTheme="majorBidi" w:hAnsiTheme="majorBidi" w:cstheme="majorBidi"/>
          <w:i/>
          <w:iCs/>
          <w:sz w:val="24"/>
          <w:szCs w:val="24"/>
        </w:rPr>
        <w:t>Imam</w:t>
      </w:r>
      <w:r w:rsidRPr="005D2631">
        <w:rPr>
          <w:rFonts w:asciiTheme="majorBidi" w:hAnsiTheme="majorBidi" w:cstheme="majorBidi"/>
          <w:sz w:val="24"/>
          <w:szCs w:val="24"/>
        </w:rPr>
        <w:t xml:space="preserve"> or prayer leader (Lazarus-</w:t>
      </w:r>
      <w:proofErr w:type="spellStart"/>
      <w:r w:rsidRPr="005D2631">
        <w:rPr>
          <w:rFonts w:asciiTheme="majorBidi" w:hAnsiTheme="majorBidi" w:cstheme="majorBidi"/>
          <w:sz w:val="24"/>
          <w:szCs w:val="24"/>
        </w:rPr>
        <w:t>Yafeh</w:t>
      </w:r>
      <w:proofErr w:type="spellEnd"/>
      <w:r w:rsidRPr="005D2631">
        <w:rPr>
          <w:rFonts w:asciiTheme="majorBidi" w:hAnsiTheme="majorBidi" w:cstheme="majorBidi"/>
          <w:sz w:val="24"/>
          <w:szCs w:val="24"/>
        </w:rPr>
        <w:t>, 1984</w:t>
      </w:r>
      <w:r w:rsidR="00CA4871">
        <w:rPr>
          <w:rFonts w:asciiTheme="majorBidi" w:hAnsiTheme="majorBidi" w:cstheme="majorBidi"/>
          <w:sz w:val="24"/>
          <w:szCs w:val="24"/>
        </w:rPr>
        <w:t>, p.</w:t>
      </w:r>
      <w:r w:rsidR="00CC7609">
        <w:rPr>
          <w:rFonts w:asciiTheme="majorBidi" w:hAnsiTheme="majorBidi" w:cstheme="majorBidi"/>
          <w:sz w:val="24"/>
          <w:szCs w:val="24"/>
        </w:rPr>
        <w:t xml:space="preserve"> </w:t>
      </w:r>
      <w:r w:rsidRPr="005D2631">
        <w:rPr>
          <w:rFonts w:asciiTheme="majorBidi" w:hAnsiTheme="majorBidi" w:cstheme="majorBidi"/>
          <w:sz w:val="24"/>
          <w:szCs w:val="24"/>
        </w:rPr>
        <w:t xml:space="preserve">96). He stands in front of the </w:t>
      </w:r>
      <w:commentRangeStart w:id="1"/>
      <w:r w:rsidR="005A2EEE">
        <w:rPr>
          <w:rFonts w:asciiTheme="majorBidi" w:hAnsiTheme="majorBidi" w:cstheme="majorBidi"/>
          <w:i/>
          <w:iCs/>
          <w:sz w:val="24"/>
          <w:szCs w:val="24"/>
          <w:highlight w:val="yellow"/>
        </w:rPr>
        <w:t>m</w:t>
      </w:r>
      <w:r w:rsidRPr="005D2631">
        <w:rPr>
          <w:rFonts w:asciiTheme="majorBidi" w:hAnsiTheme="majorBidi" w:cstheme="majorBidi"/>
          <w:i/>
          <w:iCs/>
          <w:sz w:val="24"/>
          <w:szCs w:val="24"/>
          <w:highlight w:val="yellow"/>
        </w:rPr>
        <w:t>ihrab</w:t>
      </w:r>
      <w:commentRangeEnd w:id="1"/>
      <w:r w:rsidR="006E44C7">
        <w:rPr>
          <w:rStyle w:val="a7"/>
        </w:rPr>
        <w:commentReference w:id="1"/>
      </w:r>
      <w:r w:rsidRPr="005D2631">
        <w:rPr>
          <w:rFonts w:asciiTheme="majorBidi" w:hAnsiTheme="majorBidi" w:cstheme="majorBidi"/>
          <w:sz w:val="24"/>
          <w:szCs w:val="24"/>
        </w:rPr>
        <w:t xml:space="preserve"> and his body movements are a silent signal to the entire congregation behind him to follow his lead. The great mosques were built crosswise so that the broad rows of people praying there would be able to see the </w:t>
      </w:r>
      <w:r w:rsidRPr="005D2631">
        <w:rPr>
          <w:rFonts w:asciiTheme="majorBidi" w:hAnsiTheme="majorBidi" w:cstheme="majorBidi"/>
          <w:i/>
          <w:iCs/>
          <w:sz w:val="24"/>
          <w:szCs w:val="24"/>
        </w:rPr>
        <w:t>Imam</w:t>
      </w:r>
      <w:r w:rsidRPr="005D2631">
        <w:rPr>
          <w:rFonts w:asciiTheme="majorBidi" w:hAnsiTheme="majorBidi" w:cstheme="majorBidi"/>
          <w:sz w:val="24"/>
          <w:szCs w:val="24"/>
        </w:rPr>
        <w:t xml:space="preserve">. In later mosques, which were not built in the form of a simple rectangle, they built a specially elevated position for the deputy </w:t>
      </w:r>
      <w:r w:rsidRPr="005D2631">
        <w:rPr>
          <w:rFonts w:asciiTheme="majorBidi" w:hAnsiTheme="majorBidi" w:cstheme="majorBidi"/>
          <w:i/>
          <w:iCs/>
          <w:sz w:val="24"/>
          <w:szCs w:val="24"/>
        </w:rPr>
        <w:t>Imam</w:t>
      </w:r>
      <w:r w:rsidRPr="005D2631">
        <w:rPr>
          <w:rFonts w:asciiTheme="majorBidi" w:hAnsiTheme="majorBidi" w:cstheme="majorBidi"/>
          <w:sz w:val="24"/>
          <w:szCs w:val="24"/>
        </w:rPr>
        <w:t xml:space="preserve">, who is clearly visible from a distance to all those praying, and he would convey to them the movements of the head </w:t>
      </w:r>
      <w:r w:rsidRPr="005D2631">
        <w:rPr>
          <w:rFonts w:asciiTheme="majorBidi" w:hAnsiTheme="majorBidi" w:cstheme="majorBidi"/>
          <w:i/>
          <w:iCs/>
          <w:sz w:val="24"/>
          <w:szCs w:val="24"/>
        </w:rPr>
        <w:t>Imam</w:t>
      </w:r>
      <w:r w:rsidRPr="005D2631">
        <w:rPr>
          <w:rFonts w:asciiTheme="majorBidi" w:hAnsiTheme="majorBidi" w:cstheme="majorBidi"/>
          <w:sz w:val="24"/>
          <w:szCs w:val="24"/>
        </w:rPr>
        <w:t xml:space="preserve">. The preacher or </w:t>
      </w:r>
      <w:r w:rsidRPr="005D2631">
        <w:rPr>
          <w:rFonts w:asciiTheme="majorBidi" w:hAnsiTheme="majorBidi" w:cstheme="majorBidi"/>
          <w:i/>
          <w:iCs/>
          <w:sz w:val="24"/>
          <w:szCs w:val="24"/>
        </w:rPr>
        <w:t>Khatib</w:t>
      </w:r>
      <w:r w:rsidRPr="005D2631">
        <w:rPr>
          <w:rFonts w:asciiTheme="majorBidi" w:hAnsiTheme="majorBidi" w:cstheme="majorBidi"/>
          <w:sz w:val="24"/>
          <w:szCs w:val="24"/>
        </w:rPr>
        <w:t xml:space="preserve"> delivers the double sermon prior to the Friday prayers and does so while standing on the steps of the </w:t>
      </w:r>
      <w:r w:rsidRPr="005D2631">
        <w:rPr>
          <w:rFonts w:asciiTheme="majorBidi" w:hAnsiTheme="majorBidi" w:cstheme="majorBidi"/>
          <w:i/>
          <w:iCs/>
          <w:sz w:val="24"/>
          <w:szCs w:val="24"/>
        </w:rPr>
        <w:t>minbar</w:t>
      </w:r>
      <w:r w:rsidRPr="005D2631">
        <w:rPr>
          <w:rFonts w:asciiTheme="majorBidi" w:hAnsiTheme="majorBidi" w:cstheme="majorBidi"/>
          <w:sz w:val="24"/>
          <w:szCs w:val="24"/>
        </w:rPr>
        <w:t xml:space="preserve"> or pulpit (according to the custom – he leans on a bow, </w:t>
      </w:r>
      <w:proofErr w:type="gramStart"/>
      <w:r w:rsidRPr="005D2631">
        <w:rPr>
          <w:rFonts w:asciiTheme="majorBidi" w:hAnsiTheme="majorBidi" w:cstheme="majorBidi"/>
          <w:sz w:val="24"/>
          <w:szCs w:val="24"/>
        </w:rPr>
        <w:t>sword</w:t>
      </w:r>
      <w:proofErr w:type="gramEnd"/>
      <w:r w:rsidRPr="005D2631">
        <w:rPr>
          <w:rFonts w:asciiTheme="majorBidi" w:hAnsiTheme="majorBidi" w:cstheme="majorBidi"/>
          <w:sz w:val="24"/>
          <w:szCs w:val="24"/>
        </w:rPr>
        <w:t xml:space="preserve"> or cane), and </w:t>
      </w:r>
      <w:r w:rsidR="00D81C46">
        <w:rPr>
          <w:rFonts w:asciiTheme="majorBidi" w:hAnsiTheme="majorBidi" w:cstheme="majorBidi"/>
          <w:sz w:val="24"/>
          <w:szCs w:val="24"/>
        </w:rPr>
        <w:t xml:space="preserve">he then </w:t>
      </w:r>
      <w:r w:rsidRPr="005D2631">
        <w:rPr>
          <w:rFonts w:asciiTheme="majorBidi" w:hAnsiTheme="majorBidi" w:cstheme="majorBidi"/>
          <w:sz w:val="24"/>
          <w:szCs w:val="24"/>
        </w:rPr>
        <w:t>returns to his seat in the interval between the two sermons. Blessings to Allah, the Prophet, the rulers</w:t>
      </w:r>
      <w:r w:rsidR="009C0564">
        <w:rPr>
          <w:rFonts w:asciiTheme="majorBidi" w:hAnsiTheme="majorBidi" w:cstheme="majorBidi"/>
          <w:sz w:val="24"/>
          <w:szCs w:val="24"/>
        </w:rPr>
        <w:t>,</w:t>
      </w:r>
      <w:r w:rsidRPr="005D2631">
        <w:rPr>
          <w:rFonts w:asciiTheme="majorBidi" w:hAnsiTheme="majorBidi" w:cstheme="majorBidi"/>
          <w:sz w:val="24"/>
          <w:szCs w:val="24"/>
        </w:rPr>
        <w:t xml:space="preserve"> and believers take pride of place in the sermon, accompanied by quotes from the </w:t>
      </w:r>
      <w:r w:rsidRPr="00EA408A">
        <w:rPr>
          <w:rFonts w:asciiTheme="majorBidi" w:hAnsiTheme="majorBidi" w:cstheme="majorBidi"/>
          <w:i/>
          <w:iCs/>
          <w:sz w:val="24"/>
          <w:szCs w:val="24"/>
        </w:rPr>
        <w:t>Qur’an</w:t>
      </w:r>
      <w:r w:rsidRPr="00EA408A">
        <w:rPr>
          <w:rFonts w:asciiTheme="majorBidi" w:hAnsiTheme="majorBidi" w:cstheme="majorBidi"/>
          <w:sz w:val="24"/>
          <w:szCs w:val="24"/>
        </w:rPr>
        <w:t xml:space="preserve"> according to a set formula.</w:t>
      </w:r>
      <w:r w:rsidRPr="005D2631">
        <w:rPr>
          <w:rFonts w:asciiTheme="majorBidi" w:hAnsiTheme="majorBidi" w:cstheme="majorBidi"/>
          <w:sz w:val="24"/>
          <w:szCs w:val="24"/>
        </w:rPr>
        <w:t xml:space="preserve"> On occasions it also includes a discussion on current </w:t>
      </w:r>
      <w:r w:rsidR="00D81C46" w:rsidRPr="005D2631">
        <w:rPr>
          <w:rFonts w:asciiTheme="majorBidi" w:hAnsiTheme="majorBidi" w:cstheme="majorBidi"/>
          <w:sz w:val="24"/>
          <w:szCs w:val="24"/>
        </w:rPr>
        <w:t>affairs,</w:t>
      </w:r>
      <w:r w:rsidRPr="005D2631">
        <w:rPr>
          <w:rFonts w:asciiTheme="majorBidi" w:hAnsiTheme="majorBidi" w:cstheme="majorBidi"/>
          <w:sz w:val="24"/>
          <w:szCs w:val="24"/>
        </w:rPr>
        <w:t xml:space="preserve"> and this often develops into religious, political incitement (Lazarus-</w:t>
      </w:r>
      <w:proofErr w:type="spellStart"/>
      <w:r w:rsidRPr="005D2631">
        <w:rPr>
          <w:rFonts w:asciiTheme="majorBidi" w:hAnsiTheme="majorBidi" w:cstheme="majorBidi"/>
          <w:sz w:val="24"/>
          <w:szCs w:val="24"/>
        </w:rPr>
        <w:t>Yafeh</w:t>
      </w:r>
      <w:proofErr w:type="spellEnd"/>
      <w:r w:rsidRPr="005D2631">
        <w:rPr>
          <w:rFonts w:asciiTheme="majorBidi" w:hAnsiTheme="majorBidi" w:cstheme="majorBidi"/>
          <w:sz w:val="24"/>
          <w:szCs w:val="24"/>
        </w:rPr>
        <w:t xml:space="preserve">, </w:t>
      </w:r>
      <w:r w:rsidRPr="00EA408A">
        <w:rPr>
          <w:rFonts w:asciiTheme="majorBidi" w:hAnsiTheme="majorBidi" w:cstheme="majorBidi"/>
          <w:sz w:val="24"/>
          <w:szCs w:val="24"/>
        </w:rPr>
        <w:t>1984</w:t>
      </w:r>
      <w:r w:rsidR="00CA4871" w:rsidRPr="00EA408A">
        <w:rPr>
          <w:rFonts w:asciiTheme="majorBidi" w:hAnsiTheme="majorBidi" w:cstheme="majorBidi"/>
          <w:sz w:val="24"/>
          <w:szCs w:val="24"/>
        </w:rPr>
        <w:t>, p.</w:t>
      </w:r>
      <w:r w:rsidR="00CC7609" w:rsidRPr="00EA408A">
        <w:rPr>
          <w:rFonts w:asciiTheme="majorBidi" w:hAnsiTheme="majorBidi" w:cstheme="majorBidi"/>
          <w:sz w:val="24"/>
          <w:szCs w:val="24"/>
        </w:rPr>
        <w:t xml:space="preserve"> </w:t>
      </w:r>
      <w:r w:rsidRPr="00EA408A">
        <w:rPr>
          <w:rFonts w:asciiTheme="majorBidi" w:hAnsiTheme="majorBidi" w:cstheme="majorBidi"/>
          <w:sz w:val="24"/>
          <w:szCs w:val="24"/>
        </w:rPr>
        <w:t>96).</w:t>
      </w:r>
      <w:r w:rsidRPr="005D2631">
        <w:rPr>
          <w:rFonts w:asciiTheme="majorBidi" w:hAnsiTheme="majorBidi" w:cstheme="majorBidi"/>
          <w:sz w:val="24"/>
          <w:szCs w:val="24"/>
        </w:rPr>
        <w:t xml:space="preserve"> </w:t>
      </w:r>
    </w:p>
    <w:p w14:paraId="16090D4F" w14:textId="254C3E4C" w:rsidR="00B328B2" w:rsidRDefault="004A08C9" w:rsidP="00D250EF">
      <w:pPr>
        <w:spacing w:after="120" w:line="360" w:lineRule="auto"/>
        <w:jc w:val="both"/>
        <w:rPr>
          <w:rFonts w:asciiTheme="majorBidi" w:hAnsiTheme="majorBidi" w:cstheme="majorBidi"/>
          <w:sz w:val="24"/>
          <w:szCs w:val="24"/>
        </w:rPr>
      </w:pPr>
      <w:r w:rsidRPr="005D2631">
        <w:rPr>
          <w:rFonts w:asciiTheme="majorBidi" w:hAnsiTheme="majorBidi" w:cstheme="majorBidi"/>
          <w:sz w:val="24"/>
          <w:szCs w:val="24"/>
        </w:rPr>
        <w:t xml:space="preserve">     In medieval times, omission of the name of the </w:t>
      </w:r>
      <w:r w:rsidRPr="005D2631">
        <w:rPr>
          <w:rFonts w:asciiTheme="majorBidi" w:hAnsiTheme="majorBidi" w:cstheme="majorBidi"/>
          <w:i/>
          <w:iCs/>
          <w:sz w:val="24"/>
          <w:szCs w:val="24"/>
        </w:rPr>
        <w:t>Khatib</w:t>
      </w:r>
      <w:r w:rsidRPr="005D2631">
        <w:rPr>
          <w:rFonts w:asciiTheme="majorBidi" w:hAnsiTheme="majorBidi" w:cstheme="majorBidi"/>
          <w:sz w:val="24"/>
          <w:szCs w:val="24"/>
        </w:rPr>
        <w:t xml:space="preserve"> or the ruler from the Friday sermon was one of the most prevalent ways of declaring disloyalty to them. The sermon is mainly delivered in rhymed prose, and it is replete with encouragement for the believers to adhere to the religious commandments alongside vivid descriptions of the terrible repercussions of Judgment Day </w:t>
      </w:r>
      <w:proofErr w:type="gramStart"/>
      <w:r w:rsidRPr="005D2631">
        <w:rPr>
          <w:rFonts w:asciiTheme="majorBidi" w:hAnsiTheme="majorBidi" w:cstheme="majorBidi"/>
          <w:sz w:val="24"/>
          <w:szCs w:val="24"/>
        </w:rPr>
        <w:t>in order to</w:t>
      </w:r>
      <w:proofErr w:type="gramEnd"/>
      <w:r w:rsidRPr="005D2631">
        <w:rPr>
          <w:rFonts w:asciiTheme="majorBidi" w:hAnsiTheme="majorBidi" w:cstheme="majorBidi"/>
          <w:sz w:val="24"/>
          <w:szCs w:val="24"/>
        </w:rPr>
        <w:t xml:space="preserve"> urge the sinners to repent. It was customary to compile the most famous sermons in a book, and some of these books have been widely published (Lazarus-</w:t>
      </w:r>
      <w:proofErr w:type="spellStart"/>
      <w:r w:rsidRPr="005D2631">
        <w:rPr>
          <w:rFonts w:asciiTheme="majorBidi" w:hAnsiTheme="majorBidi" w:cstheme="majorBidi"/>
          <w:sz w:val="24"/>
          <w:szCs w:val="24"/>
        </w:rPr>
        <w:t>Yafeh</w:t>
      </w:r>
      <w:proofErr w:type="spellEnd"/>
      <w:r w:rsidRPr="005D2631">
        <w:rPr>
          <w:rFonts w:asciiTheme="majorBidi" w:hAnsiTheme="majorBidi" w:cstheme="majorBidi"/>
          <w:sz w:val="24"/>
          <w:szCs w:val="24"/>
        </w:rPr>
        <w:t>, 1984</w:t>
      </w:r>
      <w:r w:rsidR="00886688">
        <w:rPr>
          <w:rFonts w:asciiTheme="majorBidi" w:hAnsiTheme="majorBidi" w:cstheme="majorBidi"/>
          <w:sz w:val="24"/>
          <w:szCs w:val="24"/>
        </w:rPr>
        <w:t>, pp.</w:t>
      </w:r>
      <w:r w:rsidR="00CC7609">
        <w:rPr>
          <w:rFonts w:asciiTheme="majorBidi" w:hAnsiTheme="majorBidi" w:cstheme="majorBidi"/>
          <w:sz w:val="24"/>
          <w:szCs w:val="24"/>
        </w:rPr>
        <w:t xml:space="preserve"> </w:t>
      </w:r>
      <w:r w:rsidRPr="005D2631">
        <w:rPr>
          <w:rFonts w:asciiTheme="majorBidi" w:hAnsiTheme="majorBidi" w:cstheme="majorBidi"/>
          <w:sz w:val="24"/>
          <w:szCs w:val="24"/>
        </w:rPr>
        <w:t>96</w:t>
      </w:r>
      <w:r w:rsidR="00D250EF">
        <w:rPr>
          <w:rFonts w:asciiTheme="majorBidi" w:hAnsiTheme="majorBidi" w:cstheme="majorBidi"/>
          <w:sz w:val="24"/>
          <w:szCs w:val="24"/>
        </w:rPr>
        <w:t>–</w:t>
      </w:r>
      <w:r w:rsidRPr="005D2631">
        <w:rPr>
          <w:rFonts w:asciiTheme="majorBidi" w:hAnsiTheme="majorBidi" w:cstheme="majorBidi"/>
          <w:sz w:val="24"/>
          <w:szCs w:val="24"/>
        </w:rPr>
        <w:t xml:space="preserve">97). </w:t>
      </w:r>
    </w:p>
    <w:p w14:paraId="2A32D7C2" w14:textId="5554E9AD" w:rsidR="00A1000E" w:rsidRPr="005D2631" w:rsidRDefault="007A7154" w:rsidP="00823640">
      <w:pPr>
        <w:spacing w:after="120" w:line="360" w:lineRule="auto"/>
        <w:jc w:val="both"/>
        <w:rPr>
          <w:rFonts w:asciiTheme="majorBidi" w:hAnsiTheme="majorBidi" w:cstheme="majorBidi"/>
          <w:sz w:val="24"/>
          <w:szCs w:val="24"/>
        </w:rPr>
      </w:pPr>
      <w:r w:rsidRPr="005D2631">
        <w:rPr>
          <w:rFonts w:asciiTheme="majorBidi" w:hAnsiTheme="majorBidi" w:cstheme="majorBidi"/>
          <w:color w:val="000000"/>
          <w:sz w:val="24"/>
          <w:szCs w:val="24"/>
          <w:shd w:val="clear" w:color="auto" w:fill="FFFFFF"/>
        </w:rPr>
        <w:t>Every year the</w:t>
      </w:r>
      <w:r w:rsidRPr="005D2631">
        <w:rPr>
          <w:rFonts w:asciiTheme="majorBidi" w:hAnsiTheme="majorBidi" w:cstheme="majorBidi"/>
          <w:i/>
          <w:iCs/>
          <w:color w:val="000000"/>
          <w:sz w:val="24"/>
          <w:szCs w:val="24"/>
          <w:shd w:val="clear" w:color="auto" w:fill="FFFFFF"/>
        </w:rPr>
        <w:t xml:space="preserve"> Hajj</w:t>
      </w:r>
      <w:r w:rsidRPr="005D2631">
        <w:rPr>
          <w:rFonts w:asciiTheme="majorBidi" w:hAnsiTheme="majorBidi" w:cstheme="majorBidi"/>
          <w:color w:val="000000"/>
          <w:sz w:val="24"/>
          <w:szCs w:val="24"/>
          <w:shd w:val="clear" w:color="auto" w:fill="FFFFFF"/>
        </w:rPr>
        <w:t xml:space="preserve"> brings millions of Muslims from all over the world to the holy sites in Mecca – the city where the Prophet Muhammad was born and where he experienced his first revelations. The order of rites and ceremonies conducted during the pilgrimage </w:t>
      </w:r>
      <w:r w:rsidRPr="005D2631">
        <w:rPr>
          <w:rFonts w:asciiTheme="majorBidi" w:hAnsiTheme="majorBidi" w:cstheme="majorBidi"/>
          <w:color w:val="000000"/>
          <w:sz w:val="24"/>
          <w:szCs w:val="24"/>
          <w:shd w:val="clear" w:color="auto" w:fill="FFFFFF"/>
        </w:rPr>
        <w:lastRenderedPageBreak/>
        <w:t>– known as “</w:t>
      </w:r>
      <w:proofErr w:type="spellStart"/>
      <w:r w:rsidRPr="005D2631">
        <w:rPr>
          <w:rFonts w:asciiTheme="majorBidi" w:hAnsiTheme="majorBidi" w:cstheme="majorBidi"/>
          <w:i/>
          <w:iCs/>
          <w:color w:val="000000"/>
          <w:sz w:val="24"/>
          <w:szCs w:val="24"/>
          <w:shd w:val="clear" w:color="auto" w:fill="FFFFFF"/>
        </w:rPr>
        <w:t>Manasik</w:t>
      </w:r>
      <w:proofErr w:type="spellEnd"/>
      <w:r w:rsidRPr="005D2631">
        <w:rPr>
          <w:rFonts w:asciiTheme="majorBidi" w:hAnsiTheme="majorBidi" w:cstheme="majorBidi"/>
          <w:color w:val="000000"/>
          <w:sz w:val="24"/>
          <w:szCs w:val="24"/>
          <w:shd w:val="clear" w:color="auto" w:fill="FFFFFF"/>
        </w:rPr>
        <w:t>” – was prescribed by the Prophet himself.</w:t>
      </w:r>
      <w:r w:rsidRPr="005D2631">
        <w:rPr>
          <w:rFonts w:asciiTheme="majorBidi" w:hAnsiTheme="majorBidi" w:cstheme="majorBidi"/>
          <w:sz w:val="24"/>
          <w:szCs w:val="24"/>
        </w:rPr>
        <w:t xml:space="preserve"> In these ritual actions, the Muslims in effect retrac</w:t>
      </w:r>
      <w:r w:rsidR="00313B69">
        <w:rPr>
          <w:rFonts w:asciiTheme="majorBidi" w:hAnsiTheme="majorBidi" w:cstheme="majorBidi"/>
          <w:sz w:val="24"/>
          <w:szCs w:val="24"/>
        </w:rPr>
        <w:t xml:space="preserve">e </w:t>
      </w:r>
      <w:r w:rsidRPr="005D2631">
        <w:rPr>
          <w:rFonts w:asciiTheme="majorBidi" w:hAnsiTheme="majorBidi" w:cstheme="majorBidi"/>
          <w:sz w:val="24"/>
          <w:szCs w:val="24"/>
        </w:rPr>
        <w:t xml:space="preserve">the steps of Muhammad. </w:t>
      </w:r>
      <w:r w:rsidRPr="005D2631">
        <w:rPr>
          <w:rFonts w:asciiTheme="majorBidi" w:hAnsiTheme="majorBidi" w:cstheme="majorBidi"/>
          <w:color w:val="000000"/>
          <w:sz w:val="24"/>
          <w:szCs w:val="24"/>
          <w:shd w:val="clear" w:color="auto" w:fill="FFFFFF"/>
        </w:rPr>
        <w:t xml:space="preserve">He took part in his first and only </w:t>
      </w:r>
      <w:r w:rsidRPr="005D2631">
        <w:rPr>
          <w:rFonts w:asciiTheme="majorBidi" w:hAnsiTheme="majorBidi" w:cstheme="majorBidi"/>
          <w:i/>
          <w:iCs/>
          <w:color w:val="000000"/>
          <w:sz w:val="24"/>
          <w:szCs w:val="24"/>
          <w:shd w:val="clear" w:color="auto" w:fill="FFFFFF"/>
        </w:rPr>
        <w:t>Hajj</w:t>
      </w:r>
      <w:r w:rsidRPr="005D2631">
        <w:rPr>
          <w:rFonts w:asciiTheme="majorBidi" w:hAnsiTheme="majorBidi" w:cstheme="majorBidi"/>
          <w:color w:val="000000"/>
          <w:sz w:val="24"/>
          <w:szCs w:val="24"/>
          <w:shd w:val="clear" w:color="auto" w:fill="FFFFFF"/>
        </w:rPr>
        <w:t xml:space="preserve"> in 630 </w:t>
      </w:r>
      <w:commentRangeStart w:id="2"/>
      <w:r w:rsidRPr="00DE275D">
        <w:rPr>
          <w:rFonts w:asciiTheme="majorBidi" w:hAnsiTheme="majorBidi" w:cstheme="majorBidi"/>
          <w:color w:val="000000"/>
          <w:sz w:val="24"/>
          <w:szCs w:val="24"/>
          <w:shd w:val="clear" w:color="auto" w:fill="FFFFFF"/>
        </w:rPr>
        <w:t>CE</w:t>
      </w:r>
      <w:commentRangeEnd w:id="2"/>
      <w:r w:rsidR="00D91C6C">
        <w:rPr>
          <w:rStyle w:val="a7"/>
        </w:rPr>
        <w:commentReference w:id="2"/>
      </w:r>
      <w:r w:rsidRPr="005D2631">
        <w:rPr>
          <w:rFonts w:asciiTheme="majorBidi" w:hAnsiTheme="majorBidi" w:cstheme="majorBidi"/>
          <w:color w:val="000000"/>
          <w:sz w:val="24"/>
          <w:szCs w:val="24"/>
          <w:shd w:val="clear" w:color="auto" w:fill="FFFFFF"/>
        </w:rPr>
        <w:t>, shortly prior to his death.</w:t>
      </w:r>
      <w:r w:rsidRPr="005D2631">
        <w:rPr>
          <w:rFonts w:asciiTheme="majorBidi" w:hAnsiTheme="majorBidi" w:cstheme="majorBidi"/>
          <w:sz w:val="24"/>
          <w:szCs w:val="24"/>
        </w:rPr>
        <w:t xml:space="preserve"> It is noteworthy that according to tradition, Adam himself performed the rite of </w:t>
      </w:r>
      <w:r w:rsidRPr="005D2631">
        <w:rPr>
          <w:rFonts w:asciiTheme="majorBidi" w:hAnsiTheme="majorBidi" w:cstheme="majorBidi"/>
          <w:i/>
          <w:iCs/>
          <w:sz w:val="24"/>
          <w:szCs w:val="24"/>
        </w:rPr>
        <w:t>Tawaf</w:t>
      </w:r>
      <w:r w:rsidRPr="005D2631">
        <w:rPr>
          <w:rFonts w:asciiTheme="majorBidi" w:hAnsiTheme="majorBidi" w:cstheme="majorBidi"/>
          <w:sz w:val="24"/>
          <w:szCs w:val="24"/>
        </w:rPr>
        <w:t xml:space="preserve">, encircling the </w:t>
      </w:r>
      <w:proofErr w:type="spellStart"/>
      <w:r w:rsidRPr="005D2631">
        <w:rPr>
          <w:rFonts w:asciiTheme="majorBidi" w:hAnsiTheme="majorBidi" w:cstheme="majorBidi"/>
          <w:i/>
          <w:iCs/>
          <w:sz w:val="24"/>
          <w:szCs w:val="24"/>
        </w:rPr>
        <w:t>Ka'abah</w:t>
      </w:r>
      <w:proofErr w:type="spellEnd"/>
      <w:r w:rsidRPr="005D2631">
        <w:rPr>
          <w:rFonts w:asciiTheme="majorBidi" w:hAnsiTheme="majorBidi" w:cstheme="majorBidi"/>
          <w:sz w:val="24"/>
          <w:szCs w:val="24"/>
        </w:rPr>
        <w:t xml:space="preserve"> seven times, and touched its four corners as the rules mandate, which signifies the holiness of the </w:t>
      </w:r>
      <w:proofErr w:type="spellStart"/>
      <w:r w:rsidRPr="005D2631">
        <w:rPr>
          <w:rFonts w:asciiTheme="majorBidi" w:hAnsiTheme="majorBidi" w:cstheme="majorBidi"/>
          <w:i/>
          <w:iCs/>
          <w:sz w:val="24"/>
          <w:szCs w:val="24"/>
        </w:rPr>
        <w:t>Ka</w:t>
      </w:r>
      <w:r w:rsidR="00EA5C40">
        <w:rPr>
          <w:rFonts w:asciiTheme="majorBidi" w:hAnsiTheme="majorBidi" w:cstheme="majorBidi"/>
          <w:i/>
          <w:iCs/>
          <w:sz w:val="24"/>
          <w:szCs w:val="24"/>
        </w:rPr>
        <w:t>’</w:t>
      </w:r>
      <w:r w:rsidRPr="005D2631">
        <w:rPr>
          <w:rFonts w:asciiTheme="majorBidi" w:hAnsiTheme="majorBidi" w:cstheme="majorBidi"/>
          <w:i/>
          <w:iCs/>
          <w:sz w:val="24"/>
          <w:szCs w:val="24"/>
        </w:rPr>
        <w:t>abah</w:t>
      </w:r>
      <w:proofErr w:type="spellEnd"/>
      <w:r w:rsidRPr="005D2631">
        <w:rPr>
          <w:rFonts w:asciiTheme="majorBidi" w:hAnsiTheme="majorBidi" w:cstheme="majorBidi"/>
          <w:sz w:val="24"/>
          <w:szCs w:val="24"/>
        </w:rPr>
        <w:t xml:space="preserve"> since the time of Adam. None of the generations since Adam have </w:t>
      </w:r>
      <w:r w:rsidR="00823640">
        <w:rPr>
          <w:rFonts w:asciiTheme="majorBidi" w:hAnsiTheme="majorBidi" w:cstheme="majorBidi"/>
          <w:sz w:val="24"/>
          <w:szCs w:val="24"/>
        </w:rPr>
        <w:t xml:space="preserve">ever </w:t>
      </w:r>
      <w:r w:rsidRPr="005D2631">
        <w:rPr>
          <w:rFonts w:asciiTheme="majorBidi" w:hAnsiTheme="majorBidi" w:cstheme="majorBidi"/>
          <w:sz w:val="24"/>
          <w:szCs w:val="24"/>
        </w:rPr>
        <w:t xml:space="preserve">failed to visit the </w:t>
      </w:r>
      <w:proofErr w:type="spellStart"/>
      <w:r w:rsidRPr="005D2631">
        <w:rPr>
          <w:rFonts w:asciiTheme="majorBidi" w:hAnsiTheme="majorBidi" w:cstheme="majorBidi"/>
          <w:i/>
          <w:iCs/>
          <w:sz w:val="24"/>
          <w:szCs w:val="24"/>
        </w:rPr>
        <w:t>Ka</w:t>
      </w:r>
      <w:r w:rsidR="00EA5C40">
        <w:rPr>
          <w:rFonts w:asciiTheme="majorBidi" w:hAnsiTheme="majorBidi" w:cstheme="majorBidi"/>
          <w:i/>
          <w:iCs/>
          <w:sz w:val="24"/>
          <w:szCs w:val="24"/>
        </w:rPr>
        <w:t>’</w:t>
      </w:r>
      <w:r w:rsidRPr="005D2631">
        <w:rPr>
          <w:rFonts w:asciiTheme="majorBidi" w:hAnsiTheme="majorBidi" w:cstheme="majorBidi"/>
          <w:i/>
          <w:iCs/>
          <w:sz w:val="24"/>
          <w:szCs w:val="24"/>
        </w:rPr>
        <w:t>abah</w:t>
      </w:r>
      <w:proofErr w:type="spellEnd"/>
      <w:r w:rsidRPr="005D2631">
        <w:rPr>
          <w:rFonts w:asciiTheme="majorBidi" w:hAnsiTheme="majorBidi" w:cstheme="majorBidi"/>
          <w:sz w:val="24"/>
          <w:szCs w:val="24"/>
        </w:rPr>
        <w:t xml:space="preserve"> (Rubin</w:t>
      </w:r>
      <w:r w:rsidR="00823640">
        <w:rPr>
          <w:rFonts w:asciiTheme="majorBidi" w:hAnsiTheme="majorBidi" w:cstheme="majorBidi"/>
          <w:sz w:val="24"/>
          <w:szCs w:val="24"/>
        </w:rPr>
        <w:t xml:space="preserve">, </w:t>
      </w:r>
      <w:r w:rsidRPr="005D2631">
        <w:rPr>
          <w:rFonts w:asciiTheme="majorBidi" w:hAnsiTheme="majorBidi" w:cstheme="majorBidi"/>
          <w:sz w:val="24"/>
          <w:szCs w:val="24"/>
        </w:rPr>
        <w:t>2019</w:t>
      </w:r>
      <w:r w:rsidR="00823640">
        <w:rPr>
          <w:rFonts w:asciiTheme="majorBidi" w:hAnsiTheme="majorBidi" w:cstheme="majorBidi"/>
          <w:sz w:val="24"/>
          <w:szCs w:val="24"/>
        </w:rPr>
        <w:t xml:space="preserve">, pp. </w:t>
      </w:r>
      <w:r w:rsidRPr="005D2631">
        <w:rPr>
          <w:rFonts w:asciiTheme="majorBidi" w:hAnsiTheme="majorBidi" w:cstheme="majorBidi"/>
          <w:sz w:val="24"/>
          <w:szCs w:val="24"/>
        </w:rPr>
        <w:t>179</w:t>
      </w:r>
      <w:r w:rsidR="00823640">
        <w:rPr>
          <w:rFonts w:asciiTheme="majorBidi" w:hAnsiTheme="majorBidi" w:cstheme="majorBidi"/>
          <w:sz w:val="24"/>
          <w:szCs w:val="24"/>
        </w:rPr>
        <w:t>–</w:t>
      </w:r>
      <w:r w:rsidRPr="005D2631">
        <w:rPr>
          <w:rFonts w:asciiTheme="majorBidi" w:hAnsiTheme="majorBidi" w:cstheme="majorBidi"/>
          <w:sz w:val="24"/>
          <w:szCs w:val="24"/>
        </w:rPr>
        <w:t>180).</w:t>
      </w:r>
    </w:p>
    <w:p w14:paraId="431341DA" w14:textId="4C1275A8" w:rsidR="00DA16F2" w:rsidRPr="005D2631" w:rsidRDefault="009963DC" w:rsidP="005D2631">
      <w:pPr>
        <w:spacing w:after="120" w:line="360" w:lineRule="auto"/>
        <w:jc w:val="both"/>
        <w:rPr>
          <w:rFonts w:asciiTheme="majorBidi" w:hAnsiTheme="majorBidi" w:cstheme="majorBidi"/>
          <w:sz w:val="24"/>
          <w:szCs w:val="24"/>
        </w:rPr>
      </w:pPr>
      <w:r w:rsidRPr="005D2631">
        <w:rPr>
          <w:rFonts w:asciiTheme="majorBidi" w:hAnsiTheme="majorBidi" w:cstheme="majorBidi"/>
          <w:sz w:val="24"/>
          <w:szCs w:val="24"/>
        </w:rPr>
        <w:t xml:space="preserve">     It is no coincidence that Al-</w:t>
      </w:r>
      <w:proofErr w:type="spellStart"/>
      <w:r w:rsidRPr="005D2631">
        <w:rPr>
          <w:rFonts w:asciiTheme="majorBidi" w:hAnsiTheme="majorBidi" w:cstheme="majorBidi"/>
          <w:sz w:val="24"/>
          <w:szCs w:val="24"/>
        </w:rPr>
        <w:t>Hajjaj</w:t>
      </w:r>
      <w:proofErr w:type="spellEnd"/>
      <w:r w:rsidRPr="005D2631">
        <w:rPr>
          <w:rFonts w:asciiTheme="majorBidi" w:hAnsiTheme="majorBidi" w:cstheme="majorBidi"/>
          <w:sz w:val="24"/>
          <w:szCs w:val="24"/>
        </w:rPr>
        <w:t xml:space="preserve"> climbed up to the </w:t>
      </w:r>
      <w:r w:rsidRPr="005D2631">
        <w:rPr>
          <w:rFonts w:asciiTheme="majorBidi" w:hAnsiTheme="majorBidi" w:cstheme="majorBidi"/>
          <w:i/>
          <w:iCs/>
          <w:sz w:val="24"/>
          <w:szCs w:val="24"/>
        </w:rPr>
        <w:t>minbar</w:t>
      </w:r>
      <w:r w:rsidRPr="005D2631">
        <w:rPr>
          <w:rFonts w:asciiTheme="majorBidi" w:hAnsiTheme="majorBidi" w:cstheme="majorBidi"/>
          <w:sz w:val="24"/>
          <w:szCs w:val="24"/>
        </w:rPr>
        <w:t xml:space="preserve"> and delivered his speech during the Friday sermon, as this sermon was the central media platform in his day.  Just as the preacher encourages the believers to perform the commandments by his graphic descriptions of the harrowing events of Judgment Day to spur the sinners to repent, thus too</w:t>
      </w:r>
      <w:r w:rsidR="00940D12">
        <w:rPr>
          <w:rFonts w:asciiTheme="majorBidi" w:hAnsiTheme="majorBidi" w:cstheme="majorBidi"/>
          <w:sz w:val="24"/>
          <w:szCs w:val="24"/>
        </w:rPr>
        <w:t>,</w:t>
      </w:r>
      <w:r w:rsidRPr="005D2631">
        <w:rPr>
          <w:rFonts w:asciiTheme="majorBidi" w:hAnsiTheme="majorBidi" w:cstheme="majorBidi"/>
          <w:sz w:val="24"/>
          <w:szCs w:val="24"/>
        </w:rPr>
        <w:t xml:space="preserve"> Al-</w:t>
      </w:r>
      <w:proofErr w:type="spellStart"/>
      <w:r w:rsidRPr="005D2631">
        <w:rPr>
          <w:rFonts w:asciiTheme="majorBidi" w:hAnsiTheme="majorBidi" w:cstheme="majorBidi"/>
          <w:sz w:val="24"/>
          <w:szCs w:val="24"/>
        </w:rPr>
        <w:t>Hajjaj</w:t>
      </w:r>
      <w:proofErr w:type="spellEnd"/>
      <w:r w:rsidRPr="005D2631">
        <w:rPr>
          <w:rFonts w:asciiTheme="majorBidi" w:hAnsiTheme="majorBidi" w:cstheme="majorBidi"/>
          <w:sz w:val="24"/>
          <w:szCs w:val="24"/>
        </w:rPr>
        <w:t xml:space="preserve"> </w:t>
      </w:r>
      <w:r w:rsidRPr="00940D12">
        <w:rPr>
          <w:rFonts w:asciiTheme="majorBidi" w:hAnsiTheme="majorBidi" w:cstheme="majorBidi"/>
          <w:sz w:val="24"/>
          <w:szCs w:val="24"/>
        </w:rPr>
        <w:t>persuades</w:t>
      </w:r>
      <w:r w:rsidRPr="005D2631">
        <w:rPr>
          <w:rFonts w:asciiTheme="majorBidi" w:hAnsiTheme="majorBidi" w:cstheme="majorBidi"/>
          <w:sz w:val="24"/>
          <w:szCs w:val="24"/>
        </w:rPr>
        <w:t xml:space="preserve"> the rebellious residents of Kufa to obey the authorities with vivid descriptions of the disastrous consequences of rebelling against them, while relying on the rhetoric of intimidation and deterrence, with a view to urging them to atone and see the error of their ways, as </w:t>
      </w:r>
      <w:r w:rsidR="004B2398">
        <w:rPr>
          <w:rFonts w:asciiTheme="majorBidi" w:hAnsiTheme="majorBidi" w:cstheme="majorBidi"/>
          <w:sz w:val="24"/>
          <w:szCs w:val="24"/>
        </w:rPr>
        <w:t>should they</w:t>
      </w:r>
      <w:r w:rsidRPr="005D2631">
        <w:rPr>
          <w:rFonts w:asciiTheme="majorBidi" w:hAnsiTheme="majorBidi" w:cstheme="majorBidi"/>
          <w:sz w:val="24"/>
          <w:szCs w:val="24"/>
        </w:rPr>
        <w:t xml:space="preserve"> continue with their rebellious behavior during Al-</w:t>
      </w:r>
      <w:proofErr w:type="spellStart"/>
      <w:r w:rsidRPr="005D2631">
        <w:rPr>
          <w:rFonts w:asciiTheme="majorBidi" w:hAnsiTheme="majorBidi" w:cstheme="majorBidi"/>
          <w:sz w:val="24"/>
          <w:szCs w:val="24"/>
        </w:rPr>
        <w:t>Hajjaj</w:t>
      </w:r>
      <w:r w:rsidR="00EA5C40">
        <w:rPr>
          <w:rFonts w:asciiTheme="majorBidi" w:hAnsiTheme="majorBidi" w:cstheme="majorBidi"/>
          <w:sz w:val="24"/>
          <w:szCs w:val="24"/>
        </w:rPr>
        <w:t>’</w:t>
      </w:r>
      <w:r w:rsidRPr="005D2631">
        <w:rPr>
          <w:rFonts w:asciiTheme="majorBidi" w:hAnsiTheme="majorBidi" w:cstheme="majorBidi"/>
          <w:sz w:val="24"/>
          <w:szCs w:val="24"/>
        </w:rPr>
        <w:t>s</w:t>
      </w:r>
      <w:proofErr w:type="spellEnd"/>
      <w:r w:rsidRPr="005D2631">
        <w:rPr>
          <w:rFonts w:asciiTheme="majorBidi" w:hAnsiTheme="majorBidi" w:cstheme="majorBidi"/>
          <w:sz w:val="24"/>
          <w:szCs w:val="24"/>
        </w:rPr>
        <w:t xml:space="preserve"> rule, they would be cruelly tortured and mercilessly put to death. </w:t>
      </w:r>
    </w:p>
    <w:p w14:paraId="54D22315" w14:textId="77777777" w:rsidR="005E512D" w:rsidRPr="005D2631" w:rsidRDefault="005E512D" w:rsidP="005D2631">
      <w:pPr>
        <w:spacing w:after="120" w:line="360" w:lineRule="auto"/>
        <w:jc w:val="both"/>
        <w:rPr>
          <w:rFonts w:asciiTheme="majorBidi" w:hAnsiTheme="majorBidi" w:cstheme="majorBidi"/>
          <w:sz w:val="24"/>
          <w:szCs w:val="24"/>
          <w:rtl/>
        </w:rPr>
      </w:pPr>
    </w:p>
    <w:p w14:paraId="1C98C322" w14:textId="7B388F36" w:rsidR="005E512D" w:rsidRPr="005D2631" w:rsidRDefault="005E512D" w:rsidP="005D2631">
      <w:pPr>
        <w:spacing w:after="120" w:line="360" w:lineRule="auto"/>
        <w:rPr>
          <w:rFonts w:asciiTheme="majorBidi" w:eastAsia="Times New Roman" w:hAnsiTheme="majorBidi" w:cstheme="majorBidi"/>
          <w:b/>
          <w:bCs/>
          <w:color w:val="222222"/>
          <w:sz w:val="24"/>
          <w:szCs w:val="24"/>
          <w:shd w:val="clear" w:color="auto" w:fill="FFFFFF"/>
        </w:rPr>
      </w:pPr>
      <w:r w:rsidRPr="005D2631">
        <w:rPr>
          <w:rFonts w:asciiTheme="majorBidi" w:hAnsiTheme="majorBidi" w:cstheme="majorBidi"/>
          <w:b/>
          <w:color w:val="222222"/>
          <w:sz w:val="24"/>
          <w:szCs w:val="24"/>
          <w:shd w:val="clear" w:color="auto" w:fill="FFFFFF"/>
        </w:rPr>
        <w:t>How is Al-</w:t>
      </w:r>
      <w:proofErr w:type="spellStart"/>
      <w:r w:rsidRPr="005D2631">
        <w:rPr>
          <w:rFonts w:asciiTheme="majorBidi" w:hAnsiTheme="majorBidi" w:cstheme="majorBidi"/>
          <w:b/>
          <w:color w:val="222222"/>
          <w:sz w:val="24"/>
          <w:szCs w:val="24"/>
          <w:shd w:val="clear" w:color="auto" w:fill="FFFFFF"/>
        </w:rPr>
        <w:t>Hajjaj’s</w:t>
      </w:r>
      <w:proofErr w:type="spellEnd"/>
      <w:r w:rsidRPr="005D2631">
        <w:rPr>
          <w:rFonts w:asciiTheme="majorBidi" w:hAnsiTheme="majorBidi" w:cstheme="majorBidi"/>
          <w:b/>
          <w:color w:val="222222"/>
          <w:sz w:val="24"/>
          <w:szCs w:val="24"/>
          <w:shd w:val="clear" w:color="auto" w:fill="FFFFFF"/>
        </w:rPr>
        <w:t xml:space="preserve"> attitude to the holy religious symbols of Islam portrayed</w:t>
      </w:r>
      <w:r w:rsidR="004B2398">
        <w:rPr>
          <w:rFonts w:asciiTheme="majorBidi" w:hAnsiTheme="majorBidi" w:cstheme="majorBidi"/>
          <w:b/>
          <w:color w:val="222222"/>
          <w:sz w:val="24"/>
          <w:szCs w:val="24"/>
          <w:shd w:val="clear" w:color="auto" w:fill="FFFFFF"/>
        </w:rPr>
        <w:t>?</w:t>
      </w:r>
      <w:r w:rsidRPr="005D2631">
        <w:rPr>
          <w:rFonts w:asciiTheme="majorBidi" w:hAnsiTheme="majorBidi" w:cstheme="majorBidi"/>
          <w:b/>
          <w:color w:val="222222"/>
          <w:sz w:val="24"/>
          <w:szCs w:val="24"/>
          <w:shd w:val="clear" w:color="auto" w:fill="FFFFFF"/>
        </w:rPr>
        <w:t xml:space="preserve"> </w:t>
      </w:r>
    </w:p>
    <w:p w14:paraId="2B82B569" w14:textId="77777777" w:rsidR="005E512D" w:rsidRPr="005D2631" w:rsidRDefault="005E512D" w:rsidP="005D2631">
      <w:pPr>
        <w:spacing w:after="120" w:line="360" w:lineRule="auto"/>
        <w:rPr>
          <w:rFonts w:asciiTheme="majorBidi" w:eastAsia="Times New Roman" w:hAnsiTheme="majorBidi" w:cstheme="majorBidi"/>
          <w:color w:val="222222"/>
          <w:sz w:val="24"/>
          <w:szCs w:val="24"/>
          <w:shd w:val="clear" w:color="auto" w:fill="FFFFFF"/>
          <w:rtl/>
        </w:rPr>
      </w:pPr>
    </w:p>
    <w:p w14:paraId="5076509D" w14:textId="77777777" w:rsidR="009963DC" w:rsidRPr="005D2631" w:rsidRDefault="009963DC" w:rsidP="005D2631">
      <w:pPr>
        <w:spacing w:after="120" w:line="360" w:lineRule="auto"/>
        <w:jc w:val="both"/>
        <w:rPr>
          <w:rFonts w:asciiTheme="majorBidi" w:hAnsiTheme="majorBidi" w:cstheme="majorBidi"/>
          <w:sz w:val="24"/>
          <w:szCs w:val="24"/>
          <w:rtl/>
        </w:rPr>
      </w:pPr>
    </w:p>
    <w:sectPr w:rsidR="009963DC" w:rsidRPr="005D2631" w:rsidSect="00A76A5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אובן כהן" w:date="2022-04-27T12:56:00Z" w:initials="רכ">
    <w:p w14:paraId="66A03A4A" w14:textId="0C61B19A" w:rsidR="00F75D3A" w:rsidRDefault="00F75D3A" w:rsidP="00F75D3A">
      <w:pPr>
        <w:pStyle w:val="a8"/>
        <w:bidi/>
        <w:jc w:val="right"/>
        <w:rPr>
          <w:rtl/>
        </w:rPr>
      </w:pPr>
      <w:r>
        <w:rPr>
          <w:rStyle w:val="a7"/>
        </w:rPr>
        <w:annotationRef/>
      </w:r>
      <w:r>
        <w:rPr>
          <w:rFonts w:hint="cs"/>
          <w:rtl/>
        </w:rPr>
        <w:t xml:space="preserve">האם כדאי להוסיף הסבר קצר פה כמו </w:t>
      </w:r>
      <w:r w:rsidR="00D81726">
        <w:rPr>
          <w:rFonts w:hint="cs"/>
          <w:rtl/>
        </w:rPr>
        <w:t>"</w:t>
      </w:r>
      <w:r w:rsidR="00D81726">
        <w:t>set of movements in prayer</w:t>
      </w:r>
      <w:r w:rsidR="00D81726">
        <w:rPr>
          <w:rFonts w:hint="cs"/>
          <w:rtl/>
        </w:rPr>
        <w:t>"</w:t>
      </w:r>
      <w:r w:rsidR="00D81726">
        <w:rPr>
          <w:rFonts w:hint="cs"/>
        </w:rPr>
        <w:t xml:space="preserve"> </w:t>
      </w:r>
      <w:r w:rsidR="00D81726">
        <w:rPr>
          <w:rFonts w:hint="cs"/>
          <w:rtl/>
        </w:rPr>
        <w:t xml:space="preserve"> או שהמונח מוכר לקהל היעד?</w:t>
      </w:r>
    </w:p>
  </w:comment>
  <w:comment w:id="1" w:author="ראובן כהן" w:date="2022-04-27T12:57:00Z" w:initials="רכ">
    <w:p w14:paraId="47CB621E" w14:textId="603571AE" w:rsidR="006E44C7" w:rsidRDefault="006E44C7" w:rsidP="006E44C7">
      <w:pPr>
        <w:pStyle w:val="a8"/>
        <w:bidi/>
        <w:rPr>
          <w:rtl/>
        </w:rPr>
      </w:pPr>
      <w:r>
        <w:rPr>
          <w:rStyle w:val="a7"/>
        </w:rPr>
        <w:annotationRef/>
      </w:r>
      <w:r>
        <w:rPr>
          <w:rFonts w:hint="cs"/>
          <w:rtl/>
        </w:rPr>
        <w:t xml:space="preserve"> ראה הערה קודמת.</w:t>
      </w:r>
    </w:p>
  </w:comment>
  <w:comment w:id="2" w:author="ראובן כהן" w:date="2022-04-27T13:01:00Z" w:initials="רכ">
    <w:p w14:paraId="018A37E9" w14:textId="14DB59BD" w:rsidR="00D91C6C" w:rsidRDefault="00D91C6C" w:rsidP="00D91C6C">
      <w:pPr>
        <w:pStyle w:val="a8"/>
        <w:bidi/>
        <w:rPr>
          <w:rtl/>
        </w:rPr>
      </w:pPr>
      <w:r>
        <w:rPr>
          <w:rStyle w:val="a7"/>
        </w:rPr>
        <w:annotationRef/>
      </w:r>
      <w:r>
        <w:rPr>
          <w:rFonts w:hint="cs"/>
          <w:rtl/>
        </w:rPr>
        <w:t xml:space="preserve"> לא יודע אם קבל היעד יהודי או לא</w:t>
      </w:r>
      <w:r w:rsidR="00E6661D">
        <w:rPr>
          <w:rFonts w:hint="cs"/>
          <w:rtl/>
        </w:rPr>
        <w:t xml:space="preserve">, לכן לא ידעתי האם צריך </w:t>
      </w:r>
      <w:r w:rsidR="00E6661D">
        <w:rPr>
          <w:rFonts w:hint="cs"/>
        </w:rPr>
        <w:t>CE</w:t>
      </w:r>
      <w:r w:rsidR="00E6661D">
        <w:rPr>
          <w:rFonts w:hint="cs"/>
          <w:rtl/>
        </w:rPr>
        <w:t xml:space="preserve"> או </w:t>
      </w:r>
      <w:r w:rsidR="00E6661D">
        <w:rPr>
          <w:rFonts w:hint="cs"/>
        </w:rPr>
        <w:t>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03A4A" w15:done="0"/>
  <w15:commentEx w15:paraId="47CB621E" w15:done="0"/>
  <w15:commentEx w15:paraId="018A3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BE8" w16cex:dateUtc="2022-04-27T09:56:00Z"/>
  <w16cex:commentExtensible w16cex:durableId="2613BC3F" w16cex:dateUtc="2022-04-27T09:57:00Z"/>
  <w16cex:commentExtensible w16cex:durableId="2613BD17" w16cex:dateUtc="2022-04-27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03A4A" w16cid:durableId="2613BBE8"/>
  <w16cid:commentId w16cid:paraId="47CB621E" w16cid:durableId="2613BC3F"/>
  <w16cid:commentId w16cid:paraId="018A37E9" w16cid:durableId="2613B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DE95" w14:textId="77777777" w:rsidR="008E2344" w:rsidRDefault="008E2344" w:rsidP="007D42EE">
      <w:pPr>
        <w:spacing w:after="0" w:line="240" w:lineRule="auto"/>
      </w:pPr>
      <w:r>
        <w:separator/>
      </w:r>
    </w:p>
  </w:endnote>
  <w:endnote w:type="continuationSeparator" w:id="0">
    <w:p w14:paraId="0DB68BD7" w14:textId="77777777" w:rsidR="008E2344" w:rsidRDefault="008E2344" w:rsidP="007D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9600" w14:textId="77777777" w:rsidR="008E2344" w:rsidRDefault="008E2344" w:rsidP="007D42EE">
      <w:pPr>
        <w:spacing w:after="0" w:line="240" w:lineRule="auto"/>
      </w:pPr>
      <w:r>
        <w:separator/>
      </w:r>
    </w:p>
  </w:footnote>
  <w:footnote w:type="continuationSeparator" w:id="0">
    <w:p w14:paraId="3299EB30" w14:textId="77777777" w:rsidR="008E2344" w:rsidRDefault="008E2344" w:rsidP="007D42E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EE"/>
    <w:rsid w:val="000161AC"/>
    <w:rsid w:val="0002086A"/>
    <w:rsid w:val="000A0057"/>
    <w:rsid w:val="000A08FC"/>
    <w:rsid w:val="000D0946"/>
    <w:rsid w:val="0011217B"/>
    <w:rsid w:val="001957B5"/>
    <w:rsid w:val="001D279D"/>
    <w:rsid w:val="001F4145"/>
    <w:rsid w:val="00242F92"/>
    <w:rsid w:val="002D51BF"/>
    <w:rsid w:val="00313B69"/>
    <w:rsid w:val="003B066D"/>
    <w:rsid w:val="00400F22"/>
    <w:rsid w:val="00467B78"/>
    <w:rsid w:val="00473B8C"/>
    <w:rsid w:val="0049068F"/>
    <w:rsid w:val="004A08C9"/>
    <w:rsid w:val="004A14C4"/>
    <w:rsid w:val="004B015D"/>
    <w:rsid w:val="004B2398"/>
    <w:rsid w:val="004F3BA8"/>
    <w:rsid w:val="00575891"/>
    <w:rsid w:val="00594A37"/>
    <w:rsid w:val="005A2EEE"/>
    <w:rsid w:val="005D2631"/>
    <w:rsid w:val="005E512D"/>
    <w:rsid w:val="00645907"/>
    <w:rsid w:val="00682FE7"/>
    <w:rsid w:val="00684D4B"/>
    <w:rsid w:val="006E44C7"/>
    <w:rsid w:val="006F1220"/>
    <w:rsid w:val="00711895"/>
    <w:rsid w:val="00715517"/>
    <w:rsid w:val="007228FA"/>
    <w:rsid w:val="0073347E"/>
    <w:rsid w:val="007A7154"/>
    <w:rsid w:val="007C6C5A"/>
    <w:rsid w:val="007D42EE"/>
    <w:rsid w:val="00823640"/>
    <w:rsid w:val="008628F9"/>
    <w:rsid w:val="00863C33"/>
    <w:rsid w:val="00886688"/>
    <w:rsid w:val="008A28B4"/>
    <w:rsid w:val="008C3E9E"/>
    <w:rsid w:val="008E2344"/>
    <w:rsid w:val="00900D5C"/>
    <w:rsid w:val="00940D12"/>
    <w:rsid w:val="009963DC"/>
    <w:rsid w:val="009C0564"/>
    <w:rsid w:val="00A059A2"/>
    <w:rsid w:val="00A1000E"/>
    <w:rsid w:val="00A35DBF"/>
    <w:rsid w:val="00A76A5D"/>
    <w:rsid w:val="00AD7063"/>
    <w:rsid w:val="00B1292C"/>
    <w:rsid w:val="00B31E61"/>
    <w:rsid w:val="00B328B2"/>
    <w:rsid w:val="00B72A4F"/>
    <w:rsid w:val="00BC632D"/>
    <w:rsid w:val="00BD4930"/>
    <w:rsid w:val="00C41154"/>
    <w:rsid w:val="00C60190"/>
    <w:rsid w:val="00CA4871"/>
    <w:rsid w:val="00CB0127"/>
    <w:rsid w:val="00CC7609"/>
    <w:rsid w:val="00CE6DB4"/>
    <w:rsid w:val="00D250EF"/>
    <w:rsid w:val="00D31C13"/>
    <w:rsid w:val="00D67B58"/>
    <w:rsid w:val="00D81726"/>
    <w:rsid w:val="00D81C46"/>
    <w:rsid w:val="00D91C6C"/>
    <w:rsid w:val="00DA16F2"/>
    <w:rsid w:val="00DC559D"/>
    <w:rsid w:val="00DE275D"/>
    <w:rsid w:val="00E6661D"/>
    <w:rsid w:val="00E776FE"/>
    <w:rsid w:val="00E97622"/>
    <w:rsid w:val="00EA408A"/>
    <w:rsid w:val="00EA5C40"/>
    <w:rsid w:val="00F10662"/>
    <w:rsid w:val="00F75D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19CF"/>
  <w15:chartTrackingRefBased/>
  <w15:docId w15:val="{DF457F56-8108-45A8-BD13-1CC5890B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2EE"/>
    <w:pPr>
      <w:tabs>
        <w:tab w:val="center" w:pos="4153"/>
        <w:tab w:val="right" w:pos="8306"/>
      </w:tabs>
      <w:spacing w:after="0" w:line="240" w:lineRule="auto"/>
    </w:pPr>
  </w:style>
  <w:style w:type="character" w:customStyle="1" w:styleId="a4">
    <w:name w:val="כותרת עליונה תו"/>
    <w:basedOn w:val="a0"/>
    <w:link w:val="a3"/>
    <w:uiPriority w:val="99"/>
    <w:rsid w:val="007D42EE"/>
  </w:style>
  <w:style w:type="paragraph" w:styleId="a5">
    <w:name w:val="footer"/>
    <w:basedOn w:val="a"/>
    <w:link w:val="a6"/>
    <w:uiPriority w:val="99"/>
    <w:unhideWhenUsed/>
    <w:rsid w:val="007D42EE"/>
    <w:pPr>
      <w:tabs>
        <w:tab w:val="center" w:pos="4153"/>
        <w:tab w:val="right" w:pos="8306"/>
      </w:tabs>
      <w:spacing w:after="0" w:line="240" w:lineRule="auto"/>
    </w:pPr>
  </w:style>
  <w:style w:type="character" w:customStyle="1" w:styleId="a6">
    <w:name w:val="כותרת תחתונה תו"/>
    <w:basedOn w:val="a0"/>
    <w:link w:val="a5"/>
    <w:uiPriority w:val="99"/>
    <w:rsid w:val="007D42EE"/>
  </w:style>
  <w:style w:type="character" w:styleId="Hyperlink">
    <w:name w:val="Hyperlink"/>
    <w:basedOn w:val="a0"/>
    <w:uiPriority w:val="99"/>
    <w:semiHidden/>
    <w:unhideWhenUsed/>
    <w:rsid w:val="00F10662"/>
    <w:rPr>
      <w:color w:val="0000FF"/>
      <w:u w:val="single"/>
    </w:rPr>
  </w:style>
  <w:style w:type="paragraph" w:styleId="NormalWeb">
    <w:name w:val="Normal (Web)"/>
    <w:basedOn w:val="a"/>
    <w:uiPriority w:val="99"/>
    <w:semiHidden/>
    <w:unhideWhenUsed/>
    <w:rsid w:val="007A715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F75D3A"/>
    <w:rPr>
      <w:sz w:val="16"/>
      <w:szCs w:val="16"/>
    </w:rPr>
  </w:style>
  <w:style w:type="paragraph" w:styleId="a8">
    <w:name w:val="annotation text"/>
    <w:basedOn w:val="a"/>
    <w:link w:val="a9"/>
    <w:uiPriority w:val="99"/>
    <w:semiHidden/>
    <w:unhideWhenUsed/>
    <w:rsid w:val="00F75D3A"/>
    <w:pPr>
      <w:spacing w:line="240" w:lineRule="auto"/>
    </w:pPr>
    <w:rPr>
      <w:sz w:val="20"/>
      <w:szCs w:val="20"/>
    </w:rPr>
  </w:style>
  <w:style w:type="character" w:customStyle="1" w:styleId="a9">
    <w:name w:val="טקסט הערה תו"/>
    <w:basedOn w:val="a0"/>
    <w:link w:val="a8"/>
    <w:uiPriority w:val="99"/>
    <w:semiHidden/>
    <w:rsid w:val="00F75D3A"/>
    <w:rPr>
      <w:sz w:val="20"/>
      <w:szCs w:val="20"/>
    </w:rPr>
  </w:style>
  <w:style w:type="paragraph" w:styleId="aa">
    <w:name w:val="annotation subject"/>
    <w:basedOn w:val="a8"/>
    <w:next w:val="a8"/>
    <w:link w:val="ab"/>
    <w:uiPriority w:val="99"/>
    <w:semiHidden/>
    <w:unhideWhenUsed/>
    <w:rsid w:val="00F75D3A"/>
    <w:rPr>
      <w:b/>
      <w:bCs/>
    </w:rPr>
  </w:style>
  <w:style w:type="character" w:customStyle="1" w:styleId="ab">
    <w:name w:val="נושא הערה תו"/>
    <w:basedOn w:val="a9"/>
    <w:link w:val="aa"/>
    <w:uiPriority w:val="99"/>
    <w:semiHidden/>
    <w:rsid w:val="00F75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9094">
      <w:bodyDiv w:val="1"/>
      <w:marLeft w:val="0"/>
      <w:marRight w:val="0"/>
      <w:marTop w:val="0"/>
      <w:marBottom w:val="0"/>
      <w:divBdr>
        <w:top w:val="none" w:sz="0" w:space="0" w:color="auto"/>
        <w:left w:val="none" w:sz="0" w:space="0" w:color="auto"/>
        <w:bottom w:val="none" w:sz="0" w:space="0" w:color="auto"/>
        <w:right w:val="none" w:sz="0" w:space="0" w:color="auto"/>
      </w:divBdr>
      <w:divsChild>
        <w:div w:id="9725399">
          <w:marLeft w:val="0"/>
          <w:marRight w:val="0"/>
          <w:marTop w:val="0"/>
          <w:marBottom w:val="0"/>
          <w:divBdr>
            <w:top w:val="none" w:sz="0" w:space="0" w:color="auto"/>
            <w:left w:val="none" w:sz="0" w:space="0" w:color="auto"/>
            <w:bottom w:val="none" w:sz="0" w:space="0" w:color="auto"/>
            <w:right w:val="none" w:sz="0" w:space="0" w:color="auto"/>
          </w:divBdr>
        </w:div>
        <w:div w:id="26392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675</Words>
  <Characters>3376</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ראובן כהן</cp:lastModifiedBy>
  <cp:revision>34</cp:revision>
  <dcterms:created xsi:type="dcterms:W3CDTF">2022-04-25T10:37:00Z</dcterms:created>
  <dcterms:modified xsi:type="dcterms:W3CDTF">2022-04-27T10:11:00Z</dcterms:modified>
</cp:coreProperties>
</file>