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4C7" w:rsidRDefault="00AC64C7" w:rsidP="00AC64C7">
      <w:pPr>
        <w:spacing w:after="0" w:line="259" w:lineRule="auto"/>
        <w:ind w:left="812" w:right="1567"/>
        <w:jc w:val="center"/>
        <w:rPr>
          <w:rFonts w:ascii="Tahoma" w:eastAsia="Tahoma" w:hAnsi="Tahoma" w:cs="Tahoma"/>
          <w:color w:val="006FC0"/>
          <w:sz w:val="30"/>
          <w:szCs w:val="30"/>
        </w:rPr>
      </w:pPr>
      <w:bookmarkStart w:id="0" w:name="_GoBack"/>
      <w:bookmarkEnd w:id="0"/>
      <w:r>
        <w:rPr>
          <w:rFonts w:ascii="Tahoma" w:eastAsia="Tahoma" w:hAnsi="Tahoma" w:cs="Tahoma"/>
          <w:color w:val="006FC0"/>
          <w:sz w:val="30"/>
          <w:szCs w:val="30"/>
        </w:rPr>
        <w:t>E</w:t>
      </w:r>
      <w:r>
        <w:rPr>
          <w:rFonts w:ascii="Tahoma" w:eastAsia="Tahoma" w:hAnsi="Tahoma" w:cs="Tahoma"/>
          <w:color w:val="006FC0"/>
          <w:spacing w:val="-1"/>
          <w:sz w:val="30"/>
          <w:szCs w:val="30"/>
        </w:rPr>
        <w:t>NG</w:t>
      </w:r>
      <w:r>
        <w:rPr>
          <w:rFonts w:ascii="Tahoma" w:eastAsia="Tahoma" w:hAnsi="Tahoma" w:cs="Tahoma"/>
          <w:color w:val="006FC0"/>
          <w:sz w:val="30"/>
          <w:szCs w:val="30"/>
        </w:rPr>
        <w:t>INEERING</w:t>
      </w:r>
      <w:r>
        <w:rPr>
          <w:rFonts w:ascii="Tahoma" w:eastAsia="Tahoma" w:hAnsi="Tahoma" w:cs="Tahoma"/>
          <w:color w:val="006FC0"/>
          <w:spacing w:val="-17"/>
          <w:sz w:val="30"/>
          <w:szCs w:val="30"/>
        </w:rPr>
        <w:t xml:space="preserve"> </w:t>
      </w:r>
      <w:r>
        <w:rPr>
          <w:rFonts w:ascii="Tahoma" w:eastAsia="Tahoma" w:hAnsi="Tahoma" w:cs="Tahoma"/>
          <w:color w:val="006FC0"/>
          <w:sz w:val="30"/>
          <w:szCs w:val="30"/>
        </w:rPr>
        <w:t>FOODS</w:t>
      </w:r>
      <w:r>
        <w:rPr>
          <w:rFonts w:ascii="Tahoma" w:eastAsia="Tahoma" w:hAnsi="Tahoma" w:cs="Tahoma"/>
          <w:color w:val="006FC0"/>
          <w:spacing w:val="-18"/>
          <w:sz w:val="30"/>
          <w:szCs w:val="30"/>
        </w:rPr>
        <w:t xml:space="preserve"> </w:t>
      </w:r>
      <w:r>
        <w:rPr>
          <w:rFonts w:ascii="Tahoma" w:eastAsia="Tahoma" w:hAnsi="Tahoma" w:cs="Tahoma"/>
          <w:color w:val="006FC0"/>
          <w:sz w:val="30"/>
          <w:szCs w:val="30"/>
        </w:rPr>
        <w:t>TO PREVENT CANCER</w:t>
      </w:r>
    </w:p>
    <w:p w:rsidR="00AC64C7" w:rsidRDefault="00AC64C7" w:rsidP="00AC64C7">
      <w:pPr>
        <w:spacing w:after="0" w:line="240" w:lineRule="auto"/>
        <w:ind w:left="3087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Asst. </w:t>
      </w:r>
      <w:r>
        <w:rPr>
          <w:rFonts w:ascii="Calibri" w:eastAsia="Calibri" w:hAnsi="Calibri" w:cs="Calibri"/>
          <w:color w:val="000000"/>
          <w:spacing w:val="1"/>
        </w:rPr>
        <w:t>P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 xml:space="preserve">of. 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v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 </w:t>
      </w:r>
      <w:r w:rsidR="00C33A93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Sh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an</w:t>
      </w:r>
    </w:p>
    <w:p w:rsidR="00AC64C7" w:rsidRDefault="00AC64C7" w:rsidP="00AC64C7">
      <w:pPr>
        <w:spacing w:after="0" w:line="240" w:lineRule="auto"/>
        <w:ind w:left="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C64C7" w:rsidRDefault="00AC64C7" w:rsidP="00AC64C7">
      <w:pPr>
        <w:spacing w:after="0" w:line="240" w:lineRule="auto"/>
        <w:ind w:left="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C64C7" w:rsidRDefault="00AC64C7" w:rsidP="00AC64C7">
      <w:pPr>
        <w:spacing w:after="0" w:line="360" w:lineRule="auto"/>
        <w:ind w:left="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C64C7" w:rsidRDefault="00AC64C7" w:rsidP="00AC64C7">
      <w:pPr>
        <w:spacing w:after="0" w:line="360" w:lineRule="auto"/>
        <w:ind w:left="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aim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ctives</w:t>
      </w:r>
    </w:p>
    <w:p w:rsidR="00AC64C7" w:rsidRDefault="00AC64C7" w:rsidP="00AC64C7">
      <w:pPr>
        <w:spacing w:after="19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C64C7" w:rsidRDefault="00AC64C7" w:rsidP="00AC64C7">
      <w:pPr>
        <w:spacing w:after="0" w:line="360" w:lineRule="auto"/>
        <w:ind w:left="99" w:right="92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After extensive research, we have focused our efforts on examining how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5441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affects plant material’s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ability to prevent cancer development.</w:t>
      </w:r>
    </w:p>
    <w:p w:rsidR="00AC64C7" w:rsidRDefault="00AC64C7" w:rsidP="00AC64C7">
      <w:pPr>
        <w:spacing w:after="0" w:line="360" w:lineRule="auto"/>
        <w:ind w:left="99" w:right="92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C64C7" w:rsidRDefault="00AC64C7" w:rsidP="00AC64C7">
      <w:pPr>
        <w:spacing w:after="0" w:line="360" w:lineRule="auto"/>
        <w:ind w:left="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sults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iscu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ion</w:t>
      </w:r>
    </w:p>
    <w:p w:rsidR="00AC64C7" w:rsidRDefault="00AC64C7" w:rsidP="00AC64C7">
      <w:pPr>
        <w:spacing w:after="19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C64C7" w:rsidRDefault="00AC64C7" w:rsidP="005441B9">
      <w:pPr>
        <w:spacing w:line="360" w:lineRule="auto"/>
        <w:ind w:left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ressu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the plant compound EGCG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found that </w:t>
      </w:r>
      <w:r w:rsidR="00544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high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pressure helps break the compound down, while the sugars 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help keep the compound’s structure intact. The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results suggest that we cannot assume that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 heating the plant compound will ultimately be better than heating.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the other hand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high pressure homogenization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increased the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total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amount of po</w:t>
      </w:r>
      <w:r w:rsidR="00544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lyphenols in strawberry puree,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plant chemicals though to help prevent cancer.</w:t>
      </w:r>
    </w:p>
    <w:p w:rsidR="00AC64C7" w:rsidRDefault="00AC64C7" w:rsidP="00AC64C7">
      <w:pPr>
        <w:spacing w:line="360" w:lineRule="auto"/>
        <w:ind w:left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also found that a t compound mostly found in citrus fruit reacted very strongly with sugars, while another compound found in berries, responded differently. </w:t>
      </w:r>
    </w:p>
    <w:p w:rsidR="00AC64C7" w:rsidRDefault="00AC64C7" w:rsidP="00AC64C7">
      <w:pPr>
        <w:spacing w:after="0" w:line="360" w:lineRule="auto"/>
        <w:ind w:left="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Conclusio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AC64C7" w:rsidRDefault="00AC64C7" w:rsidP="00AC64C7">
      <w:pPr>
        <w:spacing w:after="19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C64C7" w:rsidRDefault="00AC64C7" w:rsidP="00AC64C7">
      <w:pPr>
        <w:spacing w:line="360" w:lineRule="auto"/>
        <w:ind w:left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sults cl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show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 conditions and pro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ssing,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con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ations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stable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plant compounds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fact, leaving the plant compounds alone may not lead to their better ability to prevent cancer.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 continue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order to clearly identify the 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amet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</w:t>
      </w:r>
      <w:r w:rsidRPr="00AC6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 would maintain these compounds at their highest functioning.</w:t>
      </w:r>
    </w:p>
    <w:p w:rsidR="00AC64C7" w:rsidRPr="00AC64C7" w:rsidRDefault="00AC64C7" w:rsidP="00AC64C7">
      <w:pPr>
        <w:spacing w:line="360" w:lineRule="auto"/>
        <w:ind w:left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C64C7" w:rsidRPr="00AC6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FD3" w:rsidRDefault="00C03FD3" w:rsidP="00CA2336">
      <w:pPr>
        <w:spacing w:after="0" w:line="240" w:lineRule="auto"/>
      </w:pPr>
      <w:r>
        <w:separator/>
      </w:r>
    </w:p>
  </w:endnote>
  <w:endnote w:type="continuationSeparator" w:id="0">
    <w:p w:rsidR="00C03FD3" w:rsidRDefault="00C03FD3" w:rsidP="00CA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FD3" w:rsidRDefault="00C03FD3" w:rsidP="00CA2336">
      <w:pPr>
        <w:spacing w:after="0" w:line="240" w:lineRule="auto"/>
      </w:pPr>
      <w:r>
        <w:separator/>
      </w:r>
    </w:p>
  </w:footnote>
  <w:footnote w:type="continuationSeparator" w:id="0">
    <w:p w:rsidR="00C03FD3" w:rsidRDefault="00C03FD3" w:rsidP="00CA23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4C7"/>
    <w:rsid w:val="00045D33"/>
    <w:rsid w:val="005441B9"/>
    <w:rsid w:val="007610D3"/>
    <w:rsid w:val="00AC64C7"/>
    <w:rsid w:val="00C03FD3"/>
    <w:rsid w:val="00C33A93"/>
    <w:rsid w:val="00CA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4C7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336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A2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336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2017-12-12T07:23:00Z</dcterms:created>
  <dcterms:modified xsi:type="dcterms:W3CDTF">2017-12-12T07:23:00Z</dcterms:modified>
</cp:coreProperties>
</file>