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A63CD" w14:textId="77777777" w:rsidR="00340DEA" w:rsidRPr="00BC6240" w:rsidRDefault="00D314C1" w:rsidP="00841C2C">
      <w:pPr>
        <w:pStyle w:val="NormalWeb"/>
        <w:shd w:val="clear" w:color="auto" w:fill="FFFFFF"/>
        <w:spacing w:before="0" w:beforeAutospacing="0" w:after="0" w:afterAutospacing="0"/>
        <w:jc w:val="center"/>
        <w:rPr>
          <w:rFonts w:asciiTheme="minorHAnsi" w:hAnsiTheme="minorHAnsi" w:cs="Arial"/>
          <w:b/>
          <w:bCs/>
          <w:sz w:val="28"/>
          <w:szCs w:val="28"/>
        </w:rPr>
      </w:pPr>
      <w:r w:rsidRPr="00BC6240">
        <w:rPr>
          <w:rFonts w:asciiTheme="minorHAnsi" w:hAnsiTheme="minorHAnsi" w:cs="Arial"/>
          <w:b/>
          <w:bCs/>
          <w:sz w:val="28"/>
          <w:szCs w:val="28"/>
        </w:rPr>
        <w:t xml:space="preserve">Criteria </w:t>
      </w:r>
      <w:r w:rsidR="00340DEA" w:rsidRPr="00BC6240">
        <w:rPr>
          <w:rFonts w:asciiTheme="minorHAnsi" w:hAnsiTheme="minorHAnsi" w:cs="Arial"/>
          <w:b/>
          <w:bCs/>
          <w:sz w:val="28"/>
          <w:szCs w:val="28"/>
        </w:rPr>
        <w:t xml:space="preserve">for </w:t>
      </w:r>
      <w:r w:rsidR="00B60110" w:rsidRPr="00BC6240">
        <w:rPr>
          <w:rFonts w:asciiTheme="minorHAnsi" w:hAnsiTheme="minorHAnsi" w:cs="Arial"/>
          <w:b/>
          <w:bCs/>
          <w:sz w:val="28"/>
          <w:szCs w:val="28"/>
        </w:rPr>
        <w:t>identifying</w:t>
      </w:r>
      <w:r w:rsidR="000C151F" w:rsidRPr="00BC6240">
        <w:rPr>
          <w:rFonts w:asciiTheme="minorHAnsi" w:hAnsiTheme="minorHAnsi" w:cs="Arial"/>
          <w:b/>
          <w:bCs/>
          <w:sz w:val="28"/>
          <w:szCs w:val="28"/>
        </w:rPr>
        <w:t xml:space="preserve"> </w:t>
      </w:r>
      <w:r w:rsidR="00340DEA" w:rsidRPr="00BC6240">
        <w:rPr>
          <w:rFonts w:asciiTheme="minorHAnsi" w:hAnsiTheme="minorHAnsi" w:cs="Arial"/>
          <w:b/>
          <w:bCs/>
          <w:sz w:val="28"/>
          <w:szCs w:val="28"/>
        </w:rPr>
        <w:t xml:space="preserve">issues for </w:t>
      </w:r>
      <w:r w:rsidR="008B7B68" w:rsidRPr="00BC6240">
        <w:rPr>
          <w:rFonts w:asciiTheme="minorHAnsi" w:hAnsiTheme="minorHAnsi" w:cs="Arial"/>
          <w:b/>
          <w:bCs/>
          <w:sz w:val="28"/>
          <w:szCs w:val="28"/>
        </w:rPr>
        <w:t xml:space="preserve">collaborative social processes </w:t>
      </w:r>
      <w:r w:rsidR="00340DEA" w:rsidRPr="00BC6240">
        <w:rPr>
          <w:rFonts w:asciiTheme="minorHAnsi" w:hAnsiTheme="minorHAnsi" w:cs="Arial"/>
          <w:b/>
          <w:bCs/>
          <w:sz w:val="28"/>
          <w:szCs w:val="28"/>
        </w:rPr>
        <w:t>and a list of appropriate topics</w:t>
      </w:r>
    </w:p>
    <w:p w14:paraId="3A8361E6" w14:textId="77777777" w:rsidR="00841C2C" w:rsidRPr="00BC6240" w:rsidRDefault="00340DEA" w:rsidP="00BC6240">
      <w:pPr>
        <w:pStyle w:val="NormalWeb"/>
        <w:shd w:val="clear" w:color="auto" w:fill="FFFFFF"/>
        <w:bidi/>
        <w:spacing w:before="240" w:beforeAutospacing="0" w:after="0" w:afterAutospacing="0" w:line="360" w:lineRule="auto"/>
        <w:jc w:val="center"/>
        <w:rPr>
          <w:rFonts w:asciiTheme="minorHAnsi" w:hAnsiTheme="minorHAnsi" w:cs="Arial"/>
          <w:sz w:val="22"/>
          <w:szCs w:val="22"/>
          <w:rtl/>
        </w:rPr>
      </w:pPr>
      <w:r w:rsidRPr="00BC6240">
        <w:rPr>
          <w:rFonts w:asciiTheme="minorHAnsi" w:hAnsiTheme="minorHAnsi" w:cs="Arial"/>
          <w:sz w:val="22"/>
          <w:szCs w:val="22"/>
        </w:rPr>
        <w:t>October 2019</w:t>
      </w:r>
    </w:p>
    <w:p w14:paraId="5D4F97C2" w14:textId="77777777" w:rsidR="004D6363" w:rsidRPr="00BC6240" w:rsidRDefault="000C151F" w:rsidP="0041088D">
      <w:pPr>
        <w:pStyle w:val="NormalWeb"/>
        <w:shd w:val="clear" w:color="auto" w:fill="FFFFFF"/>
        <w:spacing w:before="0" w:beforeAutospacing="0" w:after="240" w:afterAutospacing="0" w:line="276" w:lineRule="auto"/>
        <w:rPr>
          <w:rFonts w:asciiTheme="minorHAnsi" w:hAnsiTheme="minorHAnsi" w:cs="Arial"/>
        </w:rPr>
      </w:pPr>
      <w:r w:rsidRPr="00BC6240">
        <w:rPr>
          <w:rFonts w:asciiTheme="minorHAnsi" w:hAnsiTheme="minorHAnsi" w:cs="Arial"/>
        </w:rPr>
        <w:t>This document details two types of lists:</w:t>
      </w:r>
    </w:p>
    <w:p w14:paraId="517DDA32" w14:textId="77777777" w:rsidR="00D314C1" w:rsidRPr="00BC6240" w:rsidRDefault="00D314C1" w:rsidP="0041088D">
      <w:pPr>
        <w:pStyle w:val="NormalWeb"/>
        <w:shd w:val="clear" w:color="auto" w:fill="FFFFFF"/>
        <w:spacing w:before="0" w:beforeAutospacing="0" w:after="240" w:afterAutospacing="0"/>
        <w:rPr>
          <w:rFonts w:asciiTheme="minorHAnsi" w:hAnsiTheme="minorHAnsi" w:cs="Arial"/>
        </w:rPr>
      </w:pPr>
      <w:r w:rsidRPr="00BC6240">
        <w:rPr>
          <w:rFonts w:asciiTheme="minorHAnsi" w:hAnsiTheme="minorHAnsi" w:cs="Arial"/>
        </w:rPr>
        <w:t xml:space="preserve">1. </w:t>
      </w:r>
      <w:r w:rsidRPr="00BC6240">
        <w:rPr>
          <w:rFonts w:asciiTheme="minorHAnsi" w:hAnsiTheme="minorHAnsi" w:cs="Arial"/>
          <w:b/>
          <w:bCs/>
        </w:rPr>
        <w:t xml:space="preserve">A </w:t>
      </w:r>
      <w:r w:rsidR="001B307C" w:rsidRPr="00BC6240">
        <w:rPr>
          <w:rFonts w:asciiTheme="minorHAnsi" w:hAnsiTheme="minorHAnsi" w:cs="Arial"/>
          <w:b/>
          <w:bCs/>
        </w:rPr>
        <w:t xml:space="preserve">criteria </w:t>
      </w:r>
      <w:r w:rsidRPr="00BC6240">
        <w:rPr>
          <w:rFonts w:asciiTheme="minorHAnsi" w:hAnsiTheme="minorHAnsi" w:cs="Arial"/>
          <w:b/>
          <w:bCs/>
        </w:rPr>
        <w:t xml:space="preserve">list </w:t>
      </w:r>
      <w:r w:rsidRPr="00BC6240">
        <w:rPr>
          <w:rFonts w:asciiTheme="minorHAnsi" w:hAnsiTheme="minorHAnsi" w:cs="Arial"/>
        </w:rPr>
        <w:t xml:space="preserve">formulated at </w:t>
      </w:r>
      <w:proofErr w:type="spellStart"/>
      <w:r w:rsidRPr="00BC6240">
        <w:rPr>
          <w:rFonts w:asciiTheme="minorHAnsi" w:hAnsiTheme="minorHAnsi" w:cs="Arial"/>
        </w:rPr>
        <w:t>Sheatufim</w:t>
      </w:r>
      <w:proofErr w:type="spellEnd"/>
      <w:r w:rsidRPr="00BC6240">
        <w:rPr>
          <w:rFonts w:asciiTheme="minorHAnsi" w:hAnsiTheme="minorHAnsi" w:cs="Arial"/>
        </w:rPr>
        <w:t xml:space="preserve"> for promoting social issues </w:t>
      </w:r>
      <w:r w:rsidR="00F62837" w:rsidRPr="00BC6240">
        <w:rPr>
          <w:rFonts w:asciiTheme="minorHAnsi" w:hAnsiTheme="minorHAnsi" w:cs="Arial"/>
        </w:rPr>
        <w:t xml:space="preserve">suitable </w:t>
      </w:r>
      <w:r w:rsidR="00F52387" w:rsidRPr="00BC6240">
        <w:rPr>
          <w:rFonts w:asciiTheme="minorHAnsi" w:hAnsiTheme="minorHAnsi" w:cs="Arial"/>
        </w:rPr>
        <w:t xml:space="preserve">for </w:t>
      </w:r>
      <w:r w:rsidR="009800B3" w:rsidRPr="00BC6240">
        <w:rPr>
          <w:rFonts w:asciiTheme="minorHAnsi" w:hAnsiTheme="minorHAnsi" w:cs="Arial"/>
        </w:rPr>
        <w:t>cross</w:t>
      </w:r>
      <w:r w:rsidRPr="00BC6240">
        <w:rPr>
          <w:rFonts w:asciiTheme="minorHAnsi" w:hAnsiTheme="minorHAnsi" w:cs="Arial"/>
        </w:rPr>
        <w:t xml:space="preserve">-sector </w:t>
      </w:r>
      <w:r w:rsidR="00B27539" w:rsidRPr="00BC6240">
        <w:rPr>
          <w:rFonts w:asciiTheme="minorHAnsi" w:hAnsiTheme="minorHAnsi" w:cs="Arial"/>
        </w:rPr>
        <w:t xml:space="preserve">collaborative </w:t>
      </w:r>
      <w:r w:rsidR="00961ECC" w:rsidRPr="00BC6240">
        <w:rPr>
          <w:rFonts w:asciiTheme="minorHAnsi" w:hAnsiTheme="minorHAnsi" w:cs="Arial"/>
        </w:rPr>
        <w:t xml:space="preserve">processes </w:t>
      </w:r>
      <w:r w:rsidRPr="00BC6240">
        <w:rPr>
          <w:rFonts w:asciiTheme="minorHAnsi" w:hAnsiTheme="minorHAnsi" w:cs="Arial"/>
        </w:rPr>
        <w:t>at the national level.</w:t>
      </w:r>
    </w:p>
    <w:p w14:paraId="64289F81" w14:textId="77777777" w:rsidR="005A4DB4" w:rsidRPr="00BC6240" w:rsidRDefault="005A4DB4" w:rsidP="0041088D">
      <w:pPr>
        <w:pStyle w:val="NormalWeb"/>
        <w:shd w:val="clear" w:color="auto" w:fill="FFFFFF"/>
        <w:spacing w:before="0" w:beforeAutospacing="0" w:after="240" w:afterAutospacing="0"/>
        <w:rPr>
          <w:rFonts w:asciiTheme="minorHAnsi" w:hAnsiTheme="minorHAnsi" w:cs="Arial"/>
        </w:rPr>
      </w:pPr>
      <w:r w:rsidRPr="00BC6240">
        <w:rPr>
          <w:rFonts w:asciiTheme="minorHAnsi" w:hAnsiTheme="minorHAnsi" w:cs="Arial"/>
        </w:rPr>
        <w:t xml:space="preserve">2. A </w:t>
      </w:r>
      <w:r w:rsidRPr="00BC6240">
        <w:rPr>
          <w:rFonts w:asciiTheme="minorHAnsi" w:hAnsiTheme="minorHAnsi" w:cs="Arial"/>
          <w:b/>
          <w:bCs/>
        </w:rPr>
        <w:t>list of current, burning social issues</w:t>
      </w:r>
      <w:r w:rsidRPr="00BC6240">
        <w:rPr>
          <w:rFonts w:asciiTheme="minorHAnsi" w:hAnsiTheme="minorHAnsi" w:cs="Arial"/>
        </w:rPr>
        <w:t xml:space="preserve"> in Israel that can be promoted or resolved through </w:t>
      </w:r>
      <w:r w:rsidR="00961ECC" w:rsidRPr="00BC6240">
        <w:rPr>
          <w:rFonts w:asciiTheme="minorHAnsi" w:hAnsiTheme="minorHAnsi" w:cs="Arial"/>
        </w:rPr>
        <w:t xml:space="preserve">collaborative </w:t>
      </w:r>
      <w:r w:rsidRPr="00BC6240">
        <w:rPr>
          <w:rFonts w:asciiTheme="minorHAnsi" w:hAnsiTheme="minorHAnsi" w:cs="Arial"/>
        </w:rPr>
        <w:t xml:space="preserve">cross-sector </w:t>
      </w:r>
      <w:r w:rsidR="00C60717" w:rsidRPr="00BC6240">
        <w:rPr>
          <w:rFonts w:asciiTheme="minorHAnsi" w:hAnsiTheme="minorHAnsi" w:cs="Arial"/>
        </w:rPr>
        <w:t>processes</w:t>
      </w:r>
      <w:r w:rsidRPr="00BC6240">
        <w:rPr>
          <w:rFonts w:asciiTheme="minorHAnsi" w:hAnsiTheme="minorHAnsi" w:cs="Arial"/>
        </w:rPr>
        <w:t xml:space="preserve"> at the national level.</w:t>
      </w:r>
    </w:p>
    <w:p w14:paraId="057C14EC" w14:textId="77777777" w:rsidR="004A3ECD" w:rsidRPr="00BC6240" w:rsidRDefault="004A3ECD" w:rsidP="0041088D">
      <w:pPr>
        <w:pStyle w:val="NormalWeb"/>
        <w:shd w:val="clear" w:color="auto" w:fill="FFFFFF"/>
        <w:spacing w:before="0" w:beforeAutospacing="0" w:after="240" w:afterAutospacing="0"/>
        <w:rPr>
          <w:rFonts w:asciiTheme="minorHAnsi" w:hAnsiTheme="minorHAnsi" w:cs="Arial"/>
        </w:rPr>
      </w:pPr>
      <w:r w:rsidRPr="00BC6240">
        <w:rPr>
          <w:rFonts w:asciiTheme="minorHAnsi" w:hAnsiTheme="minorHAnsi" w:cs="Arial"/>
        </w:rPr>
        <w:t xml:space="preserve">Both lists are based on the knowledge gathered by </w:t>
      </w:r>
      <w:proofErr w:type="spellStart"/>
      <w:r w:rsidRPr="00BC6240">
        <w:rPr>
          <w:rFonts w:asciiTheme="minorHAnsi" w:hAnsiTheme="minorHAnsi" w:cs="Arial"/>
        </w:rPr>
        <w:t>Sheatufim</w:t>
      </w:r>
      <w:proofErr w:type="spellEnd"/>
      <w:r w:rsidRPr="00BC6240">
        <w:rPr>
          <w:rFonts w:asciiTheme="minorHAnsi" w:hAnsiTheme="minorHAnsi" w:cs="Arial"/>
        </w:rPr>
        <w:t xml:space="preserve"> in leading and </w:t>
      </w:r>
      <w:commentRangeStart w:id="0"/>
      <w:r w:rsidRPr="00BC6240">
        <w:rPr>
          <w:rFonts w:asciiTheme="minorHAnsi" w:hAnsiTheme="minorHAnsi" w:cs="Arial"/>
        </w:rPr>
        <w:t xml:space="preserve">accompanying </w:t>
      </w:r>
      <w:commentRangeEnd w:id="0"/>
      <w:r w:rsidR="00D1636A" w:rsidRPr="00BC6240">
        <w:rPr>
          <w:rStyle w:val="CommentReference"/>
          <w:rFonts w:asciiTheme="minorHAnsi" w:hAnsiTheme="minorHAnsi" w:cstheme="minorBidi"/>
        </w:rPr>
        <w:commentReference w:id="0"/>
      </w:r>
      <w:r w:rsidR="00F52387" w:rsidRPr="00BC6240">
        <w:rPr>
          <w:rFonts w:asciiTheme="minorHAnsi" w:hAnsiTheme="minorHAnsi" w:cs="Arial"/>
        </w:rPr>
        <w:t xml:space="preserve">collaborative </w:t>
      </w:r>
      <w:r w:rsidRPr="00BC6240">
        <w:rPr>
          <w:rFonts w:asciiTheme="minorHAnsi" w:hAnsiTheme="minorHAnsi" w:cs="Arial"/>
        </w:rPr>
        <w:t xml:space="preserve">social impact strategies: </w:t>
      </w:r>
      <w:hyperlink r:id="rId11" w:history="1">
        <w:r w:rsidRPr="00BC6240">
          <w:rPr>
            <w:rStyle w:val="Hyperlink"/>
            <w:rFonts w:asciiTheme="minorHAnsi" w:hAnsiTheme="minorHAnsi" w:cs="Arial"/>
          </w:rPr>
          <w:t>Collective Impact</w:t>
        </w:r>
      </w:hyperlink>
      <w:r w:rsidRPr="00BC6240">
        <w:rPr>
          <w:rFonts w:asciiTheme="minorHAnsi" w:hAnsiTheme="minorHAnsi" w:cs="Arial"/>
        </w:rPr>
        <w:t xml:space="preserve"> </w:t>
      </w:r>
      <w:r w:rsidR="003C04B8" w:rsidRPr="00BC6240">
        <w:rPr>
          <w:rFonts w:asciiTheme="minorHAnsi" w:hAnsiTheme="minorHAnsi" w:cs="Arial"/>
        </w:rPr>
        <w:t>i</w:t>
      </w:r>
      <w:r w:rsidRPr="00BC6240">
        <w:rPr>
          <w:rFonts w:asciiTheme="minorHAnsi" w:hAnsiTheme="minorHAnsi" w:cs="Arial"/>
        </w:rPr>
        <w:t>nitiatives, particular</w:t>
      </w:r>
      <w:r w:rsidR="003C04B8" w:rsidRPr="00BC6240">
        <w:rPr>
          <w:rFonts w:asciiTheme="minorHAnsi" w:hAnsiTheme="minorHAnsi" w:cs="Arial"/>
        </w:rPr>
        <w:t>ly</w:t>
      </w:r>
      <w:r w:rsidRPr="00BC6240">
        <w:rPr>
          <w:rFonts w:asciiTheme="minorHAnsi" w:hAnsiTheme="minorHAnsi" w:cs="Arial"/>
        </w:rPr>
        <w:t xml:space="preserve"> </w:t>
      </w:r>
      <w:hyperlink r:id="rId12" w:history="1">
        <w:r w:rsidRPr="00BC6240">
          <w:rPr>
            <w:rStyle w:val="Hyperlink"/>
            <w:rFonts w:asciiTheme="minorHAnsi" w:hAnsiTheme="minorHAnsi" w:cs="Arial"/>
          </w:rPr>
          <w:t>5</w:t>
        </w:r>
        <w:r w:rsidR="003C04B8" w:rsidRPr="00BC6240">
          <w:rPr>
            <w:rStyle w:val="Hyperlink"/>
            <w:rFonts w:asciiTheme="minorHAnsi" w:hAnsiTheme="minorHAnsi" w:cs="Arial"/>
          </w:rPr>
          <w:t>x</w:t>
        </w:r>
        <w:r w:rsidRPr="00BC6240">
          <w:rPr>
            <w:rStyle w:val="Hyperlink"/>
            <w:rFonts w:asciiTheme="minorHAnsi" w:hAnsiTheme="minorHAnsi" w:cs="Arial"/>
          </w:rPr>
          <w:t>2</w:t>
        </w:r>
      </w:hyperlink>
      <w:r w:rsidRPr="00BC6240">
        <w:rPr>
          <w:rFonts w:asciiTheme="minorHAnsi" w:hAnsiTheme="minorHAnsi" w:cs="Arial"/>
        </w:rPr>
        <w:t xml:space="preserve">, </w:t>
      </w:r>
      <w:hyperlink r:id="rId13" w:history="1">
        <w:r w:rsidR="00B55310" w:rsidRPr="00BC6240">
          <w:rPr>
            <w:rStyle w:val="Hyperlink"/>
            <w:rFonts w:asciiTheme="minorHAnsi" w:hAnsiTheme="minorHAnsi" w:cs="Arial"/>
          </w:rPr>
          <w:t>the Prime Minister’s Office Round-</w:t>
        </w:r>
        <w:r w:rsidR="00F105DC" w:rsidRPr="00BC6240">
          <w:rPr>
            <w:rStyle w:val="Hyperlink"/>
            <w:rFonts w:asciiTheme="minorHAnsi" w:hAnsiTheme="minorHAnsi" w:cs="Arial"/>
          </w:rPr>
          <w:t>t</w:t>
        </w:r>
        <w:r w:rsidR="00B55310" w:rsidRPr="00BC6240">
          <w:rPr>
            <w:rStyle w:val="Hyperlink"/>
            <w:rFonts w:asciiTheme="minorHAnsi" w:hAnsiTheme="minorHAnsi" w:cs="Arial"/>
          </w:rPr>
          <w:t>able</w:t>
        </w:r>
      </w:hyperlink>
      <w:r w:rsidRPr="00BC6240">
        <w:rPr>
          <w:rFonts w:asciiTheme="minorHAnsi" w:hAnsiTheme="minorHAnsi" w:cs="Arial"/>
        </w:rPr>
        <w:t xml:space="preserve">, additional </w:t>
      </w:r>
      <w:r w:rsidR="002F1108" w:rsidRPr="00BC6240">
        <w:rPr>
          <w:rFonts w:asciiTheme="minorHAnsi" w:hAnsiTheme="minorHAnsi" w:cs="Arial"/>
        </w:rPr>
        <w:t>projects</w:t>
      </w:r>
      <w:r w:rsidRPr="00BC6240">
        <w:rPr>
          <w:rFonts w:asciiTheme="minorHAnsi" w:hAnsiTheme="minorHAnsi" w:cs="Arial"/>
        </w:rPr>
        <w:t xml:space="preserve"> such as the </w:t>
      </w:r>
      <w:r w:rsidR="00831D49" w:rsidRPr="00BC6240">
        <w:rPr>
          <w:rFonts w:asciiTheme="minorHAnsi" w:hAnsiTheme="minorHAnsi" w:cs="Arial"/>
        </w:rPr>
        <w:t>“</w:t>
      </w:r>
      <w:hyperlink r:id="rId14" w:history="1">
        <w:r w:rsidR="00831D49" w:rsidRPr="00BC6240">
          <w:rPr>
            <w:rStyle w:val="Hyperlink"/>
            <w:rFonts w:asciiTheme="minorHAnsi" w:hAnsiTheme="minorHAnsi" w:cs="Arial"/>
          </w:rPr>
          <w:t>Life Shield</w:t>
        </w:r>
      </w:hyperlink>
      <w:r w:rsidR="00831D49" w:rsidRPr="00BC6240">
        <w:rPr>
          <w:rFonts w:asciiTheme="minorHAnsi" w:hAnsiTheme="minorHAnsi" w:cs="Arial"/>
        </w:rPr>
        <w:t xml:space="preserve">” initiative </w:t>
      </w:r>
      <w:r w:rsidRPr="00BC6240">
        <w:rPr>
          <w:rFonts w:asciiTheme="minorHAnsi" w:hAnsiTheme="minorHAnsi" w:cs="Arial"/>
        </w:rPr>
        <w:t xml:space="preserve">of the </w:t>
      </w:r>
      <w:commentRangeStart w:id="1"/>
      <w:r w:rsidRPr="00BC6240">
        <w:rPr>
          <w:rFonts w:asciiTheme="minorHAnsi" w:hAnsiTheme="minorHAnsi" w:cs="Arial"/>
        </w:rPr>
        <w:t>National Initiatives Fund</w:t>
      </w:r>
      <w:commentRangeEnd w:id="1"/>
      <w:r w:rsidR="00831D49" w:rsidRPr="00BC6240">
        <w:rPr>
          <w:rStyle w:val="CommentReference"/>
          <w:rFonts w:asciiTheme="minorHAnsi" w:hAnsiTheme="minorHAnsi" w:cstheme="minorBidi"/>
        </w:rPr>
        <w:commentReference w:id="1"/>
      </w:r>
      <w:r w:rsidRPr="00BC6240">
        <w:rPr>
          <w:rFonts w:asciiTheme="minorHAnsi" w:hAnsiTheme="minorHAnsi" w:cs="Arial"/>
        </w:rPr>
        <w:t xml:space="preserve">, and </w:t>
      </w:r>
      <w:r w:rsidR="004C6E83" w:rsidRPr="00BC6240">
        <w:rPr>
          <w:rFonts w:asciiTheme="minorHAnsi" w:hAnsiTheme="minorHAnsi" w:cs="Arial"/>
        </w:rPr>
        <w:t>“</w:t>
      </w:r>
      <w:proofErr w:type="spellStart"/>
      <w:r w:rsidR="00E85EFF" w:rsidRPr="00BC6240">
        <w:fldChar w:fldCharType="begin"/>
      </w:r>
      <w:r w:rsidR="00E85EFF" w:rsidRPr="00BC6240">
        <w:rPr>
          <w:rFonts w:asciiTheme="minorHAnsi" w:hAnsiTheme="minorHAnsi"/>
        </w:rPr>
        <w:instrText xml:space="preserve"> HYPERLINK "https://sheatufim.org.il/en/subject/social-management/hamerhav/" </w:instrText>
      </w:r>
      <w:r w:rsidR="00E85EFF" w:rsidRPr="00BC6240">
        <w:fldChar w:fldCharType="separate"/>
      </w:r>
      <w:r w:rsidR="004C6E83" w:rsidRPr="00BC6240">
        <w:rPr>
          <w:rStyle w:val="Hyperlink"/>
          <w:rFonts w:asciiTheme="minorHAnsi" w:hAnsiTheme="minorHAnsi" w:cs="Arial"/>
        </w:rPr>
        <w:t>Hamerhav</w:t>
      </w:r>
      <w:proofErr w:type="spellEnd"/>
      <w:r w:rsidR="00E85EFF" w:rsidRPr="00BC6240">
        <w:rPr>
          <w:rStyle w:val="Hyperlink"/>
          <w:rFonts w:asciiTheme="minorHAnsi" w:hAnsiTheme="minorHAnsi" w:cs="Arial"/>
        </w:rPr>
        <w:fldChar w:fldCharType="end"/>
      </w:r>
      <w:r w:rsidR="004C6E83" w:rsidRPr="00BC6240">
        <w:rPr>
          <w:rFonts w:asciiTheme="minorHAnsi" w:hAnsiTheme="minorHAnsi" w:cs="Arial"/>
        </w:rPr>
        <w:t xml:space="preserve">” </w:t>
      </w:r>
      <w:r w:rsidRPr="00BC6240">
        <w:rPr>
          <w:rFonts w:asciiTheme="minorHAnsi" w:hAnsiTheme="minorHAnsi" w:cs="Arial"/>
        </w:rPr>
        <w:t>of the Ethiopian community in Israel.</w:t>
      </w:r>
    </w:p>
    <w:p w14:paraId="043B5B49" w14:textId="77777777" w:rsidR="00B60110" w:rsidRPr="00BC6240" w:rsidRDefault="00B60110" w:rsidP="0041088D">
      <w:pPr>
        <w:pStyle w:val="NormalWeb"/>
        <w:shd w:val="clear" w:color="auto" w:fill="FFFFFF"/>
        <w:spacing w:before="0" w:beforeAutospacing="0" w:after="240" w:afterAutospacing="0"/>
        <w:rPr>
          <w:rFonts w:asciiTheme="minorHAnsi" w:hAnsiTheme="minorHAnsi" w:cs="Arial"/>
          <w:b/>
          <w:bCs/>
          <w:color w:val="1F497D" w:themeColor="text2"/>
        </w:rPr>
      </w:pPr>
      <w:r w:rsidRPr="00BC6240">
        <w:rPr>
          <w:rFonts w:asciiTheme="minorHAnsi" w:hAnsiTheme="minorHAnsi" w:cs="Arial"/>
          <w:b/>
          <w:bCs/>
          <w:color w:val="1F497D" w:themeColor="text2"/>
        </w:rPr>
        <w:t>List # 1:</w:t>
      </w:r>
      <w:r w:rsidR="007A0748">
        <w:rPr>
          <w:rFonts w:asciiTheme="minorHAnsi" w:hAnsiTheme="minorHAnsi" w:cs="Arial"/>
          <w:b/>
          <w:bCs/>
          <w:color w:val="1F497D" w:themeColor="text2"/>
        </w:rPr>
        <w:t xml:space="preserve"> </w:t>
      </w:r>
      <w:r w:rsidRPr="00BC6240">
        <w:rPr>
          <w:rFonts w:asciiTheme="minorHAnsi" w:hAnsiTheme="minorHAnsi" w:cs="Arial"/>
          <w:b/>
          <w:bCs/>
          <w:color w:val="1F497D" w:themeColor="text2"/>
        </w:rPr>
        <w:t>Criteria for identifying social issues suit</w:t>
      </w:r>
      <w:r w:rsidR="00ED2E1E">
        <w:rPr>
          <w:rFonts w:asciiTheme="minorHAnsi" w:hAnsiTheme="minorHAnsi" w:cs="Arial"/>
          <w:b/>
          <w:bCs/>
          <w:color w:val="1F497D" w:themeColor="text2"/>
        </w:rPr>
        <w:t>able</w:t>
      </w:r>
      <w:r w:rsidRPr="00BC6240">
        <w:rPr>
          <w:rFonts w:asciiTheme="minorHAnsi" w:hAnsiTheme="minorHAnsi" w:cs="Arial"/>
          <w:b/>
          <w:bCs/>
          <w:color w:val="1F497D" w:themeColor="text2"/>
        </w:rPr>
        <w:t xml:space="preserve"> </w:t>
      </w:r>
      <w:r w:rsidR="00111234" w:rsidRPr="00BC6240">
        <w:rPr>
          <w:rFonts w:asciiTheme="minorHAnsi" w:hAnsiTheme="minorHAnsi" w:cs="Arial"/>
          <w:b/>
          <w:bCs/>
          <w:color w:val="1F497D" w:themeColor="text2"/>
        </w:rPr>
        <w:t xml:space="preserve">for </w:t>
      </w:r>
      <w:r w:rsidRPr="00BC6240">
        <w:rPr>
          <w:rFonts w:asciiTheme="minorHAnsi" w:hAnsiTheme="minorHAnsi" w:cs="Arial"/>
          <w:b/>
          <w:bCs/>
          <w:color w:val="1F497D" w:themeColor="text2"/>
        </w:rPr>
        <w:t xml:space="preserve">collaborative </w:t>
      </w:r>
      <w:r w:rsidR="009800B3" w:rsidRPr="00BC6240">
        <w:rPr>
          <w:rFonts w:asciiTheme="minorHAnsi" w:hAnsiTheme="minorHAnsi" w:cs="Arial"/>
          <w:b/>
          <w:bCs/>
          <w:color w:val="1F497D" w:themeColor="text2"/>
        </w:rPr>
        <w:t>cross</w:t>
      </w:r>
      <w:r w:rsidRPr="00BC6240">
        <w:rPr>
          <w:rFonts w:asciiTheme="minorHAnsi" w:hAnsiTheme="minorHAnsi" w:cs="Arial"/>
          <w:b/>
          <w:bCs/>
          <w:color w:val="1F497D" w:themeColor="text2"/>
        </w:rPr>
        <w:t>-sector processes</w:t>
      </w:r>
    </w:p>
    <w:p w14:paraId="74299FD0" w14:textId="77777777" w:rsidR="001E0C12" w:rsidRPr="00BC6240" w:rsidRDefault="001E0C12" w:rsidP="0041088D">
      <w:pPr>
        <w:pStyle w:val="NormalWeb"/>
        <w:shd w:val="clear" w:color="auto" w:fill="FFFFFF"/>
        <w:spacing w:before="0" w:beforeAutospacing="0" w:after="240" w:afterAutospacing="0" w:line="276" w:lineRule="auto"/>
        <w:rPr>
          <w:rFonts w:asciiTheme="minorHAnsi" w:hAnsiTheme="minorHAnsi" w:cs="Arial"/>
        </w:rPr>
      </w:pPr>
      <w:r w:rsidRPr="00BC6240">
        <w:rPr>
          <w:rFonts w:asciiTheme="minorHAnsi" w:hAnsiTheme="minorHAnsi" w:cs="Arial"/>
        </w:rPr>
        <w:t xml:space="preserve">The list of criteria is divided into three </w:t>
      </w:r>
      <w:r w:rsidR="00DE3DDE" w:rsidRPr="00BC6240">
        <w:rPr>
          <w:rFonts w:asciiTheme="minorHAnsi" w:hAnsiTheme="minorHAnsi" w:cs="Arial"/>
        </w:rPr>
        <w:t>stages</w:t>
      </w:r>
      <w:r w:rsidRPr="00BC6240">
        <w:rPr>
          <w:rFonts w:asciiTheme="minorHAnsi" w:hAnsiTheme="minorHAnsi" w:cs="Arial"/>
        </w:rPr>
        <w:t>, according to the type of criteria, as detailed below</w:t>
      </w:r>
      <w:r w:rsidRPr="00BC6240">
        <w:rPr>
          <w:rFonts w:asciiTheme="minorHAnsi" w:hAnsiTheme="minorHAnsi" w:cs="Arial"/>
          <w:rtl/>
        </w:rPr>
        <w:t>.</w:t>
      </w:r>
    </w:p>
    <w:p w14:paraId="7BE4D36A" w14:textId="77777777" w:rsidR="00140987" w:rsidRPr="00BC6240" w:rsidRDefault="00140987" w:rsidP="0041088D">
      <w:pPr>
        <w:bidi w:val="0"/>
        <w:spacing w:before="480" w:after="0"/>
        <w:jc w:val="both"/>
        <w:rPr>
          <w:rFonts w:eastAsia="Times New Roman" w:cs="Arial"/>
          <w:b/>
          <w:bCs/>
          <w:color w:val="000000"/>
          <w:sz w:val="24"/>
          <w:szCs w:val="24"/>
        </w:rPr>
      </w:pPr>
      <w:r w:rsidRPr="00BC6240">
        <w:rPr>
          <w:rFonts w:eastAsia="Times New Roman" w:cs="Arial"/>
          <w:b/>
          <w:bCs/>
          <w:color w:val="000000"/>
          <w:sz w:val="24"/>
          <w:szCs w:val="24"/>
        </w:rPr>
        <w:t xml:space="preserve">The first </w:t>
      </w:r>
      <w:r w:rsidR="00DE3DDE" w:rsidRPr="00BC6240">
        <w:rPr>
          <w:rFonts w:eastAsia="Times New Roman" w:cs="Arial"/>
          <w:b/>
          <w:bCs/>
          <w:color w:val="000000"/>
          <w:sz w:val="24"/>
          <w:szCs w:val="24"/>
        </w:rPr>
        <w:t xml:space="preserve">stage </w:t>
      </w:r>
      <w:r w:rsidRPr="00BC6240">
        <w:rPr>
          <w:rFonts w:eastAsia="Times New Roman" w:cs="Arial"/>
          <w:b/>
          <w:bCs/>
          <w:color w:val="000000"/>
          <w:sz w:val="24"/>
          <w:szCs w:val="24"/>
        </w:rPr>
        <w:t>contains six essential criteria for action in a collective impact model</w:t>
      </w:r>
      <w:r w:rsidRPr="00BC6240">
        <w:rPr>
          <w:rFonts w:eastAsia="Times New Roman" w:cs="Arial"/>
          <w:b/>
          <w:bCs/>
          <w:color w:val="000000"/>
          <w:sz w:val="24"/>
          <w:szCs w:val="24"/>
          <w:rtl/>
        </w:rPr>
        <w:t>:</w:t>
      </w:r>
    </w:p>
    <w:p w14:paraId="148F763B" w14:textId="03920819" w:rsidR="005F381D" w:rsidRPr="00BC6240" w:rsidRDefault="005F381D" w:rsidP="0041088D">
      <w:pPr>
        <w:pStyle w:val="ListParagraph"/>
        <w:numPr>
          <w:ilvl w:val="0"/>
          <w:numId w:val="7"/>
        </w:numPr>
        <w:bidi w:val="0"/>
        <w:spacing w:before="480" w:line="276" w:lineRule="auto"/>
        <w:rPr>
          <w:rFonts w:eastAsia="Times New Roman" w:cs="Arial"/>
          <w:color w:val="000000"/>
          <w:sz w:val="24"/>
          <w:szCs w:val="24"/>
        </w:rPr>
      </w:pPr>
      <w:r w:rsidRPr="00BC6240">
        <w:rPr>
          <w:rFonts w:eastAsia="Times New Roman" w:cs="Arial"/>
          <w:color w:val="000000"/>
          <w:sz w:val="24"/>
          <w:szCs w:val="24"/>
          <w:u w:val="single"/>
        </w:rPr>
        <w:t xml:space="preserve">A </w:t>
      </w:r>
      <w:r w:rsidRPr="00BC6240">
        <w:rPr>
          <w:rFonts w:eastAsia="Times New Roman" w:cs="Arial"/>
          <w:b/>
          <w:bCs/>
          <w:color w:val="000000"/>
          <w:sz w:val="24"/>
          <w:szCs w:val="24"/>
          <w:u w:val="single"/>
        </w:rPr>
        <w:t>complex social problem</w:t>
      </w:r>
      <w:r w:rsidRPr="00BC6240">
        <w:rPr>
          <w:rFonts w:eastAsia="Times New Roman" w:cs="Arial"/>
          <w:color w:val="000000"/>
          <w:sz w:val="24"/>
          <w:szCs w:val="24"/>
          <w:u w:val="single"/>
        </w:rPr>
        <w:t xml:space="preserve"> lies at the core of the issue</w:t>
      </w:r>
      <w:r w:rsidR="00577164">
        <w:rPr>
          <w:rFonts w:eastAsia="Times New Roman" w:cs="Arial"/>
          <w:color w:val="000000"/>
          <w:sz w:val="24"/>
          <w:szCs w:val="24"/>
        </w:rPr>
        <w:t>:</w:t>
      </w:r>
      <w:r w:rsidRPr="00BC6240">
        <w:rPr>
          <w:rFonts w:eastAsia="Times New Roman" w:cs="Arial"/>
          <w:color w:val="000000"/>
          <w:sz w:val="24"/>
          <w:szCs w:val="24"/>
        </w:rPr>
        <w:t xml:space="preserve"> </w:t>
      </w:r>
      <w:r w:rsidR="00577164">
        <w:rPr>
          <w:rFonts w:eastAsia="Times New Roman" w:cs="Arial"/>
          <w:color w:val="000000"/>
          <w:sz w:val="24"/>
          <w:szCs w:val="24"/>
        </w:rPr>
        <w:t>N</w:t>
      </w:r>
      <w:r w:rsidRPr="00BC6240">
        <w:rPr>
          <w:rFonts w:eastAsia="Times New Roman" w:cs="Arial"/>
          <w:color w:val="000000"/>
          <w:sz w:val="24"/>
          <w:szCs w:val="24"/>
        </w:rPr>
        <w:t>o</w:t>
      </w:r>
      <w:r w:rsidR="00C14B30" w:rsidRPr="00BC6240">
        <w:rPr>
          <w:rFonts w:eastAsia="Times New Roman" w:cs="Arial"/>
          <w:color w:val="000000"/>
          <w:sz w:val="24"/>
          <w:szCs w:val="24"/>
        </w:rPr>
        <w:t xml:space="preserve"> singular</w:t>
      </w:r>
      <w:r w:rsidRPr="00BC6240">
        <w:rPr>
          <w:rFonts w:eastAsia="Times New Roman" w:cs="Arial"/>
          <w:color w:val="000000"/>
          <w:sz w:val="24"/>
          <w:szCs w:val="24"/>
        </w:rPr>
        <w:t xml:space="preserve"> solution</w:t>
      </w:r>
      <w:r w:rsidR="00C14B30" w:rsidRPr="00BC6240">
        <w:rPr>
          <w:rFonts w:eastAsia="Times New Roman" w:cs="Arial"/>
          <w:color w:val="000000"/>
          <w:sz w:val="24"/>
          <w:szCs w:val="24"/>
        </w:rPr>
        <w:t xml:space="preserve"> is apparent</w:t>
      </w:r>
      <w:r w:rsidR="00830C21" w:rsidRPr="00BC6240">
        <w:rPr>
          <w:rFonts w:eastAsia="Times New Roman" w:cs="Arial"/>
          <w:color w:val="000000"/>
          <w:sz w:val="24"/>
          <w:szCs w:val="24"/>
        </w:rPr>
        <w:t>;</w:t>
      </w:r>
      <w:r w:rsidRPr="00BC6240">
        <w:rPr>
          <w:rFonts w:eastAsia="Times New Roman" w:cs="Arial"/>
          <w:color w:val="000000"/>
          <w:sz w:val="24"/>
          <w:szCs w:val="24"/>
        </w:rPr>
        <w:t xml:space="preserve"> rather</w:t>
      </w:r>
      <w:r w:rsidR="00830C21" w:rsidRPr="00BC6240">
        <w:rPr>
          <w:rFonts w:eastAsia="Times New Roman" w:cs="Arial"/>
          <w:color w:val="000000"/>
          <w:sz w:val="24"/>
          <w:szCs w:val="24"/>
        </w:rPr>
        <w:t>,</w:t>
      </w:r>
      <w:r w:rsidRPr="00BC6240">
        <w:rPr>
          <w:rFonts w:eastAsia="Times New Roman" w:cs="Arial"/>
          <w:color w:val="000000"/>
          <w:sz w:val="24"/>
          <w:szCs w:val="24"/>
        </w:rPr>
        <w:t xml:space="preserve"> a series of solutions is likely to be required. Moreover, there is no single body (including the government) </w:t>
      </w:r>
      <w:r w:rsidR="0041088D">
        <w:rPr>
          <w:rFonts w:eastAsia="Times New Roman" w:cs="Arial"/>
          <w:color w:val="000000"/>
          <w:sz w:val="24"/>
          <w:szCs w:val="24"/>
        </w:rPr>
        <w:t xml:space="preserve">with </w:t>
      </w:r>
      <w:r w:rsidRPr="00BC6240">
        <w:rPr>
          <w:rFonts w:eastAsia="Times New Roman" w:cs="Arial"/>
          <w:color w:val="000000"/>
          <w:sz w:val="24"/>
          <w:szCs w:val="24"/>
        </w:rPr>
        <w:t xml:space="preserve">the means or capacity to solve it on its own; it is therefore necessary to </w:t>
      </w:r>
      <w:r w:rsidR="00C03C82">
        <w:rPr>
          <w:rFonts w:eastAsia="Times New Roman" w:cs="Arial"/>
          <w:color w:val="000000"/>
          <w:sz w:val="24"/>
          <w:szCs w:val="24"/>
        </w:rPr>
        <w:t>integrate</w:t>
      </w:r>
      <w:r w:rsidRPr="00BC6240">
        <w:rPr>
          <w:rFonts w:eastAsia="Times New Roman" w:cs="Arial"/>
          <w:color w:val="000000"/>
          <w:sz w:val="24"/>
          <w:szCs w:val="24"/>
        </w:rPr>
        <w:t xml:space="preserve"> a variety of stakeholders and points-of-view from all sectors.</w:t>
      </w:r>
    </w:p>
    <w:p w14:paraId="5EB77E7D" w14:textId="7D29C81E" w:rsidR="005028F5" w:rsidRPr="00BC6240" w:rsidRDefault="005028F5" w:rsidP="0041088D">
      <w:pPr>
        <w:pStyle w:val="ListParagraph"/>
        <w:numPr>
          <w:ilvl w:val="0"/>
          <w:numId w:val="7"/>
        </w:numPr>
        <w:bidi w:val="0"/>
        <w:spacing w:before="480" w:line="276" w:lineRule="auto"/>
        <w:rPr>
          <w:rFonts w:eastAsia="Times New Roman" w:cs="Arial"/>
          <w:color w:val="000000"/>
          <w:sz w:val="24"/>
          <w:szCs w:val="24"/>
        </w:rPr>
      </w:pPr>
      <w:r w:rsidRPr="00BC6240">
        <w:rPr>
          <w:rFonts w:eastAsia="Times New Roman" w:cs="Arial"/>
          <w:color w:val="000000"/>
          <w:sz w:val="24"/>
          <w:szCs w:val="24"/>
          <w:u w:val="single"/>
        </w:rPr>
        <w:t>The issue is of national importance</w:t>
      </w:r>
      <w:r w:rsidR="00577164">
        <w:rPr>
          <w:rFonts w:eastAsia="Times New Roman" w:cs="Arial"/>
          <w:color w:val="000000"/>
          <w:sz w:val="24"/>
          <w:szCs w:val="24"/>
        </w:rPr>
        <w:t>:</w:t>
      </w:r>
      <w:r w:rsidRPr="00BC6240">
        <w:rPr>
          <w:rFonts w:eastAsia="Times New Roman" w:cs="Arial"/>
          <w:color w:val="000000"/>
          <w:sz w:val="24"/>
          <w:szCs w:val="24"/>
        </w:rPr>
        <w:t xml:space="preserve"> </w:t>
      </w:r>
      <w:r w:rsidR="003E150F" w:rsidRPr="00BC6240">
        <w:rPr>
          <w:rFonts w:eastAsia="Times New Roman" w:cs="Arial"/>
          <w:color w:val="000000"/>
          <w:sz w:val="24"/>
          <w:szCs w:val="24"/>
        </w:rPr>
        <w:t>The issue</w:t>
      </w:r>
      <w:r w:rsidRPr="00BC6240">
        <w:rPr>
          <w:rFonts w:eastAsia="Times New Roman" w:cs="Arial"/>
          <w:color w:val="000000"/>
          <w:sz w:val="24"/>
          <w:szCs w:val="24"/>
        </w:rPr>
        <w:t xml:space="preserve"> can harness all the necessary stakeholders and bring them to invest in significant </w:t>
      </w:r>
      <w:r w:rsidR="00CA2B84" w:rsidRPr="00BC6240">
        <w:rPr>
          <w:rFonts w:eastAsia="Times New Roman" w:cs="Arial"/>
          <w:color w:val="000000"/>
          <w:sz w:val="24"/>
          <w:szCs w:val="24"/>
        </w:rPr>
        <w:t>resources</w:t>
      </w:r>
      <w:r w:rsidRPr="00BC6240">
        <w:rPr>
          <w:rFonts w:eastAsia="Times New Roman" w:cs="Arial"/>
          <w:color w:val="000000"/>
          <w:sz w:val="24"/>
          <w:szCs w:val="24"/>
        </w:rPr>
        <w:t>, so that a meaningful and lasting impact is ultimately achieved.</w:t>
      </w:r>
    </w:p>
    <w:p w14:paraId="407C5F12" w14:textId="5634B464" w:rsidR="00656FD2" w:rsidRPr="00BC6240" w:rsidRDefault="00656FD2" w:rsidP="0041088D">
      <w:pPr>
        <w:pStyle w:val="ListParagraph"/>
        <w:numPr>
          <w:ilvl w:val="0"/>
          <w:numId w:val="7"/>
        </w:numPr>
        <w:bidi w:val="0"/>
        <w:spacing w:before="480" w:line="276" w:lineRule="auto"/>
        <w:rPr>
          <w:rFonts w:eastAsia="Times New Roman" w:cs="Arial"/>
          <w:color w:val="000000"/>
          <w:sz w:val="24"/>
          <w:szCs w:val="24"/>
        </w:rPr>
      </w:pPr>
      <w:r w:rsidRPr="00BC6240">
        <w:rPr>
          <w:rFonts w:eastAsia="Times New Roman" w:cs="Arial"/>
          <w:color w:val="000000"/>
          <w:sz w:val="24"/>
          <w:szCs w:val="24"/>
          <w:u w:val="single"/>
        </w:rPr>
        <w:t>At the present time, there is no satisfactory solution to the problem</w:t>
      </w:r>
      <w:r w:rsidR="00577164">
        <w:rPr>
          <w:rFonts w:eastAsia="Times New Roman" w:cs="Arial"/>
          <w:color w:val="000000"/>
          <w:sz w:val="24"/>
          <w:szCs w:val="24"/>
        </w:rPr>
        <w:t>:</w:t>
      </w:r>
      <w:r w:rsidRPr="00BC6240">
        <w:rPr>
          <w:rFonts w:eastAsia="Times New Roman" w:cs="Arial"/>
          <w:color w:val="000000"/>
          <w:sz w:val="24"/>
          <w:szCs w:val="24"/>
        </w:rPr>
        <w:t xml:space="preserve"> </w:t>
      </w:r>
      <w:r w:rsidR="003E150F" w:rsidRPr="00BC6240">
        <w:rPr>
          <w:rFonts w:eastAsia="Times New Roman" w:cs="Arial"/>
          <w:color w:val="000000"/>
          <w:sz w:val="24"/>
          <w:szCs w:val="24"/>
        </w:rPr>
        <w:t>T</w:t>
      </w:r>
      <w:r w:rsidRPr="00BC6240">
        <w:rPr>
          <w:rFonts w:eastAsia="Times New Roman" w:cs="Arial"/>
          <w:color w:val="000000"/>
          <w:sz w:val="24"/>
          <w:szCs w:val="24"/>
        </w:rPr>
        <w:t xml:space="preserve">he proposed solutions should be considered from a perspective that aims at the common good and at maximizing shared value. If a problem is already adequately addressed, it is possible to improve or to enhance </w:t>
      </w:r>
      <w:r w:rsidR="00836217">
        <w:rPr>
          <w:rFonts w:eastAsia="Times New Roman" w:cs="Arial"/>
          <w:color w:val="000000"/>
          <w:sz w:val="24"/>
          <w:szCs w:val="24"/>
        </w:rPr>
        <w:t>existing measures</w:t>
      </w:r>
      <w:r w:rsidRPr="00BC6240">
        <w:rPr>
          <w:rFonts w:eastAsia="Times New Roman" w:cs="Arial"/>
          <w:color w:val="000000"/>
          <w:sz w:val="24"/>
          <w:szCs w:val="24"/>
        </w:rPr>
        <w:t>. If no satisfactory solution exists, a move to attempt it is more likely to lead to an innovative solution and a substantial contribution.</w:t>
      </w:r>
    </w:p>
    <w:p w14:paraId="7E581153" w14:textId="7375DDCA" w:rsidR="00EF6392" w:rsidRPr="00BC6240" w:rsidRDefault="00EF6392" w:rsidP="00FC712E">
      <w:pPr>
        <w:pStyle w:val="ListParagraph"/>
        <w:numPr>
          <w:ilvl w:val="0"/>
          <w:numId w:val="7"/>
        </w:numPr>
        <w:bidi w:val="0"/>
        <w:spacing w:before="480" w:line="276" w:lineRule="auto"/>
        <w:rPr>
          <w:rFonts w:eastAsia="Times New Roman" w:cs="Arial"/>
          <w:color w:val="000000"/>
          <w:sz w:val="24"/>
          <w:szCs w:val="24"/>
        </w:rPr>
      </w:pPr>
      <w:r w:rsidRPr="00BC6240">
        <w:rPr>
          <w:rFonts w:eastAsia="Times New Roman" w:cs="Arial"/>
          <w:color w:val="000000"/>
          <w:sz w:val="24"/>
          <w:szCs w:val="24"/>
          <w:u w:val="single"/>
        </w:rPr>
        <w:lastRenderedPageBreak/>
        <w:t>Value can be clearly identified for cross-sector collaboration</w:t>
      </w:r>
      <w:r w:rsidR="004016CA">
        <w:rPr>
          <w:rFonts w:eastAsia="Times New Roman" w:cs="Arial"/>
          <w:color w:val="000000"/>
          <w:sz w:val="24"/>
          <w:szCs w:val="24"/>
        </w:rPr>
        <w:t>:</w:t>
      </w:r>
      <w:r w:rsidRPr="00BC6240">
        <w:rPr>
          <w:rFonts w:eastAsia="Times New Roman" w:cs="Arial"/>
          <w:color w:val="000000"/>
          <w:sz w:val="24"/>
          <w:szCs w:val="24"/>
        </w:rPr>
        <w:t xml:space="preserve"> Harnessing, creating, and leading a cross-sector partnership is inherently a complex, long-term </w:t>
      </w:r>
      <w:r w:rsidR="00025C58">
        <w:rPr>
          <w:rFonts w:eastAsia="Times New Roman" w:cs="Arial"/>
          <w:color w:val="000000"/>
          <w:sz w:val="24"/>
          <w:szCs w:val="24"/>
        </w:rPr>
        <w:t>endeavor</w:t>
      </w:r>
      <w:r w:rsidRPr="00BC6240">
        <w:rPr>
          <w:rFonts w:eastAsia="Times New Roman" w:cs="Arial"/>
          <w:color w:val="000000"/>
          <w:sz w:val="24"/>
          <w:szCs w:val="24"/>
        </w:rPr>
        <w:t xml:space="preserve"> that requires many resources and inputs. Therefore, such collaboration should only be undertaken concerning issues and situations where it is clear that this is the necessary</w:t>
      </w:r>
      <w:r w:rsidR="00E60FBA" w:rsidRPr="00BC6240">
        <w:rPr>
          <w:rFonts w:eastAsia="Times New Roman" w:cs="Arial"/>
          <w:color w:val="000000"/>
          <w:sz w:val="24"/>
          <w:szCs w:val="24"/>
        </w:rPr>
        <w:t>—</w:t>
      </w:r>
      <w:r w:rsidRPr="00BC6240">
        <w:rPr>
          <w:rFonts w:eastAsia="Times New Roman" w:cs="Arial"/>
          <w:color w:val="000000"/>
          <w:sz w:val="24"/>
          <w:szCs w:val="24"/>
        </w:rPr>
        <w:t>and perhaps only</w:t>
      </w:r>
      <w:r w:rsidR="00E60FBA" w:rsidRPr="00BC6240">
        <w:rPr>
          <w:rFonts w:eastAsia="Times New Roman" w:cs="Arial"/>
          <w:color w:val="000000"/>
          <w:sz w:val="24"/>
          <w:szCs w:val="24"/>
        </w:rPr>
        <w:t>—</w:t>
      </w:r>
      <w:r w:rsidRPr="00BC6240">
        <w:rPr>
          <w:rFonts w:eastAsia="Times New Roman" w:cs="Arial"/>
          <w:color w:val="000000"/>
          <w:sz w:val="24"/>
          <w:szCs w:val="24"/>
        </w:rPr>
        <w:t>approach that will yield significant value on the way to solving the problem.</w:t>
      </w:r>
    </w:p>
    <w:p w14:paraId="139D8A8D" w14:textId="1A85CCAD" w:rsidR="00B3438C" w:rsidRPr="00BC6240" w:rsidRDefault="00B3438C" w:rsidP="00FC712E">
      <w:pPr>
        <w:pStyle w:val="ListParagraph"/>
        <w:numPr>
          <w:ilvl w:val="0"/>
          <w:numId w:val="7"/>
        </w:numPr>
        <w:bidi w:val="0"/>
        <w:spacing w:before="480" w:line="276" w:lineRule="auto"/>
        <w:rPr>
          <w:rFonts w:eastAsia="Times New Roman" w:cs="Arial"/>
          <w:color w:val="000000"/>
          <w:sz w:val="24"/>
          <w:szCs w:val="24"/>
        </w:rPr>
      </w:pPr>
      <w:r w:rsidRPr="00BC6240">
        <w:rPr>
          <w:rFonts w:eastAsia="Times New Roman" w:cs="Arial"/>
          <w:color w:val="000000"/>
          <w:sz w:val="24"/>
          <w:szCs w:val="24"/>
          <w:u w:val="single"/>
        </w:rPr>
        <w:t>The subject is measurable</w:t>
      </w:r>
      <w:r w:rsidR="00627BF4">
        <w:rPr>
          <w:rFonts w:eastAsia="Times New Roman" w:cs="Arial"/>
          <w:color w:val="000000"/>
          <w:sz w:val="24"/>
          <w:szCs w:val="24"/>
        </w:rPr>
        <w:t>:</w:t>
      </w:r>
      <w:r w:rsidRPr="00BC6240">
        <w:rPr>
          <w:rFonts w:eastAsia="Times New Roman" w:cs="Arial"/>
          <w:color w:val="000000"/>
          <w:sz w:val="24"/>
          <w:szCs w:val="24"/>
        </w:rPr>
        <w:t xml:space="preserve"> </w:t>
      </w:r>
      <w:r w:rsidR="003E150F" w:rsidRPr="00BC6240">
        <w:rPr>
          <w:rFonts w:eastAsia="Times New Roman" w:cs="Arial"/>
          <w:color w:val="000000"/>
          <w:sz w:val="24"/>
          <w:szCs w:val="24"/>
        </w:rPr>
        <w:t>T</w:t>
      </w:r>
      <w:r w:rsidRPr="00BC6240">
        <w:rPr>
          <w:rFonts w:eastAsia="Times New Roman" w:cs="Arial"/>
          <w:color w:val="000000"/>
          <w:sz w:val="24"/>
          <w:szCs w:val="24"/>
        </w:rPr>
        <w:t>his includes defining measurable goals and the possibility of making a clear assessment of them over time</w:t>
      </w:r>
      <w:r w:rsidR="00742A42" w:rsidRPr="00BC6240">
        <w:rPr>
          <w:rFonts w:eastAsia="Times New Roman" w:cs="Arial"/>
          <w:color w:val="000000"/>
          <w:sz w:val="24"/>
          <w:szCs w:val="24"/>
        </w:rPr>
        <w:t xml:space="preserve">, in </w:t>
      </w:r>
      <w:r w:rsidRPr="00BC6240">
        <w:rPr>
          <w:rFonts w:eastAsia="Times New Roman" w:cs="Arial"/>
          <w:color w:val="000000"/>
          <w:sz w:val="24"/>
          <w:szCs w:val="24"/>
        </w:rPr>
        <w:t xml:space="preserve">order to </w:t>
      </w:r>
      <w:r w:rsidR="00742A42" w:rsidRPr="00BC6240">
        <w:rPr>
          <w:rFonts w:eastAsia="Times New Roman" w:cs="Arial"/>
          <w:color w:val="000000"/>
          <w:sz w:val="24"/>
          <w:szCs w:val="24"/>
        </w:rPr>
        <w:t>en</w:t>
      </w:r>
      <w:r w:rsidRPr="00BC6240">
        <w:rPr>
          <w:rFonts w:eastAsia="Times New Roman" w:cs="Arial"/>
          <w:color w:val="000000"/>
          <w:sz w:val="24"/>
          <w:szCs w:val="24"/>
        </w:rPr>
        <w:t>sure that the process will have real and lasting value.</w:t>
      </w:r>
    </w:p>
    <w:p w14:paraId="1DD8FE32" w14:textId="784DD885" w:rsidR="00CC100E" w:rsidRPr="00BC6240" w:rsidRDefault="00CC100E" w:rsidP="00FC712E">
      <w:pPr>
        <w:pStyle w:val="ListParagraph"/>
        <w:numPr>
          <w:ilvl w:val="0"/>
          <w:numId w:val="7"/>
        </w:numPr>
        <w:bidi w:val="0"/>
        <w:spacing w:before="480" w:line="276" w:lineRule="auto"/>
        <w:rPr>
          <w:rFonts w:eastAsia="Times New Roman" w:cs="Arial"/>
          <w:color w:val="000000"/>
          <w:sz w:val="24"/>
          <w:szCs w:val="24"/>
        </w:rPr>
      </w:pPr>
      <w:r w:rsidRPr="00BC6240">
        <w:rPr>
          <w:rFonts w:eastAsia="Times New Roman" w:cs="Arial"/>
          <w:color w:val="000000"/>
          <w:sz w:val="24"/>
          <w:szCs w:val="24"/>
          <w:u w:val="single"/>
        </w:rPr>
        <w:t>Issues that have the potential to harness government ministries</w:t>
      </w:r>
      <w:r w:rsidR="00E97DC0" w:rsidRPr="00BC6240">
        <w:rPr>
          <w:rFonts w:eastAsia="Times New Roman" w:cs="Arial"/>
          <w:color w:val="000000"/>
          <w:sz w:val="24"/>
          <w:szCs w:val="24"/>
          <w:u w:val="single"/>
        </w:rPr>
        <w:t xml:space="preserve">’ </w:t>
      </w:r>
      <w:commentRangeStart w:id="2"/>
      <w:r w:rsidR="00E97DC0" w:rsidRPr="00BC6240">
        <w:rPr>
          <w:rFonts w:eastAsia="Times New Roman" w:cs="Arial"/>
          <w:color w:val="000000"/>
          <w:sz w:val="24"/>
          <w:szCs w:val="24"/>
          <w:u w:val="single"/>
        </w:rPr>
        <w:t>collaboration</w:t>
      </w:r>
      <w:commentRangeEnd w:id="2"/>
      <w:r w:rsidR="00E97DC0" w:rsidRPr="00BC6240">
        <w:rPr>
          <w:rStyle w:val="CommentReference"/>
        </w:rPr>
        <w:commentReference w:id="2"/>
      </w:r>
      <w:r w:rsidRPr="00BC6240">
        <w:rPr>
          <w:rFonts w:eastAsia="Times New Roman" w:cs="Arial"/>
          <w:color w:val="000000"/>
          <w:sz w:val="24"/>
          <w:szCs w:val="24"/>
          <w:u w:val="single"/>
        </w:rPr>
        <w:t xml:space="preserve"> and leadership</w:t>
      </w:r>
      <w:r w:rsidR="00627BF4">
        <w:rPr>
          <w:rFonts w:eastAsia="Times New Roman" w:cs="Arial"/>
          <w:color w:val="000000"/>
          <w:sz w:val="24"/>
          <w:szCs w:val="24"/>
        </w:rPr>
        <w:t>:</w:t>
      </w:r>
      <w:r w:rsidRPr="00BC6240">
        <w:rPr>
          <w:rFonts w:eastAsia="Times New Roman" w:cs="Arial"/>
          <w:color w:val="000000"/>
          <w:sz w:val="24"/>
          <w:szCs w:val="24"/>
        </w:rPr>
        <w:t xml:space="preserve"> Though difficult to assess, it is important to identify the willingness and </w:t>
      </w:r>
      <w:r w:rsidR="0078080D" w:rsidRPr="00BC6240">
        <w:rPr>
          <w:rFonts w:eastAsia="Times New Roman" w:cs="Arial"/>
          <w:color w:val="000000"/>
          <w:sz w:val="24"/>
          <w:szCs w:val="24"/>
        </w:rPr>
        <w:t xml:space="preserve">capacity </w:t>
      </w:r>
      <w:r w:rsidRPr="00BC6240">
        <w:rPr>
          <w:rFonts w:eastAsia="Times New Roman" w:cs="Arial"/>
          <w:color w:val="000000"/>
          <w:sz w:val="24"/>
          <w:szCs w:val="24"/>
        </w:rPr>
        <w:t>of public sector decision-makers to join a</w:t>
      </w:r>
      <w:r w:rsidR="009800B3" w:rsidRPr="00BC6240">
        <w:rPr>
          <w:rFonts w:eastAsia="Times New Roman" w:cs="Arial"/>
          <w:color w:val="000000"/>
          <w:sz w:val="24"/>
          <w:szCs w:val="24"/>
        </w:rPr>
        <w:t xml:space="preserve"> cross</w:t>
      </w:r>
      <w:r w:rsidRPr="00BC6240">
        <w:rPr>
          <w:rFonts w:eastAsia="Times New Roman" w:cs="Arial"/>
          <w:color w:val="000000"/>
          <w:sz w:val="24"/>
          <w:szCs w:val="24"/>
        </w:rPr>
        <w:t>-sector process, for government partnership and leadership is a prerequisite for the success of such a process in the long run.</w:t>
      </w:r>
    </w:p>
    <w:p w14:paraId="289C75C5" w14:textId="1A1B567C" w:rsidR="003454C8" w:rsidRPr="00BC6240" w:rsidRDefault="003454C8" w:rsidP="00E4195C">
      <w:pPr>
        <w:bidi w:val="0"/>
        <w:spacing w:before="480"/>
        <w:jc w:val="both"/>
        <w:rPr>
          <w:rFonts w:eastAsia="Times New Roman" w:cs="Arial"/>
          <w:b/>
          <w:bCs/>
          <w:color w:val="000000"/>
          <w:sz w:val="24"/>
          <w:szCs w:val="24"/>
        </w:rPr>
      </w:pPr>
      <w:r w:rsidRPr="00BC6240">
        <w:rPr>
          <w:rFonts w:eastAsia="Times New Roman" w:cs="Arial"/>
          <w:b/>
          <w:bCs/>
          <w:color w:val="000000"/>
          <w:sz w:val="24"/>
          <w:szCs w:val="24"/>
        </w:rPr>
        <w:t>The second stage comprises three criteria derived from the prerequisites for Collective Impact initiatives. These criteria are relevant to the feasibility and success of a collaborative process at the national level:</w:t>
      </w:r>
    </w:p>
    <w:p w14:paraId="155EC37C" w14:textId="3ADEB6DB" w:rsidR="00700593" w:rsidRPr="00BC6240" w:rsidRDefault="00006A82" w:rsidP="00FC712E">
      <w:pPr>
        <w:pStyle w:val="ListParagraph"/>
        <w:numPr>
          <w:ilvl w:val="0"/>
          <w:numId w:val="2"/>
        </w:numPr>
        <w:bidi w:val="0"/>
        <w:spacing w:line="276" w:lineRule="auto"/>
        <w:rPr>
          <w:rFonts w:eastAsia="Times New Roman" w:cs="Arial"/>
          <w:color w:val="000000"/>
          <w:sz w:val="24"/>
          <w:szCs w:val="24"/>
        </w:rPr>
      </w:pPr>
      <w:r w:rsidRPr="00BC6240">
        <w:rPr>
          <w:rFonts w:eastAsia="Times New Roman" w:cs="Arial"/>
          <w:color w:val="000000"/>
          <w:sz w:val="24"/>
          <w:szCs w:val="24"/>
          <w:u w:val="single"/>
        </w:rPr>
        <w:t>A shared sense of urgency</w:t>
      </w:r>
      <w:r w:rsidR="00D911FE">
        <w:rPr>
          <w:rFonts w:eastAsia="Times New Roman" w:cs="Arial"/>
          <w:color w:val="000000"/>
          <w:sz w:val="24"/>
          <w:szCs w:val="24"/>
        </w:rPr>
        <w:t>:</w:t>
      </w:r>
      <w:r w:rsidRPr="00BC6240">
        <w:rPr>
          <w:rFonts w:eastAsia="Times New Roman" w:cs="Arial"/>
          <w:color w:val="000000"/>
          <w:sz w:val="24"/>
          <w:szCs w:val="24"/>
        </w:rPr>
        <w:t xml:space="preserve"> </w:t>
      </w:r>
      <w:r w:rsidR="003E150F" w:rsidRPr="00BC6240">
        <w:rPr>
          <w:rFonts w:eastAsia="Times New Roman" w:cs="Arial"/>
          <w:color w:val="000000"/>
          <w:sz w:val="24"/>
          <w:szCs w:val="24"/>
        </w:rPr>
        <w:t>A</w:t>
      </w:r>
      <w:r w:rsidRPr="00BC6240">
        <w:rPr>
          <w:rFonts w:eastAsia="Times New Roman" w:cs="Arial"/>
          <w:color w:val="000000"/>
          <w:sz w:val="24"/>
          <w:szCs w:val="24"/>
        </w:rPr>
        <w:t xml:space="preserve">greement on the definition of a serious and critical condition that requires immediate action </w:t>
      </w:r>
      <w:r w:rsidR="0078080D" w:rsidRPr="00BC6240">
        <w:rPr>
          <w:rFonts w:eastAsia="Times New Roman" w:cs="Arial"/>
          <w:color w:val="000000"/>
          <w:sz w:val="24"/>
          <w:szCs w:val="24"/>
        </w:rPr>
        <w:t>to effect</w:t>
      </w:r>
      <w:r w:rsidRPr="00BC6240">
        <w:rPr>
          <w:rFonts w:eastAsia="Times New Roman" w:cs="Arial"/>
          <w:color w:val="000000"/>
          <w:sz w:val="24"/>
          <w:szCs w:val="24"/>
        </w:rPr>
        <w:t xml:space="preserve"> change. Sometimes publishing new research findings that reveal the severity of the situation</w:t>
      </w:r>
      <w:r w:rsidR="00286F7F">
        <w:rPr>
          <w:rFonts w:eastAsia="Times New Roman" w:cs="Arial"/>
          <w:color w:val="000000"/>
          <w:sz w:val="24"/>
          <w:szCs w:val="24"/>
        </w:rPr>
        <w:t>,</w:t>
      </w:r>
      <w:r w:rsidRPr="00BC6240">
        <w:rPr>
          <w:rFonts w:eastAsia="Times New Roman" w:cs="Arial"/>
          <w:color w:val="000000"/>
          <w:sz w:val="24"/>
          <w:szCs w:val="24"/>
        </w:rPr>
        <w:t xml:space="preserve"> or present a new way of </w:t>
      </w:r>
      <w:r w:rsidR="00626B5F">
        <w:rPr>
          <w:rFonts w:eastAsia="Times New Roman" w:cs="Arial"/>
          <w:color w:val="000000"/>
          <w:sz w:val="24"/>
          <w:szCs w:val="24"/>
        </w:rPr>
        <w:t>dealing with it</w:t>
      </w:r>
      <w:r w:rsidR="0078080D" w:rsidRPr="00BC6240">
        <w:rPr>
          <w:rFonts w:eastAsia="Times New Roman" w:cs="Arial"/>
          <w:color w:val="000000"/>
          <w:sz w:val="24"/>
          <w:szCs w:val="24"/>
        </w:rPr>
        <w:t>,</w:t>
      </w:r>
      <w:r w:rsidRPr="00BC6240">
        <w:rPr>
          <w:rFonts w:eastAsia="Times New Roman" w:cs="Arial"/>
          <w:color w:val="000000"/>
          <w:sz w:val="24"/>
          <w:szCs w:val="24"/>
        </w:rPr>
        <w:t xml:space="preserve"> can serve as a catalyst for creating this sense</w:t>
      </w:r>
      <w:r w:rsidR="0078080D" w:rsidRPr="00BC6240">
        <w:rPr>
          <w:rFonts w:eastAsia="Times New Roman" w:cs="Arial"/>
          <w:color w:val="000000"/>
          <w:sz w:val="24"/>
          <w:szCs w:val="24"/>
        </w:rPr>
        <w:t xml:space="preserve"> of urgency</w:t>
      </w:r>
      <w:r w:rsidRPr="00BC6240">
        <w:rPr>
          <w:rFonts w:eastAsia="Times New Roman" w:cs="Arial"/>
          <w:color w:val="000000"/>
          <w:sz w:val="24"/>
          <w:szCs w:val="24"/>
        </w:rPr>
        <w:t>.</w:t>
      </w:r>
    </w:p>
    <w:p w14:paraId="6F7E395F" w14:textId="2A773E94" w:rsidR="00047E4F" w:rsidRPr="00BC6240" w:rsidRDefault="00047E4F" w:rsidP="00FC712E">
      <w:pPr>
        <w:pStyle w:val="ListParagraph"/>
        <w:numPr>
          <w:ilvl w:val="0"/>
          <w:numId w:val="2"/>
        </w:numPr>
        <w:bidi w:val="0"/>
        <w:spacing w:before="480" w:line="276" w:lineRule="auto"/>
        <w:rPr>
          <w:rFonts w:eastAsia="Times New Roman" w:cs="Arial"/>
          <w:color w:val="000000"/>
          <w:sz w:val="24"/>
          <w:szCs w:val="24"/>
        </w:rPr>
      </w:pPr>
      <w:r w:rsidRPr="00BC6240">
        <w:rPr>
          <w:rFonts w:eastAsia="Times New Roman" w:cs="Arial"/>
          <w:color w:val="000000"/>
          <w:sz w:val="24"/>
          <w:szCs w:val="24"/>
          <w:u w:val="single"/>
        </w:rPr>
        <w:t>Engagement of influential leadership</w:t>
      </w:r>
      <w:r w:rsidR="00D911FE">
        <w:rPr>
          <w:rFonts w:eastAsia="Times New Roman" w:cs="Arial"/>
          <w:color w:val="000000"/>
          <w:sz w:val="24"/>
          <w:szCs w:val="24"/>
          <w:u w:val="single"/>
        </w:rPr>
        <w:t>:</w:t>
      </w:r>
      <w:r w:rsidRPr="00BC6240">
        <w:rPr>
          <w:rFonts w:eastAsia="Times New Roman" w:cs="Arial"/>
          <w:color w:val="000000"/>
          <w:sz w:val="24"/>
          <w:szCs w:val="24"/>
        </w:rPr>
        <w:t xml:space="preserve"> Significant organizations and well-known, influential figures coalesce around the issue, working to promote the initiative and serve as a catalyst for its early-stage inception. Leadership at senior levels in all sectors of the relevant field</w:t>
      </w:r>
      <w:r w:rsidR="00E966B8">
        <w:rPr>
          <w:rFonts w:eastAsia="Times New Roman" w:cs="Arial"/>
          <w:color w:val="000000"/>
          <w:sz w:val="24"/>
          <w:szCs w:val="24"/>
        </w:rPr>
        <w:t>,</w:t>
      </w:r>
      <w:r w:rsidRPr="00BC6240">
        <w:rPr>
          <w:rFonts w:eastAsia="Times New Roman" w:cs="Arial"/>
          <w:color w:val="000000"/>
          <w:sz w:val="24"/>
          <w:szCs w:val="24"/>
        </w:rPr>
        <w:t xml:space="preserve"> or those capable of recruiting senior executives at the rank of CEO, work together and collaborate over a common purpose over time.</w:t>
      </w:r>
    </w:p>
    <w:p w14:paraId="586BDCBC" w14:textId="04572CCB" w:rsidR="0067355F" w:rsidRPr="00BC6240" w:rsidRDefault="0067355F" w:rsidP="00FC712E">
      <w:pPr>
        <w:pStyle w:val="ListParagraph"/>
        <w:numPr>
          <w:ilvl w:val="0"/>
          <w:numId w:val="2"/>
        </w:numPr>
        <w:bidi w:val="0"/>
        <w:spacing w:before="480" w:line="276" w:lineRule="auto"/>
        <w:rPr>
          <w:rFonts w:eastAsia="Times New Roman" w:cs="Arial"/>
          <w:color w:val="000000"/>
          <w:sz w:val="24"/>
          <w:szCs w:val="24"/>
        </w:rPr>
      </w:pPr>
      <w:r w:rsidRPr="00BC6240">
        <w:rPr>
          <w:rFonts w:eastAsia="Times New Roman" w:cs="Arial"/>
          <w:color w:val="000000"/>
          <w:sz w:val="24"/>
          <w:szCs w:val="24"/>
          <w:u w:val="single"/>
        </w:rPr>
        <w:t>Potential for fundraising</w:t>
      </w:r>
      <w:r w:rsidR="00D911FE">
        <w:rPr>
          <w:rFonts w:eastAsia="Times New Roman" w:cs="Arial"/>
          <w:color w:val="000000"/>
          <w:sz w:val="24"/>
          <w:szCs w:val="24"/>
        </w:rPr>
        <w:t>:</w:t>
      </w:r>
      <w:r w:rsidRPr="00BC6240">
        <w:rPr>
          <w:rFonts w:eastAsia="Times New Roman" w:cs="Arial"/>
          <w:color w:val="000000"/>
          <w:sz w:val="24"/>
          <w:szCs w:val="24"/>
        </w:rPr>
        <w:t xml:space="preserve"> Resources shall suffice for a planning process incorporating a variety of stakeholders, </w:t>
      </w:r>
      <w:r w:rsidR="00CD44ED">
        <w:rPr>
          <w:rFonts w:eastAsia="Times New Roman" w:cs="Arial"/>
          <w:color w:val="000000"/>
          <w:sz w:val="24"/>
          <w:szCs w:val="24"/>
        </w:rPr>
        <w:t>carried out in a manner that fosters a sense of investment</w:t>
      </w:r>
      <w:r w:rsidR="00E210BA">
        <w:rPr>
          <w:rFonts w:eastAsia="Times New Roman" w:cs="Arial"/>
          <w:color w:val="000000"/>
          <w:sz w:val="24"/>
          <w:szCs w:val="24"/>
        </w:rPr>
        <w:t xml:space="preserve"> and</w:t>
      </w:r>
      <w:r w:rsidR="00CD44ED">
        <w:rPr>
          <w:rFonts w:eastAsia="Times New Roman" w:cs="Arial"/>
          <w:color w:val="000000"/>
          <w:sz w:val="24"/>
          <w:szCs w:val="24"/>
        </w:rPr>
        <w:t xml:space="preserve"> </w:t>
      </w:r>
      <w:r w:rsidRPr="00BC6240">
        <w:rPr>
          <w:rFonts w:eastAsia="Times New Roman" w:cs="Arial"/>
          <w:color w:val="000000"/>
          <w:sz w:val="24"/>
          <w:szCs w:val="24"/>
        </w:rPr>
        <w:t>build</w:t>
      </w:r>
      <w:r w:rsidR="00CD44ED">
        <w:rPr>
          <w:rFonts w:eastAsia="Times New Roman" w:cs="Arial"/>
          <w:color w:val="000000"/>
          <w:sz w:val="24"/>
          <w:szCs w:val="24"/>
        </w:rPr>
        <w:t>s</w:t>
      </w:r>
      <w:r w:rsidRPr="00BC6240">
        <w:rPr>
          <w:rFonts w:eastAsia="Times New Roman" w:cs="Arial"/>
          <w:color w:val="000000"/>
          <w:sz w:val="24"/>
          <w:szCs w:val="24"/>
        </w:rPr>
        <w:t xml:space="preserve"> an attractive infrastructure for funders to jointly fund the start-up of the process itself. The process will officially begin with the completion of the planning process.</w:t>
      </w:r>
    </w:p>
    <w:p w14:paraId="3CFFEF70" w14:textId="77777777" w:rsidR="00013083" w:rsidRPr="00BC6240" w:rsidRDefault="00013083" w:rsidP="00FC712E">
      <w:pPr>
        <w:pStyle w:val="NormalWeb"/>
        <w:shd w:val="clear" w:color="auto" w:fill="FFFFFF"/>
        <w:spacing w:before="0" w:beforeAutospacing="0" w:after="240" w:afterAutospacing="0" w:line="276" w:lineRule="auto"/>
        <w:rPr>
          <w:rFonts w:asciiTheme="minorHAnsi" w:hAnsiTheme="minorHAnsi" w:cs="Arial"/>
          <w:b/>
          <w:bCs/>
        </w:rPr>
      </w:pPr>
      <w:r w:rsidRPr="00BC6240">
        <w:rPr>
          <w:rFonts w:asciiTheme="minorHAnsi" w:hAnsiTheme="minorHAnsi" w:cs="Arial"/>
          <w:b/>
          <w:bCs/>
        </w:rPr>
        <w:t xml:space="preserve">At the third and final stage, </w:t>
      </w:r>
      <w:r w:rsidR="00013B28" w:rsidRPr="00BC6240">
        <w:rPr>
          <w:rFonts w:asciiTheme="minorHAnsi" w:hAnsiTheme="minorHAnsi" w:cs="Arial"/>
          <w:b/>
          <w:bCs/>
        </w:rPr>
        <w:t xml:space="preserve">based on our experience, </w:t>
      </w:r>
      <w:r w:rsidRPr="00BC6240">
        <w:rPr>
          <w:rFonts w:asciiTheme="minorHAnsi" w:hAnsiTheme="minorHAnsi" w:cs="Arial"/>
          <w:b/>
          <w:bCs/>
        </w:rPr>
        <w:t xml:space="preserve">three criteria </w:t>
      </w:r>
      <w:r w:rsidR="00B42CAE" w:rsidRPr="00BC6240">
        <w:rPr>
          <w:rFonts w:asciiTheme="minorHAnsi" w:hAnsiTheme="minorHAnsi" w:cs="Arial"/>
          <w:b/>
          <w:bCs/>
        </w:rPr>
        <w:t xml:space="preserve">exert a </w:t>
      </w:r>
      <w:r w:rsidRPr="00BC6240">
        <w:rPr>
          <w:rFonts w:asciiTheme="minorHAnsi" w:hAnsiTheme="minorHAnsi" w:cs="Arial"/>
          <w:b/>
          <w:bCs/>
        </w:rPr>
        <w:t xml:space="preserve">decisive influence on the feasibility and success of a </w:t>
      </w:r>
      <w:r w:rsidR="0088036F" w:rsidRPr="00BC6240">
        <w:rPr>
          <w:rFonts w:asciiTheme="minorHAnsi" w:hAnsiTheme="minorHAnsi" w:cs="Arial"/>
          <w:b/>
          <w:bCs/>
        </w:rPr>
        <w:t xml:space="preserve">collaborative </w:t>
      </w:r>
      <w:r w:rsidRPr="00BC6240">
        <w:rPr>
          <w:rFonts w:asciiTheme="minorHAnsi" w:hAnsiTheme="minorHAnsi" w:cs="Arial"/>
          <w:b/>
          <w:bCs/>
        </w:rPr>
        <w:t>cross-</w:t>
      </w:r>
      <w:r w:rsidR="009B498A" w:rsidRPr="00BC6240">
        <w:rPr>
          <w:rFonts w:asciiTheme="minorHAnsi" w:hAnsiTheme="minorHAnsi" w:cs="Arial"/>
          <w:b/>
          <w:bCs/>
        </w:rPr>
        <w:t>sector</w:t>
      </w:r>
      <w:r w:rsidRPr="00BC6240">
        <w:rPr>
          <w:rFonts w:asciiTheme="minorHAnsi" w:hAnsiTheme="minorHAnsi" w:cs="Arial"/>
          <w:b/>
          <w:bCs/>
        </w:rPr>
        <w:t xml:space="preserve"> </w:t>
      </w:r>
      <w:r w:rsidR="0088036F" w:rsidRPr="00BC6240">
        <w:rPr>
          <w:rFonts w:asciiTheme="minorHAnsi" w:hAnsiTheme="minorHAnsi" w:cs="Arial"/>
          <w:b/>
          <w:bCs/>
        </w:rPr>
        <w:t>process at the national level</w:t>
      </w:r>
      <w:r w:rsidRPr="00BC6240">
        <w:rPr>
          <w:rFonts w:asciiTheme="minorHAnsi" w:hAnsiTheme="minorHAnsi" w:cs="Arial"/>
          <w:b/>
          <w:bCs/>
          <w:rtl/>
        </w:rPr>
        <w:t>:</w:t>
      </w:r>
    </w:p>
    <w:p w14:paraId="41917F0B" w14:textId="6292AD32" w:rsidR="005C4B9A" w:rsidRPr="00BC6240" w:rsidRDefault="005C4B9A" w:rsidP="00FC712E">
      <w:pPr>
        <w:pStyle w:val="NormalWeb"/>
        <w:shd w:val="clear" w:color="auto" w:fill="FFFFFF"/>
        <w:spacing w:after="240" w:line="276" w:lineRule="auto"/>
        <w:rPr>
          <w:rFonts w:asciiTheme="minorHAnsi" w:hAnsiTheme="minorHAnsi" w:cs="Arial"/>
        </w:rPr>
      </w:pPr>
      <w:r w:rsidRPr="00BC6240">
        <w:rPr>
          <w:rFonts w:asciiTheme="minorHAnsi" w:hAnsiTheme="minorHAnsi" w:cs="Arial"/>
        </w:rPr>
        <w:lastRenderedPageBreak/>
        <w:t xml:space="preserve">1. </w:t>
      </w:r>
      <w:r w:rsidRPr="00BC6240">
        <w:rPr>
          <w:rFonts w:asciiTheme="minorHAnsi" w:hAnsiTheme="minorHAnsi" w:cs="Arial"/>
          <w:u w:val="single"/>
        </w:rPr>
        <w:t xml:space="preserve">An issue that can be addressed through </w:t>
      </w:r>
      <w:r w:rsidR="00BB73C0" w:rsidRPr="00BC6240">
        <w:rPr>
          <w:rFonts w:asciiTheme="minorHAnsi" w:hAnsiTheme="minorHAnsi" w:cs="Arial"/>
          <w:u w:val="single"/>
        </w:rPr>
        <w:t xml:space="preserve">a realistic scale of </w:t>
      </w:r>
      <w:r w:rsidRPr="00BC6240">
        <w:rPr>
          <w:rFonts w:asciiTheme="minorHAnsi" w:hAnsiTheme="minorHAnsi" w:cs="Arial"/>
          <w:u w:val="single"/>
        </w:rPr>
        <w:t>resources</w:t>
      </w:r>
      <w:r w:rsidR="00930498">
        <w:rPr>
          <w:rFonts w:asciiTheme="minorHAnsi" w:hAnsiTheme="minorHAnsi" w:cs="Arial"/>
          <w:u w:val="single"/>
        </w:rPr>
        <w:t>:</w:t>
      </w:r>
      <w:r w:rsidRPr="00BC6240">
        <w:rPr>
          <w:rFonts w:asciiTheme="minorHAnsi" w:hAnsiTheme="minorHAnsi" w:cs="Arial"/>
        </w:rPr>
        <w:t xml:space="preserve"> </w:t>
      </w:r>
      <w:r w:rsidR="00086188" w:rsidRPr="00BC6240">
        <w:rPr>
          <w:rFonts w:asciiTheme="minorHAnsi" w:hAnsiTheme="minorHAnsi" w:cs="Arial"/>
        </w:rPr>
        <w:t>In other words</w:t>
      </w:r>
      <w:r w:rsidRPr="00BC6240">
        <w:rPr>
          <w:rFonts w:asciiTheme="minorHAnsi" w:hAnsiTheme="minorHAnsi" w:cs="Arial"/>
        </w:rPr>
        <w:t xml:space="preserve">, resources that can be mobilized under the given </w:t>
      </w:r>
      <w:r w:rsidR="00BB73C0" w:rsidRPr="00BC6240">
        <w:rPr>
          <w:rFonts w:asciiTheme="minorHAnsi" w:hAnsiTheme="minorHAnsi" w:cs="Arial"/>
        </w:rPr>
        <w:t xml:space="preserve">circumstances </w:t>
      </w:r>
      <w:r w:rsidRPr="00BC6240">
        <w:rPr>
          <w:rFonts w:asciiTheme="minorHAnsi" w:hAnsiTheme="minorHAnsi" w:cs="Arial"/>
        </w:rPr>
        <w:t xml:space="preserve">and </w:t>
      </w:r>
      <w:r w:rsidR="00A33054" w:rsidRPr="00BC6240">
        <w:rPr>
          <w:rFonts w:asciiTheme="minorHAnsi" w:hAnsiTheme="minorHAnsi" w:cs="Arial"/>
        </w:rPr>
        <w:t xml:space="preserve">that </w:t>
      </w:r>
      <w:r w:rsidRPr="00BC6240">
        <w:rPr>
          <w:rFonts w:asciiTheme="minorHAnsi" w:hAnsiTheme="minorHAnsi" w:cs="Arial"/>
        </w:rPr>
        <w:t>can be used to produce proven and sustainable change.</w:t>
      </w:r>
    </w:p>
    <w:p w14:paraId="05C39D4B" w14:textId="59AD5288" w:rsidR="005C4B9A" w:rsidRPr="00BC6240" w:rsidRDefault="005C4B9A" w:rsidP="00FC712E">
      <w:pPr>
        <w:pStyle w:val="NormalWeb"/>
        <w:shd w:val="clear" w:color="auto" w:fill="FFFFFF"/>
        <w:spacing w:before="0" w:beforeAutospacing="0" w:after="240" w:afterAutospacing="0" w:line="276" w:lineRule="auto"/>
        <w:rPr>
          <w:rFonts w:asciiTheme="minorHAnsi" w:hAnsiTheme="minorHAnsi" w:cs="Arial"/>
        </w:rPr>
      </w:pPr>
      <w:r w:rsidRPr="00BC6240">
        <w:rPr>
          <w:rFonts w:asciiTheme="minorHAnsi" w:hAnsiTheme="minorHAnsi" w:cs="Arial"/>
        </w:rPr>
        <w:t xml:space="preserve">2. </w:t>
      </w:r>
      <w:r w:rsidRPr="00BC6240">
        <w:rPr>
          <w:rFonts w:asciiTheme="minorHAnsi" w:hAnsiTheme="minorHAnsi" w:cs="Arial"/>
          <w:u w:val="single"/>
        </w:rPr>
        <w:t>An issue tha</w:t>
      </w:r>
      <w:r w:rsidR="00BF4C81" w:rsidRPr="00BC6240">
        <w:rPr>
          <w:rFonts w:asciiTheme="minorHAnsi" w:hAnsiTheme="minorHAnsi" w:cs="Arial"/>
          <w:u w:val="single"/>
        </w:rPr>
        <w:t>t can be resolved in the medium-</w:t>
      </w:r>
      <w:r w:rsidRPr="00BC6240">
        <w:rPr>
          <w:rFonts w:asciiTheme="minorHAnsi" w:hAnsiTheme="minorHAnsi" w:cs="Arial"/>
          <w:u w:val="single"/>
        </w:rPr>
        <w:t>term</w:t>
      </w:r>
      <w:r w:rsidR="00930498">
        <w:rPr>
          <w:rFonts w:asciiTheme="minorHAnsi" w:hAnsiTheme="minorHAnsi" w:cs="Arial"/>
        </w:rPr>
        <w:t>:</w:t>
      </w:r>
      <w:r w:rsidRPr="00BC6240">
        <w:rPr>
          <w:rFonts w:asciiTheme="minorHAnsi" w:hAnsiTheme="minorHAnsi" w:cs="Arial"/>
        </w:rPr>
        <w:t xml:space="preserve"> </w:t>
      </w:r>
      <w:r w:rsidR="00BF4C81" w:rsidRPr="00BC6240">
        <w:rPr>
          <w:rFonts w:asciiTheme="minorHAnsi" w:hAnsiTheme="minorHAnsi" w:cs="Arial"/>
        </w:rPr>
        <w:t>A</w:t>
      </w:r>
      <w:r w:rsidRPr="00BC6240">
        <w:rPr>
          <w:rFonts w:asciiTheme="minorHAnsi" w:hAnsiTheme="minorHAnsi" w:cs="Arial"/>
        </w:rPr>
        <w:t xml:space="preserve">bout 5 to 10 years until </w:t>
      </w:r>
      <w:r w:rsidR="00BF4C81" w:rsidRPr="00BC6240">
        <w:rPr>
          <w:rFonts w:asciiTheme="minorHAnsi" w:hAnsiTheme="minorHAnsi" w:cs="Arial"/>
        </w:rPr>
        <w:t xml:space="preserve">the pre-determined </w:t>
      </w:r>
      <w:r w:rsidRPr="00BC6240">
        <w:rPr>
          <w:rFonts w:asciiTheme="minorHAnsi" w:hAnsiTheme="minorHAnsi" w:cs="Arial"/>
        </w:rPr>
        <w:t>measurable change</w:t>
      </w:r>
      <w:r w:rsidR="00BF4C81" w:rsidRPr="00BC6240">
        <w:rPr>
          <w:rFonts w:asciiTheme="minorHAnsi" w:hAnsiTheme="minorHAnsi" w:cs="Arial"/>
        </w:rPr>
        <w:t xml:space="preserve"> </w:t>
      </w:r>
      <w:r w:rsidRPr="00BC6240">
        <w:rPr>
          <w:rFonts w:asciiTheme="minorHAnsi" w:hAnsiTheme="minorHAnsi" w:cs="Arial"/>
        </w:rPr>
        <w:t xml:space="preserve">is </w:t>
      </w:r>
      <w:r w:rsidR="00BF4C81" w:rsidRPr="00BC6240">
        <w:rPr>
          <w:rFonts w:asciiTheme="minorHAnsi" w:hAnsiTheme="minorHAnsi" w:cs="Arial"/>
        </w:rPr>
        <w:t>attained</w:t>
      </w:r>
      <w:r w:rsidRPr="00BC6240">
        <w:rPr>
          <w:rFonts w:asciiTheme="minorHAnsi" w:hAnsiTheme="minorHAnsi" w:cs="Arial"/>
        </w:rPr>
        <w:t>.</w:t>
      </w:r>
    </w:p>
    <w:p w14:paraId="3C7606FC" w14:textId="4764FD79" w:rsidR="00656D39" w:rsidRPr="00BC6240" w:rsidRDefault="00A73BDA" w:rsidP="00FC712E">
      <w:pPr>
        <w:pStyle w:val="NormalWeb"/>
        <w:shd w:val="clear" w:color="auto" w:fill="FFFFFF"/>
        <w:spacing w:before="0" w:beforeAutospacing="0" w:after="240" w:afterAutospacing="0" w:line="276" w:lineRule="auto"/>
        <w:rPr>
          <w:rFonts w:asciiTheme="minorHAnsi" w:hAnsiTheme="minorHAnsi" w:cs="Arial"/>
        </w:rPr>
      </w:pPr>
      <w:r>
        <w:rPr>
          <w:rFonts w:asciiTheme="minorHAnsi" w:hAnsiTheme="minorHAnsi" w:cs="Arial"/>
        </w:rPr>
        <w:t>3</w:t>
      </w:r>
      <w:r w:rsidR="00656D39" w:rsidRPr="00BC6240">
        <w:rPr>
          <w:rFonts w:asciiTheme="minorHAnsi" w:hAnsiTheme="minorHAnsi" w:cs="Arial"/>
        </w:rPr>
        <w:t xml:space="preserve">. </w:t>
      </w:r>
      <w:r w:rsidR="00656D39" w:rsidRPr="00BC6240">
        <w:rPr>
          <w:rFonts w:asciiTheme="minorHAnsi" w:hAnsiTheme="minorHAnsi" w:cs="Arial"/>
          <w:u w:val="single"/>
        </w:rPr>
        <w:t>Preference for non-political and broad consensus issues</w:t>
      </w:r>
      <w:r w:rsidR="00930498">
        <w:rPr>
          <w:rFonts w:asciiTheme="minorHAnsi" w:hAnsiTheme="minorHAnsi" w:cs="Arial"/>
          <w:u w:val="single"/>
        </w:rPr>
        <w:t>:</w:t>
      </w:r>
      <w:r w:rsidR="00814EBC" w:rsidRPr="00BC6240">
        <w:rPr>
          <w:rFonts w:asciiTheme="minorHAnsi" w:hAnsiTheme="minorHAnsi" w:cs="Arial"/>
        </w:rPr>
        <w:t xml:space="preserve"> Such issues </w:t>
      </w:r>
      <w:r w:rsidR="00656D39" w:rsidRPr="00BC6240">
        <w:rPr>
          <w:rFonts w:asciiTheme="minorHAnsi" w:hAnsiTheme="minorHAnsi" w:cs="Arial"/>
        </w:rPr>
        <w:t>ensure higher feasibility for harnessing and engaging a variety of actors from all sectors of Israeli society.</w:t>
      </w:r>
    </w:p>
    <w:p w14:paraId="16F6C8FE" w14:textId="77777777" w:rsidR="00C1295F" w:rsidRPr="00BC6240" w:rsidRDefault="00C1295F" w:rsidP="00FC712E">
      <w:pPr>
        <w:pStyle w:val="NormalWeb"/>
        <w:shd w:val="clear" w:color="auto" w:fill="FFFFFF"/>
        <w:spacing w:before="0" w:beforeAutospacing="0" w:after="240" w:afterAutospacing="0" w:line="276" w:lineRule="auto"/>
        <w:rPr>
          <w:rFonts w:asciiTheme="minorHAnsi" w:hAnsiTheme="minorHAnsi" w:cs="Arial"/>
          <w:b/>
          <w:bCs/>
          <w:color w:val="1F497D" w:themeColor="text2"/>
        </w:rPr>
      </w:pPr>
      <w:r w:rsidRPr="00BC6240">
        <w:rPr>
          <w:rFonts w:asciiTheme="minorHAnsi" w:hAnsiTheme="minorHAnsi" w:cs="Arial"/>
          <w:b/>
          <w:bCs/>
          <w:color w:val="1F497D" w:themeColor="text2"/>
        </w:rPr>
        <w:t>List # 2: Topics/</w:t>
      </w:r>
      <w:r w:rsidR="006B2CC1" w:rsidRPr="00BC6240">
        <w:rPr>
          <w:rFonts w:asciiTheme="minorHAnsi" w:hAnsiTheme="minorHAnsi" w:cs="Arial"/>
          <w:b/>
          <w:bCs/>
          <w:color w:val="1F497D" w:themeColor="text2"/>
        </w:rPr>
        <w:t xml:space="preserve"> i</w:t>
      </w:r>
      <w:r w:rsidRPr="00BC6240">
        <w:rPr>
          <w:rFonts w:asciiTheme="minorHAnsi" w:hAnsiTheme="minorHAnsi" w:cs="Arial"/>
          <w:b/>
          <w:bCs/>
          <w:color w:val="1F497D" w:themeColor="text2"/>
        </w:rPr>
        <w:t>ssues/</w:t>
      </w:r>
      <w:r w:rsidR="006B2CC1" w:rsidRPr="00BC6240">
        <w:rPr>
          <w:rFonts w:asciiTheme="minorHAnsi" w:hAnsiTheme="minorHAnsi" w:cs="Arial"/>
          <w:b/>
          <w:bCs/>
          <w:color w:val="1F497D" w:themeColor="text2"/>
        </w:rPr>
        <w:t xml:space="preserve"> s</w:t>
      </w:r>
      <w:r w:rsidRPr="00BC6240">
        <w:rPr>
          <w:rFonts w:asciiTheme="minorHAnsi" w:hAnsiTheme="minorHAnsi" w:cs="Arial"/>
          <w:b/>
          <w:bCs/>
          <w:color w:val="1F497D" w:themeColor="text2"/>
        </w:rPr>
        <w:t xml:space="preserve">ocial </w:t>
      </w:r>
      <w:r w:rsidR="006B2CC1" w:rsidRPr="00BC6240">
        <w:rPr>
          <w:rFonts w:asciiTheme="minorHAnsi" w:hAnsiTheme="minorHAnsi" w:cs="Arial"/>
          <w:b/>
          <w:bCs/>
          <w:color w:val="1F497D" w:themeColor="text2"/>
        </w:rPr>
        <w:t>p</w:t>
      </w:r>
      <w:r w:rsidRPr="00BC6240">
        <w:rPr>
          <w:rFonts w:asciiTheme="minorHAnsi" w:hAnsiTheme="minorHAnsi" w:cs="Arial"/>
          <w:b/>
          <w:bCs/>
          <w:color w:val="1F497D" w:themeColor="text2"/>
        </w:rPr>
        <w:t xml:space="preserve">roblems suitable for collaborative </w:t>
      </w:r>
      <w:r w:rsidR="008725DE" w:rsidRPr="00BC6240">
        <w:rPr>
          <w:rFonts w:asciiTheme="minorHAnsi" w:hAnsiTheme="minorHAnsi" w:cs="Arial"/>
          <w:b/>
          <w:bCs/>
          <w:color w:val="1F497D" w:themeColor="text2"/>
        </w:rPr>
        <w:t>cross</w:t>
      </w:r>
      <w:r w:rsidRPr="00BC6240">
        <w:rPr>
          <w:rFonts w:asciiTheme="minorHAnsi" w:hAnsiTheme="minorHAnsi" w:cs="Arial"/>
          <w:b/>
          <w:bCs/>
          <w:color w:val="1F497D" w:themeColor="text2"/>
        </w:rPr>
        <w:t>-sector processes</w:t>
      </w:r>
    </w:p>
    <w:p w14:paraId="14896AC7" w14:textId="784D5417" w:rsidR="00E43BDB" w:rsidRPr="00BC6240" w:rsidRDefault="00E43BDB" w:rsidP="00FC712E">
      <w:pPr>
        <w:bidi w:val="0"/>
        <w:spacing w:after="240"/>
        <w:rPr>
          <w:rFonts w:cs="Arial"/>
          <w:sz w:val="24"/>
          <w:szCs w:val="24"/>
        </w:rPr>
      </w:pPr>
      <w:r w:rsidRPr="00BC6240">
        <w:rPr>
          <w:rFonts w:cs="Arial"/>
          <w:sz w:val="24"/>
          <w:szCs w:val="24"/>
        </w:rPr>
        <w:t xml:space="preserve">Based on the criteria presented in List #1 above, we have identified 10 issues that could </w:t>
      </w:r>
      <w:r w:rsidR="0025431A">
        <w:rPr>
          <w:rFonts w:cs="Arial"/>
          <w:sz w:val="24"/>
          <w:szCs w:val="24"/>
        </w:rPr>
        <w:t>be appropriate for</w:t>
      </w:r>
      <w:r w:rsidRPr="00BC6240">
        <w:rPr>
          <w:rFonts w:cs="Arial"/>
          <w:sz w:val="24"/>
          <w:szCs w:val="24"/>
        </w:rPr>
        <w:t xml:space="preserve"> a collaborative national initiative in Israel, involving players from all sectors: government, businesses, the non-profit sector, and philanthropy. These appear </w:t>
      </w:r>
      <w:r w:rsidR="00C95CCB" w:rsidRPr="00BC6240">
        <w:rPr>
          <w:rFonts w:cs="Arial"/>
          <w:sz w:val="24"/>
          <w:szCs w:val="24"/>
        </w:rPr>
        <w:t xml:space="preserve">in List #2, </w:t>
      </w:r>
      <w:r w:rsidRPr="00BC6240">
        <w:rPr>
          <w:rFonts w:cs="Arial"/>
          <w:sz w:val="24"/>
          <w:szCs w:val="24"/>
        </w:rPr>
        <w:t>below</w:t>
      </w:r>
      <w:r w:rsidRPr="00BC6240">
        <w:rPr>
          <w:rFonts w:cs="Arial"/>
          <w:sz w:val="24"/>
          <w:szCs w:val="24"/>
          <w:rtl/>
        </w:rPr>
        <w:t>.</w:t>
      </w:r>
    </w:p>
    <w:p w14:paraId="76D2181A" w14:textId="77777777" w:rsidR="00C95CCB" w:rsidRPr="00BC6240" w:rsidRDefault="00C95CCB" w:rsidP="00FC712E">
      <w:pPr>
        <w:bidi w:val="0"/>
        <w:spacing w:after="240"/>
        <w:rPr>
          <w:rFonts w:cs="Arial"/>
          <w:sz w:val="24"/>
          <w:szCs w:val="24"/>
        </w:rPr>
      </w:pPr>
      <w:r w:rsidRPr="00BC6240">
        <w:rPr>
          <w:rFonts w:cs="Arial"/>
          <w:sz w:val="24"/>
          <w:szCs w:val="24"/>
        </w:rPr>
        <w:t xml:space="preserve">All of the topics in this list fully meet the first-stage criteria, but more detailed examination is required for each criterion listed. This will be addressed as needed. In addition, there may well be issues that do not appear here that may be suitable for multi-sectoral action at the national level. It is therefore recommended that the list be considered as a non-binding initial framework whose value is </w:t>
      </w:r>
      <w:r w:rsidR="000076DD" w:rsidRPr="00BC6240">
        <w:rPr>
          <w:rFonts w:cs="Arial"/>
          <w:sz w:val="24"/>
          <w:szCs w:val="24"/>
        </w:rPr>
        <w:t xml:space="preserve">primarily to </w:t>
      </w:r>
      <w:r w:rsidRPr="00BC6240">
        <w:rPr>
          <w:rFonts w:cs="Arial"/>
          <w:sz w:val="24"/>
          <w:szCs w:val="24"/>
        </w:rPr>
        <w:t>identify a range of options relevant for action in the near future.</w:t>
      </w:r>
    </w:p>
    <w:p w14:paraId="74F3860B" w14:textId="393AA937" w:rsidR="00E91BA0" w:rsidRPr="00BC6240" w:rsidRDefault="00040393" w:rsidP="00A73BDA">
      <w:pPr>
        <w:bidi w:val="0"/>
        <w:spacing w:after="240"/>
        <w:rPr>
          <w:rFonts w:cs="Arial"/>
          <w:sz w:val="24"/>
          <w:szCs w:val="24"/>
          <w:rtl/>
        </w:rPr>
      </w:pPr>
      <w:r w:rsidRPr="00BC6240">
        <w:rPr>
          <w:rFonts w:cs="Arial"/>
          <w:sz w:val="24"/>
          <w:szCs w:val="24"/>
        </w:rPr>
        <w:t>All the topics on the list are in line with the agenda adopted by the UN General Assembly in 2015, embodied in its 17 goals and objectives set for 2015-2030 - the</w:t>
      </w:r>
      <w:r w:rsidRPr="00BC6240">
        <w:rPr>
          <w:rFonts w:cs="Arial"/>
          <w:b/>
          <w:bCs/>
          <w:sz w:val="24"/>
          <w:szCs w:val="24"/>
        </w:rPr>
        <w:t xml:space="preserve"> Sustainable Development Goals</w:t>
      </w:r>
      <w:r w:rsidRPr="00BC6240">
        <w:rPr>
          <w:rFonts w:cs="Arial"/>
          <w:sz w:val="24"/>
          <w:szCs w:val="24"/>
        </w:rPr>
        <w:t xml:space="preserve"> or </w:t>
      </w:r>
      <w:r w:rsidRPr="00BC6240">
        <w:rPr>
          <w:rFonts w:cs="Arial"/>
          <w:b/>
          <w:bCs/>
          <w:sz w:val="24"/>
          <w:szCs w:val="24"/>
        </w:rPr>
        <w:t>SDGs</w:t>
      </w:r>
      <w:r w:rsidRPr="00BC6240">
        <w:rPr>
          <w:rFonts w:cs="Arial"/>
          <w:sz w:val="24"/>
          <w:szCs w:val="24"/>
        </w:rPr>
        <w:t>.</w:t>
      </w:r>
      <w:r w:rsidR="00A73BDA">
        <w:rPr>
          <w:rFonts w:cs="Arial"/>
          <w:sz w:val="24"/>
          <w:szCs w:val="24"/>
        </w:rPr>
        <w:t xml:space="preserve"> </w:t>
      </w:r>
      <w:r w:rsidR="00A20637" w:rsidRPr="00BC6240">
        <w:rPr>
          <w:rFonts w:cs="Arial"/>
          <w:sz w:val="24"/>
          <w:szCs w:val="24"/>
        </w:rPr>
        <w:t xml:space="preserve">This agenda outlines the actions of many governments and actors from all sectors. </w:t>
      </w:r>
      <w:r w:rsidR="00E37BE8" w:rsidRPr="00BC6240">
        <w:rPr>
          <w:rFonts w:cs="Arial"/>
          <w:sz w:val="24"/>
          <w:szCs w:val="24"/>
        </w:rPr>
        <w:t>While t</w:t>
      </w:r>
      <w:r w:rsidR="00A20637" w:rsidRPr="00BC6240">
        <w:rPr>
          <w:rFonts w:cs="Arial"/>
          <w:sz w:val="24"/>
          <w:szCs w:val="24"/>
        </w:rPr>
        <w:t>he Israeli government has not adopted these objectives as a comprehensive framework for action</w:t>
      </w:r>
      <w:r w:rsidR="00DA2AD1">
        <w:rPr>
          <w:rFonts w:cs="Arial"/>
          <w:sz w:val="24"/>
          <w:szCs w:val="24"/>
        </w:rPr>
        <w:t xml:space="preserve">, </w:t>
      </w:r>
      <w:r w:rsidR="00A20637" w:rsidRPr="00BC6240">
        <w:rPr>
          <w:rFonts w:cs="Arial"/>
          <w:sz w:val="24"/>
          <w:szCs w:val="24"/>
        </w:rPr>
        <w:t>the Ministry of Foreign Affairs and the Ministry of Environment</w:t>
      </w:r>
      <w:r w:rsidR="007C2344" w:rsidRPr="00BC6240">
        <w:rPr>
          <w:rFonts w:cs="Arial"/>
          <w:sz w:val="24"/>
          <w:szCs w:val="24"/>
        </w:rPr>
        <w:t>al Protection</w:t>
      </w:r>
      <w:r w:rsidR="00A20637" w:rsidRPr="00BC6240">
        <w:rPr>
          <w:rFonts w:cs="Arial"/>
          <w:sz w:val="24"/>
          <w:szCs w:val="24"/>
        </w:rPr>
        <w:t xml:space="preserve"> are </w:t>
      </w:r>
      <w:r w:rsidR="00DA2AD1">
        <w:rPr>
          <w:rFonts w:cs="Arial"/>
          <w:sz w:val="24"/>
          <w:szCs w:val="24"/>
        </w:rPr>
        <w:t xml:space="preserve">nevertheless </w:t>
      </w:r>
      <w:r w:rsidR="00A20637" w:rsidRPr="00BC6240">
        <w:rPr>
          <w:rFonts w:cs="Arial"/>
          <w:sz w:val="24"/>
          <w:szCs w:val="24"/>
        </w:rPr>
        <w:t>working to promote the issue with the government ministries and other government agencies. In addition, the business sector and the non-profit sector in Israel are also working to promote the sustainable development goals of the UN</w:t>
      </w:r>
      <w:r w:rsidR="00B215ED" w:rsidRPr="00BC6240">
        <w:rPr>
          <w:rFonts w:cs="Arial"/>
          <w:sz w:val="24"/>
          <w:szCs w:val="24"/>
        </w:rPr>
        <w:t>, and are guided by them</w:t>
      </w:r>
      <w:commentRangeStart w:id="3"/>
      <w:r w:rsidR="00A139E7" w:rsidRPr="00BC6240">
        <w:rPr>
          <w:rStyle w:val="FootnoteReference"/>
          <w:rFonts w:cs="Arial"/>
          <w:sz w:val="24"/>
          <w:szCs w:val="24"/>
          <w:rtl/>
        </w:rPr>
        <w:footnoteReference w:id="1"/>
      </w:r>
      <w:commentRangeEnd w:id="3"/>
      <w:r w:rsidR="00E944EE" w:rsidRPr="00BC6240">
        <w:rPr>
          <w:rStyle w:val="CommentReference"/>
        </w:rPr>
        <w:commentReference w:id="3"/>
      </w:r>
      <w:r w:rsidR="00801B54" w:rsidRPr="00BC6240">
        <w:rPr>
          <w:rFonts w:cs="Arial"/>
          <w:sz w:val="24"/>
          <w:szCs w:val="24"/>
          <w:rtl/>
        </w:rPr>
        <w:t>.</w:t>
      </w:r>
    </w:p>
    <w:p w14:paraId="3D6A43B7" w14:textId="77777777" w:rsidR="00A73BDA" w:rsidRDefault="00A73BDA" w:rsidP="00E4195C">
      <w:pPr>
        <w:bidi w:val="0"/>
        <w:spacing w:after="240"/>
        <w:rPr>
          <w:rFonts w:cs="Arial"/>
          <w:b/>
          <w:bCs/>
          <w:sz w:val="24"/>
          <w:szCs w:val="24"/>
        </w:rPr>
      </w:pPr>
    </w:p>
    <w:p w14:paraId="30B496BA" w14:textId="77777777" w:rsidR="00A73BDA" w:rsidRDefault="00C25568" w:rsidP="00A73BDA">
      <w:pPr>
        <w:bidi w:val="0"/>
        <w:spacing w:after="240"/>
        <w:rPr>
          <w:rFonts w:cs="Arial"/>
          <w:b/>
          <w:bCs/>
          <w:sz w:val="24"/>
          <w:szCs w:val="24"/>
        </w:rPr>
      </w:pPr>
      <w:r w:rsidRPr="00BC6240">
        <w:rPr>
          <w:rFonts w:cs="Arial"/>
          <w:b/>
          <w:bCs/>
          <w:sz w:val="24"/>
          <w:szCs w:val="24"/>
        </w:rPr>
        <w:lastRenderedPageBreak/>
        <w:t>UN Goals for Sustainable Development in Israel</w:t>
      </w:r>
    </w:p>
    <w:p w14:paraId="1B072FD8" w14:textId="77777777" w:rsidR="00C25568" w:rsidRPr="00BC6240" w:rsidRDefault="008349A6" w:rsidP="00A73BDA">
      <w:pPr>
        <w:bidi w:val="0"/>
        <w:spacing w:after="240"/>
        <w:rPr>
          <w:rFonts w:cs="Arial"/>
          <w:b/>
          <w:bCs/>
          <w:sz w:val="24"/>
          <w:szCs w:val="24"/>
          <w:rtl/>
        </w:rPr>
      </w:pPr>
      <w:r w:rsidRPr="00BC6240">
        <w:rPr>
          <w:noProof/>
        </w:rPr>
        <w:drawing>
          <wp:inline distT="0" distB="0" distL="0" distR="0" wp14:anchorId="553EBC67" wp14:editId="62CEAEF5">
            <wp:extent cx="5274310" cy="1582293"/>
            <wp:effectExtent l="0" t="0" r="2540" b="0"/>
            <wp:docPr id="3" name="Picture 3" descr="SD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G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4310" cy="1582293"/>
                    </a:xfrm>
                    <a:prstGeom prst="rect">
                      <a:avLst/>
                    </a:prstGeom>
                    <a:noFill/>
                    <a:ln>
                      <a:noFill/>
                    </a:ln>
                  </pic:spPr>
                </pic:pic>
              </a:graphicData>
            </a:graphic>
          </wp:inline>
        </w:drawing>
      </w:r>
    </w:p>
    <w:p w14:paraId="7DC335E0" w14:textId="77777777" w:rsidR="00801B54" w:rsidRPr="00BC6240" w:rsidRDefault="00801B54" w:rsidP="00E4195C">
      <w:pPr>
        <w:spacing w:after="240"/>
        <w:rPr>
          <w:rFonts w:cs="Arial"/>
          <w:sz w:val="24"/>
          <w:szCs w:val="24"/>
          <w:rtl/>
        </w:rPr>
      </w:pPr>
    </w:p>
    <w:p w14:paraId="44F6CC5C" w14:textId="77777777" w:rsidR="007171C0" w:rsidRPr="00BC6240" w:rsidRDefault="007171C0" w:rsidP="00E4195C">
      <w:pPr>
        <w:pStyle w:val="NormalWeb"/>
        <w:shd w:val="clear" w:color="auto" w:fill="FFFFFF"/>
        <w:spacing w:before="0" w:beforeAutospacing="0" w:after="240" w:afterAutospacing="0" w:line="276" w:lineRule="auto"/>
        <w:rPr>
          <w:rFonts w:asciiTheme="minorHAnsi" w:hAnsiTheme="minorHAnsi" w:cs="Arial"/>
          <w:b/>
          <w:bCs/>
          <w:color w:val="1F497D" w:themeColor="text2"/>
          <w:u w:val="single"/>
        </w:rPr>
      </w:pPr>
      <w:r w:rsidRPr="00BC6240">
        <w:rPr>
          <w:rFonts w:asciiTheme="minorHAnsi" w:hAnsiTheme="minorHAnsi" w:cs="Arial"/>
          <w:b/>
          <w:bCs/>
          <w:color w:val="1F497D" w:themeColor="text2"/>
          <w:u w:val="single"/>
        </w:rPr>
        <w:t xml:space="preserve">The following are suitable </w:t>
      </w:r>
      <w:r w:rsidR="00DE45CF" w:rsidRPr="00BC6240">
        <w:rPr>
          <w:rFonts w:asciiTheme="minorHAnsi" w:hAnsiTheme="minorHAnsi" w:cs="Arial"/>
          <w:b/>
          <w:bCs/>
          <w:color w:val="1F497D" w:themeColor="text2"/>
          <w:u w:val="single"/>
        </w:rPr>
        <w:t xml:space="preserve">topics </w:t>
      </w:r>
      <w:r w:rsidRPr="00BC6240">
        <w:rPr>
          <w:rFonts w:asciiTheme="minorHAnsi" w:hAnsiTheme="minorHAnsi" w:cs="Arial"/>
          <w:b/>
          <w:bCs/>
          <w:color w:val="1F497D" w:themeColor="text2"/>
          <w:u w:val="single"/>
        </w:rPr>
        <w:t xml:space="preserve">for </w:t>
      </w:r>
      <w:r w:rsidR="004F7457" w:rsidRPr="00BC6240">
        <w:rPr>
          <w:rFonts w:asciiTheme="minorHAnsi" w:hAnsiTheme="minorHAnsi" w:cs="Arial"/>
          <w:b/>
          <w:bCs/>
          <w:color w:val="1F497D" w:themeColor="text2"/>
          <w:u w:val="single"/>
        </w:rPr>
        <w:t xml:space="preserve">collaborative </w:t>
      </w:r>
      <w:r w:rsidRPr="00BC6240">
        <w:rPr>
          <w:rFonts w:asciiTheme="minorHAnsi" w:hAnsiTheme="minorHAnsi" w:cs="Arial"/>
          <w:b/>
          <w:bCs/>
          <w:color w:val="1F497D" w:themeColor="text2"/>
          <w:u w:val="single"/>
        </w:rPr>
        <w:t>cross-</w:t>
      </w:r>
      <w:r w:rsidR="00E951C4" w:rsidRPr="00BC6240">
        <w:rPr>
          <w:rFonts w:asciiTheme="minorHAnsi" w:hAnsiTheme="minorHAnsi" w:cs="Arial"/>
          <w:b/>
          <w:bCs/>
          <w:color w:val="1F497D" w:themeColor="text2"/>
          <w:u w:val="single"/>
        </w:rPr>
        <w:t>sector</w:t>
      </w:r>
      <w:r w:rsidRPr="00BC6240">
        <w:rPr>
          <w:rFonts w:asciiTheme="minorHAnsi" w:hAnsiTheme="minorHAnsi" w:cs="Arial"/>
          <w:b/>
          <w:bCs/>
          <w:color w:val="1F497D" w:themeColor="text2"/>
          <w:u w:val="single"/>
        </w:rPr>
        <w:t xml:space="preserve"> </w:t>
      </w:r>
      <w:r w:rsidR="004F7457" w:rsidRPr="00BC6240">
        <w:rPr>
          <w:rFonts w:asciiTheme="minorHAnsi" w:hAnsiTheme="minorHAnsi" w:cs="Arial"/>
          <w:b/>
          <w:bCs/>
          <w:color w:val="1F497D" w:themeColor="text2"/>
          <w:u w:val="single"/>
        </w:rPr>
        <w:t xml:space="preserve">processes </w:t>
      </w:r>
      <w:r w:rsidRPr="00BC6240">
        <w:rPr>
          <w:rFonts w:asciiTheme="minorHAnsi" w:hAnsiTheme="minorHAnsi" w:cs="Arial"/>
          <w:b/>
          <w:bCs/>
          <w:color w:val="1F497D" w:themeColor="text2"/>
          <w:u w:val="single"/>
        </w:rPr>
        <w:t>in Israel</w:t>
      </w:r>
    </w:p>
    <w:p w14:paraId="4B0AB42C" w14:textId="77777777" w:rsidR="00075A3A" w:rsidRPr="00BC6240" w:rsidRDefault="00075A3A" w:rsidP="00700593">
      <w:pPr>
        <w:bidi w:val="0"/>
        <w:spacing w:after="120" w:line="240" w:lineRule="auto"/>
        <w:rPr>
          <w:sz w:val="24"/>
          <w:szCs w:val="24"/>
        </w:rPr>
      </w:pPr>
      <w:r w:rsidRPr="00BC6240">
        <w:rPr>
          <w:rFonts w:cs="Arial"/>
          <w:sz w:val="24"/>
          <w:szCs w:val="24"/>
        </w:rPr>
        <w:t>1</w:t>
      </w:r>
      <w:r w:rsidRPr="00BC6240">
        <w:rPr>
          <w:rFonts w:cs="Arial"/>
          <w:sz w:val="24"/>
          <w:szCs w:val="24"/>
          <w:rtl/>
        </w:rPr>
        <w:t xml:space="preserve">. </w:t>
      </w:r>
      <w:r w:rsidRPr="00BC6240">
        <w:rPr>
          <w:rFonts w:cs="Arial"/>
          <w:sz w:val="24"/>
          <w:szCs w:val="24"/>
        </w:rPr>
        <w:t xml:space="preserve"> </w:t>
      </w:r>
      <w:r w:rsidRPr="00BC6240">
        <w:rPr>
          <w:sz w:val="24"/>
          <w:szCs w:val="24"/>
        </w:rPr>
        <w:t>Preventing violence and increasing personal safety</w:t>
      </w:r>
    </w:p>
    <w:p w14:paraId="74AED226" w14:textId="77777777" w:rsidR="00075A3A" w:rsidRPr="00BC6240" w:rsidRDefault="00075A3A" w:rsidP="00700593">
      <w:pPr>
        <w:pStyle w:val="ListParagraph"/>
        <w:bidi w:val="0"/>
        <w:spacing w:after="120" w:line="240" w:lineRule="auto"/>
        <w:ind w:left="360"/>
        <w:rPr>
          <w:sz w:val="24"/>
          <w:szCs w:val="24"/>
        </w:rPr>
      </w:pPr>
      <w:r w:rsidRPr="00BC6240">
        <w:rPr>
          <w:sz w:val="24"/>
          <w:szCs w:val="24"/>
        </w:rPr>
        <w:t>A. Gender violence</w:t>
      </w:r>
    </w:p>
    <w:p w14:paraId="71C0F7A9" w14:textId="77777777" w:rsidR="00075A3A" w:rsidRPr="00BC6240" w:rsidRDefault="00075A3A" w:rsidP="00700593">
      <w:pPr>
        <w:pStyle w:val="ListParagraph"/>
        <w:bidi w:val="0"/>
        <w:spacing w:after="120" w:line="240" w:lineRule="auto"/>
        <w:ind w:left="360"/>
        <w:rPr>
          <w:sz w:val="24"/>
          <w:szCs w:val="24"/>
        </w:rPr>
      </w:pPr>
      <w:r w:rsidRPr="00BC6240">
        <w:rPr>
          <w:sz w:val="24"/>
          <w:szCs w:val="24"/>
        </w:rPr>
        <w:t>B. Violence in Arab society</w:t>
      </w:r>
    </w:p>
    <w:p w14:paraId="12E9F1FA" w14:textId="77777777" w:rsidR="00075A3A" w:rsidRPr="00BC6240" w:rsidRDefault="00075A3A" w:rsidP="00700593">
      <w:pPr>
        <w:bidi w:val="0"/>
        <w:spacing w:after="120" w:line="240" w:lineRule="auto"/>
        <w:rPr>
          <w:sz w:val="24"/>
          <w:szCs w:val="24"/>
        </w:rPr>
      </w:pPr>
      <w:r w:rsidRPr="00BC6240">
        <w:rPr>
          <w:sz w:val="24"/>
          <w:szCs w:val="24"/>
        </w:rPr>
        <w:t>2. Promoting employment in marginalized communities</w:t>
      </w:r>
    </w:p>
    <w:p w14:paraId="33F4C6BB" w14:textId="77777777" w:rsidR="00075A3A" w:rsidRPr="00BC6240" w:rsidRDefault="00075A3A" w:rsidP="00700593">
      <w:pPr>
        <w:pStyle w:val="ListParagraph"/>
        <w:bidi w:val="0"/>
        <w:spacing w:after="120" w:line="240" w:lineRule="auto"/>
        <w:ind w:left="360"/>
        <w:rPr>
          <w:sz w:val="24"/>
          <w:szCs w:val="24"/>
        </w:rPr>
      </w:pPr>
      <w:r w:rsidRPr="00BC6240">
        <w:rPr>
          <w:sz w:val="24"/>
          <w:szCs w:val="24"/>
        </w:rPr>
        <w:t>A. The ultra-Orthodox sector</w:t>
      </w:r>
    </w:p>
    <w:p w14:paraId="5078D5A4" w14:textId="77777777" w:rsidR="00075A3A" w:rsidRPr="00BC6240" w:rsidRDefault="00075A3A" w:rsidP="00700593">
      <w:pPr>
        <w:pStyle w:val="ListParagraph"/>
        <w:bidi w:val="0"/>
        <w:spacing w:after="120" w:line="240" w:lineRule="auto"/>
        <w:ind w:left="360"/>
        <w:rPr>
          <w:sz w:val="24"/>
          <w:szCs w:val="24"/>
        </w:rPr>
      </w:pPr>
      <w:r w:rsidRPr="00BC6240">
        <w:rPr>
          <w:sz w:val="24"/>
          <w:szCs w:val="24"/>
        </w:rPr>
        <w:t>B. Arab society</w:t>
      </w:r>
      <w:r w:rsidRPr="00BC6240">
        <w:rPr>
          <w:rFonts w:cs="Arial"/>
          <w:sz w:val="24"/>
          <w:szCs w:val="24"/>
          <w:rtl/>
        </w:rPr>
        <w:t xml:space="preserve"> </w:t>
      </w:r>
    </w:p>
    <w:p w14:paraId="46A8C906" w14:textId="77777777" w:rsidR="00075A3A" w:rsidRPr="00BC6240" w:rsidRDefault="00075A3A" w:rsidP="00700593">
      <w:pPr>
        <w:pStyle w:val="ListParagraph"/>
        <w:bidi w:val="0"/>
        <w:spacing w:after="120" w:line="240" w:lineRule="auto"/>
        <w:ind w:left="360"/>
        <w:contextualSpacing w:val="0"/>
        <w:rPr>
          <w:sz w:val="24"/>
          <w:szCs w:val="24"/>
        </w:rPr>
      </w:pPr>
      <w:r w:rsidRPr="00BC6240">
        <w:rPr>
          <w:sz w:val="24"/>
          <w:szCs w:val="24"/>
        </w:rPr>
        <w:t>C. Secondary household earners</w:t>
      </w:r>
    </w:p>
    <w:p w14:paraId="5434B9DA" w14:textId="77777777" w:rsidR="00811B2D" w:rsidRPr="00BC6240" w:rsidRDefault="00811B2D" w:rsidP="00700593">
      <w:pPr>
        <w:bidi w:val="0"/>
        <w:spacing w:after="120" w:line="240" w:lineRule="auto"/>
        <w:rPr>
          <w:sz w:val="24"/>
          <w:szCs w:val="24"/>
        </w:rPr>
      </w:pPr>
      <w:r w:rsidRPr="00BC6240">
        <w:rPr>
          <w:sz w:val="24"/>
          <w:szCs w:val="24"/>
        </w:rPr>
        <w:t>3. Reducing poverty rates in Israel</w:t>
      </w:r>
    </w:p>
    <w:p w14:paraId="05CAD5C3" w14:textId="77777777" w:rsidR="00811B2D" w:rsidRPr="00BC6240" w:rsidRDefault="00811B2D" w:rsidP="00700593">
      <w:pPr>
        <w:pStyle w:val="ListParagraph"/>
        <w:bidi w:val="0"/>
        <w:spacing w:after="120" w:line="240" w:lineRule="auto"/>
        <w:ind w:left="360"/>
        <w:rPr>
          <w:sz w:val="24"/>
          <w:szCs w:val="24"/>
        </w:rPr>
      </w:pPr>
      <w:r w:rsidRPr="00BC6240">
        <w:rPr>
          <w:sz w:val="24"/>
          <w:szCs w:val="24"/>
        </w:rPr>
        <w:t>A. Families in poverty / children in poverty</w:t>
      </w:r>
    </w:p>
    <w:p w14:paraId="51774D17" w14:textId="77777777" w:rsidR="00811B2D" w:rsidRPr="00BC6240" w:rsidRDefault="00811B2D" w:rsidP="00700593">
      <w:pPr>
        <w:pStyle w:val="ListParagraph"/>
        <w:bidi w:val="0"/>
        <w:spacing w:after="120" w:line="240" w:lineRule="auto"/>
        <w:ind w:left="360"/>
        <w:rPr>
          <w:sz w:val="24"/>
          <w:szCs w:val="24"/>
        </w:rPr>
      </w:pPr>
      <w:r w:rsidRPr="00BC6240">
        <w:rPr>
          <w:sz w:val="24"/>
          <w:szCs w:val="24"/>
        </w:rPr>
        <w:t xml:space="preserve">B. The working poor </w:t>
      </w:r>
    </w:p>
    <w:p w14:paraId="68D54E7C" w14:textId="77777777" w:rsidR="00811B2D" w:rsidRPr="00BC6240" w:rsidRDefault="00811B2D" w:rsidP="00700593">
      <w:pPr>
        <w:bidi w:val="0"/>
        <w:spacing w:after="120" w:line="240" w:lineRule="auto"/>
        <w:rPr>
          <w:sz w:val="24"/>
          <w:szCs w:val="24"/>
        </w:rPr>
      </w:pPr>
      <w:r w:rsidRPr="00BC6240">
        <w:rPr>
          <w:sz w:val="24"/>
          <w:szCs w:val="24"/>
        </w:rPr>
        <w:t>4. Promoting quality of life and health for senior citizens</w:t>
      </w:r>
    </w:p>
    <w:p w14:paraId="5A30D0CC" w14:textId="6E157158" w:rsidR="00811B2D" w:rsidRPr="00BC6240" w:rsidRDefault="00811B2D" w:rsidP="00700593">
      <w:pPr>
        <w:pStyle w:val="ListParagraph"/>
        <w:bidi w:val="0"/>
        <w:spacing w:after="120" w:line="240" w:lineRule="auto"/>
        <w:ind w:left="360"/>
        <w:rPr>
          <w:sz w:val="24"/>
          <w:szCs w:val="24"/>
        </w:rPr>
      </w:pPr>
      <w:r w:rsidRPr="00BC6240">
        <w:rPr>
          <w:sz w:val="24"/>
          <w:szCs w:val="24"/>
        </w:rPr>
        <w:t xml:space="preserve">A. </w:t>
      </w:r>
      <w:r w:rsidR="006A74EE">
        <w:rPr>
          <w:sz w:val="24"/>
          <w:szCs w:val="24"/>
        </w:rPr>
        <w:t>Alleviating</w:t>
      </w:r>
      <w:r w:rsidRPr="00BC6240">
        <w:rPr>
          <w:sz w:val="24"/>
          <w:szCs w:val="24"/>
        </w:rPr>
        <w:t xml:space="preserve"> loneliness </w:t>
      </w:r>
    </w:p>
    <w:p w14:paraId="1DC71594" w14:textId="77777777" w:rsidR="00811B2D" w:rsidRPr="00BC6240" w:rsidRDefault="00811B2D" w:rsidP="00700593">
      <w:pPr>
        <w:pStyle w:val="ListParagraph"/>
        <w:bidi w:val="0"/>
        <w:spacing w:after="120" w:line="240" w:lineRule="auto"/>
        <w:ind w:left="360"/>
        <w:contextualSpacing w:val="0"/>
        <w:rPr>
          <w:sz w:val="24"/>
          <w:szCs w:val="24"/>
        </w:rPr>
      </w:pPr>
      <w:r w:rsidRPr="00BC6240">
        <w:rPr>
          <w:sz w:val="24"/>
          <w:szCs w:val="24"/>
        </w:rPr>
        <w:t>B. Claiming rights and services</w:t>
      </w:r>
    </w:p>
    <w:p w14:paraId="79937EB7" w14:textId="77777777" w:rsidR="004B004F" w:rsidRPr="00BC6240" w:rsidRDefault="004B004F" w:rsidP="00700593">
      <w:pPr>
        <w:bidi w:val="0"/>
        <w:spacing w:after="120" w:line="240" w:lineRule="auto"/>
        <w:rPr>
          <w:sz w:val="24"/>
          <w:szCs w:val="24"/>
        </w:rPr>
      </w:pPr>
      <w:r w:rsidRPr="00BC6240">
        <w:rPr>
          <w:sz w:val="24"/>
          <w:szCs w:val="24"/>
        </w:rPr>
        <w:t xml:space="preserve">5. Promoting environmental </w:t>
      </w:r>
      <w:r w:rsidR="00E62235" w:rsidRPr="00BC6240">
        <w:rPr>
          <w:sz w:val="24"/>
          <w:szCs w:val="24"/>
        </w:rPr>
        <w:t xml:space="preserve">quality </w:t>
      </w:r>
      <w:r w:rsidRPr="00BC6240">
        <w:rPr>
          <w:sz w:val="24"/>
          <w:szCs w:val="24"/>
        </w:rPr>
        <w:t>and sustainability issues</w:t>
      </w:r>
    </w:p>
    <w:p w14:paraId="2A713C46" w14:textId="77777777" w:rsidR="004B004F" w:rsidRPr="00BC6240" w:rsidRDefault="004B004F" w:rsidP="00700593">
      <w:pPr>
        <w:pStyle w:val="ListParagraph"/>
        <w:bidi w:val="0"/>
        <w:spacing w:after="120" w:line="240" w:lineRule="auto"/>
        <w:ind w:left="360"/>
        <w:rPr>
          <w:sz w:val="24"/>
          <w:szCs w:val="24"/>
        </w:rPr>
      </w:pPr>
      <w:r w:rsidRPr="00BC6240">
        <w:rPr>
          <w:sz w:val="24"/>
          <w:szCs w:val="24"/>
        </w:rPr>
        <w:t>A. Protection, development, and conservation of marine environments - beaches, streams</w:t>
      </w:r>
      <w:r w:rsidR="00840318" w:rsidRPr="00BC6240">
        <w:rPr>
          <w:sz w:val="24"/>
          <w:szCs w:val="24"/>
        </w:rPr>
        <w:t>,</w:t>
      </w:r>
      <w:r w:rsidRPr="00BC6240">
        <w:rPr>
          <w:sz w:val="24"/>
          <w:szCs w:val="24"/>
        </w:rPr>
        <w:t xml:space="preserve"> and reservoirs</w:t>
      </w:r>
    </w:p>
    <w:p w14:paraId="552224C4" w14:textId="77777777" w:rsidR="004B004F" w:rsidRPr="00BC6240" w:rsidRDefault="004B004F" w:rsidP="00700593">
      <w:pPr>
        <w:pStyle w:val="ListParagraph"/>
        <w:bidi w:val="0"/>
        <w:spacing w:after="120" w:line="240" w:lineRule="auto"/>
        <w:ind w:left="360"/>
        <w:rPr>
          <w:sz w:val="24"/>
          <w:szCs w:val="24"/>
        </w:rPr>
      </w:pPr>
      <w:r w:rsidRPr="00BC6240">
        <w:rPr>
          <w:sz w:val="24"/>
          <w:szCs w:val="24"/>
        </w:rPr>
        <w:t>B. Reducing pollution in Haifa Bay and treating the resulting damage</w:t>
      </w:r>
    </w:p>
    <w:p w14:paraId="19E95D28" w14:textId="77777777" w:rsidR="004B004F" w:rsidRPr="00BC6240" w:rsidRDefault="004B004F" w:rsidP="00700593">
      <w:pPr>
        <w:bidi w:val="0"/>
        <w:spacing w:after="120" w:line="240" w:lineRule="auto"/>
        <w:rPr>
          <w:sz w:val="24"/>
          <w:szCs w:val="24"/>
        </w:rPr>
      </w:pPr>
      <w:r w:rsidRPr="00BC6240">
        <w:rPr>
          <w:sz w:val="24"/>
          <w:szCs w:val="24"/>
        </w:rPr>
        <w:t>6. Development of extensive early childhood services</w:t>
      </w:r>
    </w:p>
    <w:p w14:paraId="28A774DD" w14:textId="77777777" w:rsidR="004B004F" w:rsidRPr="00BC6240" w:rsidRDefault="004B004F" w:rsidP="0007203C">
      <w:pPr>
        <w:bidi w:val="0"/>
        <w:spacing w:after="120" w:line="240" w:lineRule="auto"/>
        <w:rPr>
          <w:sz w:val="24"/>
          <w:szCs w:val="24"/>
        </w:rPr>
      </w:pPr>
      <w:r w:rsidRPr="00BC6240">
        <w:rPr>
          <w:sz w:val="24"/>
          <w:szCs w:val="24"/>
        </w:rPr>
        <w:t xml:space="preserve">7. </w:t>
      </w:r>
      <w:r w:rsidR="0007203C">
        <w:rPr>
          <w:sz w:val="24"/>
          <w:szCs w:val="24"/>
        </w:rPr>
        <w:t>Advancing</w:t>
      </w:r>
      <w:r w:rsidRPr="00BC6240">
        <w:rPr>
          <w:sz w:val="24"/>
          <w:szCs w:val="24"/>
        </w:rPr>
        <w:t xml:space="preserve"> the Bedouin population</w:t>
      </w:r>
    </w:p>
    <w:p w14:paraId="3B3B1801" w14:textId="77777777" w:rsidR="004B004F" w:rsidRPr="00BC6240" w:rsidRDefault="004B004F" w:rsidP="00700593">
      <w:pPr>
        <w:bidi w:val="0"/>
        <w:spacing w:after="120" w:line="240" w:lineRule="auto"/>
        <w:rPr>
          <w:sz w:val="24"/>
          <w:szCs w:val="24"/>
        </w:rPr>
      </w:pPr>
      <w:r w:rsidRPr="00BC6240">
        <w:rPr>
          <w:sz w:val="24"/>
          <w:szCs w:val="24"/>
        </w:rPr>
        <w:t>8. Promoting food security - prevention of excess and deficiency through healthy nutrition</w:t>
      </w:r>
    </w:p>
    <w:p w14:paraId="6514B068" w14:textId="77777777" w:rsidR="00A66D58" w:rsidRPr="00BC6240" w:rsidRDefault="00A66D58" w:rsidP="00700593">
      <w:pPr>
        <w:bidi w:val="0"/>
        <w:spacing w:after="120" w:line="240" w:lineRule="auto"/>
        <w:rPr>
          <w:sz w:val="24"/>
          <w:szCs w:val="24"/>
        </w:rPr>
      </w:pPr>
      <w:r w:rsidRPr="00BC6240">
        <w:rPr>
          <w:sz w:val="24"/>
          <w:szCs w:val="24"/>
        </w:rPr>
        <w:t>9. Developing skills and expertise for the future labor market</w:t>
      </w:r>
    </w:p>
    <w:p w14:paraId="65C08203" w14:textId="77777777" w:rsidR="00A66D58" w:rsidRPr="00BC6240" w:rsidRDefault="00A66D58" w:rsidP="00700593">
      <w:pPr>
        <w:bidi w:val="0"/>
        <w:spacing w:after="120" w:line="240" w:lineRule="auto"/>
        <w:rPr>
          <w:sz w:val="24"/>
          <w:szCs w:val="24"/>
        </w:rPr>
      </w:pPr>
      <w:r w:rsidRPr="00BC6240">
        <w:rPr>
          <w:sz w:val="24"/>
          <w:szCs w:val="24"/>
        </w:rPr>
        <w:t>10. Promoting quality of life and accessibility for persons with disabilities</w:t>
      </w:r>
    </w:p>
    <w:p w14:paraId="25488D13" w14:textId="77777777" w:rsidR="00E91BA0" w:rsidRPr="00BC6240" w:rsidRDefault="00E91BA0" w:rsidP="00E4195C">
      <w:pPr>
        <w:pStyle w:val="ListParagraph"/>
        <w:spacing w:after="120" w:line="276" w:lineRule="auto"/>
        <w:ind w:left="1080"/>
        <w:contextualSpacing w:val="0"/>
        <w:rPr>
          <w:sz w:val="24"/>
          <w:szCs w:val="24"/>
        </w:rPr>
      </w:pPr>
    </w:p>
    <w:p w14:paraId="6B58DF87" w14:textId="77777777" w:rsidR="00863211" w:rsidRPr="00BC6240" w:rsidRDefault="00863211" w:rsidP="00E4195C">
      <w:pPr>
        <w:bidi w:val="0"/>
        <w:spacing w:after="240"/>
        <w:rPr>
          <w:rFonts w:cs="Arial"/>
          <w:b/>
          <w:bCs/>
          <w:color w:val="002060"/>
          <w:sz w:val="28"/>
          <w:szCs w:val="28"/>
        </w:rPr>
      </w:pPr>
      <w:r w:rsidRPr="00BC6240">
        <w:rPr>
          <w:rFonts w:cs="Arial"/>
          <w:b/>
          <w:bCs/>
          <w:color w:val="002060"/>
          <w:sz w:val="28"/>
          <w:szCs w:val="28"/>
        </w:rPr>
        <w:lastRenderedPageBreak/>
        <w:t>The following pages provide brief explanations of each of the topics</w:t>
      </w:r>
    </w:p>
    <w:p w14:paraId="4B841EC6" w14:textId="77777777" w:rsidR="001A71FF" w:rsidRPr="00BC6240" w:rsidRDefault="0051717D" w:rsidP="00E4195C">
      <w:pPr>
        <w:bidi w:val="0"/>
        <w:spacing w:after="0"/>
        <w:rPr>
          <w:b/>
          <w:bCs/>
          <w:color w:val="1F497D" w:themeColor="text2"/>
          <w:sz w:val="28"/>
          <w:szCs w:val="28"/>
          <w:rtl/>
        </w:rPr>
      </w:pPr>
      <w:r w:rsidRPr="00BC6240">
        <w:rPr>
          <w:b/>
          <w:bCs/>
          <w:color w:val="1F497D" w:themeColor="text2"/>
          <w:sz w:val="28"/>
          <w:szCs w:val="28"/>
          <w:rtl/>
        </w:rPr>
        <w:t>1</w:t>
      </w:r>
      <w:r w:rsidRPr="00BC6240">
        <w:rPr>
          <w:b/>
          <w:bCs/>
          <w:color w:val="1F497D" w:themeColor="text2"/>
          <w:sz w:val="28"/>
          <w:szCs w:val="28"/>
        </w:rPr>
        <w:t xml:space="preserve">. </w:t>
      </w:r>
      <w:r w:rsidR="001A71FF" w:rsidRPr="00BC6240">
        <w:rPr>
          <w:b/>
          <w:bCs/>
          <w:color w:val="1F497D" w:themeColor="text2"/>
          <w:sz w:val="28"/>
          <w:szCs w:val="28"/>
        </w:rPr>
        <w:t>Preventing violence and increasing personal safety</w:t>
      </w:r>
    </w:p>
    <w:p w14:paraId="269D7EF4" w14:textId="77777777" w:rsidR="00457A47" w:rsidRPr="00BC6240" w:rsidRDefault="00457A47" w:rsidP="00E4195C">
      <w:pPr>
        <w:pStyle w:val="ListParagraph"/>
        <w:bidi w:val="0"/>
        <w:spacing w:after="0" w:line="276" w:lineRule="auto"/>
        <w:rPr>
          <w:b/>
          <w:bCs/>
          <w:color w:val="1F497D" w:themeColor="text2"/>
          <w:sz w:val="28"/>
          <w:szCs w:val="28"/>
        </w:rPr>
      </w:pPr>
    </w:p>
    <w:p w14:paraId="031C1523" w14:textId="77777777" w:rsidR="001A71FF" w:rsidRPr="00BC6240" w:rsidRDefault="001A71FF" w:rsidP="00E4195C">
      <w:pPr>
        <w:pStyle w:val="ListParagraph"/>
        <w:numPr>
          <w:ilvl w:val="0"/>
          <w:numId w:val="21"/>
        </w:numPr>
        <w:bidi w:val="0"/>
        <w:spacing w:after="0" w:line="276" w:lineRule="auto"/>
        <w:rPr>
          <w:b/>
          <w:bCs/>
          <w:color w:val="1F497D" w:themeColor="text2"/>
          <w:sz w:val="28"/>
          <w:szCs w:val="28"/>
          <w:rtl/>
        </w:rPr>
      </w:pPr>
      <w:r w:rsidRPr="00BC6240">
        <w:rPr>
          <w:b/>
          <w:bCs/>
          <w:color w:val="1F497D" w:themeColor="text2"/>
          <w:sz w:val="28"/>
          <w:szCs w:val="28"/>
        </w:rPr>
        <w:t>Murder of women and gender violence in the family</w:t>
      </w:r>
    </w:p>
    <w:p w14:paraId="67637F8F" w14:textId="77777777" w:rsidR="001A71FF" w:rsidRPr="00BC6240" w:rsidRDefault="001A71FF" w:rsidP="00E4195C">
      <w:pPr>
        <w:pStyle w:val="ListParagraph"/>
        <w:numPr>
          <w:ilvl w:val="0"/>
          <w:numId w:val="21"/>
        </w:numPr>
        <w:bidi w:val="0"/>
        <w:spacing w:after="0" w:line="276" w:lineRule="auto"/>
        <w:rPr>
          <w:b/>
          <w:bCs/>
          <w:color w:val="1F497D" w:themeColor="text2"/>
          <w:sz w:val="28"/>
          <w:szCs w:val="28"/>
        </w:rPr>
      </w:pPr>
      <w:r w:rsidRPr="00BC6240">
        <w:rPr>
          <w:b/>
          <w:bCs/>
          <w:color w:val="1F497D" w:themeColor="text2"/>
          <w:sz w:val="28"/>
          <w:szCs w:val="28"/>
        </w:rPr>
        <w:t>Violence in Arab society</w:t>
      </w:r>
    </w:p>
    <w:p w14:paraId="6F21725B" w14:textId="77777777" w:rsidR="00C81C68" w:rsidRDefault="00C81C68" w:rsidP="00C81C68">
      <w:pPr>
        <w:bidi w:val="0"/>
        <w:spacing w:after="0"/>
        <w:rPr>
          <w:rFonts w:cs="Arial"/>
          <w:sz w:val="24"/>
          <w:szCs w:val="24"/>
        </w:rPr>
      </w:pPr>
    </w:p>
    <w:p w14:paraId="712D02FE" w14:textId="4D888D1C" w:rsidR="0056532F" w:rsidRPr="00BC6240" w:rsidRDefault="00416887" w:rsidP="003C64A7">
      <w:pPr>
        <w:bidi w:val="0"/>
        <w:spacing w:after="240"/>
        <w:rPr>
          <w:sz w:val="24"/>
          <w:szCs w:val="24"/>
          <w:rtl/>
        </w:rPr>
      </w:pPr>
      <w:r w:rsidRPr="00BC6240">
        <w:rPr>
          <w:rFonts w:cs="Arial"/>
          <w:sz w:val="24"/>
          <w:szCs w:val="24"/>
        </w:rPr>
        <w:t>According to the National Violence Index released in 2014, about 600,000 cases of violence occur each year, of which two-thirds are unreported. The figures also show that</w:t>
      </w:r>
      <w:r w:rsidR="002805A2">
        <w:rPr>
          <w:rFonts w:cs="Arial"/>
          <w:sz w:val="24"/>
          <w:szCs w:val="24"/>
        </w:rPr>
        <w:t>,</w:t>
      </w:r>
      <w:r w:rsidRPr="00BC6240">
        <w:rPr>
          <w:rFonts w:cs="Arial"/>
          <w:sz w:val="24"/>
          <w:szCs w:val="24"/>
        </w:rPr>
        <w:t xml:space="preserve"> between 2003 and 2013, the number of violent offenses declined </w:t>
      </w:r>
      <w:r w:rsidR="002805A2">
        <w:rPr>
          <w:rFonts w:cs="Arial"/>
          <w:sz w:val="24"/>
          <w:szCs w:val="24"/>
        </w:rPr>
        <w:t>while</w:t>
      </w:r>
      <w:r w:rsidRPr="00BC6240">
        <w:rPr>
          <w:rFonts w:cs="Arial"/>
          <w:sz w:val="24"/>
          <w:szCs w:val="24"/>
        </w:rPr>
        <w:t xml:space="preserve"> their severity increased. The volume of offenses is similar to the average in the OECD</w:t>
      </w:r>
      <w:r w:rsidRPr="00BC6240">
        <w:rPr>
          <w:rFonts w:cs="Arial"/>
          <w:sz w:val="24"/>
          <w:szCs w:val="24"/>
          <w:rtl/>
        </w:rPr>
        <w:t>.</w:t>
      </w:r>
      <w:r w:rsidR="009641F8" w:rsidRPr="00BC6240">
        <w:rPr>
          <w:rFonts w:cs="Arial"/>
          <w:sz w:val="24"/>
          <w:szCs w:val="24"/>
        </w:rPr>
        <w:t xml:space="preserve"> The problem of non-reporting indicates lack of trust in the police, as revealed by </w:t>
      </w:r>
      <w:r w:rsidR="00CF59F2">
        <w:rPr>
          <w:rFonts w:cs="Arial"/>
          <w:sz w:val="24"/>
          <w:szCs w:val="24"/>
        </w:rPr>
        <w:t>an</w:t>
      </w:r>
      <w:r w:rsidR="009641F8" w:rsidRPr="00BC6240">
        <w:rPr>
          <w:rFonts w:cs="Arial"/>
          <w:sz w:val="24"/>
          <w:szCs w:val="24"/>
        </w:rPr>
        <w:t xml:space="preserve"> Israeli Democracy Institute </w:t>
      </w:r>
      <w:commentRangeStart w:id="4"/>
      <w:r w:rsidR="009641F8" w:rsidRPr="00BC6240">
        <w:rPr>
          <w:rFonts w:cs="Arial"/>
          <w:sz w:val="24"/>
          <w:szCs w:val="24"/>
        </w:rPr>
        <w:t>survey</w:t>
      </w:r>
      <w:commentRangeEnd w:id="4"/>
      <w:r w:rsidR="00551A85" w:rsidRPr="00BC6240">
        <w:rPr>
          <w:rStyle w:val="CommentReference"/>
        </w:rPr>
        <w:commentReference w:id="4"/>
      </w:r>
      <w:r w:rsidR="009641F8" w:rsidRPr="00BC6240">
        <w:rPr>
          <w:rFonts w:cs="Arial"/>
          <w:sz w:val="24"/>
          <w:szCs w:val="24"/>
        </w:rPr>
        <w:t xml:space="preserve"> which found that over half of respondents expressed little or no trust in </w:t>
      </w:r>
      <w:r w:rsidR="00ED5663">
        <w:rPr>
          <w:rFonts w:cs="Arial"/>
          <w:sz w:val="24"/>
          <w:szCs w:val="24"/>
        </w:rPr>
        <w:t xml:space="preserve">the </w:t>
      </w:r>
      <w:r w:rsidR="009641F8" w:rsidRPr="00BC6240">
        <w:rPr>
          <w:rFonts w:cs="Arial"/>
          <w:sz w:val="24"/>
          <w:szCs w:val="24"/>
        </w:rPr>
        <w:t xml:space="preserve">police. On the other hand, the number of applications to help centers for victims of sexual violence has risen in recent years: about 55% of victims of sex offences are minors, with an increase in juvenile sex offender incidents. According to the personal </w:t>
      </w:r>
      <w:commentRangeStart w:id="5"/>
      <w:r w:rsidR="009641F8" w:rsidRPr="00BC6240">
        <w:rPr>
          <w:rFonts w:cs="Arial"/>
          <w:sz w:val="24"/>
          <w:szCs w:val="24"/>
        </w:rPr>
        <w:t>security survey</w:t>
      </w:r>
      <w:commentRangeEnd w:id="5"/>
      <w:r w:rsidR="00ED5663">
        <w:rPr>
          <w:rStyle w:val="CommentReference"/>
        </w:rPr>
        <w:commentReference w:id="5"/>
      </w:r>
      <w:r w:rsidR="009641F8" w:rsidRPr="00BC6240">
        <w:rPr>
          <w:rFonts w:cs="Arial"/>
          <w:sz w:val="24"/>
          <w:szCs w:val="24"/>
        </w:rPr>
        <w:t>, 13.</w:t>
      </w:r>
      <w:commentRangeStart w:id="6"/>
      <w:r w:rsidR="009641F8" w:rsidRPr="00BC6240">
        <w:rPr>
          <w:rFonts w:cs="Arial"/>
          <w:sz w:val="24"/>
          <w:szCs w:val="24"/>
        </w:rPr>
        <w:t>8%</w:t>
      </w:r>
      <w:commentRangeEnd w:id="6"/>
      <w:r w:rsidR="003C64A7">
        <w:rPr>
          <w:rStyle w:val="CommentReference"/>
        </w:rPr>
        <w:commentReference w:id="6"/>
      </w:r>
      <w:r w:rsidR="008D7BFB" w:rsidRPr="00BC6240">
        <w:rPr>
          <w:rFonts w:cs="Arial"/>
          <w:sz w:val="24"/>
          <w:szCs w:val="24"/>
        </w:rPr>
        <w:t xml:space="preserve"> </w:t>
      </w:r>
      <w:r w:rsidR="009641F8" w:rsidRPr="00BC6240">
        <w:rPr>
          <w:rFonts w:cs="Arial"/>
          <w:sz w:val="24"/>
          <w:szCs w:val="24"/>
        </w:rPr>
        <w:t>were harmed by a violent offense in 2013.</w:t>
      </w:r>
      <w:r w:rsidR="001A0242" w:rsidRPr="00BC6240">
        <w:rPr>
          <w:rFonts w:cs="Arial"/>
          <w:sz w:val="24"/>
          <w:szCs w:val="24"/>
        </w:rPr>
        <w:t xml:space="preserve"> 60% of domestic violence cases opened in 2015 w</w:t>
      </w:r>
      <w:r w:rsidR="00EF320F" w:rsidRPr="00BC6240">
        <w:rPr>
          <w:rFonts w:cs="Arial"/>
          <w:sz w:val="24"/>
          <w:szCs w:val="24"/>
        </w:rPr>
        <w:t>ere</w:t>
      </w:r>
      <w:r w:rsidR="001A0242" w:rsidRPr="00BC6240">
        <w:rPr>
          <w:rFonts w:cs="Arial"/>
          <w:sz w:val="24"/>
          <w:szCs w:val="24"/>
        </w:rPr>
        <w:t xml:space="preserve"> shelved, and 76% of sports-related violence investigations were shelved between 2011 and 2014. In 2009, the National Council for the Prevention of Violence in Sports was founded, but the </w:t>
      </w:r>
      <w:r w:rsidR="003C64A7">
        <w:rPr>
          <w:rFonts w:cs="Arial"/>
          <w:sz w:val="24"/>
          <w:szCs w:val="24"/>
        </w:rPr>
        <w:t>S</w:t>
      </w:r>
      <w:r w:rsidR="001A0242" w:rsidRPr="00BC6240">
        <w:rPr>
          <w:rFonts w:cs="Arial"/>
          <w:sz w:val="24"/>
          <w:szCs w:val="24"/>
        </w:rPr>
        <w:t xml:space="preserve">tate </w:t>
      </w:r>
      <w:r w:rsidR="003C64A7">
        <w:rPr>
          <w:rFonts w:cs="Arial"/>
          <w:sz w:val="24"/>
          <w:szCs w:val="24"/>
        </w:rPr>
        <w:t>C</w:t>
      </w:r>
      <w:r w:rsidR="001A0242" w:rsidRPr="00BC6240">
        <w:rPr>
          <w:rFonts w:cs="Arial"/>
          <w:sz w:val="24"/>
          <w:szCs w:val="24"/>
        </w:rPr>
        <w:t xml:space="preserve">omptroller found that it did not develop a work plan or collect data to assess the extent of the </w:t>
      </w:r>
      <w:r w:rsidR="001A0242" w:rsidRPr="007B6949">
        <w:rPr>
          <w:rFonts w:cs="Arial"/>
          <w:sz w:val="24"/>
          <w:szCs w:val="24"/>
          <w:highlight w:val="yellow"/>
        </w:rPr>
        <w:t>phenomenon</w:t>
      </w:r>
      <w:commentRangeStart w:id="7"/>
      <w:r w:rsidR="001A0242" w:rsidRPr="007B6949">
        <w:rPr>
          <w:rFonts w:cs="Arial"/>
          <w:sz w:val="24"/>
          <w:szCs w:val="24"/>
          <w:highlight w:val="yellow"/>
        </w:rPr>
        <w:t>.</w:t>
      </w:r>
      <w:r w:rsidR="0056532F" w:rsidRPr="007B6949">
        <w:rPr>
          <w:rStyle w:val="FootnoteReference"/>
          <w:sz w:val="20"/>
          <w:szCs w:val="20"/>
          <w:highlight w:val="yellow"/>
          <w:rtl/>
        </w:rPr>
        <w:footnoteReference w:id="2"/>
      </w:r>
      <w:commentRangeEnd w:id="7"/>
      <w:r w:rsidR="007B6949">
        <w:rPr>
          <w:rStyle w:val="CommentReference"/>
        </w:rPr>
        <w:commentReference w:id="7"/>
      </w:r>
    </w:p>
    <w:p w14:paraId="66D8C6E1" w14:textId="77777777" w:rsidR="00F9266E" w:rsidRPr="00BC6240" w:rsidRDefault="00050715" w:rsidP="00E4195C">
      <w:pPr>
        <w:bidi w:val="0"/>
        <w:spacing w:after="240"/>
        <w:rPr>
          <w:sz w:val="24"/>
          <w:szCs w:val="24"/>
          <w:u w:val="single"/>
        </w:rPr>
      </w:pPr>
      <w:r w:rsidRPr="00BC6240">
        <w:rPr>
          <w:sz w:val="24"/>
          <w:szCs w:val="24"/>
          <w:u w:val="single"/>
        </w:rPr>
        <w:t>Murder of women and gender violence in the family</w:t>
      </w:r>
      <w:r w:rsidRPr="00F45001">
        <w:rPr>
          <w:rStyle w:val="FootnoteReference"/>
          <w:sz w:val="20"/>
          <w:szCs w:val="20"/>
          <w:vertAlign w:val="baseline"/>
        </w:rPr>
        <w:t xml:space="preserve"> </w:t>
      </w:r>
      <w:r w:rsidR="008D1A2F" w:rsidRPr="00F45001">
        <w:rPr>
          <w:rStyle w:val="FootnoteReference"/>
          <w:sz w:val="20"/>
          <w:szCs w:val="20"/>
          <w:rtl/>
        </w:rPr>
        <w:footnoteReference w:id="3"/>
      </w:r>
    </w:p>
    <w:p w14:paraId="25528247" w14:textId="57402BC0" w:rsidR="00CD29BC" w:rsidRPr="00BC6240" w:rsidRDefault="00CD29BC" w:rsidP="00507EA6">
      <w:pPr>
        <w:bidi w:val="0"/>
        <w:spacing w:after="240"/>
        <w:rPr>
          <w:sz w:val="24"/>
          <w:szCs w:val="24"/>
        </w:rPr>
      </w:pPr>
      <w:r w:rsidRPr="00BC6240">
        <w:rPr>
          <w:sz w:val="24"/>
          <w:szCs w:val="24"/>
        </w:rPr>
        <w:t>According to a report by the Knesset Research and Information Center, in the nine years between 2007 and 2016, 126 women were murdered by their current or former spouses. According to data from project "</w:t>
      </w:r>
      <w:proofErr w:type="spellStart"/>
      <w:r w:rsidRPr="00BC6240">
        <w:rPr>
          <w:sz w:val="24"/>
          <w:szCs w:val="24"/>
        </w:rPr>
        <w:t>Tizkor</w:t>
      </w:r>
      <w:proofErr w:type="spellEnd"/>
      <w:r w:rsidRPr="00BC6240">
        <w:rPr>
          <w:sz w:val="24"/>
          <w:szCs w:val="24"/>
        </w:rPr>
        <w:t xml:space="preserve">" (Her Memory), in 2008-2018, 218 women were murdered for gender-related reasons, not all of them by their spouses. According to police data, </w:t>
      </w:r>
      <w:r w:rsidR="002C32CA">
        <w:rPr>
          <w:sz w:val="24"/>
          <w:szCs w:val="24"/>
        </w:rPr>
        <w:t>between</w:t>
      </w:r>
      <w:r w:rsidRPr="00BC6240">
        <w:rPr>
          <w:sz w:val="24"/>
          <w:szCs w:val="24"/>
        </w:rPr>
        <w:t xml:space="preserve"> 2013</w:t>
      </w:r>
      <w:r w:rsidR="002C32CA">
        <w:rPr>
          <w:sz w:val="24"/>
          <w:szCs w:val="24"/>
        </w:rPr>
        <w:t xml:space="preserve"> and </w:t>
      </w:r>
      <w:r w:rsidRPr="00BC6240">
        <w:rPr>
          <w:sz w:val="24"/>
          <w:szCs w:val="24"/>
        </w:rPr>
        <w:t xml:space="preserve">2016, 113 women were murdered on criminal grounds in Israel, 51% of whom were murdered by their spouses or another relative. 53% of all the murder victims were not Jewish, a proportion </w:t>
      </w:r>
      <w:r w:rsidR="0061578D">
        <w:rPr>
          <w:sz w:val="24"/>
          <w:szCs w:val="24"/>
        </w:rPr>
        <w:t xml:space="preserve">significantly higher than the general proportion of non-Jewish women in the Israeli population. </w:t>
      </w:r>
      <w:r w:rsidRPr="00BC6240">
        <w:rPr>
          <w:sz w:val="24"/>
          <w:szCs w:val="24"/>
        </w:rPr>
        <w:t>About a third of women killed by their spouses had complained to police about violence in the family</w:t>
      </w:r>
      <w:r w:rsidR="00156B3C">
        <w:rPr>
          <w:sz w:val="24"/>
          <w:szCs w:val="24"/>
        </w:rPr>
        <w:t xml:space="preserve"> prior to the incident</w:t>
      </w:r>
      <w:r w:rsidRPr="00BC6240">
        <w:rPr>
          <w:sz w:val="24"/>
          <w:szCs w:val="24"/>
        </w:rPr>
        <w:t>.</w:t>
      </w:r>
    </w:p>
    <w:p w14:paraId="695C9DC8" w14:textId="27EBB148" w:rsidR="00543735" w:rsidRDefault="00543735" w:rsidP="00F61F8F">
      <w:pPr>
        <w:bidi w:val="0"/>
        <w:spacing w:after="240"/>
        <w:rPr>
          <w:sz w:val="24"/>
          <w:szCs w:val="24"/>
        </w:rPr>
      </w:pPr>
      <w:r w:rsidRPr="00BC6240">
        <w:rPr>
          <w:sz w:val="24"/>
          <w:szCs w:val="24"/>
        </w:rPr>
        <w:lastRenderedPageBreak/>
        <w:t xml:space="preserve">While murder constitutes an extreme case of violence, many women in Israel suffer violence of varying degrees and types. It is widely estimated that around 200,000 women in Israel are </w:t>
      </w:r>
      <w:r w:rsidR="0038587A">
        <w:rPr>
          <w:sz w:val="24"/>
          <w:szCs w:val="24"/>
        </w:rPr>
        <w:t>victims of physical violence</w:t>
      </w:r>
      <w:r w:rsidR="002D2210">
        <w:rPr>
          <w:sz w:val="24"/>
          <w:szCs w:val="24"/>
        </w:rPr>
        <w:t xml:space="preserve">. However, given </w:t>
      </w:r>
      <w:r w:rsidRPr="00BC6240">
        <w:rPr>
          <w:sz w:val="24"/>
          <w:szCs w:val="24"/>
        </w:rPr>
        <w:t xml:space="preserve">insufficient data on the number of women who are affected by </w:t>
      </w:r>
      <w:r w:rsidRPr="003C2948">
        <w:rPr>
          <w:i/>
          <w:iCs/>
          <w:sz w:val="24"/>
          <w:szCs w:val="24"/>
        </w:rPr>
        <w:t>other types</w:t>
      </w:r>
      <w:r w:rsidRPr="00BC6240">
        <w:rPr>
          <w:sz w:val="24"/>
          <w:szCs w:val="24"/>
        </w:rPr>
        <w:t xml:space="preserve"> of violence</w:t>
      </w:r>
      <w:r w:rsidR="00F61F8F">
        <w:rPr>
          <w:sz w:val="24"/>
          <w:szCs w:val="24"/>
        </w:rPr>
        <w:t>—</w:t>
      </w:r>
      <w:r w:rsidRPr="00BC6240">
        <w:rPr>
          <w:sz w:val="24"/>
          <w:szCs w:val="24"/>
        </w:rPr>
        <w:t>economic, legal, psychological, and other</w:t>
      </w:r>
      <w:r w:rsidR="002D2210">
        <w:rPr>
          <w:sz w:val="24"/>
          <w:szCs w:val="24"/>
        </w:rPr>
        <w:t>, and in light of the fact that</w:t>
      </w:r>
      <w:r w:rsidR="00F61F8F">
        <w:rPr>
          <w:sz w:val="24"/>
          <w:szCs w:val="24"/>
        </w:rPr>
        <w:t xml:space="preserve"> </w:t>
      </w:r>
      <w:r w:rsidRPr="00BC6240">
        <w:rPr>
          <w:sz w:val="24"/>
          <w:szCs w:val="24"/>
        </w:rPr>
        <w:t>only a quarter of the victims of violence notify the authorities</w:t>
      </w:r>
      <w:r w:rsidR="002D2210">
        <w:rPr>
          <w:sz w:val="24"/>
          <w:szCs w:val="24"/>
        </w:rPr>
        <w:t>, it is reasonable to assume that the actual number is higher.</w:t>
      </w:r>
    </w:p>
    <w:p w14:paraId="211DE025" w14:textId="0F415FC3" w:rsidR="00B661F5" w:rsidRPr="00BC6240" w:rsidRDefault="00B661F5" w:rsidP="00B661F5">
      <w:pPr>
        <w:bidi w:val="0"/>
        <w:spacing w:after="240"/>
        <w:rPr>
          <w:sz w:val="24"/>
          <w:szCs w:val="24"/>
        </w:rPr>
      </w:pPr>
      <w:r w:rsidRPr="00B661F5">
        <w:rPr>
          <w:sz w:val="24"/>
          <w:szCs w:val="24"/>
        </w:rPr>
        <w:t xml:space="preserve">On the one hand, in the last forty years there has been </w:t>
      </w:r>
      <w:r w:rsidR="006D5E0A">
        <w:rPr>
          <w:sz w:val="24"/>
          <w:szCs w:val="24"/>
        </w:rPr>
        <w:t>significant</w:t>
      </w:r>
      <w:r w:rsidRPr="00B661F5">
        <w:rPr>
          <w:sz w:val="24"/>
          <w:szCs w:val="24"/>
        </w:rPr>
        <w:t xml:space="preserve"> </w:t>
      </w:r>
      <w:r w:rsidR="00672F9E">
        <w:rPr>
          <w:sz w:val="24"/>
          <w:szCs w:val="24"/>
        </w:rPr>
        <w:t>progress</w:t>
      </w:r>
      <w:r w:rsidRPr="00B661F5">
        <w:rPr>
          <w:sz w:val="24"/>
          <w:szCs w:val="24"/>
        </w:rPr>
        <w:t xml:space="preserve"> in the </w:t>
      </w:r>
      <w:r w:rsidR="00924702">
        <w:rPr>
          <w:sz w:val="24"/>
          <w:szCs w:val="24"/>
        </w:rPr>
        <w:t xml:space="preserve">state’s </w:t>
      </w:r>
      <w:r w:rsidRPr="00B661F5">
        <w:rPr>
          <w:sz w:val="24"/>
          <w:szCs w:val="24"/>
        </w:rPr>
        <w:t>hand</w:t>
      </w:r>
      <w:r w:rsidR="00924702">
        <w:rPr>
          <w:sz w:val="24"/>
          <w:szCs w:val="24"/>
        </w:rPr>
        <w:t>l</w:t>
      </w:r>
      <w:r w:rsidRPr="00B661F5">
        <w:rPr>
          <w:sz w:val="24"/>
          <w:szCs w:val="24"/>
        </w:rPr>
        <w:t>ing of violence against women and violence in the family in Israel</w:t>
      </w:r>
      <w:r w:rsidR="00924702">
        <w:rPr>
          <w:sz w:val="24"/>
          <w:szCs w:val="24"/>
        </w:rPr>
        <w:t>, through</w:t>
      </w:r>
      <w:r w:rsidRPr="00B661F5">
        <w:rPr>
          <w:sz w:val="24"/>
          <w:szCs w:val="24"/>
        </w:rPr>
        <w:t xml:space="preserve"> progressive legislation on the issue</w:t>
      </w:r>
      <w:r w:rsidR="00924702">
        <w:rPr>
          <w:sz w:val="24"/>
          <w:szCs w:val="24"/>
        </w:rPr>
        <w:t>,</w:t>
      </w:r>
      <w:r w:rsidRPr="00B661F5">
        <w:rPr>
          <w:sz w:val="24"/>
          <w:szCs w:val="24"/>
        </w:rPr>
        <w:t xml:space="preserve"> ongoing involvement of government committees, and extensive, pioneering civil society activity</w:t>
      </w:r>
      <w:r w:rsidR="00672F9E">
        <w:rPr>
          <w:sz w:val="24"/>
          <w:szCs w:val="24"/>
        </w:rPr>
        <w:t>, which</w:t>
      </w:r>
      <w:r w:rsidRPr="00B661F5">
        <w:rPr>
          <w:sz w:val="24"/>
          <w:szCs w:val="24"/>
        </w:rPr>
        <w:t xml:space="preserve"> has led to significant public sector moves. Nevertheless, many of the gaps shown in various reports from the past few decades are repeating themselves. It appears that the right way to solve existing problems has not yet been found. It is also evident that the appropriate resources are not being invested in dealing with the issue.</w:t>
      </w:r>
    </w:p>
    <w:p w14:paraId="122CA0CB" w14:textId="3586EA72" w:rsidR="009263AC" w:rsidRPr="00BC6240" w:rsidRDefault="00B45294" w:rsidP="00E4195C">
      <w:pPr>
        <w:bidi w:val="0"/>
        <w:spacing w:after="240"/>
        <w:rPr>
          <w:sz w:val="24"/>
          <w:szCs w:val="24"/>
          <w:u w:val="single"/>
        </w:rPr>
      </w:pPr>
      <w:r w:rsidRPr="00D970D0">
        <w:rPr>
          <w:sz w:val="24"/>
          <w:szCs w:val="24"/>
          <w:u w:val="single"/>
        </w:rPr>
        <w:t>Violence in Arab society</w:t>
      </w:r>
      <w:r w:rsidR="00672F9E" w:rsidRPr="00D970D0">
        <w:rPr>
          <w:rStyle w:val="FootnoteReference"/>
          <w:sz w:val="24"/>
          <w:szCs w:val="24"/>
          <w:u w:val="single"/>
        </w:rPr>
        <w:footnoteReference w:id="4"/>
      </w:r>
    </w:p>
    <w:p w14:paraId="55214BCF" w14:textId="23C58CC4" w:rsidR="00F9266E" w:rsidRPr="00BC6240" w:rsidRDefault="009263AC" w:rsidP="00E4195C">
      <w:pPr>
        <w:bidi w:val="0"/>
        <w:spacing w:after="240"/>
        <w:rPr>
          <w:sz w:val="24"/>
          <w:szCs w:val="24"/>
          <w:rtl/>
        </w:rPr>
      </w:pPr>
      <w:r w:rsidRPr="00BC6240">
        <w:rPr>
          <w:sz w:val="24"/>
          <w:szCs w:val="24"/>
        </w:rPr>
        <w:t xml:space="preserve">While Israeli Arabs make up about 20% of the total population, 45% of all homicides in Israel are carried out in Arab society; 42% of the serious attacks in Israel are carried out within Arab society; and 65% of women murdered by their spouses in Israel are from </w:t>
      </w:r>
      <w:r w:rsidR="00AD3DA0">
        <w:rPr>
          <w:sz w:val="24"/>
          <w:szCs w:val="24"/>
        </w:rPr>
        <w:t xml:space="preserve">the </w:t>
      </w:r>
      <w:r w:rsidRPr="00BC6240">
        <w:rPr>
          <w:sz w:val="24"/>
          <w:szCs w:val="24"/>
        </w:rPr>
        <w:t xml:space="preserve">Arab </w:t>
      </w:r>
      <w:r w:rsidR="00AD3DA0">
        <w:rPr>
          <w:sz w:val="24"/>
          <w:szCs w:val="24"/>
        </w:rPr>
        <w:t>sector</w:t>
      </w:r>
      <w:r w:rsidRPr="00BC6240">
        <w:rPr>
          <w:sz w:val="24"/>
          <w:szCs w:val="24"/>
        </w:rPr>
        <w:t>.</w:t>
      </w:r>
      <w:r w:rsidR="00F9266E" w:rsidRPr="00BC6240">
        <w:rPr>
          <w:sz w:val="24"/>
          <w:szCs w:val="24"/>
          <w:rtl/>
        </w:rPr>
        <w:t xml:space="preserve"> </w:t>
      </w:r>
    </w:p>
    <w:p w14:paraId="796629A6" w14:textId="77777777" w:rsidR="00DC013D" w:rsidRPr="00BC6240" w:rsidRDefault="00DC013D" w:rsidP="00E4195C">
      <w:pPr>
        <w:bidi w:val="0"/>
        <w:spacing w:after="240"/>
        <w:rPr>
          <w:sz w:val="24"/>
          <w:szCs w:val="24"/>
        </w:rPr>
      </w:pPr>
      <w:r w:rsidRPr="00BC6240">
        <w:rPr>
          <w:sz w:val="24"/>
          <w:szCs w:val="24"/>
        </w:rPr>
        <w:t>The Knesset Research and Information Center figures show that in 2014-2016, the murder rate per 100,000 people in the non-Jewish sector was five times higher than the rate in the Jewish sector; 57% of indicted murder suspects were no</w:t>
      </w:r>
      <w:r w:rsidR="00CF35B6" w:rsidRPr="00BC6240">
        <w:rPr>
          <w:sz w:val="24"/>
          <w:szCs w:val="24"/>
        </w:rPr>
        <w:t>n-</w:t>
      </w:r>
      <w:r w:rsidRPr="00BC6240">
        <w:rPr>
          <w:sz w:val="24"/>
          <w:szCs w:val="24"/>
        </w:rPr>
        <w:t>Jews; and of the 397 victims of attempted murder, 212 (about 53%) were non-Jews.</w:t>
      </w:r>
    </w:p>
    <w:p w14:paraId="5F58C342" w14:textId="05900731" w:rsidR="002C6519" w:rsidRPr="00BC6240" w:rsidRDefault="00CB3A4D" w:rsidP="00F95BAC">
      <w:pPr>
        <w:bidi w:val="0"/>
        <w:spacing w:after="240"/>
        <w:rPr>
          <w:sz w:val="24"/>
          <w:szCs w:val="24"/>
          <w:rtl/>
        </w:rPr>
      </w:pPr>
      <w:r>
        <w:rPr>
          <w:sz w:val="24"/>
          <w:szCs w:val="24"/>
        </w:rPr>
        <w:t>Between</w:t>
      </w:r>
      <w:r w:rsidR="002C6519" w:rsidRPr="00BC6240">
        <w:rPr>
          <w:sz w:val="24"/>
          <w:szCs w:val="24"/>
        </w:rPr>
        <w:t xml:space="preserve"> 2014</w:t>
      </w:r>
      <w:r>
        <w:rPr>
          <w:sz w:val="24"/>
          <w:szCs w:val="24"/>
        </w:rPr>
        <w:t xml:space="preserve"> and </w:t>
      </w:r>
      <w:r w:rsidR="002C6519" w:rsidRPr="00BC6240">
        <w:rPr>
          <w:sz w:val="24"/>
          <w:szCs w:val="24"/>
        </w:rPr>
        <w:t>2015, the proportion of victims of attempted murder per 100,000 people in the non-Jewish sector was three times higher than the rate among Jewish victims</w:t>
      </w:r>
      <w:r w:rsidR="00F95BAC">
        <w:rPr>
          <w:sz w:val="24"/>
          <w:szCs w:val="24"/>
        </w:rPr>
        <w:t>.</w:t>
      </w:r>
      <w:r w:rsidR="002C6519" w:rsidRPr="00BC6240">
        <w:rPr>
          <w:sz w:val="24"/>
          <w:szCs w:val="24"/>
        </w:rPr>
        <w:t xml:space="preserve"> In 2016, this gap </w:t>
      </w:r>
      <w:r w:rsidR="00F21897">
        <w:rPr>
          <w:sz w:val="24"/>
          <w:szCs w:val="24"/>
        </w:rPr>
        <w:t>grew</w:t>
      </w:r>
      <w:r w:rsidR="002C6519" w:rsidRPr="00BC6240">
        <w:rPr>
          <w:sz w:val="24"/>
          <w:szCs w:val="24"/>
        </w:rPr>
        <w:t xml:space="preserve"> fourfold</w:t>
      </w:r>
      <w:r w:rsidR="00F95BAC">
        <w:rPr>
          <w:sz w:val="24"/>
          <w:szCs w:val="24"/>
        </w:rPr>
        <w:t>:</w:t>
      </w:r>
      <w:r w:rsidR="002C6519" w:rsidRPr="00BC6240">
        <w:rPr>
          <w:sz w:val="24"/>
          <w:szCs w:val="24"/>
        </w:rPr>
        <w:t xml:space="preserve"> about half of the victims and suspects in offenses causing serious bodily harm were from the non-Jewish sector; about one-third of the victims of serious assault and assault of a publi</w:t>
      </w:r>
      <w:r w:rsidR="00303CDF" w:rsidRPr="00BC6240">
        <w:rPr>
          <w:sz w:val="24"/>
          <w:szCs w:val="24"/>
        </w:rPr>
        <w:t xml:space="preserve">c servant on duty were non-Jews;  three of the weapons offenses with the highest number of </w:t>
      </w:r>
      <w:r w:rsidR="00F21897">
        <w:rPr>
          <w:sz w:val="24"/>
          <w:szCs w:val="24"/>
        </w:rPr>
        <w:t>publicized</w:t>
      </w:r>
      <w:r w:rsidR="00303CDF" w:rsidRPr="00BC6240">
        <w:rPr>
          <w:sz w:val="24"/>
          <w:szCs w:val="24"/>
        </w:rPr>
        <w:t xml:space="preserve"> cases involved the purchase or possession of unlawful weapons; carrying or transporting unlawful weapons; manufacture, import and export of weapons without permission - the proportion of non-Jews in the </w:t>
      </w:r>
      <w:r w:rsidR="00F21897">
        <w:rPr>
          <w:sz w:val="24"/>
          <w:szCs w:val="24"/>
        </w:rPr>
        <w:t>publicized</w:t>
      </w:r>
      <w:r w:rsidR="00303CDF" w:rsidRPr="00BC6240">
        <w:rPr>
          <w:sz w:val="24"/>
          <w:szCs w:val="24"/>
        </w:rPr>
        <w:t xml:space="preserve"> cases ranged </w:t>
      </w:r>
      <w:r w:rsidR="00303CDF" w:rsidRPr="00BC6240">
        <w:rPr>
          <w:sz w:val="24"/>
          <w:szCs w:val="24"/>
        </w:rPr>
        <w:lastRenderedPageBreak/>
        <w:t xml:space="preserve">between 64% and 84%; in charges of neglect of shooting weapons, the proportion of non-Jews in the </w:t>
      </w:r>
      <w:r w:rsidR="00F21897">
        <w:rPr>
          <w:sz w:val="24"/>
          <w:szCs w:val="24"/>
        </w:rPr>
        <w:t>publicized</w:t>
      </w:r>
      <w:r w:rsidR="00303CDF" w:rsidRPr="00BC6240">
        <w:rPr>
          <w:sz w:val="24"/>
          <w:szCs w:val="24"/>
        </w:rPr>
        <w:t xml:space="preserve"> cases was 14%.</w:t>
      </w:r>
    </w:p>
    <w:p w14:paraId="6B47A1DA" w14:textId="77777777" w:rsidR="005F7904" w:rsidRPr="00BC6240" w:rsidRDefault="0051717D" w:rsidP="00624342">
      <w:pPr>
        <w:bidi w:val="0"/>
        <w:spacing w:after="0"/>
        <w:jc w:val="both"/>
        <w:rPr>
          <w:b/>
          <w:bCs/>
          <w:color w:val="1F497D" w:themeColor="text2"/>
          <w:sz w:val="28"/>
          <w:szCs w:val="28"/>
        </w:rPr>
      </w:pPr>
      <w:r w:rsidRPr="00BC6240">
        <w:rPr>
          <w:b/>
          <w:bCs/>
          <w:color w:val="1F497D" w:themeColor="text2"/>
          <w:sz w:val="28"/>
          <w:szCs w:val="28"/>
        </w:rPr>
        <w:t>2</w:t>
      </w:r>
      <w:r w:rsidR="005F7904" w:rsidRPr="00BC6240">
        <w:rPr>
          <w:b/>
          <w:bCs/>
          <w:color w:val="1F497D" w:themeColor="text2"/>
          <w:sz w:val="28"/>
          <w:szCs w:val="28"/>
        </w:rPr>
        <w:t>. Promoting employment among marginalized communities</w:t>
      </w:r>
      <w:r w:rsidR="005F7904" w:rsidRPr="00BC6240">
        <w:rPr>
          <w:rStyle w:val="FootnoteReference"/>
          <w:sz w:val="24"/>
          <w:szCs w:val="24"/>
          <w:rtl/>
        </w:rPr>
        <w:footnoteReference w:id="5"/>
      </w:r>
      <w:r w:rsidR="005F7904" w:rsidRPr="00BC6240">
        <w:rPr>
          <w:b/>
          <w:bCs/>
          <w:color w:val="1F497D" w:themeColor="text2"/>
          <w:sz w:val="28"/>
          <w:szCs w:val="28"/>
          <w:rtl/>
        </w:rPr>
        <w:t xml:space="preserve"> </w:t>
      </w:r>
    </w:p>
    <w:p w14:paraId="36191119" w14:textId="77777777" w:rsidR="00C81148" w:rsidRPr="00BC6240" w:rsidRDefault="00C81148" w:rsidP="00E4195C">
      <w:pPr>
        <w:bidi w:val="0"/>
        <w:spacing w:after="0"/>
        <w:jc w:val="both"/>
        <w:rPr>
          <w:b/>
          <w:bCs/>
          <w:color w:val="1F497D" w:themeColor="text2"/>
          <w:sz w:val="28"/>
          <w:szCs w:val="28"/>
        </w:rPr>
      </w:pPr>
      <w:r w:rsidRPr="00BC6240">
        <w:rPr>
          <w:b/>
          <w:bCs/>
          <w:color w:val="1F497D" w:themeColor="text2"/>
          <w:sz w:val="28"/>
          <w:szCs w:val="28"/>
        </w:rPr>
        <w:t xml:space="preserve">A. The </w:t>
      </w:r>
      <w:r w:rsidR="000D0833" w:rsidRPr="00BC6240">
        <w:rPr>
          <w:b/>
          <w:bCs/>
          <w:color w:val="1F497D" w:themeColor="text2"/>
          <w:sz w:val="28"/>
          <w:szCs w:val="28"/>
        </w:rPr>
        <w:t xml:space="preserve">ultra-Orthodox </w:t>
      </w:r>
      <w:r w:rsidRPr="00BC6240">
        <w:rPr>
          <w:b/>
          <w:bCs/>
          <w:color w:val="1F497D" w:themeColor="text2"/>
          <w:sz w:val="28"/>
          <w:szCs w:val="28"/>
        </w:rPr>
        <w:t>sector</w:t>
      </w:r>
    </w:p>
    <w:p w14:paraId="7AB1AAF2" w14:textId="77777777" w:rsidR="00C81148" w:rsidRPr="00BC6240" w:rsidRDefault="00C81148" w:rsidP="00E4195C">
      <w:pPr>
        <w:bidi w:val="0"/>
        <w:spacing w:after="0"/>
        <w:jc w:val="both"/>
        <w:rPr>
          <w:b/>
          <w:bCs/>
          <w:color w:val="1F497D" w:themeColor="text2"/>
          <w:sz w:val="28"/>
          <w:szCs w:val="28"/>
        </w:rPr>
      </w:pPr>
      <w:r w:rsidRPr="00BC6240">
        <w:rPr>
          <w:b/>
          <w:bCs/>
          <w:color w:val="1F497D" w:themeColor="text2"/>
          <w:sz w:val="28"/>
          <w:szCs w:val="28"/>
        </w:rPr>
        <w:t xml:space="preserve">B. Arab </w:t>
      </w:r>
      <w:r w:rsidR="000D0833" w:rsidRPr="00BC6240">
        <w:rPr>
          <w:b/>
          <w:bCs/>
          <w:color w:val="1F497D" w:themeColor="text2"/>
          <w:sz w:val="28"/>
          <w:szCs w:val="28"/>
        </w:rPr>
        <w:t>society</w:t>
      </w:r>
    </w:p>
    <w:p w14:paraId="0CF7EEF8" w14:textId="77777777" w:rsidR="00C81148" w:rsidRPr="00BC6240" w:rsidRDefault="00C81148" w:rsidP="00E4195C">
      <w:pPr>
        <w:bidi w:val="0"/>
        <w:spacing w:after="0"/>
        <w:jc w:val="both"/>
        <w:rPr>
          <w:b/>
          <w:bCs/>
          <w:color w:val="1F497D" w:themeColor="text2"/>
          <w:sz w:val="28"/>
          <w:szCs w:val="28"/>
        </w:rPr>
      </w:pPr>
      <w:r w:rsidRPr="00BC6240">
        <w:rPr>
          <w:b/>
          <w:bCs/>
          <w:color w:val="1F497D" w:themeColor="text2"/>
          <w:sz w:val="28"/>
          <w:szCs w:val="28"/>
        </w:rPr>
        <w:t>C. Secondary household earners</w:t>
      </w:r>
    </w:p>
    <w:p w14:paraId="1E9746AF" w14:textId="77777777" w:rsidR="00C81148" w:rsidRPr="00BC6240" w:rsidRDefault="00C81148" w:rsidP="00E4195C">
      <w:pPr>
        <w:bidi w:val="0"/>
        <w:spacing w:after="0"/>
        <w:jc w:val="both"/>
        <w:rPr>
          <w:b/>
          <w:bCs/>
          <w:color w:val="1F497D" w:themeColor="text2"/>
          <w:sz w:val="28"/>
          <w:szCs w:val="28"/>
        </w:rPr>
      </w:pPr>
    </w:p>
    <w:p w14:paraId="2C7F6FF5" w14:textId="3895B6BB" w:rsidR="00143479" w:rsidRPr="008754AF" w:rsidRDefault="00143479" w:rsidP="00624342">
      <w:pPr>
        <w:bidi w:val="0"/>
        <w:spacing w:after="0"/>
        <w:rPr>
          <w:sz w:val="24"/>
          <w:szCs w:val="24"/>
          <w:rtl/>
        </w:rPr>
      </w:pPr>
      <w:r w:rsidRPr="008754AF">
        <w:rPr>
          <w:sz w:val="24"/>
          <w:szCs w:val="24"/>
        </w:rPr>
        <w:t xml:space="preserve">The Israeli labor market has </w:t>
      </w:r>
      <w:r w:rsidR="004F745C">
        <w:rPr>
          <w:sz w:val="24"/>
          <w:szCs w:val="24"/>
        </w:rPr>
        <w:t>shown</w:t>
      </w:r>
      <w:r w:rsidRPr="008754AF">
        <w:rPr>
          <w:sz w:val="24"/>
          <w:szCs w:val="24"/>
        </w:rPr>
        <w:t xml:space="preserve"> a positive trend in the past decade: an increase in labor force participation and a concurrent decline in unemployment. In 2013, the employment rate in Israel in the 25-64 age range was 74.5%, compared with the average </w:t>
      </w:r>
      <w:r w:rsidR="006B08B8">
        <w:rPr>
          <w:sz w:val="24"/>
          <w:szCs w:val="24"/>
        </w:rPr>
        <w:t xml:space="preserve">among </w:t>
      </w:r>
      <w:r w:rsidRPr="008754AF">
        <w:rPr>
          <w:sz w:val="24"/>
          <w:szCs w:val="24"/>
        </w:rPr>
        <w:t>OECD countries, which was 71.3%.</w:t>
      </w:r>
      <w:r w:rsidR="000839E6" w:rsidRPr="008754AF">
        <w:rPr>
          <w:sz w:val="24"/>
          <w:szCs w:val="24"/>
        </w:rPr>
        <w:t xml:space="preserve"> Despite the encouraging picture, gaps remain in employment patterns among particular groups in Israel. In 2014, only about 33% of Arab women aged 25-64 were employed, compared to about 71% of all women in this age group. Among men, approximately 45% of ultra-Orthodox men of these ages were employed, a much lower figure than the overall employment rate of men of these ages, which was approximately 83%.</w:t>
      </w:r>
      <w:r w:rsidR="00F20F7A" w:rsidRPr="008754AF">
        <w:rPr>
          <w:sz w:val="24"/>
          <w:szCs w:val="24"/>
        </w:rPr>
        <w:t xml:space="preserve"> In light of demographic developments, by 2059, the ultra-Orthodox and Arab populations are expected to constitute 48% of the population aged 25-64, the primary working years, as compared to 26% today. This process, along with continued disparities in employment patterns among the population groups, could lead to a decline in the overall employment rate in the economy, which would harm growth and increase the incidence of poverty.</w:t>
      </w:r>
    </w:p>
    <w:p w14:paraId="2FF6CF50" w14:textId="77777777" w:rsidR="008754AF" w:rsidRDefault="00F20F7A" w:rsidP="00624342">
      <w:pPr>
        <w:bidi w:val="0"/>
        <w:spacing w:after="0"/>
        <w:rPr>
          <w:rFonts w:cs="Arial"/>
          <w:sz w:val="24"/>
          <w:szCs w:val="24"/>
        </w:rPr>
      </w:pPr>
      <w:r w:rsidRPr="008754AF">
        <w:rPr>
          <w:rFonts w:cs="Arial"/>
          <w:sz w:val="24"/>
          <w:szCs w:val="24"/>
        </w:rPr>
        <w:t xml:space="preserve"> </w:t>
      </w:r>
    </w:p>
    <w:p w14:paraId="2A7C0A94" w14:textId="08DE7096" w:rsidR="00F9266E" w:rsidRPr="008754AF" w:rsidRDefault="00E12FC1" w:rsidP="008754AF">
      <w:pPr>
        <w:bidi w:val="0"/>
        <w:spacing w:after="240"/>
        <w:rPr>
          <w:rFonts w:cs="Arial"/>
          <w:sz w:val="24"/>
          <w:szCs w:val="24"/>
        </w:rPr>
      </w:pPr>
      <w:r w:rsidRPr="008754AF">
        <w:rPr>
          <w:rFonts w:cs="Arial"/>
          <w:sz w:val="24"/>
          <w:szCs w:val="24"/>
          <w:u w:val="single"/>
        </w:rPr>
        <w:t xml:space="preserve">Employment in </w:t>
      </w:r>
      <w:r w:rsidR="0039680E">
        <w:rPr>
          <w:rFonts w:cs="Arial"/>
          <w:sz w:val="24"/>
          <w:szCs w:val="24"/>
          <w:u w:val="single"/>
        </w:rPr>
        <w:t xml:space="preserve">the </w:t>
      </w:r>
      <w:r w:rsidRPr="008754AF">
        <w:rPr>
          <w:rFonts w:cs="Arial"/>
          <w:sz w:val="24"/>
          <w:szCs w:val="24"/>
          <w:u w:val="single"/>
        </w:rPr>
        <w:t xml:space="preserve">Arab </w:t>
      </w:r>
      <w:r w:rsidR="0039680E">
        <w:rPr>
          <w:rFonts w:cs="Arial"/>
          <w:sz w:val="24"/>
          <w:szCs w:val="24"/>
          <w:u w:val="single"/>
        </w:rPr>
        <w:t>sector</w:t>
      </w:r>
      <w:commentRangeStart w:id="8"/>
      <w:r w:rsidR="005C3F28" w:rsidRPr="008754AF">
        <w:rPr>
          <w:rStyle w:val="FootnoteReference"/>
          <w:rFonts w:cs="Arial"/>
          <w:sz w:val="20"/>
          <w:szCs w:val="20"/>
          <w:rtl/>
        </w:rPr>
        <w:footnoteReference w:id="6"/>
      </w:r>
      <w:r w:rsidR="00F9266E" w:rsidRPr="008754AF">
        <w:rPr>
          <w:rFonts w:cs="Arial"/>
          <w:sz w:val="24"/>
          <w:szCs w:val="24"/>
          <w:rtl/>
        </w:rPr>
        <w:t xml:space="preserve"> </w:t>
      </w:r>
      <w:commentRangeEnd w:id="8"/>
      <w:r w:rsidR="007B6949">
        <w:rPr>
          <w:rStyle w:val="CommentReference"/>
        </w:rPr>
        <w:commentReference w:id="8"/>
      </w:r>
    </w:p>
    <w:p w14:paraId="73AE936C" w14:textId="6D757B83" w:rsidR="00C4051D" w:rsidRPr="00BC6240" w:rsidRDefault="00C4051D" w:rsidP="00E4195C">
      <w:pPr>
        <w:bidi w:val="0"/>
        <w:spacing w:after="240"/>
        <w:rPr>
          <w:rFonts w:cs="Arial"/>
          <w:sz w:val="24"/>
          <w:szCs w:val="24"/>
        </w:rPr>
      </w:pPr>
      <w:r w:rsidRPr="00BC6240">
        <w:rPr>
          <w:rFonts w:cs="Arial"/>
          <w:sz w:val="24"/>
          <w:szCs w:val="24"/>
        </w:rPr>
        <w:t xml:space="preserve">The employment rate among Arabs aged 25-64 is 52.7%, compared with 81% among Jews. The rate of Arab participation in the labor force is 55.6%, compared with the corresponding figure for Jews in the labor force, which stands at 85.1%. The negative </w:t>
      </w:r>
      <w:r w:rsidR="00F126A4">
        <w:rPr>
          <w:rFonts w:cs="Arial"/>
          <w:sz w:val="24"/>
          <w:szCs w:val="24"/>
        </w:rPr>
        <w:t>effect</w:t>
      </w:r>
      <w:r w:rsidRPr="00BC6240">
        <w:rPr>
          <w:rFonts w:cs="Arial"/>
          <w:sz w:val="24"/>
          <w:szCs w:val="24"/>
        </w:rPr>
        <w:t xml:space="preserve"> of population growth </w:t>
      </w:r>
      <w:r w:rsidR="00F126A4">
        <w:rPr>
          <w:rFonts w:cs="Arial"/>
          <w:sz w:val="24"/>
          <w:szCs w:val="24"/>
        </w:rPr>
        <w:t>alongside differing</w:t>
      </w:r>
      <w:r w:rsidRPr="00BC6240">
        <w:rPr>
          <w:rFonts w:cs="Arial"/>
          <w:sz w:val="24"/>
          <w:szCs w:val="24"/>
        </w:rPr>
        <w:t xml:space="preserve"> proportions in labor force participation is </w:t>
      </w:r>
      <w:proofErr w:type="gramStart"/>
      <w:r w:rsidRPr="00BC6240">
        <w:rPr>
          <w:rFonts w:cs="Arial"/>
          <w:sz w:val="24"/>
          <w:szCs w:val="24"/>
        </w:rPr>
        <w:t>clear, and</w:t>
      </w:r>
      <w:proofErr w:type="gramEnd"/>
      <w:r w:rsidRPr="00BC6240">
        <w:rPr>
          <w:rFonts w:cs="Arial"/>
          <w:sz w:val="24"/>
          <w:szCs w:val="24"/>
        </w:rPr>
        <w:t xml:space="preserve"> </w:t>
      </w:r>
      <w:r w:rsidR="00B70EA9">
        <w:rPr>
          <w:rFonts w:cs="Arial"/>
          <w:sz w:val="24"/>
          <w:szCs w:val="24"/>
        </w:rPr>
        <w:t xml:space="preserve">impacts </w:t>
      </w:r>
      <w:r w:rsidRPr="00BC6240">
        <w:rPr>
          <w:rFonts w:cs="Arial"/>
          <w:sz w:val="24"/>
          <w:szCs w:val="24"/>
        </w:rPr>
        <w:t>the entire Israeli economy</w:t>
      </w:r>
      <w:r w:rsidR="00102850">
        <w:rPr>
          <w:rFonts w:cs="Arial"/>
          <w:sz w:val="24"/>
          <w:szCs w:val="24"/>
        </w:rPr>
        <w:t xml:space="preserve"> both now and in the future</w:t>
      </w:r>
      <w:r w:rsidRPr="00BC6240">
        <w:rPr>
          <w:rFonts w:cs="Arial"/>
          <w:sz w:val="24"/>
          <w:szCs w:val="24"/>
        </w:rPr>
        <w:t>. However, in recent years</w:t>
      </w:r>
      <w:r w:rsidR="00452AFA">
        <w:rPr>
          <w:rFonts w:cs="Arial"/>
          <w:sz w:val="24"/>
          <w:szCs w:val="24"/>
        </w:rPr>
        <w:t>,</w:t>
      </w:r>
      <w:r w:rsidRPr="00BC6240">
        <w:rPr>
          <w:rFonts w:cs="Arial"/>
          <w:sz w:val="24"/>
          <w:szCs w:val="24"/>
        </w:rPr>
        <w:t xml:space="preserve"> employment rates have been rising among both young people and women in Arab society.</w:t>
      </w:r>
    </w:p>
    <w:p w14:paraId="0B5A9744" w14:textId="3D188703" w:rsidR="008A17ED" w:rsidRPr="00BC6240" w:rsidRDefault="008A17ED" w:rsidP="00E4195C">
      <w:pPr>
        <w:bidi w:val="0"/>
        <w:spacing w:after="240"/>
        <w:rPr>
          <w:rFonts w:cs="Arial"/>
          <w:sz w:val="24"/>
          <w:szCs w:val="24"/>
        </w:rPr>
      </w:pPr>
      <w:r w:rsidRPr="00BC6240">
        <w:rPr>
          <w:rFonts w:cs="Arial"/>
          <w:sz w:val="24"/>
          <w:szCs w:val="24"/>
        </w:rPr>
        <w:t xml:space="preserve">Sources of employment in Arab communities tend to be industry-specific. As of 2013, the majority of Arab men (58%) worked in three industries - construction, industry, and commerce. This </w:t>
      </w:r>
      <w:r w:rsidR="00452AFA">
        <w:rPr>
          <w:rFonts w:cs="Arial"/>
          <w:sz w:val="24"/>
          <w:szCs w:val="24"/>
        </w:rPr>
        <w:t>contrasts</w:t>
      </w:r>
      <w:r w:rsidRPr="00BC6240">
        <w:rPr>
          <w:rFonts w:cs="Arial"/>
          <w:sz w:val="24"/>
          <w:szCs w:val="24"/>
        </w:rPr>
        <w:t xml:space="preserve"> with the majority of Jewish men who worked </w:t>
      </w:r>
      <w:r w:rsidRPr="00BC6240">
        <w:rPr>
          <w:rFonts w:cs="Arial"/>
          <w:sz w:val="24"/>
          <w:szCs w:val="24"/>
        </w:rPr>
        <w:lastRenderedPageBreak/>
        <w:t xml:space="preserve">in industry, business services, public administration, transportation, and communications (57%). </w:t>
      </w:r>
      <w:commentRangeStart w:id="9"/>
      <w:r w:rsidRPr="00BC6240">
        <w:rPr>
          <w:rFonts w:cs="Arial"/>
          <w:sz w:val="24"/>
          <w:szCs w:val="24"/>
        </w:rPr>
        <w:t xml:space="preserve">The majority of </w:t>
      </w:r>
      <w:r w:rsidR="00C26CE5">
        <w:rPr>
          <w:rFonts w:cs="Arial"/>
          <w:sz w:val="24"/>
          <w:szCs w:val="24"/>
        </w:rPr>
        <w:t xml:space="preserve">employed </w:t>
      </w:r>
      <w:r w:rsidRPr="00BC6240">
        <w:rPr>
          <w:rFonts w:cs="Arial"/>
          <w:sz w:val="24"/>
          <w:szCs w:val="24"/>
        </w:rPr>
        <w:t>Arab women (70%) worked in a number of industries - education, health care, welfare and social services, and commerce, in comparison to Jewish women, who worked in education, health care, welfare and social services, business services, and commerce (68%).</w:t>
      </w:r>
      <w:commentRangeEnd w:id="9"/>
      <w:r w:rsidR="00C26CE5">
        <w:rPr>
          <w:rStyle w:val="CommentReference"/>
        </w:rPr>
        <w:commentReference w:id="9"/>
      </w:r>
    </w:p>
    <w:p w14:paraId="2D69B717" w14:textId="77777777" w:rsidR="0086012A" w:rsidRPr="00BC6240" w:rsidRDefault="0086012A" w:rsidP="00044B6E">
      <w:pPr>
        <w:bidi w:val="0"/>
        <w:spacing w:after="240"/>
        <w:rPr>
          <w:rFonts w:cs="Arial"/>
          <w:sz w:val="24"/>
          <w:szCs w:val="24"/>
        </w:rPr>
      </w:pPr>
      <w:r w:rsidRPr="00BC6240">
        <w:rPr>
          <w:rFonts w:cs="Arial"/>
          <w:sz w:val="24"/>
          <w:szCs w:val="24"/>
        </w:rPr>
        <w:t xml:space="preserve">The implications of the gaps in education, infrastructure, and employment also lead to poverty. The percentage of poor Arab families </w:t>
      </w:r>
      <w:r w:rsidR="00044B6E">
        <w:rPr>
          <w:rFonts w:cs="Arial"/>
          <w:sz w:val="24"/>
          <w:szCs w:val="24"/>
        </w:rPr>
        <w:t xml:space="preserve">rose </w:t>
      </w:r>
      <w:r w:rsidRPr="00BC6240">
        <w:rPr>
          <w:rFonts w:cs="Arial"/>
          <w:sz w:val="24"/>
          <w:szCs w:val="24"/>
        </w:rPr>
        <w:t>from 51.7% in 2013 to 52.6% in 2014. Moreover, the figures show that 37.4% of the poor in Israel are Arab, while their share of the population is, as mentioned, only slightly more than 20%.</w:t>
      </w:r>
    </w:p>
    <w:p w14:paraId="4BA1A759" w14:textId="77777777" w:rsidR="005C3F28" w:rsidRPr="00BC6240" w:rsidRDefault="007145C4" w:rsidP="00E4195C">
      <w:pPr>
        <w:bidi w:val="0"/>
        <w:spacing w:after="120"/>
        <w:rPr>
          <w:sz w:val="24"/>
          <w:szCs w:val="24"/>
          <w:u w:val="single"/>
        </w:rPr>
      </w:pPr>
      <w:r w:rsidRPr="00BC6240">
        <w:rPr>
          <w:sz w:val="24"/>
          <w:szCs w:val="24"/>
          <w:u w:val="single"/>
        </w:rPr>
        <w:t>Employment among the ultra-</w:t>
      </w:r>
      <w:r w:rsidRPr="00750F99">
        <w:rPr>
          <w:sz w:val="24"/>
          <w:szCs w:val="24"/>
          <w:u w:val="single"/>
        </w:rPr>
        <w:t>Orthodox</w:t>
      </w:r>
      <w:r w:rsidR="005A4EEF" w:rsidRPr="00AE793E">
        <w:rPr>
          <w:rStyle w:val="FootnoteReference"/>
          <w:sz w:val="20"/>
          <w:szCs w:val="20"/>
          <w:rtl/>
        </w:rPr>
        <w:footnoteReference w:id="7"/>
      </w:r>
    </w:p>
    <w:p w14:paraId="139DF1CD" w14:textId="1EBE0687" w:rsidR="002D2A76" w:rsidRPr="00BC6240" w:rsidRDefault="002D2A76" w:rsidP="00E4195C">
      <w:pPr>
        <w:bidi w:val="0"/>
        <w:spacing w:after="120"/>
        <w:rPr>
          <w:rFonts w:cs="Arial"/>
          <w:sz w:val="24"/>
          <w:szCs w:val="24"/>
        </w:rPr>
      </w:pPr>
      <w:r w:rsidRPr="00BC6240">
        <w:rPr>
          <w:rFonts w:cs="Arial"/>
          <w:sz w:val="24"/>
          <w:szCs w:val="24"/>
        </w:rPr>
        <w:t xml:space="preserve">According to the Central Bureau of Statistics, the employment rate of ultra-Orthodox women in the third quarter of 2018 was 75.5% - 12% above the government's employment target for this population. In contrast, the employment rate of ultra-Orthodox men is 47.8%, while their employment target for 2020 is 63%. For both populations, the wage gaps relative to the </w:t>
      </w:r>
      <w:r w:rsidR="00706001">
        <w:rPr>
          <w:rFonts w:cs="Arial"/>
          <w:sz w:val="24"/>
          <w:szCs w:val="24"/>
        </w:rPr>
        <w:t xml:space="preserve">overall </w:t>
      </w:r>
      <w:r w:rsidRPr="00BC6240">
        <w:rPr>
          <w:rFonts w:cs="Arial"/>
          <w:sz w:val="24"/>
          <w:szCs w:val="24"/>
        </w:rPr>
        <w:t>Jewish population in Israel are still high:</w:t>
      </w:r>
      <w:r w:rsidR="007623B1" w:rsidRPr="00BC6240">
        <w:rPr>
          <w:rFonts w:cs="Arial"/>
          <w:sz w:val="24"/>
          <w:szCs w:val="24"/>
        </w:rPr>
        <w:t xml:space="preserve"> In 2016, the average monthly salary and average hourly gross wage for all ages in the 25-64 range were NIS 11,068 and NIS 63.2 respectively: 48.7% </w:t>
      </w:r>
      <w:r w:rsidR="00740FB2">
        <w:rPr>
          <w:rFonts w:cs="Arial"/>
          <w:sz w:val="24"/>
          <w:szCs w:val="24"/>
        </w:rPr>
        <w:t xml:space="preserve">and 18.6% higher, respectively, than the averages in the </w:t>
      </w:r>
      <w:r w:rsidR="007623B1" w:rsidRPr="00BC6240">
        <w:rPr>
          <w:rFonts w:cs="Arial"/>
          <w:sz w:val="24"/>
          <w:szCs w:val="24"/>
        </w:rPr>
        <w:t xml:space="preserve">ultra-Orthodox population, which </w:t>
      </w:r>
      <w:r w:rsidR="00740FB2">
        <w:rPr>
          <w:rFonts w:cs="Arial"/>
          <w:sz w:val="24"/>
          <w:szCs w:val="24"/>
        </w:rPr>
        <w:t>stood at</w:t>
      </w:r>
      <w:r w:rsidR="007623B1" w:rsidRPr="00BC6240">
        <w:rPr>
          <w:rFonts w:cs="Arial"/>
          <w:sz w:val="24"/>
          <w:szCs w:val="24"/>
        </w:rPr>
        <w:t xml:space="preserve"> NIS 7,443 per month and NIS 53.3 per hour. The average monthly wage and average hourly gross income of all men aged 25 to 64 were 60.1% and 30.5% higher than for ultra-Orthodox men; the average monthly salary and average hourly gross income of all women aged 25 to 64 </w:t>
      </w:r>
      <w:r w:rsidR="00315155">
        <w:rPr>
          <w:rFonts w:cs="Arial"/>
          <w:sz w:val="24"/>
          <w:szCs w:val="24"/>
        </w:rPr>
        <w:t>were</w:t>
      </w:r>
      <w:r w:rsidR="007623B1" w:rsidRPr="00BC6240">
        <w:rPr>
          <w:rFonts w:cs="Arial"/>
          <w:sz w:val="24"/>
          <w:szCs w:val="24"/>
        </w:rPr>
        <w:t xml:space="preserve"> 29.3% and 3.7% higher, respectively, than for ultra-Orthodox women.</w:t>
      </w:r>
    </w:p>
    <w:p w14:paraId="2D52119A" w14:textId="77777777" w:rsidR="00750F99" w:rsidRDefault="00750F99" w:rsidP="00750F99">
      <w:pPr>
        <w:bidi w:val="0"/>
        <w:spacing w:after="0"/>
        <w:rPr>
          <w:sz w:val="24"/>
          <w:szCs w:val="24"/>
          <w:u w:val="single"/>
        </w:rPr>
      </w:pPr>
    </w:p>
    <w:p w14:paraId="407A0967" w14:textId="77777777" w:rsidR="005A4EEF" w:rsidRPr="00BC6240" w:rsidRDefault="00F63077" w:rsidP="00750F99">
      <w:pPr>
        <w:bidi w:val="0"/>
        <w:spacing w:after="120"/>
        <w:rPr>
          <w:sz w:val="24"/>
          <w:szCs w:val="24"/>
          <w:u w:val="single"/>
        </w:rPr>
      </w:pPr>
      <w:r w:rsidRPr="00BC6240">
        <w:rPr>
          <w:sz w:val="24"/>
          <w:szCs w:val="24"/>
          <w:u w:val="single"/>
        </w:rPr>
        <w:t>Employment of secondary household earners</w:t>
      </w:r>
      <w:r w:rsidR="005A4EEF" w:rsidRPr="00AE793E">
        <w:rPr>
          <w:rStyle w:val="FootnoteReference"/>
          <w:rFonts w:cs="Arial"/>
          <w:sz w:val="20"/>
          <w:szCs w:val="20"/>
          <w:rtl/>
        </w:rPr>
        <w:footnoteReference w:id="8"/>
      </w:r>
    </w:p>
    <w:p w14:paraId="24C780B2" w14:textId="12ADD4AD" w:rsidR="006A17F4" w:rsidRPr="00BC6240" w:rsidRDefault="006A17F4" w:rsidP="00E4195C">
      <w:pPr>
        <w:bidi w:val="0"/>
        <w:spacing w:after="120"/>
        <w:rPr>
          <w:sz w:val="24"/>
          <w:szCs w:val="24"/>
          <w:rtl/>
        </w:rPr>
      </w:pPr>
      <w:r w:rsidRPr="00BC6240">
        <w:rPr>
          <w:sz w:val="24"/>
          <w:szCs w:val="24"/>
        </w:rPr>
        <w:t xml:space="preserve">A study conducted by Dr. Michael </w:t>
      </w:r>
      <w:proofErr w:type="spellStart"/>
      <w:r w:rsidRPr="00BC6240">
        <w:rPr>
          <w:sz w:val="24"/>
          <w:szCs w:val="24"/>
        </w:rPr>
        <w:t>Sarel</w:t>
      </w:r>
      <w:proofErr w:type="spellEnd"/>
      <w:r w:rsidRPr="00BC6240">
        <w:rPr>
          <w:sz w:val="24"/>
          <w:szCs w:val="24"/>
        </w:rPr>
        <w:t xml:space="preserve">, former research director at the Ministry of Finance, found that as the number of </w:t>
      </w:r>
      <w:r w:rsidR="00CF4C05">
        <w:rPr>
          <w:sz w:val="24"/>
          <w:szCs w:val="24"/>
        </w:rPr>
        <w:t xml:space="preserve">household </w:t>
      </w:r>
      <w:r w:rsidRPr="00BC6240">
        <w:rPr>
          <w:sz w:val="24"/>
          <w:szCs w:val="24"/>
        </w:rPr>
        <w:t>earners grows, the percentage of poor families declines: the poverty rate in households without earners is 62.3%, compared to 21.8% in households with one earner, and only 2.9%</w:t>
      </w:r>
      <w:r w:rsidR="00C360EA">
        <w:rPr>
          <w:sz w:val="24"/>
          <w:szCs w:val="24"/>
        </w:rPr>
        <w:t xml:space="preserve"> in households</w:t>
      </w:r>
      <w:r w:rsidRPr="00BC6240">
        <w:rPr>
          <w:sz w:val="24"/>
          <w:szCs w:val="24"/>
        </w:rPr>
        <w:t xml:space="preserve"> with two or more earners.</w:t>
      </w:r>
      <w:r w:rsidR="00935C1B" w:rsidRPr="00BC6240">
        <w:rPr>
          <w:sz w:val="24"/>
          <w:szCs w:val="24"/>
        </w:rPr>
        <w:t xml:space="preserve"> The percentage of poor </w:t>
      </w:r>
      <w:r w:rsidR="00C360EA">
        <w:rPr>
          <w:sz w:val="24"/>
          <w:szCs w:val="24"/>
        </w:rPr>
        <w:t>wage-</w:t>
      </w:r>
      <w:r w:rsidR="00935C1B" w:rsidRPr="00BC6240">
        <w:rPr>
          <w:sz w:val="24"/>
          <w:szCs w:val="24"/>
        </w:rPr>
        <w:t xml:space="preserve">earning families with one earner was 20.8%, while in families with two or </w:t>
      </w:r>
      <w:r w:rsidR="00931EDF">
        <w:rPr>
          <w:sz w:val="24"/>
          <w:szCs w:val="24"/>
        </w:rPr>
        <w:t xml:space="preserve">individuals earning a salary, </w:t>
      </w:r>
      <w:r w:rsidR="00935C1B" w:rsidRPr="00BC6240">
        <w:rPr>
          <w:sz w:val="24"/>
          <w:szCs w:val="24"/>
        </w:rPr>
        <w:t xml:space="preserve">the poverty rate dropped to only 2.5%. Among Jewish salaried families with one earner, the percentage of poor families was 12.7%, and with two or more earners - only 1.7%, </w:t>
      </w:r>
      <w:r w:rsidR="00835BCF" w:rsidRPr="00BC6240">
        <w:rPr>
          <w:sz w:val="24"/>
          <w:szCs w:val="24"/>
        </w:rPr>
        <w:t xml:space="preserve">accounting for </w:t>
      </w:r>
      <w:r w:rsidR="00935C1B" w:rsidRPr="00BC6240">
        <w:rPr>
          <w:sz w:val="24"/>
          <w:szCs w:val="24"/>
        </w:rPr>
        <w:t xml:space="preserve">statistical </w:t>
      </w:r>
      <w:r w:rsidR="00835BCF" w:rsidRPr="00BC6240">
        <w:rPr>
          <w:sz w:val="24"/>
          <w:szCs w:val="24"/>
        </w:rPr>
        <w:t>variance</w:t>
      </w:r>
      <w:r w:rsidR="00935C1B" w:rsidRPr="00BC6240">
        <w:rPr>
          <w:sz w:val="24"/>
          <w:szCs w:val="24"/>
        </w:rPr>
        <w:t>.</w:t>
      </w:r>
    </w:p>
    <w:p w14:paraId="14A1030F" w14:textId="77777777" w:rsidR="005F24C0" w:rsidRPr="00BC6240" w:rsidRDefault="005F24C0" w:rsidP="00E4195C">
      <w:pPr>
        <w:bidi w:val="0"/>
        <w:spacing w:after="120"/>
        <w:rPr>
          <w:sz w:val="24"/>
          <w:szCs w:val="24"/>
          <w:rtl/>
        </w:rPr>
      </w:pPr>
      <w:r w:rsidRPr="00BC6240">
        <w:rPr>
          <w:sz w:val="24"/>
          <w:szCs w:val="24"/>
        </w:rPr>
        <w:lastRenderedPageBreak/>
        <w:t>In ultra-Orthodox families with one earner, the poverty rate reached 47.6%, due to a low level of earning, but the poverty rate dropped to only 9.6% with two earners. In Arab families, the poverty rate with one earner was highest in the Israeli economy - 48.1%; that rate dropped to 10.6% with two or more earners.</w:t>
      </w:r>
    </w:p>
    <w:p w14:paraId="7FFF1A7B" w14:textId="77777777" w:rsidR="008C3AD0" w:rsidRPr="008B1017" w:rsidRDefault="008B1017" w:rsidP="008B1017">
      <w:pPr>
        <w:bidi w:val="0"/>
        <w:spacing w:after="0"/>
        <w:rPr>
          <w:b/>
          <w:bCs/>
          <w:color w:val="1F497D" w:themeColor="text2"/>
          <w:sz w:val="28"/>
          <w:szCs w:val="28"/>
        </w:rPr>
      </w:pPr>
      <w:r>
        <w:rPr>
          <w:b/>
          <w:bCs/>
          <w:color w:val="1F497D" w:themeColor="text2"/>
          <w:sz w:val="28"/>
          <w:szCs w:val="28"/>
        </w:rPr>
        <w:t xml:space="preserve">3. </w:t>
      </w:r>
      <w:r w:rsidR="008C3AD0" w:rsidRPr="008B1017">
        <w:rPr>
          <w:b/>
          <w:bCs/>
          <w:color w:val="1F497D" w:themeColor="text2"/>
          <w:sz w:val="28"/>
          <w:szCs w:val="28"/>
        </w:rPr>
        <w:t>Reducing poverty rates in Israel</w:t>
      </w:r>
      <w:r w:rsidR="008C3AD0" w:rsidRPr="00BC6240">
        <w:rPr>
          <w:rStyle w:val="FootnoteReference"/>
          <w:b/>
          <w:bCs/>
          <w:color w:val="1F497D" w:themeColor="text2"/>
          <w:sz w:val="20"/>
          <w:szCs w:val="20"/>
          <w:rtl/>
        </w:rPr>
        <w:footnoteReference w:id="9"/>
      </w:r>
    </w:p>
    <w:p w14:paraId="78A7DE2F" w14:textId="77777777" w:rsidR="008C3AD0" w:rsidRPr="00BC6240" w:rsidRDefault="008C3AD0" w:rsidP="00E4195C">
      <w:pPr>
        <w:pStyle w:val="ListParagraph"/>
        <w:bidi w:val="0"/>
        <w:spacing w:after="240" w:line="276" w:lineRule="auto"/>
        <w:ind w:left="360"/>
        <w:rPr>
          <w:b/>
          <w:bCs/>
          <w:color w:val="1F497D" w:themeColor="text2"/>
          <w:sz w:val="28"/>
          <w:szCs w:val="28"/>
        </w:rPr>
      </w:pPr>
      <w:r w:rsidRPr="00BC6240">
        <w:rPr>
          <w:b/>
          <w:bCs/>
          <w:color w:val="1F497D" w:themeColor="text2"/>
          <w:sz w:val="28"/>
          <w:szCs w:val="28"/>
        </w:rPr>
        <w:t>A. Poor children / poor families</w:t>
      </w:r>
    </w:p>
    <w:p w14:paraId="5B03BADE" w14:textId="77777777" w:rsidR="008C3AD0" w:rsidRPr="00BC6240" w:rsidRDefault="008C3AD0" w:rsidP="00E4195C">
      <w:pPr>
        <w:pStyle w:val="ListParagraph"/>
        <w:bidi w:val="0"/>
        <w:spacing w:after="240" w:line="276" w:lineRule="auto"/>
        <w:ind w:left="360"/>
        <w:rPr>
          <w:b/>
          <w:bCs/>
          <w:color w:val="1F497D" w:themeColor="text2"/>
          <w:sz w:val="28"/>
          <w:szCs w:val="28"/>
          <w:rtl/>
        </w:rPr>
      </w:pPr>
      <w:r w:rsidRPr="00BC6240">
        <w:rPr>
          <w:b/>
          <w:bCs/>
          <w:color w:val="1F497D" w:themeColor="text2"/>
          <w:sz w:val="28"/>
          <w:szCs w:val="28"/>
        </w:rPr>
        <w:t>B. The working poor</w:t>
      </w:r>
    </w:p>
    <w:p w14:paraId="3924B1FD" w14:textId="77777777" w:rsidR="00566207" w:rsidRPr="0023302B" w:rsidRDefault="00566207" w:rsidP="000F3023">
      <w:pPr>
        <w:bidi w:val="0"/>
        <w:spacing w:after="240"/>
        <w:rPr>
          <w:sz w:val="24"/>
          <w:szCs w:val="24"/>
        </w:rPr>
      </w:pPr>
      <w:r w:rsidRPr="0023302B">
        <w:rPr>
          <w:sz w:val="24"/>
          <w:szCs w:val="24"/>
        </w:rPr>
        <w:t xml:space="preserve">A study based on </w:t>
      </w:r>
      <w:r w:rsidR="000F3023">
        <w:rPr>
          <w:sz w:val="24"/>
          <w:szCs w:val="24"/>
        </w:rPr>
        <w:t xml:space="preserve">National Insurance </w:t>
      </w:r>
      <w:r w:rsidRPr="0023302B">
        <w:rPr>
          <w:sz w:val="24"/>
          <w:szCs w:val="24"/>
        </w:rPr>
        <w:t>data shows that in Israel today there are 189,000 poor families with a single earner and 67,000 poor families with two earners. The percentage of poor families rose from 9.4% in 1999 to 13.3% in 2015. The number of poor families with a single earner was 105,000 in 1999, while in 2015 it was 189,000. In 1999, the number of poor families with two earners was 13,000, while in 2015 it rose to 66,000.</w:t>
      </w:r>
      <w:r w:rsidR="00DF7CB9" w:rsidRPr="0023302B">
        <w:rPr>
          <w:sz w:val="24"/>
          <w:szCs w:val="24"/>
        </w:rPr>
        <w:t xml:space="preserve"> While the Consumer Price Index has climbed 24% over the past decade, average monthly wages rose by only 5.9% during that period, and the minimum wage climbed only 10.5%. In other words, the cost of living has risen, but salaries have risen far less. A family considered poor is made up of parents with three children, where both parents work and their combined wages amount to less than NIS 9,475 a month.</w:t>
      </w:r>
    </w:p>
    <w:p w14:paraId="4FCCFA7F" w14:textId="77777777" w:rsidR="003620F4" w:rsidRPr="00837A9B" w:rsidRDefault="003620F4" w:rsidP="00030BDA">
      <w:pPr>
        <w:bidi w:val="0"/>
        <w:spacing w:after="240"/>
        <w:rPr>
          <w:sz w:val="24"/>
          <w:szCs w:val="24"/>
        </w:rPr>
      </w:pPr>
      <w:r w:rsidRPr="00837A9B">
        <w:rPr>
          <w:sz w:val="24"/>
          <w:szCs w:val="24"/>
        </w:rPr>
        <w:t xml:space="preserve">According to data from the </w:t>
      </w:r>
      <w:r w:rsidR="00030BDA">
        <w:rPr>
          <w:sz w:val="24"/>
          <w:szCs w:val="24"/>
        </w:rPr>
        <w:t xml:space="preserve">National Council for the </w:t>
      </w:r>
      <w:r w:rsidRPr="00837A9B">
        <w:rPr>
          <w:sz w:val="24"/>
          <w:szCs w:val="24"/>
        </w:rPr>
        <w:t>Child, in 2016, 10% of children in Israel reported that they were going to bed hungry. In 2015, there were 839,377 children living in poverty (including East Jerusalem), and 30% of children lived below the poverty line - four times the number in 1980. Arab children are poorer: In 2015, 65.6% of them lived below the poverty line, compared to 19.8% of Jewish children.</w:t>
      </w:r>
    </w:p>
    <w:p w14:paraId="05B2ADD6" w14:textId="77777777" w:rsidR="000F6327" w:rsidRPr="00BC6240" w:rsidRDefault="00F76348" w:rsidP="00F76348">
      <w:pPr>
        <w:bidi w:val="0"/>
        <w:spacing w:after="0"/>
        <w:rPr>
          <w:b/>
          <w:bCs/>
          <w:color w:val="1F497D" w:themeColor="text2"/>
          <w:sz w:val="28"/>
          <w:szCs w:val="28"/>
        </w:rPr>
      </w:pPr>
      <w:r>
        <w:rPr>
          <w:b/>
          <w:bCs/>
          <w:color w:val="1F497D" w:themeColor="text2"/>
          <w:sz w:val="28"/>
          <w:szCs w:val="28"/>
        </w:rPr>
        <w:t>4</w:t>
      </w:r>
      <w:r w:rsidR="000F6327" w:rsidRPr="00BC6240">
        <w:rPr>
          <w:b/>
          <w:bCs/>
          <w:color w:val="1F497D" w:themeColor="text2"/>
          <w:sz w:val="28"/>
          <w:szCs w:val="28"/>
        </w:rPr>
        <w:t>. Promoting quality of life and health for senior citizens</w:t>
      </w:r>
      <w:r w:rsidR="000F6327" w:rsidRPr="00BC6240">
        <w:rPr>
          <w:rStyle w:val="FootnoteReference"/>
          <w:b/>
          <w:bCs/>
          <w:color w:val="1F497D" w:themeColor="text2"/>
          <w:sz w:val="20"/>
          <w:szCs w:val="20"/>
          <w:rtl/>
        </w:rPr>
        <w:footnoteReference w:id="10"/>
      </w:r>
    </w:p>
    <w:p w14:paraId="32C39A19" w14:textId="165AC636" w:rsidR="000F6327" w:rsidRPr="00BC6240" w:rsidRDefault="000F6327" w:rsidP="00E4195C">
      <w:pPr>
        <w:pStyle w:val="ListParagraph"/>
        <w:bidi w:val="0"/>
        <w:spacing w:after="120" w:line="276" w:lineRule="auto"/>
        <w:ind w:left="360"/>
        <w:rPr>
          <w:b/>
          <w:bCs/>
          <w:color w:val="1F497D" w:themeColor="text2"/>
          <w:sz w:val="28"/>
          <w:szCs w:val="28"/>
        </w:rPr>
      </w:pPr>
      <w:r w:rsidRPr="00BC6240">
        <w:rPr>
          <w:b/>
          <w:bCs/>
          <w:color w:val="1F497D" w:themeColor="text2"/>
          <w:sz w:val="28"/>
          <w:szCs w:val="28"/>
        </w:rPr>
        <w:t xml:space="preserve">A. </w:t>
      </w:r>
      <w:r w:rsidR="00103EC6">
        <w:rPr>
          <w:b/>
          <w:bCs/>
          <w:color w:val="1F497D" w:themeColor="text2"/>
          <w:sz w:val="28"/>
          <w:szCs w:val="28"/>
        </w:rPr>
        <w:t>Alleviating</w:t>
      </w:r>
      <w:r w:rsidRPr="00BC6240">
        <w:rPr>
          <w:b/>
          <w:bCs/>
          <w:color w:val="1F497D" w:themeColor="text2"/>
          <w:sz w:val="28"/>
          <w:szCs w:val="28"/>
        </w:rPr>
        <w:t xml:space="preserve"> loneliness </w:t>
      </w:r>
    </w:p>
    <w:p w14:paraId="14FB8322" w14:textId="77777777" w:rsidR="000F6327" w:rsidRPr="00BC6240" w:rsidRDefault="000F6327" w:rsidP="00E4195C">
      <w:pPr>
        <w:pStyle w:val="ListParagraph"/>
        <w:bidi w:val="0"/>
        <w:spacing w:after="120" w:line="276" w:lineRule="auto"/>
        <w:ind w:left="360"/>
        <w:contextualSpacing w:val="0"/>
        <w:rPr>
          <w:b/>
          <w:bCs/>
          <w:color w:val="1F497D" w:themeColor="text2"/>
          <w:sz w:val="28"/>
          <w:szCs w:val="28"/>
        </w:rPr>
      </w:pPr>
      <w:r w:rsidRPr="00BC6240">
        <w:rPr>
          <w:b/>
          <w:bCs/>
          <w:color w:val="1F497D" w:themeColor="text2"/>
          <w:sz w:val="28"/>
          <w:szCs w:val="28"/>
        </w:rPr>
        <w:t>B. Claiming rights and services</w:t>
      </w:r>
    </w:p>
    <w:p w14:paraId="0FE25EDC" w14:textId="749F5A9C" w:rsidR="00FE79D9" w:rsidRPr="00BC6240" w:rsidRDefault="00FE79D9" w:rsidP="00553EE3">
      <w:pPr>
        <w:bidi w:val="0"/>
        <w:spacing w:after="240"/>
        <w:rPr>
          <w:sz w:val="24"/>
          <w:szCs w:val="24"/>
        </w:rPr>
      </w:pPr>
      <w:r w:rsidRPr="00BC6240">
        <w:rPr>
          <w:sz w:val="24"/>
          <w:szCs w:val="24"/>
        </w:rPr>
        <w:t xml:space="preserve">While life expectancy is growing, </w:t>
      </w:r>
      <w:r w:rsidR="00232ED6">
        <w:rPr>
          <w:sz w:val="24"/>
          <w:szCs w:val="24"/>
        </w:rPr>
        <w:t>this trend</w:t>
      </w:r>
      <w:r w:rsidRPr="00BC6240">
        <w:rPr>
          <w:sz w:val="24"/>
          <w:szCs w:val="24"/>
        </w:rPr>
        <w:t xml:space="preserve"> is accompanied by a number of social and economic challenges. These include impaired economic performance due to the increase of non-workers, frequent morbidity, and multiple falls in old age requiring </w:t>
      </w:r>
      <w:r w:rsidRPr="00BC6240">
        <w:rPr>
          <w:sz w:val="24"/>
          <w:szCs w:val="24"/>
        </w:rPr>
        <w:lastRenderedPageBreak/>
        <w:t xml:space="preserve">assistance and even hospitalization. There is a concern about the inadequacy of the number of nurses to meet the needs of disabled patients and the resources they </w:t>
      </w:r>
      <w:r w:rsidR="00335A80">
        <w:rPr>
          <w:sz w:val="24"/>
          <w:szCs w:val="24"/>
        </w:rPr>
        <w:t>require</w:t>
      </w:r>
      <w:r w:rsidRPr="00BC6240">
        <w:rPr>
          <w:sz w:val="24"/>
          <w:szCs w:val="24"/>
        </w:rPr>
        <w:t xml:space="preserve">. Many seniors suffer from loneliness and depression and are </w:t>
      </w:r>
      <w:r w:rsidR="00A93743">
        <w:rPr>
          <w:sz w:val="24"/>
          <w:szCs w:val="24"/>
        </w:rPr>
        <w:t>lack</w:t>
      </w:r>
      <w:r w:rsidRPr="00BC6240">
        <w:rPr>
          <w:sz w:val="24"/>
          <w:szCs w:val="24"/>
        </w:rPr>
        <w:t xml:space="preserve"> a social safety net</w:t>
      </w:r>
      <w:r w:rsidR="00A93743">
        <w:rPr>
          <w:sz w:val="24"/>
          <w:szCs w:val="24"/>
        </w:rPr>
        <w:t>.</w:t>
      </w:r>
      <w:r w:rsidRPr="00BC6240">
        <w:rPr>
          <w:sz w:val="24"/>
          <w:szCs w:val="24"/>
        </w:rPr>
        <w:t xml:space="preserve"> </w:t>
      </w:r>
      <w:r w:rsidR="00A93743">
        <w:rPr>
          <w:sz w:val="24"/>
          <w:szCs w:val="24"/>
        </w:rPr>
        <w:t>A</w:t>
      </w:r>
      <w:r w:rsidRPr="00BC6240">
        <w:rPr>
          <w:sz w:val="24"/>
          <w:szCs w:val="24"/>
        </w:rPr>
        <w:t xml:space="preserve">ll of </w:t>
      </w:r>
      <w:r w:rsidR="00A93743">
        <w:rPr>
          <w:sz w:val="24"/>
          <w:szCs w:val="24"/>
        </w:rPr>
        <w:t>this</w:t>
      </w:r>
      <w:r w:rsidRPr="00BC6240">
        <w:rPr>
          <w:sz w:val="24"/>
          <w:szCs w:val="24"/>
        </w:rPr>
        <w:t xml:space="preserve"> increase</w:t>
      </w:r>
      <w:r w:rsidR="00A93743">
        <w:rPr>
          <w:sz w:val="24"/>
          <w:szCs w:val="24"/>
        </w:rPr>
        <w:t>s</w:t>
      </w:r>
      <w:r w:rsidRPr="00BC6240">
        <w:rPr>
          <w:sz w:val="24"/>
          <w:szCs w:val="24"/>
        </w:rPr>
        <w:t xml:space="preserve"> the burden on </w:t>
      </w:r>
      <w:r w:rsidR="00CB3C13">
        <w:rPr>
          <w:sz w:val="24"/>
          <w:szCs w:val="24"/>
        </w:rPr>
        <w:t xml:space="preserve">the </w:t>
      </w:r>
      <w:r w:rsidRPr="00BC6240">
        <w:rPr>
          <w:sz w:val="24"/>
          <w:szCs w:val="24"/>
        </w:rPr>
        <w:t>social and health care systems.</w:t>
      </w:r>
    </w:p>
    <w:p w14:paraId="7A5DD78A" w14:textId="47F3F45E" w:rsidR="00836CD4" w:rsidRPr="00BC6240" w:rsidRDefault="00836CD4" w:rsidP="00E4195C">
      <w:pPr>
        <w:bidi w:val="0"/>
        <w:spacing w:after="240"/>
        <w:jc w:val="both"/>
        <w:rPr>
          <w:rFonts w:cs="Arial"/>
          <w:sz w:val="24"/>
          <w:szCs w:val="24"/>
        </w:rPr>
      </w:pPr>
      <w:r w:rsidRPr="00BC6240">
        <w:rPr>
          <w:rFonts w:cs="Arial"/>
          <w:sz w:val="24"/>
          <w:szCs w:val="24"/>
        </w:rPr>
        <w:t xml:space="preserve">The number of people aged 65 and over in Israel today is approximately 940,000, accounting for about 11% of the population. By 2035, this population group is expected to grow significantly, reaching an order of 1.66 million people. Already, it is a very significant force in the Israeli economy and its accelerated growth is expected to have a significant impact on it, and of course on the quality of life of these individuals and of their family members. The proportion of senior citizens in Israel (women over 60 and men over 65) who are below the poverty line after welfare payments and taxes is 21%: </w:t>
      </w:r>
      <w:r w:rsidR="007C667E">
        <w:rPr>
          <w:rFonts w:cs="Arial"/>
          <w:sz w:val="24"/>
          <w:szCs w:val="24"/>
        </w:rPr>
        <w:t xml:space="preserve">this is </w:t>
      </w:r>
      <w:r w:rsidRPr="00BC6240">
        <w:rPr>
          <w:rFonts w:cs="Arial"/>
          <w:b/>
          <w:bCs/>
          <w:sz w:val="24"/>
          <w:szCs w:val="24"/>
        </w:rPr>
        <w:t xml:space="preserve">the highest rate </w:t>
      </w:r>
      <w:r w:rsidR="00004030">
        <w:rPr>
          <w:rFonts w:cs="Arial"/>
          <w:b/>
          <w:bCs/>
          <w:sz w:val="24"/>
          <w:szCs w:val="24"/>
        </w:rPr>
        <w:t>among</w:t>
      </w:r>
      <w:r w:rsidRPr="00BC6240">
        <w:rPr>
          <w:rFonts w:cs="Arial"/>
          <w:b/>
          <w:bCs/>
          <w:sz w:val="24"/>
          <w:szCs w:val="24"/>
        </w:rPr>
        <w:t xml:space="preserve"> OECD countries</w:t>
      </w:r>
      <w:r w:rsidRPr="00BC6240">
        <w:rPr>
          <w:rFonts w:cs="Arial"/>
          <w:sz w:val="24"/>
          <w:szCs w:val="24"/>
        </w:rPr>
        <w:t>.</w:t>
      </w:r>
    </w:p>
    <w:p w14:paraId="7D22BD1E" w14:textId="0CC50A62" w:rsidR="00836CD4" w:rsidRPr="00BC6240" w:rsidRDefault="00836CD4" w:rsidP="00E4195C">
      <w:pPr>
        <w:bidi w:val="0"/>
        <w:spacing w:after="240"/>
        <w:jc w:val="both"/>
        <w:rPr>
          <w:rFonts w:cs="Arial"/>
          <w:sz w:val="24"/>
          <w:szCs w:val="24"/>
        </w:rPr>
      </w:pPr>
      <w:r w:rsidRPr="00BC6240">
        <w:rPr>
          <w:rFonts w:cs="Arial"/>
          <w:sz w:val="24"/>
          <w:szCs w:val="24"/>
        </w:rPr>
        <w:t xml:space="preserve">While retirement age marks a landmark in the career and life of senior citizens, in practice when they reach that age, they are generally expelled from the world of employment. At this point in their lives, big changes are expected: There is greater concern for their health at an advanced age; the search for purpose and new goals takes center stage; and sometimes changes occur in social life and interpersonal relationships to which they have become accustomed. Many older citizens have difficulty coping with the new reality, which from an economic standpoint often leads to a sharp decline in the quality of life and in related socio-economic </w:t>
      </w:r>
      <w:r w:rsidR="007417E4">
        <w:rPr>
          <w:rFonts w:cs="Arial"/>
          <w:sz w:val="24"/>
          <w:szCs w:val="24"/>
        </w:rPr>
        <w:t>conditions</w:t>
      </w:r>
      <w:r w:rsidRPr="00BC6240">
        <w:rPr>
          <w:rFonts w:cs="Arial"/>
          <w:sz w:val="24"/>
          <w:szCs w:val="24"/>
        </w:rPr>
        <w:t>. Sometimes, the new reality can impair the ability of older citizens to subsist adequately.</w:t>
      </w:r>
    </w:p>
    <w:p w14:paraId="38BE2EFF" w14:textId="07265F34" w:rsidR="00836CD4" w:rsidRPr="00BC6240" w:rsidRDefault="00836CD4" w:rsidP="00E4195C">
      <w:pPr>
        <w:bidi w:val="0"/>
        <w:spacing w:after="240"/>
        <w:jc w:val="both"/>
        <w:rPr>
          <w:rFonts w:cs="Arial"/>
          <w:sz w:val="24"/>
          <w:szCs w:val="24"/>
        </w:rPr>
      </w:pPr>
      <w:r w:rsidRPr="00BC6240">
        <w:rPr>
          <w:rFonts w:cs="Arial"/>
          <w:sz w:val="24"/>
          <w:szCs w:val="24"/>
        </w:rPr>
        <w:t xml:space="preserve">The data shows that there is a shortage of geriatric nursing beds. According to the Ministry of Health, they have been in decline since the mid-2000s, and approximately 1,000 in-patient hospital beds must be built to keep up with the expected demand. According to the Association of Nursing Homes, as of February 2017, </w:t>
      </w:r>
      <w:r w:rsidR="00E01A40">
        <w:rPr>
          <w:rFonts w:cs="Arial"/>
          <w:sz w:val="24"/>
          <w:szCs w:val="24"/>
        </w:rPr>
        <w:t xml:space="preserve">there is a shortage of approximately </w:t>
      </w:r>
      <w:r w:rsidRPr="00BC6240">
        <w:rPr>
          <w:rFonts w:cs="Arial"/>
          <w:sz w:val="24"/>
          <w:szCs w:val="24"/>
        </w:rPr>
        <w:t>6,000 caregivers, with the shortage rising by about 880 caregivers per year. According to the Taub Institute, the contribution of the elderly population to the deficit index will increase from 16% in 2015 to 23% in 2035. Social Security benefits are not generally sufficient and, according to social organizations, 65% of seniors rely on private long-term care insurance. Spending on private long-term care insurance totaled NIS 3.4 billion in 2015. According to the Taub Institute, there has been a 32% increase in the number of old-age pension recipients from 2000 to 2014, with a 66% increase (from 96 to 159,000) in the number of long-term care recipients.</w:t>
      </w:r>
    </w:p>
    <w:p w14:paraId="731DB34B" w14:textId="77777777" w:rsidR="00530B26" w:rsidRPr="00BC6240" w:rsidRDefault="00821EE5" w:rsidP="00E4195C">
      <w:pPr>
        <w:bidi w:val="0"/>
        <w:spacing w:after="120"/>
        <w:rPr>
          <w:color w:val="1F497D" w:themeColor="text2"/>
          <w:sz w:val="28"/>
          <w:szCs w:val="28"/>
        </w:rPr>
      </w:pPr>
      <w:r>
        <w:rPr>
          <w:rFonts w:hint="cs"/>
          <w:b/>
          <w:bCs/>
          <w:color w:val="1F497D" w:themeColor="text2"/>
          <w:sz w:val="28"/>
          <w:szCs w:val="28"/>
          <w:rtl/>
        </w:rPr>
        <w:lastRenderedPageBreak/>
        <w:t>5</w:t>
      </w:r>
      <w:r w:rsidR="00530B26" w:rsidRPr="00BC6240">
        <w:rPr>
          <w:b/>
          <w:bCs/>
          <w:color w:val="1F497D" w:themeColor="text2"/>
          <w:sz w:val="28"/>
          <w:szCs w:val="28"/>
        </w:rPr>
        <w:t>. Promoting environmental quality and sustainability issues</w:t>
      </w:r>
      <w:r w:rsidR="00530B26" w:rsidRPr="00BC6240">
        <w:rPr>
          <w:rStyle w:val="FootnoteReference"/>
          <w:b/>
          <w:bCs/>
          <w:color w:val="1F497D" w:themeColor="text2"/>
          <w:sz w:val="20"/>
          <w:szCs w:val="20"/>
          <w:rtl/>
        </w:rPr>
        <w:footnoteReference w:id="11"/>
      </w:r>
    </w:p>
    <w:p w14:paraId="55742919" w14:textId="77777777" w:rsidR="00530B26" w:rsidRPr="00BC6240" w:rsidRDefault="00530B26" w:rsidP="00E4195C">
      <w:pPr>
        <w:pStyle w:val="ListParagraph"/>
        <w:bidi w:val="0"/>
        <w:spacing w:after="120" w:line="276" w:lineRule="auto"/>
        <w:ind w:left="360"/>
        <w:rPr>
          <w:b/>
          <w:bCs/>
          <w:color w:val="1F497D" w:themeColor="text2"/>
          <w:sz w:val="28"/>
          <w:szCs w:val="28"/>
        </w:rPr>
      </w:pPr>
      <w:r w:rsidRPr="00BC6240">
        <w:rPr>
          <w:b/>
          <w:bCs/>
          <w:color w:val="1F497D" w:themeColor="text2"/>
          <w:sz w:val="28"/>
          <w:szCs w:val="28"/>
        </w:rPr>
        <w:t>A. Protection, development, and conservation of marine environments - beaches, streams, and reservoirs</w:t>
      </w:r>
    </w:p>
    <w:p w14:paraId="645990CD" w14:textId="77777777" w:rsidR="00530B26" w:rsidRPr="00BC6240" w:rsidRDefault="00530B26" w:rsidP="00E4195C">
      <w:pPr>
        <w:pStyle w:val="ListParagraph"/>
        <w:bidi w:val="0"/>
        <w:spacing w:after="120" w:line="276" w:lineRule="auto"/>
        <w:ind w:left="360"/>
        <w:rPr>
          <w:b/>
          <w:bCs/>
          <w:color w:val="1F497D" w:themeColor="text2"/>
          <w:sz w:val="28"/>
          <w:szCs w:val="28"/>
        </w:rPr>
      </w:pPr>
      <w:r w:rsidRPr="00BC6240">
        <w:rPr>
          <w:b/>
          <w:bCs/>
          <w:color w:val="1F497D" w:themeColor="text2"/>
          <w:sz w:val="28"/>
          <w:szCs w:val="28"/>
        </w:rPr>
        <w:t>B. Reducing pollution in Haifa Bay and treating the resulting damage</w:t>
      </w:r>
    </w:p>
    <w:p w14:paraId="5B14F7D1" w14:textId="3C1BA890" w:rsidR="007C4029" w:rsidRPr="00BC6240" w:rsidRDefault="007C4029" w:rsidP="0013204E">
      <w:pPr>
        <w:bidi w:val="0"/>
        <w:spacing w:after="240"/>
        <w:rPr>
          <w:rFonts w:cs="Arial"/>
          <w:sz w:val="24"/>
          <w:szCs w:val="24"/>
        </w:rPr>
      </w:pPr>
      <w:r w:rsidRPr="00BC6240">
        <w:rPr>
          <w:rFonts w:cs="Arial"/>
          <w:sz w:val="24"/>
          <w:szCs w:val="24"/>
        </w:rPr>
        <w:t xml:space="preserve">A report by the Ministry of Environment </w:t>
      </w:r>
      <w:r w:rsidR="00423471" w:rsidRPr="00BC6240">
        <w:rPr>
          <w:rFonts w:cs="Arial"/>
          <w:sz w:val="24"/>
          <w:szCs w:val="24"/>
        </w:rPr>
        <w:t xml:space="preserve">Protection </w:t>
      </w:r>
      <w:r w:rsidRPr="00BC6240">
        <w:rPr>
          <w:rFonts w:cs="Arial"/>
          <w:sz w:val="24"/>
          <w:szCs w:val="24"/>
        </w:rPr>
        <w:t>states that significant changes in the Mediterranean basin climate are expected during the 21st century, including an increase in average temperature, and a gradual declin</w:t>
      </w:r>
      <w:r w:rsidR="00553EE3" w:rsidRPr="00BC6240">
        <w:rPr>
          <w:rFonts w:cs="Arial"/>
          <w:sz w:val="24"/>
          <w:szCs w:val="24"/>
        </w:rPr>
        <w:t xml:space="preserve">e of precipitation by dozens of </w:t>
      </w:r>
      <w:r w:rsidRPr="00BC6240">
        <w:rPr>
          <w:rFonts w:cs="Arial"/>
          <w:sz w:val="24"/>
          <w:szCs w:val="24"/>
        </w:rPr>
        <w:t xml:space="preserve">percentages by 2050. As a result, various sectors of the economy may be affected. The tourism industry, for example, is likely to be affected with respect to beaches and sites located near the sea, due to rising sea levels. The agriculture sector may also be affected by a decrease in rainfall and water quality, as will the energy sector, due to the increased demand for electricity during intensifying periods of cold and heat, which will also negatively affect the cost of energy. In the meantime, we have identified two salient issues that are appropriate for a national </w:t>
      </w:r>
      <w:r w:rsidR="005827CF" w:rsidRPr="00BC6240">
        <w:rPr>
          <w:rFonts w:cs="Arial"/>
          <w:sz w:val="24"/>
          <w:szCs w:val="24"/>
        </w:rPr>
        <w:t xml:space="preserve">cross-sector </w:t>
      </w:r>
      <w:r w:rsidRPr="00BC6240">
        <w:rPr>
          <w:rFonts w:cs="Arial"/>
          <w:sz w:val="24"/>
          <w:szCs w:val="24"/>
        </w:rPr>
        <w:t>initiative:</w:t>
      </w:r>
    </w:p>
    <w:p w14:paraId="4E73E39E" w14:textId="77777777" w:rsidR="00256B67" w:rsidRPr="00BC6240" w:rsidRDefault="00256B67" w:rsidP="00E4195C">
      <w:pPr>
        <w:bidi w:val="0"/>
        <w:spacing w:after="120"/>
        <w:rPr>
          <w:rFonts w:cs="Arial"/>
          <w:sz w:val="24"/>
          <w:szCs w:val="24"/>
        </w:rPr>
      </w:pPr>
      <w:r w:rsidRPr="00BC6240">
        <w:rPr>
          <w:sz w:val="24"/>
          <w:szCs w:val="24"/>
          <w:u w:val="single"/>
        </w:rPr>
        <w:t>Protection, development, and conservation of marine environments - beaches, streams, and reservoirs</w:t>
      </w:r>
      <w:commentRangeStart w:id="10"/>
      <w:r w:rsidRPr="00BC6240">
        <w:rPr>
          <w:rStyle w:val="FootnoteReference"/>
          <w:rFonts w:cs="Arial"/>
          <w:sz w:val="20"/>
          <w:szCs w:val="20"/>
          <w:rtl/>
        </w:rPr>
        <w:footnoteReference w:id="12"/>
      </w:r>
      <w:r w:rsidRPr="00BC6240">
        <w:rPr>
          <w:rFonts w:cs="Arial"/>
          <w:sz w:val="24"/>
          <w:szCs w:val="24"/>
          <w:rtl/>
        </w:rPr>
        <w:t xml:space="preserve"> </w:t>
      </w:r>
      <w:commentRangeEnd w:id="10"/>
      <w:r w:rsidR="006732D5">
        <w:rPr>
          <w:rStyle w:val="CommentReference"/>
        </w:rPr>
        <w:commentReference w:id="10"/>
      </w:r>
    </w:p>
    <w:p w14:paraId="4EF0044E" w14:textId="03D1B039" w:rsidR="00256B67" w:rsidRPr="00BC6240" w:rsidRDefault="00256B67" w:rsidP="00E4195C">
      <w:pPr>
        <w:bidi w:val="0"/>
        <w:spacing w:after="120"/>
        <w:rPr>
          <w:rFonts w:cs="Arial"/>
          <w:sz w:val="24"/>
          <w:szCs w:val="24"/>
          <w:rtl/>
        </w:rPr>
      </w:pPr>
      <w:r w:rsidRPr="00BC6240">
        <w:rPr>
          <w:rFonts w:cs="Arial"/>
          <w:sz w:val="24"/>
          <w:szCs w:val="24"/>
        </w:rPr>
        <w:t xml:space="preserve">Israel's marine environment constitutes a huge chunk of Israel's territorial area - about 3,950 square km within the territorial waters, and an additional area of about 22,000 </w:t>
      </w:r>
      <w:r w:rsidR="006428A6" w:rsidRPr="00BC6240">
        <w:rPr>
          <w:rFonts w:cs="Arial"/>
          <w:sz w:val="24"/>
          <w:szCs w:val="24"/>
        </w:rPr>
        <w:t xml:space="preserve">square </w:t>
      </w:r>
      <w:r w:rsidRPr="00BC6240">
        <w:rPr>
          <w:rFonts w:cs="Arial"/>
          <w:sz w:val="24"/>
          <w:szCs w:val="24"/>
        </w:rPr>
        <w:t xml:space="preserve">km (!) in the </w:t>
      </w:r>
      <w:r w:rsidR="006428A6" w:rsidRPr="00BC6240">
        <w:rPr>
          <w:rFonts w:cs="Arial"/>
          <w:sz w:val="24"/>
          <w:szCs w:val="24"/>
        </w:rPr>
        <w:t xml:space="preserve">field </w:t>
      </w:r>
      <w:r w:rsidRPr="00BC6240">
        <w:rPr>
          <w:rFonts w:cs="Arial"/>
          <w:sz w:val="24"/>
          <w:szCs w:val="24"/>
        </w:rPr>
        <w:t xml:space="preserve">of economic water. The Mediterranean Sea </w:t>
      </w:r>
      <w:r w:rsidR="009C29D8">
        <w:rPr>
          <w:rFonts w:cs="Arial"/>
          <w:sz w:val="24"/>
          <w:szCs w:val="24"/>
        </w:rPr>
        <w:t>contains</w:t>
      </w:r>
      <w:r w:rsidRPr="00BC6240">
        <w:rPr>
          <w:rFonts w:cs="Arial"/>
          <w:sz w:val="24"/>
          <w:szCs w:val="24"/>
        </w:rPr>
        <w:t xml:space="preserve"> unique biodiversity and provides ecosystem services essential for humans: </w:t>
      </w:r>
      <w:r w:rsidR="009C29D8">
        <w:rPr>
          <w:rFonts w:cs="Arial"/>
          <w:sz w:val="24"/>
          <w:szCs w:val="24"/>
        </w:rPr>
        <w:t>a food source</w:t>
      </w:r>
      <w:r w:rsidRPr="00BC6240">
        <w:rPr>
          <w:rFonts w:cs="Arial"/>
          <w:sz w:val="24"/>
          <w:szCs w:val="24"/>
        </w:rPr>
        <w:t xml:space="preserve">, aquaculture infrastructure, </w:t>
      </w:r>
      <w:r w:rsidR="009C29D8">
        <w:rPr>
          <w:rFonts w:cs="Arial"/>
          <w:sz w:val="24"/>
          <w:szCs w:val="24"/>
        </w:rPr>
        <w:t xml:space="preserve">a </w:t>
      </w:r>
      <w:r w:rsidRPr="00BC6240">
        <w:rPr>
          <w:rFonts w:cs="Arial"/>
          <w:sz w:val="24"/>
          <w:szCs w:val="24"/>
        </w:rPr>
        <w:t>source for water desalination, leisure and recreation, energy sourcing, climate regulation, and more. Finding the balance between human use and maintaining the Mediterranean's sensitive environment poses a primary challenge</w:t>
      </w:r>
      <w:r w:rsidR="009C29D8">
        <w:rPr>
          <w:rFonts w:cs="Arial"/>
          <w:sz w:val="24"/>
          <w:szCs w:val="24"/>
        </w:rPr>
        <w:t xml:space="preserve"> and</w:t>
      </w:r>
      <w:r w:rsidRPr="00BC6240">
        <w:rPr>
          <w:rFonts w:cs="Arial"/>
          <w:sz w:val="24"/>
          <w:szCs w:val="24"/>
        </w:rPr>
        <w:t xml:space="preserve"> requir</w:t>
      </w:r>
      <w:r w:rsidR="006428A6" w:rsidRPr="00BC6240">
        <w:rPr>
          <w:rFonts w:cs="Arial"/>
          <w:sz w:val="24"/>
          <w:szCs w:val="24"/>
        </w:rPr>
        <w:t>es</w:t>
      </w:r>
      <w:r w:rsidRPr="00BC6240">
        <w:rPr>
          <w:rFonts w:cs="Arial"/>
          <w:sz w:val="24"/>
          <w:szCs w:val="24"/>
        </w:rPr>
        <w:t xml:space="preserve"> formulati</w:t>
      </w:r>
      <w:r w:rsidR="006428A6" w:rsidRPr="00BC6240">
        <w:rPr>
          <w:rFonts w:cs="Arial"/>
          <w:sz w:val="24"/>
          <w:szCs w:val="24"/>
        </w:rPr>
        <w:t>ng</w:t>
      </w:r>
      <w:r w:rsidRPr="00BC6240">
        <w:rPr>
          <w:rFonts w:cs="Arial"/>
          <w:sz w:val="24"/>
          <w:szCs w:val="24"/>
        </w:rPr>
        <w:t xml:space="preserve"> an integrated management policy adapted to international standards. While this policy exists in Israel, its results are far from satisfactory.</w:t>
      </w:r>
    </w:p>
    <w:p w14:paraId="68E2115B" w14:textId="4DE56749" w:rsidR="00256B67" w:rsidRPr="00BC6240" w:rsidRDefault="00D07754" w:rsidP="00670868">
      <w:pPr>
        <w:bidi w:val="0"/>
        <w:spacing w:after="240"/>
        <w:rPr>
          <w:rFonts w:cs="Arial"/>
          <w:sz w:val="24"/>
          <w:szCs w:val="24"/>
        </w:rPr>
      </w:pPr>
      <w:r w:rsidRPr="00BC6240">
        <w:rPr>
          <w:rFonts w:cs="Arial"/>
          <w:sz w:val="24"/>
          <w:szCs w:val="24"/>
        </w:rPr>
        <w:t xml:space="preserve">Over the past decade, </w:t>
      </w:r>
      <w:r w:rsidR="0019126F">
        <w:rPr>
          <w:rFonts w:cs="Arial"/>
          <w:sz w:val="24"/>
          <w:szCs w:val="24"/>
        </w:rPr>
        <w:t xml:space="preserve">there has been rising </w:t>
      </w:r>
      <w:r w:rsidRPr="00BC6240">
        <w:rPr>
          <w:rFonts w:cs="Arial"/>
          <w:sz w:val="24"/>
          <w:szCs w:val="24"/>
        </w:rPr>
        <w:t xml:space="preserve">pressure </w:t>
      </w:r>
      <w:r w:rsidR="0019126F">
        <w:rPr>
          <w:rFonts w:cs="Arial"/>
          <w:sz w:val="24"/>
          <w:szCs w:val="24"/>
        </w:rPr>
        <w:t xml:space="preserve">to develop </w:t>
      </w:r>
      <w:r w:rsidRPr="00BC6240">
        <w:rPr>
          <w:rFonts w:cs="Arial"/>
          <w:sz w:val="24"/>
          <w:szCs w:val="24"/>
        </w:rPr>
        <w:t xml:space="preserve">the Mediterranean, mainly </w:t>
      </w:r>
      <w:r w:rsidR="0019126F">
        <w:rPr>
          <w:rFonts w:cs="Arial"/>
          <w:sz w:val="24"/>
          <w:szCs w:val="24"/>
        </w:rPr>
        <w:t xml:space="preserve">due to </w:t>
      </w:r>
      <w:r w:rsidRPr="00BC6240">
        <w:rPr>
          <w:rFonts w:cs="Arial"/>
          <w:sz w:val="24"/>
          <w:szCs w:val="24"/>
        </w:rPr>
        <w:t xml:space="preserve">the construction of desalination plants and gas discoveries. The preservation of the sea has transformed from an environmental issue </w:t>
      </w:r>
      <w:r w:rsidR="00214A96">
        <w:rPr>
          <w:rFonts w:cs="Arial"/>
          <w:sz w:val="24"/>
          <w:szCs w:val="24"/>
        </w:rPr>
        <w:t>in</w:t>
      </w:r>
      <w:r w:rsidRPr="00BC6240">
        <w:rPr>
          <w:rFonts w:cs="Arial"/>
          <w:sz w:val="24"/>
          <w:szCs w:val="24"/>
        </w:rPr>
        <w:t xml:space="preserve">to a </w:t>
      </w:r>
      <w:r w:rsidR="00D844A7">
        <w:rPr>
          <w:rFonts w:cs="Arial"/>
          <w:sz w:val="24"/>
          <w:szCs w:val="24"/>
        </w:rPr>
        <w:t xml:space="preserve">matter of </w:t>
      </w:r>
      <w:r w:rsidRPr="00BC6240">
        <w:rPr>
          <w:rFonts w:cs="Arial"/>
          <w:sz w:val="24"/>
          <w:szCs w:val="24"/>
        </w:rPr>
        <w:t xml:space="preserve">national interest. Related pressures have </w:t>
      </w:r>
      <w:r w:rsidR="00D844A7">
        <w:rPr>
          <w:rFonts w:cs="Arial"/>
          <w:sz w:val="24"/>
          <w:szCs w:val="24"/>
        </w:rPr>
        <w:t xml:space="preserve">cast </w:t>
      </w:r>
      <w:r w:rsidRPr="00BC6240">
        <w:rPr>
          <w:rFonts w:cs="Arial"/>
          <w:sz w:val="24"/>
          <w:szCs w:val="24"/>
        </w:rPr>
        <w:t xml:space="preserve">a spotlight on a topic that, for years, </w:t>
      </w:r>
      <w:r w:rsidR="00214A96">
        <w:rPr>
          <w:rFonts w:cs="Arial"/>
          <w:sz w:val="24"/>
          <w:szCs w:val="24"/>
        </w:rPr>
        <w:lastRenderedPageBreak/>
        <w:t>was</w:t>
      </w:r>
      <w:r w:rsidRPr="00BC6240">
        <w:rPr>
          <w:rFonts w:cs="Arial"/>
          <w:sz w:val="24"/>
          <w:szCs w:val="24"/>
        </w:rPr>
        <w:t xml:space="preserve"> out of the public's consciousness, not to mention that of decision-makers and even </w:t>
      </w:r>
      <w:r w:rsidR="00D844A7">
        <w:rPr>
          <w:rFonts w:cs="Arial"/>
          <w:sz w:val="24"/>
          <w:szCs w:val="24"/>
        </w:rPr>
        <w:t xml:space="preserve">of </w:t>
      </w:r>
      <w:r w:rsidRPr="00BC6240">
        <w:rPr>
          <w:rFonts w:cs="Arial"/>
          <w:sz w:val="24"/>
          <w:szCs w:val="24"/>
        </w:rPr>
        <w:t xml:space="preserve">most environmental organizations. Despite accelerated development efforts in recent years to utilize </w:t>
      </w:r>
      <w:r w:rsidR="00D844A7">
        <w:rPr>
          <w:rFonts w:cs="Arial"/>
          <w:sz w:val="24"/>
          <w:szCs w:val="24"/>
        </w:rPr>
        <w:t xml:space="preserve">sea </w:t>
      </w:r>
      <w:r w:rsidRPr="00BC6240">
        <w:rPr>
          <w:rFonts w:cs="Arial"/>
          <w:sz w:val="24"/>
          <w:szCs w:val="24"/>
        </w:rPr>
        <w:t xml:space="preserve">resources, </w:t>
      </w:r>
      <w:r w:rsidR="001E7FD2">
        <w:rPr>
          <w:rFonts w:cs="Arial"/>
          <w:sz w:val="24"/>
          <w:szCs w:val="24"/>
        </w:rPr>
        <w:t xml:space="preserve">no </w:t>
      </w:r>
      <w:r w:rsidRPr="00BC6240">
        <w:rPr>
          <w:rFonts w:cs="Arial"/>
          <w:sz w:val="24"/>
          <w:szCs w:val="24"/>
        </w:rPr>
        <w:t xml:space="preserve">system </w:t>
      </w:r>
      <w:r w:rsidR="001E7FD2">
        <w:rPr>
          <w:rFonts w:cs="Arial"/>
          <w:sz w:val="24"/>
          <w:szCs w:val="24"/>
        </w:rPr>
        <w:t xml:space="preserve">has been forwarded to protect the </w:t>
      </w:r>
      <w:r w:rsidRPr="00BC6240">
        <w:rPr>
          <w:rFonts w:cs="Arial"/>
          <w:sz w:val="24"/>
          <w:szCs w:val="24"/>
        </w:rPr>
        <w:t>maritime environment. As of 2018, only 0.3% of the sovereign area of the Mediterranean is protected by declared nature reserves (0% in economic waters); no planning regulations exist for the use of territorial waters;</w:t>
      </w:r>
      <w:r w:rsidR="00202F1B" w:rsidRPr="00BC6240">
        <w:rPr>
          <w:rFonts w:cs="Arial"/>
          <w:sz w:val="24"/>
          <w:szCs w:val="24"/>
        </w:rPr>
        <w:t xml:space="preserve"> there is no management of maritime resources (e.g. sand); and no legislation exists </w:t>
      </w:r>
      <w:r w:rsidR="00670868">
        <w:rPr>
          <w:rFonts w:cs="Arial"/>
          <w:sz w:val="24"/>
          <w:szCs w:val="24"/>
        </w:rPr>
        <w:t xml:space="preserve">to </w:t>
      </w:r>
      <w:r w:rsidR="00202F1B" w:rsidRPr="00BC6240">
        <w:rPr>
          <w:rFonts w:cs="Arial"/>
          <w:sz w:val="24"/>
          <w:szCs w:val="24"/>
        </w:rPr>
        <w:t>regulat</w:t>
      </w:r>
      <w:r w:rsidR="00670868">
        <w:rPr>
          <w:rFonts w:cs="Arial"/>
          <w:sz w:val="24"/>
          <w:szCs w:val="24"/>
        </w:rPr>
        <w:t xml:space="preserve">e </w:t>
      </w:r>
      <w:r w:rsidR="00202F1B" w:rsidRPr="00BC6240">
        <w:rPr>
          <w:rFonts w:cs="Arial"/>
          <w:sz w:val="24"/>
          <w:szCs w:val="24"/>
        </w:rPr>
        <w:t>state powers in economic waters.</w:t>
      </w:r>
    </w:p>
    <w:p w14:paraId="43C0B4EA" w14:textId="77777777" w:rsidR="00012A96" w:rsidRPr="00BC6240" w:rsidRDefault="00012A96" w:rsidP="00670868">
      <w:pPr>
        <w:bidi w:val="0"/>
        <w:spacing w:after="240"/>
        <w:rPr>
          <w:rFonts w:cs="Arial"/>
          <w:sz w:val="24"/>
          <w:szCs w:val="24"/>
        </w:rPr>
      </w:pPr>
      <w:r w:rsidRPr="00BC6240">
        <w:rPr>
          <w:rFonts w:cs="Arial"/>
          <w:sz w:val="24"/>
          <w:szCs w:val="24"/>
        </w:rPr>
        <w:t>The condition of the beaches and the marine environment in the Mediterranean also affects the condition of the streams that flow into it</w:t>
      </w:r>
      <w:r w:rsidR="00670868">
        <w:rPr>
          <w:rFonts w:cs="Arial"/>
          <w:sz w:val="24"/>
          <w:szCs w:val="24"/>
        </w:rPr>
        <w:t>:</w:t>
      </w:r>
      <w:r w:rsidRPr="00BC6240">
        <w:rPr>
          <w:rFonts w:cs="Arial"/>
          <w:sz w:val="24"/>
          <w:szCs w:val="24"/>
        </w:rPr>
        <w:t xml:space="preserve"> A number of national programs for monitoring, supervision, and control exist and operate in Israel in this arena. They are entrusted to several government ministries and state authorities, and involve local authorities as well as environmental organizations and social activists. Yet other types of systemic action may be required here.</w:t>
      </w:r>
    </w:p>
    <w:p w14:paraId="52E93B37" w14:textId="77777777" w:rsidR="001E7998" w:rsidRPr="00BC6240" w:rsidRDefault="00834410" w:rsidP="001C033C">
      <w:pPr>
        <w:bidi w:val="0"/>
        <w:spacing w:after="120"/>
        <w:rPr>
          <w:rFonts w:cs="Arial"/>
          <w:sz w:val="24"/>
          <w:szCs w:val="24"/>
          <w:u w:val="single"/>
        </w:rPr>
      </w:pPr>
      <w:r w:rsidRPr="00BC6240">
        <w:rPr>
          <w:sz w:val="24"/>
          <w:szCs w:val="24"/>
          <w:u w:val="single"/>
        </w:rPr>
        <w:t>Reducing pollution in Haifa Bay and treating the resulting damage</w:t>
      </w:r>
      <w:r w:rsidR="001E7998" w:rsidRPr="001C033C">
        <w:rPr>
          <w:rStyle w:val="FootnoteReference"/>
          <w:rFonts w:cs="Arial"/>
          <w:sz w:val="20"/>
          <w:szCs w:val="20"/>
          <w:rtl/>
        </w:rPr>
        <w:footnoteReference w:id="13"/>
      </w:r>
      <w:r w:rsidR="001E7998" w:rsidRPr="001C033C">
        <w:rPr>
          <w:rFonts w:cs="Arial"/>
          <w:sz w:val="24"/>
          <w:szCs w:val="24"/>
          <w:u w:val="single"/>
          <w:rtl/>
        </w:rPr>
        <w:t xml:space="preserve"> </w:t>
      </w:r>
    </w:p>
    <w:p w14:paraId="58918E63" w14:textId="56714E0C" w:rsidR="00137BE0" w:rsidRPr="00BC6240" w:rsidRDefault="00137BE0" w:rsidP="00593C4C">
      <w:pPr>
        <w:bidi w:val="0"/>
        <w:spacing w:after="240"/>
        <w:rPr>
          <w:rFonts w:cs="Arial"/>
          <w:sz w:val="24"/>
          <w:szCs w:val="24"/>
        </w:rPr>
      </w:pPr>
      <w:r w:rsidRPr="00BC6240">
        <w:rPr>
          <w:sz w:val="24"/>
          <w:szCs w:val="24"/>
        </w:rPr>
        <w:t xml:space="preserve">Haifa Bay is one of the </w:t>
      </w:r>
      <w:r w:rsidR="008B736C">
        <w:rPr>
          <w:sz w:val="24"/>
          <w:szCs w:val="24"/>
        </w:rPr>
        <w:t xml:space="preserve">major </w:t>
      </w:r>
      <w:r w:rsidRPr="00BC6240">
        <w:rPr>
          <w:sz w:val="24"/>
          <w:szCs w:val="24"/>
        </w:rPr>
        <w:t xml:space="preserve">sources of air pollution in Israel due to a large concentration of industrial plants near population centers, heavy transportation, port activity, and other sources of pollutant emissions, combined with topography and climate features that make it difficult to disperse pollutants. </w:t>
      </w:r>
      <w:r w:rsidR="00593C4C">
        <w:rPr>
          <w:sz w:val="24"/>
          <w:szCs w:val="24"/>
        </w:rPr>
        <w:t xml:space="preserve">Over </w:t>
      </w:r>
      <w:r w:rsidR="00593C4C" w:rsidRPr="00BC6240">
        <w:rPr>
          <w:sz w:val="24"/>
          <w:szCs w:val="24"/>
        </w:rPr>
        <w:t>the years</w:t>
      </w:r>
      <w:r w:rsidR="00593C4C">
        <w:rPr>
          <w:sz w:val="24"/>
          <w:szCs w:val="24"/>
        </w:rPr>
        <w:t>, t</w:t>
      </w:r>
      <w:r w:rsidRPr="00BC6240">
        <w:rPr>
          <w:sz w:val="24"/>
          <w:szCs w:val="24"/>
        </w:rPr>
        <w:t>he Ministry of Environment</w:t>
      </w:r>
      <w:r w:rsidR="00423471" w:rsidRPr="00BC6240">
        <w:rPr>
          <w:sz w:val="24"/>
          <w:szCs w:val="24"/>
        </w:rPr>
        <w:t>al Protection</w:t>
      </w:r>
      <w:r w:rsidRPr="00BC6240">
        <w:rPr>
          <w:sz w:val="24"/>
          <w:szCs w:val="24"/>
        </w:rPr>
        <w:t xml:space="preserve"> has been working to reduce emissions, and in September 2015 </w:t>
      </w:r>
      <w:r w:rsidR="00D415ED">
        <w:rPr>
          <w:sz w:val="24"/>
          <w:szCs w:val="24"/>
        </w:rPr>
        <w:t xml:space="preserve">it </w:t>
      </w:r>
      <w:r w:rsidRPr="00BC6240">
        <w:rPr>
          <w:sz w:val="24"/>
          <w:szCs w:val="24"/>
        </w:rPr>
        <w:t>drafted a national plan to reduce pollution and risks in the Haifa Bay for 2015-2020 (Government Decision No. 529), which established a list of actions to achieve this goal</w:t>
      </w:r>
      <w:r w:rsidRPr="00BC6240">
        <w:rPr>
          <w:rFonts w:cs="Arial"/>
          <w:sz w:val="24"/>
          <w:szCs w:val="24"/>
          <w:rtl/>
        </w:rPr>
        <w:t>.</w:t>
      </w:r>
    </w:p>
    <w:p w14:paraId="63104AE6" w14:textId="130BD50A" w:rsidR="00137BE0" w:rsidRPr="00BC6240" w:rsidRDefault="00137BE0" w:rsidP="006435CE">
      <w:pPr>
        <w:bidi w:val="0"/>
        <w:spacing w:after="240"/>
        <w:rPr>
          <w:sz w:val="24"/>
          <w:szCs w:val="24"/>
        </w:rPr>
      </w:pPr>
      <w:r w:rsidRPr="00BC6240">
        <w:rPr>
          <w:sz w:val="24"/>
          <w:szCs w:val="24"/>
        </w:rPr>
        <w:t>In practice, however, the June 2019 State Comptroller's report broadly define</w:t>
      </w:r>
      <w:r w:rsidR="00293B16">
        <w:rPr>
          <w:sz w:val="24"/>
          <w:szCs w:val="24"/>
        </w:rPr>
        <w:t>d</w:t>
      </w:r>
      <w:r w:rsidRPr="00BC6240">
        <w:rPr>
          <w:sz w:val="24"/>
          <w:szCs w:val="24"/>
        </w:rPr>
        <w:t xml:space="preserve"> the defects in the formulation of </w:t>
      </w:r>
      <w:r w:rsidR="003D07F4">
        <w:rPr>
          <w:sz w:val="24"/>
          <w:szCs w:val="24"/>
        </w:rPr>
        <w:t xml:space="preserve">this </w:t>
      </w:r>
      <w:r w:rsidRPr="00BC6240">
        <w:rPr>
          <w:sz w:val="24"/>
          <w:szCs w:val="24"/>
        </w:rPr>
        <w:t>plan</w:t>
      </w:r>
      <w:r w:rsidR="006435CE">
        <w:rPr>
          <w:sz w:val="24"/>
          <w:szCs w:val="24"/>
        </w:rPr>
        <w:t>--</w:t>
      </w:r>
      <w:r w:rsidR="00A203CF">
        <w:rPr>
          <w:sz w:val="24"/>
          <w:szCs w:val="24"/>
        </w:rPr>
        <w:t xml:space="preserve">including </w:t>
      </w:r>
      <w:r w:rsidRPr="00BC6240">
        <w:rPr>
          <w:sz w:val="24"/>
          <w:szCs w:val="24"/>
        </w:rPr>
        <w:t>reporting about its implementation to the public, the extent to which it has met the deadlines for set targets, some of which have not yet been achieved</w:t>
      </w:r>
      <w:r w:rsidR="006435CE">
        <w:rPr>
          <w:sz w:val="24"/>
          <w:szCs w:val="24"/>
        </w:rPr>
        <w:t>--</w:t>
      </w:r>
      <w:r w:rsidR="00A203CF">
        <w:rPr>
          <w:sz w:val="24"/>
          <w:szCs w:val="24"/>
        </w:rPr>
        <w:t xml:space="preserve">and listing </w:t>
      </w:r>
      <w:r w:rsidR="00A203CF" w:rsidRPr="00BC6240">
        <w:rPr>
          <w:sz w:val="24"/>
          <w:szCs w:val="24"/>
        </w:rPr>
        <w:t xml:space="preserve">mandatory issues that are absent from </w:t>
      </w:r>
      <w:r w:rsidR="00A203CF">
        <w:rPr>
          <w:sz w:val="24"/>
          <w:szCs w:val="24"/>
        </w:rPr>
        <w:t>the plan</w:t>
      </w:r>
      <w:r w:rsidRPr="00BC6240">
        <w:rPr>
          <w:sz w:val="24"/>
          <w:szCs w:val="24"/>
        </w:rPr>
        <w:t>. The findings of the report support the claims of environmental organizations and social activists who have struggled in recent years to stop pollution in Haifa Bay, and present hard data on the rates of pollution and the subsequent damages.</w:t>
      </w:r>
    </w:p>
    <w:p w14:paraId="031638B8" w14:textId="77777777" w:rsidR="00EF4FB5" w:rsidRDefault="00EF4FB5" w:rsidP="00EF4FB5">
      <w:pPr>
        <w:bidi w:val="0"/>
        <w:spacing w:after="120"/>
        <w:rPr>
          <w:b/>
          <w:bCs/>
          <w:color w:val="1F497D" w:themeColor="text2"/>
          <w:sz w:val="24"/>
          <w:szCs w:val="24"/>
        </w:rPr>
      </w:pPr>
    </w:p>
    <w:p w14:paraId="068A922F" w14:textId="77777777" w:rsidR="00F9266E" w:rsidRPr="00BC6240" w:rsidRDefault="00516872" w:rsidP="00EF4FB5">
      <w:pPr>
        <w:bidi w:val="0"/>
        <w:spacing w:after="120"/>
        <w:rPr>
          <w:b/>
          <w:bCs/>
          <w:color w:val="1F497D" w:themeColor="text2"/>
          <w:sz w:val="24"/>
          <w:szCs w:val="24"/>
          <w:rtl/>
        </w:rPr>
      </w:pPr>
      <w:r w:rsidRPr="00BC6240">
        <w:rPr>
          <w:b/>
          <w:bCs/>
          <w:color w:val="1F497D" w:themeColor="text2"/>
          <w:sz w:val="24"/>
          <w:szCs w:val="24"/>
        </w:rPr>
        <w:lastRenderedPageBreak/>
        <w:t>6. Development of extens</w:t>
      </w:r>
      <w:r w:rsidR="005F2B41" w:rsidRPr="00BC6240">
        <w:rPr>
          <w:b/>
          <w:bCs/>
          <w:color w:val="1F497D" w:themeColor="text2"/>
          <w:sz w:val="24"/>
          <w:szCs w:val="24"/>
        </w:rPr>
        <w:t>ive early childhood services</w:t>
      </w:r>
      <w:r w:rsidR="005F5E7C" w:rsidRPr="00BC6240">
        <w:rPr>
          <w:rStyle w:val="FootnoteReference"/>
          <w:b/>
          <w:bCs/>
          <w:color w:val="1F497D" w:themeColor="text2"/>
          <w:sz w:val="20"/>
          <w:szCs w:val="20"/>
          <w:rtl/>
        </w:rPr>
        <w:footnoteReference w:id="14"/>
      </w:r>
      <w:r w:rsidR="00F9266E" w:rsidRPr="00BC6240">
        <w:rPr>
          <w:b/>
          <w:bCs/>
          <w:color w:val="1F497D" w:themeColor="text2"/>
          <w:sz w:val="28"/>
          <w:szCs w:val="28"/>
          <w:rtl/>
        </w:rPr>
        <w:t xml:space="preserve"> </w:t>
      </w:r>
    </w:p>
    <w:p w14:paraId="0D16D66B" w14:textId="68C7CA1A" w:rsidR="003F29F8" w:rsidRPr="00BC6240" w:rsidRDefault="003F29F8" w:rsidP="009B7710">
      <w:pPr>
        <w:bidi w:val="0"/>
        <w:spacing w:after="240"/>
        <w:rPr>
          <w:rFonts w:cs="Arial"/>
          <w:sz w:val="24"/>
          <w:szCs w:val="24"/>
        </w:rPr>
      </w:pPr>
      <w:r w:rsidRPr="00BC6240">
        <w:rPr>
          <w:rFonts w:cs="Arial"/>
          <w:sz w:val="24"/>
          <w:szCs w:val="24"/>
        </w:rPr>
        <w:t>The early childhood education system (from six months to six years of age) is a split system, i.e. there is no single body responsible for education policy, operation</w:t>
      </w:r>
      <w:r w:rsidR="00A127CF">
        <w:rPr>
          <w:rFonts w:cs="Arial"/>
          <w:sz w:val="24"/>
          <w:szCs w:val="24"/>
        </w:rPr>
        <w:t>,</w:t>
      </w:r>
      <w:r w:rsidRPr="00BC6240">
        <w:rPr>
          <w:rFonts w:cs="Arial"/>
          <w:sz w:val="24"/>
          <w:szCs w:val="24"/>
        </w:rPr>
        <w:t xml:space="preserve"> and supervision of early childhood frameworks. Rather, several bodies are involved: </w:t>
      </w:r>
      <w:r w:rsidR="00A127CF">
        <w:rPr>
          <w:rFonts w:cs="Arial"/>
          <w:sz w:val="24"/>
          <w:szCs w:val="24"/>
        </w:rPr>
        <w:t>C</w:t>
      </w:r>
      <w:r w:rsidRPr="00BC6240">
        <w:rPr>
          <w:rFonts w:cs="Arial"/>
          <w:sz w:val="24"/>
          <w:szCs w:val="24"/>
        </w:rPr>
        <w:t xml:space="preserve">hildren from six months to three </w:t>
      </w:r>
      <w:r w:rsidR="004E0515">
        <w:rPr>
          <w:rFonts w:cs="Arial"/>
          <w:sz w:val="24"/>
          <w:szCs w:val="24"/>
        </w:rPr>
        <w:t xml:space="preserve">years old </w:t>
      </w:r>
      <w:r w:rsidRPr="00BC6240">
        <w:rPr>
          <w:rFonts w:cs="Arial"/>
          <w:sz w:val="24"/>
          <w:szCs w:val="24"/>
        </w:rPr>
        <w:t xml:space="preserve">are </w:t>
      </w:r>
      <w:r w:rsidR="00A127CF">
        <w:rPr>
          <w:rFonts w:cs="Arial"/>
          <w:sz w:val="24"/>
          <w:szCs w:val="24"/>
        </w:rPr>
        <w:t xml:space="preserve">placed </w:t>
      </w:r>
      <w:r w:rsidRPr="00BC6240">
        <w:rPr>
          <w:rFonts w:cs="Arial"/>
          <w:sz w:val="24"/>
          <w:szCs w:val="24"/>
        </w:rPr>
        <w:t xml:space="preserve">in private </w:t>
      </w:r>
      <w:r w:rsidR="00A127CF">
        <w:rPr>
          <w:rFonts w:cs="Arial"/>
          <w:sz w:val="24"/>
          <w:szCs w:val="24"/>
        </w:rPr>
        <w:t>care</w:t>
      </w:r>
      <w:r w:rsidR="00460A59" w:rsidRPr="00BC6240">
        <w:rPr>
          <w:rFonts w:cs="Arial"/>
          <w:sz w:val="24"/>
          <w:szCs w:val="24"/>
        </w:rPr>
        <w:t>—</w:t>
      </w:r>
      <w:r w:rsidRPr="00BC6240">
        <w:rPr>
          <w:rFonts w:cs="Arial"/>
          <w:sz w:val="24"/>
          <w:szCs w:val="24"/>
        </w:rPr>
        <w:t>operating without government supervision</w:t>
      </w:r>
      <w:r w:rsidR="00460A59" w:rsidRPr="00BC6240">
        <w:rPr>
          <w:rFonts w:cs="Arial"/>
          <w:sz w:val="24"/>
          <w:szCs w:val="24"/>
        </w:rPr>
        <w:t>—</w:t>
      </w:r>
      <w:r w:rsidRPr="00BC6240">
        <w:rPr>
          <w:rFonts w:cs="Arial"/>
          <w:sz w:val="24"/>
          <w:szCs w:val="24"/>
        </w:rPr>
        <w:t>and in government-supervised settings. In 2013, 20% to 23% of toddlers (from birth to age three) were in daycare and pre-nursery care groups that sought and received recognition from the Ministry of Economy (</w:t>
      </w:r>
      <w:r w:rsidR="00460A59" w:rsidRPr="00BC6240">
        <w:rPr>
          <w:rFonts w:cs="Arial"/>
          <w:sz w:val="24"/>
          <w:szCs w:val="24"/>
        </w:rPr>
        <w:t>i.e. receiving</w:t>
      </w:r>
      <w:r w:rsidRPr="00BC6240">
        <w:rPr>
          <w:rFonts w:cs="Arial"/>
          <w:sz w:val="24"/>
          <w:szCs w:val="24"/>
        </w:rPr>
        <w:t xml:space="preserve"> partial subsidy of their tuition by eligibility rules), which supervised these frameworks based on the Daycare Supervision Law, 1965.</w:t>
      </w:r>
      <w:r w:rsidR="000461CA" w:rsidRPr="00BC6240">
        <w:rPr>
          <w:rFonts w:cs="Arial"/>
          <w:sz w:val="24"/>
          <w:szCs w:val="24"/>
        </w:rPr>
        <w:t xml:space="preserve"> During the 2013 academic year, around 116,000 children aged six months to three years attended </w:t>
      </w:r>
      <w:r w:rsidR="009B7710">
        <w:rPr>
          <w:rFonts w:cs="Arial"/>
          <w:sz w:val="24"/>
          <w:szCs w:val="24"/>
        </w:rPr>
        <w:t xml:space="preserve">daycare </w:t>
      </w:r>
      <w:r w:rsidR="000461CA" w:rsidRPr="00BC6240">
        <w:rPr>
          <w:rFonts w:cs="Arial"/>
          <w:sz w:val="24"/>
          <w:szCs w:val="24"/>
        </w:rPr>
        <w:t>recognized by the Ministry of Economy. Hence, the remaining children in this age group can be assumed to have been at home or in private settings.</w:t>
      </w:r>
      <w:r w:rsidR="001F3E06" w:rsidRPr="00BC6240">
        <w:rPr>
          <w:rFonts w:cs="Arial"/>
          <w:sz w:val="24"/>
          <w:szCs w:val="24"/>
        </w:rPr>
        <w:t xml:space="preserve"> There is currently no database in Israel about children being cared for in private daycare or about the private settings in which they are cared for.</w:t>
      </w:r>
    </w:p>
    <w:p w14:paraId="402C79F7" w14:textId="1FA1FC82" w:rsidR="00D14E20" w:rsidRPr="00BC6240" w:rsidRDefault="00D14E20" w:rsidP="00E4195C">
      <w:pPr>
        <w:bidi w:val="0"/>
        <w:spacing w:after="240"/>
        <w:rPr>
          <w:rFonts w:cs="Arial"/>
          <w:sz w:val="24"/>
          <w:szCs w:val="24"/>
        </w:rPr>
      </w:pPr>
      <w:r w:rsidRPr="00BC6240">
        <w:rPr>
          <w:rFonts w:cs="Arial"/>
          <w:sz w:val="24"/>
          <w:szCs w:val="24"/>
        </w:rPr>
        <w:t>In 2014, a government decision led to the formation of an inter-</w:t>
      </w:r>
      <w:r w:rsidR="00101410" w:rsidRPr="00BC6240">
        <w:rPr>
          <w:rFonts w:cs="Arial"/>
          <w:sz w:val="24"/>
          <w:szCs w:val="24"/>
        </w:rPr>
        <w:t xml:space="preserve">agency </w:t>
      </w:r>
      <w:r w:rsidRPr="00BC6240">
        <w:rPr>
          <w:rFonts w:cs="Arial"/>
          <w:sz w:val="24"/>
          <w:szCs w:val="24"/>
        </w:rPr>
        <w:t>team</w:t>
      </w:r>
      <w:r w:rsidR="00101410" w:rsidRPr="00BC6240">
        <w:rPr>
          <w:rFonts w:cs="Arial"/>
          <w:sz w:val="24"/>
          <w:szCs w:val="24"/>
        </w:rPr>
        <w:t>—</w:t>
      </w:r>
      <w:r w:rsidRPr="00BC6240">
        <w:rPr>
          <w:rFonts w:cs="Arial"/>
          <w:sz w:val="24"/>
          <w:szCs w:val="24"/>
        </w:rPr>
        <w:t xml:space="preserve"> including representatives of the Ministry of Health, the Ministry of Education, the Ministry of Social Affairs and Social Services, and the Ministry of Finance</w:t>
      </w:r>
      <w:r w:rsidR="00101410" w:rsidRPr="00BC6240">
        <w:rPr>
          <w:rFonts w:cs="Arial"/>
          <w:sz w:val="24"/>
          <w:szCs w:val="24"/>
        </w:rPr>
        <w:t>—</w:t>
      </w:r>
      <w:r w:rsidRPr="00BC6240">
        <w:rPr>
          <w:rFonts w:cs="Arial"/>
          <w:sz w:val="24"/>
          <w:szCs w:val="24"/>
        </w:rPr>
        <w:t>whose task was to formulate a plan for the establishment of service centers. According to this decision, integrated health services would be provided at preschool centers in the south of the country, in the realms of welfare and education. The inter-</w:t>
      </w:r>
      <w:r w:rsidR="00101410" w:rsidRPr="00BC6240">
        <w:rPr>
          <w:rFonts w:cs="Arial"/>
          <w:sz w:val="24"/>
          <w:szCs w:val="24"/>
        </w:rPr>
        <w:t xml:space="preserve">agency </w:t>
      </w:r>
      <w:r w:rsidRPr="00BC6240">
        <w:rPr>
          <w:rFonts w:cs="Arial"/>
          <w:sz w:val="24"/>
          <w:szCs w:val="24"/>
        </w:rPr>
        <w:t>team formulated a model for a preschool service arrangement, submitted in March 2015.</w:t>
      </w:r>
      <w:r w:rsidR="002A606B" w:rsidRPr="00BC6240">
        <w:rPr>
          <w:rFonts w:cs="Arial"/>
          <w:sz w:val="24"/>
          <w:szCs w:val="24"/>
        </w:rPr>
        <w:t xml:space="preserve"> The team members agreed that the project's management at the national and regional levels should be tasked to the National Program for Children and Youth at Risk, an inter-agency platform operating since 2006, as it already carries out joint activities </w:t>
      </w:r>
      <w:r w:rsidR="004E0515">
        <w:rPr>
          <w:rFonts w:cs="Arial"/>
          <w:sz w:val="24"/>
          <w:szCs w:val="24"/>
        </w:rPr>
        <w:t>with</w:t>
      </w:r>
      <w:r w:rsidR="002A606B" w:rsidRPr="00BC6240">
        <w:rPr>
          <w:rFonts w:cs="Arial"/>
          <w:sz w:val="24"/>
          <w:szCs w:val="24"/>
        </w:rPr>
        <w:t xml:space="preserve"> most of the partnering ministries. However, according to the staff report, changes to the composition and roles of the management platform will need to be implemented to accommodate the new responsibilities.</w:t>
      </w:r>
    </w:p>
    <w:p w14:paraId="054FBEAC" w14:textId="77777777" w:rsidR="001B3AEC" w:rsidRPr="00BC6240" w:rsidRDefault="001B3AEC" w:rsidP="0007203C">
      <w:pPr>
        <w:bidi w:val="0"/>
        <w:spacing w:after="240"/>
        <w:rPr>
          <w:rFonts w:cs="Arial"/>
          <w:sz w:val="24"/>
          <w:szCs w:val="24"/>
        </w:rPr>
      </w:pPr>
      <w:r w:rsidRPr="00BC6240">
        <w:rPr>
          <w:rFonts w:cs="Arial"/>
          <w:sz w:val="24"/>
          <w:szCs w:val="24"/>
        </w:rPr>
        <w:t>Additionally, figures published in 2018 show that the State of Israel's budget for preschool children is the lowest among the OECD countries</w:t>
      </w:r>
      <w:r w:rsidR="00794A29" w:rsidRPr="00BC6240">
        <w:rPr>
          <w:rFonts w:cs="Arial"/>
          <w:sz w:val="24"/>
          <w:szCs w:val="24"/>
        </w:rPr>
        <w:t>—</w:t>
      </w:r>
      <w:r w:rsidRPr="00BC6240">
        <w:rPr>
          <w:rFonts w:cs="Arial"/>
          <w:sz w:val="24"/>
          <w:szCs w:val="24"/>
        </w:rPr>
        <w:t xml:space="preserve">comprising only about 20% of the accepted budget in developed countries. For every child aged 0-3 in supervised and subsidized daycare centers or in private settings, Israel invests an equivalent of $2,713 per year, compared to an average of $12,400 per year in OECD </w:t>
      </w:r>
      <w:r w:rsidRPr="00BC6240">
        <w:rPr>
          <w:rFonts w:cs="Arial"/>
          <w:sz w:val="24"/>
          <w:szCs w:val="24"/>
        </w:rPr>
        <w:lastRenderedPageBreak/>
        <w:t>countries. As mentioned, only a third of children of this age are in state-controlled and subsidized institutions, but OECD data refers to all children of that age, including those in a private setting.</w:t>
      </w:r>
    </w:p>
    <w:p w14:paraId="5F527312" w14:textId="77777777" w:rsidR="008038A0" w:rsidRPr="00BC6240" w:rsidRDefault="00C604B2" w:rsidP="0007203C">
      <w:pPr>
        <w:bidi w:val="0"/>
        <w:spacing w:after="120"/>
        <w:rPr>
          <w:b/>
          <w:bCs/>
          <w:color w:val="1F497D" w:themeColor="text2"/>
          <w:sz w:val="20"/>
          <w:szCs w:val="20"/>
        </w:rPr>
      </w:pPr>
      <w:r w:rsidRPr="00BC6240">
        <w:rPr>
          <w:b/>
          <w:bCs/>
          <w:color w:val="1F497D" w:themeColor="text2"/>
          <w:sz w:val="24"/>
          <w:szCs w:val="24"/>
          <w:rtl/>
        </w:rPr>
        <w:t>7</w:t>
      </w:r>
      <w:r w:rsidRPr="00BC6240">
        <w:rPr>
          <w:b/>
          <w:bCs/>
          <w:color w:val="1F497D" w:themeColor="text2"/>
          <w:sz w:val="24"/>
          <w:szCs w:val="24"/>
        </w:rPr>
        <w:t xml:space="preserve">. </w:t>
      </w:r>
      <w:r w:rsidR="0007203C">
        <w:rPr>
          <w:b/>
          <w:bCs/>
          <w:color w:val="1F497D" w:themeColor="text2"/>
          <w:sz w:val="24"/>
          <w:szCs w:val="24"/>
        </w:rPr>
        <w:t>Advancing</w:t>
      </w:r>
      <w:r w:rsidRPr="00BC6240">
        <w:rPr>
          <w:b/>
          <w:bCs/>
          <w:color w:val="1F497D" w:themeColor="text2"/>
          <w:sz w:val="24"/>
          <w:szCs w:val="24"/>
        </w:rPr>
        <w:t xml:space="preserve"> the Bedouin population</w:t>
      </w:r>
      <w:r w:rsidR="008038A0" w:rsidRPr="00BC6240">
        <w:rPr>
          <w:rStyle w:val="FootnoteReference"/>
          <w:b/>
          <w:bCs/>
          <w:color w:val="1F497D" w:themeColor="text2"/>
          <w:sz w:val="20"/>
          <w:szCs w:val="20"/>
          <w:rtl/>
        </w:rPr>
        <w:footnoteReference w:id="15"/>
      </w:r>
      <w:r w:rsidR="008038A0" w:rsidRPr="00BC6240">
        <w:rPr>
          <w:b/>
          <w:bCs/>
          <w:color w:val="1F497D" w:themeColor="text2"/>
          <w:sz w:val="20"/>
          <w:szCs w:val="20"/>
          <w:rtl/>
        </w:rPr>
        <w:t xml:space="preserve"> </w:t>
      </w:r>
    </w:p>
    <w:p w14:paraId="79156848" w14:textId="0D3181DC" w:rsidR="002F4B47" w:rsidRPr="00BC6240" w:rsidRDefault="00C604B2" w:rsidP="00DB24CD">
      <w:pPr>
        <w:bidi w:val="0"/>
        <w:spacing w:after="240"/>
        <w:rPr>
          <w:rFonts w:cs="Arial"/>
          <w:sz w:val="24"/>
          <w:szCs w:val="24"/>
        </w:rPr>
      </w:pPr>
      <w:r w:rsidRPr="00BC6240">
        <w:rPr>
          <w:rFonts w:cs="Arial"/>
          <w:sz w:val="24"/>
          <w:szCs w:val="24"/>
        </w:rPr>
        <w:t xml:space="preserve">About 230,000 Bedouin live in Israel, most of them in the Negev, and they are among the most disadvantaged groups in the country. Approximately 72% of them live in government towns and recognized villages. The rest live in unrecognized villages that predate the establishment of the state. In </w:t>
      </w:r>
      <w:commentRangeStart w:id="11"/>
      <w:r w:rsidRPr="00BC6240">
        <w:rPr>
          <w:rFonts w:cs="Arial"/>
          <w:sz w:val="24"/>
          <w:szCs w:val="24"/>
        </w:rPr>
        <w:t>all of the above localities</w:t>
      </w:r>
      <w:commentRangeEnd w:id="11"/>
      <w:r w:rsidRPr="00BC6240">
        <w:rPr>
          <w:rStyle w:val="CommentReference"/>
        </w:rPr>
        <w:commentReference w:id="11"/>
      </w:r>
      <w:r w:rsidRPr="00BC6240">
        <w:rPr>
          <w:rFonts w:cs="Arial"/>
          <w:sz w:val="24"/>
          <w:szCs w:val="24"/>
        </w:rPr>
        <w:t>, public services and infrastructure are partial to nonexistent</w:t>
      </w:r>
      <w:r w:rsidRPr="00BC6240">
        <w:rPr>
          <w:rFonts w:cs="Arial"/>
          <w:sz w:val="24"/>
          <w:szCs w:val="24"/>
          <w:rtl/>
        </w:rPr>
        <w:t>.</w:t>
      </w:r>
      <w:r w:rsidR="00902865" w:rsidRPr="00BC6240">
        <w:rPr>
          <w:rFonts w:cs="Arial"/>
          <w:sz w:val="24"/>
          <w:szCs w:val="24"/>
        </w:rPr>
        <w:t xml:space="preserve"> The Bedouin constitute over a third of Negev residents, but are allotted only 14.2% of the built localities. They suffer from frequent house demolitions as part of the planning bodies</w:t>
      </w:r>
      <w:r w:rsidR="00DB24CD">
        <w:rPr>
          <w:rFonts w:cs="Arial"/>
          <w:sz w:val="24"/>
          <w:szCs w:val="24"/>
        </w:rPr>
        <w:t>’</w:t>
      </w:r>
      <w:r w:rsidR="00902865" w:rsidRPr="00BC6240">
        <w:rPr>
          <w:rFonts w:cs="Arial"/>
          <w:sz w:val="24"/>
          <w:szCs w:val="24"/>
        </w:rPr>
        <w:t xml:space="preserve"> rigid enforcement policy. The state has long discussed the need to regulate Bedouin settlement and in 2013 the government adopted MK Benny </w:t>
      </w:r>
      <w:proofErr w:type="spellStart"/>
      <w:r w:rsidR="00902865" w:rsidRPr="00BC6240">
        <w:rPr>
          <w:rFonts w:cs="Arial"/>
          <w:sz w:val="24"/>
          <w:szCs w:val="24"/>
        </w:rPr>
        <w:t>Begin's</w:t>
      </w:r>
      <w:proofErr w:type="spellEnd"/>
      <w:r w:rsidR="00902865" w:rsidRPr="00BC6240">
        <w:rPr>
          <w:rFonts w:cs="Arial"/>
          <w:sz w:val="24"/>
          <w:szCs w:val="24"/>
        </w:rPr>
        <w:t xml:space="preserve"> </w:t>
      </w:r>
      <w:proofErr w:type="spellStart"/>
      <w:r w:rsidR="00902865" w:rsidRPr="00BC6240">
        <w:rPr>
          <w:rFonts w:cs="Arial"/>
          <w:sz w:val="24"/>
          <w:szCs w:val="24"/>
        </w:rPr>
        <w:t>Prawer</w:t>
      </w:r>
      <w:proofErr w:type="spellEnd"/>
      <w:r w:rsidR="00902865" w:rsidRPr="00BC6240">
        <w:rPr>
          <w:rFonts w:cs="Arial"/>
          <w:sz w:val="24"/>
          <w:szCs w:val="24"/>
        </w:rPr>
        <w:t xml:space="preserve"> Plan.</w:t>
      </w:r>
      <w:r w:rsidR="00B05C61" w:rsidRPr="00BC6240">
        <w:rPr>
          <w:rFonts w:cs="Arial"/>
          <w:sz w:val="24"/>
          <w:szCs w:val="24"/>
        </w:rPr>
        <w:t xml:space="preserve"> This plan was based on the recommendations of a committee headed by Ehud </w:t>
      </w:r>
      <w:proofErr w:type="spellStart"/>
      <w:r w:rsidR="00B05C61" w:rsidRPr="00BC6240">
        <w:rPr>
          <w:rFonts w:cs="Arial"/>
          <w:sz w:val="24"/>
          <w:szCs w:val="24"/>
        </w:rPr>
        <w:t>Prawer</w:t>
      </w:r>
      <w:proofErr w:type="spellEnd"/>
      <w:r w:rsidR="00B05C61" w:rsidRPr="00BC6240">
        <w:rPr>
          <w:rFonts w:cs="Arial"/>
          <w:sz w:val="24"/>
          <w:szCs w:val="24"/>
        </w:rPr>
        <w:t>, head of the Prime Minister's Office for Policy Planning, which arranges land ownership claims by handing some Bedouin land to a small group of them and evicting tens of thousands of Bedouin from the unrecognized villages to the permanent settlements.</w:t>
      </w:r>
      <w:r w:rsidR="002F4B47" w:rsidRPr="00BC6240">
        <w:rPr>
          <w:rFonts w:cs="Arial"/>
          <w:sz w:val="24"/>
          <w:szCs w:val="24"/>
        </w:rPr>
        <w:t xml:space="preserve"> The plan sparked a sharp wave of protest and was shelved. </w:t>
      </w:r>
    </w:p>
    <w:p w14:paraId="454E7DD4" w14:textId="77777777" w:rsidR="00C604B2" w:rsidRPr="00BC6240" w:rsidRDefault="002F4B47" w:rsidP="00E4195C">
      <w:pPr>
        <w:bidi w:val="0"/>
        <w:spacing w:after="240"/>
        <w:rPr>
          <w:rFonts w:cs="Arial"/>
          <w:sz w:val="24"/>
          <w:szCs w:val="24"/>
        </w:rPr>
      </w:pPr>
      <w:r w:rsidRPr="00BC6240">
        <w:rPr>
          <w:rFonts w:cs="Arial"/>
          <w:sz w:val="24"/>
          <w:szCs w:val="24"/>
        </w:rPr>
        <w:t>All of the Bedouin communities in the Negev are ranked in the lowest socioeconomic cluster, with large gaps separating the</w:t>
      </w:r>
      <w:r w:rsidR="00ED0E6E" w:rsidRPr="00BC6240">
        <w:rPr>
          <w:rFonts w:cs="Arial"/>
          <w:sz w:val="24"/>
          <w:szCs w:val="24"/>
        </w:rPr>
        <w:t xml:space="preserve">m </w:t>
      </w:r>
      <w:r w:rsidRPr="00BC6240">
        <w:rPr>
          <w:rFonts w:cs="Arial"/>
          <w:sz w:val="24"/>
          <w:szCs w:val="24"/>
        </w:rPr>
        <w:t>from the rest of the population: In education, the Bedouin average a low number of years of schooling, the lowest rate of matriculation eligibility, and a high dropout rate. The rate of matriculation eligibility is significantly lower than for Jews and non-Bedouin Arabs (30.3% in 2004)</w:t>
      </w:r>
      <w:r w:rsidR="00B41F1D" w:rsidRPr="00BC6240">
        <w:rPr>
          <w:rFonts w:cs="Arial"/>
          <w:sz w:val="24"/>
          <w:szCs w:val="24"/>
        </w:rPr>
        <w:t>. About a third of t</w:t>
      </w:r>
      <w:r w:rsidRPr="00BC6240">
        <w:rPr>
          <w:rFonts w:cs="Arial"/>
          <w:sz w:val="24"/>
          <w:szCs w:val="24"/>
        </w:rPr>
        <w:t xml:space="preserve">welfth graders dropped out of school and over half attended school for </w:t>
      </w:r>
      <w:r w:rsidR="000B79E8" w:rsidRPr="00BC6240">
        <w:rPr>
          <w:rFonts w:cs="Arial"/>
          <w:sz w:val="24"/>
          <w:szCs w:val="24"/>
        </w:rPr>
        <w:t xml:space="preserve">only </w:t>
      </w:r>
      <w:r w:rsidRPr="00BC6240">
        <w:rPr>
          <w:rFonts w:cs="Arial"/>
          <w:sz w:val="24"/>
          <w:szCs w:val="24"/>
        </w:rPr>
        <w:t xml:space="preserve">eight </w:t>
      </w:r>
      <w:commentRangeStart w:id="12"/>
      <w:r w:rsidRPr="00BC6240">
        <w:rPr>
          <w:rFonts w:cs="Arial"/>
          <w:sz w:val="24"/>
          <w:szCs w:val="24"/>
        </w:rPr>
        <w:t>years</w:t>
      </w:r>
      <w:commentRangeEnd w:id="12"/>
      <w:r w:rsidR="00B41F1D" w:rsidRPr="00BC6240">
        <w:rPr>
          <w:rStyle w:val="CommentReference"/>
        </w:rPr>
        <w:commentReference w:id="12"/>
      </w:r>
      <w:r w:rsidRPr="00BC6240">
        <w:rPr>
          <w:rFonts w:cs="Arial"/>
          <w:sz w:val="24"/>
          <w:szCs w:val="24"/>
        </w:rPr>
        <w:t>.</w:t>
      </w:r>
    </w:p>
    <w:p w14:paraId="6F3E089A" w14:textId="77777777" w:rsidR="000B79E8" w:rsidRPr="00BC6240" w:rsidRDefault="000B79E8" w:rsidP="00D05811">
      <w:pPr>
        <w:bidi w:val="0"/>
        <w:spacing w:after="240"/>
        <w:rPr>
          <w:rFonts w:cs="Arial"/>
          <w:sz w:val="24"/>
          <w:szCs w:val="24"/>
        </w:rPr>
      </w:pPr>
      <w:r w:rsidRPr="00BC6240">
        <w:rPr>
          <w:rFonts w:cs="Arial"/>
          <w:sz w:val="24"/>
          <w:szCs w:val="24"/>
        </w:rPr>
        <w:t xml:space="preserve">In employment, most Bedouin earn below minimum wage, the average wage among them being significantly lower than the economic average. Many families rely on a single breadwinner and a high rate of </w:t>
      </w:r>
      <w:r w:rsidR="00D05811">
        <w:rPr>
          <w:rFonts w:cs="Arial"/>
          <w:sz w:val="24"/>
          <w:szCs w:val="24"/>
        </w:rPr>
        <w:t xml:space="preserve">welfare </w:t>
      </w:r>
      <w:r w:rsidRPr="00BC6240">
        <w:rPr>
          <w:rFonts w:cs="Arial"/>
          <w:sz w:val="24"/>
          <w:szCs w:val="24"/>
        </w:rPr>
        <w:t>benefits recipients. As of 2013, the gap between the average wage in Bedouin localities and the average wage in Israel ranged from NIS 3,600 to NIS 4,700.</w:t>
      </w:r>
    </w:p>
    <w:p w14:paraId="39DCECF0" w14:textId="77777777" w:rsidR="00F9266E" w:rsidRPr="00BC6240" w:rsidRDefault="005358E9" w:rsidP="00E4195C">
      <w:pPr>
        <w:bidi w:val="0"/>
        <w:spacing w:after="120"/>
        <w:rPr>
          <w:b/>
          <w:bCs/>
          <w:color w:val="1F497D" w:themeColor="text2"/>
          <w:sz w:val="20"/>
          <w:szCs w:val="20"/>
          <w:rtl/>
        </w:rPr>
      </w:pPr>
      <w:r w:rsidRPr="00BC6240">
        <w:rPr>
          <w:b/>
          <w:bCs/>
          <w:color w:val="1F497D" w:themeColor="text2"/>
          <w:sz w:val="28"/>
          <w:szCs w:val="28"/>
        </w:rPr>
        <w:t>8. Promoting food security - prevention of excess and deficiency through healthy nutrition</w:t>
      </w:r>
      <w:r w:rsidR="00EE54C6" w:rsidRPr="00BC6240">
        <w:rPr>
          <w:rStyle w:val="FootnoteReference"/>
          <w:b/>
          <w:bCs/>
          <w:color w:val="1F497D" w:themeColor="text2"/>
          <w:sz w:val="20"/>
          <w:szCs w:val="20"/>
          <w:rtl/>
        </w:rPr>
        <w:footnoteReference w:id="16"/>
      </w:r>
      <w:r w:rsidR="00F9266E" w:rsidRPr="00BC6240">
        <w:rPr>
          <w:b/>
          <w:bCs/>
          <w:color w:val="1F497D" w:themeColor="text2"/>
          <w:sz w:val="20"/>
          <w:szCs w:val="20"/>
          <w:rtl/>
        </w:rPr>
        <w:t xml:space="preserve"> </w:t>
      </w:r>
    </w:p>
    <w:p w14:paraId="6B7A89BA" w14:textId="77777777" w:rsidR="00666C48" w:rsidRPr="00BC6240" w:rsidRDefault="00666C48" w:rsidP="00E4195C">
      <w:pPr>
        <w:bidi w:val="0"/>
        <w:spacing w:after="240"/>
        <w:rPr>
          <w:rFonts w:cs="Arial"/>
          <w:sz w:val="24"/>
          <w:szCs w:val="24"/>
        </w:rPr>
      </w:pPr>
      <w:r w:rsidRPr="00BC6240">
        <w:rPr>
          <w:rFonts w:cs="Arial"/>
          <w:sz w:val="24"/>
          <w:szCs w:val="24"/>
        </w:rPr>
        <w:lastRenderedPageBreak/>
        <w:t xml:space="preserve">An estimated 2.8 million people worldwide die from </w:t>
      </w:r>
      <w:commentRangeStart w:id="13"/>
      <w:r w:rsidRPr="00BC6240">
        <w:rPr>
          <w:rFonts w:cs="Arial"/>
          <w:sz w:val="24"/>
          <w:szCs w:val="24"/>
        </w:rPr>
        <w:t>being overweight</w:t>
      </w:r>
      <w:commentRangeEnd w:id="13"/>
      <w:r w:rsidR="00D05811">
        <w:rPr>
          <w:rStyle w:val="CommentReference"/>
        </w:rPr>
        <w:commentReference w:id="13"/>
      </w:r>
      <w:r w:rsidRPr="00BC6240">
        <w:rPr>
          <w:rFonts w:cs="Arial"/>
          <w:sz w:val="24"/>
          <w:szCs w:val="24"/>
        </w:rPr>
        <w:t xml:space="preserve"> each year. In Israel, the numbers are estimated to be about 4,085 annually, of whom about 1,410 die from weight-related heart disease, about 530 from weight-related Type </w:t>
      </w:r>
      <w:r w:rsidR="000029D1" w:rsidRPr="00BC6240">
        <w:rPr>
          <w:rFonts w:cs="Arial"/>
          <w:sz w:val="24"/>
          <w:szCs w:val="24"/>
        </w:rPr>
        <w:t>2</w:t>
      </w:r>
      <w:r w:rsidRPr="00BC6240">
        <w:rPr>
          <w:rFonts w:cs="Arial"/>
          <w:sz w:val="24"/>
          <w:szCs w:val="24"/>
        </w:rPr>
        <w:t xml:space="preserve"> </w:t>
      </w:r>
      <w:r w:rsidR="000029D1" w:rsidRPr="00BC6240">
        <w:rPr>
          <w:rFonts w:cs="Arial"/>
          <w:sz w:val="24"/>
          <w:szCs w:val="24"/>
        </w:rPr>
        <w:t>d</w:t>
      </w:r>
      <w:r w:rsidRPr="00BC6240">
        <w:rPr>
          <w:rFonts w:cs="Arial"/>
          <w:sz w:val="24"/>
          <w:szCs w:val="24"/>
        </w:rPr>
        <w:t xml:space="preserve">iabetes, about 545 die from heart failure, about 445 from stroke, and about 345 from colon cancer. 25% of the adult population in Israel </w:t>
      </w:r>
      <w:commentRangeStart w:id="14"/>
      <w:r w:rsidRPr="00BC6240">
        <w:rPr>
          <w:rFonts w:cs="Arial"/>
          <w:sz w:val="24"/>
          <w:szCs w:val="24"/>
        </w:rPr>
        <w:t>suffers from obesity</w:t>
      </w:r>
      <w:commentRangeEnd w:id="14"/>
      <w:r w:rsidR="00C34CB5">
        <w:rPr>
          <w:rStyle w:val="CommentReference"/>
        </w:rPr>
        <w:commentReference w:id="14"/>
      </w:r>
      <w:r w:rsidRPr="00BC6240">
        <w:rPr>
          <w:rFonts w:cs="Arial"/>
          <w:sz w:val="24"/>
          <w:szCs w:val="24"/>
        </w:rPr>
        <w:t>, as well as over 12% of children and youth</w:t>
      </w:r>
      <w:r w:rsidR="00DF2D83" w:rsidRPr="00BC6240">
        <w:rPr>
          <w:rFonts w:cs="Arial"/>
          <w:sz w:val="24"/>
          <w:szCs w:val="24"/>
        </w:rPr>
        <w:t>—</w:t>
      </w:r>
      <w:r w:rsidRPr="00BC6240">
        <w:rPr>
          <w:rFonts w:cs="Arial"/>
          <w:sz w:val="24"/>
          <w:szCs w:val="24"/>
          <w:u w:val="single"/>
        </w:rPr>
        <w:t xml:space="preserve">the highest prevalence </w:t>
      </w:r>
      <w:commentRangeStart w:id="15"/>
      <w:r w:rsidRPr="00BC6240">
        <w:rPr>
          <w:rFonts w:cs="Arial"/>
          <w:sz w:val="24"/>
          <w:szCs w:val="24"/>
          <w:u w:val="single"/>
        </w:rPr>
        <w:t>among European countries</w:t>
      </w:r>
      <w:commentRangeEnd w:id="15"/>
      <w:r w:rsidR="001D5C4E">
        <w:rPr>
          <w:rStyle w:val="CommentReference"/>
        </w:rPr>
        <w:commentReference w:id="15"/>
      </w:r>
      <w:r w:rsidRPr="00BC6240">
        <w:rPr>
          <w:rFonts w:cs="Arial"/>
          <w:sz w:val="24"/>
          <w:szCs w:val="24"/>
        </w:rPr>
        <w:t>. Among seventh graders, this figure is 12.5%.</w:t>
      </w:r>
      <w:r w:rsidR="00C55B33" w:rsidRPr="00BC6240">
        <w:rPr>
          <w:rFonts w:cs="Arial"/>
          <w:sz w:val="24"/>
          <w:szCs w:val="24"/>
        </w:rPr>
        <w:t xml:space="preserve"> The proportion of people with obesity in Israel rises with age: for example, about a third of those aged 55 and over suffer</w:t>
      </w:r>
      <w:r w:rsidR="00D05811">
        <w:rPr>
          <w:rFonts w:cs="Arial"/>
          <w:sz w:val="24"/>
          <w:szCs w:val="24"/>
        </w:rPr>
        <w:t>s</w:t>
      </w:r>
      <w:r w:rsidR="00C55B33" w:rsidRPr="00BC6240">
        <w:rPr>
          <w:rFonts w:cs="Arial"/>
          <w:sz w:val="24"/>
          <w:szCs w:val="24"/>
        </w:rPr>
        <w:t xml:space="preserve"> from obesity. Women have a higher incidence of obesity: 25% on average, compared to 22% on average for men.</w:t>
      </w:r>
    </w:p>
    <w:p w14:paraId="57029CE7" w14:textId="77777777" w:rsidR="0074199A" w:rsidRPr="00BC6240" w:rsidRDefault="0074199A" w:rsidP="00E4195C">
      <w:pPr>
        <w:bidi w:val="0"/>
        <w:spacing w:after="240"/>
        <w:rPr>
          <w:rFonts w:cs="Arial"/>
          <w:sz w:val="24"/>
          <w:szCs w:val="24"/>
        </w:rPr>
      </w:pPr>
      <w:r w:rsidRPr="00BC6240">
        <w:rPr>
          <w:rFonts w:cs="Arial"/>
          <w:sz w:val="24"/>
          <w:szCs w:val="24"/>
        </w:rPr>
        <w:t>The lower the socioeconomic status, the higher the rate of obesity, with the percentage of obese patients in the center of the country being lower than in the periphery. The issue of obesity is particularly serious among the Arab population in Israel: About half of women aged 50-60 suffer from obesity, compared to about a third of Jewish women.</w:t>
      </w:r>
    </w:p>
    <w:p w14:paraId="1A4A3F55" w14:textId="77777777" w:rsidR="002B1403" w:rsidRPr="00BC6240" w:rsidRDefault="002B1403" w:rsidP="00E4195C">
      <w:pPr>
        <w:bidi w:val="0"/>
        <w:spacing w:after="240"/>
        <w:rPr>
          <w:rFonts w:cs="Arial"/>
          <w:sz w:val="24"/>
          <w:szCs w:val="24"/>
        </w:rPr>
      </w:pPr>
      <w:r w:rsidRPr="00BC6240">
        <w:rPr>
          <w:rFonts w:cs="Arial"/>
          <w:sz w:val="24"/>
          <w:szCs w:val="24"/>
        </w:rPr>
        <w:t>According to research data by Dr. Gary Gin</w:t>
      </w:r>
      <w:r w:rsidR="00E83518" w:rsidRPr="00BC6240">
        <w:rPr>
          <w:rFonts w:cs="Arial"/>
          <w:sz w:val="24"/>
          <w:szCs w:val="24"/>
        </w:rPr>
        <w:t>s</w:t>
      </w:r>
      <w:r w:rsidRPr="00BC6240">
        <w:rPr>
          <w:rFonts w:cs="Arial"/>
          <w:sz w:val="24"/>
          <w:szCs w:val="24"/>
        </w:rPr>
        <w:t>b</w:t>
      </w:r>
      <w:r w:rsidR="00E83518" w:rsidRPr="00BC6240">
        <w:rPr>
          <w:rFonts w:cs="Arial"/>
          <w:sz w:val="24"/>
          <w:szCs w:val="24"/>
        </w:rPr>
        <w:t>e</w:t>
      </w:r>
      <w:r w:rsidRPr="00BC6240">
        <w:rPr>
          <w:rFonts w:cs="Arial"/>
          <w:sz w:val="24"/>
          <w:szCs w:val="24"/>
        </w:rPr>
        <w:t xml:space="preserve">rg of the </w:t>
      </w:r>
      <w:r w:rsidR="00B35E2E" w:rsidRPr="00BC6240">
        <w:rPr>
          <w:rFonts w:cs="Arial"/>
          <w:sz w:val="24"/>
          <w:szCs w:val="24"/>
        </w:rPr>
        <w:t xml:space="preserve">Israel National </w:t>
      </w:r>
      <w:r w:rsidRPr="00BC6240">
        <w:rPr>
          <w:rFonts w:cs="Arial"/>
          <w:sz w:val="24"/>
          <w:szCs w:val="24"/>
        </w:rPr>
        <w:t>Institute for Health Policy Research, the economic cost of excess weight and sugar consumption costs the health care system about NIS 7 billion a year. 21% of th</w:t>
      </w:r>
      <w:r w:rsidR="00D92BDD" w:rsidRPr="00BC6240">
        <w:rPr>
          <w:rFonts w:cs="Arial"/>
          <w:sz w:val="24"/>
          <w:szCs w:val="24"/>
        </w:rPr>
        <w:t>is</w:t>
      </w:r>
      <w:r w:rsidRPr="00BC6240">
        <w:rPr>
          <w:rFonts w:cs="Arial"/>
          <w:sz w:val="24"/>
          <w:szCs w:val="24"/>
        </w:rPr>
        <w:t xml:space="preserve"> amount stem from costs </w:t>
      </w:r>
      <w:r w:rsidR="00D92BDD" w:rsidRPr="00BC6240">
        <w:rPr>
          <w:rFonts w:cs="Arial"/>
          <w:sz w:val="24"/>
          <w:szCs w:val="24"/>
        </w:rPr>
        <w:t xml:space="preserve">for </w:t>
      </w:r>
      <w:r w:rsidRPr="00BC6240">
        <w:rPr>
          <w:rFonts w:cs="Arial"/>
          <w:sz w:val="24"/>
          <w:szCs w:val="24"/>
        </w:rPr>
        <w:t>treat</w:t>
      </w:r>
      <w:r w:rsidR="00D92BDD" w:rsidRPr="00BC6240">
        <w:rPr>
          <w:rFonts w:cs="Arial"/>
          <w:sz w:val="24"/>
          <w:szCs w:val="24"/>
        </w:rPr>
        <w:t>ing</w:t>
      </w:r>
      <w:r w:rsidRPr="00BC6240">
        <w:rPr>
          <w:rFonts w:cs="Arial"/>
          <w:sz w:val="24"/>
          <w:szCs w:val="24"/>
        </w:rPr>
        <w:t xml:space="preserve"> cardiovascular </w:t>
      </w:r>
      <w:r w:rsidR="00D92BDD" w:rsidRPr="00BC6240">
        <w:rPr>
          <w:rFonts w:cs="Arial"/>
          <w:sz w:val="24"/>
          <w:szCs w:val="24"/>
        </w:rPr>
        <w:t>diseases, 21% from d</w:t>
      </w:r>
      <w:r w:rsidRPr="00BC6240">
        <w:rPr>
          <w:rFonts w:cs="Arial"/>
          <w:sz w:val="24"/>
          <w:szCs w:val="24"/>
        </w:rPr>
        <w:t xml:space="preserve">iabetes, and 20% from </w:t>
      </w:r>
      <w:r w:rsidR="00D92BDD" w:rsidRPr="00BC6240">
        <w:rPr>
          <w:rFonts w:cs="Arial"/>
          <w:sz w:val="24"/>
          <w:szCs w:val="24"/>
        </w:rPr>
        <w:t>hypertension</w:t>
      </w:r>
      <w:r w:rsidRPr="00BC6240">
        <w:rPr>
          <w:rFonts w:cs="Arial"/>
          <w:sz w:val="24"/>
          <w:szCs w:val="24"/>
        </w:rPr>
        <w:t>. Additional costs are incurred from the treatment of a variety of diseases in overweight people, such as stroke, asthma, as well as cancer of the prostate, breast, bladder, pancreas, and ovaries.</w:t>
      </w:r>
    </w:p>
    <w:p w14:paraId="2D6C6B8F" w14:textId="77777777" w:rsidR="00EB3F38" w:rsidRPr="00BC6240" w:rsidRDefault="00EB3F38" w:rsidP="00A42D3D">
      <w:pPr>
        <w:bidi w:val="0"/>
        <w:spacing w:after="240"/>
        <w:rPr>
          <w:rFonts w:cs="Arial"/>
          <w:sz w:val="24"/>
          <w:szCs w:val="24"/>
        </w:rPr>
      </w:pPr>
      <w:r w:rsidRPr="00BC6240">
        <w:rPr>
          <w:rFonts w:cs="Arial"/>
          <w:sz w:val="24"/>
          <w:szCs w:val="24"/>
        </w:rPr>
        <w:t>In 2018, the Israeli Medical Association (IMA) and the Israeli Association for the Study of Obesity publicly declared that obesity is a disease. In doing so, Israel joined a number of international organizations, including the World Health Organization, the American Medical Association, and the European Association for the Study of Obesity</w:t>
      </w:r>
      <w:r w:rsidR="00F44F0E">
        <w:rPr>
          <w:rFonts w:cs="Arial"/>
          <w:sz w:val="24"/>
          <w:szCs w:val="24"/>
        </w:rPr>
        <w:t xml:space="preserve">, </w:t>
      </w:r>
      <w:r w:rsidRPr="00BC6240">
        <w:rPr>
          <w:rFonts w:cs="Arial"/>
          <w:sz w:val="24"/>
          <w:szCs w:val="24"/>
        </w:rPr>
        <w:t>which define obesity as an illness and even as an epidemic. Obesity is a chronic disease that results from malfunctioning physiological-genetic mechanisms and not from behavioral failure.</w:t>
      </w:r>
      <w:r w:rsidR="005E531C" w:rsidRPr="00BC6240">
        <w:rPr>
          <w:rFonts w:cs="Arial"/>
          <w:sz w:val="24"/>
          <w:szCs w:val="24"/>
        </w:rPr>
        <w:t xml:space="preserve"> Recent studies also indicate that lifestyle change</w:t>
      </w:r>
      <w:r w:rsidR="00A61BF7" w:rsidRPr="00BC6240">
        <w:rPr>
          <w:rFonts w:cs="Arial"/>
          <w:sz w:val="24"/>
          <w:szCs w:val="24"/>
        </w:rPr>
        <w:t>s</w:t>
      </w:r>
      <w:r w:rsidR="005E531C" w:rsidRPr="00BC6240">
        <w:rPr>
          <w:rFonts w:cs="Arial"/>
          <w:sz w:val="24"/>
          <w:szCs w:val="24"/>
        </w:rPr>
        <w:t xml:space="preserve"> alone </w:t>
      </w:r>
      <w:r w:rsidR="00A61BF7" w:rsidRPr="00BC6240">
        <w:rPr>
          <w:rFonts w:cs="Arial"/>
          <w:sz w:val="24"/>
          <w:szCs w:val="24"/>
        </w:rPr>
        <w:t xml:space="preserve">are </w:t>
      </w:r>
      <w:r w:rsidR="005E531C" w:rsidRPr="00BC6240">
        <w:rPr>
          <w:rFonts w:cs="Arial"/>
          <w:sz w:val="24"/>
          <w:szCs w:val="24"/>
        </w:rPr>
        <w:t xml:space="preserve">not effective in </w:t>
      </w:r>
      <w:r w:rsidR="00A42D3D">
        <w:rPr>
          <w:rFonts w:cs="Arial"/>
          <w:sz w:val="24"/>
          <w:szCs w:val="24"/>
        </w:rPr>
        <w:t xml:space="preserve">maintaining </w:t>
      </w:r>
      <w:r w:rsidR="005E531C" w:rsidRPr="00BC6240">
        <w:rPr>
          <w:rFonts w:cs="Arial"/>
          <w:sz w:val="24"/>
          <w:szCs w:val="24"/>
        </w:rPr>
        <w:t xml:space="preserve">weight reduction over time, </w:t>
      </w:r>
      <w:r w:rsidR="00050761" w:rsidRPr="00BC6240">
        <w:rPr>
          <w:rFonts w:cs="Arial"/>
          <w:sz w:val="24"/>
          <w:szCs w:val="24"/>
        </w:rPr>
        <w:t xml:space="preserve">and </w:t>
      </w:r>
      <w:r w:rsidR="005E531C" w:rsidRPr="00BC6240">
        <w:rPr>
          <w:rFonts w:cs="Arial"/>
          <w:sz w:val="24"/>
          <w:szCs w:val="24"/>
        </w:rPr>
        <w:t xml:space="preserve">that </w:t>
      </w:r>
      <w:r w:rsidR="00050761" w:rsidRPr="00BC6240">
        <w:rPr>
          <w:rFonts w:cs="Arial"/>
          <w:sz w:val="24"/>
          <w:szCs w:val="24"/>
        </w:rPr>
        <w:t xml:space="preserve">people </w:t>
      </w:r>
      <w:r w:rsidR="005E531C" w:rsidRPr="00BC6240">
        <w:rPr>
          <w:rFonts w:cs="Arial"/>
          <w:sz w:val="24"/>
          <w:szCs w:val="24"/>
        </w:rPr>
        <w:t xml:space="preserve">who have been able to </w:t>
      </w:r>
      <w:r w:rsidR="00A42D3D">
        <w:rPr>
          <w:rFonts w:cs="Arial"/>
          <w:sz w:val="24"/>
          <w:szCs w:val="24"/>
        </w:rPr>
        <w:t xml:space="preserve">lower </w:t>
      </w:r>
      <w:r w:rsidR="005E531C" w:rsidRPr="00BC6240">
        <w:rPr>
          <w:rFonts w:cs="Arial"/>
          <w:sz w:val="24"/>
          <w:szCs w:val="24"/>
        </w:rPr>
        <w:t xml:space="preserve">their weight have significantly regained most of </w:t>
      </w:r>
      <w:r w:rsidR="00A42D3D">
        <w:rPr>
          <w:rFonts w:cs="Arial"/>
          <w:sz w:val="24"/>
          <w:szCs w:val="24"/>
        </w:rPr>
        <w:t>it</w:t>
      </w:r>
      <w:r w:rsidR="005E531C" w:rsidRPr="00BC6240">
        <w:rPr>
          <w:rFonts w:cs="Arial"/>
          <w:sz w:val="24"/>
          <w:szCs w:val="24"/>
        </w:rPr>
        <w:t xml:space="preserve">, sometimes gaining </w:t>
      </w:r>
      <w:r w:rsidR="00050761" w:rsidRPr="00BC6240">
        <w:rPr>
          <w:rFonts w:cs="Arial"/>
          <w:sz w:val="24"/>
          <w:szCs w:val="24"/>
        </w:rPr>
        <w:t xml:space="preserve">even </w:t>
      </w:r>
      <w:r w:rsidR="005E531C" w:rsidRPr="00BC6240">
        <w:rPr>
          <w:rFonts w:cs="Arial"/>
          <w:sz w:val="24"/>
          <w:szCs w:val="24"/>
        </w:rPr>
        <w:t>more weight than prior to the change.</w:t>
      </w:r>
    </w:p>
    <w:p w14:paraId="336711F6" w14:textId="77777777" w:rsidR="0013313D" w:rsidRPr="00BC6240" w:rsidRDefault="0013313D" w:rsidP="00E4195C">
      <w:pPr>
        <w:bidi w:val="0"/>
        <w:spacing w:after="240"/>
        <w:rPr>
          <w:b/>
          <w:bCs/>
          <w:color w:val="1F497D" w:themeColor="text2"/>
          <w:sz w:val="20"/>
          <w:szCs w:val="20"/>
        </w:rPr>
      </w:pPr>
      <w:r w:rsidRPr="00BC6240">
        <w:rPr>
          <w:b/>
          <w:bCs/>
          <w:color w:val="1F497D" w:themeColor="text2"/>
          <w:sz w:val="28"/>
          <w:szCs w:val="28"/>
        </w:rPr>
        <w:lastRenderedPageBreak/>
        <w:t>9. Developing skills and expertise for the future labor market</w:t>
      </w:r>
      <w:r w:rsidRPr="00BC6240">
        <w:rPr>
          <w:rStyle w:val="FootnoteReference"/>
          <w:b/>
          <w:bCs/>
          <w:color w:val="1F497D" w:themeColor="text2"/>
          <w:sz w:val="20"/>
          <w:szCs w:val="20"/>
          <w:rtl/>
        </w:rPr>
        <w:footnoteReference w:id="17"/>
      </w:r>
      <w:r w:rsidRPr="00BC6240">
        <w:rPr>
          <w:b/>
          <w:bCs/>
          <w:color w:val="1F497D" w:themeColor="text2"/>
          <w:sz w:val="20"/>
          <w:szCs w:val="20"/>
          <w:rtl/>
        </w:rPr>
        <w:t xml:space="preserve"> </w:t>
      </w:r>
    </w:p>
    <w:p w14:paraId="1428C903" w14:textId="07D0576F" w:rsidR="001966E7" w:rsidRPr="00BC6240" w:rsidRDefault="001966E7" w:rsidP="00507E9D">
      <w:pPr>
        <w:bidi w:val="0"/>
        <w:spacing w:after="240"/>
        <w:rPr>
          <w:rFonts w:cs="Arial"/>
          <w:sz w:val="24"/>
          <w:szCs w:val="24"/>
        </w:rPr>
      </w:pPr>
      <w:r w:rsidRPr="00BC6240">
        <w:rPr>
          <w:rFonts w:cs="Arial"/>
          <w:sz w:val="24"/>
          <w:szCs w:val="24"/>
        </w:rPr>
        <w:t xml:space="preserve">The labor market is dynamic, constantly moving and evolving in the light of globalization, technological innovations, and social changes. A common perception in occupational psychology is that alongside the 'hard' skills (education, experience and training) required in such a labor market, </w:t>
      </w:r>
      <w:r w:rsidR="00507E9D">
        <w:rPr>
          <w:rFonts w:cs="Arial"/>
          <w:sz w:val="24"/>
          <w:szCs w:val="24"/>
        </w:rPr>
        <w:t>there is also need for ‘</w:t>
      </w:r>
      <w:r w:rsidRPr="00BC6240">
        <w:rPr>
          <w:rFonts w:cs="Arial"/>
          <w:sz w:val="24"/>
          <w:szCs w:val="24"/>
        </w:rPr>
        <w:t>soft</w:t>
      </w:r>
      <w:r w:rsidR="00507E9D">
        <w:rPr>
          <w:rFonts w:cs="Arial"/>
          <w:sz w:val="24"/>
          <w:szCs w:val="24"/>
        </w:rPr>
        <w:t>’</w:t>
      </w:r>
      <w:r w:rsidRPr="00BC6240">
        <w:rPr>
          <w:rFonts w:cs="Arial"/>
          <w:sz w:val="24"/>
          <w:szCs w:val="24"/>
        </w:rPr>
        <w:t xml:space="preserve"> skills related to personality traits, communication and behavior patterns, teamwork and common knowledge management, independent conduct, critical thinking</w:t>
      </w:r>
      <w:r w:rsidR="001F33E8">
        <w:rPr>
          <w:rFonts w:cs="Arial"/>
          <w:sz w:val="24"/>
          <w:szCs w:val="24"/>
        </w:rPr>
        <w:t>,</w:t>
      </w:r>
      <w:r w:rsidRPr="00BC6240">
        <w:rPr>
          <w:rFonts w:cs="Arial"/>
          <w:sz w:val="24"/>
          <w:szCs w:val="24"/>
        </w:rPr>
        <w:t xml:space="preserve"> and digital literacy.</w:t>
      </w:r>
    </w:p>
    <w:p w14:paraId="7BB425DE" w14:textId="144A4833" w:rsidR="001966E7" w:rsidRPr="00BC6240" w:rsidRDefault="001966E7" w:rsidP="001F33E8">
      <w:pPr>
        <w:bidi w:val="0"/>
        <w:spacing w:after="240"/>
        <w:rPr>
          <w:rFonts w:cs="Arial"/>
          <w:sz w:val="24"/>
          <w:szCs w:val="24"/>
        </w:rPr>
      </w:pPr>
      <w:r w:rsidRPr="00BC6240">
        <w:rPr>
          <w:rFonts w:cs="Arial"/>
          <w:sz w:val="24"/>
          <w:szCs w:val="24"/>
        </w:rPr>
        <w:t>These "flexible" skills are not unique to a</w:t>
      </w:r>
      <w:r w:rsidR="001F33E8">
        <w:rPr>
          <w:rFonts w:cs="Arial"/>
          <w:sz w:val="24"/>
          <w:szCs w:val="24"/>
        </w:rPr>
        <w:t>ny</w:t>
      </w:r>
      <w:r w:rsidRPr="00BC6240">
        <w:rPr>
          <w:rFonts w:cs="Arial"/>
          <w:sz w:val="24"/>
          <w:szCs w:val="24"/>
        </w:rPr>
        <w:t xml:space="preserve"> given job. There are metrics that try to assess these in a PISA test that examines analysis, inference, and </w:t>
      </w:r>
      <w:r w:rsidR="001F33E8">
        <w:rPr>
          <w:rFonts w:cs="Arial"/>
          <w:sz w:val="24"/>
          <w:szCs w:val="24"/>
        </w:rPr>
        <w:t>critical thinking</w:t>
      </w:r>
      <w:r w:rsidRPr="00BC6240">
        <w:rPr>
          <w:rFonts w:cs="Arial"/>
          <w:sz w:val="24"/>
          <w:szCs w:val="24"/>
        </w:rPr>
        <w:t xml:space="preserve"> capabilities, and a "character strength" test developed by psychologist </w:t>
      </w:r>
      <w:commentRangeStart w:id="16"/>
      <w:r w:rsidRPr="00BC6240">
        <w:rPr>
          <w:rFonts w:cs="Arial"/>
          <w:sz w:val="24"/>
          <w:szCs w:val="24"/>
        </w:rPr>
        <w:t>J</w:t>
      </w:r>
      <w:r w:rsidR="0050149D" w:rsidRPr="00BC6240">
        <w:rPr>
          <w:rFonts w:cs="Arial"/>
          <w:sz w:val="24"/>
          <w:szCs w:val="24"/>
        </w:rPr>
        <w:t>a</w:t>
      </w:r>
      <w:r w:rsidRPr="00BC6240">
        <w:rPr>
          <w:rFonts w:cs="Arial"/>
          <w:sz w:val="24"/>
          <w:szCs w:val="24"/>
        </w:rPr>
        <w:t>n</w:t>
      </w:r>
      <w:r w:rsidR="0050149D" w:rsidRPr="00BC6240">
        <w:rPr>
          <w:rFonts w:cs="Arial"/>
          <w:sz w:val="24"/>
          <w:szCs w:val="24"/>
        </w:rPr>
        <w:t>e</w:t>
      </w:r>
      <w:r w:rsidRPr="00BC6240">
        <w:rPr>
          <w:rFonts w:cs="Arial"/>
          <w:sz w:val="24"/>
          <w:szCs w:val="24"/>
        </w:rPr>
        <w:t xml:space="preserve"> Smith </w:t>
      </w:r>
      <w:commentRangeEnd w:id="16"/>
      <w:r w:rsidR="0050149D" w:rsidRPr="00BC6240">
        <w:rPr>
          <w:rStyle w:val="CommentReference"/>
        </w:rPr>
        <w:commentReference w:id="16"/>
      </w:r>
      <w:r w:rsidRPr="00BC6240">
        <w:rPr>
          <w:rFonts w:cs="Arial"/>
          <w:sz w:val="24"/>
          <w:szCs w:val="24"/>
        </w:rPr>
        <w:t xml:space="preserve">in which questions assess commitment, responsibility, </w:t>
      </w:r>
      <w:proofErr w:type="spellStart"/>
      <w:r w:rsidRPr="00BC6240">
        <w:rPr>
          <w:rFonts w:cs="Arial"/>
          <w:sz w:val="24"/>
          <w:szCs w:val="24"/>
        </w:rPr>
        <w:t>methodical</w:t>
      </w:r>
      <w:r w:rsidR="00D41FE9">
        <w:rPr>
          <w:rFonts w:cs="Arial"/>
          <w:sz w:val="24"/>
          <w:szCs w:val="24"/>
        </w:rPr>
        <w:t>ity</w:t>
      </w:r>
      <w:proofErr w:type="spellEnd"/>
      <w:r w:rsidRPr="00BC6240">
        <w:rPr>
          <w:rFonts w:cs="Arial"/>
          <w:sz w:val="24"/>
          <w:szCs w:val="24"/>
        </w:rPr>
        <w:t>, and determination.</w:t>
      </w:r>
    </w:p>
    <w:p w14:paraId="491DB52D" w14:textId="77777777" w:rsidR="001966E7" w:rsidRPr="00BC6240" w:rsidRDefault="001966E7" w:rsidP="002F494F">
      <w:pPr>
        <w:bidi w:val="0"/>
        <w:spacing w:after="240"/>
        <w:rPr>
          <w:rFonts w:cs="Arial"/>
          <w:sz w:val="24"/>
          <w:szCs w:val="24"/>
        </w:rPr>
      </w:pPr>
      <w:r w:rsidRPr="00BC6240">
        <w:rPr>
          <w:rFonts w:cs="Arial"/>
          <w:sz w:val="24"/>
          <w:szCs w:val="24"/>
        </w:rPr>
        <w:t xml:space="preserve">The Israeli education system is </w:t>
      </w:r>
      <w:r w:rsidR="008C130F" w:rsidRPr="00BC6240">
        <w:rPr>
          <w:rFonts w:cs="Arial"/>
          <w:sz w:val="24"/>
          <w:szCs w:val="24"/>
        </w:rPr>
        <w:t xml:space="preserve">bound </w:t>
      </w:r>
      <w:r w:rsidRPr="00BC6240">
        <w:rPr>
          <w:rFonts w:cs="Arial"/>
          <w:sz w:val="24"/>
          <w:szCs w:val="24"/>
        </w:rPr>
        <w:t>by outdated perceptions of the labor market</w:t>
      </w:r>
      <w:r w:rsidR="002F494F">
        <w:rPr>
          <w:rFonts w:cs="Arial"/>
          <w:sz w:val="24"/>
          <w:szCs w:val="24"/>
        </w:rPr>
        <w:t xml:space="preserve">: </w:t>
      </w:r>
      <w:r w:rsidRPr="00BC6240">
        <w:rPr>
          <w:rFonts w:cs="Arial"/>
          <w:sz w:val="24"/>
          <w:szCs w:val="24"/>
        </w:rPr>
        <w:t>there are reasonable grounds to fears that it fails to adequately impart the skills that students need in the future market. Failure to adapt to market demands can seriously harm the economy and the success of individuals in society.</w:t>
      </w:r>
    </w:p>
    <w:p w14:paraId="13BC5F2F" w14:textId="77777777" w:rsidR="005245D7" w:rsidRPr="00BC6240" w:rsidRDefault="005245D7" w:rsidP="00E4195C">
      <w:pPr>
        <w:bidi w:val="0"/>
        <w:spacing w:after="240"/>
        <w:rPr>
          <w:rFonts w:cs="Arial"/>
          <w:sz w:val="24"/>
          <w:szCs w:val="24"/>
        </w:rPr>
      </w:pPr>
      <w:r w:rsidRPr="00BC6240">
        <w:rPr>
          <w:rFonts w:cs="Arial"/>
          <w:sz w:val="24"/>
          <w:szCs w:val="24"/>
        </w:rPr>
        <w:t>In recent decades, the mix of growth factors in the economy has changed dramatically: Up until 20 years ago, 29% of growth was due to human capital, which fell to 12% in the last decade, with human capital embodied in skills accounting for 21% of the productivity gap between Israel and the leading OECD countries. In digital literacy, there is a lag among Israeli students compared to other OECD countries: 16% of the population has not been tested on a computerized track (compared to 11% in the OECD), and 27% have been rated at high proficiency levels (compared to 31%). One reason is the large gaps between sectors: Secular Jews exhibit good skills, while these are especially low among ultra-Orthodox and Arabs.</w:t>
      </w:r>
    </w:p>
    <w:p w14:paraId="3C9C4DC4" w14:textId="77777777" w:rsidR="0025707D" w:rsidRPr="004824F8" w:rsidRDefault="004824F8" w:rsidP="004824F8">
      <w:pPr>
        <w:bidi w:val="0"/>
        <w:spacing w:after="120"/>
        <w:rPr>
          <w:b/>
          <w:bCs/>
          <w:color w:val="1F497D" w:themeColor="text2"/>
          <w:sz w:val="24"/>
          <w:szCs w:val="24"/>
        </w:rPr>
      </w:pPr>
      <w:r>
        <w:rPr>
          <w:b/>
          <w:bCs/>
          <w:color w:val="1F497D" w:themeColor="text2"/>
          <w:sz w:val="28"/>
          <w:szCs w:val="28"/>
        </w:rPr>
        <w:t xml:space="preserve">10. </w:t>
      </w:r>
      <w:r w:rsidR="0025707D" w:rsidRPr="004824F8">
        <w:rPr>
          <w:b/>
          <w:bCs/>
          <w:color w:val="1F497D" w:themeColor="text2"/>
          <w:sz w:val="28"/>
          <w:szCs w:val="28"/>
        </w:rPr>
        <w:t>Promoting quality of life and accessibility for persons with disabilities</w:t>
      </w:r>
      <w:r w:rsidR="0025707D" w:rsidRPr="00BC6240">
        <w:rPr>
          <w:rStyle w:val="FootnoteReference"/>
          <w:color w:val="1F497D" w:themeColor="text2"/>
          <w:sz w:val="20"/>
          <w:szCs w:val="20"/>
          <w:rtl/>
        </w:rPr>
        <w:footnoteReference w:id="18"/>
      </w:r>
    </w:p>
    <w:p w14:paraId="53601AD0" w14:textId="77777777" w:rsidR="00E56D57" w:rsidRPr="00BC6240" w:rsidRDefault="00316376" w:rsidP="00FB5DA8">
      <w:pPr>
        <w:bidi w:val="0"/>
        <w:rPr>
          <w:sz w:val="24"/>
          <w:szCs w:val="24"/>
        </w:rPr>
      </w:pPr>
      <w:r w:rsidRPr="00BC6240">
        <w:rPr>
          <w:sz w:val="24"/>
          <w:szCs w:val="24"/>
        </w:rPr>
        <w:t xml:space="preserve">As of the end of 2016, approximately 1.41 million people who define themselves as having one or more disabilities are living in the State of Israel. The percentage of people with disabilities in the general population of Israel is about 17%. 235,000 </w:t>
      </w:r>
      <w:r w:rsidRPr="00BC6240">
        <w:rPr>
          <w:sz w:val="24"/>
          <w:szCs w:val="24"/>
        </w:rPr>
        <w:lastRenderedPageBreak/>
        <w:t xml:space="preserve">people are recognized by the National Insurance as having a 100% disability/ incapacity rate. The annual growth rate of the population of people with disabilities is 2.7%, compared with the growth rate of the general population, which is 1.9%. </w:t>
      </w:r>
      <w:r w:rsidR="00E14412" w:rsidRPr="00BC6240">
        <w:rPr>
          <w:sz w:val="24"/>
          <w:szCs w:val="24"/>
        </w:rPr>
        <w:t xml:space="preserve">Naturally, people with disabilities </w:t>
      </w:r>
      <w:r w:rsidR="00CA7FE1">
        <w:rPr>
          <w:sz w:val="24"/>
          <w:szCs w:val="24"/>
        </w:rPr>
        <w:t xml:space="preserve">face </w:t>
      </w:r>
      <w:r w:rsidR="00E14412" w:rsidRPr="00BC6240">
        <w:rPr>
          <w:sz w:val="24"/>
          <w:szCs w:val="24"/>
        </w:rPr>
        <w:t>many barriers to their right to conduct themselves as part of the society and the community around them. One of the significant aspects in this regard is the ability to earn a living</w:t>
      </w:r>
      <w:r w:rsidR="00CA7FE1">
        <w:rPr>
          <w:sz w:val="24"/>
          <w:szCs w:val="24"/>
        </w:rPr>
        <w:t xml:space="preserve">, all the more so with </w:t>
      </w:r>
      <w:r w:rsidR="00E14412" w:rsidRPr="00BC6240">
        <w:rPr>
          <w:sz w:val="24"/>
          <w:szCs w:val="24"/>
        </w:rPr>
        <w:t xml:space="preserve">dignity. In 2015, there was a 4% reduction in the employment of people with disabilities, and in total only 51% of persons with disabilities were employed. </w:t>
      </w:r>
      <w:r w:rsidR="00E56D57" w:rsidRPr="00BC6240">
        <w:rPr>
          <w:sz w:val="24"/>
          <w:szCs w:val="24"/>
        </w:rPr>
        <w:t xml:space="preserve">Among the non-working-age population, this figure increased by a few percentages in 2015 to 79%, indicating a widening gap between the populations. In addition to other effects, this aspect causes a 25% lower income in households where people with disabilities are of working age compared to other households. This is without taking into account the fact that in many cases a person with a disability has </w:t>
      </w:r>
      <w:r w:rsidR="00FB5DA8">
        <w:rPr>
          <w:sz w:val="24"/>
          <w:szCs w:val="24"/>
        </w:rPr>
        <w:t xml:space="preserve">many </w:t>
      </w:r>
      <w:r w:rsidR="00E56D57" w:rsidRPr="00BC6240">
        <w:rPr>
          <w:sz w:val="24"/>
          <w:szCs w:val="24"/>
        </w:rPr>
        <w:t>more expenses than a person without a disability.</w:t>
      </w:r>
    </w:p>
    <w:p w14:paraId="28F189C3" w14:textId="77777777" w:rsidR="008F7AE8" w:rsidRPr="00BC6240" w:rsidRDefault="00EA32A9" w:rsidP="00692891">
      <w:pPr>
        <w:bidi w:val="0"/>
        <w:rPr>
          <w:sz w:val="24"/>
          <w:szCs w:val="24"/>
          <w:rtl/>
        </w:rPr>
      </w:pPr>
      <w:r w:rsidRPr="00BC6240">
        <w:rPr>
          <w:sz w:val="24"/>
          <w:szCs w:val="24"/>
        </w:rPr>
        <w:t xml:space="preserve">Not all people with disabilities are able to work, but even those </w:t>
      </w:r>
      <w:r w:rsidR="00692891">
        <w:rPr>
          <w:sz w:val="24"/>
          <w:szCs w:val="24"/>
        </w:rPr>
        <w:t xml:space="preserve">wishing </w:t>
      </w:r>
      <w:r w:rsidRPr="00BC6240">
        <w:rPr>
          <w:sz w:val="24"/>
          <w:szCs w:val="24"/>
        </w:rPr>
        <w:t>to integrate into the labor force face many difficulties primarily stemming from employers</w:t>
      </w:r>
      <w:r w:rsidR="00692891">
        <w:rPr>
          <w:sz w:val="24"/>
          <w:szCs w:val="24"/>
        </w:rPr>
        <w:t>’</w:t>
      </w:r>
      <w:r w:rsidRPr="00BC6240">
        <w:rPr>
          <w:sz w:val="24"/>
          <w:szCs w:val="24"/>
        </w:rPr>
        <w:t xml:space="preserve"> prejudice and reluctance to accept them. According to the Ministry of Economy, the annual GDP loss to the economy from underemployed people with disabilities is estimated at NIS 5 billion a year. When a person with a disability loses, the Israeli economy and society also lose</w:t>
      </w:r>
      <w:r w:rsidRPr="00BC6240">
        <w:rPr>
          <w:rFonts w:cs="Arial"/>
          <w:sz w:val="24"/>
          <w:szCs w:val="24"/>
          <w:rtl/>
        </w:rPr>
        <w:t>.</w:t>
      </w:r>
      <w:bookmarkStart w:id="17" w:name="_GoBack"/>
      <w:bookmarkEnd w:id="17"/>
    </w:p>
    <w:sectPr w:rsidR="008F7AE8" w:rsidRPr="00BC6240" w:rsidSect="008D6C9C">
      <w:headerReference w:type="default" r:id="rId16"/>
      <w:footerReference w:type="default" r:id="rId17"/>
      <w:pgSz w:w="11906" w:h="16838"/>
      <w:pgMar w:top="1843" w:right="1800" w:bottom="1440" w:left="1800" w:header="426" w:footer="146"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2E1ACA4B" w14:textId="77777777" w:rsidR="00DA2AD1" w:rsidRDefault="00DA2AD1" w:rsidP="00D1636A">
      <w:pPr>
        <w:pStyle w:val="CommentText"/>
        <w:bidi w:val="0"/>
      </w:pPr>
      <w:r w:rsidRPr="00B10D21">
        <w:rPr>
          <w:rFonts w:ascii="Arial" w:hAnsi="Arial" w:cs="Arial" w:hint="cs"/>
          <w:rtl/>
        </w:rPr>
        <w:t>הידע ש</w:t>
      </w:r>
      <w:r>
        <w:rPr>
          <w:rFonts w:ascii="Arial" w:hAnsi="Arial" w:cs="Arial" w:hint="cs"/>
          <w:rtl/>
        </w:rPr>
        <w:t>נצבר בשיתופים</w:t>
      </w:r>
      <w:r w:rsidRPr="00B10D21">
        <w:rPr>
          <w:rFonts w:ascii="Arial" w:hAnsi="Arial" w:cs="Arial" w:hint="cs"/>
          <w:rtl/>
        </w:rPr>
        <w:t xml:space="preserve"> בהובלה ו</w:t>
      </w:r>
      <w:r>
        <w:rPr>
          <w:rFonts w:ascii="Arial" w:hAnsi="Arial" w:cs="Arial" w:hint="cs"/>
          <w:rtl/>
        </w:rPr>
        <w:t>ב</w:t>
      </w:r>
      <w:r w:rsidRPr="00B10D21">
        <w:rPr>
          <w:rFonts w:ascii="Arial" w:hAnsi="Arial" w:cs="Arial" w:hint="cs"/>
          <w:rtl/>
        </w:rPr>
        <w:t xml:space="preserve">ליווי של </w:t>
      </w:r>
      <w:r>
        <w:rPr>
          <w:rFonts w:ascii="Arial" w:hAnsi="Arial" w:cs="Arial" w:hint="cs"/>
          <w:rtl/>
        </w:rPr>
        <w:t>אסטרטגיות להשפעה חברתית משותפת</w:t>
      </w:r>
    </w:p>
    <w:p w14:paraId="54CF5831" w14:textId="77777777" w:rsidR="00DA2AD1" w:rsidRDefault="00DA2AD1" w:rsidP="00D1636A">
      <w:pPr>
        <w:pStyle w:val="CommentText"/>
        <w:bidi w:val="0"/>
      </w:pPr>
    </w:p>
    <w:p w14:paraId="31772B70" w14:textId="77777777" w:rsidR="00DA2AD1" w:rsidRDefault="00DA2AD1" w:rsidP="00D1636A">
      <w:pPr>
        <w:pStyle w:val="CommentText"/>
        <w:bidi w:val="0"/>
      </w:pPr>
      <w:r>
        <w:rPr>
          <w:rStyle w:val="CommentReference"/>
        </w:rPr>
        <w:annotationRef/>
      </w:r>
      <w:r>
        <w:t xml:space="preserve">Or </w:t>
      </w:r>
      <w:r w:rsidRPr="00D1636A">
        <w:rPr>
          <w:b/>
          <w:bCs/>
        </w:rPr>
        <w:t>observing</w:t>
      </w:r>
      <w:r>
        <w:t xml:space="preserve">/ </w:t>
      </w:r>
      <w:r w:rsidRPr="00D1636A">
        <w:rPr>
          <w:b/>
          <w:bCs/>
        </w:rPr>
        <w:t>consulting</w:t>
      </w:r>
    </w:p>
  </w:comment>
  <w:comment w:id="1" w:author="Author" w:initials="A">
    <w:p w14:paraId="43CA4725" w14:textId="77777777" w:rsidR="00DA2AD1" w:rsidRDefault="00DA2AD1">
      <w:pPr>
        <w:pStyle w:val="CommentText"/>
        <w:rPr>
          <w:rtl/>
        </w:rPr>
      </w:pPr>
      <w:r>
        <w:rPr>
          <w:rStyle w:val="CommentReference"/>
        </w:rPr>
        <w:annotationRef/>
      </w:r>
      <w:r>
        <w:rPr>
          <w:rFonts w:hint="cs"/>
          <w:rtl/>
        </w:rPr>
        <w:t xml:space="preserve">הקישור לאתר הזה זהה להיפר-קישור של </w:t>
      </w:r>
      <w:r>
        <w:t>Life Shield’</w:t>
      </w:r>
      <w:r>
        <w:rPr>
          <w:rFonts w:hint="cs"/>
          <w:rtl/>
        </w:rPr>
        <w:t xml:space="preserve"> לכן לא הכנסתי קישור נוסף</w:t>
      </w:r>
    </w:p>
  </w:comment>
  <w:comment w:id="2" w:author="Author" w:initials="A">
    <w:p w14:paraId="42184004" w14:textId="77777777" w:rsidR="00DA2AD1" w:rsidRDefault="00DA2AD1" w:rsidP="00E97DC0">
      <w:pPr>
        <w:pStyle w:val="CommentText"/>
        <w:bidi w:val="0"/>
      </w:pPr>
      <w:r>
        <w:rPr>
          <w:rStyle w:val="CommentReference"/>
        </w:rPr>
        <w:annotationRef/>
      </w:r>
      <w:r>
        <w:t>Or: participation</w:t>
      </w:r>
    </w:p>
  </w:comment>
  <w:comment w:id="3" w:author="Author" w:initials="A">
    <w:p w14:paraId="1064B37F" w14:textId="77777777" w:rsidR="00DA2AD1" w:rsidRDefault="00DA2AD1" w:rsidP="00657747">
      <w:pPr>
        <w:pStyle w:val="CommentText"/>
        <w:bidi w:val="0"/>
      </w:pPr>
      <w:r>
        <w:rPr>
          <w:rStyle w:val="CommentReference"/>
        </w:rPr>
        <w:annotationRef/>
      </w:r>
      <w:r>
        <w:t xml:space="preserve">The first link in this footnote was replaced by the link to the English original. </w:t>
      </w:r>
    </w:p>
  </w:comment>
  <w:comment w:id="4" w:author="Author" w:initials="A">
    <w:p w14:paraId="727C11FC" w14:textId="77777777" w:rsidR="00DA2AD1" w:rsidRDefault="00DA2AD1" w:rsidP="00551A85">
      <w:pPr>
        <w:pStyle w:val="CommentText"/>
        <w:bidi w:val="0"/>
      </w:pPr>
      <w:r>
        <w:rPr>
          <w:rStyle w:val="CommentReference"/>
        </w:rPr>
        <w:annotationRef/>
      </w:r>
      <w:r>
        <w:t xml:space="preserve">I would include the year of this survey, unless it’s the same as the </w:t>
      </w:r>
      <w:proofErr w:type="gramStart"/>
      <w:r>
        <w:t>above?</w:t>
      </w:r>
      <w:proofErr w:type="gramEnd"/>
      <w:r>
        <w:t xml:space="preserve"> If so, it would help to mention the IDI conducted the national violence index </w:t>
      </w:r>
    </w:p>
  </w:comment>
  <w:comment w:id="5" w:author="Author" w:initials="A">
    <w:p w14:paraId="1CCAE97C" w14:textId="77777777" w:rsidR="00DA2AD1" w:rsidRDefault="00DA2AD1">
      <w:pPr>
        <w:pStyle w:val="CommentText"/>
      </w:pPr>
      <w:r>
        <w:rPr>
          <w:rStyle w:val="CommentReference"/>
        </w:rPr>
        <w:annotationRef/>
      </w:r>
      <w:r>
        <w:t>Of the Israeli Dem Institute?</w:t>
      </w:r>
    </w:p>
  </w:comment>
  <w:comment w:id="6" w:author="Author" w:initials="A">
    <w:p w14:paraId="2F6C0B0C" w14:textId="77777777" w:rsidR="00DA2AD1" w:rsidRDefault="00DA2AD1">
      <w:pPr>
        <w:pStyle w:val="CommentText"/>
      </w:pPr>
      <w:r>
        <w:rPr>
          <w:rStyle w:val="CommentReference"/>
        </w:rPr>
        <w:annotationRef/>
      </w:r>
      <w:r>
        <w:t>Of respondents? Of the general population?</w:t>
      </w:r>
    </w:p>
  </w:comment>
  <w:comment w:id="7" w:author="Author" w:initials="A">
    <w:p w14:paraId="5EF08C65" w14:textId="77777777" w:rsidR="00DA2AD1" w:rsidRDefault="00DA2AD1">
      <w:pPr>
        <w:pStyle w:val="CommentText"/>
      </w:pPr>
      <w:r>
        <w:rPr>
          <w:rStyle w:val="CommentReference"/>
        </w:rPr>
        <w:annotationRef/>
      </w:r>
      <w:r>
        <w:t>Footnote 2: Is there a hyperlink for this archive?</w:t>
      </w:r>
    </w:p>
  </w:comment>
  <w:comment w:id="8" w:author="Author" w:initials="A">
    <w:p w14:paraId="7FC8BF58" w14:textId="77777777" w:rsidR="00DA2AD1" w:rsidRDefault="00DA2AD1" w:rsidP="00624342">
      <w:pPr>
        <w:pStyle w:val="CommentText"/>
        <w:bidi w:val="0"/>
      </w:pPr>
      <w:r>
        <w:rPr>
          <w:rStyle w:val="CommentReference"/>
        </w:rPr>
        <w:annotationRef/>
      </w:r>
      <w:r>
        <w:t>Footnote 6: is there a hyperlink for this footnote?</w:t>
      </w:r>
    </w:p>
  </w:comment>
  <w:comment w:id="9" w:author="Author" w:initials="A">
    <w:p w14:paraId="710063EA" w14:textId="012E0C3E" w:rsidR="00C26CE5" w:rsidRDefault="00C26CE5" w:rsidP="00C26CE5">
      <w:pPr>
        <w:pStyle w:val="CommentText"/>
        <w:bidi w:val="0"/>
      </w:pPr>
      <w:r>
        <w:rPr>
          <w:rStyle w:val="CommentReference"/>
        </w:rPr>
        <w:annotationRef/>
      </w:r>
      <w:r>
        <w:t>But these are very similar</w:t>
      </w:r>
    </w:p>
  </w:comment>
  <w:comment w:id="10" w:author="Author" w:initials="A">
    <w:p w14:paraId="618E6E59" w14:textId="77777777" w:rsidR="00DA2AD1" w:rsidRDefault="00DA2AD1" w:rsidP="006732D5">
      <w:pPr>
        <w:pStyle w:val="CommentText"/>
        <w:bidi w:val="0"/>
      </w:pPr>
      <w:r>
        <w:rPr>
          <w:rStyle w:val="CommentReference"/>
        </w:rPr>
        <w:annotationRef/>
      </w:r>
      <w:r>
        <w:t>The last URL in Footnote 12 does not open from my page. I advise checking to ensure it works on your end.</w:t>
      </w:r>
    </w:p>
  </w:comment>
  <w:comment w:id="11" w:author="Author" w:initials="A">
    <w:p w14:paraId="77AF29DC" w14:textId="77777777" w:rsidR="00DA2AD1" w:rsidRDefault="00DA2AD1">
      <w:pPr>
        <w:pStyle w:val="CommentText"/>
        <w:rPr>
          <w:rFonts w:cs="Arial"/>
          <w:sz w:val="24"/>
          <w:szCs w:val="24"/>
        </w:rPr>
      </w:pPr>
      <w:r>
        <w:rPr>
          <w:rStyle w:val="CommentReference"/>
        </w:rPr>
        <w:annotationRef/>
      </w:r>
      <w:r w:rsidRPr="008F7AE8">
        <w:rPr>
          <w:rFonts w:cs="Arial"/>
          <w:sz w:val="24"/>
          <w:szCs w:val="24"/>
          <w:rtl/>
        </w:rPr>
        <w:t>בכלל היישובים הללו</w:t>
      </w:r>
    </w:p>
    <w:p w14:paraId="15E5DB1B" w14:textId="77777777" w:rsidR="00DA2AD1" w:rsidRDefault="00DA2AD1">
      <w:pPr>
        <w:pStyle w:val="CommentText"/>
        <w:rPr>
          <w:rFonts w:cs="Arial"/>
          <w:sz w:val="24"/>
          <w:szCs w:val="24"/>
        </w:rPr>
      </w:pPr>
    </w:p>
    <w:p w14:paraId="2E1349CA" w14:textId="77777777" w:rsidR="00DA2AD1" w:rsidRDefault="00DA2AD1" w:rsidP="00C604B2">
      <w:pPr>
        <w:pStyle w:val="CommentText"/>
        <w:rPr>
          <w:rtl/>
        </w:rPr>
      </w:pPr>
      <w:r>
        <w:rPr>
          <w:rFonts w:cs="Arial"/>
          <w:sz w:val="24"/>
          <w:szCs w:val="24"/>
        </w:rPr>
        <w:t>If this is correct for both recognized and unrecognized, leave as is.</w:t>
      </w:r>
    </w:p>
  </w:comment>
  <w:comment w:id="12" w:author="Author" w:initials="A">
    <w:p w14:paraId="7DFEFEDB" w14:textId="77777777" w:rsidR="00DA2AD1" w:rsidRDefault="00DA2AD1">
      <w:pPr>
        <w:pStyle w:val="CommentText"/>
        <w:rPr>
          <w:rFonts w:cs="Arial"/>
          <w:color w:val="1F497D" w:themeColor="text2"/>
          <w:sz w:val="24"/>
          <w:szCs w:val="24"/>
        </w:rPr>
      </w:pPr>
      <w:r>
        <w:rPr>
          <w:rStyle w:val="CommentReference"/>
        </w:rPr>
        <w:annotationRef/>
      </w:r>
      <w:r w:rsidRPr="002F4B47">
        <w:rPr>
          <w:rFonts w:cs="Arial"/>
          <w:color w:val="1F497D" w:themeColor="text2"/>
          <w:sz w:val="24"/>
          <w:szCs w:val="24"/>
          <w:rtl/>
        </w:rPr>
        <w:t>כשליש מתלמידי י"ב נשרו מבית הספר, ומעל למחציתם למדו 8 שנות לימוד</w:t>
      </w:r>
      <w:r w:rsidRPr="002F4B47">
        <w:rPr>
          <w:rFonts w:cs="Arial" w:hint="cs"/>
          <w:color w:val="1F497D" w:themeColor="text2"/>
          <w:sz w:val="24"/>
          <w:szCs w:val="24"/>
          <w:rtl/>
        </w:rPr>
        <w:t>.</w:t>
      </w:r>
    </w:p>
    <w:p w14:paraId="3A841D28" w14:textId="77777777" w:rsidR="00DA2AD1" w:rsidRDefault="00DA2AD1">
      <w:pPr>
        <w:pStyle w:val="CommentText"/>
        <w:rPr>
          <w:rFonts w:cs="Arial"/>
          <w:color w:val="1F497D" w:themeColor="text2"/>
          <w:sz w:val="24"/>
          <w:szCs w:val="24"/>
        </w:rPr>
      </w:pPr>
    </w:p>
    <w:p w14:paraId="795F5C46" w14:textId="77777777" w:rsidR="00DA2AD1" w:rsidRDefault="00DA2AD1" w:rsidP="00B41F1D">
      <w:pPr>
        <w:pStyle w:val="CommentText"/>
        <w:bidi w:val="0"/>
      </w:pPr>
      <w:r>
        <w:t>Please verify translation is correct</w:t>
      </w:r>
    </w:p>
  </w:comment>
  <w:comment w:id="13" w:author="Author" w:initials="A">
    <w:p w14:paraId="0D716571" w14:textId="1000ACDB" w:rsidR="00C34CB5" w:rsidRDefault="00DA2AD1">
      <w:pPr>
        <w:pStyle w:val="CommentText"/>
        <w:rPr>
          <w:rtl/>
        </w:rPr>
      </w:pPr>
      <w:r>
        <w:rPr>
          <w:rStyle w:val="CommentReference"/>
        </w:rPr>
        <w:annotationRef/>
      </w:r>
      <w:r w:rsidR="00C34CB5">
        <w:rPr>
          <w:rFonts w:hint="cs"/>
          <w:rtl/>
        </w:rPr>
        <w:t>מתים בכל שנה מעודף משקל</w:t>
      </w:r>
    </w:p>
    <w:p w14:paraId="5A63D3FA" w14:textId="27E814C4" w:rsidR="00DA2AD1" w:rsidRDefault="00DA2AD1">
      <w:pPr>
        <w:pStyle w:val="CommentText"/>
      </w:pPr>
      <w:r>
        <w:t>Should this be obesity?</w:t>
      </w:r>
    </w:p>
  </w:comment>
  <w:comment w:id="14" w:author="Author" w:initials="A">
    <w:p w14:paraId="3F4F9463" w14:textId="653B1D83" w:rsidR="00C34CB5" w:rsidRDefault="00C34CB5">
      <w:pPr>
        <w:pStyle w:val="CommentText"/>
        <w:rPr>
          <w:rFonts w:hint="cs"/>
        </w:rPr>
      </w:pPr>
      <w:r>
        <w:rPr>
          <w:rStyle w:val="CommentReference"/>
        </w:rPr>
        <w:annotationRef/>
      </w:r>
      <w:r>
        <w:rPr>
          <w:rFonts w:hint="cs"/>
          <w:rtl/>
        </w:rPr>
        <w:t>סובלת מהשמנה</w:t>
      </w:r>
    </w:p>
  </w:comment>
  <w:comment w:id="15" w:author="Author" w:initials="A">
    <w:p w14:paraId="435A934E" w14:textId="77777777" w:rsidR="001D5C4E" w:rsidRDefault="001D5C4E">
      <w:pPr>
        <w:pStyle w:val="CommentText"/>
        <w:rPr>
          <w:rtl/>
        </w:rPr>
      </w:pPr>
      <w:r>
        <w:rPr>
          <w:rStyle w:val="CommentReference"/>
        </w:rPr>
        <w:annotationRef/>
      </w:r>
      <w:r>
        <w:rPr>
          <w:rFonts w:hint="cs"/>
          <w:rtl/>
        </w:rPr>
        <w:t>מביו מדינות אירופה</w:t>
      </w:r>
    </w:p>
    <w:p w14:paraId="6CFDE2B6" w14:textId="5652EB76" w:rsidR="001D5C4E" w:rsidRPr="001D5C4E" w:rsidRDefault="001D5C4E" w:rsidP="001D5C4E">
      <w:pPr>
        <w:pStyle w:val="CommentText"/>
        <w:bidi w:val="0"/>
        <w:rPr>
          <w:lang w:val="en-AU" w:bidi="ar-EG"/>
        </w:rPr>
      </w:pPr>
      <w:r>
        <w:rPr>
          <w:lang w:val="en-AU" w:bidi="ar-EG"/>
        </w:rPr>
        <w:t>But Israel is not in Europe, so consider: “a higher prevalence than any European country.”</w:t>
      </w:r>
    </w:p>
  </w:comment>
  <w:comment w:id="16" w:author="Author" w:initials="A">
    <w:p w14:paraId="42C8030C" w14:textId="77777777" w:rsidR="00DA2AD1" w:rsidRDefault="00DA2AD1" w:rsidP="0050149D">
      <w:pPr>
        <w:pStyle w:val="CommentText"/>
      </w:pPr>
      <w:r>
        <w:rPr>
          <w:rStyle w:val="CommentReference"/>
        </w:rPr>
        <w:annotationRef/>
      </w:r>
      <w:r>
        <w:t>Correct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772B70" w15:done="0"/>
  <w15:commentEx w15:paraId="43CA4725" w15:done="0"/>
  <w15:commentEx w15:paraId="42184004" w15:done="0"/>
  <w15:commentEx w15:paraId="1064B37F" w15:done="0"/>
  <w15:commentEx w15:paraId="727C11FC" w15:done="0"/>
  <w15:commentEx w15:paraId="1CCAE97C" w15:done="0"/>
  <w15:commentEx w15:paraId="2F6C0B0C" w15:done="0"/>
  <w15:commentEx w15:paraId="5EF08C65" w15:done="0"/>
  <w15:commentEx w15:paraId="7FC8BF58" w15:done="0"/>
  <w15:commentEx w15:paraId="710063EA" w15:done="0"/>
  <w15:commentEx w15:paraId="618E6E59" w15:done="0"/>
  <w15:commentEx w15:paraId="2E1349CA" w15:done="0"/>
  <w15:commentEx w15:paraId="795F5C46" w15:done="0"/>
  <w15:commentEx w15:paraId="5A63D3FA" w15:done="0"/>
  <w15:commentEx w15:paraId="3F4F9463" w15:done="0"/>
  <w15:commentEx w15:paraId="6CFDE2B6" w15:done="0"/>
  <w15:commentEx w15:paraId="42C803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772B70" w16cid:durableId="21728C2B"/>
  <w16cid:commentId w16cid:paraId="43CA4725" w16cid:durableId="21728C2C"/>
  <w16cid:commentId w16cid:paraId="42184004" w16cid:durableId="21728C2D"/>
  <w16cid:commentId w16cid:paraId="1064B37F" w16cid:durableId="21728C30"/>
  <w16cid:commentId w16cid:paraId="727C11FC" w16cid:durableId="21728C32"/>
  <w16cid:commentId w16cid:paraId="1CCAE97C" w16cid:durableId="21728C33"/>
  <w16cid:commentId w16cid:paraId="2F6C0B0C" w16cid:durableId="21728C34"/>
  <w16cid:commentId w16cid:paraId="5EF08C65" w16cid:durableId="21728C35"/>
  <w16cid:commentId w16cid:paraId="7FC8BF58" w16cid:durableId="21728C39"/>
  <w16cid:commentId w16cid:paraId="710063EA" w16cid:durableId="2172A286"/>
  <w16cid:commentId w16cid:paraId="618E6E59" w16cid:durableId="21728C3B"/>
  <w16cid:commentId w16cid:paraId="2E1349CA" w16cid:durableId="21728C3D"/>
  <w16cid:commentId w16cid:paraId="795F5C46" w16cid:durableId="21728C40"/>
  <w16cid:commentId w16cid:paraId="5A63D3FA" w16cid:durableId="21728C41"/>
  <w16cid:commentId w16cid:paraId="3F4F9463" w16cid:durableId="2172ADA6"/>
  <w16cid:commentId w16cid:paraId="6CFDE2B6" w16cid:durableId="2172ADD3"/>
  <w16cid:commentId w16cid:paraId="42C8030C" w16cid:durableId="21728C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4F067" w14:textId="77777777" w:rsidR="00B334C6" w:rsidRDefault="00B334C6" w:rsidP="00822A85">
      <w:pPr>
        <w:spacing w:after="0" w:line="240" w:lineRule="auto"/>
      </w:pPr>
      <w:r>
        <w:separator/>
      </w:r>
    </w:p>
  </w:endnote>
  <w:endnote w:type="continuationSeparator" w:id="0">
    <w:p w14:paraId="66F56640" w14:textId="77777777" w:rsidR="00B334C6" w:rsidRDefault="00B334C6" w:rsidP="00822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CEE48" w14:textId="77777777" w:rsidR="00DA2AD1" w:rsidRDefault="00DA2AD1" w:rsidP="00822A85">
    <w:pPr>
      <w:pStyle w:val="Footer"/>
      <w:tabs>
        <w:tab w:val="clear" w:pos="8306"/>
        <w:tab w:val="right" w:pos="9724"/>
      </w:tabs>
      <w:ind w:left="-1475"/>
      <w:jc w:val="center"/>
    </w:pPr>
    <w:r>
      <w:rPr>
        <w:rFonts w:cs="Arial"/>
        <w:noProof/>
      </w:rPr>
      <mc:AlternateContent>
        <mc:Choice Requires="wps">
          <w:drawing>
            <wp:anchor distT="0" distB="0" distL="114300" distR="114300" simplePos="0" relativeHeight="251659264" behindDoc="0" locked="0" layoutInCell="1" allowOverlap="1" wp14:anchorId="3D9F038E" wp14:editId="185821E0">
              <wp:simplePos x="0" y="0"/>
              <wp:positionH relativeFrom="column">
                <wp:posOffset>2354580</wp:posOffset>
              </wp:positionH>
              <wp:positionV relativeFrom="paragraph">
                <wp:posOffset>-224790</wp:posOffset>
              </wp:positionV>
              <wp:extent cx="411480" cy="274320"/>
              <wp:effectExtent l="1905" t="3810" r="0" b="0"/>
              <wp:wrapNone/>
              <wp:docPr id="1"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320"/>
                      </a:xfrm>
                      <a:prstGeom prst="rect">
                        <a:avLst/>
                      </a:prstGeom>
                      <a:solidFill>
                        <a:srgbClr val="F0F0F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D182020" w14:textId="77777777" w:rsidR="00DA2AD1" w:rsidRDefault="00DA2AD1">
                          <w:r>
                            <w:rPr>
                              <w:rtl/>
                            </w:rPr>
                            <w:fldChar w:fldCharType="begin"/>
                          </w:r>
                          <w:r>
                            <w:instrText>PAGE   \* MERGEFORMAT</w:instrText>
                          </w:r>
                          <w:r>
                            <w:rPr>
                              <w:rtl/>
                            </w:rPr>
                            <w:fldChar w:fldCharType="separate"/>
                          </w:r>
                          <w:r w:rsidRPr="00A73BDA">
                            <w:rPr>
                              <w:rFonts w:cs="Calibri"/>
                              <w:noProof/>
                              <w:rtl/>
                              <w:lang w:val="he-IL"/>
                            </w:rPr>
                            <w:t>17</w:t>
                          </w:r>
                          <w:r>
                            <w:rPr>
                              <w:rt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F038E" id="_x0000_t202" coordsize="21600,21600" o:spt="202" path="m,l,21600r21600,l21600,xe">
              <v:stroke joinstyle="miter"/>
              <v:path gradientshapeok="t" o:connecttype="rect"/>
            </v:shapetype>
            <v:shape id="תיבת טקסט 7" o:spid="_x0000_s1026" type="#_x0000_t202" style="position:absolute;left:0;text-align:left;margin-left:185.4pt;margin-top:-17.7pt;width:32.4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" fillcolor="#f0f0f0" stroked="f" strokeweight=".5pt">
              <v:textbox>
                <w:txbxContent>
                  <w:p w14:paraId="6D182020" w14:textId="77777777" w:rsidR="00DA2AD1" w:rsidRDefault="00DA2AD1">
                    <w:r>
                      <w:rPr>
                        <w:rtl/>
                      </w:rPr>
                      <w:fldChar w:fldCharType="begin"/>
                    </w:r>
                    <w:r>
                      <w:instrText>PAGE   \* MERGEFORMAT</w:instrText>
                    </w:r>
                    <w:r>
                      <w:rPr>
                        <w:rtl/>
                      </w:rPr>
                      <w:fldChar w:fldCharType="separate"/>
                    </w:r>
                    <w:r w:rsidRPr="00A73BDA">
                      <w:rPr>
                        <w:rFonts w:cs="Calibri"/>
                        <w:noProof/>
                        <w:rtl/>
                        <w:lang w:val="he-IL"/>
                      </w:rPr>
                      <w:t>17</w:t>
                    </w:r>
                    <w:r>
                      <w:rPr>
                        <w:rtl/>
                      </w:rPr>
                      <w:fldChar w:fldCharType="end"/>
                    </w:r>
                  </w:p>
                </w:txbxContent>
              </v:textbox>
            </v:shape>
          </w:pict>
        </mc:Fallback>
      </mc:AlternateContent>
    </w:r>
    <w:r>
      <w:rPr>
        <w:rFonts w:cs="Arial"/>
        <w:noProof/>
        <w:rtl/>
      </w:rPr>
      <w:drawing>
        <wp:inline distT="0" distB="0" distL="0" distR="0" wp14:anchorId="08184633" wp14:editId="2649D25E">
          <wp:extent cx="7142695" cy="971550"/>
          <wp:effectExtent l="0" t="0" r="0" b="0"/>
          <wp:docPr id="8" name="תמונה 6" descr="C:\Users\miri\Dropbox\מרחבון\מיתוג שיתופים 2014\סופיים\papers_word-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ri\Dropbox\מרחבון\מיתוג שיתופים 2014\סופיים\papers_word-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3061" cy="9756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04538" w14:textId="77777777" w:rsidR="00B334C6" w:rsidRDefault="00B334C6" w:rsidP="00822A85">
      <w:pPr>
        <w:spacing w:after="0" w:line="240" w:lineRule="auto"/>
      </w:pPr>
      <w:r>
        <w:separator/>
      </w:r>
    </w:p>
  </w:footnote>
  <w:footnote w:type="continuationSeparator" w:id="0">
    <w:p w14:paraId="2024EF1A" w14:textId="77777777" w:rsidR="00B334C6" w:rsidRDefault="00B334C6" w:rsidP="00822A85">
      <w:pPr>
        <w:spacing w:after="0" w:line="240" w:lineRule="auto"/>
      </w:pPr>
      <w:r>
        <w:continuationSeparator/>
      </w:r>
    </w:p>
  </w:footnote>
  <w:footnote w:id="1">
    <w:p w14:paraId="791830B1" w14:textId="77777777" w:rsidR="00DA2AD1" w:rsidRPr="00507EA6" w:rsidRDefault="00DA2AD1" w:rsidP="00C25568">
      <w:pPr>
        <w:pStyle w:val="FootnoteText"/>
        <w:bidi w:val="0"/>
      </w:pPr>
      <w:r w:rsidRPr="00507EA6">
        <w:rPr>
          <w:rStyle w:val="FootnoteReference"/>
        </w:rPr>
        <w:footnoteRef/>
      </w:r>
      <w:r w:rsidRPr="00507EA6">
        <w:t xml:space="preserve"> </w:t>
      </w:r>
      <w:hyperlink r:id="rId1" w:history="1">
        <w:r w:rsidRPr="00507EA6">
          <w:rPr>
            <w:rStyle w:val="Hyperlink"/>
          </w:rPr>
          <w:t>Sustainable Development Goals of the United Nations</w:t>
        </w:r>
      </w:hyperlink>
      <w:r w:rsidRPr="00507EA6">
        <w:t xml:space="preserve">; </w:t>
      </w:r>
      <w:hyperlink r:id="rId2" w:history="1">
        <w:r w:rsidRPr="00507EA6">
          <w:rPr>
            <w:rStyle w:val="Hyperlink"/>
          </w:rPr>
          <w:t>Sustainable development indicators of the Israeli Ministry of Environmental Protection</w:t>
        </w:r>
      </w:hyperlink>
      <w:r w:rsidRPr="00507EA6">
        <w:t>, published July 2019.</w:t>
      </w:r>
    </w:p>
    <w:p w14:paraId="3011009F" w14:textId="77777777" w:rsidR="00DA2AD1" w:rsidRPr="00507EA6" w:rsidRDefault="00DA2AD1" w:rsidP="00801B54">
      <w:pPr>
        <w:pStyle w:val="FootnoteText"/>
      </w:pPr>
    </w:p>
  </w:footnote>
  <w:footnote w:id="2">
    <w:p w14:paraId="1751933B" w14:textId="77777777" w:rsidR="00DA2AD1" w:rsidRPr="00507EA6" w:rsidRDefault="00DA2AD1" w:rsidP="00EC7F72">
      <w:pPr>
        <w:pStyle w:val="FootnoteText"/>
        <w:bidi w:val="0"/>
        <w:rPr>
          <w:rtl/>
        </w:rPr>
      </w:pPr>
      <w:r w:rsidRPr="00507EA6">
        <w:rPr>
          <w:rStyle w:val="FootnoteReference"/>
        </w:rPr>
        <w:footnoteRef/>
      </w:r>
      <w:r w:rsidRPr="00507EA6">
        <w:rPr>
          <w:rtl/>
        </w:rPr>
        <w:t xml:space="preserve"> </w:t>
      </w:r>
      <w:r w:rsidRPr="00507EA6">
        <w:t>Issues mapping for</w:t>
      </w:r>
      <w:r w:rsidRPr="00EC7F72">
        <w:t xml:space="preserve"> </w:t>
      </w:r>
      <w:r>
        <w:t>A</w:t>
      </w:r>
      <w:r w:rsidRPr="00507EA6">
        <w:t xml:space="preserve">rchive of topics for </w:t>
      </w:r>
      <w:r>
        <w:t>C</w:t>
      </w:r>
      <w:r w:rsidRPr="00507EA6">
        <w:t xml:space="preserve">ollaborative </w:t>
      </w:r>
      <w:r>
        <w:t>P</w:t>
      </w:r>
      <w:r w:rsidRPr="00507EA6">
        <w:t xml:space="preserve">rocesses, Do-Et Institute for </w:t>
      </w:r>
      <w:proofErr w:type="spellStart"/>
      <w:r w:rsidRPr="00507EA6">
        <w:t>Sheatufim</w:t>
      </w:r>
      <w:proofErr w:type="spellEnd"/>
      <w:r w:rsidRPr="00507EA6">
        <w:t xml:space="preserve">, 2017. </w:t>
      </w:r>
    </w:p>
  </w:footnote>
  <w:footnote w:id="3">
    <w:p w14:paraId="2F89EC24" w14:textId="77777777" w:rsidR="00DA2AD1" w:rsidRPr="00507EA6" w:rsidRDefault="00DA2AD1" w:rsidP="00A8154E">
      <w:pPr>
        <w:pStyle w:val="FootnoteText"/>
        <w:bidi w:val="0"/>
      </w:pPr>
      <w:r w:rsidRPr="00507EA6">
        <w:rPr>
          <w:rStyle w:val="FootnoteReference"/>
        </w:rPr>
        <w:footnoteRef/>
      </w:r>
      <w:r w:rsidRPr="00507EA6">
        <w:t xml:space="preserve"> </w:t>
      </w:r>
      <w:hyperlink r:id="rId3" w:history="1">
        <w:r w:rsidRPr="00507EA6">
          <w:rPr>
            <w:rStyle w:val="Hyperlink"/>
          </w:rPr>
          <w:t>Femicide and Gender-based Violence in the Family: A Review of Systemic Action in Israel</w:t>
        </w:r>
      </w:hyperlink>
      <w:r w:rsidRPr="00507EA6">
        <w:t xml:space="preserve">, </w:t>
      </w:r>
      <w:proofErr w:type="spellStart"/>
      <w:r w:rsidRPr="00507EA6">
        <w:t>Sheatufim</w:t>
      </w:r>
      <w:proofErr w:type="spellEnd"/>
      <w:r w:rsidRPr="00507EA6">
        <w:t>, July 2019</w:t>
      </w:r>
      <w:r>
        <w:t>.</w:t>
      </w:r>
    </w:p>
    <w:p w14:paraId="5934F346" w14:textId="77777777" w:rsidR="00DA2AD1" w:rsidRPr="00507EA6" w:rsidRDefault="00DA2AD1" w:rsidP="00756C11">
      <w:pPr>
        <w:pStyle w:val="FootnoteText"/>
        <w:bidi w:val="0"/>
      </w:pPr>
    </w:p>
  </w:footnote>
  <w:footnote w:id="4">
    <w:p w14:paraId="50063147" w14:textId="4005B1E8" w:rsidR="00672F9E" w:rsidRPr="00672F9E" w:rsidRDefault="00672F9E" w:rsidP="00672F9E">
      <w:pPr>
        <w:pStyle w:val="FootnoteText"/>
        <w:bidi w:val="0"/>
        <w:rPr>
          <w:lang w:val="en-AU" w:bidi="ar-EG"/>
        </w:rPr>
      </w:pPr>
      <w:r>
        <w:rPr>
          <w:rStyle w:val="FootnoteReference"/>
        </w:rPr>
        <w:footnoteRef/>
      </w:r>
      <w:r>
        <w:rPr>
          <w:rtl/>
        </w:rPr>
        <w:t xml:space="preserve"> </w:t>
      </w:r>
      <w:hyperlink r:id="rId4" w:history="1">
        <w:r w:rsidR="00EB0FDA" w:rsidRPr="00EB0FDA">
          <w:rPr>
            <w:rStyle w:val="Hyperlink"/>
            <w:lang w:val="en-AU"/>
          </w:rPr>
          <w:t>Data on severe violence and illegal weapons violations in Arab society – a partial update [Hebrew]</w:t>
        </w:r>
      </w:hyperlink>
      <w:r w:rsidR="00EB0FDA">
        <w:rPr>
          <w:lang w:val="en-AU"/>
        </w:rPr>
        <w:t xml:space="preserve">, Knesset Research and Information </w:t>
      </w:r>
      <w:proofErr w:type="spellStart"/>
      <w:r w:rsidR="00EB0FDA">
        <w:rPr>
          <w:lang w:val="en-AU"/>
        </w:rPr>
        <w:t>Center</w:t>
      </w:r>
      <w:proofErr w:type="spellEnd"/>
      <w:r w:rsidR="00EB0FDA">
        <w:rPr>
          <w:lang w:val="en-AU"/>
        </w:rPr>
        <w:t xml:space="preserve">, February 2018; Institute for National Security Studies, </w:t>
      </w:r>
      <w:r w:rsidR="00EB0FDA">
        <w:rPr>
          <w:lang w:val="en-AU" w:bidi="ar-EG"/>
        </w:rPr>
        <w:t>accessed October 2019.</w:t>
      </w:r>
    </w:p>
  </w:footnote>
  <w:footnote w:id="5">
    <w:p w14:paraId="59F3DD89" w14:textId="77777777" w:rsidR="00DA2AD1" w:rsidRPr="00507EA6" w:rsidRDefault="00DA2AD1" w:rsidP="00CA16DB">
      <w:pPr>
        <w:pStyle w:val="FootnoteText"/>
        <w:bidi w:val="0"/>
        <w:rPr>
          <w:rtl/>
        </w:rPr>
      </w:pPr>
      <w:r w:rsidRPr="00507EA6">
        <w:rPr>
          <w:rStyle w:val="FootnoteReference"/>
        </w:rPr>
        <w:footnoteRef/>
      </w:r>
      <w:r w:rsidRPr="00507EA6">
        <w:t xml:space="preserve"> Source: </w:t>
      </w:r>
      <w:hyperlink r:id="rId5" w:history="1">
        <w:r w:rsidRPr="00507EA6">
          <w:rPr>
            <w:rStyle w:val="Hyperlink"/>
          </w:rPr>
          <w:t>Ministry of Labor, Social Affairs and Social Services</w:t>
        </w:r>
      </w:hyperlink>
      <w:r w:rsidRPr="00507EA6">
        <w:t xml:space="preserve">, accessed October 2019. </w:t>
      </w:r>
      <w:r w:rsidRPr="00507EA6">
        <w:rPr>
          <w:rtl/>
        </w:rPr>
        <w:t xml:space="preserve"> </w:t>
      </w:r>
    </w:p>
  </w:footnote>
  <w:footnote w:id="6">
    <w:p w14:paraId="7B86C581" w14:textId="77777777" w:rsidR="00DA2AD1" w:rsidRPr="00507EA6" w:rsidRDefault="00DA2AD1" w:rsidP="00A7318F">
      <w:pPr>
        <w:pStyle w:val="FootnoteText"/>
        <w:bidi w:val="0"/>
        <w:rPr>
          <w:rtl/>
        </w:rPr>
      </w:pPr>
      <w:r w:rsidRPr="00507EA6">
        <w:rPr>
          <w:rStyle w:val="FootnoteReference"/>
        </w:rPr>
        <w:footnoteRef/>
      </w:r>
      <w:r w:rsidRPr="00507EA6">
        <w:rPr>
          <w:rtl/>
        </w:rPr>
        <w:t xml:space="preserve"> </w:t>
      </w:r>
      <w:r w:rsidRPr="00507EA6">
        <w:t xml:space="preserve">Workers in favor of social and environmental challenges in Israel, Bank </w:t>
      </w:r>
      <w:proofErr w:type="spellStart"/>
      <w:r w:rsidRPr="00507EA6">
        <w:t>Hapoalim</w:t>
      </w:r>
      <w:proofErr w:type="spellEnd"/>
      <w:r w:rsidRPr="00507EA6">
        <w:t>, 2017.</w:t>
      </w:r>
    </w:p>
  </w:footnote>
  <w:footnote w:id="7">
    <w:p w14:paraId="7C53E5EA" w14:textId="77777777" w:rsidR="00DA2AD1" w:rsidRPr="00507EA6" w:rsidRDefault="00DA2AD1" w:rsidP="009C51BA">
      <w:pPr>
        <w:pStyle w:val="FootnoteText"/>
        <w:bidi w:val="0"/>
        <w:rPr>
          <w:rtl/>
        </w:rPr>
      </w:pPr>
      <w:r w:rsidRPr="00507EA6">
        <w:rPr>
          <w:rStyle w:val="FootnoteReference"/>
        </w:rPr>
        <w:footnoteRef/>
      </w:r>
      <w:r w:rsidRPr="00507EA6">
        <w:t xml:space="preserve"> </w:t>
      </w:r>
      <w:hyperlink r:id="rId6" w:history="1">
        <w:r w:rsidRPr="00507EA6">
          <w:rPr>
            <w:rStyle w:val="Hyperlink"/>
          </w:rPr>
          <w:t>Haredi employment: description of government goals and data development in recent years</w:t>
        </w:r>
      </w:hyperlink>
      <w:r w:rsidRPr="00507EA6">
        <w:t xml:space="preserve">, Knesset Research and Information, </w:t>
      </w:r>
      <w:r w:rsidRPr="00507EA6">
        <w:rPr>
          <w:rtl/>
        </w:rPr>
        <w:t>2018</w:t>
      </w:r>
      <w:r w:rsidRPr="00507EA6">
        <w:t xml:space="preserve"> (Hebrew).</w:t>
      </w:r>
    </w:p>
  </w:footnote>
  <w:footnote w:id="8">
    <w:p w14:paraId="39A82C2F" w14:textId="77777777" w:rsidR="00DA2AD1" w:rsidRPr="00507EA6" w:rsidRDefault="00DA2AD1" w:rsidP="004421F5">
      <w:pPr>
        <w:pStyle w:val="FootnoteText"/>
        <w:bidi w:val="0"/>
      </w:pPr>
      <w:r w:rsidRPr="00507EA6">
        <w:rPr>
          <w:rStyle w:val="FootnoteReference"/>
        </w:rPr>
        <w:footnoteRef/>
      </w:r>
      <w:r w:rsidRPr="00507EA6">
        <w:t xml:space="preserve"> Ze’ev Klein, </w:t>
      </w:r>
      <w:hyperlink r:id="rId7" w:history="1">
        <w:r w:rsidRPr="00507EA6">
          <w:rPr>
            <w:rStyle w:val="Hyperlink"/>
          </w:rPr>
          <w:t>The Solution: Two Breadwinners</w:t>
        </w:r>
      </w:hyperlink>
      <w:r w:rsidRPr="00507EA6">
        <w:t xml:space="preserve">, </w:t>
      </w:r>
      <w:r w:rsidRPr="00507EA6">
        <w:rPr>
          <w:i/>
          <w:iCs/>
        </w:rPr>
        <w:t>Globes</w:t>
      </w:r>
      <w:r w:rsidRPr="00507EA6">
        <w:t>,</w:t>
      </w:r>
      <w:r w:rsidRPr="00507EA6">
        <w:rPr>
          <w:rtl/>
        </w:rPr>
        <w:t xml:space="preserve"> </w:t>
      </w:r>
      <w:r w:rsidRPr="00507EA6">
        <w:t xml:space="preserve">February </w:t>
      </w:r>
      <w:r w:rsidRPr="00507EA6">
        <w:rPr>
          <w:rtl/>
        </w:rPr>
        <w:t>27</w:t>
      </w:r>
      <w:r w:rsidRPr="00507EA6">
        <w:t xml:space="preserve">, </w:t>
      </w:r>
      <w:r w:rsidRPr="00507EA6">
        <w:rPr>
          <w:rtl/>
        </w:rPr>
        <w:t>2006</w:t>
      </w:r>
      <w:r w:rsidRPr="00507EA6">
        <w:t xml:space="preserve"> (Hebrew).</w:t>
      </w:r>
    </w:p>
  </w:footnote>
  <w:footnote w:id="9">
    <w:p w14:paraId="03B3C964" w14:textId="77777777" w:rsidR="00DA2AD1" w:rsidRPr="00F76348" w:rsidRDefault="00DA2AD1" w:rsidP="00F76348">
      <w:pPr>
        <w:bidi w:val="0"/>
        <w:spacing w:after="0"/>
        <w:rPr>
          <w:sz w:val="20"/>
          <w:szCs w:val="20"/>
        </w:rPr>
      </w:pPr>
      <w:r w:rsidRPr="00507EA6">
        <w:rPr>
          <w:rStyle w:val="FootnoteReference"/>
        </w:rPr>
        <w:footnoteRef/>
      </w:r>
      <w:r w:rsidRPr="00507EA6">
        <w:t xml:space="preserve"> </w:t>
      </w:r>
      <w:proofErr w:type="spellStart"/>
      <w:r w:rsidRPr="00507EA6">
        <w:rPr>
          <w:rFonts w:eastAsia="Times New Roman" w:cs="Arial"/>
          <w:kern w:val="36"/>
          <w:sz w:val="20"/>
          <w:szCs w:val="20"/>
        </w:rPr>
        <w:t>Telem</w:t>
      </w:r>
      <w:proofErr w:type="spellEnd"/>
      <w:r w:rsidRPr="00507EA6">
        <w:rPr>
          <w:rFonts w:eastAsia="Times New Roman" w:cs="Arial"/>
          <w:kern w:val="36"/>
          <w:sz w:val="20"/>
          <w:szCs w:val="20"/>
        </w:rPr>
        <w:t xml:space="preserve"> </w:t>
      </w:r>
      <w:proofErr w:type="spellStart"/>
      <w:r w:rsidRPr="00507EA6">
        <w:rPr>
          <w:rFonts w:eastAsia="Times New Roman" w:cs="Arial"/>
          <w:kern w:val="36"/>
          <w:sz w:val="20"/>
          <w:szCs w:val="20"/>
        </w:rPr>
        <w:t>Yahav</w:t>
      </w:r>
      <w:proofErr w:type="spellEnd"/>
      <w:r w:rsidRPr="00507EA6">
        <w:rPr>
          <w:rFonts w:eastAsia="Times New Roman" w:cs="Arial"/>
          <w:kern w:val="36"/>
          <w:sz w:val="20"/>
          <w:szCs w:val="20"/>
        </w:rPr>
        <w:t xml:space="preserve">, Tamar </w:t>
      </w:r>
      <w:proofErr w:type="spellStart"/>
      <w:r w:rsidRPr="00507EA6">
        <w:rPr>
          <w:rFonts w:eastAsia="Times New Roman" w:cs="Arial"/>
          <w:kern w:val="36"/>
          <w:sz w:val="20"/>
          <w:szCs w:val="20"/>
        </w:rPr>
        <w:t>Trabelsi</w:t>
      </w:r>
      <w:proofErr w:type="spellEnd"/>
      <w:r w:rsidRPr="00507EA6">
        <w:rPr>
          <w:rFonts w:eastAsia="Times New Roman" w:cs="Arial"/>
          <w:kern w:val="36"/>
          <w:sz w:val="20"/>
          <w:szCs w:val="20"/>
        </w:rPr>
        <w:t xml:space="preserve"> </w:t>
      </w:r>
      <w:proofErr w:type="spellStart"/>
      <w:r w:rsidRPr="00507EA6">
        <w:rPr>
          <w:rFonts w:eastAsia="Times New Roman" w:cs="Arial"/>
          <w:kern w:val="36"/>
          <w:sz w:val="20"/>
          <w:szCs w:val="20"/>
        </w:rPr>
        <w:t>Hadad</w:t>
      </w:r>
      <w:proofErr w:type="spellEnd"/>
      <w:r w:rsidRPr="00507EA6">
        <w:rPr>
          <w:rFonts w:eastAsia="Times New Roman" w:cs="Arial"/>
          <w:kern w:val="36"/>
          <w:sz w:val="20"/>
          <w:szCs w:val="20"/>
        </w:rPr>
        <w:t xml:space="preserve">, and </w:t>
      </w:r>
      <w:proofErr w:type="spellStart"/>
      <w:r w:rsidRPr="00507EA6">
        <w:rPr>
          <w:rFonts w:eastAsia="Times New Roman" w:cs="Arial"/>
          <w:kern w:val="36"/>
          <w:sz w:val="20"/>
          <w:szCs w:val="20"/>
        </w:rPr>
        <w:t>Itamar</w:t>
      </w:r>
      <w:proofErr w:type="spellEnd"/>
      <w:r w:rsidRPr="00507EA6">
        <w:rPr>
          <w:rFonts w:eastAsia="Times New Roman" w:cs="Arial"/>
          <w:kern w:val="36"/>
          <w:sz w:val="20"/>
          <w:szCs w:val="20"/>
        </w:rPr>
        <w:t xml:space="preserve"> Eichner, </w:t>
      </w:r>
      <w:hyperlink r:id="rId8" w:history="1">
        <w:r w:rsidRPr="00507EA6">
          <w:rPr>
            <w:rStyle w:val="Hyperlink"/>
            <w:rFonts w:eastAsia="Times New Roman" w:cs="Arial"/>
            <w:kern w:val="36"/>
            <w:sz w:val="20"/>
            <w:szCs w:val="20"/>
          </w:rPr>
          <w:t>Working and Poor</w:t>
        </w:r>
      </w:hyperlink>
      <w:r w:rsidRPr="00507EA6">
        <w:rPr>
          <w:rFonts w:eastAsia="Times New Roman" w:cs="Arial"/>
          <w:kern w:val="36"/>
          <w:sz w:val="20"/>
          <w:szCs w:val="20"/>
        </w:rPr>
        <w:t xml:space="preserve">, </w:t>
      </w:r>
      <w:proofErr w:type="spellStart"/>
      <w:r w:rsidRPr="00507EA6">
        <w:rPr>
          <w:rFonts w:eastAsia="Times New Roman" w:cs="Arial"/>
          <w:i/>
          <w:iCs/>
          <w:kern w:val="36"/>
          <w:sz w:val="20"/>
          <w:szCs w:val="20"/>
        </w:rPr>
        <w:t>Ynet</w:t>
      </w:r>
      <w:proofErr w:type="spellEnd"/>
      <w:r w:rsidRPr="00507EA6">
        <w:rPr>
          <w:rFonts w:eastAsia="Times New Roman" w:cs="Arial"/>
          <w:kern w:val="36"/>
          <w:sz w:val="20"/>
          <w:szCs w:val="20"/>
        </w:rPr>
        <w:t xml:space="preserve"> January 17, 2017 (Hebrew).</w:t>
      </w:r>
    </w:p>
  </w:footnote>
  <w:footnote w:id="10">
    <w:p w14:paraId="2341AB4A" w14:textId="77777777" w:rsidR="00DA2AD1" w:rsidRPr="00507EA6" w:rsidRDefault="00DA2AD1" w:rsidP="00AE793E">
      <w:pPr>
        <w:pStyle w:val="FootnoteText"/>
        <w:bidi w:val="0"/>
      </w:pPr>
      <w:r w:rsidRPr="00507EA6">
        <w:rPr>
          <w:rStyle w:val="FootnoteReference"/>
        </w:rPr>
        <w:footnoteRef/>
      </w:r>
      <w:r w:rsidRPr="00507EA6">
        <w:t xml:space="preserve">Issues </w:t>
      </w:r>
      <w:r>
        <w:t xml:space="preserve">mapping </w:t>
      </w:r>
      <w:r w:rsidRPr="00507EA6">
        <w:t xml:space="preserve">for </w:t>
      </w:r>
      <w:r>
        <w:t>A</w:t>
      </w:r>
      <w:r w:rsidRPr="00507EA6">
        <w:t xml:space="preserve">rchive of topics for </w:t>
      </w:r>
      <w:r>
        <w:t>C</w:t>
      </w:r>
      <w:r w:rsidRPr="00507EA6">
        <w:t xml:space="preserve">ollaborative </w:t>
      </w:r>
      <w:r>
        <w:t>P</w:t>
      </w:r>
      <w:r w:rsidRPr="00507EA6">
        <w:t xml:space="preserve">rocesses, Do-Et Institute for </w:t>
      </w:r>
      <w:proofErr w:type="spellStart"/>
      <w:r w:rsidRPr="00507EA6">
        <w:t>Sheatufim</w:t>
      </w:r>
      <w:proofErr w:type="spellEnd"/>
      <w:r w:rsidRPr="00507EA6">
        <w:t xml:space="preserve">, 2017; Workers in favor of social and environmental challenges in Israel, Bank </w:t>
      </w:r>
      <w:proofErr w:type="spellStart"/>
      <w:r w:rsidRPr="00507EA6">
        <w:t>Hapoalim</w:t>
      </w:r>
      <w:proofErr w:type="spellEnd"/>
      <w:r w:rsidRPr="00507EA6">
        <w:t>, 2017.</w:t>
      </w:r>
    </w:p>
    <w:p w14:paraId="295504EF" w14:textId="77777777" w:rsidR="00DA2AD1" w:rsidRPr="00507EA6" w:rsidRDefault="00DA2AD1" w:rsidP="000F6327">
      <w:pPr>
        <w:pStyle w:val="FootnoteText"/>
        <w:rPr>
          <w:rtl/>
        </w:rPr>
      </w:pPr>
    </w:p>
    <w:p w14:paraId="3DAB1081" w14:textId="77777777" w:rsidR="00DA2AD1" w:rsidRPr="00507EA6" w:rsidRDefault="00DA2AD1" w:rsidP="000F6327">
      <w:pPr>
        <w:pStyle w:val="FootnoteText"/>
        <w:rPr>
          <w:rtl/>
        </w:rPr>
      </w:pPr>
    </w:p>
    <w:p w14:paraId="66A4E9DF" w14:textId="77777777" w:rsidR="00DA2AD1" w:rsidRPr="00507EA6" w:rsidRDefault="00DA2AD1" w:rsidP="000F6327">
      <w:pPr>
        <w:pStyle w:val="FootnoteText"/>
      </w:pPr>
    </w:p>
  </w:footnote>
  <w:footnote w:id="11">
    <w:p w14:paraId="5FACF503" w14:textId="77777777" w:rsidR="00DA2AD1" w:rsidRPr="00507EA6" w:rsidRDefault="00DA2AD1" w:rsidP="00822CF9">
      <w:pPr>
        <w:pStyle w:val="FootnoteText"/>
        <w:bidi w:val="0"/>
      </w:pPr>
      <w:r w:rsidRPr="00507EA6">
        <w:rPr>
          <w:rStyle w:val="FootnoteReference"/>
        </w:rPr>
        <w:footnoteRef/>
      </w:r>
      <w:r w:rsidRPr="00507EA6">
        <w:t xml:space="preserve"> Workers in favor of social and environmental challenges in Israel, Bank </w:t>
      </w:r>
      <w:proofErr w:type="spellStart"/>
      <w:r w:rsidRPr="00507EA6">
        <w:t>Hapoalim</w:t>
      </w:r>
      <w:proofErr w:type="spellEnd"/>
      <w:r w:rsidRPr="00507EA6">
        <w:t>, 2017.</w:t>
      </w:r>
    </w:p>
  </w:footnote>
  <w:footnote w:id="12">
    <w:p w14:paraId="09406E9A" w14:textId="77777777" w:rsidR="00DA2AD1" w:rsidRPr="00507EA6" w:rsidRDefault="00DA2AD1" w:rsidP="00097C43">
      <w:pPr>
        <w:pStyle w:val="FootnoteText"/>
        <w:bidi w:val="0"/>
      </w:pPr>
      <w:r w:rsidRPr="00507EA6">
        <w:rPr>
          <w:rStyle w:val="FootnoteReference"/>
        </w:rPr>
        <w:footnoteRef/>
      </w:r>
      <w:hyperlink r:id="rId9" w:history="1">
        <w:r w:rsidRPr="00507EA6">
          <w:rPr>
            <w:rStyle w:val="Hyperlink"/>
          </w:rPr>
          <w:t>Position Paper of Environmental Organizations - Joining forces to protect the Mediterranean</w:t>
        </w:r>
      </w:hyperlink>
      <w:r w:rsidRPr="00507EA6">
        <w:t xml:space="preserve">, accessed October 2019 (Hebrew); </w:t>
      </w:r>
      <w:hyperlink r:id="rId10" w:history="1">
        <w:r w:rsidRPr="00507EA6">
          <w:rPr>
            <w:rStyle w:val="Hyperlink"/>
          </w:rPr>
          <w:t>Rivers and Streams</w:t>
        </w:r>
      </w:hyperlink>
      <w:r w:rsidRPr="00507EA6">
        <w:t xml:space="preserve">, Israel Ministry of Environmental Protection; December 2018; </w:t>
      </w:r>
      <w:hyperlink r:id="rId11" w:history="1">
        <w:r w:rsidRPr="00507EA6">
          <w:rPr>
            <w:rStyle w:val="Hyperlink"/>
          </w:rPr>
          <w:t>National Monitoring Program for the Mediterranean for 2017 - Part 3 Marine Pollution Monitoring</w:t>
        </w:r>
      </w:hyperlink>
      <w:r w:rsidRPr="00507EA6">
        <w:t>, December 2018</w:t>
      </w:r>
      <w:r>
        <w:t xml:space="preserve"> (Hebrew)</w:t>
      </w:r>
      <w:r w:rsidRPr="00507EA6">
        <w:t xml:space="preserve">. </w:t>
      </w:r>
    </w:p>
    <w:p w14:paraId="07DFBCC0" w14:textId="77777777" w:rsidR="00DA2AD1" w:rsidRPr="00507EA6" w:rsidRDefault="00DA2AD1" w:rsidP="00256B67">
      <w:pPr>
        <w:pStyle w:val="FootnoteText"/>
        <w:rPr>
          <w:rtl/>
        </w:rPr>
      </w:pPr>
    </w:p>
    <w:p w14:paraId="2D58CB12" w14:textId="77777777" w:rsidR="00DA2AD1" w:rsidRPr="00507EA6" w:rsidRDefault="00DA2AD1" w:rsidP="00256B67">
      <w:pPr>
        <w:pStyle w:val="FootnoteText"/>
        <w:rPr>
          <w:rtl/>
        </w:rPr>
      </w:pPr>
    </w:p>
    <w:p w14:paraId="427349A8" w14:textId="77777777" w:rsidR="00DA2AD1" w:rsidRPr="00507EA6" w:rsidRDefault="00DA2AD1" w:rsidP="00256B67">
      <w:pPr>
        <w:pStyle w:val="FootnoteText"/>
        <w:rPr>
          <w:rtl/>
        </w:rPr>
      </w:pPr>
    </w:p>
  </w:footnote>
  <w:footnote w:id="13">
    <w:p w14:paraId="5BDD7CE2" w14:textId="77777777" w:rsidR="00DA2AD1" w:rsidRPr="00507EA6" w:rsidRDefault="00DA2AD1" w:rsidP="00BA23A3">
      <w:pPr>
        <w:pStyle w:val="FootnoteText"/>
        <w:bidi w:val="0"/>
        <w:rPr>
          <w:rStyle w:val="Hyperlink"/>
        </w:rPr>
      </w:pPr>
      <w:r w:rsidRPr="00507EA6">
        <w:rPr>
          <w:rStyle w:val="FootnoteReference"/>
        </w:rPr>
        <w:footnoteRef/>
      </w:r>
      <w:r w:rsidRPr="00507EA6">
        <w:t xml:space="preserve"> </w:t>
      </w:r>
      <w:proofErr w:type="spellStart"/>
      <w:r w:rsidRPr="00507EA6">
        <w:t>Lior</w:t>
      </w:r>
      <w:proofErr w:type="spellEnd"/>
      <w:r w:rsidRPr="00507EA6">
        <w:t xml:space="preserve"> Gutman, </w:t>
      </w:r>
      <w:hyperlink r:id="rId12" w:history="1">
        <w:r w:rsidRPr="00507EA6">
          <w:rPr>
            <w:rStyle w:val="Hyperlink"/>
          </w:rPr>
          <w:t>Spike in faults in Haifa Bay, but the Ministry of Environmental Protection's supervision is very limited</w:t>
        </w:r>
      </w:hyperlink>
      <w:r w:rsidRPr="00507EA6">
        <w:t xml:space="preserve">, </w:t>
      </w:r>
      <w:proofErr w:type="spellStart"/>
      <w:r w:rsidRPr="00507EA6">
        <w:rPr>
          <w:i/>
          <w:iCs/>
        </w:rPr>
        <w:t>Calcalist</w:t>
      </w:r>
      <w:proofErr w:type="spellEnd"/>
      <w:r w:rsidRPr="00507EA6">
        <w:t xml:space="preserve">, June 24, 2019 (Hebrew); </w:t>
      </w:r>
      <w:hyperlink r:id="rId13" w:history="1">
        <w:r w:rsidRPr="00507EA6">
          <w:rPr>
            <w:rStyle w:val="Hyperlink"/>
          </w:rPr>
          <w:t>Air Pollution in Haifa Bay: Report of the Ministry of Environmental Protection and the responses of environmental organizations</w:t>
        </w:r>
      </w:hyperlink>
      <w:r w:rsidRPr="00507EA6">
        <w:t xml:space="preserve">, Hai-Po news, June 10, 2019 (Hebrew); </w:t>
      </w:r>
      <w:r w:rsidRPr="00507EA6">
        <w:fldChar w:fldCharType="begin"/>
      </w:r>
      <w:r w:rsidRPr="00507EA6">
        <w:instrText xml:space="preserve"> HYPERLINK "https://www.mevaker.gov.il/he/publication/Articles/Pages/2019-Haifa.aspx?AspxAutoDetectCookieSupport=1" </w:instrText>
      </w:r>
      <w:r w:rsidRPr="00507EA6">
        <w:fldChar w:fldCharType="separate"/>
      </w:r>
      <w:r w:rsidRPr="00507EA6">
        <w:rPr>
          <w:rStyle w:val="Hyperlink"/>
        </w:rPr>
        <w:t xml:space="preserve">Report on "Aspects of Government Action on Environmental Pollution in Haifa Bay" </w:t>
      </w:r>
    </w:p>
    <w:p w14:paraId="5B0CD58C" w14:textId="77777777" w:rsidR="00DA2AD1" w:rsidRPr="00507EA6" w:rsidRDefault="00DA2AD1" w:rsidP="004F3DD0">
      <w:pPr>
        <w:pStyle w:val="FootnoteText"/>
        <w:bidi w:val="0"/>
        <w:rPr>
          <w:rtl/>
        </w:rPr>
      </w:pPr>
      <w:r w:rsidRPr="00507EA6">
        <w:rPr>
          <w:rStyle w:val="Hyperlink"/>
        </w:rPr>
        <w:t>State Comptroller’s Report</w:t>
      </w:r>
      <w:r w:rsidRPr="00507EA6">
        <w:fldChar w:fldCharType="end"/>
      </w:r>
      <w:r w:rsidRPr="00507EA6">
        <w:t xml:space="preserve">, June 2019; (Hebrew). </w:t>
      </w:r>
    </w:p>
  </w:footnote>
  <w:footnote w:id="14">
    <w:p w14:paraId="166947D5" w14:textId="77777777" w:rsidR="00DA2AD1" w:rsidRPr="00507EA6" w:rsidRDefault="00DA2AD1" w:rsidP="004F3DD0">
      <w:pPr>
        <w:pStyle w:val="FootnoteText"/>
        <w:bidi w:val="0"/>
        <w:rPr>
          <w:rtl/>
        </w:rPr>
      </w:pPr>
      <w:r w:rsidRPr="00507EA6">
        <w:rPr>
          <w:rStyle w:val="FootnoteReference"/>
        </w:rPr>
        <w:footnoteRef/>
      </w:r>
      <w:r w:rsidRPr="00507EA6">
        <w:rPr>
          <w:rtl/>
        </w:rPr>
        <w:t xml:space="preserve"> </w:t>
      </w:r>
      <w:hyperlink r:id="rId14" w:history="1">
        <w:r w:rsidRPr="00507EA6">
          <w:rPr>
            <w:rStyle w:val="Hyperlink"/>
          </w:rPr>
          <w:t>Public response to preschool children in Israel: A snapshot</w:t>
        </w:r>
      </w:hyperlink>
      <w:r w:rsidRPr="00507EA6">
        <w:t xml:space="preserve">, Knesset Research and Information Center, July 2015 (Hebrew); </w:t>
      </w:r>
      <w:hyperlink r:id="rId15" w:history="1">
        <w:r w:rsidRPr="00507EA6">
          <w:rPr>
            <w:rStyle w:val="Hyperlink"/>
          </w:rPr>
          <w:t>The worrying figures: Israel is investing the least in early childhood</w:t>
        </w:r>
      </w:hyperlink>
      <w:r w:rsidRPr="00507EA6">
        <w:t xml:space="preserve">, </w:t>
      </w:r>
      <w:proofErr w:type="spellStart"/>
      <w:r w:rsidRPr="00507EA6">
        <w:t>Lior</w:t>
      </w:r>
      <w:proofErr w:type="spellEnd"/>
      <w:r w:rsidRPr="00507EA6">
        <w:t xml:space="preserve"> </w:t>
      </w:r>
      <w:proofErr w:type="spellStart"/>
      <w:r w:rsidRPr="00507EA6">
        <w:t>Dettel</w:t>
      </w:r>
      <w:proofErr w:type="spellEnd"/>
      <w:r w:rsidRPr="00507EA6">
        <w:t xml:space="preserve">, </w:t>
      </w:r>
      <w:proofErr w:type="spellStart"/>
      <w:r w:rsidRPr="00507EA6">
        <w:rPr>
          <w:i/>
          <w:iCs/>
        </w:rPr>
        <w:t>Calcalist</w:t>
      </w:r>
      <w:proofErr w:type="spellEnd"/>
      <w:r w:rsidRPr="00507EA6">
        <w:t>, September 11, 2018 (Hebrew).</w:t>
      </w:r>
    </w:p>
    <w:p w14:paraId="5FF58667" w14:textId="77777777" w:rsidR="00DA2AD1" w:rsidRPr="00507EA6" w:rsidRDefault="00DA2AD1" w:rsidP="002F6DC6">
      <w:pPr>
        <w:pStyle w:val="FootnoteText"/>
        <w:rPr>
          <w:rtl/>
        </w:rPr>
      </w:pPr>
    </w:p>
    <w:p w14:paraId="6931F6F5" w14:textId="77777777" w:rsidR="00DA2AD1" w:rsidRPr="00507EA6" w:rsidRDefault="00DA2AD1" w:rsidP="002F6DC6">
      <w:pPr>
        <w:pStyle w:val="FootnoteText"/>
        <w:rPr>
          <w:rtl/>
        </w:rPr>
      </w:pPr>
    </w:p>
  </w:footnote>
  <w:footnote w:id="15">
    <w:p w14:paraId="3CDBF12B" w14:textId="77777777" w:rsidR="00DA2AD1" w:rsidRPr="00507EA6" w:rsidRDefault="00DA2AD1" w:rsidP="001B3866">
      <w:pPr>
        <w:pStyle w:val="FootnoteText"/>
        <w:bidi w:val="0"/>
      </w:pPr>
      <w:r w:rsidRPr="00507EA6">
        <w:rPr>
          <w:rStyle w:val="FootnoteReference"/>
        </w:rPr>
        <w:footnoteRef/>
      </w:r>
      <w:r w:rsidRPr="00507EA6">
        <w:rPr>
          <w:rtl/>
        </w:rPr>
        <w:t xml:space="preserve"> </w:t>
      </w:r>
      <w:r w:rsidRPr="00507EA6">
        <w:t xml:space="preserve">Issues mapping for </w:t>
      </w:r>
      <w:r>
        <w:t>A</w:t>
      </w:r>
      <w:r w:rsidRPr="00507EA6">
        <w:t xml:space="preserve">rchive of topics for </w:t>
      </w:r>
      <w:r>
        <w:t>C</w:t>
      </w:r>
      <w:r w:rsidRPr="00507EA6">
        <w:t xml:space="preserve">ollaborative </w:t>
      </w:r>
      <w:r>
        <w:t>P</w:t>
      </w:r>
      <w:r w:rsidRPr="00507EA6">
        <w:t xml:space="preserve">rocesses, Do-Et Institute for </w:t>
      </w:r>
      <w:proofErr w:type="spellStart"/>
      <w:r w:rsidRPr="00507EA6">
        <w:t>Sheatufim</w:t>
      </w:r>
      <w:proofErr w:type="spellEnd"/>
      <w:r w:rsidRPr="00507EA6">
        <w:t>, 2017.</w:t>
      </w:r>
    </w:p>
  </w:footnote>
  <w:footnote w:id="16">
    <w:p w14:paraId="5CBFC221" w14:textId="77777777" w:rsidR="00DA2AD1" w:rsidRPr="00507EA6" w:rsidRDefault="00DA2AD1" w:rsidP="00BC419E">
      <w:pPr>
        <w:pStyle w:val="FootnoteText"/>
        <w:bidi w:val="0"/>
      </w:pPr>
      <w:r w:rsidRPr="00507EA6">
        <w:rPr>
          <w:rStyle w:val="FootnoteReference"/>
        </w:rPr>
        <w:footnoteRef/>
      </w:r>
      <w:r w:rsidRPr="00507EA6">
        <w:rPr>
          <w:rtl/>
        </w:rPr>
        <w:t xml:space="preserve"> </w:t>
      </w:r>
      <w:hyperlink r:id="rId16" w:history="1">
        <w:r w:rsidRPr="00507EA6">
          <w:rPr>
            <w:rStyle w:val="Hyperlink"/>
          </w:rPr>
          <w:t>For the first time in Israel: obesity has been declared a disease</w:t>
        </w:r>
      </w:hyperlink>
      <w:r w:rsidRPr="00507EA6">
        <w:t xml:space="preserve">, Ronen </w:t>
      </w:r>
      <w:proofErr w:type="spellStart"/>
      <w:r w:rsidRPr="00507EA6">
        <w:t>Niv</w:t>
      </w:r>
      <w:proofErr w:type="spellEnd"/>
      <w:r w:rsidRPr="00507EA6">
        <w:t xml:space="preserve">, </w:t>
      </w:r>
      <w:proofErr w:type="spellStart"/>
      <w:r w:rsidRPr="00507EA6">
        <w:rPr>
          <w:i/>
          <w:iCs/>
        </w:rPr>
        <w:t>Calcalist</w:t>
      </w:r>
      <w:proofErr w:type="spellEnd"/>
      <w:r w:rsidRPr="00507EA6">
        <w:t>, June 17, 2018 (Hebrew).</w:t>
      </w:r>
    </w:p>
  </w:footnote>
  <w:footnote w:id="17">
    <w:p w14:paraId="43875F14" w14:textId="77777777" w:rsidR="00DA2AD1" w:rsidRPr="00507EA6" w:rsidRDefault="00DA2AD1" w:rsidP="007B6949">
      <w:pPr>
        <w:pStyle w:val="FootnoteText"/>
        <w:bidi w:val="0"/>
        <w:rPr>
          <w:rtl/>
        </w:rPr>
      </w:pPr>
      <w:r w:rsidRPr="00507EA6">
        <w:rPr>
          <w:rStyle w:val="FootnoteReference"/>
        </w:rPr>
        <w:footnoteRef/>
      </w:r>
      <w:r w:rsidRPr="00507EA6">
        <w:rPr>
          <w:rtl/>
        </w:rPr>
        <w:t xml:space="preserve"> </w:t>
      </w:r>
      <w:r w:rsidRPr="00507EA6">
        <w:t>Issues mapping for</w:t>
      </w:r>
      <w:r w:rsidRPr="007B6949">
        <w:t xml:space="preserve"> </w:t>
      </w:r>
      <w:r>
        <w:t>A</w:t>
      </w:r>
      <w:r w:rsidRPr="00507EA6">
        <w:t xml:space="preserve">rchive of topics for </w:t>
      </w:r>
      <w:r>
        <w:t>C</w:t>
      </w:r>
      <w:r w:rsidRPr="00507EA6">
        <w:t xml:space="preserve">ollaborative </w:t>
      </w:r>
      <w:r>
        <w:t>P</w:t>
      </w:r>
      <w:r w:rsidRPr="00507EA6">
        <w:t xml:space="preserve">rocesses, Do-Et Institute for </w:t>
      </w:r>
      <w:proofErr w:type="spellStart"/>
      <w:r w:rsidRPr="00507EA6">
        <w:t>Sheatufim</w:t>
      </w:r>
      <w:proofErr w:type="spellEnd"/>
      <w:r w:rsidRPr="00507EA6">
        <w:t>, 2017.</w:t>
      </w:r>
    </w:p>
  </w:footnote>
  <w:footnote w:id="18">
    <w:p w14:paraId="3B575C1B" w14:textId="77777777" w:rsidR="00DA2AD1" w:rsidRPr="00507EA6" w:rsidRDefault="00DA2AD1" w:rsidP="00987062">
      <w:pPr>
        <w:pStyle w:val="FootnoteText"/>
        <w:bidi w:val="0"/>
        <w:rPr>
          <w:rtl/>
        </w:rPr>
      </w:pPr>
      <w:r w:rsidRPr="00507EA6">
        <w:rPr>
          <w:rStyle w:val="FootnoteReference"/>
        </w:rPr>
        <w:footnoteRef/>
      </w:r>
      <w:r w:rsidRPr="00507EA6">
        <w:t xml:space="preserve"> Workers in favor of social and environmental challenges in Israel, Bank </w:t>
      </w:r>
      <w:proofErr w:type="spellStart"/>
      <w:r w:rsidRPr="00507EA6">
        <w:t>Hapoalim</w:t>
      </w:r>
      <w:proofErr w:type="spellEnd"/>
      <w:r w:rsidRPr="00507EA6">
        <w:t>, 2017.</w:t>
      </w:r>
    </w:p>
    <w:p w14:paraId="2175497C" w14:textId="77777777" w:rsidR="00DA2AD1" w:rsidRPr="00507EA6" w:rsidRDefault="00DA2AD1" w:rsidP="0025707D">
      <w:pPr>
        <w:pStyle w:val="FootnoteText"/>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22E97" w14:textId="77777777" w:rsidR="00DA2AD1" w:rsidRDefault="00DA2AD1" w:rsidP="00822A85">
    <w:pPr>
      <w:pStyle w:val="Header"/>
      <w:jc w:val="center"/>
    </w:pPr>
    <w:r>
      <w:rPr>
        <w:rFonts w:cs="Arial"/>
        <w:noProof/>
        <w:rtl/>
      </w:rPr>
      <w:drawing>
        <wp:inline distT="0" distB="0" distL="0" distR="0" wp14:anchorId="77D5E1E0" wp14:editId="634733E7">
          <wp:extent cx="2192733" cy="809625"/>
          <wp:effectExtent l="0" t="0" r="0" b="0"/>
          <wp:docPr id="7" name="תמונה 5" descr="C:\Users\miri\AppData\Local\Microsoft\Windows\Temporary Internet Files\Content.Outlook\UGSWW5HO\papers_word-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ri\AppData\Local\Microsoft\Windows\Temporary Internet Files\Content.Outlook\UGSWW5HO\papers_word-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4411" t="16419" r="4411" b="11940"/>
                  <a:stretch/>
                </pic:blipFill>
                <pic:spPr bwMode="auto">
                  <a:xfrm>
                    <a:off x="0" y="0"/>
                    <a:ext cx="2202888" cy="8133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15D1E"/>
    <w:multiLevelType w:val="hybridMultilevel"/>
    <w:tmpl w:val="E9DC35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1E681B"/>
    <w:multiLevelType w:val="hybridMultilevel"/>
    <w:tmpl w:val="47CCD4A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2E04A7F"/>
    <w:multiLevelType w:val="hybridMultilevel"/>
    <w:tmpl w:val="82568CE6"/>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D44AE4"/>
    <w:multiLevelType w:val="hybridMultilevel"/>
    <w:tmpl w:val="47CCD4A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4E818AC"/>
    <w:multiLevelType w:val="hybridMultilevel"/>
    <w:tmpl w:val="7F2639DE"/>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EA122A"/>
    <w:multiLevelType w:val="hybridMultilevel"/>
    <w:tmpl w:val="D55EEFA8"/>
    <w:lvl w:ilvl="0" w:tplc="09F42DAE">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B73861"/>
    <w:multiLevelType w:val="hybridMultilevel"/>
    <w:tmpl w:val="D55EEFA8"/>
    <w:lvl w:ilvl="0" w:tplc="09F42DAE">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2D7ACB"/>
    <w:multiLevelType w:val="hybridMultilevel"/>
    <w:tmpl w:val="21FE4F92"/>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C325ED"/>
    <w:multiLevelType w:val="hybridMultilevel"/>
    <w:tmpl w:val="7FECF846"/>
    <w:lvl w:ilvl="0" w:tplc="09F42DAE">
      <w:start w:val="1"/>
      <w:numFmt w:val="decimal"/>
      <w:lvlText w:val="%1."/>
      <w:lvlJc w:val="left"/>
      <w:pPr>
        <w:ind w:left="360" w:hanging="360"/>
      </w:pPr>
      <w:rPr>
        <w:rFonts w:ascii="Arial" w:hAnsi="Arial" w:cs="Arial" w:hint="default"/>
      </w:rPr>
    </w:lvl>
    <w:lvl w:ilvl="1" w:tplc="04090013">
      <w:start w:val="1"/>
      <w:numFmt w:val="hebrew1"/>
      <w:lvlText w:val="%2."/>
      <w:lvlJc w:val="center"/>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A33921"/>
    <w:multiLevelType w:val="hybridMultilevel"/>
    <w:tmpl w:val="433005C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8C6503"/>
    <w:multiLevelType w:val="multilevel"/>
    <w:tmpl w:val="43A69DA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451A2C2B"/>
    <w:multiLevelType w:val="hybridMultilevel"/>
    <w:tmpl w:val="3D1260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81816D8"/>
    <w:multiLevelType w:val="hybridMultilevel"/>
    <w:tmpl w:val="2F3A4C00"/>
    <w:lvl w:ilvl="0" w:tplc="09F42DAE">
      <w:start w:val="1"/>
      <w:numFmt w:val="decimal"/>
      <w:lvlText w:val="%1."/>
      <w:lvlJc w:val="left"/>
      <w:pPr>
        <w:ind w:left="360" w:hanging="360"/>
      </w:pPr>
      <w:rPr>
        <w:rFonts w:ascii="Arial" w:hAnsi="Arial" w:cs="Arial" w:hint="default"/>
      </w:rPr>
    </w:lvl>
    <w:lvl w:ilvl="1" w:tplc="04090013">
      <w:start w:val="1"/>
      <w:numFmt w:val="hebrew1"/>
      <w:lvlText w:val="%2."/>
      <w:lvlJc w:val="center"/>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FB6023"/>
    <w:multiLevelType w:val="hybridMultilevel"/>
    <w:tmpl w:val="ADE6DDAA"/>
    <w:lvl w:ilvl="0" w:tplc="8F74CF5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A817B3"/>
    <w:multiLevelType w:val="hybridMultilevel"/>
    <w:tmpl w:val="E256980A"/>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60777F"/>
    <w:multiLevelType w:val="hybridMultilevel"/>
    <w:tmpl w:val="4C609230"/>
    <w:lvl w:ilvl="0" w:tplc="09F42DAE">
      <w:start w:val="1"/>
      <w:numFmt w:val="decimal"/>
      <w:lvlText w:val="%1."/>
      <w:lvlJc w:val="left"/>
      <w:pPr>
        <w:ind w:left="360" w:hanging="360"/>
      </w:pPr>
      <w:rPr>
        <w:rFonts w:ascii="Arial" w:hAnsi="Arial" w:cs="Arial" w:hint="default"/>
      </w:rPr>
    </w:lvl>
    <w:lvl w:ilvl="1" w:tplc="04090013">
      <w:start w:val="1"/>
      <w:numFmt w:val="hebrew1"/>
      <w:lvlText w:val="%2."/>
      <w:lvlJc w:val="center"/>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1E72AF9"/>
    <w:multiLevelType w:val="hybridMultilevel"/>
    <w:tmpl w:val="12405E84"/>
    <w:lvl w:ilvl="0" w:tplc="88BE82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D22996"/>
    <w:multiLevelType w:val="hybridMultilevel"/>
    <w:tmpl w:val="7BB2D396"/>
    <w:lvl w:ilvl="0" w:tplc="0D48DA7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AD5E11"/>
    <w:multiLevelType w:val="hybridMultilevel"/>
    <w:tmpl w:val="23B2E3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1830D3"/>
    <w:multiLevelType w:val="hybridMultilevel"/>
    <w:tmpl w:val="AC48E8E0"/>
    <w:lvl w:ilvl="0" w:tplc="09F42DAE">
      <w:start w:val="1"/>
      <w:numFmt w:val="decimal"/>
      <w:lvlText w:val="%1."/>
      <w:lvlJc w:val="left"/>
      <w:pPr>
        <w:ind w:left="360" w:hanging="360"/>
      </w:pPr>
      <w:rPr>
        <w:rFonts w:ascii="Arial" w:hAnsi="Arial" w:cs="Arial" w:hint="default"/>
      </w:rPr>
    </w:lvl>
    <w:lvl w:ilvl="1" w:tplc="04090013">
      <w:start w:val="1"/>
      <w:numFmt w:val="hebrew1"/>
      <w:lvlText w:val="%2."/>
      <w:lvlJc w:val="center"/>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4E43302"/>
    <w:multiLevelType w:val="hybridMultilevel"/>
    <w:tmpl w:val="4C06D9F2"/>
    <w:lvl w:ilvl="0" w:tplc="B7B4089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E11EF"/>
    <w:multiLevelType w:val="hybridMultilevel"/>
    <w:tmpl w:val="3E6C2AF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5A13BD"/>
    <w:multiLevelType w:val="hybridMultilevel"/>
    <w:tmpl w:val="EBE2D672"/>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F302D58"/>
    <w:multiLevelType w:val="hybridMultilevel"/>
    <w:tmpl w:val="FA485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10"/>
  </w:num>
  <w:num w:numId="6">
    <w:abstractNumId w:val="17"/>
  </w:num>
  <w:num w:numId="7">
    <w:abstractNumId w:val="11"/>
  </w:num>
  <w:num w:numId="8">
    <w:abstractNumId w:val="23"/>
  </w:num>
  <w:num w:numId="9">
    <w:abstractNumId w:val="19"/>
  </w:num>
  <w:num w:numId="10">
    <w:abstractNumId w:val="8"/>
  </w:num>
  <w:num w:numId="11">
    <w:abstractNumId w:val="12"/>
  </w:num>
  <w:num w:numId="12">
    <w:abstractNumId w:val="15"/>
  </w:num>
  <w:num w:numId="13">
    <w:abstractNumId w:val="16"/>
  </w:num>
  <w:num w:numId="14">
    <w:abstractNumId w:val="6"/>
  </w:num>
  <w:num w:numId="15">
    <w:abstractNumId w:val="7"/>
  </w:num>
  <w:num w:numId="16">
    <w:abstractNumId w:val="2"/>
  </w:num>
  <w:num w:numId="17">
    <w:abstractNumId w:val="22"/>
  </w:num>
  <w:num w:numId="18">
    <w:abstractNumId w:val="4"/>
  </w:num>
  <w:num w:numId="19">
    <w:abstractNumId w:val="14"/>
  </w:num>
  <w:num w:numId="20">
    <w:abstractNumId w:val="20"/>
  </w:num>
  <w:num w:numId="21">
    <w:abstractNumId w:val="18"/>
  </w:num>
  <w:num w:numId="22">
    <w:abstractNumId w:val="9"/>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cwtTC0sDAxNDY3NzdU0lEKTi0uzszPAykwrAUAB8A5oywAAAA="/>
  </w:docVars>
  <w:rsids>
    <w:rsidRoot w:val="00822A85"/>
    <w:rsid w:val="000029D1"/>
    <w:rsid w:val="00004030"/>
    <w:rsid w:val="000053B3"/>
    <w:rsid w:val="00006A82"/>
    <w:rsid w:val="000076DD"/>
    <w:rsid w:val="00010F3C"/>
    <w:rsid w:val="00012A96"/>
    <w:rsid w:val="00013083"/>
    <w:rsid w:val="00013B28"/>
    <w:rsid w:val="000156B7"/>
    <w:rsid w:val="0002435B"/>
    <w:rsid w:val="00025C58"/>
    <w:rsid w:val="00030BDA"/>
    <w:rsid w:val="00040393"/>
    <w:rsid w:val="00044B6E"/>
    <w:rsid w:val="000461CA"/>
    <w:rsid w:val="000476CC"/>
    <w:rsid w:val="00047E4F"/>
    <w:rsid w:val="00050715"/>
    <w:rsid w:val="00050761"/>
    <w:rsid w:val="00051619"/>
    <w:rsid w:val="00054A31"/>
    <w:rsid w:val="00065041"/>
    <w:rsid w:val="000706E9"/>
    <w:rsid w:val="0007203C"/>
    <w:rsid w:val="00075A3A"/>
    <w:rsid w:val="000839E6"/>
    <w:rsid w:val="00084C42"/>
    <w:rsid w:val="00085375"/>
    <w:rsid w:val="00085762"/>
    <w:rsid w:val="00086188"/>
    <w:rsid w:val="00090620"/>
    <w:rsid w:val="00097C43"/>
    <w:rsid w:val="000A1003"/>
    <w:rsid w:val="000B6CA7"/>
    <w:rsid w:val="000B79E8"/>
    <w:rsid w:val="000C151F"/>
    <w:rsid w:val="000D0833"/>
    <w:rsid w:val="000D0B4B"/>
    <w:rsid w:val="000D3093"/>
    <w:rsid w:val="000F3023"/>
    <w:rsid w:val="000F6327"/>
    <w:rsid w:val="00101410"/>
    <w:rsid w:val="00102850"/>
    <w:rsid w:val="00103EC6"/>
    <w:rsid w:val="00111234"/>
    <w:rsid w:val="00117B7A"/>
    <w:rsid w:val="0013204E"/>
    <w:rsid w:val="0013313D"/>
    <w:rsid w:val="00137BE0"/>
    <w:rsid w:val="00140987"/>
    <w:rsid w:val="00143479"/>
    <w:rsid w:val="001444C8"/>
    <w:rsid w:val="00152CCC"/>
    <w:rsid w:val="001568B4"/>
    <w:rsid w:val="00156B3C"/>
    <w:rsid w:val="00160849"/>
    <w:rsid w:val="00185B76"/>
    <w:rsid w:val="0019126F"/>
    <w:rsid w:val="001966E7"/>
    <w:rsid w:val="001A0242"/>
    <w:rsid w:val="001A07D3"/>
    <w:rsid w:val="001A71FF"/>
    <w:rsid w:val="001B089C"/>
    <w:rsid w:val="001B301F"/>
    <w:rsid w:val="001B307C"/>
    <w:rsid w:val="001B3866"/>
    <w:rsid w:val="001B3AEC"/>
    <w:rsid w:val="001C033C"/>
    <w:rsid w:val="001D1AAA"/>
    <w:rsid w:val="001D3A1B"/>
    <w:rsid w:val="001D51E0"/>
    <w:rsid w:val="001D5C4E"/>
    <w:rsid w:val="001E0C12"/>
    <w:rsid w:val="001E7998"/>
    <w:rsid w:val="001E7FD2"/>
    <w:rsid w:val="001F33E8"/>
    <w:rsid w:val="001F3E06"/>
    <w:rsid w:val="00200B07"/>
    <w:rsid w:val="00202E76"/>
    <w:rsid w:val="00202F1B"/>
    <w:rsid w:val="00214A96"/>
    <w:rsid w:val="002158D6"/>
    <w:rsid w:val="00225E6C"/>
    <w:rsid w:val="00232ED6"/>
    <w:rsid w:val="0023302B"/>
    <w:rsid w:val="00247E6E"/>
    <w:rsid w:val="0025431A"/>
    <w:rsid w:val="00256B67"/>
    <w:rsid w:val="0025707D"/>
    <w:rsid w:val="00267B9F"/>
    <w:rsid w:val="002726EF"/>
    <w:rsid w:val="00275091"/>
    <w:rsid w:val="00277696"/>
    <w:rsid w:val="002805A2"/>
    <w:rsid w:val="002853F6"/>
    <w:rsid w:val="00286F7F"/>
    <w:rsid w:val="00293B16"/>
    <w:rsid w:val="002A2F9F"/>
    <w:rsid w:val="002A4B5B"/>
    <w:rsid w:val="002A606B"/>
    <w:rsid w:val="002B1403"/>
    <w:rsid w:val="002B70A6"/>
    <w:rsid w:val="002C32CA"/>
    <w:rsid w:val="002C4AF5"/>
    <w:rsid w:val="002C6519"/>
    <w:rsid w:val="002D2210"/>
    <w:rsid w:val="002D2A76"/>
    <w:rsid w:val="002F0C9A"/>
    <w:rsid w:val="002F1108"/>
    <w:rsid w:val="002F2361"/>
    <w:rsid w:val="002F494F"/>
    <w:rsid w:val="002F4B47"/>
    <w:rsid w:val="002F6DC6"/>
    <w:rsid w:val="003024AB"/>
    <w:rsid w:val="00303CDF"/>
    <w:rsid w:val="00315155"/>
    <w:rsid w:val="00316376"/>
    <w:rsid w:val="003213B0"/>
    <w:rsid w:val="003255F1"/>
    <w:rsid w:val="00335A80"/>
    <w:rsid w:val="00340DEA"/>
    <w:rsid w:val="003430F7"/>
    <w:rsid w:val="003454C8"/>
    <w:rsid w:val="003620F4"/>
    <w:rsid w:val="003677EE"/>
    <w:rsid w:val="00370CB1"/>
    <w:rsid w:val="003757D1"/>
    <w:rsid w:val="00381A1E"/>
    <w:rsid w:val="00383F58"/>
    <w:rsid w:val="0038587A"/>
    <w:rsid w:val="0039584F"/>
    <w:rsid w:val="00395BC0"/>
    <w:rsid w:val="0039680E"/>
    <w:rsid w:val="003A5B45"/>
    <w:rsid w:val="003C04B8"/>
    <w:rsid w:val="003C2948"/>
    <w:rsid w:val="003C296B"/>
    <w:rsid w:val="003C64A7"/>
    <w:rsid w:val="003D07F4"/>
    <w:rsid w:val="003D2293"/>
    <w:rsid w:val="003D52C7"/>
    <w:rsid w:val="003E11E7"/>
    <w:rsid w:val="003E150F"/>
    <w:rsid w:val="003F29F8"/>
    <w:rsid w:val="003F6CBC"/>
    <w:rsid w:val="003F6D89"/>
    <w:rsid w:val="004016CA"/>
    <w:rsid w:val="00403762"/>
    <w:rsid w:val="0041088D"/>
    <w:rsid w:val="00410B26"/>
    <w:rsid w:val="0041170F"/>
    <w:rsid w:val="00416887"/>
    <w:rsid w:val="00422DE9"/>
    <w:rsid w:val="00423471"/>
    <w:rsid w:val="004248C6"/>
    <w:rsid w:val="004421F5"/>
    <w:rsid w:val="00443E30"/>
    <w:rsid w:val="00444E49"/>
    <w:rsid w:val="00447309"/>
    <w:rsid w:val="00452AFA"/>
    <w:rsid w:val="00457A47"/>
    <w:rsid w:val="00460A59"/>
    <w:rsid w:val="00461C54"/>
    <w:rsid w:val="00464108"/>
    <w:rsid w:val="004824F8"/>
    <w:rsid w:val="004844B0"/>
    <w:rsid w:val="00486736"/>
    <w:rsid w:val="00493CB5"/>
    <w:rsid w:val="004A3ECD"/>
    <w:rsid w:val="004B004F"/>
    <w:rsid w:val="004B1BE7"/>
    <w:rsid w:val="004C1C72"/>
    <w:rsid w:val="004C1EE2"/>
    <w:rsid w:val="004C2024"/>
    <w:rsid w:val="004C6E83"/>
    <w:rsid w:val="004D6363"/>
    <w:rsid w:val="004E0515"/>
    <w:rsid w:val="004E3514"/>
    <w:rsid w:val="004E62AA"/>
    <w:rsid w:val="004F3DD0"/>
    <w:rsid w:val="004F7457"/>
    <w:rsid w:val="004F745C"/>
    <w:rsid w:val="0050149D"/>
    <w:rsid w:val="00501FE4"/>
    <w:rsid w:val="005028F5"/>
    <w:rsid w:val="00502E5D"/>
    <w:rsid w:val="00507E9D"/>
    <w:rsid w:val="00507EA6"/>
    <w:rsid w:val="005142AD"/>
    <w:rsid w:val="00516872"/>
    <w:rsid w:val="0051717D"/>
    <w:rsid w:val="005245D7"/>
    <w:rsid w:val="00530B26"/>
    <w:rsid w:val="00531130"/>
    <w:rsid w:val="005358E9"/>
    <w:rsid w:val="0054254F"/>
    <w:rsid w:val="00543735"/>
    <w:rsid w:val="00550F57"/>
    <w:rsid w:val="00551A85"/>
    <w:rsid w:val="00553EE3"/>
    <w:rsid w:val="005624E6"/>
    <w:rsid w:val="005635D8"/>
    <w:rsid w:val="0056532F"/>
    <w:rsid w:val="00566207"/>
    <w:rsid w:val="00567F8B"/>
    <w:rsid w:val="0057151B"/>
    <w:rsid w:val="0057425C"/>
    <w:rsid w:val="00577164"/>
    <w:rsid w:val="005827CF"/>
    <w:rsid w:val="00593C4C"/>
    <w:rsid w:val="0059543A"/>
    <w:rsid w:val="00596366"/>
    <w:rsid w:val="00596656"/>
    <w:rsid w:val="005A4DB4"/>
    <w:rsid w:val="005A4EEF"/>
    <w:rsid w:val="005A724D"/>
    <w:rsid w:val="005C3F28"/>
    <w:rsid w:val="005C4B9A"/>
    <w:rsid w:val="005E42A5"/>
    <w:rsid w:val="005E531C"/>
    <w:rsid w:val="005F24C0"/>
    <w:rsid w:val="005F2B41"/>
    <w:rsid w:val="005F381D"/>
    <w:rsid w:val="005F5E7C"/>
    <w:rsid w:val="005F74C7"/>
    <w:rsid w:val="005F7904"/>
    <w:rsid w:val="005F79B6"/>
    <w:rsid w:val="0061576A"/>
    <w:rsid w:val="0061578D"/>
    <w:rsid w:val="00615E39"/>
    <w:rsid w:val="00624342"/>
    <w:rsid w:val="00626B5F"/>
    <w:rsid w:val="00627BF4"/>
    <w:rsid w:val="00633C0F"/>
    <w:rsid w:val="00636B26"/>
    <w:rsid w:val="00640497"/>
    <w:rsid w:val="00641A0E"/>
    <w:rsid w:val="006428A6"/>
    <w:rsid w:val="006435CE"/>
    <w:rsid w:val="0064676C"/>
    <w:rsid w:val="00653711"/>
    <w:rsid w:val="00654762"/>
    <w:rsid w:val="00655B6C"/>
    <w:rsid w:val="00656D39"/>
    <w:rsid w:val="00656FD2"/>
    <w:rsid w:val="00657747"/>
    <w:rsid w:val="00666C48"/>
    <w:rsid w:val="00667A7A"/>
    <w:rsid w:val="00670868"/>
    <w:rsid w:val="00672F9E"/>
    <w:rsid w:val="006732D5"/>
    <w:rsid w:val="0067355F"/>
    <w:rsid w:val="00674B66"/>
    <w:rsid w:val="00692891"/>
    <w:rsid w:val="00694547"/>
    <w:rsid w:val="006A17F4"/>
    <w:rsid w:val="006A3277"/>
    <w:rsid w:val="006A74EE"/>
    <w:rsid w:val="006B08B8"/>
    <w:rsid w:val="006B2CC1"/>
    <w:rsid w:val="006B5924"/>
    <w:rsid w:val="006B5CF1"/>
    <w:rsid w:val="006C0838"/>
    <w:rsid w:val="006C6D04"/>
    <w:rsid w:val="006D5E0A"/>
    <w:rsid w:val="006E23FF"/>
    <w:rsid w:val="006E6265"/>
    <w:rsid w:val="006F7FC5"/>
    <w:rsid w:val="00700593"/>
    <w:rsid w:val="007013BE"/>
    <w:rsid w:val="00706001"/>
    <w:rsid w:val="007139DC"/>
    <w:rsid w:val="007145C4"/>
    <w:rsid w:val="00715956"/>
    <w:rsid w:val="007171C0"/>
    <w:rsid w:val="00720513"/>
    <w:rsid w:val="007218C8"/>
    <w:rsid w:val="00733CBD"/>
    <w:rsid w:val="00740FB2"/>
    <w:rsid w:val="007417E4"/>
    <w:rsid w:val="0074199A"/>
    <w:rsid w:val="00742A42"/>
    <w:rsid w:val="00744855"/>
    <w:rsid w:val="00750F99"/>
    <w:rsid w:val="00756C11"/>
    <w:rsid w:val="00760FFE"/>
    <w:rsid w:val="0076148C"/>
    <w:rsid w:val="007623B1"/>
    <w:rsid w:val="0078080D"/>
    <w:rsid w:val="0078737D"/>
    <w:rsid w:val="00791F6D"/>
    <w:rsid w:val="00793400"/>
    <w:rsid w:val="00794465"/>
    <w:rsid w:val="00794648"/>
    <w:rsid w:val="00794A29"/>
    <w:rsid w:val="00796EE8"/>
    <w:rsid w:val="00797F5E"/>
    <w:rsid w:val="007A0748"/>
    <w:rsid w:val="007B26FC"/>
    <w:rsid w:val="007B2B28"/>
    <w:rsid w:val="007B6949"/>
    <w:rsid w:val="007C17F5"/>
    <w:rsid w:val="007C2344"/>
    <w:rsid w:val="007C4029"/>
    <w:rsid w:val="007C47C4"/>
    <w:rsid w:val="007C6241"/>
    <w:rsid w:val="007C667E"/>
    <w:rsid w:val="007D7586"/>
    <w:rsid w:val="007E6435"/>
    <w:rsid w:val="007F57D9"/>
    <w:rsid w:val="00801B54"/>
    <w:rsid w:val="008038A0"/>
    <w:rsid w:val="008048DE"/>
    <w:rsid w:val="00804C0F"/>
    <w:rsid w:val="00811B2D"/>
    <w:rsid w:val="00814EBC"/>
    <w:rsid w:val="00816CC3"/>
    <w:rsid w:val="00817A16"/>
    <w:rsid w:val="00821EE5"/>
    <w:rsid w:val="00822A85"/>
    <w:rsid w:val="00822CF9"/>
    <w:rsid w:val="008262F0"/>
    <w:rsid w:val="00830C21"/>
    <w:rsid w:val="00831D49"/>
    <w:rsid w:val="0083213F"/>
    <w:rsid w:val="00832B58"/>
    <w:rsid w:val="00834410"/>
    <w:rsid w:val="008349A6"/>
    <w:rsid w:val="00835BCF"/>
    <w:rsid w:val="00836217"/>
    <w:rsid w:val="00836CD4"/>
    <w:rsid w:val="00837A9B"/>
    <w:rsid w:val="00840318"/>
    <w:rsid w:val="00841C2C"/>
    <w:rsid w:val="00855063"/>
    <w:rsid w:val="0086012A"/>
    <w:rsid w:val="00863211"/>
    <w:rsid w:val="0086507F"/>
    <w:rsid w:val="008708E8"/>
    <w:rsid w:val="008725DE"/>
    <w:rsid w:val="008754AF"/>
    <w:rsid w:val="0088036F"/>
    <w:rsid w:val="008817AA"/>
    <w:rsid w:val="008859C5"/>
    <w:rsid w:val="00886645"/>
    <w:rsid w:val="008A17ED"/>
    <w:rsid w:val="008B1017"/>
    <w:rsid w:val="008B736C"/>
    <w:rsid w:val="008B7B68"/>
    <w:rsid w:val="008C130F"/>
    <w:rsid w:val="008C3AD0"/>
    <w:rsid w:val="008C7ACD"/>
    <w:rsid w:val="008D1A2F"/>
    <w:rsid w:val="008D3CB6"/>
    <w:rsid w:val="008D6C9C"/>
    <w:rsid w:val="008D7BFB"/>
    <w:rsid w:val="008F7AE8"/>
    <w:rsid w:val="00902865"/>
    <w:rsid w:val="00907599"/>
    <w:rsid w:val="00912A20"/>
    <w:rsid w:val="00924702"/>
    <w:rsid w:val="009263AC"/>
    <w:rsid w:val="0092699F"/>
    <w:rsid w:val="00930498"/>
    <w:rsid w:val="00931EDF"/>
    <w:rsid w:val="009346C0"/>
    <w:rsid w:val="00935C1B"/>
    <w:rsid w:val="009434BF"/>
    <w:rsid w:val="0095018C"/>
    <w:rsid w:val="00950DBA"/>
    <w:rsid w:val="00956735"/>
    <w:rsid w:val="009613D2"/>
    <w:rsid w:val="00961ECC"/>
    <w:rsid w:val="009641F8"/>
    <w:rsid w:val="009800B3"/>
    <w:rsid w:val="00987062"/>
    <w:rsid w:val="00987181"/>
    <w:rsid w:val="00987C8F"/>
    <w:rsid w:val="009A24CD"/>
    <w:rsid w:val="009A7C5C"/>
    <w:rsid w:val="009B4320"/>
    <w:rsid w:val="009B498A"/>
    <w:rsid w:val="009B7710"/>
    <w:rsid w:val="009C29D8"/>
    <w:rsid w:val="009C51BA"/>
    <w:rsid w:val="009D50FA"/>
    <w:rsid w:val="009E26F9"/>
    <w:rsid w:val="009E5161"/>
    <w:rsid w:val="009F35BD"/>
    <w:rsid w:val="00A03A86"/>
    <w:rsid w:val="00A0477B"/>
    <w:rsid w:val="00A127CF"/>
    <w:rsid w:val="00A139E7"/>
    <w:rsid w:val="00A203CF"/>
    <w:rsid w:val="00A20637"/>
    <w:rsid w:val="00A2718F"/>
    <w:rsid w:val="00A33054"/>
    <w:rsid w:val="00A4032F"/>
    <w:rsid w:val="00A40823"/>
    <w:rsid w:val="00A41BDC"/>
    <w:rsid w:val="00A42D3D"/>
    <w:rsid w:val="00A47A7A"/>
    <w:rsid w:val="00A533C5"/>
    <w:rsid w:val="00A61BF7"/>
    <w:rsid w:val="00A640C5"/>
    <w:rsid w:val="00A66D58"/>
    <w:rsid w:val="00A726CD"/>
    <w:rsid w:val="00A7318F"/>
    <w:rsid w:val="00A73BDA"/>
    <w:rsid w:val="00A75225"/>
    <w:rsid w:val="00A8154E"/>
    <w:rsid w:val="00A87707"/>
    <w:rsid w:val="00A878BE"/>
    <w:rsid w:val="00A91011"/>
    <w:rsid w:val="00A93743"/>
    <w:rsid w:val="00AA6817"/>
    <w:rsid w:val="00AB3946"/>
    <w:rsid w:val="00AB6ABF"/>
    <w:rsid w:val="00AC07F0"/>
    <w:rsid w:val="00AC482A"/>
    <w:rsid w:val="00AD1E27"/>
    <w:rsid w:val="00AD3DA0"/>
    <w:rsid w:val="00AE60E1"/>
    <w:rsid w:val="00AE7402"/>
    <w:rsid w:val="00AE793E"/>
    <w:rsid w:val="00AF3C4C"/>
    <w:rsid w:val="00AF455F"/>
    <w:rsid w:val="00B05C61"/>
    <w:rsid w:val="00B10D21"/>
    <w:rsid w:val="00B124F7"/>
    <w:rsid w:val="00B179F4"/>
    <w:rsid w:val="00B215ED"/>
    <w:rsid w:val="00B250E5"/>
    <w:rsid w:val="00B27539"/>
    <w:rsid w:val="00B334C6"/>
    <w:rsid w:val="00B3438C"/>
    <w:rsid w:val="00B35E2E"/>
    <w:rsid w:val="00B37B6C"/>
    <w:rsid w:val="00B41014"/>
    <w:rsid w:val="00B41F1D"/>
    <w:rsid w:val="00B42CAE"/>
    <w:rsid w:val="00B45294"/>
    <w:rsid w:val="00B552CA"/>
    <w:rsid w:val="00B55310"/>
    <w:rsid w:val="00B60110"/>
    <w:rsid w:val="00B642F5"/>
    <w:rsid w:val="00B661F5"/>
    <w:rsid w:val="00B70EA9"/>
    <w:rsid w:val="00B7674C"/>
    <w:rsid w:val="00B94F10"/>
    <w:rsid w:val="00B963CB"/>
    <w:rsid w:val="00BA23A3"/>
    <w:rsid w:val="00BB4693"/>
    <w:rsid w:val="00BB4E6E"/>
    <w:rsid w:val="00BB73C0"/>
    <w:rsid w:val="00BB741E"/>
    <w:rsid w:val="00BC419E"/>
    <w:rsid w:val="00BC6240"/>
    <w:rsid w:val="00BE40EB"/>
    <w:rsid w:val="00BE4741"/>
    <w:rsid w:val="00BE561F"/>
    <w:rsid w:val="00BE5921"/>
    <w:rsid w:val="00BE650B"/>
    <w:rsid w:val="00BF4C81"/>
    <w:rsid w:val="00BF606F"/>
    <w:rsid w:val="00BF6536"/>
    <w:rsid w:val="00BF6AAF"/>
    <w:rsid w:val="00C03C82"/>
    <w:rsid w:val="00C1295F"/>
    <w:rsid w:val="00C14B30"/>
    <w:rsid w:val="00C160EA"/>
    <w:rsid w:val="00C17D38"/>
    <w:rsid w:val="00C25568"/>
    <w:rsid w:val="00C26CE5"/>
    <w:rsid w:val="00C31D99"/>
    <w:rsid w:val="00C34CB5"/>
    <w:rsid w:val="00C360EA"/>
    <w:rsid w:val="00C4051D"/>
    <w:rsid w:val="00C467DC"/>
    <w:rsid w:val="00C47C30"/>
    <w:rsid w:val="00C545B6"/>
    <w:rsid w:val="00C55B33"/>
    <w:rsid w:val="00C56755"/>
    <w:rsid w:val="00C604B2"/>
    <w:rsid w:val="00C60717"/>
    <w:rsid w:val="00C62606"/>
    <w:rsid w:val="00C71396"/>
    <w:rsid w:val="00C767D9"/>
    <w:rsid w:val="00C76B96"/>
    <w:rsid w:val="00C81148"/>
    <w:rsid w:val="00C81C68"/>
    <w:rsid w:val="00C835EA"/>
    <w:rsid w:val="00C9235E"/>
    <w:rsid w:val="00C92F07"/>
    <w:rsid w:val="00C953EA"/>
    <w:rsid w:val="00C95CCB"/>
    <w:rsid w:val="00C961D1"/>
    <w:rsid w:val="00C97E69"/>
    <w:rsid w:val="00CA16DB"/>
    <w:rsid w:val="00CA2B84"/>
    <w:rsid w:val="00CA7FE1"/>
    <w:rsid w:val="00CB3A4D"/>
    <w:rsid w:val="00CB3C13"/>
    <w:rsid w:val="00CB7471"/>
    <w:rsid w:val="00CC0F42"/>
    <w:rsid w:val="00CC100E"/>
    <w:rsid w:val="00CC1211"/>
    <w:rsid w:val="00CD29BC"/>
    <w:rsid w:val="00CD44ED"/>
    <w:rsid w:val="00CD64B1"/>
    <w:rsid w:val="00CE7879"/>
    <w:rsid w:val="00CF35B6"/>
    <w:rsid w:val="00CF3D0E"/>
    <w:rsid w:val="00CF4C05"/>
    <w:rsid w:val="00CF4DC6"/>
    <w:rsid w:val="00CF5551"/>
    <w:rsid w:val="00CF59F2"/>
    <w:rsid w:val="00D05811"/>
    <w:rsid w:val="00D06589"/>
    <w:rsid w:val="00D07754"/>
    <w:rsid w:val="00D11444"/>
    <w:rsid w:val="00D14E20"/>
    <w:rsid w:val="00D156FF"/>
    <w:rsid w:val="00D1636A"/>
    <w:rsid w:val="00D20965"/>
    <w:rsid w:val="00D21880"/>
    <w:rsid w:val="00D242FE"/>
    <w:rsid w:val="00D279F0"/>
    <w:rsid w:val="00D314C1"/>
    <w:rsid w:val="00D315F8"/>
    <w:rsid w:val="00D415ED"/>
    <w:rsid w:val="00D41FE9"/>
    <w:rsid w:val="00D44364"/>
    <w:rsid w:val="00D75C2A"/>
    <w:rsid w:val="00D7662B"/>
    <w:rsid w:val="00D809ED"/>
    <w:rsid w:val="00D844A7"/>
    <w:rsid w:val="00D87335"/>
    <w:rsid w:val="00D911FE"/>
    <w:rsid w:val="00D92BDD"/>
    <w:rsid w:val="00D93A23"/>
    <w:rsid w:val="00D949E9"/>
    <w:rsid w:val="00D970D0"/>
    <w:rsid w:val="00DA27B8"/>
    <w:rsid w:val="00DA2AD1"/>
    <w:rsid w:val="00DB24CD"/>
    <w:rsid w:val="00DB6F0D"/>
    <w:rsid w:val="00DC013D"/>
    <w:rsid w:val="00DD5D02"/>
    <w:rsid w:val="00DD618C"/>
    <w:rsid w:val="00DE3AE6"/>
    <w:rsid w:val="00DE3DDE"/>
    <w:rsid w:val="00DE45CF"/>
    <w:rsid w:val="00DF2D83"/>
    <w:rsid w:val="00DF7CB9"/>
    <w:rsid w:val="00E01A40"/>
    <w:rsid w:val="00E05BA5"/>
    <w:rsid w:val="00E12FC1"/>
    <w:rsid w:val="00E14412"/>
    <w:rsid w:val="00E210BA"/>
    <w:rsid w:val="00E32211"/>
    <w:rsid w:val="00E37BE8"/>
    <w:rsid w:val="00E40678"/>
    <w:rsid w:val="00E40CED"/>
    <w:rsid w:val="00E4195C"/>
    <w:rsid w:val="00E43BDB"/>
    <w:rsid w:val="00E4727A"/>
    <w:rsid w:val="00E559FE"/>
    <w:rsid w:val="00E56D57"/>
    <w:rsid w:val="00E60FBA"/>
    <w:rsid w:val="00E62235"/>
    <w:rsid w:val="00E80618"/>
    <w:rsid w:val="00E818CC"/>
    <w:rsid w:val="00E83518"/>
    <w:rsid w:val="00E85EFF"/>
    <w:rsid w:val="00E873A3"/>
    <w:rsid w:val="00E91BA0"/>
    <w:rsid w:val="00E944EE"/>
    <w:rsid w:val="00E951C4"/>
    <w:rsid w:val="00E966B8"/>
    <w:rsid w:val="00E97DC0"/>
    <w:rsid w:val="00EA2503"/>
    <w:rsid w:val="00EA32A9"/>
    <w:rsid w:val="00EB0FDA"/>
    <w:rsid w:val="00EB141C"/>
    <w:rsid w:val="00EB3F38"/>
    <w:rsid w:val="00EC4BC6"/>
    <w:rsid w:val="00EC7F72"/>
    <w:rsid w:val="00ED0E6E"/>
    <w:rsid w:val="00ED2E1E"/>
    <w:rsid w:val="00ED5663"/>
    <w:rsid w:val="00ED7435"/>
    <w:rsid w:val="00EE54C6"/>
    <w:rsid w:val="00EF320F"/>
    <w:rsid w:val="00EF411C"/>
    <w:rsid w:val="00EF43F3"/>
    <w:rsid w:val="00EF4FB5"/>
    <w:rsid w:val="00EF56E1"/>
    <w:rsid w:val="00EF6392"/>
    <w:rsid w:val="00F01F4B"/>
    <w:rsid w:val="00F105DC"/>
    <w:rsid w:val="00F10665"/>
    <w:rsid w:val="00F12273"/>
    <w:rsid w:val="00F126A4"/>
    <w:rsid w:val="00F20F7A"/>
    <w:rsid w:val="00F21897"/>
    <w:rsid w:val="00F26B7A"/>
    <w:rsid w:val="00F37637"/>
    <w:rsid w:val="00F44F0E"/>
    <w:rsid w:val="00F45001"/>
    <w:rsid w:val="00F52387"/>
    <w:rsid w:val="00F609BF"/>
    <w:rsid w:val="00F61F8F"/>
    <w:rsid w:val="00F62837"/>
    <w:rsid w:val="00F63077"/>
    <w:rsid w:val="00F638E7"/>
    <w:rsid w:val="00F70B03"/>
    <w:rsid w:val="00F75263"/>
    <w:rsid w:val="00F76348"/>
    <w:rsid w:val="00F81E35"/>
    <w:rsid w:val="00F91FAE"/>
    <w:rsid w:val="00F9266E"/>
    <w:rsid w:val="00F95BAC"/>
    <w:rsid w:val="00FA796C"/>
    <w:rsid w:val="00FB18B6"/>
    <w:rsid w:val="00FB5DA8"/>
    <w:rsid w:val="00FB5EFF"/>
    <w:rsid w:val="00FC21EE"/>
    <w:rsid w:val="00FC4974"/>
    <w:rsid w:val="00FC712E"/>
    <w:rsid w:val="00FE16FE"/>
    <w:rsid w:val="00FE79D9"/>
    <w:rsid w:val="00FF5A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D7A82"/>
  <w15:docId w15:val="{59B6A5BD-7E91-45B6-BB89-42B061EC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autoRedefine/>
    <w:uiPriority w:val="99"/>
    <w:qFormat/>
    <w:rsid w:val="001B301F"/>
    <w:pPr>
      <w:keepNext/>
      <w:keepLines/>
      <w:spacing w:before="480" w:after="0" w:line="240" w:lineRule="auto"/>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semiHidden/>
    <w:unhideWhenUsed/>
    <w:qFormat/>
    <w:rsid w:val="00AE60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301F"/>
    <w:rPr>
      <w:rFonts w:ascii="Cambria" w:eastAsia="Times New Roman" w:hAnsi="Cambria"/>
      <w:b/>
      <w:bCs/>
      <w:color w:val="365F91"/>
      <w:sz w:val="28"/>
      <w:szCs w:val="28"/>
    </w:rPr>
  </w:style>
  <w:style w:type="paragraph" w:styleId="Header">
    <w:name w:val="header"/>
    <w:basedOn w:val="Normal"/>
    <w:link w:val="HeaderChar"/>
    <w:uiPriority w:val="99"/>
    <w:unhideWhenUsed/>
    <w:rsid w:val="00822A8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22A85"/>
  </w:style>
  <w:style w:type="paragraph" w:styleId="Footer">
    <w:name w:val="footer"/>
    <w:basedOn w:val="Normal"/>
    <w:link w:val="FooterChar"/>
    <w:uiPriority w:val="99"/>
    <w:unhideWhenUsed/>
    <w:rsid w:val="00822A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2A85"/>
  </w:style>
  <w:style w:type="paragraph" w:styleId="BalloonText">
    <w:name w:val="Balloon Text"/>
    <w:basedOn w:val="Normal"/>
    <w:link w:val="BalloonTextChar"/>
    <w:uiPriority w:val="99"/>
    <w:semiHidden/>
    <w:unhideWhenUsed/>
    <w:rsid w:val="00822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A85"/>
    <w:rPr>
      <w:rFonts w:ascii="Tahoma" w:hAnsi="Tahoma" w:cs="Tahoma"/>
      <w:sz w:val="16"/>
      <w:szCs w:val="16"/>
    </w:rPr>
  </w:style>
  <w:style w:type="character" w:customStyle="1" w:styleId="Heading3Char">
    <w:name w:val="Heading 3 Char"/>
    <w:basedOn w:val="DefaultParagraphFont"/>
    <w:link w:val="Heading3"/>
    <w:uiPriority w:val="9"/>
    <w:semiHidden/>
    <w:rsid w:val="00AE60E1"/>
    <w:rPr>
      <w:rFonts w:asciiTheme="majorHAnsi" w:eastAsiaTheme="majorEastAsia" w:hAnsiTheme="majorHAnsi" w:cstheme="majorBidi"/>
      <w:color w:val="243F60" w:themeColor="accent1" w:themeShade="7F"/>
      <w:sz w:val="24"/>
      <w:szCs w:val="24"/>
    </w:rPr>
  </w:style>
  <w:style w:type="paragraph" w:customStyle="1" w:styleId="1">
    <w:name w:val="טקסט הערת שוליים1"/>
    <w:basedOn w:val="Normal"/>
    <w:next w:val="FootnoteText"/>
    <w:link w:val="a"/>
    <w:uiPriority w:val="99"/>
    <w:unhideWhenUsed/>
    <w:rsid w:val="00AE60E1"/>
    <w:pPr>
      <w:spacing w:after="0" w:line="240" w:lineRule="auto"/>
      <w:ind w:left="-341" w:right="567"/>
      <w:jc w:val="both"/>
    </w:pPr>
    <w:rPr>
      <w:rFonts w:ascii="Times New Roman" w:hAnsi="Times New Roman" w:cs="David"/>
      <w:sz w:val="20"/>
      <w:szCs w:val="20"/>
    </w:rPr>
  </w:style>
  <w:style w:type="character" w:customStyle="1" w:styleId="a">
    <w:name w:val="טקסט הערת שוליים תו"/>
    <w:basedOn w:val="DefaultParagraphFont"/>
    <w:link w:val="1"/>
    <w:uiPriority w:val="99"/>
    <w:rsid w:val="00AE60E1"/>
    <w:rPr>
      <w:rFonts w:ascii="Times New Roman" w:hAnsi="Times New Roman" w:cs="David"/>
      <w:sz w:val="20"/>
      <w:szCs w:val="20"/>
    </w:rPr>
  </w:style>
  <w:style w:type="character" w:styleId="FootnoteReference">
    <w:name w:val="footnote reference"/>
    <w:basedOn w:val="DefaultParagraphFont"/>
    <w:uiPriority w:val="99"/>
    <w:semiHidden/>
    <w:unhideWhenUsed/>
    <w:rsid w:val="00AE60E1"/>
    <w:rPr>
      <w:vertAlign w:val="superscript"/>
    </w:rPr>
  </w:style>
  <w:style w:type="paragraph" w:styleId="FootnoteText">
    <w:name w:val="footnote text"/>
    <w:basedOn w:val="Normal"/>
    <w:link w:val="FootnoteTextChar"/>
    <w:uiPriority w:val="99"/>
    <w:unhideWhenUsed/>
    <w:rsid w:val="00AE60E1"/>
    <w:pPr>
      <w:spacing w:after="0" w:line="240" w:lineRule="auto"/>
    </w:pPr>
    <w:rPr>
      <w:sz w:val="20"/>
      <w:szCs w:val="20"/>
    </w:rPr>
  </w:style>
  <w:style w:type="character" w:customStyle="1" w:styleId="FootnoteTextChar">
    <w:name w:val="Footnote Text Char"/>
    <w:basedOn w:val="DefaultParagraphFont"/>
    <w:link w:val="FootnoteText"/>
    <w:uiPriority w:val="99"/>
    <w:rsid w:val="00AE60E1"/>
    <w:rPr>
      <w:sz w:val="20"/>
      <w:szCs w:val="20"/>
    </w:rPr>
  </w:style>
  <w:style w:type="paragraph" w:styleId="NormalWeb">
    <w:name w:val="Normal (Web)"/>
    <w:basedOn w:val="Normal"/>
    <w:uiPriority w:val="99"/>
    <w:unhideWhenUsed/>
    <w:rsid w:val="00D809ED"/>
    <w:pPr>
      <w:bidi w:val="0"/>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D809ED"/>
    <w:pPr>
      <w:spacing w:after="160" w:line="259" w:lineRule="auto"/>
      <w:ind w:left="720"/>
      <w:contextualSpacing/>
    </w:pPr>
  </w:style>
  <w:style w:type="character" w:styleId="Hyperlink">
    <w:name w:val="Hyperlink"/>
    <w:basedOn w:val="DefaultParagraphFont"/>
    <w:uiPriority w:val="99"/>
    <w:unhideWhenUsed/>
    <w:rsid w:val="005C3F28"/>
    <w:rPr>
      <w:color w:val="0000FF" w:themeColor="hyperlink"/>
      <w:u w:val="single"/>
    </w:rPr>
  </w:style>
  <w:style w:type="character" w:styleId="FollowedHyperlink">
    <w:name w:val="FollowedHyperlink"/>
    <w:basedOn w:val="DefaultParagraphFont"/>
    <w:uiPriority w:val="99"/>
    <w:semiHidden/>
    <w:unhideWhenUsed/>
    <w:rsid w:val="00EC4BC6"/>
    <w:rPr>
      <w:color w:val="800080" w:themeColor="followedHyperlink"/>
      <w:u w:val="single"/>
    </w:rPr>
  </w:style>
  <w:style w:type="character" w:styleId="CommentReference">
    <w:name w:val="annotation reference"/>
    <w:basedOn w:val="DefaultParagraphFont"/>
    <w:uiPriority w:val="99"/>
    <w:semiHidden/>
    <w:unhideWhenUsed/>
    <w:rsid w:val="00D1636A"/>
    <w:rPr>
      <w:sz w:val="16"/>
      <w:szCs w:val="16"/>
    </w:rPr>
  </w:style>
  <w:style w:type="paragraph" w:styleId="CommentText">
    <w:name w:val="annotation text"/>
    <w:basedOn w:val="Normal"/>
    <w:link w:val="CommentTextChar"/>
    <w:uiPriority w:val="99"/>
    <w:semiHidden/>
    <w:unhideWhenUsed/>
    <w:rsid w:val="00D1636A"/>
    <w:pPr>
      <w:spacing w:line="240" w:lineRule="auto"/>
    </w:pPr>
    <w:rPr>
      <w:sz w:val="20"/>
      <w:szCs w:val="20"/>
    </w:rPr>
  </w:style>
  <w:style w:type="character" w:customStyle="1" w:styleId="CommentTextChar">
    <w:name w:val="Comment Text Char"/>
    <w:basedOn w:val="DefaultParagraphFont"/>
    <w:link w:val="CommentText"/>
    <w:uiPriority w:val="99"/>
    <w:semiHidden/>
    <w:rsid w:val="00D1636A"/>
    <w:rPr>
      <w:sz w:val="20"/>
      <w:szCs w:val="20"/>
    </w:rPr>
  </w:style>
  <w:style w:type="paragraph" w:styleId="CommentSubject">
    <w:name w:val="annotation subject"/>
    <w:basedOn w:val="CommentText"/>
    <w:next w:val="CommentText"/>
    <w:link w:val="CommentSubjectChar"/>
    <w:uiPriority w:val="99"/>
    <w:semiHidden/>
    <w:unhideWhenUsed/>
    <w:rsid w:val="00D1636A"/>
    <w:rPr>
      <w:b/>
      <w:bCs/>
    </w:rPr>
  </w:style>
  <w:style w:type="character" w:customStyle="1" w:styleId="CommentSubjectChar">
    <w:name w:val="Comment Subject Char"/>
    <w:basedOn w:val="CommentTextChar"/>
    <w:link w:val="CommentSubject"/>
    <w:uiPriority w:val="99"/>
    <w:semiHidden/>
    <w:rsid w:val="00D1636A"/>
    <w:rPr>
      <w:b/>
      <w:bCs/>
      <w:sz w:val="20"/>
      <w:szCs w:val="20"/>
    </w:rPr>
  </w:style>
  <w:style w:type="character" w:styleId="UnresolvedMention">
    <w:name w:val="Unresolved Mention"/>
    <w:basedOn w:val="DefaultParagraphFont"/>
    <w:uiPriority w:val="99"/>
    <w:semiHidden/>
    <w:unhideWhenUsed/>
    <w:rsid w:val="00EB0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832480">
      <w:bodyDiv w:val="1"/>
      <w:marLeft w:val="0"/>
      <w:marRight w:val="0"/>
      <w:marTop w:val="0"/>
      <w:marBottom w:val="0"/>
      <w:divBdr>
        <w:top w:val="none" w:sz="0" w:space="0" w:color="auto"/>
        <w:left w:val="none" w:sz="0" w:space="0" w:color="auto"/>
        <w:bottom w:val="none" w:sz="0" w:space="0" w:color="auto"/>
        <w:right w:val="none" w:sz="0" w:space="0" w:color="auto"/>
      </w:divBdr>
    </w:div>
    <w:div w:id="452213389">
      <w:bodyDiv w:val="1"/>
      <w:marLeft w:val="0"/>
      <w:marRight w:val="0"/>
      <w:marTop w:val="0"/>
      <w:marBottom w:val="0"/>
      <w:divBdr>
        <w:top w:val="none" w:sz="0" w:space="0" w:color="auto"/>
        <w:left w:val="none" w:sz="0" w:space="0" w:color="auto"/>
        <w:bottom w:val="none" w:sz="0" w:space="0" w:color="auto"/>
        <w:right w:val="none" w:sz="0" w:space="0" w:color="auto"/>
      </w:divBdr>
    </w:div>
    <w:div w:id="46589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heatufim.org.il/en/subject/cross-sector-dialog/prime-ministers-offi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eatufim.org.il/en/subject/collective-impact/story-5x2-initiativ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eatufim.org.il/en/subject/collective-impact/"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kll.org.il/he/10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yediot.co.il/articles/0,7340,L-4908502,00.html" TargetMode="External"/><Relationship Id="rId13" Type="http://schemas.openxmlformats.org/officeDocument/2006/relationships/hyperlink" Target="https://haipo.co.il/item/133046" TargetMode="External"/><Relationship Id="rId3" Type="http://schemas.openxmlformats.org/officeDocument/2006/relationships/hyperlink" Target="http://wiki.sheatufim.org.il/w/upload/sheatufim/5/52/Femicide_and_Gender-based_Violence_in_Israel.pdf" TargetMode="External"/><Relationship Id="rId7" Type="http://schemas.openxmlformats.org/officeDocument/2006/relationships/hyperlink" Target="https://www.globes.co.il/news/article.aspx?did=1000065950" TargetMode="External"/><Relationship Id="rId12" Type="http://schemas.openxmlformats.org/officeDocument/2006/relationships/hyperlink" Target="https://www.calcalist.co.il/local/articles/0,7340,L-3764859,00.html" TargetMode="External"/><Relationship Id="rId2" Type="http://schemas.openxmlformats.org/officeDocument/2006/relationships/hyperlink" Target="https://www.gov.il/en/Departments/news/government_approved_implementation_of_sdgs" TargetMode="External"/><Relationship Id="rId16" Type="http://schemas.openxmlformats.org/officeDocument/2006/relationships/hyperlink" Target="https://www.calcalist.co.il/articles/0,7340,L-3740270,00.html" TargetMode="External"/><Relationship Id="rId1" Type="http://schemas.openxmlformats.org/officeDocument/2006/relationships/hyperlink" Target="https://sustainabledevelopment.un.org/sdgs" TargetMode="External"/><Relationship Id="rId6" Type="http://schemas.openxmlformats.org/officeDocument/2006/relationships/hyperlink" Target="https://fs.knesset.gov.il/globaldocs/MMM/838c30e8-98fc-e811-80e1-00155d0a98a9/2_838c30e8-98fc-e811-80e1-00155d0a98a9_11_10854.pdf" TargetMode="External"/><Relationship Id="rId11" Type="http://schemas.openxmlformats.org/officeDocument/2006/relationships/hyperlink" Target="http://www.ocean.org.il/Heb/_documents/Part%20III%20Marine%20Pollution%20NMR%202017%20Fnal%2027122018.pdf" TargetMode="External"/><Relationship Id="rId5" Type="http://schemas.openxmlformats.org/officeDocument/2006/relationships/hyperlink" Target="https://employment.molsa.gov.il/Employment/UniquePopulation/Pages/IntegrationUniquePopulations.aspx" TargetMode="External"/><Relationship Id="rId15" Type="http://schemas.openxmlformats.org/officeDocument/2006/relationships/hyperlink" Target="https://www.themarker.com/news/education/1.6465870" TargetMode="External"/><Relationship Id="rId10" Type="http://schemas.openxmlformats.org/officeDocument/2006/relationships/hyperlink" Target="http://www.sviva.gov.il/English/env_topics/RiversAndStreams/Pages/default.aspx" TargetMode="External"/><Relationship Id="rId4" Type="http://schemas.openxmlformats.org/officeDocument/2006/relationships/hyperlink" Target="https://fs.knesset.gov.il/globaldocs/MMM/c3f72047-fcb6-e611-80ca-00155d020699/2_c3f72047-fcb6-e611-80ca-00155d020699_11_9494.pdf" TargetMode="External"/><Relationship Id="rId9" Type="http://schemas.openxmlformats.org/officeDocument/2006/relationships/hyperlink" Target="https://zalul.org.il/%d7%93%d7%a3-%d7%a2%d7%9e%d7%93%d7%94-%d7%a9%d7%9c-%d7%90%d7%a8%d7%92%d7%95%d7%a0%d7%99-%d7%94%d7%a1%d7%91%d7%99%d7%91%d7%94-%d7%9e%d7%90%d7%97%d7%93%d7%99%d7%9d-%d7%9b%d7%95%d7%97%d7%95%d7%aa/" TargetMode="External"/><Relationship Id="rId14" Type="http://schemas.openxmlformats.org/officeDocument/2006/relationships/hyperlink" Target="file:///C:\Users\Dana\Dropbox\Freelance\kness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A7A7F-BC33-495D-AA1F-4AD81B90E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6338</Words>
  <Characters>32007</Characters>
  <Application>Microsoft Office Word</Application>
  <DocSecurity>0</DocSecurity>
  <Lines>533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2</cp:revision>
  <dcterms:created xsi:type="dcterms:W3CDTF">2019-11-10T12:48:00Z</dcterms:created>
  <dcterms:modified xsi:type="dcterms:W3CDTF">2019-11-10T13:47:00Z</dcterms:modified>
</cp:coreProperties>
</file>