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54756" w14:textId="77777777" w:rsidR="00B33D15" w:rsidRPr="009B142A" w:rsidRDefault="00B33D15" w:rsidP="008F69DC">
      <w:pPr>
        <w:pStyle w:val="Heading1"/>
        <w:spacing w:before="0" w:line="360" w:lineRule="auto"/>
        <w:ind w:left="-454" w:right="-57" w:firstLine="27"/>
        <w:jc w:val="both"/>
        <w:rPr>
          <w:rFonts w:asciiTheme="majorBidi" w:hAnsiTheme="majorBidi"/>
          <w:b/>
          <w:bCs/>
          <w:smallCaps/>
          <w:color w:val="auto"/>
          <w:sz w:val="24"/>
          <w:szCs w:val="24"/>
        </w:rPr>
      </w:pPr>
      <w:r w:rsidRPr="009B142A">
        <w:rPr>
          <w:rFonts w:asciiTheme="majorBidi" w:hAnsiTheme="majorBidi"/>
          <w:b/>
          <w:bCs/>
          <w:color w:val="auto"/>
          <w:sz w:val="24"/>
          <w:szCs w:val="24"/>
        </w:rPr>
        <w:t>References</w:t>
      </w:r>
    </w:p>
    <w:p w14:paraId="4038F7F2" w14:textId="2EEEBC8C" w:rsidR="006B3978" w:rsidRPr="009B142A" w:rsidRDefault="006B397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Plummer P, Eskes G, Wallace S, Giuffrida C, Fraas M, Campbell G, Clifton KL, Skidmore ER; American Congress of Rehabilitation Medicine Stroke Networking Group Cognition Task Force. Cognitive-motor interference during functional mobility after stroke: state of the science and implications for future research. </w:t>
      </w:r>
      <w:r w:rsidRPr="009B64B5">
        <w:rPr>
          <w:rFonts w:asciiTheme="majorBidi" w:hAnsiTheme="majorBidi" w:cstheme="majorBidi"/>
          <w:i/>
          <w:iCs/>
          <w:kern w:val="0"/>
          <w:lang w:bidi="ar-SA"/>
        </w:rPr>
        <w:t>Arch Phys Med Rehabil.</w:t>
      </w:r>
      <w:r w:rsidRPr="009B142A">
        <w:rPr>
          <w:rFonts w:asciiTheme="majorBidi" w:hAnsiTheme="majorBidi" w:cstheme="majorBidi"/>
          <w:kern w:val="0"/>
          <w:lang w:bidi="ar-SA"/>
        </w:rPr>
        <w:t xml:space="preserve"> 2013 Dec;94(12):2565-2574.e6. </w:t>
      </w:r>
    </w:p>
    <w:p w14:paraId="7FB8DF26" w14:textId="77777777" w:rsidR="00C0324E" w:rsidRPr="009B142A" w:rsidRDefault="006B397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Friedman A, Polson MC, Dafoe CG, Gaskill SJ. Dividing attention within and between hemispheres: testing a multiple resources approach to limited-capacity information processing</w:t>
      </w:r>
      <w:r w:rsidRPr="009B64B5">
        <w:rPr>
          <w:rFonts w:asciiTheme="majorBidi" w:hAnsiTheme="majorBidi" w:cstheme="majorBidi"/>
          <w:i/>
          <w:iCs/>
          <w:kern w:val="0"/>
          <w:lang w:bidi="ar-SA"/>
        </w:rPr>
        <w:t>. J Exp Psychol Hum Percept Perform</w:t>
      </w:r>
      <w:r w:rsidRPr="009B142A">
        <w:rPr>
          <w:rFonts w:asciiTheme="majorBidi" w:hAnsiTheme="majorBidi" w:cstheme="majorBidi"/>
          <w:kern w:val="0"/>
          <w:lang w:bidi="ar-SA"/>
        </w:rPr>
        <w:t xml:space="preserve">. 1982 Oct;8(5):625-50. </w:t>
      </w:r>
    </w:p>
    <w:p w14:paraId="41885063" w14:textId="7255C351" w:rsidR="006B3978"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van Velzen JM, van Bennekom CA, Polomski W, Slootman JR, van der Woude LH, Houdijk H. Physical capacity and walking ability after lower limb amputation: a systematic review. </w:t>
      </w:r>
      <w:r w:rsidRPr="009B64B5">
        <w:rPr>
          <w:rFonts w:asciiTheme="majorBidi" w:hAnsiTheme="majorBidi" w:cstheme="majorBidi"/>
          <w:i/>
          <w:iCs/>
          <w:kern w:val="0"/>
          <w:lang w:bidi="ar-SA"/>
        </w:rPr>
        <w:t xml:space="preserve">Clin Rehabil. </w:t>
      </w:r>
      <w:r w:rsidRPr="009B142A">
        <w:rPr>
          <w:rFonts w:asciiTheme="majorBidi" w:hAnsiTheme="majorBidi" w:cstheme="majorBidi"/>
          <w:kern w:val="0"/>
          <w:lang w:bidi="ar-SA"/>
        </w:rPr>
        <w:t xml:space="preserve">2006 Nov;20(11):999-1016. </w:t>
      </w:r>
    </w:p>
    <w:p w14:paraId="3ECEE661" w14:textId="5AD11391"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Geurts AC, Mulder TW, Nienhuis B, Rijken RA. Dual-task assessment of reorganization of postural control in persons with lower limb amputation. Arch Phys Med Rehabil. 1991 Dec;72(13):1059-64. </w:t>
      </w:r>
    </w:p>
    <w:p w14:paraId="59F79449" w14:textId="2DE896E5"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Buckley JG, </w:t>
      </w:r>
      <w:r w:rsidR="00CE1FFE">
        <w:rPr>
          <w:rFonts w:asciiTheme="majorBidi" w:hAnsiTheme="majorBidi" w:cstheme="majorBidi"/>
          <w:kern w:val="0"/>
          <w:lang w:bidi="ar-SA"/>
        </w:rPr>
        <w:t>O’Driscoll</w:t>
      </w:r>
      <w:r w:rsidRPr="009B142A">
        <w:rPr>
          <w:rFonts w:asciiTheme="majorBidi" w:hAnsiTheme="majorBidi" w:cstheme="majorBidi"/>
          <w:kern w:val="0"/>
          <w:lang w:bidi="ar-SA"/>
        </w:rPr>
        <w:t xml:space="preserve"> D, Bennett SJ. Postural sway and active balance performance in highly active lower-limb amputees. </w:t>
      </w:r>
      <w:r w:rsidRPr="009B142A">
        <w:rPr>
          <w:rFonts w:asciiTheme="majorBidi" w:hAnsiTheme="majorBidi" w:cstheme="majorBidi"/>
          <w:i/>
          <w:iCs/>
          <w:kern w:val="0"/>
          <w:lang w:bidi="ar-SA"/>
        </w:rPr>
        <w:t>Am J Phys Med Rehabil.</w:t>
      </w:r>
      <w:r w:rsidRPr="009B142A">
        <w:rPr>
          <w:rFonts w:asciiTheme="majorBidi" w:hAnsiTheme="majorBidi" w:cstheme="majorBidi"/>
          <w:kern w:val="0"/>
          <w:lang w:bidi="ar-SA"/>
        </w:rPr>
        <w:t xml:space="preserve"> 2002 Jan;81(1):13-20. </w:t>
      </w:r>
    </w:p>
    <w:p w14:paraId="4C5091E2" w14:textId="09421445"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Waters RL, Mulroy S. The energy expenditure of normal and pathologic gait. </w:t>
      </w:r>
      <w:r w:rsidRPr="009B142A">
        <w:rPr>
          <w:rFonts w:asciiTheme="majorBidi" w:hAnsiTheme="majorBidi" w:cstheme="majorBidi"/>
          <w:i/>
          <w:iCs/>
          <w:kern w:val="0"/>
          <w:lang w:bidi="ar-SA"/>
        </w:rPr>
        <w:t>Gait Posture.</w:t>
      </w:r>
      <w:r w:rsidRPr="009B142A">
        <w:rPr>
          <w:rFonts w:asciiTheme="majorBidi" w:hAnsiTheme="majorBidi" w:cstheme="majorBidi"/>
          <w:kern w:val="0"/>
          <w:lang w:bidi="ar-SA"/>
        </w:rPr>
        <w:t xml:space="preserve"> 1999 Jul;9(3):207-31. </w:t>
      </w:r>
    </w:p>
    <w:p w14:paraId="58AA7045" w14:textId="7D4EBD2D"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Smith E, Cusack T, Blake C. The effect of a dual task on gait speed in community dwelling older adults: A systematic review and meta-analysis. </w:t>
      </w:r>
      <w:r w:rsidRPr="009B142A">
        <w:rPr>
          <w:rFonts w:asciiTheme="majorBidi" w:hAnsiTheme="majorBidi" w:cstheme="majorBidi"/>
          <w:i/>
          <w:iCs/>
          <w:kern w:val="0"/>
          <w:lang w:bidi="ar-SA"/>
        </w:rPr>
        <w:t>Gait Posture.</w:t>
      </w:r>
      <w:r w:rsidRPr="009B142A">
        <w:rPr>
          <w:rFonts w:asciiTheme="majorBidi" w:hAnsiTheme="majorBidi" w:cstheme="majorBidi"/>
          <w:kern w:val="0"/>
          <w:lang w:bidi="ar-SA"/>
        </w:rPr>
        <w:t xml:space="preserve"> 2016 Feb;44:250-8. </w:t>
      </w:r>
    </w:p>
    <w:p w14:paraId="6855ED1A" w14:textId="7DFC2565" w:rsidR="00C0324E" w:rsidRPr="009B142A" w:rsidRDefault="00C0324E"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Nolan L, Wit A, Dudziñski K, Lees A, Lake M, Wychowañski M. Adjustments in gait symmetry with walking speed in trans-femoral </w:t>
      </w:r>
      <w:r w:rsidR="00EB35D2" w:rsidRPr="009B142A">
        <w:rPr>
          <w:rFonts w:asciiTheme="majorBidi" w:hAnsiTheme="majorBidi" w:cstheme="majorBidi"/>
          <w:kern w:val="0"/>
          <w:lang w:bidi="ar-SA"/>
        </w:rPr>
        <w:t>&amp;</w:t>
      </w:r>
      <w:r w:rsidRPr="009B142A">
        <w:rPr>
          <w:rFonts w:asciiTheme="majorBidi" w:hAnsiTheme="majorBidi" w:cstheme="majorBidi"/>
          <w:kern w:val="0"/>
          <w:lang w:bidi="ar-SA"/>
        </w:rPr>
        <w:t xml:space="preserve"> trans-tibial amputees. Gait Posture.2003 Apr;17(2):142-51. </w:t>
      </w:r>
    </w:p>
    <w:p w14:paraId="15BF3731" w14:textId="77777777" w:rsidR="00EC5312" w:rsidRPr="009B142A" w:rsidRDefault="00EC531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Hunter SW, Batchelor F, Hill KD, Hill AM, Mackintosh S, Payne M. Risk Factors for Falls in People With a Lower Limb Amputation: A Systematic Review. PM R. 2017 Feb;9(2):170-180.e1.</w:t>
      </w:r>
    </w:p>
    <w:p w14:paraId="00E11E58" w14:textId="30399B44" w:rsidR="00F77D5A" w:rsidRPr="009B142A" w:rsidRDefault="00EC531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Dite W, Connor HJ, Curtis HC. Clinical Identification of Multiple Fall Risk Early After Unilateral Transtibial Amputation. </w:t>
      </w:r>
      <w:r w:rsidRPr="009B142A">
        <w:rPr>
          <w:rFonts w:asciiTheme="majorBidi" w:hAnsiTheme="majorBidi" w:cstheme="majorBidi"/>
          <w:i/>
          <w:iCs/>
          <w:kern w:val="0"/>
          <w:lang w:bidi="ar-SA"/>
        </w:rPr>
        <w:t xml:space="preserve">Arch </w:t>
      </w:r>
      <w:r w:rsidR="00CE1FFE">
        <w:rPr>
          <w:rFonts w:asciiTheme="majorBidi" w:hAnsiTheme="majorBidi" w:cstheme="majorBidi"/>
          <w:i/>
          <w:iCs/>
          <w:kern w:val="0"/>
          <w:lang w:bidi="ar-SA"/>
        </w:rPr>
        <w:t>Phys</w:t>
      </w:r>
      <w:r w:rsidRPr="009B142A">
        <w:rPr>
          <w:rFonts w:asciiTheme="majorBidi" w:hAnsiTheme="majorBidi" w:cstheme="majorBidi"/>
          <w:i/>
          <w:iCs/>
          <w:kern w:val="0"/>
          <w:lang w:bidi="ar-SA"/>
        </w:rPr>
        <w:t xml:space="preserve"> </w:t>
      </w:r>
      <w:r w:rsidR="00CE1FFE">
        <w:rPr>
          <w:rFonts w:asciiTheme="majorBidi" w:hAnsiTheme="majorBidi" w:cstheme="majorBidi"/>
          <w:i/>
          <w:iCs/>
          <w:kern w:val="0"/>
          <w:lang w:val="en-US" w:bidi="ar-SA"/>
        </w:rPr>
        <w:t>M</w:t>
      </w:r>
      <w:r w:rsidRPr="009B142A">
        <w:rPr>
          <w:rFonts w:asciiTheme="majorBidi" w:hAnsiTheme="majorBidi" w:cstheme="majorBidi"/>
          <w:i/>
          <w:iCs/>
          <w:kern w:val="0"/>
          <w:lang w:bidi="ar-SA"/>
        </w:rPr>
        <w:t xml:space="preserve">ed </w:t>
      </w:r>
      <w:r w:rsidR="00CE1FFE">
        <w:rPr>
          <w:rFonts w:asciiTheme="majorBidi" w:hAnsiTheme="majorBidi" w:cstheme="majorBidi"/>
          <w:i/>
          <w:iCs/>
          <w:kern w:val="0"/>
          <w:lang w:val="en-US" w:bidi="ar-SA"/>
        </w:rPr>
        <w:t>R</w:t>
      </w:r>
      <w:r w:rsidRPr="009B142A">
        <w:rPr>
          <w:rFonts w:asciiTheme="majorBidi" w:hAnsiTheme="majorBidi" w:cstheme="majorBidi"/>
          <w:i/>
          <w:iCs/>
          <w:kern w:val="0"/>
          <w:lang w:bidi="ar-SA"/>
        </w:rPr>
        <w:t>ehabil.</w:t>
      </w:r>
      <w:r w:rsidRPr="009B142A">
        <w:rPr>
          <w:rFonts w:asciiTheme="majorBidi" w:hAnsiTheme="majorBidi" w:cstheme="majorBidi"/>
          <w:kern w:val="0"/>
          <w:lang w:bidi="ar-SA"/>
        </w:rPr>
        <w:t xml:space="preserve"> 2007;88:109–114</w:t>
      </w:r>
      <w:r w:rsidR="00F77D5A" w:rsidRPr="009B142A">
        <w:rPr>
          <w:rFonts w:asciiTheme="majorBidi" w:hAnsiTheme="majorBidi" w:cstheme="majorBidi"/>
          <w:kern w:val="0"/>
          <w:lang w:bidi="ar-SA"/>
        </w:rPr>
        <w:t>.</w:t>
      </w:r>
    </w:p>
    <w:p w14:paraId="392268E3" w14:textId="77777777" w:rsidR="00F77D5A" w:rsidRPr="009B142A" w:rsidRDefault="00F77D5A"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lang w:bidi="ar-SA"/>
        </w:rPr>
        <w:t xml:space="preserve">Wong CK, Chen C, Blackwell W, Rahal R, Benoy SA. </w:t>
      </w:r>
      <w:r w:rsidRPr="009B142A">
        <w:rPr>
          <w:rFonts w:asciiTheme="majorBidi" w:hAnsiTheme="majorBidi" w:cstheme="majorBidi"/>
        </w:rPr>
        <w:t xml:space="preserve">Balance ability measured with the Berg Balance Scale: a determinant of fall history in community-dwelling adults with leg amputation. </w:t>
      </w:r>
      <w:r w:rsidRPr="009B142A">
        <w:rPr>
          <w:rFonts w:asciiTheme="majorBidi" w:hAnsiTheme="majorBidi" w:cstheme="majorBidi"/>
          <w:i/>
          <w:iCs/>
        </w:rPr>
        <w:t>J. Rehabil Med</w:t>
      </w:r>
      <w:r w:rsidRPr="009B142A">
        <w:rPr>
          <w:rFonts w:asciiTheme="majorBidi" w:hAnsiTheme="majorBidi" w:cstheme="majorBidi"/>
        </w:rPr>
        <w:t xml:space="preserve">. 2015;47:80-86. </w:t>
      </w:r>
    </w:p>
    <w:p w14:paraId="3E752A80" w14:textId="77777777" w:rsidR="00915820" w:rsidRPr="009B142A" w:rsidRDefault="00F77D5A"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Wong C, Chihuri S, Li G. Risk of fall-related injury in people with lower limb amputations: A prospective cohort study. </w:t>
      </w:r>
      <w:r w:rsidRPr="009B142A">
        <w:rPr>
          <w:rStyle w:val="cf01"/>
          <w:rFonts w:asciiTheme="majorBidi" w:eastAsiaTheme="majorEastAsia" w:hAnsiTheme="majorBidi" w:cstheme="majorBidi"/>
          <w:i/>
          <w:iCs/>
          <w:sz w:val="24"/>
          <w:szCs w:val="24"/>
        </w:rPr>
        <w:t>J Rehabil Med.</w:t>
      </w:r>
      <w:r w:rsidRPr="009B142A">
        <w:rPr>
          <w:rStyle w:val="cf01"/>
          <w:rFonts w:asciiTheme="majorBidi" w:eastAsiaTheme="majorEastAsia" w:hAnsiTheme="majorBidi" w:cstheme="majorBidi"/>
          <w:sz w:val="24"/>
          <w:szCs w:val="24"/>
        </w:rPr>
        <w:t xml:space="preserve"> 2016;48:80–85. </w:t>
      </w:r>
    </w:p>
    <w:p w14:paraId="588FBCA4" w14:textId="77777777" w:rsidR="00915820" w:rsidRPr="009B142A" w:rsidRDefault="00915820"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Chihuri S, Wong CK. Factors associated with the likelihood of fall-related injury among people with lower limb loss. </w:t>
      </w:r>
      <w:r w:rsidRPr="009B142A">
        <w:rPr>
          <w:rStyle w:val="cf01"/>
          <w:rFonts w:asciiTheme="majorBidi" w:eastAsiaTheme="majorEastAsia" w:hAnsiTheme="majorBidi" w:cstheme="majorBidi"/>
          <w:i/>
          <w:iCs/>
          <w:sz w:val="24"/>
          <w:szCs w:val="24"/>
        </w:rPr>
        <w:t>Inj Epidemiol</w:t>
      </w:r>
      <w:r w:rsidRPr="009B142A">
        <w:rPr>
          <w:rStyle w:val="cf01"/>
          <w:rFonts w:asciiTheme="majorBidi" w:eastAsiaTheme="majorEastAsia" w:hAnsiTheme="majorBidi" w:cstheme="majorBidi"/>
          <w:sz w:val="24"/>
          <w:szCs w:val="24"/>
        </w:rPr>
        <w:t xml:space="preserve">. 2018;5:42. </w:t>
      </w:r>
    </w:p>
    <w:p w14:paraId="61F972A3" w14:textId="77777777" w:rsidR="00A378CA" w:rsidRPr="009B142A" w:rsidRDefault="00915820"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lastRenderedPageBreak/>
        <w:t xml:space="preserve">Nashner LM. Fixed patterns of rapid postural responses among leg muscles during stance. </w:t>
      </w:r>
      <w:r w:rsidRPr="009B142A">
        <w:rPr>
          <w:rFonts w:asciiTheme="majorBidi" w:hAnsiTheme="majorBidi" w:cstheme="majorBidi"/>
          <w:i/>
          <w:iCs/>
        </w:rPr>
        <w:t>Exp Brain Res</w:t>
      </w:r>
      <w:r w:rsidRPr="009B142A">
        <w:rPr>
          <w:rFonts w:asciiTheme="majorBidi" w:hAnsiTheme="majorBidi" w:cstheme="majorBidi"/>
        </w:rPr>
        <w:t>. 1977;30(1):13-24.</w:t>
      </w:r>
      <w:r w:rsidR="0079565C" w:rsidRPr="009B142A">
        <w:rPr>
          <w:rFonts w:asciiTheme="majorBidi" w:eastAsia="Times New Roman" w:hAnsiTheme="majorBidi" w:cstheme="majorBidi"/>
          <w:color w:val="212121"/>
          <w:kern w:val="0"/>
          <w:shd w:val="clear" w:color="auto" w:fill="FFFFFF"/>
          <w:lang/>
          <w14:ligatures w14:val="none"/>
        </w:rPr>
        <w:t xml:space="preserve"> </w:t>
      </w:r>
    </w:p>
    <w:p w14:paraId="6BDEE602" w14:textId="75DE0883"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14:ligatures w14:val="none"/>
        </w:rPr>
        <w:t>Batcir S, Sharon H, Shani G, Levitsky N, Gimmon Y, Kurz I, Shapiro A, Melzer I. The inter-observer reliability and agreement of lateral balance recovery responses in older and younger adults.</w:t>
      </w:r>
      <w:r w:rsidRPr="009B64B5">
        <w:rPr>
          <w:rFonts w:asciiTheme="majorBidi" w:eastAsia="Times New Roman" w:hAnsiTheme="majorBidi" w:cstheme="majorBidi"/>
          <w:i/>
          <w:iCs/>
          <w:color w:val="212121"/>
          <w:kern w:val="0"/>
          <w:shd w:val="clear" w:color="auto" w:fill="FFFFFF"/>
          <w:lang/>
          <w14:ligatures w14:val="none"/>
        </w:rPr>
        <w:t xml:space="preserve"> J Electromyogr Kinesiol</w:t>
      </w:r>
      <w:r w:rsidRPr="009B142A">
        <w:rPr>
          <w:rFonts w:asciiTheme="majorBidi" w:eastAsia="Times New Roman" w:hAnsiTheme="majorBidi" w:cstheme="majorBidi"/>
          <w:color w:val="212121"/>
          <w:kern w:val="0"/>
          <w:shd w:val="clear" w:color="auto" w:fill="FFFFFF"/>
          <w:lang/>
          <w14:ligatures w14:val="none"/>
        </w:rPr>
        <w:t xml:space="preserve">. 2018 Jun;40:39-47. </w:t>
      </w:r>
    </w:p>
    <w:p w14:paraId="612AD66E" w14:textId="2FE6393E"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14:ligatures w14:val="none"/>
        </w:rPr>
        <w:t xml:space="preserve">Nachmani H, Shani G, Shapiro A, Melzer I. Characteristics of </w:t>
      </w:r>
      <w:r w:rsidR="00642FB8">
        <w:rPr>
          <w:rFonts w:asciiTheme="majorBidi" w:eastAsia="Times New Roman" w:hAnsiTheme="majorBidi" w:cstheme="majorBidi"/>
          <w:color w:val="212121"/>
          <w:kern w:val="0"/>
          <w:shd w:val="clear" w:color="auto" w:fill="FFFFFF"/>
          <w:lang/>
          <w14:ligatures w14:val="none"/>
        </w:rPr>
        <w:t>f</w:t>
      </w:r>
      <w:r w:rsidRPr="009B142A">
        <w:rPr>
          <w:rFonts w:asciiTheme="majorBidi" w:eastAsia="Times New Roman" w:hAnsiTheme="majorBidi" w:cstheme="majorBidi"/>
          <w:color w:val="212121"/>
          <w:kern w:val="0"/>
          <w:shd w:val="clear" w:color="auto" w:fill="FFFFFF"/>
          <w:lang/>
          <w14:ligatures w14:val="none"/>
        </w:rPr>
        <w:t xml:space="preserve">irst </w:t>
      </w:r>
      <w:r w:rsidR="00642FB8">
        <w:rPr>
          <w:rFonts w:asciiTheme="majorBidi" w:eastAsia="Times New Roman" w:hAnsiTheme="majorBidi" w:cstheme="majorBidi"/>
          <w:color w:val="212121"/>
          <w:kern w:val="0"/>
          <w:shd w:val="clear" w:color="auto" w:fill="FFFFFF"/>
          <w:lang/>
          <w14:ligatures w14:val="none"/>
        </w:rPr>
        <w:t>r</w:t>
      </w:r>
      <w:r w:rsidRPr="009B142A">
        <w:rPr>
          <w:rFonts w:asciiTheme="majorBidi" w:eastAsia="Times New Roman" w:hAnsiTheme="majorBidi" w:cstheme="majorBidi"/>
          <w:color w:val="212121"/>
          <w:kern w:val="0"/>
          <w:shd w:val="clear" w:color="auto" w:fill="FFFFFF"/>
          <w:lang/>
          <w14:ligatures w14:val="none"/>
        </w:rPr>
        <w:t xml:space="preserve">ecovery </w:t>
      </w:r>
      <w:r w:rsidR="00642FB8">
        <w:rPr>
          <w:rFonts w:asciiTheme="majorBidi" w:eastAsia="Times New Roman" w:hAnsiTheme="majorBidi" w:cstheme="majorBidi"/>
          <w:color w:val="212121"/>
          <w:kern w:val="0"/>
          <w:shd w:val="clear" w:color="auto" w:fill="FFFFFF"/>
          <w:lang/>
          <w14:ligatures w14:val="none"/>
        </w:rPr>
        <w:t>s</w:t>
      </w:r>
      <w:r w:rsidRPr="009B142A">
        <w:rPr>
          <w:rFonts w:asciiTheme="majorBidi" w:eastAsia="Times New Roman" w:hAnsiTheme="majorBidi" w:cstheme="majorBidi"/>
          <w:color w:val="212121"/>
          <w:kern w:val="0"/>
          <w:shd w:val="clear" w:color="auto" w:fill="FFFFFF"/>
          <w:lang/>
          <w14:ligatures w14:val="none"/>
        </w:rPr>
        <w:t xml:space="preserve">tep </w:t>
      </w:r>
      <w:r w:rsidR="00642FB8">
        <w:rPr>
          <w:rFonts w:asciiTheme="majorBidi" w:eastAsia="Times New Roman" w:hAnsiTheme="majorBidi" w:cstheme="majorBidi"/>
          <w:color w:val="212121"/>
          <w:kern w:val="0"/>
          <w:shd w:val="clear" w:color="auto" w:fill="FFFFFF"/>
          <w:lang/>
          <w14:ligatures w14:val="none"/>
        </w:rPr>
        <w:t>r</w:t>
      </w:r>
      <w:r w:rsidRPr="009B142A">
        <w:rPr>
          <w:rFonts w:asciiTheme="majorBidi" w:eastAsia="Times New Roman" w:hAnsiTheme="majorBidi" w:cstheme="majorBidi"/>
          <w:color w:val="212121"/>
          <w:kern w:val="0"/>
          <w:shd w:val="clear" w:color="auto" w:fill="FFFFFF"/>
          <w:lang/>
          <w14:ligatures w14:val="none"/>
        </w:rPr>
        <w:t xml:space="preserve">esponse following </w:t>
      </w:r>
      <w:r w:rsidR="00642FB8">
        <w:rPr>
          <w:rFonts w:asciiTheme="majorBidi" w:eastAsia="Times New Roman" w:hAnsiTheme="majorBidi" w:cstheme="majorBidi"/>
          <w:color w:val="212121"/>
          <w:kern w:val="0"/>
          <w:shd w:val="clear" w:color="auto" w:fill="FFFFFF"/>
          <w:lang/>
          <w14:ligatures w14:val="none"/>
        </w:rPr>
        <w:t>u</w:t>
      </w:r>
      <w:r w:rsidRPr="009B142A">
        <w:rPr>
          <w:rFonts w:asciiTheme="majorBidi" w:eastAsia="Times New Roman" w:hAnsiTheme="majorBidi" w:cstheme="majorBidi"/>
          <w:color w:val="212121"/>
          <w:kern w:val="0"/>
          <w:shd w:val="clear" w:color="auto" w:fill="FFFFFF"/>
          <w:lang/>
          <w14:ligatures w14:val="none"/>
        </w:rPr>
        <w:t xml:space="preserve">nexpected </w:t>
      </w:r>
      <w:r w:rsidR="00642FB8">
        <w:rPr>
          <w:rFonts w:asciiTheme="majorBidi" w:eastAsia="Times New Roman" w:hAnsiTheme="majorBidi" w:cstheme="majorBidi"/>
          <w:color w:val="212121"/>
          <w:kern w:val="0"/>
          <w:shd w:val="clear" w:color="auto" w:fill="FFFFFF"/>
          <w:lang/>
          <w14:ligatures w14:val="none"/>
        </w:rPr>
        <w:t>l</w:t>
      </w:r>
      <w:r w:rsidRPr="009B142A">
        <w:rPr>
          <w:rFonts w:asciiTheme="majorBidi" w:eastAsia="Times New Roman" w:hAnsiTheme="majorBidi" w:cstheme="majorBidi"/>
          <w:color w:val="212121"/>
          <w:kern w:val="0"/>
          <w:shd w:val="clear" w:color="auto" w:fill="FFFFFF"/>
          <w:lang/>
          <w14:ligatures w14:val="none"/>
        </w:rPr>
        <w:t xml:space="preserve">oss of </w:t>
      </w:r>
      <w:r w:rsidR="00642FB8">
        <w:rPr>
          <w:rFonts w:asciiTheme="majorBidi" w:eastAsia="Times New Roman" w:hAnsiTheme="majorBidi" w:cstheme="majorBidi"/>
          <w:color w:val="212121"/>
          <w:kern w:val="0"/>
          <w:shd w:val="clear" w:color="auto" w:fill="FFFFFF"/>
          <w:lang/>
          <w14:ligatures w14:val="none"/>
        </w:rPr>
        <w:t>b</w:t>
      </w:r>
      <w:r w:rsidRPr="009B142A">
        <w:rPr>
          <w:rFonts w:asciiTheme="majorBidi" w:eastAsia="Times New Roman" w:hAnsiTheme="majorBidi" w:cstheme="majorBidi"/>
          <w:color w:val="212121"/>
          <w:kern w:val="0"/>
          <w:shd w:val="clear" w:color="auto" w:fill="FFFFFF"/>
          <w:lang/>
          <w14:ligatures w14:val="none"/>
        </w:rPr>
        <w:t xml:space="preserve">alance during </w:t>
      </w:r>
      <w:r w:rsidR="00642FB8">
        <w:rPr>
          <w:rFonts w:asciiTheme="majorBidi" w:eastAsia="Times New Roman" w:hAnsiTheme="majorBidi" w:cstheme="majorBidi"/>
          <w:color w:val="212121"/>
          <w:kern w:val="0"/>
          <w:shd w:val="clear" w:color="auto" w:fill="FFFFFF"/>
          <w:lang/>
          <w14:ligatures w14:val="none"/>
        </w:rPr>
        <w:t>w</w:t>
      </w:r>
      <w:r w:rsidRPr="009B142A">
        <w:rPr>
          <w:rFonts w:asciiTheme="majorBidi" w:eastAsia="Times New Roman" w:hAnsiTheme="majorBidi" w:cstheme="majorBidi"/>
          <w:color w:val="212121"/>
          <w:kern w:val="0"/>
          <w:shd w:val="clear" w:color="auto" w:fill="FFFFFF"/>
          <w:lang/>
          <w14:ligatures w14:val="none"/>
        </w:rPr>
        <w:t xml:space="preserve">alking: A </w:t>
      </w:r>
      <w:r w:rsidR="00642FB8">
        <w:rPr>
          <w:rFonts w:asciiTheme="majorBidi" w:eastAsia="Times New Roman" w:hAnsiTheme="majorBidi" w:cstheme="majorBidi"/>
          <w:color w:val="212121"/>
          <w:kern w:val="0"/>
          <w:shd w:val="clear" w:color="auto" w:fill="FFFFFF"/>
          <w:lang/>
          <w14:ligatures w14:val="none"/>
        </w:rPr>
        <w:t>d</w:t>
      </w:r>
      <w:r w:rsidRPr="009B142A">
        <w:rPr>
          <w:rFonts w:asciiTheme="majorBidi" w:eastAsia="Times New Roman" w:hAnsiTheme="majorBidi" w:cstheme="majorBidi"/>
          <w:color w:val="212121"/>
          <w:kern w:val="0"/>
          <w:shd w:val="clear" w:color="auto" w:fill="FFFFFF"/>
          <w:lang/>
          <w14:ligatures w14:val="none"/>
        </w:rPr>
        <w:t xml:space="preserve">ynamic </w:t>
      </w:r>
      <w:r w:rsidR="00642FB8">
        <w:rPr>
          <w:rFonts w:asciiTheme="majorBidi" w:eastAsia="Times New Roman" w:hAnsiTheme="majorBidi" w:cstheme="majorBidi"/>
          <w:color w:val="212121"/>
          <w:kern w:val="0"/>
          <w:shd w:val="clear" w:color="auto" w:fill="FFFFFF"/>
          <w:lang/>
          <w14:ligatures w14:val="none"/>
        </w:rPr>
        <w:t>a</w:t>
      </w:r>
      <w:r w:rsidRPr="009B142A">
        <w:rPr>
          <w:rFonts w:asciiTheme="majorBidi" w:eastAsia="Times New Roman" w:hAnsiTheme="majorBidi" w:cstheme="majorBidi"/>
          <w:color w:val="212121"/>
          <w:kern w:val="0"/>
          <w:shd w:val="clear" w:color="auto" w:fill="FFFFFF"/>
          <w:lang/>
          <w14:ligatures w14:val="none"/>
        </w:rPr>
        <w:t>pproach.</w:t>
      </w:r>
      <w:r w:rsidRPr="009B64B5">
        <w:rPr>
          <w:rFonts w:asciiTheme="majorBidi" w:eastAsia="Times New Roman" w:hAnsiTheme="majorBidi" w:cstheme="majorBidi"/>
          <w:i/>
          <w:iCs/>
          <w:color w:val="212121"/>
          <w:kern w:val="0"/>
          <w:shd w:val="clear" w:color="auto" w:fill="FFFFFF"/>
          <w:lang/>
          <w14:ligatures w14:val="none"/>
        </w:rPr>
        <w:t xml:space="preserve"> Gerontology</w:t>
      </w:r>
      <w:r w:rsidRPr="009B142A">
        <w:rPr>
          <w:rFonts w:asciiTheme="majorBidi" w:eastAsia="Times New Roman" w:hAnsiTheme="majorBidi" w:cstheme="majorBidi"/>
          <w:color w:val="212121"/>
          <w:kern w:val="0"/>
          <w:shd w:val="clear" w:color="auto" w:fill="FFFFFF"/>
          <w:lang/>
          <w14:ligatures w14:val="none"/>
        </w:rPr>
        <w:t xml:space="preserve">. 2020;66(4):362-370. </w:t>
      </w:r>
    </w:p>
    <w:p w14:paraId="437135F8" w14:textId="3052D6A9"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14:ligatures w14:val="none"/>
        </w:rPr>
        <w:t xml:space="preserve">Paran I, Nachmani H, Melzer I. A concurrent attention-demanding task did not interfere with balance recovery function in standing and walking among young adults. </w:t>
      </w:r>
      <w:r w:rsidRPr="009B64B5">
        <w:rPr>
          <w:rFonts w:asciiTheme="majorBidi" w:eastAsia="Times New Roman" w:hAnsiTheme="majorBidi" w:cstheme="majorBidi"/>
          <w:i/>
          <w:iCs/>
          <w:color w:val="212121"/>
          <w:kern w:val="0"/>
          <w:shd w:val="clear" w:color="auto" w:fill="FFFFFF"/>
          <w:lang/>
          <w14:ligatures w14:val="none"/>
        </w:rPr>
        <w:t>Hum Mov Sci</w:t>
      </w:r>
      <w:r w:rsidRPr="009B142A">
        <w:rPr>
          <w:rFonts w:asciiTheme="majorBidi" w:eastAsia="Times New Roman" w:hAnsiTheme="majorBidi" w:cstheme="majorBidi"/>
          <w:color w:val="212121"/>
          <w:kern w:val="0"/>
          <w:shd w:val="clear" w:color="auto" w:fill="FFFFFF"/>
          <w:lang/>
          <w14:ligatures w14:val="none"/>
        </w:rPr>
        <w:t xml:space="preserve">. 2020 Oct;73:102675. </w:t>
      </w:r>
    </w:p>
    <w:p w14:paraId="6930362B"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14:ligatures w14:val="none"/>
        </w:rPr>
        <w:t xml:space="preserve">Batcir S, Shani G, Shapiro A, Alexander N, Melzer I. The kinematics and strategies of recovery steps during lateral losses of balance in standing at different perturbation magnitudes in older adults with varying history of falls. </w:t>
      </w:r>
      <w:r w:rsidRPr="009B64B5">
        <w:rPr>
          <w:rFonts w:asciiTheme="majorBidi" w:eastAsia="Times New Roman" w:hAnsiTheme="majorBidi" w:cstheme="majorBidi"/>
          <w:i/>
          <w:iCs/>
          <w:color w:val="212121"/>
          <w:kern w:val="0"/>
          <w:shd w:val="clear" w:color="auto" w:fill="FFFFFF"/>
          <w:lang/>
          <w14:ligatures w14:val="none"/>
        </w:rPr>
        <w:t>BMC Geriatr.</w:t>
      </w:r>
      <w:r w:rsidRPr="009B142A">
        <w:rPr>
          <w:rFonts w:asciiTheme="majorBidi" w:eastAsia="Times New Roman" w:hAnsiTheme="majorBidi" w:cstheme="majorBidi"/>
          <w:color w:val="212121"/>
          <w:kern w:val="0"/>
          <w:shd w:val="clear" w:color="auto" w:fill="FFFFFF"/>
          <w:lang/>
          <w14:ligatures w14:val="none"/>
        </w:rPr>
        <w:t xml:space="preserve"> 2020 Jul 20;20(1):249. </w:t>
      </w:r>
    </w:p>
    <w:p w14:paraId="799B0FF8"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14:ligatures w14:val="none"/>
        </w:rPr>
        <w:t xml:space="preserve">Batcir S, Shani G, Shapiro A, Melzer I. Characteristics of step responses following varying magnitudes of unexpected lateral perturbations during standing among older people - a cross-sectional laboratory-based study. </w:t>
      </w:r>
      <w:r w:rsidRPr="009B64B5">
        <w:rPr>
          <w:rFonts w:asciiTheme="majorBidi" w:eastAsia="Times New Roman" w:hAnsiTheme="majorBidi" w:cstheme="majorBidi"/>
          <w:i/>
          <w:iCs/>
          <w:color w:val="212121"/>
          <w:kern w:val="0"/>
          <w:shd w:val="clear" w:color="auto" w:fill="FFFFFF"/>
          <w:lang/>
          <w14:ligatures w14:val="none"/>
        </w:rPr>
        <w:t>BMC Geriatr.</w:t>
      </w:r>
      <w:r w:rsidRPr="009B142A">
        <w:rPr>
          <w:rFonts w:asciiTheme="majorBidi" w:eastAsia="Times New Roman" w:hAnsiTheme="majorBidi" w:cstheme="majorBidi"/>
          <w:color w:val="212121"/>
          <w:kern w:val="0"/>
          <w:shd w:val="clear" w:color="auto" w:fill="FFFFFF"/>
          <w:lang/>
          <w14:ligatures w14:val="none"/>
        </w:rPr>
        <w:t xml:space="preserve"> 2022 May 6;22(1):400. </w:t>
      </w:r>
    </w:p>
    <w:p w14:paraId="4CC0A311"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Batcir S, Berdichevsky Y, Bachner YG, Lubovsky O, Debi R, Melzer I. Characteristics of Unsuccessful Balance Reactive Responses to Lateral Loss of Balance in Older Adults. </w:t>
      </w:r>
      <w:r w:rsidRPr="009B64B5">
        <w:rPr>
          <w:rFonts w:asciiTheme="majorBidi" w:hAnsiTheme="majorBidi" w:cstheme="majorBidi"/>
          <w:i/>
          <w:iCs/>
          <w:kern w:val="0"/>
          <w:lang w:bidi="ar-SA"/>
        </w:rPr>
        <w:t>Gerontology.</w:t>
      </w:r>
      <w:r w:rsidRPr="009B142A">
        <w:rPr>
          <w:rFonts w:asciiTheme="majorBidi" w:hAnsiTheme="majorBidi" w:cstheme="majorBidi"/>
          <w:kern w:val="0"/>
          <w:lang w:bidi="ar-SA"/>
        </w:rPr>
        <w:t xml:space="preserve"> 2024;70(7):689-700. </w:t>
      </w:r>
    </w:p>
    <w:p w14:paraId="6596599C" w14:textId="0AAB15E1" w:rsidR="00915820"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color w:val="212121"/>
          <w:kern w:val="0"/>
          <w:shd w:val="clear" w:color="auto" w:fill="FFFFFF"/>
          <w:lang/>
          <w14:ligatures w14:val="none"/>
        </w:rPr>
        <w:t xml:space="preserve">Paran I, Nachmani H, Salti M, Shelef I, Melzer I. Balance recovery stepping responses during walking were not affected by a concurrent cognitive task among older adults. </w:t>
      </w:r>
      <w:r w:rsidRPr="009B64B5">
        <w:rPr>
          <w:rFonts w:asciiTheme="majorBidi" w:eastAsia="Times New Roman" w:hAnsiTheme="majorBidi" w:cstheme="majorBidi"/>
          <w:i/>
          <w:iCs/>
          <w:color w:val="212121"/>
          <w:kern w:val="0"/>
          <w:shd w:val="clear" w:color="auto" w:fill="FFFFFF"/>
          <w:lang/>
          <w14:ligatures w14:val="none"/>
        </w:rPr>
        <w:t>BMC Geriatr.</w:t>
      </w:r>
      <w:r w:rsidRPr="009B142A">
        <w:rPr>
          <w:rFonts w:asciiTheme="majorBidi" w:eastAsia="Times New Roman" w:hAnsiTheme="majorBidi" w:cstheme="majorBidi"/>
          <w:color w:val="212121"/>
          <w:kern w:val="0"/>
          <w:shd w:val="clear" w:color="auto" w:fill="FFFFFF"/>
          <w:lang/>
          <w14:ligatures w14:val="none"/>
        </w:rPr>
        <w:t xml:space="preserve"> 2022 Apr 6;22(1):289.</w:t>
      </w:r>
      <w:r w:rsidRPr="009B142A">
        <w:rPr>
          <w:rFonts w:asciiTheme="majorBidi" w:eastAsia="Times New Roman" w:hAnsiTheme="majorBidi" w:cstheme="majorBidi"/>
          <w:kern w:val="0"/>
          <w:lang/>
          <w14:ligatures w14:val="none"/>
        </w:rPr>
        <w:t xml:space="preserve"> </w:t>
      </w:r>
    </w:p>
    <w:p w14:paraId="574F0635" w14:textId="77777777" w:rsidR="00915820" w:rsidRPr="009B142A" w:rsidRDefault="00915820"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McIlroy WE, Maki BE. Age-related changes in compensatory stepping in response to unpredictable perturbations. </w:t>
      </w:r>
      <w:r w:rsidRPr="009B142A">
        <w:rPr>
          <w:rFonts w:asciiTheme="majorBidi" w:hAnsiTheme="majorBidi" w:cstheme="majorBidi"/>
          <w:i/>
          <w:iCs/>
        </w:rPr>
        <w:t>J Gerontol A Biol Sci Med Sci</w:t>
      </w:r>
      <w:r w:rsidRPr="009B142A">
        <w:rPr>
          <w:rFonts w:asciiTheme="majorBidi" w:hAnsiTheme="majorBidi" w:cstheme="majorBidi"/>
        </w:rPr>
        <w:t>. 1996; 51:289-96.</w:t>
      </w:r>
    </w:p>
    <w:p w14:paraId="25D3A8EA" w14:textId="319FB77D" w:rsidR="00915820" w:rsidRPr="009B142A" w:rsidRDefault="00915820" w:rsidP="008F69DC">
      <w:pPr>
        <w:pStyle w:val="ListParagraph"/>
        <w:numPr>
          <w:ilvl w:val="0"/>
          <w:numId w:val="2"/>
        </w:numPr>
        <w:spacing w:line="360" w:lineRule="auto"/>
        <w:ind w:left="-454" w:right="-57" w:hanging="357"/>
        <w:jc w:val="both"/>
        <w:rPr>
          <w:rStyle w:val="cf31"/>
          <w:rFonts w:asciiTheme="majorBidi" w:hAnsiTheme="majorBidi" w:cstheme="majorBidi"/>
          <w:kern w:val="0"/>
          <w:sz w:val="24"/>
          <w:szCs w:val="24"/>
          <w:shd w:val="clear" w:color="auto" w:fill="auto"/>
          <w:lang w:bidi="ar-SA"/>
        </w:rPr>
      </w:pPr>
      <w:r w:rsidRPr="009B142A">
        <w:rPr>
          <w:rStyle w:val="cf01"/>
          <w:rFonts w:asciiTheme="majorBidi" w:hAnsiTheme="majorBidi" w:cstheme="majorBidi"/>
          <w:sz w:val="24"/>
          <w:szCs w:val="24"/>
        </w:rPr>
        <w:t>Handelzalts SS, Gray GS, Steinberg-Henn FS, Soroker N</w:t>
      </w:r>
      <w:r w:rsidRPr="009B142A">
        <w:rPr>
          <w:rStyle w:val="cf01"/>
          <w:rFonts w:asciiTheme="majorBidi" w:hAnsiTheme="majorBidi" w:cstheme="majorBidi"/>
          <w:b/>
          <w:bCs/>
          <w:sz w:val="24"/>
          <w:szCs w:val="24"/>
        </w:rPr>
        <w:t xml:space="preserve">, </w:t>
      </w:r>
      <w:r w:rsidRPr="009B142A">
        <w:rPr>
          <w:rStyle w:val="cf11"/>
          <w:rFonts w:asciiTheme="majorBidi" w:hAnsiTheme="majorBidi" w:cstheme="majorBidi"/>
          <w:b w:val="0"/>
          <w:bCs w:val="0"/>
          <w:sz w:val="24"/>
          <w:szCs w:val="24"/>
        </w:rPr>
        <w:t>Melzer I.</w:t>
      </w:r>
      <w:r w:rsidRPr="009B142A">
        <w:rPr>
          <w:rStyle w:val="cf11"/>
          <w:rFonts w:asciiTheme="majorBidi" w:hAnsiTheme="majorBidi" w:cstheme="majorBidi"/>
          <w:sz w:val="24"/>
          <w:szCs w:val="24"/>
          <w:rtl/>
        </w:rPr>
        <w:t xml:space="preserve"> </w:t>
      </w:r>
      <w:r w:rsidRPr="009B142A">
        <w:rPr>
          <w:rStyle w:val="cf01"/>
          <w:rFonts w:asciiTheme="majorBidi" w:hAnsiTheme="majorBidi" w:cstheme="majorBidi"/>
          <w:sz w:val="24"/>
          <w:szCs w:val="24"/>
        </w:rPr>
        <w:t xml:space="preserve">Characteristics of Proactive Balance and Gait Performance in Subacute Stroke Patients Demonstrating Varying Reactive Balance Capacity – A Research Study. </w:t>
      </w:r>
      <w:r w:rsidRPr="009B142A">
        <w:rPr>
          <w:rStyle w:val="cf21"/>
          <w:rFonts w:asciiTheme="majorBidi" w:hAnsiTheme="majorBidi" w:cstheme="majorBidi"/>
          <w:b w:val="0"/>
          <w:bCs w:val="0"/>
          <w:sz w:val="24"/>
          <w:szCs w:val="24"/>
        </w:rPr>
        <w:t>NeuroRehabilitation</w:t>
      </w:r>
      <w:r w:rsidRPr="009B142A">
        <w:rPr>
          <w:rStyle w:val="cf01"/>
          <w:rFonts w:asciiTheme="majorBidi" w:hAnsiTheme="majorBidi" w:cstheme="majorBidi"/>
          <w:b/>
          <w:bCs/>
          <w:sz w:val="24"/>
          <w:szCs w:val="24"/>
        </w:rPr>
        <w:t>.</w:t>
      </w:r>
      <w:r w:rsidRPr="009B142A">
        <w:rPr>
          <w:rStyle w:val="cf01"/>
          <w:rFonts w:asciiTheme="majorBidi" w:hAnsiTheme="majorBidi" w:cstheme="majorBidi"/>
          <w:sz w:val="24"/>
          <w:szCs w:val="24"/>
        </w:rPr>
        <w:t xml:space="preserve"> </w:t>
      </w:r>
      <w:r w:rsidRPr="009B142A">
        <w:rPr>
          <w:rStyle w:val="cf31"/>
          <w:rFonts w:asciiTheme="majorBidi" w:hAnsiTheme="majorBidi" w:cstheme="majorBidi"/>
          <w:sz w:val="24"/>
          <w:szCs w:val="24"/>
        </w:rPr>
        <w:t>2020;46(4):491-500.</w:t>
      </w:r>
    </w:p>
    <w:p w14:paraId="057A2EED" w14:textId="3B66F07F"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Miller WC, Deathe AB, Speechley M, Koval J. The influence of falling, fear of falling, and balance confidence on prosthetic mobility and social activity among individuals with a lower extremity amputation. </w:t>
      </w:r>
      <w:r w:rsidRPr="00046C41">
        <w:rPr>
          <w:rFonts w:asciiTheme="majorBidi" w:hAnsiTheme="majorBidi" w:cstheme="majorBidi"/>
          <w:i/>
          <w:iCs/>
          <w:kern w:val="0"/>
          <w:lang w:bidi="ar-SA"/>
        </w:rPr>
        <w:t>Arch Phys Med Rehabil.</w:t>
      </w:r>
      <w:r w:rsidRPr="009B142A">
        <w:rPr>
          <w:rFonts w:asciiTheme="majorBidi" w:hAnsiTheme="majorBidi" w:cstheme="majorBidi"/>
          <w:kern w:val="0"/>
          <w:lang w:bidi="ar-SA"/>
        </w:rPr>
        <w:t xml:space="preserve"> 2001 Sep;82(9):1238-44. </w:t>
      </w:r>
    </w:p>
    <w:p w14:paraId="616A36D1" w14:textId="77777777"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Seth M, Horne JR, Pohlig RT, Sions JM. Pain, Balance-Confidence, Functional Mobility, and Reach Are Associated With Risk of Recurrent Falls Among Adults With Lower-Limb Amputation</w:t>
      </w:r>
      <w:r w:rsidRPr="00046C41">
        <w:rPr>
          <w:rFonts w:asciiTheme="majorBidi" w:hAnsiTheme="majorBidi" w:cstheme="majorBidi"/>
          <w:i/>
          <w:iCs/>
          <w:kern w:val="0"/>
          <w:lang w:bidi="ar-SA"/>
        </w:rPr>
        <w:t>. Arch Rehabil Res Clin Transl.</w:t>
      </w:r>
      <w:r w:rsidRPr="009B142A">
        <w:rPr>
          <w:rFonts w:asciiTheme="majorBidi" w:hAnsiTheme="majorBidi" w:cstheme="majorBidi"/>
          <w:kern w:val="0"/>
          <w:lang w:bidi="ar-SA"/>
        </w:rPr>
        <w:t xml:space="preserve"> 2023 Nov 7;5(4):100309.</w:t>
      </w:r>
    </w:p>
    <w:p w14:paraId="42F6320A" w14:textId="2533E902" w:rsidR="0079565C" w:rsidRPr="009B142A" w:rsidRDefault="0079565C"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shd w:val="clear" w:color="auto" w:fill="FFFFFF"/>
        </w:rPr>
        <w:t xml:space="preserve">Pashler H, Luck SJ, Hillyard SA, Mangun GR, </w:t>
      </w:r>
      <w:r w:rsidR="00CE1FFE">
        <w:rPr>
          <w:rFonts w:asciiTheme="majorBidi" w:hAnsiTheme="majorBidi" w:cstheme="majorBidi"/>
          <w:shd w:val="clear" w:color="auto" w:fill="FFFFFF"/>
        </w:rPr>
        <w:t>O’Brien</w:t>
      </w:r>
      <w:r w:rsidRPr="009B142A">
        <w:rPr>
          <w:rFonts w:asciiTheme="majorBidi" w:hAnsiTheme="majorBidi" w:cstheme="majorBidi"/>
          <w:shd w:val="clear" w:color="auto" w:fill="FFFFFF"/>
        </w:rPr>
        <w:t xml:space="preserve"> S, Gazzaniga MS. Sequential operation of disconnected cerebral hemispheres in split-brain patients. </w:t>
      </w:r>
      <w:r w:rsidRPr="009B142A">
        <w:rPr>
          <w:rFonts w:asciiTheme="majorBidi" w:hAnsiTheme="majorBidi" w:cstheme="majorBidi"/>
          <w:i/>
          <w:iCs/>
          <w:shd w:val="clear" w:color="auto" w:fill="FFFFFF"/>
        </w:rPr>
        <w:t>Neuroreport</w:t>
      </w:r>
      <w:r w:rsidRPr="009B142A">
        <w:rPr>
          <w:rFonts w:asciiTheme="majorBidi" w:hAnsiTheme="majorBidi" w:cstheme="majorBidi"/>
          <w:shd w:val="clear" w:color="auto" w:fill="FFFFFF"/>
        </w:rPr>
        <w:t>. 1994;5(17):2381-4.</w:t>
      </w:r>
    </w:p>
    <w:p w14:paraId="6016F60C" w14:textId="77777777" w:rsidR="002B47A0" w:rsidRPr="009B142A" w:rsidRDefault="0079565C"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hAnsiTheme="majorBidi" w:cstheme="majorBidi"/>
          <w:sz w:val="24"/>
          <w:szCs w:val="24"/>
        </w:rPr>
        <w:lastRenderedPageBreak/>
        <w:t xml:space="preserve">Woollacott MJ, Shumway-Cooke a. Attention and the control of posture and gain: A review of an emerging area of research. </w:t>
      </w:r>
      <w:r w:rsidRPr="009B142A">
        <w:rPr>
          <w:rStyle w:val="cf01"/>
          <w:rFonts w:asciiTheme="majorBidi" w:hAnsiTheme="majorBidi" w:cstheme="majorBidi"/>
          <w:i/>
          <w:iCs/>
          <w:sz w:val="24"/>
          <w:szCs w:val="24"/>
        </w:rPr>
        <w:t>Gait Posture</w:t>
      </w:r>
      <w:r w:rsidRPr="009B142A">
        <w:rPr>
          <w:rStyle w:val="cf01"/>
          <w:rFonts w:asciiTheme="majorBidi" w:hAnsiTheme="majorBidi" w:cstheme="majorBidi"/>
          <w:sz w:val="24"/>
          <w:szCs w:val="24"/>
        </w:rPr>
        <w:t xml:space="preserve">. 2002;16:1-14. </w:t>
      </w:r>
    </w:p>
    <w:p w14:paraId="79E705A2" w14:textId="65EB4F15" w:rsidR="002B47A0" w:rsidRPr="009B142A" w:rsidRDefault="00A378CA"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hyperlink r:id="rId5" w:history="1">
        <w:r w:rsidRPr="009B142A">
          <w:rPr>
            <w:rStyle w:val="cf01"/>
            <w:rFonts w:asciiTheme="majorBidi" w:hAnsiTheme="majorBidi" w:cstheme="majorBidi"/>
            <w:sz w:val="24"/>
            <w:szCs w:val="24"/>
          </w:rPr>
          <w:t>C</w:t>
        </w:r>
        <w:r w:rsidR="00CE1FFE">
          <w:rPr>
            <w:rStyle w:val="cf01"/>
            <w:rFonts w:asciiTheme="majorBidi" w:hAnsiTheme="majorBidi" w:cstheme="majorBidi"/>
            <w:sz w:val="24"/>
            <w:szCs w:val="24"/>
            <w:lang w:val="en-US"/>
          </w:rPr>
          <w:t>e</w:t>
        </w:r>
        <w:r w:rsidRPr="009B142A">
          <w:rPr>
            <w:rStyle w:val="cf01"/>
            <w:rFonts w:asciiTheme="majorBidi" w:hAnsiTheme="majorBidi" w:cstheme="majorBidi"/>
            <w:sz w:val="24"/>
            <w:szCs w:val="24"/>
          </w:rPr>
          <w:t>n</w:t>
        </w:r>
        <w:r w:rsidRPr="009B142A">
          <w:rPr>
            <w:rStyle w:val="cf01"/>
            <w:rFonts w:asciiTheme="majorBidi" w:hAnsiTheme="majorBidi" w:cstheme="majorBidi"/>
            <w:sz w:val="24"/>
            <w:szCs w:val="24"/>
          </w:rPr>
          <w:t>ters</w:t>
        </w:r>
        <w:r w:rsidR="002B47A0" w:rsidRPr="009B142A">
          <w:rPr>
            <w:rStyle w:val="cf01"/>
            <w:rFonts w:asciiTheme="majorBidi" w:hAnsiTheme="majorBidi" w:cstheme="majorBidi"/>
            <w:sz w:val="24"/>
            <w:szCs w:val="24"/>
          </w:rPr>
          <w:t xml:space="preserve"> for Disease Control and Prevention (CDC)</w:t>
        </w:r>
      </w:hyperlink>
      <w:r w:rsidR="002B47A0" w:rsidRPr="009B142A">
        <w:rPr>
          <w:rStyle w:val="cf01"/>
          <w:rFonts w:asciiTheme="majorBidi" w:hAnsiTheme="majorBidi" w:cstheme="majorBidi"/>
          <w:sz w:val="24"/>
          <w:szCs w:val="24"/>
        </w:rPr>
        <w:t xml:space="preserve">. Fatalities and injuries from falls among older adults--United States, 1993-2003 and 2001-2005. </w:t>
      </w:r>
      <w:hyperlink r:id="rId6" w:history="1">
        <w:r w:rsidR="002B47A0" w:rsidRPr="009B142A">
          <w:rPr>
            <w:rStyle w:val="cf01"/>
            <w:rFonts w:asciiTheme="majorBidi" w:hAnsiTheme="majorBidi" w:cstheme="majorBidi"/>
            <w:i/>
            <w:iCs/>
            <w:sz w:val="24"/>
            <w:szCs w:val="24"/>
          </w:rPr>
          <w:t>MMWR</w:t>
        </w:r>
        <w:r w:rsidR="002B47A0" w:rsidRPr="009B142A">
          <w:rPr>
            <w:rStyle w:val="cf01"/>
            <w:rFonts w:asciiTheme="majorBidi" w:hAnsiTheme="majorBidi" w:cstheme="majorBidi"/>
            <w:sz w:val="24"/>
            <w:szCs w:val="24"/>
          </w:rPr>
          <w:t>.</w:t>
        </w:r>
      </w:hyperlink>
      <w:r w:rsidR="002B47A0" w:rsidRPr="009B142A">
        <w:rPr>
          <w:rStyle w:val="cf01"/>
          <w:rFonts w:asciiTheme="majorBidi" w:hAnsiTheme="majorBidi" w:cstheme="majorBidi"/>
          <w:sz w:val="24"/>
          <w:szCs w:val="24"/>
        </w:rPr>
        <w:t xml:space="preserve"> 2006;55(45):1221-1224.</w:t>
      </w:r>
      <w:r w:rsidRPr="009B142A">
        <w:rPr>
          <w:rStyle w:val="cf01"/>
          <w:rFonts w:asciiTheme="majorBidi" w:hAnsiTheme="majorBidi" w:cstheme="majorBidi"/>
          <w:sz w:val="24"/>
          <w:szCs w:val="24"/>
        </w:rPr>
        <w:t xml:space="preserve"> </w:t>
      </w:r>
    </w:p>
    <w:p w14:paraId="73EC5FC5" w14:textId="77777777" w:rsidR="00B76B04" w:rsidRPr="009B142A" w:rsidRDefault="002B47A0"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hAnsiTheme="majorBidi" w:cstheme="majorBidi"/>
          <w:sz w:val="24"/>
          <w:szCs w:val="24"/>
        </w:rPr>
        <w:t xml:space="preserve">Stalenhoef PA, Diederiks JP, Knottnerus JA </w:t>
      </w:r>
      <w:hyperlink r:id="rId7" w:history="1">
        <w:r w:rsidRPr="009B142A">
          <w:rPr>
            <w:rStyle w:val="cf01"/>
            <w:rFonts w:asciiTheme="majorBidi" w:hAnsiTheme="majorBidi" w:cstheme="majorBidi"/>
            <w:sz w:val="24"/>
            <w:szCs w:val="24"/>
          </w:rPr>
          <w:t>de Witte LP</w:t>
        </w:r>
      </w:hyperlink>
      <w:r w:rsidRPr="009B142A">
        <w:rPr>
          <w:rStyle w:val="cf01"/>
          <w:rFonts w:asciiTheme="majorBidi" w:hAnsiTheme="majorBidi" w:cstheme="majorBidi"/>
          <w:sz w:val="24"/>
          <w:szCs w:val="24"/>
        </w:rPr>
        <w:t xml:space="preserve">, </w:t>
      </w:r>
      <w:hyperlink r:id="rId8" w:history="1">
        <w:r w:rsidRPr="009B142A">
          <w:rPr>
            <w:rStyle w:val="cf01"/>
            <w:rFonts w:asciiTheme="majorBidi" w:hAnsiTheme="majorBidi" w:cstheme="majorBidi"/>
            <w:sz w:val="24"/>
            <w:szCs w:val="24"/>
          </w:rPr>
          <w:t>Crebolder HF</w:t>
        </w:r>
      </w:hyperlink>
      <w:r w:rsidRPr="009B142A">
        <w:rPr>
          <w:rStyle w:val="cf01"/>
          <w:rFonts w:asciiTheme="majorBidi" w:hAnsiTheme="majorBidi" w:cstheme="majorBidi"/>
          <w:sz w:val="24"/>
          <w:szCs w:val="24"/>
        </w:rPr>
        <w:t xml:space="preserve">. The construction of a patient record-based risk model for recurrent falls among elderly people living in the community. </w:t>
      </w:r>
      <w:r w:rsidRPr="009B142A">
        <w:rPr>
          <w:rStyle w:val="cf01"/>
          <w:rFonts w:asciiTheme="majorBidi" w:hAnsiTheme="majorBidi" w:cstheme="majorBidi"/>
          <w:i/>
          <w:iCs/>
          <w:sz w:val="24"/>
          <w:szCs w:val="24"/>
        </w:rPr>
        <w:t>Fam Pract</w:t>
      </w:r>
      <w:r w:rsidRPr="009B142A">
        <w:rPr>
          <w:rStyle w:val="cf01"/>
          <w:rFonts w:asciiTheme="majorBidi" w:hAnsiTheme="majorBidi" w:cstheme="majorBidi"/>
          <w:sz w:val="24"/>
          <w:szCs w:val="24"/>
        </w:rPr>
        <w:t>. 2000;17:490–496.</w:t>
      </w:r>
    </w:p>
    <w:p w14:paraId="72B48242" w14:textId="77777777" w:rsidR="00B76B04" w:rsidRPr="009B142A" w:rsidRDefault="00B76B04"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Miller WC, Speechley M, Deathe B. The prevalence and risk factors of falling and fear of falling among lower extremity amputees. Arch Phys Med Rehabil 2001;82:1031-1037.</w:t>
      </w:r>
    </w:p>
    <w:p w14:paraId="07B64777" w14:textId="65CC8919" w:rsidR="00B76B04" w:rsidRPr="009B142A" w:rsidRDefault="00B76B04"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Kulkarni J, Toole C, Hirons R, Wright S, Morris J. Falls in patients with lower limb amputations: Prevalence and contributing factors. Physiotherapy 1996;82:130-136. </w:t>
      </w:r>
    </w:p>
    <w:p w14:paraId="739062EC" w14:textId="77777777" w:rsidR="0023219C"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Steinberg N, Gottlieb A, Siev-Ner I, Plotnik M. Fall incidence and associated risk factors among people with a lower limb amputation during various stages of recovery: a systematic review. </w:t>
      </w:r>
      <w:r w:rsidRPr="009B142A">
        <w:rPr>
          <w:rFonts w:asciiTheme="majorBidi" w:hAnsiTheme="majorBidi" w:cstheme="majorBidi"/>
          <w:i/>
          <w:iCs/>
          <w:kern w:val="0"/>
          <w:lang w:bidi="ar-SA"/>
        </w:rPr>
        <w:t>Disabil Rehabil. </w:t>
      </w:r>
      <w:r w:rsidRPr="009B142A">
        <w:rPr>
          <w:rFonts w:asciiTheme="majorBidi" w:hAnsiTheme="majorBidi" w:cstheme="majorBidi"/>
          <w:kern w:val="0"/>
          <w:lang w:bidi="ar-SA"/>
        </w:rPr>
        <w:t>2019;41:1778–1787.</w:t>
      </w:r>
    </w:p>
    <w:p w14:paraId="1400E664" w14:textId="77777777" w:rsidR="0023219C"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shd w:val="clear" w:color="auto" w:fill="FFFFFF"/>
        </w:rPr>
        <w:t xml:space="preserve">Vanicek N, Strike S, McNaughton L, Polman R. Gait patterns in transtibial amputee fallers vs. non-fallers: biomechanical differences during level walking. </w:t>
      </w:r>
      <w:r w:rsidRPr="009B142A">
        <w:rPr>
          <w:rFonts w:asciiTheme="majorBidi" w:hAnsiTheme="majorBidi" w:cstheme="majorBidi"/>
          <w:i/>
          <w:iCs/>
          <w:shd w:val="clear" w:color="auto" w:fill="FFFFFF"/>
        </w:rPr>
        <w:t>Gait Posture</w:t>
      </w:r>
      <w:r w:rsidRPr="009B142A">
        <w:rPr>
          <w:rFonts w:asciiTheme="majorBidi" w:hAnsiTheme="majorBidi" w:cstheme="majorBidi"/>
          <w:shd w:val="clear" w:color="auto" w:fill="FFFFFF"/>
        </w:rPr>
        <w:t>. 2009;29(3):415-420.</w:t>
      </w:r>
    </w:p>
    <w:p w14:paraId="4D2279F3" w14:textId="77777777" w:rsidR="0023219C"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shd w:val="clear" w:color="auto" w:fill="FFFFFF"/>
        </w:rPr>
        <w:t>Quai TM, Brauer SG, Nitz JC. Somato</w:t>
      </w:r>
      <w:r w:rsidR="0023219C" w:rsidRPr="009B142A">
        <w:rPr>
          <w:rFonts w:asciiTheme="majorBidi" w:hAnsiTheme="majorBidi" w:cstheme="majorBidi"/>
          <w:shd w:val="clear" w:color="auto" w:fill="FFFFFF"/>
        </w:rPr>
        <w:t>-</w:t>
      </w:r>
      <w:r w:rsidRPr="009B142A">
        <w:rPr>
          <w:rFonts w:asciiTheme="majorBidi" w:hAnsiTheme="majorBidi" w:cstheme="majorBidi"/>
          <w:shd w:val="clear" w:color="auto" w:fill="FFFFFF"/>
        </w:rPr>
        <w:t xml:space="preserve">sensation, circulation and stance balance in elderly dysvascular transtibial amputees. </w:t>
      </w:r>
      <w:r w:rsidRPr="009B142A">
        <w:rPr>
          <w:rFonts w:asciiTheme="majorBidi" w:hAnsiTheme="majorBidi" w:cstheme="majorBidi"/>
          <w:i/>
          <w:iCs/>
          <w:shd w:val="clear" w:color="auto" w:fill="FFFFFF"/>
        </w:rPr>
        <w:t>Clin Rehabil</w:t>
      </w:r>
      <w:r w:rsidRPr="009B142A">
        <w:rPr>
          <w:rFonts w:asciiTheme="majorBidi" w:hAnsiTheme="majorBidi" w:cstheme="majorBidi"/>
          <w:shd w:val="clear" w:color="auto" w:fill="FFFFFF"/>
        </w:rPr>
        <w:t>. 2005;19(6):668-676.</w:t>
      </w:r>
      <w:bookmarkStart w:id="0" w:name="_Hlk149302491"/>
    </w:p>
    <w:p w14:paraId="6EF0FE2F" w14:textId="25986EAA" w:rsidR="001E5EF2" w:rsidRPr="009B142A" w:rsidRDefault="00D87FA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Hordacre BG, Barr C, Patritti BL, Crotty M. Assessing gait variability in transtibial amputee fallers based on spatial-temporal gait parameters normalized for walking speed.</w:t>
      </w:r>
      <w:r w:rsidR="005839F5">
        <w:rPr>
          <w:rFonts w:asciiTheme="majorBidi" w:hAnsiTheme="majorBidi" w:cstheme="majorBidi"/>
          <w:i/>
          <w:iCs/>
        </w:rPr>
        <w:t>APMR</w:t>
      </w:r>
      <w:r w:rsidRPr="009B142A">
        <w:rPr>
          <w:rFonts w:asciiTheme="majorBidi" w:hAnsiTheme="majorBidi" w:cstheme="majorBidi"/>
        </w:rPr>
        <w:t>.2015;96(6):1162-5.</w:t>
      </w:r>
      <w:bookmarkEnd w:id="0"/>
    </w:p>
    <w:p w14:paraId="7AAA6917" w14:textId="77777777" w:rsidR="001E5EF2"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rPr>
        <w:t>Gauthier-Gagnon C, Grise M, Potvin D. Enabling factors related to prosthetic use by people with transtibial and transfemoral amputation. Arch Phys Med Rehabil 1999;80:706-713.</w:t>
      </w:r>
    </w:p>
    <w:p w14:paraId="4B6A6F99" w14:textId="490BBFB5" w:rsidR="00915820"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rPr>
        <w:t>Miller WC, Deathe AB. The influence of balance confidence on social activity after discharge from prosthetic rehabilitation for first lower limb amputation. Prosthet Orthot Int 2011;35: 379-385.</w:t>
      </w:r>
    </w:p>
    <w:p w14:paraId="2FE1CD6F" w14:textId="712955F1" w:rsidR="001E5EF2"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Cordo PJ, Nashner LM. Properties of postural adjustments associated with rapid arm movements. J Neurophysiol. 1982 Feb;47(2):287-302. </w:t>
      </w:r>
    </w:p>
    <w:p w14:paraId="45E9B629" w14:textId="77777777" w:rsidR="001E5EF2"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Nashner LM, Cordo PJ. Relation of automatic postural responses and reaction-time voluntary movements of human leg muscles. </w:t>
      </w:r>
      <w:r w:rsidRPr="005839F5">
        <w:rPr>
          <w:rFonts w:asciiTheme="majorBidi" w:hAnsiTheme="majorBidi" w:cstheme="majorBidi"/>
          <w:i/>
          <w:iCs/>
          <w:kern w:val="0"/>
          <w:lang w:bidi="ar-SA"/>
        </w:rPr>
        <w:t>Exp Brain Res</w:t>
      </w:r>
      <w:r w:rsidRPr="009B142A">
        <w:rPr>
          <w:rFonts w:asciiTheme="majorBidi" w:hAnsiTheme="majorBidi" w:cstheme="majorBidi"/>
          <w:kern w:val="0"/>
          <w:lang w:bidi="ar-SA"/>
        </w:rPr>
        <w:t>. 1981;43(3-4):395-405.</w:t>
      </w:r>
    </w:p>
    <w:p w14:paraId="5036C218" w14:textId="77777777" w:rsidR="00A378CA" w:rsidRPr="009B142A" w:rsidRDefault="001E5EF2"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McIlroy WE, Maki BE. Age-related changes in compensatory stepping in response to unpredictable perturbations. </w:t>
      </w:r>
      <w:r w:rsidRPr="009B142A">
        <w:rPr>
          <w:rFonts w:asciiTheme="majorBidi" w:hAnsiTheme="majorBidi" w:cstheme="majorBidi"/>
          <w:i/>
          <w:iCs/>
        </w:rPr>
        <w:t>J Gerontol A Biol Sci Med Sci</w:t>
      </w:r>
      <w:r w:rsidRPr="009B142A">
        <w:rPr>
          <w:rFonts w:asciiTheme="majorBidi" w:hAnsiTheme="majorBidi" w:cstheme="majorBidi"/>
        </w:rPr>
        <w:t>. 1996; 51:289-96.</w:t>
      </w:r>
    </w:p>
    <w:p w14:paraId="12BC04F1" w14:textId="1D95CF26" w:rsidR="00A378CA" w:rsidRPr="009B142A" w:rsidRDefault="00A378CA"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Style w:val="cf01"/>
          <w:rFonts w:asciiTheme="majorBidi" w:eastAsiaTheme="majorEastAsia" w:hAnsiTheme="majorBidi" w:cstheme="majorBidi"/>
          <w:sz w:val="24"/>
          <w:szCs w:val="24"/>
        </w:rPr>
        <w:t xml:space="preserve">McIlroy WE, Maki BE. Changes in early </w:t>
      </w:r>
      <w:r w:rsidR="00CE1FFE">
        <w:rPr>
          <w:rStyle w:val="cf01"/>
          <w:rFonts w:asciiTheme="majorBidi" w:eastAsiaTheme="majorEastAsia" w:hAnsiTheme="majorBidi" w:cstheme="majorBidi"/>
          <w:sz w:val="24"/>
          <w:szCs w:val="24"/>
        </w:rPr>
        <w:t>“</w:t>
      </w:r>
      <w:r w:rsidRPr="009B142A">
        <w:rPr>
          <w:rStyle w:val="cf01"/>
          <w:rFonts w:asciiTheme="majorBidi" w:eastAsiaTheme="majorEastAsia" w:hAnsiTheme="majorBidi" w:cstheme="majorBidi"/>
          <w:sz w:val="24"/>
          <w:szCs w:val="24"/>
        </w:rPr>
        <w:t>automatic</w:t>
      </w:r>
      <w:r w:rsidR="00CE1FFE">
        <w:rPr>
          <w:rStyle w:val="cf01"/>
          <w:rFonts w:asciiTheme="majorBidi" w:eastAsiaTheme="majorEastAsia" w:hAnsiTheme="majorBidi" w:cstheme="majorBidi"/>
          <w:sz w:val="24"/>
          <w:szCs w:val="24"/>
        </w:rPr>
        <w:t>”</w:t>
      </w:r>
      <w:r w:rsidRPr="009B142A">
        <w:rPr>
          <w:rStyle w:val="cf01"/>
          <w:rFonts w:asciiTheme="majorBidi" w:eastAsiaTheme="majorEastAsia" w:hAnsiTheme="majorBidi" w:cstheme="majorBidi"/>
          <w:sz w:val="24"/>
          <w:szCs w:val="24"/>
        </w:rPr>
        <w:t xml:space="preserve"> postural responses associated with the prior-planning and execution of a compensatory step. </w:t>
      </w:r>
      <w:r w:rsidRPr="009B142A">
        <w:rPr>
          <w:rStyle w:val="cf01"/>
          <w:rFonts w:asciiTheme="majorBidi" w:eastAsiaTheme="majorEastAsia" w:hAnsiTheme="majorBidi" w:cstheme="majorBidi"/>
          <w:i/>
          <w:iCs/>
          <w:sz w:val="24"/>
          <w:szCs w:val="24"/>
        </w:rPr>
        <w:t>Brain Res</w:t>
      </w:r>
      <w:r w:rsidRPr="009B142A">
        <w:rPr>
          <w:rStyle w:val="cf01"/>
          <w:rFonts w:asciiTheme="majorBidi" w:eastAsiaTheme="majorEastAsia" w:hAnsiTheme="majorBidi" w:cstheme="majorBidi"/>
          <w:sz w:val="24"/>
          <w:szCs w:val="24"/>
        </w:rPr>
        <w:t>. 1993;631(2):203-11.</w:t>
      </w:r>
    </w:p>
    <w:p w14:paraId="49CA854E" w14:textId="7E2F860E" w:rsidR="001E5EF2" w:rsidRPr="009B142A" w:rsidRDefault="00A378CA"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Maki BE, McIlroy WE. The role of limb movements in maintaining upright stance: the </w:t>
      </w:r>
      <w:r w:rsidR="00CE1FFE">
        <w:rPr>
          <w:rFonts w:asciiTheme="majorBidi" w:hAnsiTheme="majorBidi" w:cstheme="majorBidi"/>
          <w:kern w:val="0"/>
          <w:lang w:bidi="ar-SA"/>
        </w:rPr>
        <w:t>“</w:t>
      </w:r>
      <w:r w:rsidRPr="009B142A">
        <w:rPr>
          <w:rFonts w:asciiTheme="majorBidi" w:hAnsiTheme="majorBidi" w:cstheme="majorBidi"/>
          <w:kern w:val="0"/>
          <w:lang w:bidi="ar-SA"/>
        </w:rPr>
        <w:t>change-in-support</w:t>
      </w:r>
      <w:r w:rsidR="00CE1FFE">
        <w:rPr>
          <w:rFonts w:asciiTheme="majorBidi" w:hAnsiTheme="majorBidi" w:cstheme="majorBidi"/>
          <w:kern w:val="0"/>
          <w:lang w:bidi="ar-SA"/>
        </w:rPr>
        <w:t>”</w:t>
      </w:r>
      <w:r w:rsidRPr="009B142A">
        <w:rPr>
          <w:rFonts w:asciiTheme="majorBidi" w:hAnsiTheme="majorBidi" w:cstheme="majorBidi"/>
          <w:kern w:val="0"/>
          <w:lang w:bidi="ar-SA"/>
        </w:rPr>
        <w:t xml:space="preserve"> strategy. </w:t>
      </w:r>
      <w:r w:rsidRPr="00642FB8">
        <w:rPr>
          <w:rFonts w:asciiTheme="majorBidi" w:hAnsiTheme="majorBidi" w:cstheme="majorBidi"/>
          <w:i/>
          <w:iCs/>
          <w:kern w:val="0"/>
          <w:lang w:bidi="ar-SA"/>
        </w:rPr>
        <w:t>Phys Ther.</w:t>
      </w:r>
      <w:r w:rsidRPr="009B142A">
        <w:rPr>
          <w:rFonts w:asciiTheme="majorBidi" w:hAnsiTheme="majorBidi" w:cstheme="majorBidi"/>
          <w:kern w:val="0"/>
          <w:lang w:bidi="ar-SA"/>
        </w:rPr>
        <w:t xml:space="preserve"> 1997 May;77(5):488-507. </w:t>
      </w:r>
    </w:p>
    <w:p w14:paraId="1FF6DF64" w14:textId="0F183FC3"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lastRenderedPageBreak/>
        <w:t xml:space="preserve">Melzer I, Oddsson LI. The effect of a cognitive task on voluntary step execution in healthy elderly and young individuals. </w:t>
      </w:r>
      <w:r w:rsidR="00642FB8" w:rsidRPr="00642FB8">
        <w:rPr>
          <w:rFonts w:asciiTheme="majorBidi" w:hAnsiTheme="majorBidi" w:cstheme="majorBidi"/>
          <w:i/>
          <w:iCs/>
          <w:kern w:val="0"/>
          <w:lang w:bidi="ar-SA"/>
        </w:rPr>
        <w:t>JAGS</w:t>
      </w:r>
      <w:r w:rsidRPr="00642FB8">
        <w:rPr>
          <w:rFonts w:asciiTheme="majorBidi" w:hAnsiTheme="majorBidi" w:cstheme="majorBidi"/>
          <w:i/>
          <w:iCs/>
          <w:kern w:val="0"/>
          <w:lang w:bidi="ar-SA"/>
        </w:rPr>
        <w:t>.</w:t>
      </w:r>
      <w:r w:rsidRPr="009B142A">
        <w:rPr>
          <w:rFonts w:asciiTheme="majorBidi" w:hAnsiTheme="majorBidi" w:cstheme="majorBidi"/>
          <w:kern w:val="0"/>
          <w:lang w:bidi="ar-SA"/>
        </w:rPr>
        <w:t xml:space="preserve"> 2004 Aug;52(8):1255-62. </w:t>
      </w:r>
    </w:p>
    <w:p w14:paraId="1797FD75" w14:textId="617F59A5"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Melzer I, Shtilman I, Rosenblatt N, Oddsson LI. Reliability of voluntary step execution behavior under single and dual task conditions</w:t>
      </w:r>
      <w:r w:rsidRPr="00642FB8">
        <w:rPr>
          <w:rFonts w:asciiTheme="majorBidi" w:hAnsiTheme="majorBidi" w:cstheme="majorBidi"/>
          <w:i/>
          <w:iCs/>
          <w:kern w:val="0"/>
          <w:lang w:bidi="ar-SA"/>
        </w:rPr>
        <w:t>. J Neuroeng Rehabil.</w:t>
      </w:r>
      <w:r w:rsidRPr="009B142A">
        <w:rPr>
          <w:rFonts w:asciiTheme="majorBidi" w:hAnsiTheme="majorBidi" w:cstheme="majorBidi"/>
          <w:kern w:val="0"/>
          <w:lang w:bidi="ar-SA"/>
        </w:rPr>
        <w:t xml:space="preserve"> 2007 May 29;4:16. </w:t>
      </w:r>
    </w:p>
    <w:p w14:paraId="71465A73" w14:textId="1C1AA54A"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Kurz I, Shahar D, Levi M, Oddsson L. Application of the voluntary step execution test to identify elderly fallers. </w:t>
      </w:r>
      <w:r w:rsidRPr="00642FB8">
        <w:rPr>
          <w:rFonts w:asciiTheme="majorBidi" w:hAnsiTheme="majorBidi" w:cstheme="majorBidi"/>
          <w:i/>
          <w:iCs/>
          <w:kern w:val="0"/>
          <w:lang w:bidi="ar-SA"/>
        </w:rPr>
        <w:t>Age Ageing.</w:t>
      </w:r>
      <w:r w:rsidRPr="009B142A">
        <w:rPr>
          <w:rFonts w:asciiTheme="majorBidi" w:hAnsiTheme="majorBidi" w:cstheme="majorBidi"/>
          <w:kern w:val="0"/>
          <w:lang w:bidi="ar-SA"/>
        </w:rPr>
        <w:t xml:space="preserve"> 2007 Sep;36(5):532-7. </w:t>
      </w:r>
    </w:p>
    <w:p w14:paraId="541593AA" w14:textId="59EAF69C"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Kurz I, Shahar D, Oddsson LI. Predicting injury from falls in older adults: comparison of voluntary step reaction times in injured and noninjured fallers. </w:t>
      </w:r>
      <w:r w:rsidR="00642FB8" w:rsidRPr="00642FB8">
        <w:rPr>
          <w:rFonts w:asciiTheme="majorBidi" w:hAnsiTheme="majorBidi" w:cstheme="majorBidi"/>
          <w:i/>
          <w:iCs/>
          <w:kern w:val="0"/>
          <w:lang w:bidi="ar-SA"/>
        </w:rPr>
        <w:t>JAGS</w:t>
      </w:r>
      <w:r w:rsidRPr="00642FB8">
        <w:rPr>
          <w:rFonts w:asciiTheme="majorBidi" w:hAnsiTheme="majorBidi" w:cstheme="majorBidi"/>
          <w:i/>
          <w:iCs/>
          <w:kern w:val="0"/>
          <w:lang w:bidi="ar-SA"/>
        </w:rPr>
        <w:t>.</w:t>
      </w:r>
      <w:r w:rsidRPr="009B142A">
        <w:rPr>
          <w:rFonts w:asciiTheme="majorBidi" w:hAnsiTheme="majorBidi" w:cstheme="majorBidi"/>
          <w:kern w:val="0"/>
          <w:lang w:bidi="ar-SA"/>
        </w:rPr>
        <w:t xml:space="preserve"> 2009 Apr;57(4):743-5.</w:t>
      </w:r>
    </w:p>
    <w:p w14:paraId="555D28BA" w14:textId="75F61E2C" w:rsidR="002427D3" w:rsidRPr="009B142A" w:rsidRDefault="002427D3"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Kurz I, Shahar D, Oddsson LI. Do voluntary step reactions in dual task conditions have an added value over single task for fall prediction? A prospective study. </w:t>
      </w:r>
      <w:r w:rsidRPr="00642FB8">
        <w:rPr>
          <w:rFonts w:asciiTheme="majorBidi" w:hAnsiTheme="majorBidi" w:cstheme="majorBidi"/>
          <w:i/>
          <w:iCs/>
          <w:kern w:val="0"/>
          <w:lang w:bidi="ar-SA"/>
        </w:rPr>
        <w:t>Aging Clin Exp Res.</w:t>
      </w:r>
      <w:r w:rsidRPr="009B142A">
        <w:rPr>
          <w:rFonts w:asciiTheme="majorBidi" w:hAnsiTheme="majorBidi" w:cstheme="majorBidi"/>
          <w:kern w:val="0"/>
          <w:lang w:bidi="ar-SA"/>
        </w:rPr>
        <w:t xml:space="preserve"> 2010 Oct-Dec;22(5-6):360-6. </w:t>
      </w:r>
    </w:p>
    <w:p w14:paraId="0BE12350" w14:textId="23D1DF4C" w:rsidR="002427D3" w:rsidRPr="009B142A" w:rsidRDefault="00353ED6"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Melzer I, Tzedek I, Or M, Shvarth G, Nizri O, Ben-Shitrit K, Oddsson LE. Speed of voluntary stepping in chronic stroke survivors under single- and dual-task conditions: a case-control study. Arch Phys Med Rehabil. 2009 Jun;90(6):927-33. </w:t>
      </w:r>
    </w:p>
    <w:p w14:paraId="2BFC5A40" w14:textId="77777777" w:rsidR="00E42689" w:rsidRPr="009B142A" w:rsidRDefault="00E4268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Okubo Y, Schoene D, Caetano MJ, Pliner EM, Osuka Y, Toson B, Lord SR. Stepping impairment and falls in older adults: A systematic review and meta-analysis of volitional and reactive step tests. </w:t>
      </w:r>
      <w:r w:rsidRPr="009B64B5">
        <w:rPr>
          <w:rFonts w:asciiTheme="majorBidi" w:hAnsiTheme="majorBidi" w:cstheme="majorBidi"/>
          <w:i/>
          <w:iCs/>
          <w:kern w:val="0"/>
          <w:lang w:bidi="ar-SA"/>
        </w:rPr>
        <w:t>Ageing Res Rev.</w:t>
      </w:r>
      <w:r w:rsidRPr="009B142A">
        <w:rPr>
          <w:rFonts w:asciiTheme="majorBidi" w:hAnsiTheme="majorBidi" w:cstheme="majorBidi"/>
          <w:kern w:val="0"/>
          <w:lang w:bidi="ar-SA"/>
        </w:rPr>
        <w:t xml:space="preserve"> 2021 Mar;66:101238. </w:t>
      </w:r>
    </w:p>
    <w:p w14:paraId="5F77D1F1" w14:textId="77777777" w:rsidR="00E42689" w:rsidRPr="009B142A" w:rsidRDefault="00E42689"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Rubenstein, L.Z. Falls in older people: epidemiology, risk factors and strategies for prevention. </w:t>
      </w:r>
      <w:r w:rsidRPr="009B142A">
        <w:rPr>
          <w:rStyle w:val="cf01"/>
          <w:rFonts w:asciiTheme="majorBidi" w:eastAsiaTheme="majorEastAsia" w:hAnsiTheme="majorBidi" w:cstheme="majorBidi"/>
          <w:i/>
          <w:iCs/>
          <w:sz w:val="24"/>
          <w:szCs w:val="24"/>
        </w:rPr>
        <w:t>Age and Ageing</w:t>
      </w:r>
      <w:r w:rsidRPr="009B142A">
        <w:rPr>
          <w:rStyle w:val="cf01"/>
          <w:rFonts w:asciiTheme="majorBidi" w:eastAsiaTheme="majorEastAsia" w:hAnsiTheme="majorBidi" w:cstheme="majorBidi"/>
          <w:sz w:val="24"/>
          <w:szCs w:val="24"/>
        </w:rPr>
        <w:t>, 2006;35(Suppl 2):ii37-ii41.</w:t>
      </w:r>
    </w:p>
    <w:p w14:paraId="2EF0B019" w14:textId="77777777" w:rsidR="00E42689" w:rsidRPr="009B142A" w:rsidRDefault="00E42689"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hyperlink r:id="rId9" w:history="1">
        <w:r w:rsidRPr="009B142A">
          <w:rPr>
            <w:rStyle w:val="cf01"/>
            <w:rFonts w:asciiTheme="majorBidi" w:eastAsiaTheme="majorEastAsia" w:hAnsiTheme="majorBidi" w:cstheme="majorBidi"/>
            <w:sz w:val="24"/>
            <w:szCs w:val="24"/>
          </w:rPr>
          <w:t>Berg WP</w:t>
        </w:r>
      </w:hyperlink>
      <w:r w:rsidRPr="009B142A">
        <w:rPr>
          <w:rStyle w:val="cf01"/>
          <w:rFonts w:asciiTheme="majorBidi" w:eastAsiaTheme="majorEastAsia" w:hAnsiTheme="majorBidi" w:cstheme="majorBidi"/>
          <w:sz w:val="24"/>
          <w:szCs w:val="24"/>
        </w:rPr>
        <w:t xml:space="preserve">, </w:t>
      </w:r>
      <w:hyperlink r:id="rId10" w:history="1">
        <w:r w:rsidRPr="009B142A">
          <w:rPr>
            <w:rStyle w:val="cf01"/>
            <w:rFonts w:asciiTheme="majorBidi" w:eastAsiaTheme="majorEastAsia" w:hAnsiTheme="majorBidi" w:cstheme="majorBidi"/>
            <w:sz w:val="24"/>
            <w:szCs w:val="24"/>
          </w:rPr>
          <w:t>Alessio HM</w:t>
        </w:r>
      </w:hyperlink>
      <w:r w:rsidRPr="009B142A">
        <w:rPr>
          <w:rStyle w:val="cf01"/>
          <w:rFonts w:asciiTheme="majorBidi" w:eastAsiaTheme="majorEastAsia" w:hAnsiTheme="majorBidi" w:cstheme="majorBidi"/>
          <w:sz w:val="24"/>
          <w:szCs w:val="24"/>
        </w:rPr>
        <w:t xml:space="preserve">, </w:t>
      </w:r>
      <w:hyperlink r:id="rId11" w:history="1">
        <w:r w:rsidRPr="009B142A">
          <w:rPr>
            <w:rStyle w:val="cf01"/>
            <w:rFonts w:asciiTheme="majorBidi" w:eastAsiaTheme="majorEastAsia" w:hAnsiTheme="majorBidi" w:cstheme="majorBidi"/>
            <w:sz w:val="24"/>
            <w:szCs w:val="24"/>
          </w:rPr>
          <w:t>Mills EM</w:t>
        </w:r>
      </w:hyperlink>
      <w:r w:rsidRPr="009B142A">
        <w:rPr>
          <w:rStyle w:val="cf01"/>
          <w:rFonts w:asciiTheme="majorBidi" w:eastAsiaTheme="majorEastAsia" w:hAnsiTheme="majorBidi" w:cstheme="majorBidi"/>
          <w:sz w:val="24"/>
          <w:szCs w:val="24"/>
        </w:rPr>
        <w:t xml:space="preserve">, </w:t>
      </w:r>
      <w:hyperlink r:id="rId12" w:history="1">
        <w:r w:rsidRPr="009B142A">
          <w:rPr>
            <w:rStyle w:val="cf01"/>
            <w:rFonts w:asciiTheme="majorBidi" w:eastAsiaTheme="majorEastAsia" w:hAnsiTheme="majorBidi" w:cstheme="majorBidi"/>
            <w:sz w:val="24"/>
            <w:szCs w:val="24"/>
          </w:rPr>
          <w:t>Tong C</w:t>
        </w:r>
      </w:hyperlink>
      <w:r w:rsidRPr="009B142A">
        <w:rPr>
          <w:rStyle w:val="cf01"/>
          <w:rFonts w:asciiTheme="majorBidi" w:eastAsiaTheme="majorEastAsia" w:hAnsiTheme="majorBidi" w:cstheme="majorBidi"/>
          <w:sz w:val="24"/>
          <w:szCs w:val="24"/>
        </w:rPr>
        <w:t xml:space="preserve">. Circumstances and consequences of falls in independent community-dwelling older adults. </w:t>
      </w:r>
      <w:r w:rsidRPr="009B142A">
        <w:rPr>
          <w:rStyle w:val="cf01"/>
          <w:rFonts w:asciiTheme="majorBidi" w:eastAsiaTheme="majorEastAsia" w:hAnsiTheme="majorBidi" w:cstheme="majorBidi"/>
          <w:i/>
          <w:iCs/>
          <w:sz w:val="24"/>
          <w:szCs w:val="24"/>
        </w:rPr>
        <w:t>Age and Ageing</w:t>
      </w:r>
      <w:r w:rsidRPr="009B142A">
        <w:rPr>
          <w:rStyle w:val="cf01"/>
          <w:rFonts w:asciiTheme="majorBidi" w:eastAsiaTheme="majorEastAsia" w:hAnsiTheme="majorBidi" w:cstheme="majorBidi"/>
          <w:sz w:val="24"/>
          <w:szCs w:val="24"/>
        </w:rPr>
        <w:t>. 1997;26:261-8.</w:t>
      </w:r>
    </w:p>
    <w:p w14:paraId="422B37DC" w14:textId="77777777" w:rsidR="00E42689" w:rsidRPr="009B142A" w:rsidRDefault="00E4268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rPr>
        <w:t xml:space="preserve">Olenšek A, Zadravec M, Burger H, Matjačić Z. Dynamic balancing responses in unilateral transtibial amputees following outward-directed perturbations during slow treadmill walking differ considerably for amputated and non-amputated side. </w:t>
      </w:r>
      <w:r w:rsidRPr="009B142A">
        <w:rPr>
          <w:rFonts w:asciiTheme="majorBidi" w:eastAsia="Times New Roman" w:hAnsiTheme="majorBidi" w:cstheme="majorBidi"/>
          <w:i/>
          <w:iCs/>
        </w:rPr>
        <w:t>J Neuroeng Rehabil</w:t>
      </w:r>
      <w:r w:rsidRPr="009B142A">
        <w:rPr>
          <w:rFonts w:asciiTheme="majorBidi" w:eastAsia="Times New Roman" w:hAnsiTheme="majorBidi" w:cstheme="majorBidi"/>
        </w:rPr>
        <w:t xml:space="preserve">. 2021;18:1-11. </w:t>
      </w:r>
    </w:p>
    <w:p w14:paraId="0B526F08" w14:textId="77777777" w:rsidR="00DB563C" w:rsidRPr="009B142A" w:rsidRDefault="00E42689"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Sheehan RC, Beltran EJ, Dingwell JB, Wilken JM. Mediolateral angular momentum changes in persons with amputation during perturbed walking. </w:t>
      </w:r>
      <w:r w:rsidRPr="009B142A">
        <w:rPr>
          <w:rStyle w:val="cf01"/>
          <w:rFonts w:asciiTheme="majorBidi" w:eastAsiaTheme="majorEastAsia" w:hAnsiTheme="majorBidi" w:cstheme="majorBidi"/>
          <w:i/>
          <w:iCs/>
          <w:sz w:val="24"/>
          <w:szCs w:val="24"/>
        </w:rPr>
        <w:t>Gait Posture</w:t>
      </w:r>
      <w:r w:rsidRPr="009B142A">
        <w:rPr>
          <w:rStyle w:val="cf01"/>
          <w:rFonts w:asciiTheme="majorBidi" w:eastAsiaTheme="majorEastAsia" w:hAnsiTheme="majorBidi" w:cstheme="majorBidi"/>
          <w:sz w:val="24"/>
          <w:szCs w:val="24"/>
        </w:rPr>
        <w:t xml:space="preserve">. 2015;41(3):795-800. </w:t>
      </w:r>
    </w:p>
    <w:p w14:paraId="4A4FB2A4" w14:textId="2BD7A7F0" w:rsidR="00E42689" w:rsidRPr="009B142A" w:rsidRDefault="00E42689"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Segal AD, Klute GK. Lower-limb amputee recovery response to an imposed error in mediolateral foot placement. </w:t>
      </w:r>
      <w:r w:rsidRPr="009B142A">
        <w:rPr>
          <w:rFonts w:asciiTheme="majorBidi" w:hAnsiTheme="majorBidi" w:cstheme="majorBidi"/>
          <w:i/>
          <w:iCs/>
        </w:rPr>
        <w:t>J Biomech</w:t>
      </w:r>
      <w:r w:rsidRPr="009B142A">
        <w:rPr>
          <w:rFonts w:asciiTheme="majorBidi" w:hAnsiTheme="majorBidi" w:cstheme="majorBidi"/>
        </w:rPr>
        <w:t xml:space="preserve">. 2014;47(12):2911-8. </w:t>
      </w:r>
    </w:p>
    <w:p w14:paraId="217F9B7B" w14:textId="77777777"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Shumway-Cook A, Woollacott M. Attentional demands and postural control: the effect of sensory context. </w:t>
      </w:r>
      <w:r w:rsidRPr="009B142A">
        <w:rPr>
          <w:rFonts w:asciiTheme="majorBidi" w:hAnsiTheme="majorBidi" w:cstheme="majorBidi"/>
          <w:i/>
          <w:iCs/>
          <w:kern w:val="0"/>
          <w:lang w:bidi="ar-SA"/>
        </w:rPr>
        <w:t>J Gerontol A Biol Sci Med Sci</w:t>
      </w:r>
      <w:r w:rsidRPr="009B142A">
        <w:rPr>
          <w:rFonts w:asciiTheme="majorBidi" w:hAnsiTheme="majorBidi" w:cstheme="majorBidi"/>
          <w:kern w:val="0"/>
          <w:lang w:bidi="ar-SA"/>
        </w:rPr>
        <w:t xml:space="preserve"> 2000;55:10-6.</w:t>
      </w:r>
    </w:p>
    <w:p w14:paraId="131CC02C" w14:textId="77777777" w:rsidR="003C47A8" w:rsidRPr="009B142A" w:rsidRDefault="003C47A8"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Brauer SG, Woollacott M, Shumway-Cook A. The influence of a concurrent cognitive task on the compensatory stepping response to a perturbation in balance-impaired and healthy elders. </w:t>
      </w:r>
      <w:r w:rsidRPr="009B142A">
        <w:rPr>
          <w:rStyle w:val="cf01"/>
          <w:rFonts w:asciiTheme="majorBidi" w:eastAsiaTheme="majorEastAsia" w:hAnsiTheme="majorBidi" w:cstheme="majorBidi"/>
          <w:i/>
          <w:iCs/>
          <w:sz w:val="24"/>
          <w:szCs w:val="24"/>
        </w:rPr>
        <w:t xml:space="preserve">Gait Posture </w:t>
      </w:r>
      <w:r w:rsidRPr="009B142A">
        <w:rPr>
          <w:rStyle w:val="cf01"/>
          <w:rFonts w:asciiTheme="majorBidi" w:eastAsiaTheme="majorEastAsia" w:hAnsiTheme="majorBidi" w:cstheme="majorBidi"/>
          <w:sz w:val="24"/>
          <w:szCs w:val="24"/>
        </w:rPr>
        <w:t xml:space="preserve">2002;15:83-93. </w:t>
      </w:r>
    </w:p>
    <w:p w14:paraId="704FCD87" w14:textId="4EA26969" w:rsidR="003C47A8" w:rsidRPr="009B142A" w:rsidRDefault="00CE1FFE"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Pr>
          <w:rStyle w:val="cf01"/>
          <w:rFonts w:asciiTheme="majorBidi" w:eastAsiaTheme="majorEastAsia" w:hAnsiTheme="majorBidi" w:cstheme="majorBidi"/>
          <w:sz w:val="24"/>
          <w:szCs w:val="24"/>
        </w:rPr>
        <w:lastRenderedPageBreak/>
        <w:t>Plummer-D’Amato</w:t>
      </w:r>
      <w:r w:rsidR="003C47A8" w:rsidRPr="009B142A">
        <w:rPr>
          <w:rStyle w:val="cf01"/>
          <w:rFonts w:asciiTheme="majorBidi" w:eastAsiaTheme="majorEastAsia" w:hAnsiTheme="majorBidi" w:cstheme="majorBidi"/>
          <w:sz w:val="24"/>
          <w:szCs w:val="24"/>
        </w:rPr>
        <w:t xml:space="preserve"> P, Altmann LJ, Saracino D, Fox E, Behrman AL, Marsiske M. Interactions between cognitive tasks </w:t>
      </w:r>
      <w:r w:rsidR="009B64B5">
        <w:rPr>
          <w:rStyle w:val="cf01"/>
          <w:rFonts w:asciiTheme="majorBidi" w:eastAsiaTheme="majorEastAsia" w:hAnsiTheme="majorBidi" w:cstheme="majorBidi"/>
          <w:sz w:val="24"/>
          <w:szCs w:val="24"/>
        </w:rPr>
        <w:t>&amp;</w:t>
      </w:r>
      <w:r w:rsidR="003C47A8" w:rsidRPr="009B142A">
        <w:rPr>
          <w:rStyle w:val="cf01"/>
          <w:rFonts w:asciiTheme="majorBidi" w:eastAsiaTheme="majorEastAsia" w:hAnsiTheme="majorBidi" w:cstheme="majorBidi"/>
          <w:sz w:val="24"/>
          <w:szCs w:val="24"/>
        </w:rPr>
        <w:t xml:space="preserve"> gait after stroke: a dual task study. </w:t>
      </w:r>
      <w:r w:rsidR="003C47A8" w:rsidRPr="009B142A">
        <w:rPr>
          <w:rStyle w:val="cf01"/>
          <w:rFonts w:asciiTheme="majorBidi" w:eastAsiaTheme="majorEastAsia" w:hAnsiTheme="majorBidi" w:cstheme="majorBidi"/>
          <w:i/>
          <w:iCs/>
          <w:sz w:val="24"/>
          <w:szCs w:val="24"/>
        </w:rPr>
        <w:t>Gait Posture</w:t>
      </w:r>
      <w:r w:rsidR="003C47A8" w:rsidRPr="009B142A">
        <w:rPr>
          <w:rStyle w:val="cf01"/>
          <w:rFonts w:asciiTheme="majorBidi" w:eastAsiaTheme="majorEastAsia" w:hAnsiTheme="majorBidi" w:cstheme="majorBidi"/>
          <w:sz w:val="24"/>
          <w:szCs w:val="24"/>
        </w:rPr>
        <w:t xml:space="preserve">.2008 May;27(4):683-8. </w:t>
      </w:r>
    </w:p>
    <w:p w14:paraId="373AAD88" w14:textId="091C2044"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14:ligatures w14:val="none"/>
        </w:rPr>
        <w:t xml:space="preserve">Huxhold O, Li SC, Schmiedek F, Lindenberger U. Dual-tasking postural control: Aging </w:t>
      </w:r>
      <w:r w:rsidR="009B64B5">
        <w:rPr>
          <w:rFonts w:asciiTheme="majorBidi" w:eastAsia="Times New Roman" w:hAnsiTheme="majorBidi" w:cstheme="majorBidi"/>
          <w:kern w:val="0"/>
          <w:lang/>
          <w14:ligatures w14:val="none"/>
        </w:rPr>
        <w:t xml:space="preserve">&amp; </w:t>
      </w:r>
      <w:r w:rsidRPr="009B142A">
        <w:rPr>
          <w:rFonts w:asciiTheme="majorBidi" w:eastAsia="Times New Roman" w:hAnsiTheme="majorBidi" w:cstheme="majorBidi"/>
          <w:kern w:val="0"/>
          <w:lang/>
          <w14:ligatures w14:val="none"/>
        </w:rPr>
        <w:t xml:space="preserve">the effects of cognitive demand in conjunction with focus of attention. </w:t>
      </w:r>
      <w:r w:rsidRPr="009B142A">
        <w:rPr>
          <w:rFonts w:asciiTheme="majorBidi" w:eastAsia="Times New Roman" w:hAnsiTheme="majorBidi" w:cstheme="majorBidi"/>
          <w:i/>
          <w:iCs/>
          <w:kern w:val="0"/>
          <w:lang/>
          <w14:ligatures w14:val="none"/>
        </w:rPr>
        <w:t>Brain Res Bull</w:t>
      </w:r>
      <w:r w:rsidRPr="009B142A">
        <w:rPr>
          <w:rFonts w:asciiTheme="majorBidi" w:eastAsia="Times New Roman" w:hAnsiTheme="majorBidi" w:cstheme="majorBidi"/>
          <w:kern w:val="0"/>
          <w:lang/>
          <w14:ligatures w14:val="none"/>
        </w:rPr>
        <w:t xml:space="preserve">. 2006;69(3):294-305. </w:t>
      </w:r>
    </w:p>
    <w:p w14:paraId="6ED2519A" w14:textId="734EE935"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14:ligatures w14:val="none"/>
        </w:rPr>
        <w:t xml:space="preserve">Deviterne D, Gauchard GC, Jamet M, Vançon G, Perrin PP. Added cognitive load through rotary auditory stimulation can improve the quality of postural control in the elderly. </w:t>
      </w:r>
      <w:r w:rsidRPr="009B142A">
        <w:rPr>
          <w:rFonts w:asciiTheme="majorBidi" w:eastAsia="Times New Roman" w:hAnsiTheme="majorBidi" w:cstheme="majorBidi"/>
          <w:i/>
          <w:iCs/>
          <w:kern w:val="0"/>
          <w:lang/>
          <w14:ligatures w14:val="none"/>
        </w:rPr>
        <w:t>Brain Res Bull</w:t>
      </w:r>
      <w:r w:rsidRPr="009B142A">
        <w:rPr>
          <w:rFonts w:asciiTheme="majorBidi" w:eastAsia="Times New Roman" w:hAnsiTheme="majorBidi" w:cstheme="majorBidi"/>
          <w:kern w:val="0"/>
          <w:lang/>
          <w14:ligatures w14:val="none"/>
        </w:rPr>
        <w:t xml:space="preserve">. 2005;64(6):487-492. </w:t>
      </w:r>
    </w:p>
    <w:p w14:paraId="792E2F81" w14:textId="7F2B6B4C"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14:ligatures w14:val="none"/>
        </w:rPr>
        <w:t xml:space="preserve">Pashler H. Dual-Task Interference in </w:t>
      </w:r>
      <w:r w:rsidR="009B64B5">
        <w:rPr>
          <w:rFonts w:asciiTheme="majorBidi" w:eastAsia="Times New Roman" w:hAnsiTheme="majorBidi" w:cstheme="majorBidi"/>
          <w:kern w:val="0"/>
          <w:lang/>
          <w14:ligatures w14:val="none"/>
        </w:rPr>
        <w:t>s</w:t>
      </w:r>
      <w:r w:rsidRPr="009B142A">
        <w:rPr>
          <w:rFonts w:asciiTheme="majorBidi" w:eastAsia="Times New Roman" w:hAnsiTheme="majorBidi" w:cstheme="majorBidi"/>
          <w:kern w:val="0"/>
          <w:lang/>
          <w14:ligatures w14:val="none"/>
        </w:rPr>
        <w:t xml:space="preserve">imple </w:t>
      </w:r>
      <w:r w:rsidR="009B64B5">
        <w:rPr>
          <w:rFonts w:asciiTheme="majorBidi" w:eastAsia="Times New Roman" w:hAnsiTheme="majorBidi" w:cstheme="majorBidi"/>
          <w:kern w:val="0"/>
          <w:lang/>
          <w14:ligatures w14:val="none"/>
        </w:rPr>
        <w:t>t</w:t>
      </w:r>
      <w:r w:rsidRPr="009B142A">
        <w:rPr>
          <w:rFonts w:asciiTheme="majorBidi" w:eastAsia="Times New Roman" w:hAnsiTheme="majorBidi" w:cstheme="majorBidi"/>
          <w:kern w:val="0"/>
          <w:lang/>
          <w14:ligatures w14:val="none"/>
        </w:rPr>
        <w:t>asks: Data</w:t>
      </w:r>
      <w:r w:rsidR="009B64B5">
        <w:rPr>
          <w:rFonts w:asciiTheme="majorBidi" w:eastAsia="Times New Roman" w:hAnsiTheme="majorBidi" w:cstheme="majorBidi"/>
          <w:kern w:val="0"/>
          <w:lang/>
          <w14:ligatures w14:val="none"/>
        </w:rPr>
        <w:t>&amp;</w:t>
      </w:r>
      <w:r w:rsidRPr="009B142A">
        <w:rPr>
          <w:rFonts w:asciiTheme="majorBidi" w:eastAsia="Times New Roman" w:hAnsiTheme="majorBidi" w:cstheme="majorBidi"/>
          <w:kern w:val="0"/>
          <w:lang/>
          <w14:ligatures w14:val="none"/>
        </w:rPr>
        <w:t xml:space="preserve">Theory. </w:t>
      </w:r>
      <w:r w:rsidRPr="009B142A">
        <w:rPr>
          <w:rFonts w:asciiTheme="majorBidi" w:eastAsia="Times New Roman" w:hAnsiTheme="majorBidi" w:cstheme="majorBidi"/>
          <w:i/>
          <w:iCs/>
          <w:kern w:val="0"/>
          <w:lang/>
          <w14:ligatures w14:val="none"/>
        </w:rPr>
        <w:t>Psychol Bull</w:t>
      </w:r>
      <w:r w:rsidRPr="009B142A">
        <w:rPr>
          <w:rFonts w:asciiTheme="majorBidi" w:eastAsia="Times New Roman" w:hAnsiTheme="majorBidi" w:cstheme="majorBidi"/>
          <w:kern w:val="0"/>
          <w:lang/>
          <w14:ligatures w14:val="none"/>
        </w:rPr>
        <w:t xml:space="preserve">.1994;11(2):220-244. </w:t>
      </w:r>
    </w:p>
    <w:p w14:paraId="308C85F3" w14:textId="39A2BDA5" w:rsidR="003C47A8" w:rsidRPr="009B142A" w:rsidRDefault="003C47A8"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14:ligatures w14:val="none"/>
        </w:rPr>
        <w:t xml:space="preserve">Shumway-Cook a, Woollacott M, Kerns K a, Baldwin M. The effects of two types of cognitive tasks on postural stability in older adults with and without a history of falls. </w:t>
      </w:r>
      <w:r w:rsidRPr="009B142A">
        <w:rPr>
          <w:rFonts w:asciiTheme="majorBidi" w:eastAsia="Times New Roman" w:hAnsiTheme="majorBidi" w:cstheme="majorBidi"/>
          <w:i/>
          <w:iCs/>
          <w:kern w:val="0"/>
          <w:lang/>
          <w14:ligatures w14:val="none"/>
        </w:rPr>
        <w:t>J Gerontol A Biol Sci Med Sci</w:t>
      </w:r>
      <w:r w:rsidRPr="009B142A">
        <w:rPr>
          <w:rFonts w:asciiTheme="majorBidi" w:eastAsia="Times New Roman" w:hAnsiTheme="majorBidi" w:cstheme="majorBidi"/>
          <w:kern w:val="0"/>
          <w:lang/>
          <w14:ligatures w14:val="none"/>
        </w:rPr>
        <w:t>. 1997;52(4):M232-M240.</w:t>
      </w:r>
    </w:p>
    <w:p w14:paraId="7CFBCA8A" w14:textId="65B63F5C" w:rsidR="003C47A8"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Wittenberg E, Thompson J, Nam CS, Franz JR. Neuroimaging of human balance control: A systematic review. </w:t>
      </w:r>
      <w:r w:rsidRPr="009B142A">
        <w:rPr>
          <w:rFonts w:asciiTheme="majorBidi" w:hAnsiTheme="majorBidi" w:cstheme="majorBidi"/>
          <w:i/>
          <w:iCs/>
          <w:kern w:val="0"/>
          <w:lang w:bidi="ar-SA"/>
        </w:rPr>
        <w:t>Front Hum Neurosci</w:t>
      </w:r>
      <w:r w:rsidRPr="009B142A">
        <w:rPr>
          <w:rFonts w:asciiTheme="majorBidi" w:hAnsiTheme="majorBidi" w:cstheme="majorBidi"/>
          <w:kern w:val="0"/>
          <w:lang w:bidi="ar-SA"/>
        </w:rPr>
        <w:t>. 2017;11(April):1-25.</w:t>
      </w:r>
    </w:p>
    <w:p w14:paraId="101299DB" w14:textId="77777777"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kern w:val="0"/>
          <w:lang w:bidi="ar-SA"/>
        </w:rPr>
        <w:t xml:space="preserve">Maki BE, McIlroy WE. Cognitive demands and cortical control of human balance-recovery reactions. </w:t>
      </w:r>
      <w:r w:rsidRPr="009B142A">
        <w:rPr>
          <w:rFonts w:asciiTheme="majorBidi" w:hAnsiTheme="majorBidi" w:cstheme="majorBidi"/>
          <w:i/>
          <w:iCs/>
          <w:kern w:val="0"/>
          <w:lang w:bidi="ar-SA"/>
        </w:rPr>
        <w:t>J Neural Transm</w:t>
      </w:r>
      <w:r w:rsidRPr="009B142A">
        <w:rPr>
          <w:rFonts w:asciiTheme="majorBidi" w:hAnsiTheme="majorBidi" w:cstheme="majorBidi"/>
          <w:kern w:val="0"/>
          <w:lang w:bidi="ar-SA"/>
        </w:rPr>
        <w:t>. 2007;114(10):1279-1296.</w:t>
      </w:r>
    </w:p>
    <w:p w14:paraId="52E3BD65" w14:textId="114FF2D3"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imes New Roman" w:hAnsiTheme="majorBidi" w:cstheme="majorBidi"/>
          <w:kern w:val="0"/>
          <w:lang/>
          <w14:ligatures w14:val="none"/>
        </w:rPr>
        <w:t xml:space="preserve">Kelly VE, Janke AA, Shumway-Cook A. Effects of instructed focus </w:t>
      </w:r>
      <w:r w:rsidR="009B64B5">
        <w:rPr>
          <w:rFonts w:asciiTheme="majorBidi" w:eastAsia="Times New Roman" w:hAnsiTheme="majorBidi" w:cstheme="majorBidi"/>
          <w:kern w:val="0"/>
          <w:lang/>
          <w14:ligatures w14:val="none"/>
        </w:rPr>
        <w:t>&amp;</w:t>
      </w:r>
      <w:r w:rsidRPr="009B142A">
        <w:rPr>
          <w:rFonts w:asciiTheme="majorBidi" w:eastAsia="Times New Roman" w:hAnsiTheme="majorBidi" w:cstheme="majorBidi"/>
          <w:kern w:val="0"/>
          <w:lang/>
          <w14:ligatures w14:val="none"/>
        </w:rPr>
        <w:t xml:space="preserve"> task difficulty on concurrent walking </w:t>
      </w:r>
      <w:r w:rsidR="009B64B5">
        <w:rPr>
          <w:rFonts w:asciiTheme="majorBidi" w:eastAsia="Times New Roman" w:hAnsiTheme="majorBidi" w:cstheme="majorBidi"/>
          <w:kern w:val="0"/>
          <w:lang/>
          <w14:ligatures w14:val="none"/>
        </w:rPr>
        <w:t>&amp;</w:t>
      </w:r>
      <w:r w:rsidRPr="009B142A">
        <w:rPr>
          <w:rFonts w:asciiTheme="majorBidi" w:eastAsia="Times New Roman" w:hAnsiTheme="majorBidi" w:cstheme="majorBidi"/>
          <w:kern w:val="0"/>
          <w:lang/>
          <w14:ligatures w14:val="none"/>
        </w:rPr>
        <w:t xml:space="preserve"> cognitive task performance in young adults. </w:t>
      </w:r>
      <w:r w:rsidRPr="009B142A">
        <w:rPr>
          <w:rFonts w:asciiTheme="majorBidi" w:eastAsia="Times New Roman" w:hAnsiTheme="majorBidi" w:cstheme="majorBidi"/>
          <w:i/>
          <w:iCs/>
          <w:kern w:val="0"/>
          <w:lang/>
          <w14:ligatures w14:val="none"/>
        </w:rPr>
        <w:t>Exp Brain Res</w:t>
      </w:r>
      <w:r w:rsidRPr="009B142A">
        <w:rPr>
          <w:rFonts w:asciiTheme="majorBidi" w:eastAsia="Times New Roman" w:hAnsiTheme="majorBidi" w:cstheme="majorBidi"/>
          <w:kern w:val="0"/>
          <w:lang/>
          <w14:ligatures w14:val="none"/>
        </w:rPr>
        <w:t xml:space="preserve">. 2010;207(1-2):65-73. </w:t>
      </w:r>
    </w:p>
    <w:p w14:paraId="04CC3D32" w14:textId="77777777" w:rsidR="005949AB" w:rsidRPr="009B142A" w:rsidRDefault="005949AB"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Morgan SJ, Hafner BJ, Kelly VE. The effects of a concurrent task on walking in persons with transfemoral amputation compared to persons without limb loss. </w:t>
      </w:r>
      <w:r w:rsidRPr="009B142A">
        <w:rPr>
          <w:rStyle w:val="cf01"/>
          <w:rFonts w:asciiTheme="majorBidi" w:eastAsiaTheme="majorEastAsia" w:hAnsiTheme="majorBidi" w:cstheme="majorBidi"/>
          <w:i/>
          <w:iCs/>
          <w:sz w:val="24"/>
          <w:szCs w:val="24"/>
        </w:rPr>
        <w:t>Prosthet Orthot Int</w:t>
      </w:r>
      <w:r w:rsidRPr="009B142A">
        <w:rPr>
          <w:rStyle w:val="cf01"/>
          <w:rFonts w:asciiTheme="majorBidi" w:eastAsiaTheme="majorEastAsia" w:hAnsiTheme="majorBidi" w:cstheme="majorBidi"/>
          <w:sz w:val="24"/>
          <w:szCs w:val="24"/>
        </w:rPr>
        <w:t xml:space="preserve">. 2016;40(4):490-496. </w:t>
      </w:r>
    </w:p>
    <w:p w14:paraId="391D5B47" w14:textId="01EE2219"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heme="minorEastAsia" w:hAnsiTheme="majorBidi" w:cstheme="majorBidi"/>
          <w:shd w:val="clear" w:color="auto" w:fill="FFFFFF"/>
        </w:rPr>
        <w:t xml:space="preserve">Frengopoulos C, Payne MWC, Holmes JD, Viana R, Hunter SW. Comparing the Effects of Dual-Task Gait Testing in New and Established Ambulators With Lower Extremity Amputations. </w:t>
      </w:r>
      <w:r w:rsidRPr="009B142A">
        <w:rPr>
          <w:rFonts w:asciiTheme="majorBidi" w:eastAsiaTheme="minorEastAsia" w:hAnsiTheme="majorBidi" w:cstheme="majorBidi"/>
          <w:i/>
          <w:iCs/>
          <w:shd w:val="clear" w:color="auto" w:fill="FFFFFF"/>
        </w:rPr>
        <w:t>PM&amp;R</w:t>
      </w:r>
      <w:r w:rsidRPr="009B142A">
        <w:rPr>
          <w:rFonts w:asciiTheme="majorBidi" w:eastAsiaTheme="minorEastAsia" w:hAnsiTheme="majorBidi" w:cstheme="majorBidi"/>
          <w:shd w:val="clear" w:color="auto" w:fill="FFFFFF"/>
        </w:rPr>
        <w:t xml:space="preserve">. 2018;10(10):1012-1019. </w:t>
      </w:r>
    </w:p>
    <w:p w14:paraId="619AECBA" w14:textId="77777777" w:rsidR="005949AB" w:rsidRPr="009B142A" w:rsidRDefault="005949AB"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eastAsiaTheme="majorEastAsia" w:hAnsiTheme="majorBidi" w:cstheme="majorBidi"/>
          <w:sz w:val="24"/>
          <w:szCs w:val="24"/>
        </w:rPr>
        <w:t xml:space="preserve">Hunter SW, Frengopoulos C, Holmes J, Viana R, Payne MW. Dual-task related gait changes in individuals with trans-tibial lower extremity amputation. </w:t>
      </w:r>
      <w:r w:rsidRPr="009B142A">
        <w:rPr>
          <w:rStyle w:val="cf01"/>
          <w:rFonts w:asciiTheme="majorBidi" w:eastAsiaTheme="majorEastAsia" w:hAnsiTheme="majorBidi" w:cstheme="majorBidi"/>
          <w:i/>
          <w:iCs/>
          <w:sz w:val="24"/>
          <w:szCs w:val="24"/>
        </w:rPr>
        <w:t>Gait Posture</w:t>
      </w:r>
      <w:r w:rsidRPr="009B142A">
        <w:rPr>
          <w:rStyle w:val="cf01"/>
          <w:rFonts w:asciiTheme="majorBidi" w:eastAsiaTheme="majorEastAsia" w:hAnsiTheme="majorBidi" w:cstheme="majorBidi"/>
          <w:sz w:val="24"/>
          <w:szCs w:val="24"/>
        </w:rPr>
        <w:t>. 2018;61:403-407.</w:t>
      </w:r>
    </w:p>
    <w:p w14:paraId="51509A77" w14:textId="77777777" w:rsidR="005949AB" w:rsidRPr="009B142A" w:rsidRDefault="005949AB"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eastAsiaTheme="minorEastAsia" w:hAnsiTheme="majorBidi" w:cstheme="majorBidi"/>
          <w:shd w:val="clear" w:color="auto" w:fill="FFFFFF"/>
        </w:rPr>
        <w:t xml:space="preserve">Demirdel S, Erbahçeci F, Yazıcıoğlu G. The effects of cognitive versus motor concurrent task on gait in individuals with transtibial amputation, transfemoral amputation and in a healthy control group. </w:t>
      </w:r>
      <w:r w:rsidRPr="009B142A">
        <w:rPr>
          <w:rFonts w:asciiTheme="majorBidi" w:eastAsiaTheme="minorEastAsia" w:hAnsiTheme="majorBidi" w:cstheme="majorBidi"/>
          <w:i/>
          <w:iCs/>
          <w:shd w:val="clear" w:color="auto" w:fill="FFFFFF"/>
        </w:rPr>
        <w:t>Gait Posture</w:t>
      </w:r>
      <w:r w:rsidRPr="009B142A">
        <w:rPr>
          <w:rFonts w:asciiTheme="majorBidi" w:eastAsiaTheme="minorEastAsia" w:hAnsiTheme="majorBidi" w:cstheme="majorBidi"/>
          <w:shd w:val="clear" w:color="auto" w:fill="FFFFFF"/>
        </w:rPr>
        <w:t xml:space="preserve">. 2022;91:223-228. </w:t>
      </w:r>
    </w:p>
    <w:p w14:paraId="6EE92F40" w14:textId="77777777" w:rsidR="009376ED" w:rsidRPr="009B142A" w:rsidRDefault="009376ED" w:rsidP="008F69DC">
      <w:pPr>
        <w:pStyle w:val="ListParagraph"/>
        <w:numPr>
          <w:ilvl w:val="0"/>
          <w:numId w:val="2"/>
        </w:numPr>
        <w:spacing w:line="360" w:lineRule="auto"/>
        <w:ind w:left="-454" w:right="-57" w:hanging="357"/>
        <w:jc w:val="both"/>
        <w:rPr>
          <w:rStyle w:val="cf01"/>
          <w:rFonts w:asciiTheme="majorBidi" w:hAnsiTheme="majorBidi" w:cstheme="majorBidi"/>
          <w:kern w:val="0"/>
          <w:sz w:val="24"/>
          <w:szCs w:val="24"/>
          <w:lang w:bidi="ar-SA"/>
        </w:rPr>
      </w:pPr>
      <w:r w:rsidRPr="009B142A">
        <w:rPr>
          <w:rStyle w:val="cf01"/>
          <w:rFonts w:asciiTheme="majorBidi" w:hAnsiTheme="majorBidi" w:cstheme="majorBidi"/>
          <w:sz w:val="24"/>
          <w:szCs w:val="24"/>
        </w:rPr>
        <w:t xml:space="preserve">Hakim RM, Frey CM, Spadoni KE, et al. Identifying Fallers Using Clinical Balance Measures in Community-Dwelling Adults with Lower Extremity Amputation: A Cross-Sectional Study. </w:t>
      </w:r>
      <w:r w:rsidRPr="009B142A">
        <w:rPr>
          <w:rStyle w:val="cf01"/>
          <w:rFonts w:asciiTheme="majorBidi" w:hAnsiTheme="majorBidi" w:cstheme="majorBidi"/>
          <w:i/>
          <w:iCs/>
          <w:sz w:val="24"/>
          <w:szCs w:val="24"/>
        </w:rPr>
        <w:t>J Dev Phys Disabil</w:t>
      </w:r>
      <w:r w:rsidRPr="009B142A">
        <w:rPr>
          <w:rStyle w:val="cf01"/>
          <w:rFonts w:asciiTheme="majorBidi" w:hAnsiTheme="majorBidi" w:cstheme="majorBidi"/>
          <w:sz w:val="24"/>
          <w:szCs w:val="24"/>
        </w:rPr>
        <w:t>. 2018;30:677–688.</w:t>
      </w:r>
    </w:p>
    <w:p w14:paraId="13D9EAEF" w14:textId="0322C872" w:rsidR="005949AB" w:rsidRPr="00642FB8" w:rsidRDefault="009376ED" w:rsidP="008F69DC">
      <w:pPr>
        <w:pStyle w:val="ListParagraph"/>
        <w:numPr>
          <w:ilvl w:val="0"/>
          <w:numId w:val="2"/>
        </w:numPr>
        <w:spacing w:line="360" w:lineRule="auto"/>
        <w:ind w:left="-454" w:right="-57" w:hanging="357"/>
        <w:jc w:val="both"/>
        <w:rPr>
          <w:rFonts w:asciiTheme="majorBidi" w:hAnsiTheme="majorBidi" w:cstheme="majorBidi"/>
          <w:kern w:val="0"/>
          <w:lang w:bidi="ar-SA"/>
        </w:rPr>
      </w:pPr>
      <w:r w:rsidRPr="009B142A">
        <w:rPr>
          <w:rFonts w:asciiTheme="majorBidi" w:hAnsiTheme="majorBidi" w:cstheme="majorBidi"/>
        </w:rPr>
        <w:t xml:space="preserve">Nugent K, Payne MW, Viana R, Hunter SW. The reliability of four standardized concern for falling scales among adults with a major lower extremity amputation. </w:t>
      </w:r>
      <w:r w:rsidRPr="009B64B5">
        <w:rPr>
          <w:rFonts w:asciiTheme="majorBidi" w:hAnsiTheme="majorBidi" w:cstheme="majorBidi"/>
          <w:i/>
          <w:iCs/>
        </w:rPr>
        <w:t>PM&amp;R</w:t>
      </w:r>
      <w:r w:rsidRPr="009B142A">
        <w:rPr>
          <w:rFonts w:asciiTheme="majorBidi" w:hAnsiTheme="majorBidi" w:cstheme="majorBidi"/>
        </w:rPr>
        <w:t>. 2023 Apr;15(4):437-44.</w:t>
      </w:r>
    </w:p>
    <w:sectPr w:rsidR="005949AB" w:rsidRPr="00642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C76B1"/>
    <w:multiLevelType w:val="hybridMultilevel"/>
    <w:tmpl w:val="175224D2"/>
    <w:lvl w:ilvl="0" w:tplc="070EE80E">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 w15:restartNumberingAfterBreak="0">
    <w:nsid w:val="53424037"/>
    <w:multiLevelType w:val="hybridMultilevel"/>
    <w:tmpl w:val="CA5E2E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40882955">
    <w:abstractNumId w:val="0"/>
  </w:num>
  <w:num w:numId="2" w16cid:durableId="183980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13"/>
    <w:rsid w:val="00046C41"/>
    <w:rsid w:val="0007349D"/>
    <w:rsid w:val="001E5EF2"/>
    <w:rsid w:val="0023219C"/>
    <w:rsid w:val="002427D3"/>
    <w:rsid w:val="002B47A0"/>
    <w:rsid w:val="002D0557"/>
    <w:rsid w:val="00310EED"/>
    <w:rsid w:val="00353ED6"/>
    <w:rsid w:val="003C47A8"/>
    <w:rsid w:val="00520811"/>
    <w:rsid w:val="005839F5"/>
    <w:rsid w:val="005949AB"/>
    <w:rsid w:val="00642FB8"/>
    <w:rsid w:val="006B3978"/>
    <w:rsid w:val="006B7D6D"/>
    <w:rsid w:val="0079565C"/>
    <w:rsid w:val="0083491F"/>
    <w:rsid w:val="008B07CA"/>
    <w:rsid w:val="008F69DC"/>
    <w:rsid w:val="009050B6"/>
    <w:rsid w:val="00915820"/>
    <w:rsid w:val="009376ED"/>
    <w:rsid w:val="00983383"/>
    <w:rsid w:val="00986E6A"/>
    <w:rsid w:val="009B142A"/>
    <w:rsid w:val="009B64B5"/>
    <w:rsid w:val="00A378CA"/>
    <w:rsid w:val="00A61391"/>
    <w:rsid w:val="00B244DD"/>
    <w:rsid w:val="00B33D15"/>
    <w:rsid w:val="00B61706"/>
    <w:rsid w:val="00B76B04"/>
    <w:rsid w:val="00C0324E"/>
    <w:rsid w:val="00C34751"/>
    <w:rsid w:val="00CE1FFE"/>
    <w:rsid w:val="00D10544"/>
    <w:rsid w:val="00D254FB"/>
    <w:rsid w:val="00D87FA9"/>
    <w:rsid w:val="00DA5592"/>
    <w:rsid w:val="00DB563C"/>
    <w:rsid w:val="00E42689"/>
    <w:rsid w:val="00EA0D64"/>
    <w:rsid w:val="00EB35D2"/>
    <w:rsid w:val="00EC5312"/>
    <w:rsid w:val="00F77D5A"/>
    <w:rsid w:val="00FB2C1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BCEC"/>
  <w15:chartTrackingRefBased/>
  <w15:docId w15:val="{EBD76D09-C536-4BE0-9809-808436D5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2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2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C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C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C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C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C13"/>
    <w:rPr>
      <w:rFonts w:eastAsiaTheme="majorEastAsia" w:cstheme="majorBidi"/>
      <w:color w:val="272727" w:themeColor="text1" w:themeTint="D8"/>
    </w:rPr>
  </w:style>
  <w:style w:type="paragraph" w:styleId="Title">
    <w:name w:val="Title"/>
    <w:basedOn w:val="Normal"/>
    <w:next w:val="Normal"/>
    <w:link w:val="TitleChar"/>
    <w:uiPriority w:val="10"/>
    <w:qFormat/>
    <w:rsid w:val="00FB2C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C13"/>
    <w:pPr>
      <w:spacing w:before="160"/>
      <w:jc w:val="center"/>
    </w:pPr>
    <w:rPr>
      <w:i/>
      <w:iCs/>
      <w:color w:val="404040" w:themeColor="text1" w:themeTint="BF"/>
    </w:rPr>
  </w:style>
  <w:style w:type="character" w:customStyle="1" w:styleId="QuoteChar">
    <w:name w:val="Quote Char"/>
    <w:basedOn w:val="DefaultParagraphFont"/>
    <w:link w:val="Quote"/>
    <w:uiPriority w:val="29"/>
    <w:rsid w:val="00FB2C13"/>
    <w:rPr>
      <w:i/>
      <w:iCs/>
      <w:color w:val="404040" w:themeColor="text1" w:themeTint="BF"/>
    </w:rPr>
  </w:style>
  <w:style w:type="paragraph" w:styleId="ListParagraph">
    <w:name w:val="List Paragraph"/>
    <w:basedOn w:val="Normal"/>
    <w:uiPriority w:val="34"/>
    <w:qFormat/>
    <w:rsid w:val="00FB2C13"/>
    <w:pPr>
      <w:ind w:left="720"/>
      <w:contextualSpacing/>
    </w:pPr>
  </w:style>
  <w:style w:type="character" w:styleId="IntenseEmphasis">
    <w:name w:val="Intense Emphasis"/>
    <w:basedOn w:val="DefaultParagraphFont"/>
    <w:uiPriority w:val="21"/>
    <w:qFormat/>
    <w:rsid w:val="00FB2C13"/>
    <w:rPr>
      <w:i/>
      <w:iCs/>
      <w:color w:val="0F4761" w:themeColor="accent1" w:themeShade="BF"/>
    </w:rPr>
  </w:style>
  <w:style w:type="paragraph" w:styleId="IntenseQuote">
    <w:name w:val="Intense Quote"/>
    <w:basedOn w:val="Normal"/>
    <w:next w:val="Normal"/>
    <w:link w:val="IntenseQuoteChar"/>
    <w:uiPriority w:val="30"/>
    <w:qFormat/>
    <w:rsid w:val="00FB2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C13"/>
    <w:rPr>
      <w:i/>
      <w:iCs/>
      <w:color w:val="0F4761" w:themeColor="accent1" w:themeShade="BF"/>
    </w:rPr>
  </w:style>
  <w:style w:type="character" w:styleId="IntenseReference">
    <w:name w:val="Intense Reference"/>
    <w:basedOn w:val="DefaultParagraphFont"/>
    <w:uiPriority w:val="32"/>
    <w:qFormat/>
    <w:rsid w:val="00FB2C13"/>
    <w:rPr>
      <w:b/>
      <w:bCs/>
      <w:smallCaps/>
      <w:color w:val="0F4761" w:themeColor="accent1" w:themeShade="BF"/>
      <w:spacing w:val="5"/>
    </w:rPr>
  </w:style>
  <w:style w:type="paragraph" w:customStyle="1" w:styleId="pf0">
    <w:name w:val="pf0"/>
    <w:basedOn w:val="Normal"/>
    <w:rsid w:val="00B33D15"/>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customStyle="1" w:styleId="cf01">
    <w:name w:val="cf01"/>
    <w:basedOn w:val="DefaultParagraphFont"/>
    <w:rsid w:val="00F77D5A"/>
    <w:rPr>
      <w:rFonts w:ascii="Segoe UI" w:hAnsi="Segoe UI" w:cs="Segoe UI" w:hint="default"/>
      <w:sz w:val="18"/>
      <w:szCs w:val="18"/>
    </w:rPr>
  </w:style>
  <w:style w:type="paragraph" w:styleId="Bibliography">
    <w:name w:val="Bibliography"/>
    <w:basedOn w:val="Normal"/>
    <w:next w:val="Normal"/>
    <w:uiPriority w:val="37"/>
    <w:semiHidden/>
    <w:unhideWhenUsed/>
    <w:rsid w:val="00915820"/>
  </w:style>
  <w:style w:type="character" w:customStyle="1" w:styleId="cf11">
    <w:name w:val="cf11"/>
    <w:basedOn w:val="DefaultParagraphFont"/>
    <w:rsid w:val="00915820"/>
    <w:rPr>
      <w:rFonts w:ascii="Segoe UI" w:hAnsi="Segoe UI" w:cs="Segoe UI" w:hint="default"/>
      <w:b/>
      <w:bCs/>
      <w:sz w:val="18"/>
      <w:szCs w:val="18"/>
    </w:rPr>
  </w:style>
  <w:style w:type="character" w:customStyle="1" w:styleId="cf21">
    <w:name w:val="cf21"/>
    <w:basedOn w:val="DefaultParagraphFont"/>
    <w:rsid w:val="00915820"/>
    <w:rPr>
      <w:rFonts w:ascii="Segoe UI" w:hAnsi="Segoe UI" w:cs="Segoe UI" w:hint="default"/>
      <w:b/>
      <w:bCs/>
      <w:i/>
      <w:iCs/>
      <w:sz w:val="18"/>
      <w:szCs w:val="18"/>
    </w:rPr>
  </w:style>
  <w:style w:type="character" w:customStyle="1" w:styleId="cf31">
    <w:name w:val="cf31"/>
    <w:basedOn w:val="DefaultParagraphFont"/>
    <w:rsid w:val="00915820"/>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5949AB"/>
    <w:pPr>
      <w:spacing w:before="100" w:beforeAutospacing="1" w:after="100" w:afterAutospacing="1" w:line="240" w:lineRule="auto"/>
    </w:pPr>
    <w:rPr>
      <w:rFonts w:ascii="Times New Roman" w:eastAsia="Times New Roman" w:hAnsi="Times New Roman" w:cs="Times New Roman"/>
      <w:kern w:val="0"/>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37420">
      <w:bodyDiv w:val="1"/>
      <w:marLeft w:val="0"/>
      <w:marRight w:val="0"/>
      <w:marTop w:val="0"/>
      <w:marBottom w:val="0"/>
      <w:divBdr>
        <w:top w:val="none" w:sz="0" w:space="0" w:color="auto"/>
        <w:left w:val="none" w:sz="0" w:space="0" w:color="auto"/>
        <w:bottom w:val="none" w:sz="0" w:space="0" w:color="auto"/>
        <w:right w:val="none" w:sz="0" w:space="0" w:color="auto"/>
      </w:divBdr>
    </w:div>
    <w:div w:id="715668558">
      <w:bodyDiv w:val="1"/>
      <w:marLeft w:val="0"/>
      <w:marRight w:val="0"/>
      <w:marTop w:val="0"/>
      <w:marBottom w:val="0"/>
      <w:divBdr>
        <w:top w:val="none" w:sz="0" w:space="0" w:color="auto"/>
        <w:left w:val="none" w:sz="0" w:space="0" w:color="auto"/>
        <w:bottom w:val="none" w:sz="0" w:space="0" w:color="auto"/>
        <w:right w:val="none" w:sz="0" w:space="0" w:color="auto"/>
      </w:divBdr>
    </w:div>
    <w:div w:id="1077437807">
      <w:bodyDiv w:val="1"/>
      <w:marLeft w:val="0"/>
      <w:marRight w:val="0"/>
      <w:marTop w:val="0"/>
      <w:marBottom w:val="0"/>
      <w:divBdr>
        <w:top w:val="none" w:sz="0" w:space="0" w:color="auto"/>
        <w:left w:val="none" w:sz="0" w:space="0" w:color="auto"/>
        <w:bottom w:val="none" w:sz="0" w:space="0" w:color="auto"/>
        <w:right w:val="none" w:sz="0" w:space="0" w:color="auto"/>
      </w:divBdr>
    </w:div>
    <w:div w:id="1102140193">
      <w:bodyDiv w:val="1"/>
      <w:marLeft w:val="0"/>
      <w:marRight w:val="0"/>
      <w:marTop w:val="0"/>
      <w:marBottom w:val="0"/>
      <w:divBdr>
        <w:top w:val="none" w:sz="0" w:space="0" w:color="auto"/>
        <w:left w:val="none" w:sz="0" w:space="0" w:color="auto"/>
        <w:bottom w:val="none" w:sz="0" w:space="0" w:color="auto"/>
        <w:right w:val="none" w:sz="0" w:space="0" w:color="auto"/>
      </w:divBdr>
    </w:div>
    <w:div w:id="1222864256">
      <w:bodyDiv w:val="1"/>
      <w:marLeft w:val="0"/>
      <w:marRight w:val="0"/>
      <w:marTop w:val="0"/>
      <w:marBottom w:val="0"/>
      <w:divBdr>
        <w:top w:val="none" w:sz="0" w:space="0" w:color="auto"/>
        <w:left w:val="none" w:sz="0" w:space="0" w:color="auto"/>
        <w:bottom w:val="none" w:sz="0" w:space="0" w:color="auto"/>
        <w:right w:val="none" w:sz="0" w:space="0" w:color="auto"/>
      </w:divBdr>
    </w:div>
    <w:div w:id="1641156281">
      <w:bodyDiv w:val="1"/>
      <w:marLeft w:val="0"/>
      <w:marRight w:val="0"/>
      <w:marTop w:val="0"/>
      <w:marBottom w:val="0"/>
      <w:divBdr>
        <w:top w:val="none" w:sz="0" w:space="0" w:color="auto"/>
        <w:left w:val="none" w:sz="0" w:space="0" w:color="auto"/>
        <w:bottom w:val="none" w:sz="0" w:space="0" w:color="auto"/>
        <w:right w:val="none" w:sz="0" w:space="0" w:color="auto"/>
      </w:divBdr>
    </w:div>
    <w:div w:id="1880311285">
      <w:bodyDiv w:val="1"/>
      <w:marLeft w:val="0"/>
      <w:marRight w:val="0"/>
      <w:marTop w:val="0"/>
      <w:marBottom w:val="0"/>
      <w:divBdr>
        <w:top w:val="none" w:sz="0" w:space="0" w:color="auto"/>
        <w:left w:val="none" w:sz="0" w:space="0" w:color="auto"/>
        <w:bottom w:val="none" w:sz="0" w:space="0" w:color="auto"/>
        <w:right w:val="none" w:sz="0" w:space="0" w:color="auto"/>
      </w:divBdr>
    </w:div>
    <w:div w:id="19408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rebolder%20HF%5BAuthor%5D&amp;cauthor=true&amp;cauthor_uid=111207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de%20Witte%20LP%5BAuthor%5D&amp;cauthor=true&amp;cauthor_uid=11120721" TargetMode="External"/><Relationship Id="rId12" Type="http://schemas.openxmlformats.org/officeDocument/2006/relationships/hyperlink" Target="http://www.ncbi.nlm.nih.gov/pubmed?term=Tong%20C%5BAuthor%5D&amp;cauthor=true&amp;cauthor_uid=9271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AL_get(this,%20'jour',%20'MMWR%20Morb%20Mortal%20Wkly%20Rep.');" TargetMode="External"/><Relationship Id="rId11" Type="http://schemas.openxmlformats.org/officeDocument/2006/relationships/hyperlink" Target="http://www.ncbi.nlm.nih.gov/pubmed?term=Mills%20EM%5BAuthor%5D&amp;cauthor=true&amp;cauthor_uid=9271288" TargetMode="External"/><Relationship Id="rId5" Type="http://schemas.openxmlformats.org/officeDocument/2006/relationships/hyperlink" Target="http://www.ncbi.nlm.nih.gov/sites/entrez?Db=pubmed&amp;Cmd=Search&amp;Term=%22Centers%20for%20Disease%20Control%20and%20Prevention%20(CDC)%22%5BCorporate%20Author%5D&amp;itool=EntrezSystem2.PEntrez.Pubmed.Pubmed_ResultsPanel.Pubmed_RVAbstractPlus" TargetMode="External"/><Relationship Id="rId10" Type="http://schemas.openxmlformats.org/officeDocument/2006/relationships/hyperlink" Target="http://www.ncbi.nlm.nih.gov/pubmed?term=Alessio%20HM%5BAuthor%5D&amp;cauthor=true&amp;cauthor_uid=9271288" TargetMode="External"/><Relationship Id="rId4" Type="http://schemas.openxmlformats.org/officeDocument/2006/relationships/webSettings" Target="webSettings.xml"/><Relationship Id="rId9" Type="http://schemas.openxmlformats.org/officeDocument/2006/relationships/hyperlink" Target="http://www.ncbi.nlm.nih.gov/pubmed?term=Berg%20WP%5BAuthor%5D&amp;cauthor=true&amp;cauthor_uid=92712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0828750-5E21-B042-933F-8CFC9B6A71B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BC3EDE8-8047-3148-9B0B-726A86333D92}">
  <we:reference id="wa200000086" version="1.2.1.0" store="en-US" storeType="OMEX"/>
  <we:alternateReferences>
    <we:reference id="wa200000086" version="1.2.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5</Pages>
  <Words>2071</Words>
  <Characters>12243</Characters>
  <Application>Microsoft Office Word</Application>
  <DocSecurity>0</DocSecurity>
  <Lines>177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מלצר</dc:creator>
  <cp:keywords/>
  <dc:description/>
  <cp:lastModifiedBy>Glenn Hicks</cp:lastModifiedBy>
  <cp:revision>2</cp:revision>
  <dcterms:created xsi:type="dcterms:W3CDTF">2024-10-13T00:47:00Z</dcterms:created>
  <dcterms:modified xsi:type="dcterms:W3CDTF">2024-10-13T00:47:00Z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documentId_8815</vt:lpwstr>
  </property>
  <property fmtid="{D5CDD505-2E9C-101B-9397-08002B2CF9AE}" pid="3" name="grammarly_documentContext">
    <vt:lpwstr>{"goals":[],"domain":"academic","emotions":[],"dialect":"american","style":"neutral"}</vt:lpwstr>
  </property>
</Properties>
</file>