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6DB61" w14:textId="0B3E8626" w:rsidR="00AB311F" w:rsidRPr="00105010" w:rsidRDefault="00105010" w:rsidP="00105010">
      <w:pPr>
        <w:spacing w:line="360" w:lineRule="auto"/>
        <w:jc w:val="center"/>
        <w:rPr>
          <w:b/>
          <w:bCs/>
        </w:rPr>
      </w:pPr>
      <w:r w:rsidRPr="00105010">
        <w:rPr>
          <w:b/>
          <w:bCs/>
        </w:rPr>
        <w:t>Position Paper</w:t>
      </w:r>
    </w:p>
    <w:p w14:paraId="78AD13BA" w14:textId="667E4FE9" w:rsidR="00105010" w:rsidRDefault="00105010" w:rsidP="00105010">
      <w:pPr>
        <w:spacing w:line="360" w:lineRule="auto"/>
        <w:jc w:val="center"/>
        <w:rPr>
          <w:b/>
          <w:bCs/>
        </w:rPr>
      </w:pPr>
      <w:r w:rsidRPr="00105010">
        <w:rPr>
          <w:b/>
          <w:bCs/>
        </w:rPr>
        <w:t>Teaching Family Perspective in Understanding Aliya and Immigration</w:t>
      </w:r>
      <w:r w:rsidR="00A17507" w:rsidRPr="00A17507">
        <w:rPr>
          <w:b/>
          <w:bCs/>
        </w:rPr>
        <w:t xml:space="preserve"> </w:t>
      </w:r>
      <w:r w:rsidR="00A17507" w:rsidRPr="00105010">
        <w:rPr>
          <w:b/>
          <w:bCs/>
        </w:rPr>
        <w:t>Processes</w:t>
      </w:r>
    </w:p>
    <w:p w14:paraId="0602E4C1" w14:textId="5F7F8736" w:rsidR="00105010" w:rsidRDefault="00105010" w:rsidP="00105010">
      <w:pPr>
        <w:spacing w:line="360" w:lineRule="auto"/>
        <w:jc w:val="center"/>
        <w:rPr>
          <w:b/>
          <w:bCs/>
        </w:rPr>
      </w:pPr>
      <w:r>
        <w:rPr>
          <w:b/>
          <w:bCs/>
        </w:rPr>
        <w:t>Lina Lifshitz Rozin</w:t>
      </w:r>
    </w:p>
    <w:p w14:paraId="3A73024D" w14:textId="50BA0C73" w:rsidR="00105010" w:rsidRDefault="00105010" w:rsidP="00105010">
      <w:pPr>
        <w:spacing w:line="360" w:lineRule="auto"/>
        <w:jc w:val="center"/>
        <w:rPr>
          <w:b/>
          <w:bCs/>
        </w:rPr>
      </w:pPr>
      <w:r>
        <w:rPr>
          <w:b/>
          <w:bCs/>
        </w:rPr>
        <w:t>University of Ben Gurion in the Negev</w:t>
      </w:r>
    </w:p>
    <w:p w14:paraId="3CFF59FD" w14:textId="2B2C1108" w:rsidR="00105010" w:rsidRDefault="00105010" w:rsidP="00105010">
      <w:pPr>
        <w:spacing w:line="360" w:lineRule="auto"/>
        <w:rPr>
          <w:b/>
          <w:bCs/>
        </w:rPr>
      </w:pPr>
    </w:p>
    <w:p w14:paraId="54963CBE" w14:textId="22A520E3" w:rsidR="00105010" w:rsidRDefault="00105010" w:rsidP="00105010">
      <w:pPr>
        <w:spacing w:line="360" w:lineRule="auto"/>
        <w:rPr>
          <w:b/>
          <w:bCs/>
        </w:rPr>
      </w:pPr>
    </w:p>
    <w:p w14:paraId="33EB7277" w14:textId="2B1C1DF0" w:rsidR="00105010" w:rsidRDefault="00105010" w:rsidP="00105010">
      <w:pPr>
        <w:spacing w:line="360" w:lineRule="auto"/>
        <w:rPr>
          <w:b/>
          <w:bCs/>
        </w:rPr>
      </w:pPr>
      <w:r>
        <w:rPr>
          <w:b/>
          <w:bCs/>
        </w:rPr>
        <w:t>The Immigration Process from a Family Perspective</w:t>
      </w:r>
    </w:p>
    <w:p w14:paraId="70B53FA6" w14:textId="2915CBB2" w:rsidR="0092208E" w:rsidRDefault="0092208E" w:rsidP="00105010">
      <w:pPr>
        <w:spacing w:line="360" w:lineRule="auto"/>
      </w:pPr>
      <w:r>
        <w:t xml:space="preserve">Immigration in Israel </w:t>
      </w:r>
      <w:r w:rsidR="000A7EB6">
        <w:t>is one o</w:t>
      </w:r>
      <w:r w:rsidR="009B49EB">
        <w:t xml:space="preserve">f </w:t>
      </w:r>
      <w:r w:rsidR="000A7EB6">
        <w:t xml:space="preserve">the major processes in the history of the state since its establishment and until today. The </w:t>
      </w:r>
      <w:r w:rsidR="00A17507">
        <w:t>S</w:t>
      </w:r>
      <w:r w:rsidR="000A7EB6">
        <w:t>tate of Israel continues to absorb Olim and immigrants from around the world and cope with the acclimation of new populations to a state with cultural characteristic</w:t>
      </w:r>
      <w:r w:rsidR="00A17507">
        <w:t>s</w:t>
      </w:r>
      <w:r w:rsidR="000A7EB6">
        <w:t>, institutional structuring, and norms different from their origin country.</w:t>
      </w:r>
    </w:p>
    <w:p w14:paraId="1FFC828D" w14:textId="35292CAC" w:rsidR="009B49EB" w:rsidRDefault="009B49EB" w:rsidP="00105010">
      <w:pPr>
        <w:spacing w:line="360" w:lineRule="auto"/>
      </w:pPr>
    </w:p>
    <w:p w14:paraId="07A386F9" w14:textId="3DE83805" w:rsidR="009B49EB" w:rsidRDefault="009B49EB" w:rsidP="00105010">
      <w:pPr>
        <w:spacing w:line="360" w:lineRule="auto"/>
      </w:pPr>
      <w:r>
        <w:t xml:space="preserve">The immigration process is characterized by a significant change in extant relationships </w:t>
      </w:r>
      <w:r w:rsidR="00CD590D">
        <w:t xml:space="preserve">between family members and between families and their new environment. Every individual in the family is influenced </w:t>
      </w:r>
      <w:r w:rsidR="00A17507">
        <w:t xml:space="preserve">by </w:t>
      </w:r>
      <w:r w:rsidR="00CD590D">
        <w:t xml:space="preserve">and influences </w:t>
      </w:r>
      <w:r w:rsidR="007479FD">
        <w:t xml:space="preserve">the </w:t>
      </w:r>
      <w:r w:rsidR="007479FD">
        <w:t xml:space="preserve">other </w:t>
      </w:r>
      <w:r w:rsidR="007479FD">
        <w:t>family members</w:t>
      </w:r>
      <w:r w:rsidR="00CD590D">
        <w:t xml:space="preserve"> in a reciprocal relationship. All of these dictate changes in the family’s boundaries, organization, hierarchy, and sub-systems</w:t>
      </w:r>
      <w:r w:rsidR="004C112B">
        <w:t xml:space="preserve"> (Minuchin, Nichols, &amp; Wai; Young, L. 2007)</w:t>
      </w:r>
      <w:r w:rsidR="00CD590D">
        <w:t xml:space="preserve">. </w:t>
      </w:r>
    </w:p>
    <w:p w14:paraId="04D45ED2" w14:textId="62464A0C" w:rsidR="004C112B" w:rsidRDefault="004C112B" w:rsidP="00105010">
      <w:pPr>
        <w:spacing w:line="360" w:lineRule="auto"/>
      </w:pPr>
    </w:p>
    <w:p w14:paraId="3D938B32" w14:textId="48A5E002" w:rsidR="004C112B" w:rsidRDefault="004C112B" w:rsidP="00105010">
      <w:pPr>
        <w:spacing w:line="360" w:lineRule="auto"/>
      </w:pPr>
      <w:r>
        <w:t xml:space="preserve">The changes occurring within an immigrant family, </w:t>
      </w:r>
      <w:r w:rsidR="007479FD">
        <w:t xml:space="preserve">manifested in its </w:t>
      </w:r>
      <w:r>
        <w:t xml:space="preserve">being disconnected from its familiar and supportive cultural environment </w:t>
      </w:r>
      <w:r w:rsidR="007479FD">
        <w:t xml:space="preserve">and emerged in </w:t>
      </w:r>
      <w:r>
        <w:t xml:space="preserve">one whose values are different and </w:t>
      </w:r>
      <w:r w:rsidR="007479FD">
        <w:t>often</w:t>
      </w:r>
      <w:r>
        <w:t xml:space="preserve"> foreign, may cause the parents to lose confidence in their parental </w:t>
      </w:r>
      <w:r w:rsidR="00343F4D">
        <w:t>functioning. In such situations, children and adolescents often assume responsibility</w:t>
      </w:r>
      <w:r>
        <w:t xml:space="preserve"> </w:t>
      </w:r>
      <w:r w:rsidR="00A03C78">
        <w:t>for the family and their parents (Walsh, S. et al., 2006); Slonim-Nevo, V. et al., 1999, Weisskirch, R. S., 2010).</w:t>
      </w:r>
    </w:p>
    <w:p w14:paraId="0D62432C" w14:textId="0DB7B545" w:rsidR="00A03C78" w:rsidRDefault="00A03C78" w:rsidP="00105010">
      <w:pPr>
        <w:spacing w:line="360" w:lineRule="auto"/>
      </w:pPr>
    </w:p>
    <w:p w14:paraId="5BB1DA14" w14:textId="1CD10CC4" w:rsidR="00A03C78" w:rsidRDefault="00A03C78" w:rsidP="00105010">
      <w:pPr>
        <w:spacing w:line="360" w:lineRule="auto"/>
      </w:pPr>
      <w:r>
        <w:t>Thus, while working with immigrants</w:t>
      </w:r>
      <w:r w:rsidR="007479FD">
        <w:t>,</w:t>
      </w:r>
      <w:r>
        <w:t xml:space="preserve"> it </w:t>
      </w:r>
      <w:r w:rsidR="007479FD">
        <w:t xml:space="preserve">is </w:t>
      </w:r>
      <w:r>
        <w:t xml:space="preserve">advisable to plan a family intervention </w:t>
      </w:r>
      <w:r w:rsidR="00307379">
        <w:t>according to the systems approach</w:t>
      </w:r>
      <w:r>
        <w:t xml:space="preserve">, and not focus </w:t>
      </w:r>
      <w:r w:rsidR="00307379">
        <w:t xml:space="preserve">solely </w:t>
      </w:r>
      <w:r>
        <w:t>on individual treatment</w:t>
      </w:r>
      <w:r w:rsidR="00307379">
        <w:t>,</w:t>
      </w:r>
      <w:r>
        <w:t xml:space="preserve"> because the individuals in the family, especially the children, are dependent on one another and highly impacted by the familial </w:t>
      </w:r>
      <w:r w:rsidR="00BC0CD0">
        <w:t>relationship</w:t>
      </w:r>
      <w:r w:rsidR="00307379">
        <w:t>s</w:t>
      </w:r>
      <w:r w:rsidR="00BC0CD0">
        <w:t xml:space="preserve"> formed during and after the Aliya (Slonim-Nevo, Sheraga, Mirsky, 1999).</w:t>
      </w:r>
    </w:p>
    <w:p w14:paraId="3B83BA82" w14:textId="4796E844" w:rsidR="00BC0CD0" w:rsidRDefault="00BC0CD0" w:rsidP="00105010">
      <w:pPr>
        <w:spacing w:line="360" w:lineRule="auto"/>
      </w:pPr>
    </w:p>
    <w:p w14:paraId="2A127A95" w14:textId="150503D5" w:rsidR="00B50E43" w:rsidRDefault="00BC0CD0" w:rsidP="00105010">
      <w:pPr>
        <w:spacing w:line="360" w:lineRule="auto"/>
      </w:pPr>
      <w:r>
        <w:t xml:space="preserve">In the following </w:t>
      </w:r>
      <w:r w:rsidR="00307379">
        <w:t>sections,</w:t>
      </w:r>
      <w:r>
        <w:t xml:space="preserve"> I will present in detail</w:t>
      </w:r>
      <w:r w:rsidR="009F50D8">
        <w:t xml:space="preserve"> changes that take place </w:t>
      </w:r>
      <w:r w:rsidR="00307379">
        <w:t>with</w:t>
      </w:r>
      <w:r w:rsidR="009F50D8">
        <w:t>in and between the family’s different sub-systems</w:t>
      </w:r>
      <w:r w:rsidR="00B50E43">
        <w:t xml:space="preserve">: children, parents, grandparents; and will define processes that </w:t>
      </w:r>
      <w:r w:rsidR="00B50E43">
        <w:lastRenderedPageBreak/>
        <w:t>take place in the encounter between agents of treatment and immigrant families. The last section will be dedicated to important issues in teaching about family’s in immigration.</w:t>
      </w:r>
    </w:p>
    <w:p w14:paraId="7C70ACDC" w14:textId="09A473C1" w:rsidR="00B50E43" w:rsidRDefault="00B50E43" w:rsidP="00105010">
      <w:pPr>
        <w:spacing w:line="360" w:lineRule="auto"/>
      </w:pPr>
    </w:p>
    <w:p w14:paraId="04F96219" w14:textId="184621C0" w:rsidR="00B50E43" w:rsidRPr="00B50E43" w:rsidRDefault="00B50E43" w:rsidP="00105010">
      <w:pPr>
        <w:spacing w:line="360" w:lineRule="auto"/>
        <w:rPr>
          <w:b/>
          <w:bCs/>
        </w:rPr>
      </w:pPr>
      <w:r w:rsidRPr="00B50E43">
        <w:rPr>
          <w:b/>
          <w:bCs/>
        </w:rPr>
        <w:t>Changes in Children and Adolescent in the Immigration Process</w:t>
      </w:r>
    </w:p>
    <w:p w14:paraId="035946C8" w14:textId="09A6FB6D" w:rsidR="00BC0CD0" w:rsidRDefault="001D7946" w:rsidP="00105010">
      <w:pPr>
        <w:spacing w:line="360" w:lineRule="auto"/>
      </w:pPr>
      <w:r w:rsidRPr="001D7946">
        <w:t>One of the</w:t>
      </w:r>
      <w:r>
        <w:rPr>
          <w:b/>
          <w:bCs/>
        </w:rPr>
        <w:t xml:space="preserve"> </w:t>
      </w:r>
      <w:r w:rsidRPr="001D7946">
        <w:t>developments</w:t>
      </w:r>
      <w:r w:rsidR="009F50D8">
        <w:t xml:space="preserve"> </w:t>
      </w:r>
      <w:r w:rsidR="00E16820">
        <w:t xml:space="preserve">that occur in Olim and immigrant families are changes in the family hierarchy </w:t>
      </w:r>
      <w:r w:rsidR="009F50D8">
        <w:t>when role reversal occurs and children and adolescents assume responsibility for the family and their parents.</w:t>
      </w:r>
    </w:p>
    <w:p w14:paraId="1133A891" w14:textId="05D66BE4" w:rsidR="009F50D8" w:rsidRDefault="009F50D8" w:rsidP="00105010">
      <w:pPr>
        <w:spacing w:line="360" w:lineRule="auto"/>
      </w:pPr>
    </w:p>
    <w:p w14:paraId="0DF5B990" w14:textId="10B9EF09" w:rsidR="009F50D8" w:rsidRDefault="009F50D8" w:rsidP="00105010">
      <w:pPr>
        <w:spacing w:line="360" w:lineRule="auto"/>
      </w:pPr>
      <w:r>
        <w:t xml:space="preserve">Among the reasons for </w:t>
      </w:r>
      <w:r w:rsidR="00E16820">
        <w:t>sy</w:t>
      </w:r>
      <w:r w:rsidR="005D7596">
        <w:t>s</w:t>
      </w:r>
      <w:r w:rsidR="00E16820">
        <w:t>tematic</w:t>
      </w:r>
      <w:r>
        <w:t xml:space="preserve"> and hierarchal </w:t>
      </w:r>
      <w:r w:rsidR="00C55D0D">
        <w:t xml:space="preserve">changes in </w:t>
      </w:r>
      <w:r w:rsidR="005D7596">
        <w:t>the</w:t>
      </w:r>
      <w:r w:rsidR="00C55D0D">
        <w:t xml:space="preserve"> family is the faster </w:t>
      </w:r>
      <w:r w:rsidR="005D7596">
        <w:t>acclimation</w:t>
      </w:r>
      <w:r w:rsidR="00C55D0D">
        <w:t xml:space="preserve"> of children due to a larger number of connections with the absorbing population. In contrast, the parents </w:t>
      </w:r>
      <w:r w:rsidR="000371FE">
        <w:t xml:space="preserve">are less involved in active contact with the absorbing society and therefore have fewer </w:t>
      </w:r>
      <w:r w:rsidR="005D7596">
        <w:t xml:space="preserve">spontaneous </w:t>
      </w:r>
      <w:r w:rsidR="000371FE">
        <w:t>opportunities to learn a new language and culture (Cheung, Chudek, &amp; Heine, 2011; Titzmann, 2012; Telzer, 2011).</w:t>
      </w:r>
    </w:p>
    <w:p w14:paraId="5907F984" w14:textId="21FC2927" w:rsidR="00C00BAA" w:rsidRDefault="00C00BAA" w:rsidP="00105010">
      <w:pPr>
        <w:spacing w:line="360" w:lineRule="auto"/>
      </w:pPr>
    </w:p>
    <w:p w14:paraId="61C37BBB" w14:textId="0CE24699" w:rsidR="00C00BAA" w:rsidRDefault="00C00BAA" w:rsidP="00105010">
      <w:pPr>
        <w:spacing w:line="360" w:lineRule="auto"/>
      </w:pPr>
      <w:r>
        <w:t xml:space="preserve">Another reason is the loss of </w:t>
      </w:r>
      <w:r w:rsidR="0073686F">
        <w:t xml:space="preserve">the family’s </w:t>
      </w:r>
      <w:r>
        <w:t xml:space="preserve">resources and </w:t>
      </w:r>
      <w:r w:rsidR="0073686F">
        <w:t>support systems combined with acclimation difficulties. In this situation, children often become mediators or translators for their parents when needed (Tricket &amp; Jones, 2016; Yakhnich, 2005; Kuperminc, et al., 2013)</w:t>
      </w:r>
      <w:r w:rsidR="00C06177">
        <w:t xml:space="preserve">, </w:t>
      </w:r>
      <w:r w:rsidR="0073686F">
        <w:t>as well a</w:t>
      </w:r>
      <w:r w:rsidR="00C06177">
        <w:t>s</w:t>
      </w:r>
      <w:r w:rsidR="0073686F">
        <w:t xml:space="preserve"> being the best source of information for their parents (Orellana, M. F., 2009). The gap between the values of the absorbing society and those of the immigrant family and their</w:t>
      </w:r>
      <w:r w:rsidR="00605C23">
        <w:t xml:space="preserve"> origin culture, may create </w:t>
      </w:r>
      <w:r w:rsidR="007D20A6">
        <w:t>among</w:t>
      </w:r>
      <w:r w:rsidR="00605C23">
        <w:t xml:space="preserve"> adolescent dual loyalties and in turn lead to conflict between parents and children.</w:t>
      </w:r>
    </w:p>
    <w:p w14:paraId="0A755E62" w14:textId="53B27DC3" w:rsidR="00605C23" w:rsidRDefault="00605C23" w:rsidP="00105010">
      <w:pPr>
        <w:spacing w:line="360" w:lineRule="auto"/>
      </w:pPr>
    </w:p>
    <w:p w14:paraId="018F8978" w14:textId="4813F03B" w:rsidR="00605C23" w:rsidRDefault="00605C23" w:rsidP="00105010">
      <w:pPr>
        <w:spacing w:line="360" w:lineRule="auto"/>
      </w:pPr>
      <w:r>
        <w:t xml:space="preserve">For many adolescents and children, the immigration process is an event that may cause stress, </w:t>
      </w:r>
      <w:r w:rsidR="00E20C83">
        <w:t xml:space="preserve">thereby putting </w:t>
      </w:r>
      <w:r w:rsidR="00C06177">
        <w:t xml:space="preserve">them </w:t>
      </w:r>
      <w:r>
        <w:t xml:space="preserve">at risk for developing </w:t>
      </w:r>
      <w:r w:rsidR="0001466D">
        <w:t>many manifestations of distress, such as high levels of depression, anxiety, and somatic complaints (Ponizovsky; Tartakovsky &amp; Mirsky, 2007; Kurman &amp; Roer-Strier, 2012; Yakhnick, 2008).</w:t>
      </w:r>
    </w:p>
    <w:p w14:paraId="6FC1F6D5" w14:textId="7F274C93" w:rsidR="0001466D" w:rsidRDefault="0001466D" w:rsidP="00105010">
      <w:pPr>
        <w:spacing w:line="360" w:lineRule="auto"/>
      </w:pPr>
    </w:p>
    <w:p w14:paraId="21B1A5B4" w14:textId="28822A00" w:rsidR="0001466D" w:rsidRDefault="0001466D" w:rsidP="00105010">
      <w:pPr>
        <w:spacing w:line="360" w:lineRule="auto"/>
      </w:pPr>
      <w:r>
        <w:t xml:space="preserve">At the same time, </w:t>
      </w:r>
      <w:r w:rsidR="007D20A6">
        <w:t>among</w:t>
      </w:r>
      <w:r>
        <w:t xml:space="preserve"> p</w:t>
      </w:r>
      <w:r w:rsidR="00405176">
        <w:t xml:space="preserve">ossible positive outcomes of the role reversal phenomenon in immigration </w:t>
      </w:r>
      <w:r w:rsidR="00E20C83">
        <w:t>is</w:t>
      </w:r>
      <w:r w:rsidR="00405176">
        <w:t xml:space="preserve"> family cohesion (Dorner, Orellana, &amp; Jimenez, 2008; Ponizovsky et al., 2012).</w:t>
      </w:r>
    </w:p>
    <w:p w14:paraId="672748EF" w14:textId="6925D80E" w:rsidR="00405176" w:rsidRDefault="00405176" w:rsidP="00105010">
      <w:pPr>
        <w:spacing w:line="360" w:lineRule="auto"/>
      </w:pPr>
    </w:p>
    <w:p w14:paraId="6BDE8C1E" w14:textId="30349C63" w:rsidR="00405176" w:rsidRDefault="00405176" w:rsidP="00105010">
      <w:pPr>
        <w:spacing w:line="360" w:lineRule="auto"/>
      </w:pPr>
      <w:r>
        <w:lastRenderedPageBreak/>
        <w:t xml:space="preserve">Therefore, it is recommended to relate to difficulties experienced by children </w:t>
      </w:r>
      <w:r w:rsidR="00E20C83">
        <w:t xml:space="preserve">within </w:t>
      </w:r>
      <w:r>
        <w:t xml:space="preserve">the broader family </w:t>
      </w:r>
      <w:r w:rsidR="00E20C83">
        <w:t xml:space="preserve">context </w:t>
      </w:r>
      <w:r>
        <w:t xml:space="preserve">and </w:t>
      </w:r>
      <w:r w:rsidR="00B753AC">
        <w:t>employ appropriate family intervention that will treat the child as part of a familial system in interaction with a new cultural environment.</w:t>
      </w:r>
    </w:p>
    <w:p w14:paraId="227DD73F" w14:textId="50B75DC8" w:rsidR="00B753AC" w:rsidRDefault="00B753AC" w:rsidP="00105010">
      <w:pPr>
        <w:spacing w:line="360" w:lineRule="auto"/>
      </w:pPr>
    </w:p>
    <w:p w14:paraId="2595AFF4" w14:textId="64DF73E6" w:rsidR="00B753AC" w:rsidRDefault="00B753AC" w:rsidP="00105010">
      <w:pPr>
        <w:spacing w:line="360" w:lineRule="auto"/>
        <w:rPr>
          <w:b/>
          <w:bCs/>
        </w:rPr>
      </w:pPr>
      <w:r w:rsidRPr="00B753AC">
        <w:rPr>
          <w:b/>
          <w:bCs/>
        </w:rPr>
        <w:t>Parental Perspective in the Immigration Process</w:t>
      </w:r>
    </w:p>
    <w:p w14:paraId="40A716B6" w14:textId="3FF3D79B" w:rsidR="00B753AC" w:rsidRDefault="00B753AC" w:rsidP="00105010">
      <w:pPr>
        <w:spacing w:line="360" w:lineRule="auto"/>
      </w:pPr>
      <w:r>
        <w:t>Situations of cultural trans</w:t>
      </w:r>
      <w:r w:rsidR="001A2DD6">
        <w:t xml:space="preserve">ition may constitute a test for the stability and continuity of parental roles and place upon family members an emotional burden that </w:t>
      </w:r>
      <w:r w:rsidR="00E20C83">
        <w:t>generates</w:t>
      </w:r>
      <w:r w:rsidR="001A2DD6">
        <w:t xml:space="preserve"> </w:t>
      </w:r>
      <w:r w:rsidR="00E20C83">
        <w:t>burnout</w:t>
      </w:r>
      <w:r>
        <w:t xml:space="preserve"> </w:t>
      </w:r>
      <w:r w:rsidR="001A2DD6">
        <w:t xml:space="preserve">and stress. Immigration challenges the </w:t>
      </w:r>
      <w:r w:rsidR="0030543F">
        <w:t>immigra</w:t>
      </w:r>
      <w:r w:rsidR="00E20C83">
        <w:t xml:space="preserve">nt </w:t>
      </w:r>
      <w:r w:rsidR="001A2DD6">
        <w:t xml:space="preserve">parents’ existing perceptions of parenthood </w:t>
      </w:r>
      <w:r w:rsidR="0030543F">
        <w:t>and forces them to conduct ongoing cultural negotiation.</w:t>
      </w:r>
    </w:p>
    <w:p w14:paraId="5EC69BDD" w14:textId="04565C2F" w:rsidR="0030543F" w:rsidRDefault="0030543F" w:rsidP="00105010">
      <w:pPr>
        <w:spacing w:line="360" w:lineRule="auto"/>
      </w:pPr>
    </w:p>
    <w:p w14:paraId="00762C68" w14:textId="46918E4A" w:rsidR="00FC28FC" w:rsidRDefault="0030543F" w:rsidP="00105010">
      <w:pPr>
        <w:spacing w:line="360" w:lineRule="auto"/>
      </w:pPr>
      <w:r>
        <w:t>Every cultur</w:t>
      </w:r>
      <w:r w:rsidR="00154AEA">
        <w:t>e</w:t>
      </w:r>
      <w:r>
        <w:t xml:space="preserve"> has its own definition of “ideal </w:t>
      </w:r>
      <w:r w:rsidR="00154AEA">
        <w:t>child</w:t>
      </w:r>
      <w:r>
        <w:t>care</w:t>
      </w:r>
      <w:r w:rsidR="00154AEA">
        <w:t>,</w:t>
      </w:r>
      <w:r>
        <w:t>”</w:t>
      </w:r>
      <w:r w:rsidR="00154AEA">
        <w:t xml:space="preserve"> which</w:t>
      </w:r>
      <w:r>
        <w:t xml:space="preserve"> stems from the systems of expectations and objectives that the society puts in place (Roer-Strier &amp;Rozental, 2001). In this context, the image of “the adaptive adult” is a metaphor that organizes within it the ideologies and approaches to child rearing</w:t>
      </w:r>
      <w:r w:rsidR="00FC28FC">
        <w:t xml:space="preserve"> with which the parents identify</w:t>
      </w:r>
      <w:r w:rsidR="00154AEA">
        <w:t>,</w:t>
      </w:r>
      <w:r w:rsidR="00FC28FC">
        <w:t xml:space="preserve"> and influences their parenting style in a way that may or may not be conscious (Roer-Strier, 2001).</w:t>
      </w:r>
    </w:p>
    <w:p w14:paraId="1438E085" w14:textId="77777777" w:rsidR="00FC28FC" w:rsidRDefault="00FC28FC" w:rsidP="00105010">
      <w:pPr>
        <w:spacing w:line="360" w:lineRule="auto"/>
      </w:pPr>
    </w:p>
    <w:p w14:paraId="5A442C5D" w14:textId="2A87D83E" w:rsidR="005107F4" w:rsidRDefault="00FC28FC" w:rsidP="00105010">
      <w:pPr>
        <w:spacing w:line="360" w:lineRule="auto"/>
      </w:pPr>
      <w:r>
        <w:t>In the process of cultural transition, the immigrant parents will employ different strategies of acclimation to the new environment, which move along a continuum</w:t>
      </w:r>
      <w:r w:rsidR="00C62580">
        <w:t xml:space="preserve"> between complete isolation and complete self-deprecation (Roer-Strier, 1996). The choice of strategy is contingent upon factors such as: </w:t>
      </w:r>
      <w:r w:rsidR="00154AEA">
        <w:t>the extent to which</w:t>
      </w:r>
      <w:r w:rsidR="00C62580">
        <w:t xml:space="preserve"> the parents </w:t>
      </w:r>
      <w:r w:rsidR="00154AEA">
        <w:t>value both</w:t>
      </w:r>
      <w:r w:rsidR="00C62580">
        <w:t xml:space="preserve"> </w:t>
      </w:r>
      <w:r w:rsidR="005107F4">
        <w:t xml:space="preserve">the origin </w:t>
      </w:r>
      <w:r w:rsidR="00154AEA">
        <w:t xml:space="preserve">and absorbing </w:t>
      </w:r>
      <w:r w:rsidR="005107F4">
        <w:t>culture</w:t>
      </w:r>
      <w:r w:rsidR="007D38DA">
        <w:t>s,</w:t>
      </w:r>
      <w:r w:rsidR="005107F4">
        <w:t xml:space="preserve"> the reason that led the family to immigrate, </w:t>
      </w:r>
      <w:r w:rsidR="007D38DA">
        <w:t>cultural gaps</w:t>
      </w:r>
      <w:r w:rsidR="005107F4">
        <w:t>, social and economic changes, and the experience of the first engagement with the education system and professional support agents (e.g. social workers, physicians, community workers, etc.) in the new culture (Roer-Strier, 2001).</w:t>
      </w:r>
    </w:p>
    <w:p w14:paraId="7A3908EF" w14:textId="77777777" w:rsidR="005107F4" w:rsidRDefault="005107F4" w:rsidP="00105010">
      <w:pPr>
        <w:spacing w:line="360" w:lineRule="auto"/>
      </w:pPr>
    </w:p>
    <w:p w14:paraId="5594EBEE" w14:textId="77777777" w:rsidR="00981A0C" w:rsidRDefault="00981A0C" w:rsidP="00105010">
      <w:pPr>
        <w:spacing w:line="360" w:lineRule="auto"/>
      </w:pPr>
      <w:r>
        <w:t>Another challenge facing immigrant parents is within their couple relationship, when the balance between them may be destabilized as a result of the pressures of the acclimation process (Remennik, 2005; Roer-Strier et al., 2010).</w:t>
      </w:r>
    </w:p>
    <w:p w14:paraId="2800CF8B" w14:textId="77777777" w:rsidR="00981A0C" w:rsidRDefault="00981A0C" w:rsidP="00105010">
      <w:pPr>
        <w:spacing w:line="360" w:lineRule="auto"/>
      </w:pPr>
    </w:p>
    <w:p w14:paraId="001B23F6" w14:textId="44342968" w:rsidR="0030543F" w:rsidRDefault="00981A0C" w:rsidP="00105010">
      <w:pPr>
        <w:spacing w:line="360" w:lineRule="auto"/>
      </w:pPr>
      <w:r>
        <w:t xml:space="preserve">In light of this, it is recommended to </w:t>
      </w:r>
      <w:r w:rsidR="000F69E9">
        <w:t xml:space="preserve">study </w:t>
      </w:r>
      <w:r w:rsidR="007D38DA">
        <w:t>a</w:t>
      </w:r>
      <w:r w:rsidR="000F69E9">
        <w:t xml:space="preserve"> parenting model </w:t>
      </w:r>
      <w:r w:rsidR="007D38DA">
        <w:t>from</w:t>
      </w:r>
      <w:r w:rsidR="000F69E9">
        <w:t xml:space="preserve"> the origin country in order to become familiar with the family’s present social and cultural context.</w:t>
      </w:r>
      <w:r w:rsidR="005107F4">
        <w:t xml:space="preserve"> </w:t>
      </w:r>
    </w:p>
    <w:p w14:paraId="4935FE0E" w14:textId="376047C3" w:rsidR="000F69E9" w:rsidRDefault="000F69E9" w:rsidP="00105010">
      <w:pPr>
        <w:spacing w:line="360" w:lineRule="auto"/>
      </w:pPr>
    </w:p>
    <w:p w14:paraId="03ADD42B" w14:textId="3EB11E4F" w:rsidR="000F69E9" w:rsidRDefault="000F69E9" w:rsidP="00105010">
      <w:pPr>
        <w:spacing w:line="360" w:lineRule="auto"/>
      </w:pPr>
    </w:p>
    <w:p w14:paraId="2BE48861" w14:textId="7950B63E" w:rsidR="000F69E9" w:rsidRDefault="000F69E9" w:rsidP="00105010">
      <w:pPr>
        <w:spacing w:line="360" w:lineRule="auto"/>
      </w:pPr>
    </w:p>
    <w:p w14:paraId="286C73E4" w14:textId="4D7D6DAC" w:rsidR="000F69E9" w:rsidRDefault="000F69E9" w:rsidP="00105010">
      <w:pPr>
        <w:spacing w:line="360" w:lineRule="auto"/>
        <w:rPr>
          <w:b/>
          <w:bCs/>
        </w:rPr>
      </w:pPr>
      <w:r w:rsidRPr="000F69E9">
        <w:rPr>
          <w:b/>
          <w:bCs/>
        </w:rPr>
        <w:t>Intergenerational Relations Within the Immigrant Family</w:t>
      </w:r>
    </w:p>
    <w:p w14:paraId="3BA47C61" w14:textId="66EC3E02" w:rsidR="000F69E9" w:rsidRDefault="00973C99" w:rsidP="00105010">
      <w:pPr>
        <w:spacing w:line="360" w:lineRule="auto"/>
      </w:pPr>
      <w:r>
        <w:t xml:space="preserve">As part of the dramatic changes in the family system during the immigration process we </w:t>
      </w:r>
      <w:r w:rsidR="007D38DA">
        <w:t xml:space="preserve">also </w:t>
      </w:r>
      <w:r>
        <w:t>witness changes in intergenerational relationships. Often, Olim families decide to live in a three-generation</w:t>
      </w:r>
      <w:r w:rsidR="007D38DA">
        <w:t>al</w:t>
      </w:r>
      <w:r>
        <w:t xml:space="preserve"> structure in Israel, even though they did not live together in the origin country.</w:t>
      </w:r>
    </w:p>
    <w:p w14:paraId="6978D56C" w14:textId="5BA0716A" w:rsidR="00973C99" w:rsidRDefault="00973C99" w:rsidP="00105010">
      <w:pPr>
        <w:spacing w:line="360" w:lineRule="auto"/>
      </w:pPr>
    </w:p>
    <w:p w14:paraId="352BDFE7" w14:textId="102C87DB" w:rsidR="00973C99" w:rsidRDefault="00973C99" w:rsidP="00105010">
      <w:pPr>
        <w:spacing w:line="360" w:lineRule="auto"/>
      </w:pPr>
      <w:r>
        <w:t xml:space="preserve">Grandparenting, which is considered a significant life experience, entails </w:t>
      </w:r>
      <w:r w:rsidR="007D20A6">
        <w:t>among</w:t>
      </w:r>
      <w:r w:rsidR="002148CE">
        <w:t xml:space="preserve"> middle-aged immigrants painful emotions due to the cultural gaps between them and their grandchildren, especially when the relationship style is “involved grand parenting,” which includes frequent engagement between grandparents and grandchildren and significant involvement in the everyday raising of the grandchildren.</w:t>
      </w:r>
    </w:p>
    <w:p w14:paraId="0F8E9E00" w14:textId="6D50295C" w:rsidR="00DE1D98" w:rsidRDefault="00DE1D98" w:rsidP="00105010">
      <w:pPr>
        <w:spacing w:line="360" w:lineRule="auto"/>
      </w:pPr>
    </w:p>
    <w:p w14:paraId="374F9393" w14:textId="011C2680" w:rsidR="00DE1D98" w:rsidRDefault="00DE1D98" w:rsidP="00105010">
      <w:pPr>
        <w:spacing w:line="360" w:lineRule="auto"/>
      </w:pPr>
      <w:r>
        <w:t xml:space="preserve">The contribution of </w:t>
      </w:r>
      <w:r w:rsidR="007D20A6">
        <w:t>grandparents</w:t>
      </w:r>
      <w:r>
        <w:t xml:space="preserve"> in caring for grandchildren</w:t>
      </w:r>
      <w:r w:rsidR="008F01E2">
        <w:t xml:space="preserve"> is considerable</w:t>
      </w:r>
      <w:r>
        <w:t xml:space="preserve"> alongside the loneliness they experience as a result of the growing culture gaps (Akhar &amp; Choi, 2004).</w:t>
      </w:r>
    </w:p>
    <w:p w14:paraId="369E1235" w14:textId="692D50E5" w:rsidR="00DE1D98" w:rsidRDefault="00DE1D98" w:rsidP="00105010">
      <w:pPr>
        <w:spacing w:line="360" w:lineRule="auto"/>
      </w:pPr>
    </w:p>
    <w:p w14:paraId="0A8552A3" w14:textId="692CE7CF" w:rsidR="00DE1D98" w:rsidRDefault="00DE1D98" w:rsidP="00105010">
      <w:pPr>
        <w:spacing w:line="360" w:lineRule="auto"/>
      </w:pPr>
      <w:r>
        <w:t xml:space="preserve">Cultural characteristics and difficulties as a result </w:t>
      </w:r>
      <w:r w:rsidR="00C23DD8">
        <w:t>o</w:t>
      </w:r>
      <w:r>
        <w:t>f the immigration have a substantial effect on the way aging pa</w:t>
      </w:r>
      <w:r w:rsidR="00C23DD8">
        <w:t>r</w:t>
      </w:r>
      <w:r>
        <w:t xml:space="preserve">ents are treated. Therefore, it is recommended to </w:t>
      </w:r>
      <w:r w:rsidR="00C23DD8">
        <w:t>take into account the</w:t>
      </w:r>
      <w:r w:rsidR="00C3238F">
        <w:t xml:space="preserve"> understanding of intergenerational relations in the cultural context and </w:t>
      </w:r>
      <w:r w:rsidR="00C23DD8">
        <w:t xml:space="preserve">in </w:t>
      </w:r>
      <w:r w:rsidR="00C3238F">
        <w:t>the context of immigration.</w:t>
      </w:r>
    </w:p>
    <w:p w14:paraId="31305CDB" w14:textId="2766FA1A" w:rsidR="00C3238F" w:rsidRDefault="00C3238F" w:rsidP="00105010">
      <w:pPr>
        <w:spacing w:line="360" w:lineRule="auto"/>
      </w:pPr>
    </w:p>
    <w:p w14:paraId="3495884B" w14:textId="0F9B01FD" w:rsidR="00C3238F" w:rsidRDefault="00C3238F" w:rsidP="00105010">
      <w:pPr>
        <w:spacing w:line="360" w:lineRule="auto"/>
        <w:rPr>
          <w:b/>
          <w:bCs/>
        </w:rPr>
      </w:pPr>
      <w:r w:rsidRPr="00C3238F">
        <w:rPr>
          <w:b/>
          <w:bCs/>
        </w:rPr>
        <w:t>Cultural Competence and Processes of Counter</w:t>
      </w:r>
      <w:r w:rsidR="00A00326">
        <w:rPr>
          <w:b/>
          <w:bCs/>
        </w:rPr>
        <w:t>t</w:t>
      </w:r>
      <w:r w:rsidRPr="00C3238F">
        <w:rPr>
          <w:b/>
          <w:bCs/>
        </w:rPr>
        <w:t>ransference in Working with Immigrant Families</w:t>
      </w:r>
    </w:p>
    <w:p w14:paraId="67E40D29" w14:textId="5A9CC5F1" w:rsidR="00EA5C8F" w:rsidRDefault="00C23DD8" w:rsidP="00105010">
      <w:pPr>
        <w:spacing w:line="360" w:lineRule="auto"/>
      </w:pPr>
      <w:r>
        <w:t>Therapeutic</w:t>
      </w:r>
      <w:r w:rsidR="00EA5C8F">
        <w:t xml:space="preserve"> work with immigrants is based on the assumption that there are gaps between therapist and </w:t>
      </w:r>
      <w:commentRangeStart w:id="0"/>
      <w:r w:rsidR="008007D4">
        <w:t>patient</w:t>
      </w:r>
      <w:commentRangeEnd w:id="0"/>
      <w:r>
        <w:rPr>
          <w:rStyle w:val="CommentReference"/>
        </w:rPr>
        <w:commentReference w:id="0"/>
      </w:r>
      <w:r w:rsidR="008007D4">
        <w:t xml:space="preserve">, and that the therapist must develop “cultural competence” skills – to be aware of these gaps, to address them, and to know how to bridge </w:t>
      </w:r>
      <w:r w:rsidR="00F9604E">
        <w:t xml:space="preserve">between </w:t>
      </w:r>
      <w:r w:rsidR="008007D4">
        <w:t>them in a non-judgmental manner (NASW, 2001).</w:t>
      </w:r>
    </w:p>
    <w:p w14:paraId="6684CB74" w14:textId="0F7E027A" w:rsidR="008007D4" w:rsidRDefault="008007D4" w:rsidP="00105010">
      <w:pPr>
        <w:spacing w:line="360" w:lineRule="auto"/>
      </w:pPr>
    </w:p>
    <w:p w14:paraId="7031B3EC" w14:textId="771EF9ED" w:rsidR="008007D4" w:rsidRDefault="008007D4" w:rsidP="00105010">
      <w:pPr>
        <w:spacing w:line="360" w:lineRule="auto"/>
      </w:pPr>
      <w:r>
        <w:lastRenderedPageBreak/>
        <w:t>Acquiring knowledge of the</w:t>
      </w:r>
      <w:r w:rsidR="00F9604E">
        <w:t xml:space="preserve"> “</w:t>
      </w:r>
      <w:r>
        <w:t>other” is a necessary condition for working with them. This type of knowledge will usually include the history of the group from which their family originate</w:t>
      </w:r>
      <w:r w:rsidR="00F9604E">
        <w:t>s</w:t>
      </w:r>
      <w:r>
        <w:t xml:space="preserve"> and about the family itself – social and familial </w:t>
      </w:r>
      <w:r w:rsidR="00901386">
        <w:t>perceptions, worldview, norms, values, communication styles, and behavioral characteristics (Nadan, Y, Weinber-Kurnik, G., &amp; Ben-Ari, A. 2015).</w:t>
      </w:r>
    </w:p>
    <w:p w14:paraId="50AAFB5E" w14:textId="4A7A164C" w:rsidR="00901386" w:rsidRDefault="00901386" w:rsidP="00105010">
      <w:pPr>
        <w:spacing w:line="360" w:lineRule="auto"/>
      </w:pPr>
    </w:p>
    <w:p w14:paraId="6356AF76" w14:textId="217B093A" w:rsidR="00901386" w:rsidRDefault="00901386" w:rsidP="00105010">
      <w:pPr>
        <w:spacing w:line="360" w:lineRule="auto"/>
      </w:pPr>
      <w:r>
        <w:t xml:space="preserve">Knowledge about typical and common problems in the society from which patients come and </w:t>
      </w:r>
      <w:r w:rsidR="00F9604E">
        <w:t xml:space="preserve">their </w:t>
      </w:r>
      <w:r>
        <w:t>attitudes toward receiving professional help and patterns for seeking help may contribute to creating a therapeutic context (Al-krenawi, A. &amp; Graham, J. R., 2011).</w:t>
      </w:r>
    </w:p>
    <w:p w14:paraId="123DC08B" w14:textId="77777777" w:rsidR="00901386" w:rsidRDefault="00901386" w:rsidP="00105010">
      <w:pPr>
        <w:spacing w:line="360" w:lineRule="auto"/>
      </w:pPr>
    </w:p>
    <w:p w14:paraId="6901E7B7" w14:textId="659F0E02" w:rsidR="00887B76" w:rsidRDefault="00901386" w:rsidP="00105010">
      <w:pPr>
        <w:spacing w:line="360" w:lineRule="auto"/>
      </w:pPr>
      <w:r>
        <w:t xml:space="preserve">The relationship that develops between </w:t>
      </w:r>
      <w:r w:rsidR="00F9604E">
        <w:t>a s</w:t>
      </w:r>
      <w:r>
        <w:t xml:space="preserve">ocial worker and their clients </w:t>
      </w:r>
      <w:r w:rsidR="00AA3E7D">
        <w:t>engender reactions</w:t>
      </w:r>
      <w:r w:rsidR="00F9604E">
        <w:t>,</w:t>
      </w:r>
      <w:r w:rsidR="00AA3E7D">
        <w:t xml:space="preserve"> on part of the professional</w:t>
      </w:r>
      <w:r w:rsidR="00F9604E">
        <w:t>, which are</w:t>
      </w:r>
      <w:r w:rsidR="00AA3E7D">
        <w:t xml:space="preserve"> related to their perceptions as an individual, especially their cultural perceptions. </w:t>
      </w:r>
      <w:r w:rsidR="005773F2">
        <w:t>These perceptions</w:t>
      </w:r>
      <w:r w:rsidR="00AA3E7D">
        <w:t xml:space="preserve"> may unconsciously constitute blind spots </w:t>
      </w:r>
      <w:r w:rsidR="005773F2">
        <w:t>f</w:t>
      </w:r>
      <w:r w:rsidR="00AA3E7D">
        <w:t>or the therapist</w:t>
      </w:r>
      <w:r w:rsidR="005773F2">
        <w:t xml:space="preserve">, which in turn </w:t>
      </w:r>
      <w:r w:rsidR="00AA3E7D">
        <w:t xml:space="preserve">may influence, and even undermine, the therapeutic process (Holmes, 1999). </w:t>
      </w:r>
      <w:r w:rsidR="00887B76">
        <w:t xml:space="preserve">This is part of the cultural countertransference </w:t>
      </w:r>
      <w:r w:rsidR="005773F2">
        <w:t xml:space="preserve">process </w:t>
      </w:r>
      <w:r w:rsidR="00887B76">
        <w:t>in therapy where experience and cognitive and emotional beliefs that exist on different levels of the therapist’s consciousness intersect (Mirsky, 2011; Yedidia, 2005).</w:t>
      </w:r>
    </w:p>
    <w:p w14:paraId="29AE7FDB" w14:textId="77777777" w:rsidR="00887B76" w:rsidRDefault="00887B76" w:rsidP="00105010">
      <w:pPr>
        <w:spacing w:line="360" w:lineRule="auto"/>
      </w:pPr>
    </w:p>
    <w:p w14:paraId="6FEF284B" w14:textId="7AC5DC51" w:rsidR="00454A0A" w:rsidRDefault="00887B76" w:rsidP="00105010">
      <w:pPr>
        <w:spacing w:line="360" w:lineRule="auto"/>
      </w:pPr>
      <w:r>
        <w:t>The therapist must develop a high level of reflectiveness and self-awareness not only toward their own origin, cultural values, beliefs, and prejudices, but also to</w:t>
      </w:r>
      <w:r w:rsidR="005773F2">
        <w:t>ward</w:t>
      </w:r>
      <w:r>
        <w:t xml:space="preserve"> </w:t>
      </w:r>
      <w:r w:rsidR="00454A0A">
        <w:t xml:space="preserve">a parallel internal dialogue of the “personal” and the “professional” that touches upon their many loyalties—to the state, </w:t>
      </w:r>
      <w:commentRangeStart w:id="1"/>
      <w:r w:rsidR="00454A0A">
        <w:t xml:space="preserve">the </w:t>
      </w:r>
      <w:commentRangeEnd w:id="1"/>
      <w:r w:rsidR="005773F2">
        <w:rPr>
          <w:rStyle w:val="CommentReference"/>
        </w:rPr>
        <w:commentReference w:id="1"/>
      </w:r>
      <w:r w:rsidR="00454A0A">
        <w:t>ethnic group, the dominant society, and the professional role (Baum &amp; Nuttman-Shwartz, 2008; 2011).</w:t>
      </w:r>
    </w:p>
    <w:p w14:paraId="6732F25F" w14:textId="2889060C" w:rsidR="00454A0A" w:rsidRDefault="00454A0A" w:rsidP="00105010">
      <w:pPr>
        <w:spacing w:line="360" w:lineRule="auto"/>
      </w:pPr>
    </w:p>
    <w:p w14:paraId="2BB9C48A" w14:textId="4A2CBEE6" w:rsidR="00454A0A" w:rsidRDefault="00454A0A" w:rsidP="00105010">
      <w:pPr>
        <w:spacing w:line="360" w:lineRule="auto"/>
      </w:pPr>
      <w:r>
        <w:t xml:space="preserve">The ability to </w:t>
      </w:r>
      <w:r w:rsidR="00D11B26">
        <w:t>recognize</w:t>
      </w:r>
      <w:r>
        <w:t xml:space="preserve"> these difference</w:t>
      </w:r>
      <w:r w:rsidR="00D11B26">
        <w:t>s</w:t>
      </w:r>
      <w:r>
        <w:t xml:space="preserve"> provides the therapist with the ability to contain the same cultural gaps and provide help/aid without </w:t>
      </w:r>
      <w:r w:rsidR="00FE3778">
        <w:t>judgment (Nadan, Y., Weinber-Kurnik, G,. &amp; Ben-Ari, A, 2015).</w:t>
      </w:r>
    </w:p>
    <w:p w14:paraId="185B5407" w14:textId="31A44EB4" w:rsidR="00FE3778" w:rsidRDefault="00FE3778" w:rsidP="00105010">
      <w:pPr>
        <w:spacing w:line="360" w:lineRule="auto"/>
      </w:pPr>
    </w:p>
    <w:p w14:paraId="076C1E5E" w14:textId="59D5C0DB" w:rsidR="00D11B26" w:rsidRDefault="00D11B26" w:rsidP="00105010">
      <w:pPr>
        <w:spacing w:line="360" w:lineRule="auto"/>
      </w:pPr>
    </w:p>
    <w:p w14:paraId="7854810C" w14:textId="5CE7B45A" w:rsidR="00D11B26" w:rsidRDefault="00D11B26" w:rsidP="00105010">
      <w:pPr>
        <w:spacing w:line="360" w:lineRule="auto"/>
      </w:pPr>
    </w:p>
    <w:p w14:paraId="3FFEB870" w14:textId="77777777" w:rsidR="00D11B26" w:rsidRDefault="00D11B26" w:rsidP="00105010">
      <w:pPr>
        <w:spacing w:line="360" w:lineRule="auto"/>
      </w:pPr>
    </w:p>
    <w:p w14:paraId="353383BC" w14:textId="44735914" w:rsidR="00FE3778" w:rsidRDefault="00FE3778" w:rsidP="00105010">
      <w:pPr>
        <w:spacing w:line="360" w:lineRule="auto"/>
        <w:rPr>
          <w:b/>
          <w:bCs/>
        </w:rPr>
      </w:pPr>
      <w:r w:rsidRPr="00FE3778">
        <w:rPr>
          <w:b/>
          <w:bCs/>
        </w:rPr>
        <w:lastRenderedPageBreak/>
        <w:t>Important Issues for Teaching about Families in Immigration</w:t>
      </w:r>
    </w:p>
    <w:p w14:paraId="71BF464C" w14:textId="13A213C1" w:rsidR="00FE3778" w:rsidRDefault="00D11B26" w:rsidP="00105010">
      <w:pPr>
        <w:spacing w:line="360" w:lineRule="auto"/>
      </w:pPr>
      <w:r>
        <w:t>While all</w:t>
      </w:r>
      <w:r w:rsidR="00FE3778">
        <w:t xml:space="preserve"> of the following topics can be learned from the professional literature</w:t>
      </w:r>
      <w:r>
        <w:t xml:space="preserve">, a more significant learning outcome can be achieved </w:t>
      </w:r>
      <w:r w:rsidR="00D2316B">
        <w:t xml:space="preserve">through </w:t>
      </w:r>
      <w:r w:rsidR="00FE3778">
        <w:t xml:space="preserve">interviews with Olim and immigrants who come from families with different structures </w:t>
      </w:r>
      <w:r w:rsidR="00D2316B">
        <w:t xml:space="preserve">and by viewing </w:t>
      </w:r>
      <w:r w:rsidR="00FE3778">
        <w:t xml:space="preserve">documentary and feature films </w:t>
      </w:r>
      <w:r w:rsidR="00D2316B">
        <w:t>that</w:t>
      </w:r>
      <w:r w:rsidR="00FE3778">
        <w:t xml:space="preserve"> </w:t>
      </w:r>
      <w:r w:rsidR="00184D56">
        <w:t xml:space="preserve">provide demonstrations of processes of change and arouse discussion in the classroom. Likewise, examples from the students’ </w:t>
      </w:r>
      <w:commentRangeStart w:id="2"/>
      <w:r w:rsidR="00184D56">
        <w:t xml:space="preserve">practical </w:t>
      </w:r>
      <w:commentRangeEnd w:id="2"/>
      <w:r w:rsidR="00D2316B">
        <w:rPr>
          <w:rStyle w:val="CommentReference"/>
        </w:rPr>
        <w:commentReference w:id="2"/>
      </w:r>
      <w:r w:rsidR="00184D56">
        <w:t>work can deepen the discussion.</w:t>
      </w:r>
    </w:p>
    <w:p w14:paraId="10A0B63F" w14:textId="007C4271" w:rsidR="00184D56" w:rsidRDefault="00184D56" w:rsidP="00105010">
      <w:pPr>
        <w:spacing w:line="360" w:lineRule="auto"/>
      </w:pPr>
    </w:p>
    <w:p w14:paraId="3A0D9B54" w14:textId="4DB1B33C" w:rsidR="00184D56" w:rsidRDefault="00184D56" w:rsidP="00184D56">
      <w:pPr>
        <w:pStyle w:val="ListParagraph"/>
        <w:numPr>
          <w:ilvl w:val="0"/>
          <w:numId w:val="1"/>
        </w:numPr>
        <w:spacing w:line="360" w:lineRule="auto"/>
      </w:pPr>
      <w:r w:rsidRPr="00D2316B">
        <w:rPr>
          <w:b/>
          <w:bCs/>
        </w:rPr>
        <w:t>Processes of change in the family in the immigration process</w:t>
      </w:r>
      <w:r>
        <w:t xml:space="preserve">: Changes in the overall family </w:t>
      </w:r>
      <w:r w:rsidR="00D2316B">
        <w:t>system,</w:t>
      </w:r>
      <w:r>
        <w:t xml:space="preserve"> in role allocation and relationships between the different sub-systems, such as children, couple, parents</w:t>
      </w:r>
      <w:r w:rsidR="00D2316B">
        <w:t>; c</w:t>
      </w:r>
      <w:r>
        <w:t>hanges in intergenerational relationships</w:t>
      </w:r>
      <w:r w:rsidR="00365CA2">
        <w:t>; changes that occur between family and society on the meso, eco, and micro levels and their impact on the family’s functioning in general, and on the individuals, in particular.</w:t>
      </w:r>
    </w:p>
    <w:p w14:paraId="4E6E7418" w14:textId="087AB4FF" w:rsidR="00365CA2" w:rsidRDefault="00365CA2" w:rsidP="00184D56">
      <w:pPr>
        <w:pStyle w:val="ListParagraph"/>
        <w:numPr>
          <w:ilvl w:val="0"/>
          <w:numId w:val="1"/>
        </w:numPr>
        <w:spacing w:line="360" w:lineRule="auto"/>
      </w:pPr>
      <w:r w:rsidRPr="00CE3068">
        <w:rPr>
          <w:b/>
          <w:bCs/>
        </w:rPr>
        <w:t xml:space="preserve">Immigration crisis </w:t>
      </w:r>
      <w:r w:rsidR="007D20A6">
        <w:rPr>
          <w:b/>
          <w:bCs/>
        </w:rPr>
        <w:t>among</w:t>
      </w:r>
      <w:r w:rsidRPr="00CE3068">
        <w:rPr>
          <w:b/>
          <w:bCs/>
        </w:rPr>
        <w:t xml:space="preserve"> children and adolescents</w:t>
      </w:r>
      <w:r>
        <w:t xml:space="preserve">: Role reversal and how it impacts acclimation; identity crisis and construction of a </w:t>
      </w:r>
      <w:r w:rsidR="00CE3068">
        <w:t>composite</w:t>
      </w:r>
      <w:r>
        <w:t xml:space="preserve"> identity; unique difficulties in the education system; identification of at</w:t>
      </w:r>
      <w:r w:rsidR="00BA4652">
        <w:t>-</w:t>
      </w:r>
      <w:r>
        <w:t xml:space="preserve">risk situations and </w:t>
      </w:r>
      <w:r w:rsidR="00BA4652">
        <w:t>groups.</w:t>
      </w:r>
    </w:p>
    <w:p w14:paraId="4B7DCDDF" w14:textId="1633341A" w:rsidR="00BA4652" w:rsidRDefault="00BA4652" w:rsidP="00184D56">
      <w:pPr>
        <w:pStyle w:val="ListParagraph"/>
        <w:numPr>
          <w:ilvl w:val="0"/>
          <w:numId w:val="1"/>
        </w:numPr>
        <w:spacing w:line="360" w:lineRule="auto"/>
      </w:pPr>
      <w:r w:rsidRPr="004008F2">
        <w:rPr>
          <w:b/>
          <w:bCs/>
        </w:rPr>
        <w:t>Factors shaping parental functioning</w:t>
      </w:r>
      <w:r>
        <w:t xml:space="preserve">: Perceived image of adaptive adult, gaps in parental </w:t>
      </w:r>
      <w:r w:rsidR="00DE1333">
        <w:t>perceptions between the origin country and Israel, paren</w:t>
      </w:r>
      <w:r w:rsidR="00CE3068">
        <w:t>ts’</w:t>
      </w:r>
      <w:r w:rsidR="00DE1333">
        <w:t xml:space="preserve"> acclimation styles to the new cultur</w:t>
      </w:r>
      <w:r w:rsidR="00CE3068">
        <w:t>e</w:t>
      </w:r>
      <w:r w:rsidR="00DE1333">
        <w:t xml:space="preserve">, </w:t>
      </w:r>
      <w:r w:rsidR="00CE3068">
        <w:t>each parent</w:t>
      </w:r>
      <w:r w:rsidR="00CE3068">
        <w:t>’s</w:t>
      </w:r>
      <w:r w:rsidR="00CE3068">
        <w:t xml:space="preserve"> </w:t>
      </w:r>
      <w:r w:rsidR="00DE1333">
        <w:t>personal coping of with the pressures of immigration, such as acquiring a new language, employment integration; changes in the coupl</w:t>
      </w:r>
      <w:r w:rsidR="00CB392F">
        <w:t xml:space="preserve">e relationship; evaluation </w:t>
      </w:r>
      <w:r w:rsidR="00CE3068">
        <w:t>of</w:t>
      </w:r>
      <w:r w:rsidR="00CB392F">
        <w:t xml:space="preserve"> support systems.</w:t>
      </w:r>
    </w:p>
    <w:p w14:paraId="0EF0C5CF" w14:textId="34EF8834" w:rsidR="00CB392F" w:rsidRDefault="00CB392F" w:rsidP="00184D56">
      <w:pPr>
        <w:pStyle w:val="ListParagraph"/>
        <w:numPr>
          <w:ilvl w:val="0"/>
          <w:numId w:val="1"/>
        </w:numPr>
        <w:spacing w:line="360" w:lineRule="auto"/>
      </w:pPr>
      <w:r w:rsidRPr="004008F2">
        <w:rPr>
          <w:b/>
          <w:bCs/>
        </w:rPr>
        <w:t>Intergenerational relations in the immigration process</w:t>
      </w:r>
      <w:r>
        <w:t xml:space="preserve">: Intergenerational residential patterns in the origin country and in Israel, reasons for choosing the current residence; the role of grandparents in raising grandchildren in both the cultural </w:t>
      </w:r>
      <w:r w:rsidR="004008F2">
        <w:t xml:space="preserve">and immigration </w:t>
      </w:r>
      <w:r>
        <w:t>context</w:t>
      </w:r>
      <w:r w:rsidR="004008F2">
        <w:t>s</w:t>
      </w:r>
      <w:r>
        <w:t xml:space="preserve">; unique difficulties in caring for </w:t>
      </w:r>
      <w:r w:rsidR="004008F2">
        <w:t>senior</w:t>
      </w:r>
      <w:r>
        <w:t xml:space="preserve"> Olim parents.</w:t>
      </w:r>
    </w:p>
    <w:p w14:paraId="1A803207" w14:textId="4BDC7E32" w:rsidR="009E4776" w:rsidRDefault="00CB392F" w:rsidP="00184D56">
      <w:pPr>
        <w:pStyle w:val="ListParagraph"/>
        <w:numPr>
          <w:ilvl w:val="0"/>
          <w:numId w:val="1"/>
        </w:numPr>
        <w:spacing w:line="360" w:lineRule="auto"/>
      </w:pPr>
      <w:r w:rsidRPr="004008F2">
        <w:rPr>
          <w:b/>
          <w:bCs/>
        </w:rPr>
        <w:t>Cultural competenc</w:t>
      </w:r>
      <w:r w:rsidR="004008F2">
        <w:rPr>
          <w:b/>
          <w:bCs/>
        </w:rPr>
        <w:t>e</w:t>
      </w:r>
      <w:r w:rsidRPr="004008F2">
        <w:rPr>
          <w:b/>
          <w:bCs/>
        </w:rPr>
        <w:t xml:space="preserve"> </w:t>
      </w:r>
      <w:r w:rsidR="009E4776" w:rsidRPr="004008F2">
        <w:rPr>
          <w:b/>
          <w:bCs/>
        </w:rPr>
        <w:t>in working with families in immigration</w:t>
      </w:r>
      <w:r w:rsidR="009E4776">
        <w:t xml:space="preserve">: Familiarity with </w:t>
      </w:r>
      <w:r w:rsidR="004008F2">
        <w:t>the student</w:t>
      </w:r>
      <w:r w:rsidR="00790662">
        <w:t>’</w:t>
      </w:r>
      <w:r w:rsidR="004008F2">
        <w:t xml:space="preserve">s </w:t>
      </w:r>
      <w:r w:rsidR="009E4776">
        <w:t xml:space="preserve">self-perceptions regarding family, </w:t>
      </w:r>
      <w:r w:rsidR="00790662">
        <w:t xml:space="preserve">and perceptions of </w:t>
      </w:r>
      <w:r w:rsidR="009E4776">
        <w:t>parental functioning and family functioning</w:t>
      </w:r>
      <w:r w:rsidR="00790662">
        <w:t xml:space="preserve"> norms</w:t>
      </w:r>
      <w:r w:rsidR="009E4776">
        <w:t>; familiarity with the origin culture of immigrant families; increasing awareness to processes of deferment and cultural countertransference.</w:t>
      </w:r>
    </w:p>
    <w:p w14:paraId="33793123" w14:textId="77777777" w:rsidR="009E4776" w:rsidRDefault="009E4776" w:rsidP="009E4776">
      <w:pPr>
        <w:spacing w:line="360" w:lineRule="auto"/>
      </w:pPr>
    </w:p>
    <w:p w14:paraId="0F54CFE5" w14:textId="77777777" w:rsidR="009E4776" w:rsidRDefault="009E4776" w:rsidP="009E4776">
      <w:pPr>
        <w:spacing w:line="360" w:lineRule="auto"/>
      </w:pPr>
    </w:p>
    <w:p w14:paraId="4AC5D7DF" w14:textId="64E22F03" w:rsidR="00CB392F" w:rsidRPr="00FE3778" w:rsidRDefault="00CB392F" w:rsidP="009E4776">
      <w:pPr>
        <w:spacing w:line="360" w:lineRule="auto"/>
      </w:pPr>
    </w:p>
    <w:p w14:paraId="2C3BC052" w14:textId="07AE2D9D" w:rsidR="00105010" w:rsidRDefault="00901386" w:rsidP="00790662">
      <w:pPr>
        <w:spacing w:line="360" w:lineRule="auto"/>
        <w:rPr>
          <w:b/>
          <w:bCs/>
        </w:rPr>
      </w:pPr>
      <w:r>
        <w:lastRenderedPageBreak/>
        <w:t xml:space="preserve"> </w:t>
      </w:r>
      <w:r w:rsidR="00A00326">
        <w:rPr>
          <w:b/>
          <w:bCs/>
        </w:rPr>
        <w:t>Bibliography</w:t>
      </w:r>
    </w:p>
    <w:p w14:paraId="46FBF11D" w14:textId="4A5DBE66" w:rsidR="00A00326" w:rsidRDefault="00A00326" w:rsidP="00105010">
      <w:pPr>
        <w:spacing w:line="360" w:lineRule="auto"/>
        <w:rPr>
          <w:b/>
          <w:bCs/>
        </w:rPr>
      </w:pPr>
    </w:p>
    <w:p w14:paraId="7EC64EAB" w14:textId="77777777" w:rsidR="00A00326" w:rsidRPr="00A00326" w:rsidRDefault="00A00326" w:rsidP="00A00326">
      <w:pPr>
        <w:shd w:val="clear" w:color="auto" w:fill="FFFFFF"/>
        <w:bidi/>
        <w:spacing w:after="160" w:line="360" w:lineRule="auto"/>
        <w:jc w:val="right"/>
        <w:rPr>
          <w:rFonts w:asciiTheme="majorBidi" w:hAnsiTheme="majorBidi"/>
        </w:rPr>
      </w:pPr>
      <w:r w:rsidRPr="00A00326">
        <w:rPr>
          <w:rFonts w:asciiTheme="majorBidi" w:hAnsiTheme="majorBidi"/>
        </w:rPr>
        <w:t>Akhtar, S. &amp; Choi, L.W. (2004). When Evening Falls: The Immigrant's Encounter with Middle and Old Age. The American Journal of Psychoanalysis, 64 (2), 183-191.</w:t>
      </w:r>
    </w:p>
    <w:p w14:paraId="18C4E5D8" w14:textId="77777777" w:rsidR="00A00326" w:rsidRPr="00A00326" w:rsidRDefault="00A00326" w:rsidP="00A00326">
      <w:pPr>
        <w:shd w:val="clear" w:color="auto" w:fill="FFFFFF"/>
        <w:bidi/>
        <w:spacing w:after="160" w:line="360" w:lineRule="auto"/>
        <w:jc w:val="right"/>
        <w:rPr>
          <w:rFonts w:asciiTheme="majorBidi" w:hAnsiTheme="majorBidi"/>
        </w:rPr>
      </w:pPr>
      <w:r w:rsidRPr="00A00326">
        <w:rPr>
          <w:rFonts w:asciiTheme="majorBidi" w:hAnsiTheme="majorBidi"/>
        </w:rPr>
        <w:t>Al-Krenawi, A. and Graham, J. R. (2011). Mental health help-seeking among Arab university students in Israel, differentiated by religion’, Mental Health, Religion &amp; Culture, 14(2), pp. 157 – 67.</w:t>
      </w:r>
    </w:p>
    <w:p w14:paraId="54B23C5A" w14:textId="77777777" w:rsidR="00A00326" w:rsidRPr="00A00326" w:rsidRDefault="00A00326" w:rsidP="00A00326">
      <w:pPr>
        <w:autoSpaceDE w:val="0"/>
        <w:autoSpaceDN w:val="0"/>
        <w:adjustRightInd w:val="0"/>
        <w:spacing w:line="360" w:lineRule="auto"/>
        <w:rPr>
          <w:rFonts w:asciiTheme="majorBidi" w:hAnsiTheme="majorBidi"/>
          <w:rtl/>
        </w:rPr>
      </w:pPr>
      <w:r w:rsidRPr="00A00326">
        <w:rPr>
          <w:rFonts w:asciiTheme="majorBidi" w:hAnsiTheme="majorBidi"/>
        </w:rPr>
        <w:t>Cheung, B. Y., Chudek, M., &amp; Heine, S. J. (2011). Evidence for a sensitive period for acculturation: Younger immigrants report acculturating at a faster rate. Psychological Science, 22(2), 147–152. doi:10.1177/0956797610394661.</w:t>
      </w:r>
    </w:p>
    <w:p w14:paraId="54C21AF7" w14:textId="77777777" w:rsidR="00A00326" w:rsidRPr="00A00326" w:rsidRDefault="00A00326" w:rsidP="00A00326">
      <w:pPr>
        <w:spacing w:line="360" w:lineRule="auto"/>
        <w:rPr>
          <w:rFonts w:asciiTheme="majorBidi" w:eastAsia="Calibri" w:hAnsiTheme="majorBidi"/>
          <w:color w:val="000000"/>
        </w:rPr>
      </w:pPr>
      <w:r w:rsidRPr="00A00326">
        <w:rPr>
          <w:rFonts w:asciiTheme="majorBidi" w:eastAsia="Calibri" w:hAnsiTheme="majorBidi"/>
          <w:color w:val="000000"/>
          <w:shd w:val="clear" w:color="auto" w:fill="FFFFFF"/>
        </w:rPr>
        <w:t xml:space="preserve">Holmes D.E. (1999). </w:t>
      </w:r>
      <w:r w:rsidRPr="00A00326">
        <w:rPr>
          <w:rFonts w:asciiTheme="majorBidi" w:eastAsia="Calibri" w:hAnsiTheme="majorBidi"/>
          <w:color w:val="000000"/>
        </w:rPr>
        <w:t>Race and Countertransference: Two "Blind Spots" in Psychoanalytic Perception</w:t>
      </w:r>
      <w:r w:rsidRPr="00A00326">
        <w:rPr>
          <w:rFonts w:asciiTheme="majorBidi" w:eastAsia="Calibri" w:hAnsiTheme="majorBidi"/>
          <w:color w:val="000000"/>
          <w:shd w:val="clear" w:color="auto" w:fill="FFFFFF"/>
        </w:rPr>
        <w:t xml:space="preserve">. </w:t>
      </w:r>
      <w:r w:rsidRPr="00A00326">
        <w:rPr>
          <w:rFonts w:asciiTheme="majorBidi" w:eastAsia="Calibri" w:hAnsiTheme="majorBidi"/>
          <w:i/>
          <w:iCs/>
          <w:color w:val="000000"/>
          <w:shd w:val="clear" w:color="auto" w:fill="FFFFFF"/>
        </w:rPr>
        <w:t>Journal of Applied Psychoanalytic Studies</w:t>
      </w:r>
      <w:r w:rsidRPr="00A00326">
        <w:rPr>
          <w:rFonts w:asciiTheme="majorBidi" w:eastAsia="Calibri" w:hAnsiTheme="majorBidi"/>
          <w:color w:val="000000"/>
          <w:shd w:val="clear" w:color="auto" w:fill="FFFFFF"/>
        </w:rPr>
        <w:t>, 1(4), 319-332.</w:t>
      </w:r>
    </w:p>
    <w:p w14:paraId="35916081" w14:textId="77777777" w:rsidR="00A00326" w:rsidRPr="00A00326" w:rsidRDefault="00A00326" w:rsidP="00A00326">
      <w:pPr>
        <w:shd w:val="clear" w:color="auto" w:fill="FFFFFF"/>
        <w:bidi/>
        <w:spacing w:after="160" w:line="360" w:lineRule="auto"/>
        <w:jc w:val="right"/>
        <w:rPr>
          <w:rFonts w:asciiTheme="majorBidi" w:hAnsiTheme="majorBidi"/>
        </w:rPr>
      </w:pPr>
      <w:r w:rsidRPr="00A00326">
        <w:rPr>
          <w:rFonts w:asciiTheme="majorBidi" w:hAnsiTheme="majorBidi"/>
        </w:rPr>
        <w:t>Kuperminc, G. P., Wilkins, N. J., Jurkovic, G. J., &amp; Perilla, J. L. (2013). Filial responsibility, perceived fairness, and psychological functioning of Latino youth from immigrant families. Journal of Family Psychology, 27(2), 173.</w:t>
      </w:r>
    </w:p>
    <w:p w14:paraId="2530087C" w14:textId="77777777" w:rsidR="00A00326" w:rsidRPr="00A00326" w:rsidRDefault="00A00326" w:rsidP="00A00326">
      <w:pPr>
        <w:shd w:val="clear" w:color="auto" w:fill="FFFFFF"/>
        <w:bidi/>
        <w:spacing w:after="160" w:line="360" w:lineRule="auto"/>
        <w:jc w:val="right"/>
        <w:rPr>
          <w:rFonts w:asciiTheme="majorBidi" w:hAnsiTheme="majorBidi"/>
          <w:color w:val="000000"/>
        </w:rPr>
      </w:pPr>
      <w:r w:rsidRPr="00A00326">
        <w:rPr>
          <w:rFonts w:asciiTheme="majorBidi" w:hAnsiTheme="majorBidi"/>
          <w:color w:val="000000"/>
        </w:rPr>
        <w:t>Minuchin,S., Nichols, M.P., &amp; Wai-Young L. (2007). Assessing families and couples: From symptom to system. Boston: Pearson/Allyn-Bacon</w:t>
      </w:r>
    </w:p>
    <w:p w14:paraId="3EC24BCC" w14:textId="77777777" w:rsidR="00A00326" w:rsidRPr="00A00326" w:rsidRDefault="00A00326" w:rsidP="00A00326">
      <w:pPr>
        <w:shd w:val="clear" w:color="auto" w:fill="FFFFFF"/>
        <w:bidi/>
        <w:spacing w:after="160" w:line="360" w:lineRule="auto"/>
        <w:jc w:val="right"/>
        <w:rPr>
          <w:rFonts w:asciiTheme="majorBidi" w:hAnsiTheme="majorBidi"/>
          <w:rtl/>
        </w:rPr>
      </w:pPr>
      <w:r w:rsidRPr="00A00326">
        <w:rPr>
          <w:rFonts w:asciiTheme="majorBidi" w:hAnsiTheme="majorBidi"/>
          <w:color w:val="333333"/>
        </w:rPr>
        <w:t>Mirsky (2011). Working Through Countertransference Blocks in Cultural-Competence Training. Psychoanalytic Social Work Journal. Volume 18, 136-148.</w:t>
      </w:r>
    </w:p>
    <w:p w14:paraId="3EE2A747" w14:textId="77777777" w:rsidR="00A00326" w:rsidRPr="00A00326" w:rsidRDefault="00A00326" w:rsidP="00A00326">
      <w:pPr>
        <w:shd w:val="clear" w:color="auto" w:fill="FFFFFF"/>
        <w:bidi/>
        <w:spacing w:after="160" w:line="360" w:lineRule="auto"/>
        <w:jc w:val="right"/>
        <w:rPr>
          <w:rFonts w:asciiTheme="majorBidi" w:hAnsiTheme="majorBidi"/>
          <w:rtl/>
        </w:rPr>
      </w:pPr>
      <w:r w:rsidRPr="00A00326">
        <w:rPr>
          <w:rFonts w:asciiTheme="majorBidi" w:hAnsiTheme="majorBidi"/>
        </w:rPr>
        <w:t>Nadan, Y., Weinberg-Kurnik, G. &amp; Ben-Ari, A. (2015). Bringing context and power relations to the fore: Intergroup dialogue as a tool in social work education. British Journal of Social Work, 45(1), 260–277.</w:t>
      </w:r>
    </w:p>
    <w:p w14:paraId="1838244A" w14:textId="77777777" w:rsidR="00A00326" w:rsidRPr="00A00326" w:rsidRDefault="00A00326" w:rsidP="00A00326">
      <w:pPr>
        <w:spacing w:line="360" w:lineRule="auto"/>
        <w:rPr>
          <w:rFonts w:asciiTheme="majorBidi" w:eastAsia="Calibri" w:hAnsiTheme="majorBidi"/>
        </w:rPr>
      </w:pPr>
      <w:r w:rsidRPr="00A00326">
        <w:rPr>
          <w:rFonts w:asciiTheme="majorBidi" w:eastAsia="Calibri" w:hAnsiTheme="majorBidi"/>
        </w:rPr>
        <w:t xml:space="preserve">National Association of Social Workers (NASW) (2001). </w:t>
      </w:r>
      <w:r w:rsidRPr="00A00326">
        <w:rPr>
          <w:rFonts w:asciiTheme="majorBidi" w:eastAsia="Calibri" w:hAnsiTheme="majorBidi"/>
          <w:i/>
          <w:iCs/>
        </w:rPr>
        <w:t>NASW standards for cultural competence in social work practice.</w:t>
      </w:r>
      <w:r w:rsidRPr="00A00326">
        <w:rPr>
          <w:rFonts w:asciiTheme="majorBidi" w:eastAsia="Calibri" w:hAnsiTheme="majorBidi"/>
        </w:rPr>
        <w:t xml:space="preserve"> Washington, D.C: NASW</w:t>
      </w:r>
    </w:p>
    <w:p w14:paraId="3CD4E806" w14:textId="77777777" w:rsidR="00A00326" w:rsidRPr="00A00326" w:rsidRDefault="00A00326" w:rsidP="00A00326">
      <w:pPr>
        <w:spacing w:line="360" w:lineRule="auto"/>
        <w:rPr>
          <w:rFonts w:asciiTheme="majorBidi" w:eastAsia="Calibri" w:hAnsiTheme="majorBidi"/>
          <w:color w:val="000000"/>
        </w:rPr>
      </w:pPr>
      <w:r w:rsidRPr="00A00326">
        <w:rPr>
          <w:rFonts w:asciiTheme="majorBidi" w:eastAsia="Calibri" w:hAnsiTheme="majorBidi"/>
          <w:color w:val="000000"/>
        </w:rPr>
        <w:t xml:space="preserve">Nuttman-Shwartz, O. (2008). Working with "others" in a context of political conflict: Is it Possible to support clients whose views you disagree with? In S. Ramon (Ed.), </w:t>
      </w:r>
      <w:r w:rsidRPr="00A00326">
        <w:rPr>
          <w:rFonts w:asciiTheme="majorBidi" w:eastAsia="Calibri" w:hAnsiTheme="majorBidi"/>
          <w:i/>
          <w:iCs/>
          <w:color w:val="000000"/>
        </w:rPr>
        <w:t>Social</w:t>
      </w:r>
      <w:r w:rsidRPr="00A00326">
        <w:rPr>
          <w:rFonts w:asciiTheme="majorBidi" w:eastAsia="Calibri" w:hAnsiTheme="majorBidi"/>
          <w:color w:val="000000"/>
        </w:rPr>
        <w:t xml:space="preserve"> </w:t>
      </w:r>
      <w:r w:rsidRPr="00A00326">
        <w:rPr>
          <w:rFonts w:asciiTheme="majorBidi" w:eastAsia="Calibri" w:hAnsiTheme="majorBidi"/>
          <w:i/>
          <w:iCs/>
          <w:color w:val="000000"/>
        </w:rPr>
        <w:t>work in the context of political conflict</w:t>
      </w:r>
      <w:r w:rsidRPr="00A00326">
        <w:rPr>
          <w:rFonts w:asciiTheme="majorBidi" w:eastAsia="Calibri" w:hAnsiTheme="majorBidi"/>
          <w:color w:val="000000"/>
        </w:rPr>
        <w:t xml:space="preserve"> (pp. 35-55). Birmingham: Venture.</w:t>
      </w:r>
    </w:p>
    <w:p w14:paraId="4ED61069" w14:textId="77777777" w:rsidR="00A00326" w:rsidRPr="00A00326" w:rsidRDefault="00A00326" w:rsidP="00A00326">
      <w:pPr>
        <w:shd w:val="clear" w:color="auto" w:fill="FFFFFF"/>
        <w:bidi/>
        <w:spacing w:after="160" w:line="360" w:lineRule="auto"/>
        <w:jc w:val="right"/>
        <w:rPr>
          <w:rFonts w:asciiTheme="majorBidi" w:hAnsiTheme="majorBidi"/>
        </w:rPr>
      </w:pPr>
      <w:r w:rsidRPr="00A00326">
        <w:rPr>
          <w:rFonts w:asciiTheme="majorBidi" w:hAnsiTheme="majorBidi"/>
        </w:rPr>
        <w:t>Orellana, M. F. (2009). Translating childhoods: Immigrant youth, language, and culture. Piscataway, NJ: Rutgers University Press</w:t>
      </w:r>
    </w:p>
    <w:p w14:paraId="05406B02" w14:textId="543260AD" w:rsidR="00A00326" w:rsidRPr="00A00326" w:rsidRDefault="00A00326" w:rsidP="00A00326">
      <w:pPr>
        <w:tabs>
          <w:tab w:val="left" w:pos="3649"/>
          <w:tab w:val="left" w:pos="5349"/>
          <w:tab w:val="left" w:pos="7992"/>
          <w:tab w:val="left" w:pos="9409"/>
          <w:tab w:val="left" w:pos="10778"/>
        </w:tabs>
        <w:spacing w:line="360" w:lineRule="auto"/>
        <w:rPr>
          <w:rFonts w:asciiTheme="majorBidi" w:hAnsiTheme="majorBidi"/>
        </w:rPr>
      </w:pPr>
      <w:r w:rsidRPr="00A00326">
        <w:rPr>
          <w:rFonts w:asciiTheme="majorBidi" w:hAnsiTheme="majorBidi"/>
        </w:rPr>
        <w:lastRenderedPageBreak/>
        <w:t>Ponizovsky, Y., Kurman, J., &amp; Roer-Strier, D. (2012). When role reversal and brokering meet: Filial responsibility among young immigrants to Israel from the former Soviet Union. Journal of Family psychology, 26(6), 987.</w:t>
      </w:r>
    </w:p>
    <w:p w14:paraId="1355DD8F" w14:textId="77777777" w:rsidR="00A00326" w:rsidRPr="00A00326" w:rsidRDefault="00A00326" w:rsidP="00A00326">
      <w:pPr>
        <w:shd w:val="clear" w:color="auto" w:fill="FFFFFF"/>
        <w:spacing w:line="0" w:lineRule="auto"/>
        <w:rPr>
          <w:rFonts w:asciiTheme="majorBidi" w:eastAsia="Times New Roman" w:hAnsiTheme="majorBidi"/>
          <w:color w:val="000000"/>
        </w:rPr>
      </w:pPr>
      <w:r w:rsidRPr="00A00326">
        <w:rPr>
          <w:rFonts w:asciiTheme="majorBidi" w:eastAsia="Times New Roman" w:hAnsiTheme="majorBidi"/>
          <w:color w:val="000000"/>
        </w:rPr>
        <w:t>ntroduction: The Second Generation</w:t>
      </w:r>
    </w:p>
    <w:p w14:paraId="60216268" w14:textId="77777777" w:rsidR="00A00326" w:rsidRPr="00A00326" w:rsidRDefault="00A00326" w:rsidP="00A00326">
      <w:pPr>
        <w:shd w:val="clear" w:color="auto" w:fill="FFFFFF"/>
        <w:spacing w:line="0" w:lineRule="auto"/>
        <w:rPr>
          <w:rFonts w:asciiTheme="majorBidi" w:eastAsia="Times New Roman" w:hAnsiTheme="majorBidi"/>
          <w:color w:val="000000"/>
        </w:rPr>
      </w:pPr>
      <w:r w:rsidRPr="00A00326">
        <w:rPr>
          <w:rFonts w:asciiTheme="majorBidi" w:eastAsia="Times New Roman" w:hAnsiTheme="majorBidi"/>
          <w:color w:val="000000"/>
        </w:rPr>
        <w:t>and the Children of Immigrants</w:t>
      </w:r>
    </w:p>
    <w:p w14:paraId="7BC9171B" w14:textId="77777777" w:rsidR="00A00326" w:rsidRPr="00A00326" w:rsidRDefault="00A00326" w:rsidP="00A00326">
      <w:pPr>
        <w:shd w:val="clear" w:color="auto" w:fill="FFFFFF"/>
        <w:spacing w:line="0" w:lineRule="auto"/>
        <w:rPr>
          <w:rFonts w:asciiTheme="majorBidi" w:eastAsia="Times New Roman" w:hAnsiTheme="majorBidi"/>
          <w:color w:val="000000"/>
        </w:rPr>
      </w:pPr>
      <w:r w:rsidRPr="00A00326">
        <w:rPr>
          <w:rFonts w:asciiTheme="majorBidi" w:eastAsia="Times New Roman" w:hAnsiTheme="majorBidi"/>
          <w:color w:val="000000"/>
        </w:rPr>
        <w:t>Longitudinal Study</w:t>
      </w:r>
    </w:p>
    <w:p w14:paraId="6C885327" w14:textId="77777777" w:rsidR="00A00326" w:rsidRPr="00A00326" w:rsidRDefault="00A00326" w:rsidP="00A00326">
      <w:pPr>
        <w:shd w:val="clear" w:color="auto" w:fill="FFFFFF"/>
        <w:spacing w:line="0" w:lineRule="auto"/>
        <w:rPr>
          <w:rFonts w:asciiTheme="majorBidi" w:eastAsia="Times New Roman" w:hAnsiTheme="majorBidi"/>
          <w:color w:val="000000"/>
        </w:rPr>
      </w:pPr>
      <w:r w:rsidRPr="00A00326">
        <w:rPr>
          <w:rFonts w:asciiTheme="majorBidi" w:eastAsia="Times New Roman" w:hAnsiTheme="majorBidi"/>
          <w:color w:val="000000"/>
        </w:rPr>
        <w:t>ntroduction: The Second Generation</w:t>
      </w:r>
    </w:p>
    <w:p w14:paraId="44EAF22F" w14:textId="77777777" w:rsidR="00A00326" w:rsidRPr="00A00326" w:rsidRDefault="00A00326" w:rsidP="00A00326">
      <w:pPr>
        <w:shd w:val="clear" w:color="auto" w:fill="FFFFFF"/>
        <w:spacing w:line="0" w:lineRule="auto"/>
        <w:rPr>
          <w:rFonts w:asciiTheme="majorBidi" w:eastAsia="Times New Roman" w:hAnsiTheme="majorBidi"/>
          <w:color w:val="000000"/>
        </w:rPr>
      </w:pPr>
      <w:r w:rsidRPr="00A00326">
        <w:rPr>
          <w:rFonts w:asciiTheme="majorBidi" w:eastAsia="Times New Roman" w:hAnsiTheme="majorBidi"/>
          <w:color w:val="000000"/>
        </w:rPr>
        <w:t>and the Children of Immigrants</w:t>
      </w:r>
    </w:p>
    <w:p w14:paraId="0459C806" w14:textId="77777777" w:rsidR="00A00326" w:rsidRPr="00A00326" w:rsidRDefault="00A00326" w:rsidP="00A00326">
      <w:pPr>
        <w:shd w:val="clear" w:color="auto" w:fill="FFFFFF"/>
        <w:spacing w:line="0" w:lineRule="auto"/>
        <w:rPr>
          <w:rFonts w:asciiTheme="majorBidi" w:eastAsia="Times New Roman" w:hAnsiTheme="majorBidi"/>
          <w:color w:val="000000"/>
        </w:rPr>
      </w:pPr>
      <w:r w:rsidRPr="00A00326">
        <w:rPr>
          <w:rFonts w:asciiTheme="majorBidi" w:eastAsia="Times New Roman" w:hAnsiTheme="majorBidi"/>
          <w:color w:val="000000"/>
        </w:rPr>
        <w:t>Longitudinal Study</w:t>
      </w:r>
    </w:p>
    <w:p w14:paraId="035B4495" w14:textId="77777777" w:rsidR="00A00326" w:rsidRPr="00A00326" w:rsidRDefault="00A00326" w:rsidP="00A00326">
      <w:pPr>
        <w:shd w:val="clear" w:color="auto" w:fill="FFFFFF"/>
        <w:spacing w:line="0" w:lineRule="auto"/>
        <w:rPr>
          <w:rFonts w:asciiTheme="majorBidi" w:eastAsia="Times New Roman" w:hAnsiTheme="majorBidi"/>
          <w:color w:val="000000"/>
        </w:rPr>
      </w:pPr>
      <w:r w:rsidRPr="00A00326">
        <w:rPr>
          <w:rFonts w:asciiTheme="majorBidi" w:eastAsia="Times New Roman" w:hAnsiTheme="majorBidi"/>
          <w:color w:val="000000"/>
        </w:rPr>
        <w:t>ntroduction: The Second Generation</w:t>
      </w:r>
    </w:p>
    <w:p w14:paraId="5F62B6A8" w14:textId="77777777" w:rsidR="00A00326" w:rsidRPr="00A00326" w:rsidRDefault="00A00326" w:rsidP="00A00326">
      <w:pPr>
        <w:shd w:val="clear" w:color="auto" w:fill="FFFFFF"/>
        <w:spacing w:line="0" w:lineRule="auto"/>
        <w:rPr>
          <w:rFonts w:asciiTheme="majorBidi" w:eastAsia="Times New Roman" w:hAnsiTheme="majorBidi"/>
          <w:color w:val="000000"/>
        </w:rPr>
      </w:pPr>
      <w:r w:rsidRPr="00A00326">
        <w:rPr>
          <w:rFonts w:asciiTheme="majorBidi" w:eastAsia="Times New Roman" w:hAnsiTheme="majorBidi"/>
          <w:color w:val="000000"/>
        </w:rPr>
        <w:t>and the Children of Immigrants</w:t>
      </w:r>
    </w:p>
    <w:p w14:paraId="69064384" w14:textId="77777777" w:rsidR="00A00326" w:rsidRPr="00A00326" w:rsidRDefault="00A00326" w:rsidP="00A00326">
      <w:pPr>
        <w:shd w:val="clear" w:color="auto" w:fill="FFFFFF"/>
        <w:spacing w:line="0" w:lineRule="auto"/>
        <w:rPr>
          <w:rFonts w:asciiTheme="majorBidi" w:eastAsia="Times New Roman" w:hAnsiTheme="majorBidi"/>
          <w:color w:val="000000"/>
        </w:rPr>
      </w:pPr>
      <w:r w:rsidRPr="00A00326">
        <w:rPr>
          <w:rFonts w:asciiTheme="majorBidi" w:eastAsia="Times New Roman" w:hAnsiTheme="majorBidi"/>
          <w:color w:val="000000"/>
        </w:rPr>
        <w:t>Longitudinal Study</w:t>
      </w:r>
    </w:p>
    <w:p w14:paraId="3058FBCA" w14:textId="77777777" w:rsidR="00A00326" w:rsidRPr="00A00326" w:rsidRDefault="00A00326" w:rsidP="00A00326">
      <w:pPr>
        <w:shd w:val="clear" w:color="auto" w:fill="FFFFFF"/>
        <w:spacing w:line="360" w:lineRule="auto"/>
        <w:outlineLvl w:val="0"/>
        <w:rPr>
          <w:rFonts w:asciiTheme="majorBidi" w:eastAsia="Times New Roman" w:hAnsiTheme="majorBidi"/>
          <w:color w:val="111111"/>
          <w:kern w:val="36"/>
        </w:rPr>
      </w:pPr>
      <w:r w:rsidRPr="00A00326">
        <w:rPr>
          <w:rFonts w:asciiTheme="majorBidi" w:hAnsiTheme="majorBidi"/>
        </w:rPr>
        <w:t>Remennick, L. (2005). Immigration, gender, and psychosocial adjustment: A study of 150 immigrant couples in Israel. Sex Roles, 53(11-12), 847-863. doi:10.1007/s11199-005-8297-z</w:t>
      </w:r>
    </w:p>
    <w:p w14:paraId="60C0503E" w14:textId="77777777" w:rsidR="00A00326" w:rsidRPr="00A00326" w:rsidRDefault="00A00326" w:rsidP="00A00326">
      <w:pPr>
        <w:keepNext/>
        <w:keepLines/>
        <w:shd w:val="clear" w:color="auto" w:fill="FFFFFF"/>
        <w:outlineLvl w:val="0"/>
        <w:rPr>
          <w:rFonts w:asciiTheme="majorBidi" w:eastAsiaTheme="majorEastAsia" w:hAnsiTheme="majorBidi"/>
        </w:rPr>
      </w:pPr>
    </w:p>
    <w:p w14:paraId="4CD34EE3" w14:textId="2BB3BDD7" w:rsidR="00A00326" w:rsidRPr="00A00326" w:rsidRDefault="00A00326" w:rsidP="00A00326">
      <w:pPr>
        <w:keepNext/>
        <w:keepLines/>
        <w:shd w:val="clear" w:color="auto" w:fill="FFFFFF"/>
        <w:outlineLvl w:val="0"/>
        <w:rPr>
          <w:rFonts w:asciiTheme="majorBidi" w:eastAsia="Times New Roman" w:hAnsiTheme="majorBidi"/>
          <w:kern w:val="36"/>
          <w:rtl/>
        </w:rPr>
      </w:pPr>
      <w:r w:rsidRPr="00A00326">
        <w:rPr>
          <w:rFonts w:asciiTheme="majorBidi" w:eastAsiaTheme="majorEastAsia" w:hAnsiTheme="majorBidi"/>
        </w:rPr>
        <w:t xml:space="preserve">Roer-Strier, D. (2001). </w:t>
      </w:r>
      <w:r w:rsidRPr="00A00326">
        <w:rPr>
          <w:rFonts w:asciiTheme="majorBidi" w:eastAsia="Times New Roman" w:hAnsiTheme="majorBidi"/>
          <w:kern w:val="36"/>
        </w:rPr>
        <w:t>Socialization in Changing Cultural Contexts: A Search for Images of the "Adaptive Adult". Social Work 46 (3): 215-28.</w:t>
      </w:r>
    </w:p>
    <w:p w14:paraId="618637AD" w14:textId="77777777" w:rsidR="00A00326" w:rsidRPr="00A00326" w:rsidRDefault="00A00326" w:rsidP="00A00326">
      <w:pPr>
        <w:rPr>
          <w:rFonts w:asciiTheme="majorBidi" w:hAnsiTheme="majorBidi"/>
          <w:rtl/>
        </w:rPr>
      </w:pPr>
    </w:p>
    <w:p w14:paraId="7512C02F" w14:textId="77777777" w:rsidR="00A00326" w:rsidRPr="00A00326" w:rsidRDefault="00A00326" w:rsidP="00A00326">
      <w:pPr>
        <w:rPr>
          <w:rFonts w:asciiTheme="majorBidi" w:hAnsiTheme="majorBidi"/>
        </w:rPr>
      </w:pPr>
      <w:r w:rsidRPr="00A00326">
        <w:rPr>
          <w:rFonts w:asciiTheme="majorBidi" w:hAnsiTheme="majorBidi"/>
        </w:rPr>
        <w:t>Roer-Strier, D., Strier, R., Este, D., Shimoni, R., &amp; Clark, D. (2005). Fatherhood and immigration: Challenging the deficit theory. Child &amp; Family Social Work, 10(4), 315-329. doi:10.1111/j.1365-2206.2005.00374.x</w:t>
      </w:r>
    </w:p>
    <w:p w14:paraId="6B63D132" w14:textId="77777777" w:rsidR="00A00326" w:rsidRPr="00A00326" w:rsidRDefault="00A00326" w:rsidP="00A00326">
      <w:pPr>
        <w:shd w:val="clear" w:color="auto" w:fill="FFFFFF"/>
        <w:bidi/>
        <w:spacing w:after="160" w:line="360" w:lineRule="auto"/>
        <w:jc w:val="right"/>
        <w:rPr>
          <w:rFonts w:asciiTheme="majorBidi" w:hAnsiTheme="majorBidi"/>
          <w:rtl/>
        </w:rPr>
      </w:pPr>
      <w:r w:rsidRPr="00A00326">
        <w:rPr>
          <w:rFonts w:asciiTheme="majorBidi" w:hAnsiTheme="majorBidi"/>
        </w:rPr>
        <w:t>Slonim-Nevo, V., Sheraga, Y., Mirsky, J. (1999). A culturally sensitive approach to therapy with immigrant families: The case of Jewish emigrants from the former Soviet Union. Family Process, 38(4), 445-462.</w:t>
      </w:r>
    </w:p>
    <w:p w14:paraId="6F5D4A65" w14:textId="77777777" w:rsidR="00A00326" w:rsidRPr="00A00326" w:rsidRDefault="00A00326" w:rsidP="00A00326">
      <w:pPr>
        <w:shd w:val="clear" w:color="auto" w:fill="FFFFFF"/>
        <w:bidi/>
        <w:spacing w:after="160" w:line="360" w:lineRule="auto"/>
        <w:jc w:val="right"/>
        <w:rPr>
          <w:rFonts w:asciiTheme="majorBidi" w:hAnsiTheme="majorBidi"/>
          <w:rtl/>
        </w:rPr>
      </w:pPr>
      <w:r w:rsidRPr="00A00326">
        <w:rPr>
          <w:rFonts w:asciiTheme="majorBidi" w:hAnsiTheme="majorBidi"/>
        </w:rPr>
        <w:t>Tartakovsky, E., &amp; Mirsky, J. (2001). Bullying gangs among immigrant adolescents from the former Soviet Union in Israel. Journal of Interpersonal Violence, 16(3), 247-265.</w:t>
      </w:r>
    </w:p>
    <w:p w14:paraId="68FBFFCC" w14:textId="77777777" w:rsidR="00A00326" w:rsidRPr="00A00326" w:rsidRDefault="00A00326" w:rsidP="00A00326">
      <w:pPr>
        <w:shd w:val="clear" w:color="auto" w:fill="FFFFFF"/>
        <w:spacing w:after="160" w:line="360" w:lineRule="auto"/>
        <w:rPr>
          <w:rFonts w:asciiTheme="majorBidi" w:hAnsiTheme="majorBidi"/>
        </w:rPr>
      </w:pPr>
      <w:r w:rsidRPr="00A00326">
        <w:rPr>
          <w:rFonts w:asciiTheme="majorBidi" w:hAnsiTheme="majorBidi"/>
        </w:rPr>
        <w:t>Teichman, M. (2015). Immigrant family in distress: Assisting immigrant parents of juvenile delinquents. International Journal of Child, Youth and Family Studies, 6(1), 1–16.</w:t>
      </w:r>
    </w:p>
    <w:p w14:paraId="26911FBC" w14:textId="77777777" w:rsidR="00A00326" w:rsidRPr="00A00326" w:rsidRDefault="00A00326" w:rsidP="00A00326">
      <w:pPr>
        <w:shd w:val="clear" w:color="auto" w:fill="FFFFFF"/>
        <w:bidi/>
        <w:spacing w:after="160" w:line="360" w:lineRule="auto"/>
        <w:jc w:val="right"/>
        <w:rPr>
          <w:rFonts w:asciiTheme="majorBidi" w:hAnsiTheme="majorBidi"/>
          <w:rtl/>
        </w:rPr>
      </w:pPr>
      <w:r w:rsidRPr="00A00326">
        <w:rPr>
          <w:rFonts w:asciiTheme="majorBidi" w:hAnsiTheme="majorBidi"/>
        </w:rPr>
        <w:t>Telzer, E. H. (2011). Expanding the acculturation gap-distress model: An integrative review of research. Human Development, 53(6), 313–340. doi:10.1159/000322476.</w:t>
      </w:r>
    </w:p>
    <w:p w14:paraId="287B34FB" w14:textId="77777777" w:rsidR="00A00326" w:rsidRPr="00A00326" w:rsidRDefault="00A00326" w:rsidP="00A00326">
      <w:pPr>
        <w:shd w:val="clear" w:color="auto" w:fill="FFFFFF"/>
        <w:bidi/>
        <w:spacing w:after="160" w:line="360" w:lineRule="auto"/>
        <w:jc w:val="right"/>
        <w:rPr>
          <w:rFonts w:asciiTheme="majorBidi" w:hAnsiTheme="majorBidi"/>
          <w:rtl/>
        </w:rPr>
      </w:pPr>
      <w:r w:rsidRPr="00A00326">
        <w:rPr>
          <w:rFonts w:asciiTheme="majorBidi" w:hAnsiTheme="majorBidi"/>
        </w:rPr>
        <w:t>Titzmann P.F. (2012). Growing up too soon? Parentification among immigrant and native adolescents in Germany. Journal Youth Adolescence, 41, 880–893. doi:10.1007/s10964-011-9711-1.</w:t>
      </w:r>
    </w:p>
    <w:p w14:paraId="19AC582E" w14:textId="77777777" w:rsidR="00A00326" w:rsidRPr="00A00326" w:rsidRDefault="00A00326" w:rsidP="00A00326">
      <w:pPr>
        <w:shd w:val="clear" w:color="auto" w:fill="FFFFFF"/>
        <w:spacing w:after="160" w:line="360" w:lineRule="auto"/>
        <w:rPr>
          <w:rFonts w:asciiTheme="majorBidi" w:hAnsiTheme="majorBidi"/>
          <w:rtl/>
        </w:rPr>
      </w:pPr>
      <w:r w:rsidRPr="00A00326">
        <w:rPr>
          <w:rFonts w:asciiTheme="majorBidi" w:hAnsiTheme="majorBidi"/>
        </w:rPr>
        <w:t xml:space="preserve"> Walsh, S., Shulman, S., Bar‐On, Z., &amp; Tsur, A. (2006). The role of parentification and family climate in adaptation among immigrant adolescents in Israel. Journal of Research on </w:t>
      </w:r>
      <w:r w:rsidRPr="00A00326">
        <w:rPr>
          <w:rFonts w:asciiTheme="majorBidi" w:hAnsiTheme="majorBidi"/>
        </w:rPr>
        <w:lastRenderedPageBreak/>
        <w:t>Adolescence, 16(2), 321-350. Weisskirch, R. S. (2010). Child language brokers in immigrant families: An overview of family dynamics. mediAzioni, 10, 68-87.</w:t>
      </w:r>
    </w:p>
    <w:p w14:paraId="03BF8BC5" w14:textId="77777777" w:rsidR="00A00326" w:rsidRPr="00A00326" w:rsidRDefault="00A00326" w:rsidP="00A00326">
      <w:pPr>
        <w:shd w:val="clear" w:color="auto" w:fill="FFFFFF"/>
        <w:bidi/>
        <w:spacing w:after="160" w:line="360" w:lineRule="auto"/>
        <w:jc w:val="right"/>
        <w:rPr>
          <w:rFonts w:asciiTheme="majorBidi" w:hAnsiTheme="majorBidi"/>
          <w:rtl/>
        </w:rPr>
      </w:pPr>
      <w:r w:rsidRPr="00A00326">
        <w:rPr>
          <w:rFonts w:asciiTheme="majorBidi" w:hAnsiTheme="majorBidi"/>
        </w:rPr>
        <w:t>Weisskirch, R. S. (2010). Child language brokers in immigrant families: An overview of family dynamics. mediAzioni, 10, 68-87.</w:t>
      </w:r>
    </w:p>
    <w:p w14:paraId="6661BABD" w14:textId="2986B7A6" w:rsidR="00A00326" w:rsidRPr="00A00326" w:rsidRDefault="00A00326" w:rsidP="00A00326">
      <w:pPr>
        <w:shd w:val="clear" w:color="auto" w:fill="FFFFFF"/>
        <w:spacing w:after="160" w:line="360" w:lineRule="auto"/>
        <w:rPr>
          <w:rFonts w:asciiTheme="majorBidi" w:hAnsiTheme="majorBidi"/>
          <w:rtl/>
        </w:rPr>
      </w:pPr>
      <w:r w:rsidRPr="00A00326">
        <w:rPr>
          <w:rFonts w:asciiTheme="majorBidi" w:hAnsiTheme="majorBidi"/>
        </w:rPr>
        <w:t>Yakhnich, L. (2008). Immigration as a multiple-stressor situation: Stress and coping among immigrants from the former Soviet Union in Israel. International Journal of Stress Management, 15(3), 252-268.</w:t>
      </w:r>
    </w:p>
    <w:p w14:paraId="4E45CB03" w14:textId="77777777" w:rsidR="00A00326" w:rsidRPr="00A00326" w:rsidRDefault="00A00326" w:rsidP="00A00326">
      <w:pPr>
        <w:shd w:val="clear" w:color="auto" w:fill="FFFFFF"/>
        <w:spacing w:before="100" w:beforeAutospacing="1" w:after="100" w:afterAutospacing="1" w:line="360" w:lineRule="auto"/>
        <w:rPr>
          <w:rFonts w:asciiTheme="majorBidi" w:eastAsia="Times New Roman" w:hAnsiTheme="majorBidi"/>
          <w:color w:val="333333"/>
        </w:rPr>
      </w:pPr>
      <w:r w:rsidRPr="00A00326">
        <w:rPr>
          <w:rFonts w:asciiTheme="majorBidi" w:eastAsia="Times New Roman" w:hAnsiTheme="majorBidi"/>
          <w:color w:val="333333"/>
        </w:rPr>
        <w:t>Yakhnich, L. (2016). "This is my responsibility": Parental experience of former Soviet Union immigrant parents in Israel. International Journal of Child, Youth and Family Studies, 7(1), 1-26.</w:t>
      </w:r>
    </w:p>
    <w:p w14:paraId="668A1093" w14:textId="30402D47" w:rsidR="00A00326" w:rsidRPr="00A00326" w:rsidRDefault="00A00326" w:rsidP="00A00326">
      <w:pPr>
        <w:spacing w:line="360" w:lineRule="auto"/>
        <w:rPr>
          <w:rFonts w:asciiTheme="majorBidi" w:eastAsia="Calibri" w:hAnsiTheme="majorBidi"/>
          <w:color w:val="000000"/>
        </w:rPr>
      </w:pPr>
      <w:r w:rsidRPr="00A00326">
        <w:rPr>
          <w:rFonts w:asciiTheme="majorBidi" w:eastAsia="Calibri" w:hAnsiTheme="majorBidi"/>
          <w:color w:val="000000"/>
        </w:rPr>
        <w:t xml:space="preserve">Yedidia, T. (2005). Immigrant therapists' unresolved identity problems and countertransference. </w:t>
      </w:r>
      <w:r w:rsidRPr="00A00326">
        <w:rPr>
          <w:rFonts w:asciiTheme="majorBidi" w:eastAsia="Calibri" w:hAnsiTheme="majorBidi"/>
          <w:i/>
          <w:iCs/>
          <w:color w:val="000000"/>
        </w:rPr>
        <w:t>Clinical Social Work Journal,</w:t>
      </w:r>
      <w:r w:rsidRPr="00A00326">
        <w:rPr>
          <w:rFonts w:asciiTheme="majorBidi" w:eastAsia="Calibri" w:hAnsiTheme="majorBidi"/>
          <w:color w:val="000000"/>
        </w:rPr>
        <w:t xml:space="preserve"> 25, 9-22.</w:t>
      </w:r>
    </w:p>
    <w:p w14:paraId="59AAB31D" w14:textId="77777777" w:rsidR="00A00326" w:rsidRPr="00A00326" w:rsidRDefault="00A00326" w:rsidP="00A00326">
      <w:pPr>
        <w:shd w:val="clear" w:color="auto" w:fill="FFFFFF"/>
        <w:spacing w:after="160" w:line="360" w:lineRule="auto"/>
        <w:rPr>
          <w:rFonts w:asciiTheme="majorBidi" w:hAnsiTheme="majorBidi"/>
          <w:rtl/>
        </w:rPr>
      </w:pPr>
    </w:p>
    <w:p w14:paraId="04A645F7" w14:textId="77777777" w:rsidR="00A00326" w:rsidRPr="00A00326" w:rsidRDefault="00A00326" w:rsidP="00A00326">
      <w:pPr>
        <w:shd w:val="clear" w:color="auto" w:fill="FFFFFF"/>
        <w:bidi/>
        <w:spacing w:after="160" w:line="360" w:lineRule="auto"/>
        <w:rPr>
          <w:rFonts w:asciiTheme="majorBidi" w:eastAsia="Calibri" w:hAnsiTheme="majorBidi"/>
        </w:rPr>
      </w:pPr>
    </w:p>
    <w:p w14:paraId="79D6D3D1" w14:textId="77777777" w:rsidR="00A00326" w:rsidRPr="00A00326" w:rsidRDefault="00A00326" w:rsidP="00A00326">
      <w:pPr>
        <w:shd w:val="clear" w:color="auto" w:fill="FFFFFF"/>
        <w:bidi/>
        <w:spacing w:after="160" w:line="360" w:lineRule="auto"/>
        <w:rPr>
          <w:rFonts w:asciiTheme="majorBidi" w:eastAsia="Calibri" w:hAnsiTheme="majorBidi"/>
        </w:rPr>
      </w:pPr>
    </w:p>
    <w:p w14:paraId="095E393B" w14:textId="77777777" w:rsidR="00A00326" w:rsidRDefault="00A00326" w:rsidP="00105010">
      <w:pPr>
        <w:spacing w:line="360" w:lineRule="auto"/>
        <w:rPr>
          <w:b/>
          <w:bCs/>
        </w:rPr>
      </w:pPr>
    </w:p>
    <w:p w14:paraId="2DFA1C26" w14:textId="77777777" w:rsidR="00A00326" w:rsidRPr="00A00326" w:rsidRDefault="00A00326" w:rsidP="00105010">
      <w:pPr>
        <w:spacing w:line="360" w:lineRule="auto"/>
      </w:pPr>
    </w:p>
    <w:sectPr w:rsidR="00A00326" w:rsidRPr="00A00326">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izabeth Zauderer" w:date="2020-10-29T09:40:00Z" w:initials="EZ">
    <w:p w14:paraId="248425E3" w14:textId="6305B419" w:rsidR="00C23DD8" w:rsidRDefault="00C23DD8">
      <w:pPr>
        <w:pStyle w:val="CommentText"/>
      </w:pPr>
      <w:r>
        <w:rPr>
          <w:rStyle w:val="CommentReference"/>
        </w:rPr>
        <w:annotationRef/>
      </w:r>
      <w:r>
        <w:t xml:space="preserve">Subject? </w:t>
      </w:r>
    </w:p>
  </w:comment>
  <w:comment w:id="1" w:author="Elizabeth Zauderer" w:date="2020-10-29T09:46:00Z" w:initials="EZ">
    <w:p w14:paraId="3813A726" w14:textId="32908993" w:rsidR="005773F2" w:rsidRDefault="005773F2">
      <w:pPr>
        <w:pStyle w:val="CommentText"/>
      </w:pPr>
      <w:r>
        <w:rPr>
          <w:rStyle w:val="CommentReference"/>
        </w:rPr>
        <w:annotationRef/>
      </w:r>
      <w:r>
        <w:t>Their ethnic group?</w:t>
      </w:r>
    </w:p>
  </w:comment>
  <w:comment w:id="2" w:author="Elizabeth Zauderer" w:date="2020-10-29T09:52:00Z" w:initials="EZ">
    <w:p w14:paraId="44C42473" w14:textId="51D21021" w:rsidR="00D2316B" w:rsidRDefault="00D2316B">
      <w:pPr>
        <w:pStyle w:val="CommentText"/>
      </w:pPr>
      <w:r>
        <w:rPr>
          <w:rStyle w:val="CommentReference"/>
        </w:rPr>
        <w:annotationRef/>
      </w:r>
      <w:r>
        <w:t>Clinical?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8425E3" w15:done="0"/>
  <w15:commentEx w15:paraId="3813A726" w15:done="0"/>
  <w15:commentEx w15:paraId="44C424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0C99" w16cex:dateUtc="2020-10-29T07:40:00Z"/>
  <w16cex:commentExtensible w16cex:durableId="23450E12" w16cex:dateUtc="2020-10-29T07:46:00Z"/>
  <w16cex:commentExtensible w16cex:durableId="23450F4F" w16cex:dateUtc="2020-10-29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8425E3" w16cid:durableId="23450C99"/>
  <w16cid:commentId w16cid:paraId="3813A726" w16cid:durableId="23450E12"/>
  <w16cid:commentId w16cid:paraId="44C42473" w16cid:durableId="23450F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F63C1" w14:textId="77777777" w:rsidR="00DB5D7E" w:rsidRDefault="00DB5D7E" w:rsidP="00105010">
      <w:pPr>
        <w:spacing w:line="240" w:lineRule="auto"/>
      </w:pPr>
      <w:r>
        <w:separator/>
      </w:r>
    </w:p>
  </w:endnote>
  <w:endnote w:type="continuationSeparator" w:id="0">
    <w:p w14:paraId="625EA720" w14:textId="77777777" w:rsidR="00DB5D7E" w:rsidRDefault="00DB5D7E" w:rsidP="00105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840133"/>
      <w:docPartObj>
        <w:docPartGallery w:val="Page Numbers (Bottom of Page)"/>
        <w:docPartUnique/>
      </w:docPartObj>
    </w:sdtPr>
    <w:sdtEndPr>
      <w:rPr>
        <w:noProof/>
      </w:rPr>
    </w:sdtEndPr>
    <w:sdtContent>
      <w:p w14:paraId="42C0F0D2" w14:textId="7965B943" w:rsidR="00105010" w:rsidRDefault="001050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84BD9" w14:textId="77777777" w:rsidR="00105010" w:rsidRDefault="0010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99F10" w14:textId="77777777" w:rsidR="00DB5D7E" w:rsidRDefault="00DB5D7E" w:rsidP="00105010">
      <w:pPr>
        <w:spacing w:line="240" w:lineRule="auto"/>
      </w:pPr>
      <w:r>
        <w:separator/>
      </w:r>
    </w:p>
  </w:footnote>
  <w:footnote w:type="continuationSeparator" w:id="0">
    <w:p w14:paraId="260C11E2" w14:textId="77777777" w:rsidR="00DB5D7E" w:rsidRDefault="00DB5D7E" w:rsidP="001050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C7E65"/>
    <w:multiLevelType w:val="hybridMultilevel"/>
    <w:tmpl w:val="7DE4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10"/>
    <w:rsid w:val="00002D1F"/>
    <w:rsid w:val="0000399E"/>
    <w:rsid w:val="00003BCB"/>
    <w:rsid w:val="0001184C"/>
    <w:rsid w:val="0001466D"/>
    <w:rsid w:val="000234C4"/>
    <w:rsid w:val="00025692"/>
    <w:rsid w:val="0002733E"/>
    <w:rsid w:val="00027911"/>
    <w:rsid w:val="00031F49"/>
    <w:rsid w:val="000371FE"/>
    <w:rsid w:val="00037A07"/>
    <w:rsid w:val="00041BF7"/>
    <w:rsid w:val="00046716"/>
    <w:rsid w:val="00057935"/>
    <w:rsid w:val="0006465E"/>
    <w:rsid w:val="00071624"/>
    <w:rsid w:val="00072630"/>
    <w:rsid w:val="000758BD"/>
    <w:rsid w:val="00076CA7"/>
    <w:rsid w:val="00081DEF"/>
    <w:rsid w:val="00084E21"/>
    <w:rsid w:val="00085557"/>
    <w:rsid w:val="000864A9"/>
    <w:rsid w:val="000A0C86"/>
    <w:rsid w:val="000A44EF"/>
    <w:rsid w:val="000A7EB6"/>
    <w:rsid w:val="000B05BC"/>
    <w:rsid w:val="000B22F8"/>
    <w:rsid w:val="000C2B40"/>
    <w:rsid w:val="000C606F"/>
    <w:rsid w:val="000D24CA"/>
    <w:rsid w:val="000D2D66"/>
    <w:rsid w:val="000D2D8D"/>
    <w:rsid w:val="000D7D43"/>
    <w:rsid w:val="000E08BD"/>
    <w:rsid w:val="000E0DD0"/>
    <w:rsid w:val="000F0424"/>
    <w:rsid w:val="000F32A5"/>
    <w:rsid w:val="000F69E9"/>
    <w:rsid w:val="00101A08"/>
    <w:rsid w:val="001020B6"/>
    <w:rsid w:val="001029EE"/>
    <w:rsid w:val="00102E3A"/>
    <w:rsid w:val="001036B5"/>
    <w:rsid w:val="001037ED"/>
    <w:rsid w:val="00105010"/>
    <w:rsid w:val="00111755"/>
    <w:rsid w:val="00112527"/>
    <w:rsid w:val="00117813"/>
    <w:rsid w:val="0012002C"/>
    <w:rsid w:val="00122ACA"/>
    <w:rsid w:val="00125E89"/>
    <w:rsid w:val="00130A30"/>
    <w:rsid w:val="00133419"/>
    <w:rsid w:val="001337B7"/>
    <w:rsid w:val="0013464F"/>
    <w:rsid w:val="001359BA"/>
    <w:rsid w:val="00135A52"/>
    <w:rsid w:val="00137D2A"/>
    <w:rsid w:val="00141C96"/>
    <w:rsid w:val="0014355E"/>
    <w:rsid w:val="00151D8B"/>
    <w:rsid w:val="00154AEA"/>
    <w:rsid w:val="001638F6"/>
    <w:rsid w:val="00174F07"/>
    <w:rsid w:val="001804BA"/>
    <w:rsid w:val="0018160A"/>
    <w:rsid w:val="00184D56"/>
    <w:rsid w:val="001906B7"/>
    <w:rsid w:val="00191347"/>
    <w:rsid w:val="00192A72"/>
    <w:rsid w:val="00192C68"/>
    <w:rsid w:val="001934B9"/>
    <w:rsid w:val="001A011C"/>
    <w:rsid w:val="001A19CA"/>
    <w:rsid w:val="001A2DD6"/>
    <w:rsid w:val="001A2FD3"/>
    <w:rsid w:val="001A6C8E"/>
    <w:rsid w:val="001B5709"/>
    <w:rsid w:val="001B6AA7"/>
    <w:rsid w:val="001C0BA5"/>
    <w:rsid w:val="001C0CCC"/>
    <w:rsid w:val="001C758A"/>
    <w:rsid w:val="001D741B"/>
    <w:rsid w:val="001D7946"/>
    <w:rsid w:val="001E57EB"/>
    <w:rsid w:val="001E7BAB"/>
    <w:rsid w:val="001F440A"/>
    <w:rsid w:val="001F4ABA"/>
    <w:rsid w:val="001F4C35"/>
    <w:rsid w:val="001F5A87"/>
    <w:rsid w:val="001F6AB2"/>
    <w:rsid w:val="001F7ED0"/>
    <w:rsid w:val="00207921"/>
    <w:rsid w:val="00213AB9"/>
    <w:rsid w:val="002148CE"/>
    <w:rsid w:val="0021752F"/>
    <w:rsid w:val="002200A5"/>
    <w:rsid w:val="00221641"/>
    <w:rsid w:val="00223AC5"/>
    <w:rsid w:val="002243D6"/>
    <w:rsid w:val="00225AA8"/>
    <w:rsid w:val="002343C4"/>
    <w:rsid w:val="00245BC5"/>
    <w:rsid w:val="00250756"/>
    <w:rsid w:val="00260849"/>
    <w:rsid w:val="002623E7"/>
    <w:rsid w:val="0027127A"/>
    <w:rsid w:val="00277ED4"/>
    <w:rsid w:val="00281A98"/>
    <w:rsid w:val="002908E7"/>
    <w:rsid w:val="0029594C"/>
    <w:rsid w:val="00297F5F"/>
    <w:rsid w:val="002A2A01"/>
    <w:rsid w:val="002B0E04"/>
    <w:rsid w:val="002B65E8"/>
    <w:rsid w:val="002B7C69"/>
    <w:rsid w:val="002C7876"/>
    <w:rsid w:val="002D0053"/>
    <w:rsid w:val="002D0510"/>
    <w:rsid w:val="002D76D6"/>
    <w:rsid w:val="002F067A"/>
    <w:rsid w:val="002F24D5"/>
    <w:rsid w:val="002F4604"/>
    <w:rsid w:val="002F51F3"/>
    <w:rsid w:val="002F5552"/>
    <w:rsid w:val="00300A96"/>
    <w:rsid w:val="003021F5"/>
    <w:rsid w:val="0030543F"/>
    <w:rsid w:val="00307379"/>
    <w:rsid w:val="00317937"/>
    <w:rsid w:val="00321A03"/>
    <w:rsid w:val="00322F91"/>
    <w:rsid w:val="00327F76"/>
    <w:rsid w:val="003312DA"/>
    <w:rsid w:val="003313A6"/>
    <w:rsid w:val="00334AB9"/>
    <w:rsid w:val="00335BF3"/>
    <w:rsid w:val="00336913"/>
    <w:rsid w:val="003402A3"/>
    <w:rsid w:val="003407E3"/>
    <w:rsid w:val="00342D90"/>
    <w:rsid w:val="00343F4D"/>
    <w:rsid w:val="0035168D"/>
    <w:rsid w:val="00355B56"/>
    <w:rsid w:val="00355BF6"/>
    <w:rsid w:val="00357FDA"/>
    <w:rsid w:val="003600A3"/>
    <w:rsid w:val="00360A34"/>
    <w:rsid w:val="00360A8F"/>
    <w:rsid w:val="00360F4A"/>
    <w:rsid w:val="00365CA2"/>
    <w:rsid w:val="0037151C"/>
    <w:rsid w:val="003759DF"/>
    <w:rsid w:val="00375B2B"/>
    <w:rsid w:val="00376F10"/>
    <w:rsid w:val="00377E62"/>
    <w:rsid w:val="00380014"/>
    <w:rsid w:val="00381243"/>
    <w:rsid w:val="003855AB"/>
    <w:rsid w:val="003860D7"/>
    <w:rsid w:val="00390265"/>
    <w:rsid w:val="00394616"/>
    <w:rsid w:val="0039776C"/>
    <w:rsid w:val="003A5ADE"/>
    <w:rsid w:val="003B0635"/>
    <w:rsid w:val="003B0B14"/>
    <w:rsid w:val="003B39AA"/>
    <w:rsid w:val="003B5C63"/>
    <w:rsid w:val="003B7DA7"/>
    <w:rsid w:val="003D07B2"/>
    <w:rsid w:val="003D14A1"/>
    <w:rsid w:val="003D462B"/>
    <w:rsid w:val="003D677B"/>
    <w:rsid w:val="003D72EF"/>
    <w:rsid w:val="003E46D4"/>
    <w:rsid w:val="003F01AC"/>
    <w:rsid w:val="003F37E6"/>
    <w:rsid w:val="003F5DD9"/>
    <w:rsid w:val="003F715E"/>
    <w:rsid w:val="004008F2"/>
    <w:rsid w:val="00403498"/>
    <w:rsid w:val="00404B37"/>
    <w:rsid w:val="00405176"/>
    <w:rsid w:val="004112A2"/>
    <w:rsid w:val="004152B7"/>
    <w:rsid w:val="00420AA2"/>
    <w:rsid w:val="00422F8D"/>
    <w:rsid w:val="00430958"/>
    <w:rsid w:val="00437932"/>
    <w:rsid w:val="00445266"/>
    <w:rsid w:val="0044714D"/>
    <w:rsid w:val="00451012"/>
    <w:rsid w:val="00454A0A"/>
    <w:rsid w:val="0045629A"/>
    <w:rsid w:val="0046065B"/>
    <w:rsid w:val="004665D8"/>
    <w:rsid w:val="004669FA"/>
    <w:rsid w:val="00467840"/>
    <w:rsid w:val="00470573"/>
    <w:rsid w:val="00474C17"/>
    <w:rsid w:val="004773CF"/>
    <w:rsid w:val="00480FD0"/>
    <w:rsid w:val="004866DA"/>
    <w:rsid w:val="004874C1"/>
    <w:rsid w:val="00491F8B"/>
    <w:rsid w:val="004A2135"/>
    <w:rsid w:val="004A3704"/>
    <w:rsid w:val="004C112B"/>
    <w:rsid w:val="004C7790"/>
    <w:rsid w:val="004E036C"/>
    <w:rsid w:val="004E45DE"/>
    <w:rsid w:val="004E4D0A"/>
    <w:rsid w:val="004E57EB"/>
    <w:rsid w:val="004F4718"/>
    <w:rsid w:val="004F47DF"/>
    <w:rsid w:val="004F4845"/>
    <w:rsid w:val="005066FC"/>
    <w:rsid w:val="005107F4"/>
    <w:rsid w:val="00511D10"/>
    <w:rsid w:val="005147CF"/>
    <w:rsid w:val="00516670"/>
    <w:rsid w:val="00521C4C"/>
    <w:rsid w:val="00523219"/>
    <w:rsid w:val="005250D5"/>
    <w:rsid w:val="005270C7"/>
    <w:rsid w:val="005317B6"/>
    <w:rsid w:val="00541302"/>
    <w:rsid w:val="00545328"/>
    <w:rsid w:val="0055038D"/>
    <w:rsid w:val="005615BD"/>
    <w:rsid w:val="00563AB3"/>
    <w:rsid w:val="00567786"/>
    <w:rsid w:val="005773F2"/>
    <w:rsid w:val="00580CBD"/>
    <w:rsid w:val="0058185B"/>
    <w:rsid w:val="00584096"/>
    <w:rsid w:val="0058463A"/>
    <w:rsid w:val="00585BD7"/>
    <w:rsid w:val="0058697B"/>
    <w:rsid w:val="005934A2"/>
    <w:rsid w:val="00595675"/>
    <w:rsid w:val="00597009"/>
    <w:rsid w:val="00597892"/>
    <w:rsid w:val="005A5190"/>
    <w:rsid w:val="005A730A"/>
    <w:rsid w:val="005C1C17"/>
    <w:rsid w:val="005C2CCE"/>
    <w:rsid w:val="005C4CD9"/>
    <w:rsid w:val="005C53DE"/>
    <w:rsid w:val="005D457D"/>
    <w:rsid w:val="005D58B5"/>
    <w:rsid w:val="005D7596"/>
    <w:rsid w:val="005E4A4A"/>
    <w:rsid w:val="005E6D37"/>
    <w:rsid w:val="005F14A1"/>
    <w:rsid w:val="005F2B57"/>
    <w:rsid w:val="005F3066"/>
    <w:rsid w:val="00602423"/>
    <w:rsid w:val="00602A3C"/>
    <w:rsid w:val="00605C23"/>
    <w:rsid w:val="006127DB"/>
    <w:rsid w:val="006130D8"/>
    <w:rsid w:val="00614F5B"/>
    <w:rsid w:val="00623748"/>
    <w:rsid w:val="00627C68"/>
    <w:rsid w:val="006308ED"/>
    <w:rsid w:val="00631CE5"/>
    <w:rsid w:val="00645C85"/>
    <w:rsid w:val="00646649"/>
    <w:rsid w:val="00647B9D"/>
    <w:rsid w:val="006501C9"/>
    <w:rsid w:val="00661F32"/>
    <w:rsid w:val="00664A7F"/>
    <w:rsid w:val="0066529D"/>
    <w:rsid w:val="00666749"/>
    <w:rsid w:val="00681053"/>
    <w:rsid w:val="00682E21"/>
    <w:rsid w:val="006835A9"/>
    <w:rsid w:val="006912A7"/>
    <w:rsid w:val="00696F5F"/>
    <w:rsid w:val="00697647"/>
    <w:rsid w:val="00697D51"/>
    <w:rsid w:val="006A1BF7"/>
    <w:rsid w:val="006A2289"/>
    <w:rsid w:val="006A3616"/>
    <w:rsid w:val="006A5351"/>
    <w:rsid w:val="006A69C3"/>
    <w:rsid w:val="006A7F25"/>
    <w:rsid w:val="006B7D21"/>
    <w:rsid w:val="006C3BDF"/>
    <w:rsid w:val="006D024E"/>
    <w:rsid w:val="006D1C4E"/>
    <w:rsid w:val="006D2282"/>
    <w:rsid w:val="006D3962"/>
    <w:rsid w:val="006E094E"/>
    <w:rsid w:val="006E1391"/>
    <w:rsid w:val="006E45C5"/>
    <w:rsid w:val="006F3D5B"/>
    <w:rsid w:val="006F5744"/>
    <w:rsid w:val="006F5B2D"/>
    <w:rsid w:val="00700079"/>
    <w:rsid w:val="0070262C"/>
    <w:rsid w:val="007124DB"/>
    <w:rsid w:val="00713F0A"/>
    <w:rsid w:val="007150CB"/>
    <w:rsid w:val="00715298"/>
    <w:rsid w:val="00715FCB"/>
    <w:rsid w:val="007201D2"/>
    <w:rsid w:val="00720455"/>
    <w:rsid w:val="007222C5"/>
    <w:rsid w:val="00722C48"/>
    <w:rsid w:val="0072525D"/>
    <w:rsid w:val="00732583"/>
    <w:rsid w:val="00734241"/>
    <w:rsid w:val="0073686F"/>
    <w:rsid w:val="007400CC"/>
    <w:rsid w:val="007427D7"/>
    <w:rsid w:val="007428BF"/>
    <w:rsid w:val="007479FD"/>
    <w:rsid w:val="007533DA"/>
    <w:rsid w:val="00760B19"/>
    <w:rsid w:val="007669A3"/>
    <w:rsid w:val="00772D65"/>
    <w:rsid w:val="007735C9"/>
    <w:rsid w:val="00773899"/>
    <w:rsid w:val="00775473"/>
    <w:rsid w:val="00780814"/>
    <w:rsid w:val="00781E01"/>
    <w:rsid w:val="00782D70"/>
    <w:rsid w:val="00783B76"/>
    <w:rsid w:val="00786D8F"/>
    <w:rsid w:val="00790662"/>
    <w:rsid w:val="007939D6"/>
    <w:rsid w:val="007A0D46"/>
    <w:rsid w:val="007A6E62"/>
    <w:rsid w:val="007A79BF"/>
    <w:rsid w:val="007A7A15"/>
    <w:rsid w:val="007B14EA"/>
    <w:rsid w:val="007B1519"/>
    <w:rsid w:val="007B22C0"/>
    <w:rsid w:val="007C1AE3"/>
    <w:rsid w:val="007C3692"/>
    <w:rsid w:val="007C4288"/>
    <w:rsid w:val="007C4D74"/>
    <w:rsid w:val="007D20A6"/>
    <w:rsid w:val="007D2A3E"/>
    <w:rsid w:val="007D38DA"/>
    <w:rsid w:val="007D3FF5"/>
    <w:rsid w:val="007D488D"/>
    <w:rsid w:val="007E378D"/>
    <w:rsid w:val="007E5FC6"/>
    <w:rsid w:val="007F257F"/>
    <w:rsid w:val="007F7078"/>
    <w:rsid w:val="007F7842"/>
    <w:rsid w:val="008007D4"/>
    <w:rsid w:val="008028A1"/>
    <w:rsid w:val="00807B7C"/>
    <w:rsid w:val="00813B20"/>
    <w:rsid w:val="00821F65"/>
    <w:rsid w:val="00826DA1"/>
    <w:rsid w:val="008301FD"/>
    <w:rsid w:val="00830DB2"/>
    <w:rsid w:val="00832079"/>
    <w:rsid w:val="00835231"/>
    <w:rsid w:val="00836928"/>
    <w:rsid w:val="00836ABE"/>
    <w:rsid w:val="00841229"/>
    <w:rsid w:val="00852D5C"/>
    <w:rsid w:val="00854327"/>
    <w:rsid w:val="00860D76"/>
    <w:rsid w:val="0086115D"/>
    <w:rsid w:val="008617CF"/>
    <w:rsid w:val="00862EF4"/>
    <w:rsid w:val="00863B12"/>
    <w:rsid w:val="00866257"/>
    <w:rsid w:val="0087138A"/>
    <w:rsid w:val="00874FA0"/>
    <w:rsid w:val="00875673"/>
    <w:rsid w:val="008757D7"/>
    <w:rsid w:val="008772D4"/>
    <w:rsid w:val="00877993"/>
    <w:rsid w:val="00877EFB"/>
    <w:rsid w:val="0088006F"/>
    <w:rsid w:val="00880BF6"/>
    <w:rsid w:val="00887B76"/>
    <w:rsid w:val="00892414"/>
    <w:rsid w:val="008943C2"/>
    <w:rsid w:val="0089450E"/>
    <w:rsid w:val="00895B6F"/>
    <w:rsid w:val="008A1642"/>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01E2"/>
    <w:rsid w:val="008F2AAB"/>
    <w:rsid w:val="008F5A4B"/>
    <w:rsid w:val="008F74A9"/>
    <w:rsid w:val="00901386"/>
    <w:rsid w:val="00914B46"/>
    <w:rsid w:val="009168E2"/>
    <w:rsid w:val="009200B8"/>
    <w:rsid w:val="00921644"/>
    <w:rsid w:val="0092208E"/>
    <w:rsid w:val="00922609"/>
    <w:rsid w:val="00933CBD"/>
    <w:rsid w:val="00935F60"/>
    <w:rsid w:val="00943271"/>
    <w:rsid w:val="00943B0E"/>
    <w:rsid w:val="009442B1"/>
    <w:rsid w:val="00952F8C"/>
    <w:rsid w:val="00954F31"/>
    <w:rsid w:val="009560DC"/>
    <w:rsid w:val="0096066B"/>
    <w:rsid w:val="00961D5D"/>
    <w:rsid w:val="0096319D"/>
    <w:rsid w:val="00965952"/>
    <w:rsid w:val="009661FB"/>
    <w:rsid w:val="0096712B"/>
    <w:rsid w:val="00973C99"/>
    <w:rsid w:val="00981A0C"/>
    <w:rsid w:val="00982E0B"/>
    <w:rsid w:val="00987AD5"/>
    <w:rsid w:val="00990D21"/>
    <w:rsid w:val="00993B00"/>
    <w:rsid w:val="009953C8"/>
    <w:rsid w:val="00996EE3"/>
    <w:rsid w:val="009A10C6"/>
    <w:rsid w:val="009A4976"/>
    <w:rsid w:val="009B07D5"/>
    <w:rsid w:val="009B49EB"/>
    <w:rsid w:val="009B6230"/>
    <w:rsid w:val="009D53E9"/>
    <w:rsid w:val="009D6490"/>
    <w:rsid w:val="009D6B92"/>
    <w:rsid w:val="009D7B0F"/>
    <w:rsid w:val="009E0693"/>
    <w:rsid w:val="009E4776"/>
    <w:rsid w:val="009E5C2B"/>
    <w:rsid w:val="009E7D47"/>
    <w:rsid w:val="009F2449"/>
    <w:rsid w:val="009F50D8"/>
    <w:rsid w:val="009F71EF"/>
    <w:rsid w:val="00A00045"/>
    <w:rsid w:val="00A00326"/>
    <w:rsid w:val="00A03C78"/>
    <w:rsid w:val="00A04F89"/>
    <w:rsid w:val="00A111FB"/>
    <w:rsid w:val="00A1405A"/>
    <w:rsid w:val="00A152D9"/>
    <w:rsid w:val="00A17507"/>
    <w:rsid w:val="00A24219"/>
    <w:rsid w:val="00A24223"/>
    <w:rsid w:val="00A25B4F"/>
    <w:rsid w:val="00A303F0"/>
    <w:rsid w:val="00A3386C"/>
    <w:rsid w:val="00A3393B"/>
    <w:rsid w:val="00A37DA1"/>
    <w:rsid w:val="00A41060"/>
    <w:rsid w:val="00A45738"/>
    <w:rsid w:val="00A47DB2"/>
    <w:rsid w:val="00A53C7E"/>
    <w:rsid w:val="00A54547"/>
    <w:rsid w:val="00A60D83"/>
    <w:rsid w:val="00A632C7"/>
    <w:rsid w:val="00A657CB"/>
    <w:rsid w:val="00A7129A"/>
    <w:rsid w:val="00A72901"/>
    <w:rsid w:val="00A7603D"/>
    <w:rsid w:val="00A84976"/>
    <w:rsid w:val="00A85FA3"/>
    <w:rsid w:val="00A86D84"/>
    <w:rsid w:val="00A87D8C"/>
    <w:rsid w:val="00A91114"/>
    <w:rsid w:val="00A93ED4"/>
    <w:rsid w:val="00AA1B18"/>
    <w:rsid w:val="00AA3E7D"/>
    <w:rsid w:val="00AA6728"/>
    <w:rsid w:val="00AA7288"/>
    <w:rsid w:val="00AB311F"/>
    <w:rsid w:val="00AB3401"/>
    <w:rsid w:val="00AB529C"/>
    <w:rsid w:val="00AB6B59"/>
    <w:rsid w:val="00AC33A6"/>
    <w:rsid w:val="00AC64FE"/>
    <w:rsid w:val="00AD48F8"/>
    <w:rsid w:val="00AD7FA1"/>
    <w:rsid w:val="00AE0A05"/>
    <w:rsid w:val="00AE2385"/>
    <w:rsid w:val="00AE73E3"/>
    <w:rsid w:val="00AF2005"/>
    <w:rsid w:val="00AF2B57"/>
    <w:rsid w:val="00AF4BA3"/>
    <w:rsid w:val="00B02148"/>
    <w:rsid w:val="00B03516"/>
    <w:rsid w:val="00B119AA"/>
    <w:rsid w:val="00B13445"/>
    <w:rsid w:val="00B1664D"/>
    <w:rsid w:val="00B210BB"/>
    <w:rsid w:val="00B21B89"/>
    <w:rsid w:val="00B22470"/>
    <w:rsid w:val="00B245F6"/>
    <w:rsid w:val="00B2721F"/>
    <w:rsid w:val="00B34C45"/>
    <w:rsid w:val="00B35E3C"/>
    <w:rsid w:val="00B409DF"/>
    <w:rsid w:val="00B42A28"/>
    <w:rsid w:val="00B47165"/>
    <w:rsid w:val="00B50E43"/>
    <w:rsid w:val="00B55929"/>
    <w:rsid w:val="00B60D61"/>
    <w:rsid w:val="00B61982"/>
    <w:rsid w:val="00B72FA2"/>
    <w:rsid w:val="00B753AC"/>
    <w:rsid w:val="00B75D73"/>
    <w:rsid w:val="00B81631"/>
    <w:rsid w:val="00B81EAF"/>
    <w:rsid w:val="00B83D22"/>
    <w:rsid w:val="00B93ED6"/>
    <w:rsid w:val="00B95DD9"/>
    <w:rsid w:val="00B977E1"/>
    <w:rsid w:val="00BA4652"/>
    <w:rsid w:val="00BB666B"/>
    <w:rsid w:val="00BC0CD0"/>
    <w:rsid w:val="00BC31E8"/>
    <w:rsid w:val="00BC7568"/>
    <w:rsid w:val="00BD1BD4"/>
    <w:rsid w:val="00BD248B"/>
    <w:rsid w:val="00BD2950"/>
    <w:rsid w:val="00BD2ADB"/>
    <w:rsid w:val="00BD4110"/>
    <w:rsid w:val="00BD44D0"/>
    <w:rsid w:val="00BE118E"/>
    <w:rsid w:val="00BE360C"/>
    <w:rsid w:val="00BE7966"/>
    <w:rsid w:val="00BF2468"/>
    <w:rsid w:val="00C00BAA"/>
    <w:rsid w:val="00C04CCC"/>
    <w:rsid w:val="00C06177"/>
    <w:rsid w:val="00C156CA"/>
    <w:rsid w:val="00C15C0D"/>
    <w:rsid w:val="00C1633C"/>
    <w:rsid w:val="00C21F04"/>
    <w:rsid w:val="00C22852"/>
    <w:rsid w:val="00C23BCB"/>
    <w:rsid w:val="00C23DD8"/>
    <w:rsid w:val="00C2490F"/>
    <w:rsid w:val="00C2537E"/>
    <w:rsid w:val="00C31E8A"/>
    <w:rsid w:val="00C3238F"/>
    <w:rsid w:val="00C34FB5"/>
    <w:rsid w:val="00C42581"/>
    <w:rsid w:val="00C441D3"/>
    <w:rsid w:val="00C44EE2"/>
    <w:rsid w:val="00C51333"/>
    <w:rsid w:val="00C513C0"/>
    <w:rsid w:val="00C5156B"/>
    <w:rsid w:val="00C528BC"/>
    <w:rsid w:val="00C54835"/>
    <w:rsid w:val="00C55D0D"/>
    <w:rsid w:val="00C61B62"/>
    <w:rsid w:val="00C62580"/>
    <w:rsid w:val="00C63693"/>
    <w:rsid w:val="00C72327"/>
    <w:rsid w:val="00C726A0"/>
    <w:rsid w:val="00C76C55"/>
    <w:rsid w:val="00C82DBD"/>
    <w:rsid w:val="00C833E1"/>
    <w:rsid w:val="00C900ED"/>
    <w:rsid w:val="00C93458"/>
    <w:rsid w:val="00CA191F"/>
    <w:rsid w:val="00CA734A"/>
    <w:rsid w:val="00CB089E"/>
    <w:rsid w:val="00CB2162"/>
    <w:rsid w:val="00CB36E4"/>
    <w:rsid w:val="00CB392F"/>
    <w:rsid w:val="00CB704D"/>
    <w:rsid w:val="00CB7916"/>
    <w:rsid w:val="00CC6DA3"/>
    <w:rsid w:val="00CD24BB"/>
    <w:rsid w:val="00CD37D4"/>
    <w:rsid w:val="00CD590D"/>
    <w:rsid w:val="00CE3068"/>
    <w:rsid w:val="00CE44AD"/>
    <w:rsid w:val="00CF24DD"/>
    <w:rsid w:val="00CF5F5D"/>
    <w:rsid w:val="00D032DA"/>
    <w:rsid w:val="00D04557"/>
    <w:rsid w:val="00D07114"/>
    <w:rsid w:val="00D11B26"/>
    <w:rsid w:val="00D13881"/>
    <w:rsid w:val="00D14055"/>
    <w:rsid w:val="00D2316B"/>
    <w:rsid w:val="00D24F30"/>
    <w:rsid w:val="00D27ED4"/>
    <w:rsid w:val="00D34AFF"/>
    <w:rsid w:val="00D3768F"/>
    <w:rsid w:val="00D43FBC"/>
    <w:rsid w:val="00D44D2D"/>
    <w:rsid w:val="00D55769"/>
    <w:rsid w:val="00D65F69"/>
    <w:rsid w:val="00D741FB"/>
    <w:rsid w:val="00D77030"/>
    <w:rsid w:val="00D807B9"/>
    <w:rsid w:val="00D8092C"/>
    <w:rsid w:val="00D80CB0"/>
    <w:rsid w:val="00D841DA"/>
    <w:rsid w:val="00DA1B93"/>
    <w:rsid w:val="00DA69B0"/>
    <w:rsid w:val="00DA7B83"/>
    <w:rsid w:val="00DB3A25"/>
    <w:rsid w:val="00DB5D7E"/>
    <w:rsid w:val="00DC2A50"/>
    <w:rsid w:val="00DD610C"/>
    <w:rsid w:val="00DE1333"/>
    <w:rsid w:val="00DE1D98"/>
    <w:rsid w:val="00DE7E48"/>
    <w:rsid w:val="00DF0B5E"/>
    <w:rsid w:val="00E01B34"/>
    <w:rsid w:val="00E11411"/>
    <w:rsid w:val="00E14706"/>
    <w:rsid w:val="00E16820"/>
    <w:rsid w:val="00E20C83"/>
    <w:rsid w:val="00E24F00"/>
    <w:rsid w:val="00E3179F"/>
    <w:rsid w:val="00E3230F"/>
    <w:rsid w:val="00E33298"/>
    <w:rsid w:val="00E33890"/>
    <w:rsid w:val="00E3608D"/>
    <w:rsid w:val="00E366DB"/>
    <w:rsid w:val="00E37BF3"/>
    <w:rsid w:val="00E40B52"/>
    <w:rsid w:val="00E424A8"/>
    <w:rsid w:val="00E44532"/>
    <w:rsid w:val="00E45A4E"/>
    <w:rsid w:val="00E50EF4"/>
    <w:rsid w:val="00E550B4"/>
    <w:rsid w:val="00E65CCD"/>
    <w:rsid w:val="00E719D3"/>
    <w:rsid w:val="00E71B56"/>
    <w:rsid w:val="00E81401"/>
    <w:rsid w:val="00E83B15"/>
    <w:rsid w:val="00E86197"/>
    <w:rsid w:val="00E90D39"/>
    <w:rsid w:val="00E92772"/>
    <w:rsid w:val="00E97161"/>
    <w:rsid w:val="00EA064A"/>
    <w:rsid w:val="00EA1652"/>
    <w:rsid w:val="00EA5C8F"/>
    <w:rsid w:val="00EB3462"/>
    <w:rsid w:val="00EB723D"/>
    <w:rsid w:val="00EB75EF"/>
    <w:rsid w:val="00EC4231"/>
    <w:rsid w:val="00EC5559"/>
    <w:rsid w:val="00ED651E"/>
    <w:rsid w:val="00ED77DB"/>
    <w:rsid w:val="00EE0629"/>
    <w:rsid w:val="00EE339D"/>
    <w:rsid w:val="00EE7555"/>
    <w:rsid w:val="00EE7D9D"/>
    <w:rsid w:val="00EF1309"/>
    <w:rsid w:val="00EF6756"/>
    <w:rsid w:val="00EF7539"/>
    <w:rsid w:val="00F02B3C"/>
    <w:rsid w:val="00F05639"/>
    <w:rsid w:val="00F25B1F"/>
    <w:rsid w:val="00F266A5"/>
    <w:rsid w:val="00F31FD0"/>
    <w:rsid w:val="00F34F46"/>
    <w:rsid w:val="00F374E3"/>
    <w:rsid w:val="00F40D56"/>
    <w:rsid w:val="00F449E8"/>
    <w:rsid w:val="00F463EF"/>
    <w:rsid w:val="00F52181"/>
    <w:rsid w:val="00F54311"/>
    <w:rsid w:val="00F569F1"/>
    <w:rsid w:val="00F61124"/>
    <w:rsid w:val="00F63461"/>
    <w:rsid w:val="00F71B5F"/>
    <w:rsid w:val="00F73FA8"/>
    <w:rsid w:val="00F750C8"/>
    <w:rsid w:val="00F81164"/>
    <w:rsid w:val="00F84DA3"/>
    <w:rsid w:val="00F8745B"/>
    <w:rsid w:val="00F9604E"/>
    <w:rsid w:val="00FA0E5D"/>
    <w:rsid w:val="00FA461A"/>
    <w:rsid w:val="00FA4F8F"/>
    <w:rsid w:val="00FA5839"/>
    <w:rsid w:val="00FA58FE"/>
    <w:rsid w:val="00FB75C9"/>
    <w:rsid w:val="00FC28FC"/>
    <w:rsid w:val="00FD3C0B"/>
    <w:rsid w:val="00FD4EB6"/>
    <w:rsid w:val="00FD78D7"/>
    <w:rsid w:val="00FE1BDE"/>
    <w:rsid w:val="00FE3778"/>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5120"/>
  <w15:chartTrackingRefBased/>
  <w15:docId w15:val="{7839C524-8836-4BB1-969C-793EC3A2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he-IL"/>
      </w:rPr>
    </w:rPrDefault>
    <w:pPrDefault>
      <w:pPr>
        <w:spacing w:line="480" w:lineRule="auto"/>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010"/>
    <w:pPr>
      <w:tabs>
        <w:tab w:val="center" w:pos="4680"/>
        <w:tab w:val="right" w:pos="9360"/>
      </w:tabs>
      <w:spacing w:line="240" w:lineRule="auto"/>
    </w:pPr>
  </w:style>
  <w:style w:type="character" w:customStyle="1" w:styleId="HeaderChar">
    <w:name w:val="Header Char"/>
    <w:basedOn w:val="DefaultParagraphFont"/>
    <w:link w:val="Header"/>
    <w:uiPriority w:val="99"/>
    <w:rsid w:val="00105010"/>
  </w:style>
  <w:style w:type="paragraph" w:styleId="Footer">
    <w:name w:val="footer"/>
    <w:basedOn w:val="Normal"/>
    <w:link w:val="FooterChar"/>
    <w:uiPriority w:val="99"/>
    <w:unhideWhenUsed/>
    <w:rsid w:val="00105010"/>
    <w:pPr>
      <w:tabs>
        <w:tab w:val="center" w:pos="4680"/>
        <w:tab w:val="right" w:pos="9360"/>
      </w:tabs>
      <w:spacing w:line="240" w:lineRule="auto"/>
    </w:pPr>
  </w:style>
  <w:style w:type="character" w:customStyle="1" w:styleId="FooterChar">
    <w:name w:val="Footer Char"/>
    <w:basedOn w:val="DefaultParagraphFont"/>
    <w:link w:val="Footer"/>
    <w:uiPriority w:val="99"/>
    <w:rsid w:val="00105010"/>
  </w:style>
  <w:style w:type="paragraph" w:styleId="ListParagraph">
    <w:name w:val="List Paragraph"/>
    <w:basedOn w:val="Normal"/>
    <w:uiPriority w:val="34"/>
    <w:qFormat/>
    <w:rsid w:val="00184D56"/>
    <w:pPr>
      <w:ind w:left="720"/>
      <w:contextualSpacing/>
    </w:pPr>
  </w:style>
  <w:style w:type="character" w:styleId="CommentReference">
    <w:name w:val="annotation reference"/>
    <w:basedOn w:val="DefaultParagraphFont"/>
    <w:uiPriority w:val="99"/>
    <w:semiHidden/>
    <w:unhideWhenUsed/>
    <w:rsid w:val="00C23DD8"/>
    <w:rPr>
      <w:sz w:val="16"/>
      <w:szCs w:val="16"/>
    </w:rPr>
  </w:style>
  <w:style w:type="paragraph" w:styleId="CommentText">
    <w:name w:val="annotation text"/>
    <w:basedOn w:val="Normal"/>
    <w:link w:val="CommentTextChar"/>
    <w:uiPriority w:val="99"/>
    <w:semiHidden/>
    <w:unhideWhenUsed/>
    <w:rsid w:val="00C23DD8"/>
    <w:pPr>
      <w:spacing w:line="240" w:lineRule="auto"/>
    </w:pPr>
    <w:rPr>
      <w:sz w:val="20"/>
      <w:szCs w:val="20"/>
    </w:rPr>
  </w:style>
  <w:style w:type="character" w:customStyle="1" w:styleId="CommentTextChar">
    <w:name w:val="Comment Text Char"/>
    <w:basedOn w:val="DefaultParagraphFont"/>
    <w:link w:val="CommentText"/>
    <w:uiPriority w:val="99"/>
    <w:semiHidden/>
    <w:rsid w:val="00C23DD8"/>
    <w:rPr>
      <w:sz w:val="20"/>
      <w:szCs w:val="20"/>
    </w:rPr>
  </w:style>
  <w:style w:type="paragraph" w:styleId="CommentSubject">
    <w:name w:val="annotation subject"/>
    <w:basedOn w:val="CommentText"/>
    <w:next w:val="CommentText"/>
    <w:link w:val="CommentSubjectChar"/>
    <w:uiPriority w:val="99"/>
    <w:semiHidden/>
    <w:unhideWhenUsed/>
    <w:rsid w:val="00C23DD8"/>
    <w:rPr>
      <w:b/>
      <w:bCs/>
    </w:rPr>
  </w:style>
  <w:style w:type="character" w:customStyle="1" w:styleId="CommentSubjectChar">
    <w:name w:val="Comment Subject Char"/>
    <w:basedOn w:val="CommentTextChar"/>
    <w:link w:val="CommentSubject"/>
    <w:uiPriority w:val="99"/>
    <w:semiHidden/>
    <w:rsid w:val="00C23DD8"/>
    <w:rPr>
      <w:b/>
      <w:bCs/>
      <w:sz w:val="20"/>
      <w:szCs w:val="20"/>
    </w:rPr>
  </w:style>
  <w:style w:type="paragraph" w:styleId="BalloonText">
    <w:name w:val="Balloon Text"/>
    <w:basedOn w:val="Normal"/>
    <w:link w:val="BalloonTextChar"/>
    <w:uiPriority w:val="99"/>
    <w:semiHidden/>
    <w:unhideWhenUsed/>
    <w:rsid w:val="00C23D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9</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8</cp:revision>
  <dcterms:created xsi:type="dcterms:W3CDTF">2020-10-28T07:02:00Z</dcterms:created>
  <dcterms:modified xsi:type="dcterms:W3CDTF">2020-10-29T08:05:00Z</dcterms:modified>
</cp:coreProperties>
</file>