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9C9EA" w14:textId="77777777" w:rsidR="007D06B9" w:rsidRPr="003215C5" w:rsidRDefault="007D06B9" w:rsidP="00286484">
      <w:pPr>
        <w:spacing w:line="360" w:lineRule="auto"/>
        <w:rPr>
          <w:b/>
          <w:bCs/>
          <w:sz w:val="28"/>
          <w:szCs w:val="28"/>
        </w:rPr>
      </w:pPr>
      <w:r w:rsidRPr="003215C5">
        <w:rPr>
          <w:b/>
          <w:bCs/>
          <w:sz w:val="28"/>
          <w:szCs w:val="28"/>
        </w:rPr>
        <w:t>Chapter 4</w:t>
      </w:r>
    </w:p>
    <w:p w14:paraId="61D8E352" w14:textId="43AA6A11" w:rsidR="00CC611D" w:rsidRPr="003215C5" w:rsidRDefault="007D06B9" w:rsidP="00286484">
      <w:pPr>
        <w:spacing w:line="360" w:lineRule="auto"/>
        <w:rPr>
          <w:b/>
          <w:bCs/>
          <w:color w:val="2F5496" w:themeColor="accent1" w:themeShade="BF"/>
          <w:sz w:val="26"/>
          <w:szCs w:val="26"/>
        </w:rPr>
      </w:pPr>
      <w:r w:rsidRPr="003215C5">
        <w:rPr>
          <w:b/>
          <w:bCs/>
          <w:color w:val="2F5496" w:themeColor="accent1" w:themeShade="BF"/>
          <w:sz w:val="26"/>
          <w:szCs w:val="26"/>
        </w:rPr>
        <w:t>Internal Organi</w:t>
      </w:r>
      <w:r w:rsidR="00A13CEF">
        <w:rPr>
          <w:b/>
          <w:bCs/>
          <w:color w:val="2F5496" w:themeColor="accent1" w:themeShade="BF"/>
          <w:sz w:val="26"/>
          <w:szCs w:val="26"/>
        </w:rPr>
        <w:t>s</w:t>
      </w:r>
      <w:r w:rsidRPr="003215C5">
        <w:rPr>
          <w:b/>
          <w:bCs/>
          <w:color w:val="2F5496" w:themeColor="accent1" w:themeShade="BF"/>
          <w:sz w:val="26"/>
          <w:szCs w:val="26"/>
        </w:rPr>
        <w:t>ational Elements – Decision</w:t>
      </w:r>
      <w:r w:rsidR="000D37DC">
        <w:rPr>
          <w:b/>
          <w:bCs/>
          <w:color w:val="2F5496" w:themeColor="accent1" w:themeShade="BF"/>
          <w:sz w:val="26"/>
          <w:szCs w:val="26"/>
        </w:rPr>
        <w:t>-</w:t>
      </w:r>
      <w:r w:rsidRPr="003215C5">
        <w:rPr>
          <w:b/>
          <w:bCs/>
          <w:color w:val="2F5496" w:themeColor="accent1" w:themeShade="BF"/>
          <w:sz w:val="26"/>
          <w:szCs w:val="26"/>
        </w:rPr>
        <w:t>Making Mechanisms</w:t>
      </w:r>
    </w:p>
    <w:p w14:paraId="72E5ADA9" w14:textId="47A3426D" w:rsidR="007D06B9" w:rsidRPr="003215C5" w:rsidRDefault="007D06B9" w:rsidP="00286484">
      <w:pPr>
        <w:spacing w:line="360" w:lineRule="auto"/>
        <w:ind w:firstLine="720"/>
        <w:jc w:val="both"/>
      </w:pPr>
      <w:r w:rsidRPr="003215C5">
        <w:t>In recent decades there has been an increase in research on diversity management in organi</w:t>
      </w:r>
      <w:r w:rsidR="00BB3817">
        <w:t>s</w:t>
      </w:r>
      <w:r w:rsidRPr="003215C5">
        <w:t xml:space="preserve">ations, </w:t>
      </w:r>
      <w:r w:rsidR="00BB3817">
        <w:t xml:space="preserve">and </w:t>
      </w:r>
      <w:r w:rsidR="00481750">
        <w:t xml:space="preserve">on </w:t>
      </w:r>
      <w:r w:rsidRPr="003215C5">
        <w:t>the need for diversity and inclusion</w:t>
      </w:r>
      <w:r w:rsidR="00481750">
        <w:t>.</w:t>
      </w:r>
      <w:r w:rsidR="00E00D35" w:rsidRPr="003215C5">
        <w:rPr>
          <w:rStyle w:val="FootnoteReference"/>
        </w:rPr>
        <w:footnoteReference w:id="1"/>
      </w:r>
      <w:r w:rsidRPr="003215C5">
        <w:t xml:space="preserve"> </w:t>
      </w:r>
      <w:r w:rsidR="00481750">
        <w:t xml:space="preserve">This is </w:t>
      </w:r>
      <w:r w:rsidRPr="003215C5">
        <w:t xml:space="preserve">due in part to the potential </w:t>
      </w:r>
      <w:r w:rsidR="00BB3817">
        <w:t xml:space="preserve">benefits </w:t>
      </w:r>
      <w:r w:rsidR="001951EA" w:rsidRPr="003215C5">
        <w:t xml:space="preserve">that </w:t>
      </w:r>
      <w:r w:rsidRPr="003215C5">
        <w:t xml:space="preserve">diversity and inclusion </w:t>
      </w:r>
      <w:r w:rsidR="00481750">
        <w:t xml:space="preserve">can </w:t>
      </w:r>
      <w:r w:rsidR="00BB3817">
        <w:t xml:space="preserve">bring </w:t>
      </w:r>
      <w:r w:rsidR="00481750">
        <w:t xml:space="preserve">both </w:t>
      </w:r>
      <w:r w:rsidR="00BB3817">
        <w:t xml:space="preserve">to </w:t>
      </w:r>
      <w:r w:rsidRPr="003215C5">
        <w:t xml:space="preserve">companies and </w:t>
      </w:r>
      <w:r w:rsidR="00481750">
        <w:t xml:space="preserve">to </w:t>
      </w:r>
      <w:r w:rsidRPr="003215C5">
        <w:t xml:space="preserve">the </w:t>
      </w:r>
      <w:r w:rsidR="006443BE" w:rsidRPr="003215C5">
        <w:t>labour</w:t>
      </w:r>
      <w:r w:rsidRPr="003215C5">
        <w:t xml:space="preserve"> market</w:t>
      </w:r>
      <w:r w:rsidR="00481750">
        <w:t>.</w:t>
      </w:r>
      <w:r w:rsidR="00E00D35" w:rsidRPr="003215C5">
        <w:rPr>
          <w:rStyle w:val="FootnoteReference"/>
        </w:rPr>
        <w:footnoteReference w:id="2"/>
      </w:r>
      <w:r w:rsidRPr="003215C5">
        <w:t xml:space="preserve"> </w:t>
      </w:r>
      <w:r w:rsidR="00481750">
        <w:t xml:space="preserve">This </w:t>
      </w:r>
      <w:r w:rsidR="00A66FC6">
        <w:t>perception</w:t>
      </w:r>
      <w:r w:rsidR="00B304B9">
        <w:t xml:space="preserve"> </w:t>
      </w:r>
      <w:r w:rsidR="00481750">
        <w:t xml:space="preserve">contrasts with </w:t>
      </w:r>
      <w:r w:rsidRPr="003215C5">
        <w:t xml:space="preserve">older </w:t>
      </w:r>
      <w:r w:rsidR="00B304B9">
        <w:t>approaches</w:t>
      </w:r>
      <w:r w:rsidR="00481750">
        <w:t xml:space="preserve"> </w:t>
      </w:r>
      <w:r w:rsidRPr="003215C5">
        <w:t xml:space="preserve">based on social identity theory that </w:t>
      </w:r>
      <w:r w:rsidR="001951EA" w:rsidRPr="003215C5">
        <w:t>assume</w:t>
      </w:r>
      <w:r w:rsidR="00A66FC6">
        <w:t>s</w:t>
      </w:r>
      <w:r w:rsidR="001951EA" w:rsidRPr="003215C5">
        <w:t xml:space="preserve"> </w:t>
      </w:r>
      <w:r w:rsidR="00481750">
        <w:t xml:space="preserve">that </w:t>
      </w:r>
      <w:r w:rsidRPr="003215C5">
        <w:t xml:space="preserve">people tend to cooperate better with </w:t>
      </w:r>
      <w:r w:rsidR="00481750">
        <w:t xml:space="preserve">those </w:t>
      </w:r>
      <w:r w:rsidR="00A66FC6">
        <w:t>like</w:t>
      </w:r>
      <w:r w:rsidR="00481750">
        <w:t xml:space="preserve"> them</w:t>
      </w:r>
      <w:r w:rsidR="001951EA" w:rsidRPr="003215C5">
        <w:t xml:space="preserve"> who belong to their social group, a</w:t>
      </w:r>
      <w:r w:rsidRPr="003215C5">
        <w:t>nd</w:t>
      </w:r>
      <w:r w:rsidR="00481750">
        <w:t xml:space="preserve"> that, consequently,</w:t>
      </w:r>
      <w:r w:rsidR="00BB3817">
        <w:t xml:space="preserve"> </w:t>
      </w:r>
      <w:r w:rsidRPr="003215C5">
        <w:t xml:space="preserve">a </w:t>
      </w:r>
      <w:r w:rsidR="00BB3817" w:rsidRPr="003215C5">
        <w:t xml:space="preserve">diversification </w:t>
      </w:r>
      <w:r w:rsidRPr="003215C5">
        <w:t xml:space="preserve">process </w:t>
      </w:r>
      <w:r w:rsidR="001951EA" w:rsidRPr="003215C5">
        <w:t xml:space="preserve">would </w:t>
      </w:r>
      <w:r w:rsidRPr="003215C5">
        <w:t>be less successful.</w:t>
      </w:r>
      <w:r w:rsidR="00E00D35" w:rsidRPr="003215C5">
        <w:rPr>
          <w:rStyle w:val="FootnoteReference"/>
        </w:rPr>
        <w:footnoteReference w:id="3"/>
      </w:r>
      <w:r w:rsidRPr="003215C5">
        <w:t xml:space="preserve"> Th</w:t>
      </w:r>
      <w:r w:rsidR="00A66FC6">
        <w:t xml:space="preserve">e newer </w:t>
      </w:r>
      <w:r w:rsidRPr="003215C5">
        <w:t xml:space="preserve">approach to human capital diversification is the basis for affirmative action </w:t>
      </w:r>
      <w:r w:rsidR="001951EA" w:rsidRPr="003215C5">
        <w:t>program</w:t>
      </w:r>
      <w:r w:rsidR="00BB3817">
        <w:t>s</w:t>
      </w:r>
      <w:r w:rsidRPr="003215C5">
        <w:t>, but it requires</w:t>
      </w:r>
      <w:r w:rsidR="001951EA" w:rsidRPr="003215C5">
        <w:t>, as abovementioned,</w:t>
      </w:r>
      <w:r w:rsidRPr="003215C5">
        <w:t xml:space="preserve"> a clear and long-term operational plan</w:t>
      </w:r>
      <w:r w:rsidR="00BB3817">
        <w:t>,</w:t>
      </w:r>
      <w:r w:rsidRPr="003215C5">
        <w:t xml:space="preserve"> with control and enforcement options.</w:t>
      </w:r>
    </w:p>
    <w:p w14:paraId="02A37901" w14:textId="62E47744" w:rsidR="007D06B9" w:rsidRPr="003215C5" w:rsidRDefault="00A66FC6" w:rsidP="00286484">
      <w:pPr>
        <w:spacing w:line="360" w:lineRule="auto"/>
        <w:ind w:firstLine="720"/>
        <w:jc w:val="both"/>
      </w:pPr>
      <w:r>
        <w:rPr>
          <w:highlight w:val="green"/>
        </w:rPr>
        <w:t>A complete examination of</w:t>
      </w:r>
      <w:r w:rsidR="007D06B9" w:rsidRPr="003215C5">
        <w:rPr>
          <w:highlight w:val="green"/>
        </w:rPr>
        <w:t xml:space="preserve"> the </w:t>
      </w:r>
      <w:r>
        <w:rPr>
          <w:highlight w:val="green"/>
        </w:rPr>
        <w:t xml:space="preserve">myriad of </w:t>
      </w:r>
      <w:r w:rsidR="007D06B9" w:rsidRPr="003215C5">
        <w:rPr>
          <w:highlight w:val="green"/>
        </w:rPr>
        <w:t>theories, or arguments for and against affirmative action or various models</w:t>
      </w:r>
      <w:r>
        <w:rPr>
          <w:highlight w:val="green"/>
        </w:rPr>
        <w:t xml:space="preserve"> of affirmative action</w:t>
      </w:r>
      <w:r w:rsidR="007D06B9" w:rsidRPr="003215C5">
        <w:rPr>
          <w:highlight w:val="green"/>
        </w:rPr>
        <w:t xml:space="preserve">, </w:t>
      </w:r>
      <w:r>
        <w:rPr>
          <w:highlight w:val="green"/>
        </w:rPr>
        <w:t xml:space="preserve">must </w:t>
      </w:r>
      <w:proofErr w:type="gramStart"/>
      <w:r>
        <w:rPr>
          <w:highlight w:val="green"/>
        </w:rPr>
        <w:t xml:space="preserve">take </w:t>
      </w:r>
      <w:r w:rsidR="007D06B9" w:rsidRPr="003215C5">
        <w:rPr>
          <w:highlight w:val="green"/>
        </w:rPr>
        <w:t>into account</w:t>
      </w:r>
      <w:proofErr w:type="gramEnd"/>
      <w:r w:rsidR="007D06B9" w:rsidRPr="003215C5">
        <w:rPr>
          <w:highlight w:val="green"/>
        </w:rPr>
        <w:t xml:space="preserve"> internal organizational components that influence decision-making.</w:t>
      </w:r>
      <w:r>
        <w:rPr>
          <w:highlight w:val="green"/>
        </w:rPr>
        <w:t xml:space="preserve"> </w:t>
      </w:r>
      <w:r w:rsidR="007D06B9" w:rsidRPr="003215C5">
        <w:t>The first</w:t>
      </w:r>
      <w:r>
        <w:t xml:space="preserve"> of these</w:t>
      </w:r>
      <w:r w:rsidR="007D06B9" w:rsidRPr="003215C5">
        <w:t xml:space="preserve"> </w:t>
      </w:r>
      <w:r w:rsidR="006B50E6">
        <w:t xml:space="preserve">internal considerations </w:t>
      </w:r>
      <w:r w:rsidR="00BB3817">
        <w:t xml:space="preserve">are </w:t>
      </w:r>
      <w:r w:rsidR="001951EA" w:rsidRPr="003215C5">
        <w:t>m</w:t>
      </w:r>
      <w:r w:rsidR="007810EF" w:rsidRPr="003215C5">
        <w:t>erit</w:t>
      </w:r>
      <w:r w:rsidR="001951EA" w:rsidRPr="003215C5">
        <w:t xml:space="preserve"> </w:t>
      </w:r>
      <w:r w:rsidR="007D06B9" w:rsidRPr="003215C5">
        <w:t xml:space="preserve">assessments and the predictive power of </w:t>
      </w:r>
      <w:r w:rsidR="001951EA" w:rsidRPr="003215C5">
        <w:t>objectively testing attributes</w:t>
      </w:r>
      <w:r w:rsidR="007D06B9" w:rsidRPr="003215C5">
        <w:t xml:space="preserve"> and skills. The second </w:t>
      </w:r>
      <w:r w:rsidR="00BB3817">
        <w:t xml:space="preserve">are </w:t>
      </w:r>
      <w:r w:rsidR="007D06B9" w:rsidRPr="003215C5">
        <w:t xml:space="preserve">the biases and personal preferences of those </w:t>
      </w:r>
      <w:r w:rsidR="006B50E6" w:rsidRPr="003215C5">
        <w:t xml:space="preserve">mere mortals </w:t>
      </w:r>
      <w:r w:rsidR="006B50E6">
        <w:t xml:space="preserve">who are </w:t>
      </w:r>
      <w:r w:rsidR="007D06B9" w:rsidRPr="003215C5">
        <w:t xml:space="preserve">responsible for selecting candidates at the recruitment stage. </w:t>
      </w:r>
      <w:r w:rsidR="00A13CEF" w:rsidRPr="003215C5">
        <w:t>The most common argument</w:t>
      </w:r>
      <w:r w:rsidR="007D06B9" w:rsidRPr="003215C5">
        <w:t xml:space="preserve"> is that even if we succeed in isolating and determining what the most effective </w:t>
      </w:r>
      <w:r w:rsidR="001951EA" w:rsidRPr="003215C5">
        <w:t xml:space="preserve">and less abusive </w:t>
      </w:r>
      <w:r w:rsidR="007D06B9" w:rsidRPr="003215C5">
        <w:t xml:space="preserve">model of </w:t>
      </w:r>
      <w:r w:rsidR="001951EA" w:rsidRPr="003215C5">
        <w:t>affirmative action</w:t>
      </w:r>
      <w:r w:rsidR="00BB3817">
        <w:t xml:space="preserve"> is</w:t>
      </w:r>
      <w:r w:rsidR="007D06B9" w:rsidRPr="003215C5">
        <w:t xml:space="preserve">, it will </w:t>
      </w:r>
      <w:r w:rsidR="001951EA" w:rsidRPr="003215C5">
        <w:t xml:space="preserve">never </w:t>
      </w:r>
      <w:r w:rsidR="007D06B9" w:rsidRPr="003215C5">
        <w:t xml:space="preserve">be completely </w:t>
      </w:r>
      <w:r w:rsidR="001951EA" w:rsidRPr="003215C5">
        <w:t>pure</w:t>
      </w:r>
      <w:r w:rsidR="006B50E6">
        <w:t>. It is also</w:t>
      </w:r>
      <w:r w:rsidR="001951EA" w:rsidRPr="003215C5">
        <w:t xml:space="preserve"> </w:t>
      </w:r>
      <w:r w:rsidR="007D06B9" w:rsidRPr="003215C5">
        <w:t xml:space="preserve">not </w:t>
      </w:r>
      <w:r w:rsidR="001951EA" w:rsidRPr="003215C5">
        <w:t>certain that</w:t>
      </w:r>
      <w:r w:rsidR="006B50E6">
        <w:t xml:space="preserve"> such an ideal model</w:t>
      </w:r>
      <w:r w:rsidR="007D06B9" w:rsidRPr="003215C5">
        <w:t xml:space="preserve"> will guarantee full results,</w:t>
      </w:r>
      <w:r w:rsidR="006B50E6">
        <w:t xml:space="preserve"> not only </w:t>
      </w:r>
      <w:r w:rsidR="007D06B9" w:rsidRPr="003215C5">
        <w:t xml:space="preserve">in </w:t>
      </w:r>
      <w:r w:rsidR="001951EA" w:rsidRPr="003215C5">
        <w:t xml:space="preserve">view </w:t>
      </w:r>
      <w:r w:rsidR="007D06B9" w:rsidRPr="003215C5">
        <w:t xml:space="preserve">of </w:t>
      </w:r>
      <w:r w:rsidR="001951EA" w:rsidRPr="003215C5">
        <w:t xml:space="preserve">the </w:t>
      </w:r>
      <w:r w:rsidR="007D06B9" w:rsidRPr="003215C5">
        <w:t xml:space="preserve">criticism of </w:t>
      </w:r>
      <w:r w:rsidR="001951EA" w:rsidRPr="003215C5">
        <w:t>m</w:t>
      </w:r>
      <w:r w:rsidR="007810EF" w:rsidRPr="003215C5">
        <w:t>erit</w:t>
      </w:r>
      <w:r w:rsidR="007D06B9" w:rsidRPr="003215C5">
        <w:t xml:space="preserve"> assessment</w:t>
      </w:r>
      <w:r w:rsidR="001951EA" w:rsidRPr="003215C5">
        <w:t>,</w:t>
      </w:r>
      <w:r w:rsidR="007D06B9" w:rsidRPr="003215C5">
        <w:t xml:space="preserve"> but mainly </w:t>
      </w:r>
      <w:r w:rsidR="00BB3817">
        <w:t xml:space="preserve">because of </w:t>
      </w:r>
      <w:r w:rsidR="007D06B9" w:rsidRPr="003215C5">
        <w:t>bias</w:t>
      </w:r>
      <w:r w:rsidR="00BB3817">
        <w:t xml:space="preserve"> </w:t>
      </w:r>
      <w:r w:rsidR="007D06B9" w:rsidRPr="003215C5">
        <w:t>in decision</w:t>
      </w:r>
      <w:r w:rsidR="006B50E6">
        <w:t>-</w:t>
      </w:r>
      <w:r w:rsidR="007D06B9" w:rsidRPr="003215C5">
        <w:t xml:space="preserve">making. </w:t>
      </w:r>
      <w:r w:rsidR="006B50E6">
        <w:t xml:space="preserve">The third internal component that can affect diversity </w:t>
      </w:r>
      <w:r w:rsidR="007D06B9" w:rsidRPr="003215C5">
        <w:t xml:space="preserve">is the biased appointment, </w:t>
      </w:r>
      <w:r w:rsidR="006B50E6">
        <w:t>especially those made</w:t>
      </w:r>
      <w:r w:rsidR="007D06B9" w:rsidRPr="003215C5">
        <w:t xml:space="preserve"> for political reasons.</w:t>
      </w:r>
    </w:p>
    <w:p w14:paraId="5465D7FB" w14:textId="77777777" w:rsidR="007D06B9" w:rsidRPr="003215C5" w:rsidRDefault="007D06B9" w:rsidP="00286484">
      <w:pPr>
        <w:spacing w:line="360" w:lineRule="auto"/>
        <w:jc w:val="both"/>
      </w:pPr>
    </w:p>
    <w:p w14:paraId="621B9000" w14:textId="2F69EE2A" w:rsidR="007D06B9" w:rsidRPr="003215C5" w:rsidRDefault="007D06B9" w:rsidP="00286484">
      <w:pPr>
        <w:spacing w:line="360" w:lineRule="auto"/>
        <w:jc w:val="both"/>
      </w:pPr>
      <w:r w:rsidRPr="00BB3817">
        <w:rPr>
          <w:highlight w:val="green"/>
        </w:rPr>
        <w:lastRenderedPageBreak/>
        <w:t xml:space="preserve">4.1 </w:t>
      </w:r>
      <w:r w:rsidR="007810EF" w:rsidRPr="00BB3817">
        <w:rPr>
          <w:highlight w:val="green"/>
        </w:rPr>
        <w:t>Merit</w:t>
      </w:r>
      <w:r w:rsidRPr="00BB3817">
        <w:rPr>
          <w:highlight w:val="green"/>
        </w:rPr>
        <w:t xml:space="preserve"> Estimates</w:t>
      </w:r>
    </w:p>
    <w:p w14:paraId="2AC7EED6" w14:textId="4D611B83" w:rsidR="007D06B9" w:rsidRPr="003215C5" w:rsidRDefault="006B50E6" w:rsidP="00286484">
      <w:pPr>
        <w:spacing w:line="360" w:lineRule="auto"/>
        <w:ind w:firstLine="720"/>
        <w:jc w:val="both"/>
      </w:pPr>
      <w:r>
        <w:rPr>
          <w:highlight w:val="green"/>
        </w:rPr>
        <w:t xml:space="preserve">The first issue affecting workplace diversity </w:t>
      </w:r>
      <w:r w:rsidR="007D06B9" w:rsidRPr="003215C5">
        <w:rPr>
          <w:highlight w:val="green"/>
        </w:rPr>
        <w:t xml:space="preserve">is the ability of </w:t>
      </w:r>
      <w:r>
        <w:rPr>
          <w:highlight w:val="green"/>
        </w:rPr>
        <w:t>m</w:t>
      </w:r>
      <w:r w:rsidR="007810EF" w:rsidRPr="003215C5">
        <w:rPr>
          <w:highlight w:val="green"/>
        </w:rPr>
        <w:t>erit</w:t>
      </w:r>
      <w:r w:rsidR="007D06B9" w:rsidRPr="003215C5">
        <w:rPr>
          <w:highlight w:val="green"/>
        </w:rPr>
        <w:t xml:space="preserve"> assessments </w:t>
      </w:r>
      <w:r>
        <w:rPr>
          <w:highlight w:val="green"/>
        </w:rPr>
        <w:t>to objectively examine the</w:t>
      </w:r>
      <w:r w:rsidR="007D06B9" w:rsidRPr="003215C5">
        <w:rPr>
          <w:highlight w:val="green"/>
        </w:rPr>
        <w:t xml:space="preserve"> skills and qualities </w:t>
      </w:r>
      <w:r>
        <w:rPr>
          <w:highlight w:val="green"/>
        </w:rPr>
        <w:t>that can help</w:t>
      </w:r>
      <w:r w:rsidR="007D06B9" w:rsidRPr="003215C5">
        <w:rPr>
          <w:highlight w:val="green"/>
        </w:rPr>
        <w:t xml:space="preserve"> predict the degree of success in the job.</w:t>
      </w:r>
      <w:r>
        <w:rPr>
          <w:highlight w:val="green"/>
        </w:rPr>
        <w:t xml:space="preserve"> </w:t>
      </w:r>
      <w:r w:rsidR="007D06B9" w:rsidRPr="003215C5">
        <w:t xml:space="preserve">A skills and achievement-based </w:t>
      </w:r>
      <w:r w:rsidR="00BB3817">
        <w:t>recruitment</w:t>
      </w:r>
      <w:r w:rsidR="00391448" w:rsidRPr="003215C5">
        <w:t xml:space="preserve"> </w:t>
      </w:r>
      <w:r w:rsidR="007D06B9" w:rsidRPr="003215C5">
        <w:t>policy may raise concerns about its ability to predict integration and perseverance in the service</w:t>
      </w:r>
      <w:r w:rsidR="00391448" w:rsidRPr="003215C5">
        <w:t>,</w:t>
      </w:r>
      <w:r w:rsidR="007D06B9" w:rsidRPr="003215C5">
        <w:t xml:space="preserve"> </w:t>
      </w:r>
      <w:r w:rsidR="00391448" w:rsidRPr="003215C5">
        <w:t xml:space="preserve">as well as </w:t>
      </w:r>
      <w:r w:rsidR="007D06B9" w:rsidRPr="003215C5">
        <w:t>allegations of built-in discrimination in th</w:t>
      </w:r>
      <w:r w:rsidR="0072771F">
        <w:t>e</w:t>
      </w:r>
      <w:r w:rsidR="007D06B9" w:rsidRPr="003215C5">
        <w:t xml:space="preserve"> assessment of certain populations.</w:t>
      </w:r>
      <w:r w:rsidR="00E00D35" w:rsidRPr="003215C5">
        <w:rPr>
          <w:rStyle w:val="FootnoteReference"/>
        </w:rPr>
        <w:footnoteReference w:id="4"/>
      </w:r>
      <w:r w:rsidR="007D06B9" w:rsidRPr="003215C5">
        <w:t xml:space="preserve"> </w:t>
      </w:r>
      <w:r>
        <w:t>In addition to</w:t>
      </w:r>
      <w:r w:rsidR="00F8717C">
        <w:t xml:space="preserve"> acknowledging the</w:t>
      </w:r>
      <w:r w:rsidR="007D06B9" w:rsidRPr="003215C5">
        <w:t xml:space="preserve"> existing difficulties in processing and using skills-based assessments across the board, </w:t>
      </w:r>
      <w:r w:rsidR="00F8717C">
        <w:t>it is also justifiable</w:t>
      </w:r>
      <w:r w:rsidR="007D06B9" w:rsidRPr="003215C5">
        <w:t xml:space="preserve"> to critically discus</w:t>
      </w:r>
      <w:r w:rsidR="00F8717C">
        <w:t>s</w:t>
      </w:r>
      <w:r w:rsidR="007D06B9" w:rsidRPr="003215C5">
        <w:t xml:space="preserve"> </w:t>
      </w:r>
      <w:r w:rsidR="00391448" w:rsidRPr="003215C5">
        <w:t>m</w:t>
      </w:r>
      <w:r w:rsidR="007810EF" w:rsidRPr="003215C5">
        <w:t>erit</w:t>
      </w:r>
      <w:r w:rsidR="00391448" w:rsidRPr="003215C5">
        <w:t xml:space="preserve"> </w:t>
      </w:r>
      <w:r w:rsidR="007D06B9" w:rsidRPr="003215C5">
        <w:t>assessments</w:t>
      </w:r>
      <w:r w:rsidR="0072771F">
        <w:t xml:space="preserve"> themselves</w:t>
      </w:r>
      <w:r w:rsidR="007D06B9" w:rsidRPr="003215C5">
        <w:t>.</w:t>
      </w:r>
    </w:p>
    <w:p w14:paraId="53224CAD" w14:textId="18477CC6" w:rsidR="007D06B9" w:rsidRPr="003215C5" w:rsidRDefault="007D06B9" w:rsidP="00286484">
      <w:pPr>
        <w:spacing w:line="360" w:lineRule="auto"/>
        <w:ind w:firstLine="720"/>
        <w:jc w:val="both"/>
      </w:pPr>
      <w:r w:rsidRPr="003215C5">
        <w:t xml:space="preserve">The evaluation of a job applicant is usually based on a </w:t>
      </w:r>
      <w:r w:rsidR="008578D4" w:rsidRPr="003215C5">
        <w:t>humanly</w:t>
      </w:r>
      <w:r w:rsidR="00E908C8">
        <w:t>-</w:t>
      </w:r>
      <w:r w:rsidR="008578D4" w:rsidRPr="003215C5">
        <w:t xml:space="preserve">awarded </w:t>
      </w:r>
      <w:r w:rsidRPr="003215C5">
        <w:t>numerical scor</w:t>
      </w:r>
      <w:r w:rsidR="008578D4" w:rsidRPr="003215C5">
        <w:t>ing</w:t>
      </w:r>
      <w:r w:rsidRPr="003215C5">
        <w:t xml:space="preserve">. This decision-making process may </w:t>
      </w:r>
      <w:r w:rsidR="00B55BB9">
        <w:t>affect</w:t>
      </w:r>
      <w:r w:rsidRPr="003215C5">
        <w:t xml:space="preserve"> performance evaluation as a function of latent cognitive processes, and is therefore tainted </w:t>
      </w:r>
      <w:r w:rsidR="008578D4" w:rsidRPr="003215C5">
        <w:t xml:space="preserve">by </w:t>
      </w:r>
      <w:r w:rsidRPr="003215C5">
        <w:t>bias.</w:t>
      </w:r>
      <w:r w:rsidR="00E00D35" w:rsidRPr="003215C5">
        <w:rPr>
          <w:rStyle w:val="FootnoteReference"/>
        </w:rPr>
        <w:footnoteReference w:id="5"/>
      </w:r>
      <w:r w:rsidRPr="003215C5">
        <w:t xml:space="preserve"> It can be said that the very provisions of affirmative action encourage awareness of bias and </w:t>
      </w:r>
      <w:r w:rsidR="008578D4" w:rsidRPr="003215C5">
        <w:t>its eradication</w:t>
      </w:r>
      <w:r w:rsidR="0072771F">
        <w:t>;</w:t>
      </w:r>
      <w:r w:rsidRPr="003215C5">
        <w:t xml:space="preserve"> however</w:t>
      </w:r>
      <w:r w:rsidR="008578D4" w:rsidRPr="003215C5">
        <w:t>,</w:t>
      </w:r>
      <w:r w:rsidRPr="003215C5">
        <w:t xml:space="preserve"> as </w:t>
      </w:r>
      <w:r w:rsidR="00E908C8">
        <w:t>discussed previously</w:t>
      </w:r>
      <w:r w:rsidRPr="003215C5">
        <w:t xml:space="preserve">, affirmative action is intended </w:t>
      </w:r>
      <w:r w:rsidR="00E908C8" w:rsidRPr="003215C5">
        <w:t xml:space="preserve">mostly </w:t>
      </w:r>
      <w:r w:rsidRPr="003215C5">
        <w:t>for certain populations</w:t>
      </w:r>
      <w:r w:rsidR="008578D4" w:rsidRPr="003215C5">
        <w:t xml:space="preserve"> where </w:t>
      </w:r>
      <w:r w:rsidRPr="003215C5">
        <w:t xml:space="preserve">discrimination takes other forms </w:t>
      </w:r>
      <w:r w:rsidR="00E908C8">
        <w:t xml:space="preserve">in terms </w:t>
      </w:r>
      <w:r w:rsidRPr="003215C5">
        <w:t>of preferences within the group. Most countries have internali</w:t>
      </w:r>
      <w:r w:rsidR="0072771F">
        <w:t>s</w:t>
      </w:r>
      <w:r w:rsidRPr="003215C5">
        <w:t xml:space="preserve">ed the gaps in </w:t>
      </w:r>
      <w:r w:rsidR="008578D4" w:rsidRPr="003215C5">
        <w:t>m</w:t>
      </w:r>
      <w:r w:rsidR="007810EF" w:rsidRPr="003215C5">
        <w:t>erit</w:t>
      </w:r>
      <w:r w:rsidR="008578D4" w:rsidRPr="003215C5">
        <w:t xml:space="preserve"> </w:t>
      </w:r>
      <w:r w:rsidRPr="003215C5">
        <w:t>assessment</w:t>
      </w:r>
      <w:r w:rsidR="008578D4" w:rsidRPr="003215C5">
        <w:t xml:space="preserve"> </w:t>
      </w:r>
      <w:r w:rsidRPr="003215C5">
        <w:t xml:space="preserve">of </w:t>
      </w:r>
      <w:r w:rsidR="004B6223" w:rsidRPr="003215C5">
        <w:t>women</w:t>
      </w:r>
      <w:r w:rsidR="00164937">
        <w:t xml:space="preserve">. Therefore, it is </w:t>
      </w:r>
      <w:r w:rsidRPr="003215C5">
        <w:t xml:space="preserve">common to find a scale of gaps in </w:t>
      </w:r>
      <w:r w:rsidR="00075861">
        <w:t>an</w:t>
      </w:r>
      <w:r w:rsidRPr="003215C5">
        <w:t xml:space="preserve"> assessment </w:t>
      </w:r>
      <w:r w:rsidR="008578D4" w:rsidRPr="003215C5">
        <w:t>score</w:t>
      </w:r>
      <w:r w:rsidR="00164937">
        <w:t xml:space="preserve"> indicating the assessment</w:t>
      </w:r>
      <w:r w:rsidR="008578D4" w:rsidRPr="003215C5">
        <w:t xml:space="preserve"> </w:t>
      </w:r>
      <w:r w:rsidRPr="003215C5">
        <w:t>that should be isolated</w:t>
      </w:r>
      <w:r w:rsidR="0072771F">
        <w:t xml:space="preserve"> </w:t>
      </w:r>
      <w:r w:rsidRPr="003215C5">
        <w:t xml:space="preserve">in a way that gives preference to a female candidate, similar to the </w:t>
      </w:r>
      <w:r w:rsidR="00164937">
        <w:t>‘</w:t>
      </w:r>
      <w:r w:rsidRPr="000D37DC">
        <w:t>Tiebreak</w:t>
      </w:r>
      <w:r w:rsidR="00164937">
        <w:t>’</w:t>
      </w:r>
      <w:r w:rsidRPr="003215C5">
        <w:t xml:space="preserve"> mechanism</w:t>
      </w:r>
      <w:r w:rsidR="00E908C8">
        <w:t>. I</w:t>
      </w:r>
      <w:r w:rsidRPr="003215C5">
        <w:t>ndeed</w:t>
      </w:r>
      <w:r w:rsidR="008578D4" w:rsidRPr="003215C5">
        <w:t>,</w:t>
      </w:r>
      <w:r w:rsidRPr="003215C5">
        <w:t xml:space="preserve"> in my opinion, the most effective way </w:t>
      </w:r>
      <w:r w:rsidR="008578D4" w:rsidRPr="003215C5">
        <w:t xml:space="preserve">to reduce bias </w:t>
      </w:r>
      <w:r w:rsidR="006A082D" w:rsidRPr="003215C5">
        <w:t xml:space="preserve">and create </w:t>
      </w:r>
      <w:r w:rsidR="004B6223" w:rsidRPr="003215C5">
        <w:t>an</w:t>
      </w:r>
      <w:r w:rsidRPr="003215C5">
        <w:t xml:space="preserve"> objective </w:t>
      </w:r>
      <w:r w:rsidR="006A082D" w:rsidRPr="003215C5">
        <w:t xml:space="preserve">merit assessment </w:t>
      </w:r>
      <w:r w:rsidRPr="003215C5">
        <w:t xml:space="preserve">that has a direct impact on employment </w:t>
      </w:r>
      <w:r w:rsidR="0072771F">
        <w:t xml:space="preserve">is </w:t>
      </w:r>
      <w:r w:rsidRPr="003215C5">
        <w:t xml:space="preserve">by reducing </w:t>
      </w:r>
      <w:r w:rsidR="00164937">
        <w:t xml:space="preserve">personal </w:t>
      </w:r>
      <w:r w:rsidRPr="003215C5">
        <w:t xml:space="preserve">judgment and </w:t>
      </w:r>
      <w:r w:rsidR="00E908C8" w:rsidRPr="003215C5">
        <w:t>face</w:t>
      </w:r>
      <w:r w:rsidR="00E908C8">
        <w:t>-</w:t>
      </w:r>
      <w:r w:rsidR="00E908C8" w:rsidRPr="003215C5">
        <w:t>to</w:t>
      </w:r>
      <w:r w:rsidR="00E908C8">
        <w:t>-</w:t>
      </w:r>
      <w:r w:rsidR="00E908C8" w:rsidRPr="003215C5">
        <w:t xml:space="preserve">face </w:t>
      </w:r>
      <w:r w:rsidRPr="003215C5">
        <w:t>impression</w:t>
      </w:r>
      <w:r w:rsidR="00E908C8">
        <w:t xml:space="preserve">s when </w:t>
      </w:r>
      <w:r w:rsidR="0072771F">
        <w:t xml:space="preserve">assessing </w:t>
      </w:r>
      <w:r w:rsidRPr="003215C5">
        <w:t>talent.</w:t>
      </w:r>
    </w:p>
    <w:p w14:paraId="65E466E1" w14:textId="434C2354" w:rsidR="007D06B9" w:rsidRPr="003215C5" w:rsidRDefault="007D06B9" w:rsidP="00286484">
      <w:pPr>
        <w:spacing w:line="360" w:lineRule="auto"/>
        <w:ind w:firstLine="720"/>
        <w:jc w:val="both"/>
      </w:pPr>
      <w:r w:rsidRPr="003215C5">
        <w:t xml:space="preserve">However, </w:t>
      </w:r>
      <w:r w:rsidR="006A082D" w:rsidRPr="003215C5">
        <w:t>m</w:t>
      </w:r>
      <w:r w:rsidR="007810EF" w:rsidRPr="003215C5">
        <w:t>erit</w:t>
      </w:r>
      <w:r w:rsidR="006A082D" w:rsidRPr="003215C5">
        <w:t xml:space="preserve"> </w:t>
      </w:r>
      <w:r w:rsidRPr="003215C5">
        <w:t xml:space="preserve">assessment is also not </w:t>
      </w:r>
      <w:r w:rsidR="0072771F" w:rsidRPr="003215C5">
        <w:t>bias</w:t>
      </w:r>
      <w:r w:rsidR="0072771F">
        <w:t>-</w:t>
      </w:r>
      <w:r w:rsidRPr="003215C5">
        <w:t>free</w:t>
      </w:r>
      <w:r w:rsidR="006A082D" w:rsidRPr="003215C5">
        <w:t>,</w:t>
      </w:r>
      <w:r w:rsidRPr="003215C5">
        <w:t xml:space="preserve"> and to eradicate bias one must </w:t>
      </w:r>
      <w:r w:rsidR="0072771F">
        <w:t xml:space="preserve">adhere to </w:t>
      </w:r>
      <w:r w:rsidRPr="003215C5">
        <w:t>blind assessment</w:t>
      </w:r>
      <w:r w:rsidR="0072771F">
        <w:t>,</w:t>
      </w:r>
      <w:r w:rsidRPr="003215C5">
        <w:t xml:space="preserve"> with</w:t>
      </w:r>
      <w:r w:rsidR="0072771F">
        <w:t xml:space="preserve"> no </w:t>
      </w:r>
      <w:r w:rsidRPr="003215C5">
        <w:t>information on the candidate</w:t>
      </w:r>
      <w:r w:rsidR="008578D4" w:rsidRPr="003215C5">
        <w:t>’</w:t>
      </w:r>
      <w:r w:rsidRPr="003215C5">
        <w:t>s name, gender</w:t>
      </w:r>
      <w:r w:rsidR="006A082D" w:rsidRPr="003215C5">
        <w:t>,</w:t>
      </w:r>
      <w:r w:rsidRPr="003215C5">
        <w:t xml:space="preserve"> or even place of residence</w:t>
      </w:r>
      <w:r w:rsidR="00164937">
        <w:t xml:space="preserve">. It should also be </w:t>
      </w:r>
      <w:proofErr w:type="gramStart"/>
      <w:r w:rsidR="00164937">
        <w:t>taken into</w:t>
      </w:r>
      <w:r w:rsidRPr="003215C5">
        <w:t xml:space="preserve"> account</w:t>
      </w:r>
      <w:proofErr w:type="gramEnd"/>
      <w:r w:rsidRPr="003215C5">
        <w:t xml:space="preserve"> that the </w:t>
      </w:r>
      <w:r w:rsidR="006A082D" w:rsidRPr="003215C5">
        <w:t xml:space="preserve">author of the </w:t>
      </w:r>
      <w:r w:rsidRPr="003215C5">
        <w:t>test</w:t>
      </w:r>
      <w:r w:rsidR="00164937">
        <w:t>,</w:t>
      </w:r>
      <w:r w:rsidRPr="003215C5">
        <w:t xml:space="preserve"> who is often </w:t>
      </w:r>
      <w:r w:rsidR="00E00D35" w:rsidRPr="003215C5">
        <w:t xml:space="preserve">a member of </w:t>
      </w:r>
      <w:r w:rsidRPr="003215C5">
        <w:t>the strong group</w:t>
      </w:r>
      <w:r w:rsidR="00E00D35" w:rsidRPr="003215C5">
        <w:t>,</w:t>
      </w:r>
      <w:r w:rsidR="00164937">
        <w:t xml:space="preserve"> can influence it</w:t>
      </w:r>
      <w:r w:rsidR="00E00D35" w:rsidRPr="003215C5">
        <w:t xml:space="preserve"> in a manner that excludes under-represented population</w:t>
      </w:r>
      <w:r w:rsidR="006A082D" w:rsidRPr="003215C5">
        <w:t>s</w:t>
      </w:r>
      <w:r w:rsidR="00E00D35" w:rsidRPr="003215C5">
        <w:t>.</w:t>
      </w:r>
      <w:r w:rsidR="00E00D35" w:rsidRPr="003215C5">
        <w:rPr>
          <w:rStyle w:val="FootnoteReference"/>
        </w:rPr>
        <w:footnoteReference w:id="6"/>
      </w:r>
    </w:p>
    <w:p w14:paraId="32A13D46" w14:textId="12677AF1" w:rsidR="007D06B9" w:rsidRPr="003215C5" w:rsidRDefault="007D06B9" w:rsidP="00286484">
      <w:pPr>
        <w:spacing w:line="360" w:lineRule="auto"/>
        <w:ind w:firstLine="720"/>
        <w:jc w:val="both"/>
      </w:pPr>
      <w:r w:rsidRPr="003215C5">
        <w:lastRenderedPageBreak/>
        <w:t xml:space="preserve">Examining </w:t>
      </w:r>
      <w:r w:rsidR="0072771F">
        <w:t>m</w:t>
      </w:r>
      <w:r w:rsidR="007810EF" w:rsidRPr="003215C5">
        <w:t>erit</w:t>
      </w:r>
      <w:r w:rsidRPr="003215C5">
        <w:t xml:space="preserve"> assessments in the context of affirmative action should </w:t>
      </w:r>
      <w:proofErr w:type="gramStart"/>
      <w:r w:rsidRPr="003215C5">
        <w:t>take into account</w:t>
      </w:r>
      <w:proofErr w:type="gramEnd"/>
      <w:r w:rsidRPr="003215C5">
        <w:t xml:space="preserve"> that employee assessment</w:t>
      </w:r>
      <w:r w:rsidR="0072771F">
        <w:t xml:space="preserve"> </w:t>
      </w:r>
      <w:r w:rsidRPr="003215C5">
        <w:t xml:space="preserve">at the </w:t>
      </w:r>
      <w:r w:rsidR="0072771F">
        <w:t xml:space="preserve">recruitment </w:t>
      </w:r>
      <w:r w:rsidRPr="003215C5">
        <w:t xml:space="preserve">stage </w:t>
      </w:r>
      <w:r w:rsidR="0072771F">
        <w:t>is</w:t>
      </w:r>
      <w:r w:rsidR="006A082D" w:rsidRPr="003215C5">
        <w:t xml:space="preserve"> </w:t>
      </w:r>
      <w:r w:rsidRPr="003215C5">
        <w:t>based on</w:t>
      </w:r>
      <w:r w:rsidR="00075861">
        <w:t>, among other things,</w:t>
      </w:r>
      <w:r w:rsidRPr="003215C5">
        <w:t xml:space="preserve"> skills influenced by pre-market </w:t>
      </w:r>
      <w:r w:rsidR="006A082D" w:rsidRPr="003215C5">
        <w:t>elements</w:t>
      </w:r>
      <w:r w:rsidR="0072771F">
        <w:t>,</w:t>
      </w:r>
      <w:r w:rsidR="006A082D" w:rsidRPr="003215C5">
        <w:t xml:space="preserve"> </w:t>
      </w:r>
      <w:r w:rsidRPr="003215C5">
        <w:t xml:space="preserve">and education in particular, </w:t>
      </w:r>
      <w:r w:rsidR="00164937">
        <w:t>which</w:t>
      </w:r>
      <w:r w:rsidR="006A082D" w:rsidRPr="003215C5">
        <w:t xml:space="preserve"> </w:t>
      </w:r>
      <w:r w:rsidRPr="003215C5">
        <w:t xml:space="preserve">may affect the ability of the target population to compete for jobs. The relevant question when we are </w:t>
      </w:r>
      <w:r w:rsidR="0072771F">
        <w:t xml:space="preserve">at </w:t>
      </w:r>
      <w:r w:rsidRPr="003215C5">
        <w:t xml:space="preserve">the stage of evaluating </w:t>
      </w:r>
      <w:r w:rsidR="006A082D" w:rsidRPr="003215C5">
        <w:t xml:space="preserve">attributes </w:t>
      </w:r>
      <w:r w:rsidRPr="003215C5">
        <w:t>and skills</w:t>
      </w:r>
      <w:r w:rsidR="00075861">
        <w:t xml:space="preserve"> is which is the most qualified class</w:t>
      </w:r>
      <w:r w:rsidRPr="003215C5">
        <w:t xml:space="preserve">. </w:t>
      </w:r>
      <w:r w:rsidR="0072771F">
        <w:t>A</w:t>
      </w:r>
      <w:r w:rsidR="0072771F" w:rsidRPr="003215C5">
        <w:t xml:space="preserve">ffirmative action </w:t>
      </w:r>
      <w:r w:rsidR="0072771F">
        <w:t>s</w:t>
      </w:r>
      <w:r w:rsidRPr="003215C5">
        <w:t xml:space="preserve">olutions seek, rightly or wrongly, to </w:t>
      </w:r>
      <w:r w:rsidR="0072771F" w:rsidRPr="003215C5">
        <w:t>depart</w:t>
      </w:r>
      <w:r w:rsidRPr="003215C5">
        <w:t xml:space="preserve"> from the </w:t>
      </w:r>
      <w:r w:rsidR="007810EF" w:rsidRPr="003215C5">
        <w:t>merit</w:t>
      </w:r>
      <w:r w:rsidRPr="003215C5">
        <w:t xml:space="preserve"> mechanism, as perceived by the majority group. In this way, the discussion </w:t>
      </w:r>
      <w:r w:rsidR="006A082D" w:rsidRPr="003215C5">
        <w:t>places</w:t>
      </w:r>
      <w:r w:rsidRPr="003215C5">
        <w:t xml:space="preserve"> </w:t>
      </w:r>
      <w:r w:rsidR="00075861" w:rsidRPr="003215C5">
        <w:t>accepted merit principles</w:t>
      </w:r>
      <w:r w:rsidR="00075861">
        <w:t xml:space="preserve"> as opposed to </w:t>
      </w:r>
      <w:r w:rsidR="00075861" w:rsidRPr="003215C5">
        <w:t>the fairness of affirmative action</w:t>
      </w:r>
      <w:r w:rsidR="00075861">
        <w:t xml:space="preserve"> </w:t>
      </w:r>
      <w:r w:rsidR="00164937">
        <w:t>on different sides.</w:t>
      </w:r>
      <w:r w:rsidR="00E00D35" w:rsidRPr="003215C5">
        <w:rPr>
          <w:rStyle w:val="FootnoteReference"/>
        </w:rPr>
        <w:footnoteReference w:id="7"/>
      </w:r>
      <w:r w:rsidRPr="003215C5">
        <w:t xml:space="preserve"> </w:t>
      </w:r>
      <w:r w:rsidR="00164937">
        <w:t>T</w:t>
      </w:r>
      <w:r w:rsidRPr="003215C5">
        <w:t xml:space="preserve">wo </w:t>
      </w:r>
      <w:r w:rsidR="00164937">
        <w:t xml:space="preserve">possible </w:t>
      </w:r>
      <w:r w:rsidRPr="003215C5">
        <w:t>solutions</w:t>
      </w:r>
      <w:r w:rsidR="00115850">
        <w:t>, which also may pose problems, include setting</w:t>
      </w:r>
      <w:r w:rsidRPr="003215C5">
        <w:t xml:space="preserve"> </w:t>
      </w:r>
      <w:r w:rsidR="006A082D" w:rsidRPr="003215C5">
        <w:t xml:space="preserve">lower </w:t>
      </w:r>
      <w:r w:rsidRPr="003215C5">
        <w:t xml:space="preserve">threshold conditions and </w:t>
      </w:r>
      <w:r w:rsidR="006A082D" w:rsidRPr="003215C5">
        <w:t>m</w:t>
      </w:r>
      <w:r w:rsidR="007810EF" w:rsidRPr="003215C5">
        <w:t>erit</w:t>
      </w:r>
      <w:r w:rsidRPr="003215C5">
        <w:t xml:space="preserve"> </w:t>
      </w:r>
      <w:r w:rsidR="006A082D" w:rsidRPr="003215C5">
        <w:t xml:space="preserve">assessments </w:t>
      </w:r>
      <w:r w:rsidRPr="003215C5">
        <w:t>for the target population</w:t>
      </w:r>
      <w:r w:rsidR="00115850">
        <w:t>,</w:t>
      </w:r>
      <w:r w:rsidR="00E00D35" w:rsidRPr="003215C5">
        <w:rPr>
          <w:rStyle w:val="FootnoteReference"/>
        </w:rPr>
        <w:footnoteReference w:id="8"/>
      </w:r>
      <w:r w:rsidRPr="003215C5">
        <w:t xml:space="preserve"> </w:t>
      </w:r>
      <w:r w:rsidR="00115850">
        <w:t>and changing</w:t>
      </w:r>
      <w:r w:rsidR="0072771F">
        <w:t xml:space="preserve"> </w:t>
      </w:r>
      <w:r w:rsidRPr="003215C5">
        <w:t>the skills assessment</w:t>
      </w:r>
      <w:r w:rsidR="006A082D" w:rsidRPr="003215C5">
        <w:t xml:space="preserve"> method so that it relies more o</w:t>
      </w:r>
      <w:r w:rsidRPr="003215C5">
        <w:t>n personality tests</w:t>
      </w:r>
      <w:r w:rsidR="006A082D" w:rsidRPr="003215C5">
        <w:t>,</w:t>
      </w:r>
      <w:r w:rsidRPr="003215C5">
        <w:t xml:space="preserve"> and less on job skills that are directly affected </w:t>
      </w:r>
      <w:r w:rsidR="006A082D" w:rsidRPr="003215C5">
        <w:t xml:space="preserve">by </w:t>
      </w:r>
      <w:r w:rsidRPr="003215C5">
        <w:t>pre-market stage</w:t>
      </w:r>
      <w:r w:rsidR="0072771F">
        <w:t>s</w:t>
      </w:r>
      <w:r w:rsidR="006A082D" w:rsidRPr="003215C5">
        <w:t xml:space="preserve">. Neither </w:t>
      </w:r>
      <w:r w:rsidRPr="003215C5">
        <w:t xml:space="preserve">solution </w:t>
      </w:r>
      <w:r w:rsidR="006A082D" w:rsidRPr="003215C5">
        <w:t xml:space="preserve">is </w:t>
      </w:r>
      <w:r w:rsidRPr="003215C5">
        <w:t>without difficult</w:t>
      </w:r>
      <w:r w:rsidR="0072771F">
        <w:t>y</w:t>
      </w:r>
      <w:r w:rsidRPr="003215C5">
        <w:t xml:space="preserve">. The first proposes </w:t>
      </w:r>
      <w:r w:rsidR="00115850">
        <w:t>moving</w:t>
      </w:r>
      <w:r w:rsidRPr="003215C5">
        <w:t xml:space="preserve"> from </w:t>
      </w:r>
      <w:r w:rsidR="004B6223" w:rsidRPr="003215C5">
        <w:t>an</w:t>
      </w:r>
      <w:r w:rsidRPr="003215C5">
        <w:t xml:space="preserve"> affirmative action preference to adequate representation for all, and not just the female population. In this way</w:t>
      </w:r>
      <w:r w:rsidR="006A082D" w:rsidRPr="003215C5">
        <w:t>,</w:t>
      </w:r>
      <w:r w:rsidRPr="003215C5">
        <w:t xml:space="preserve"> a different </w:t>
      </w:r>
      <w:r w:rsidR="006A082D" w:rsidRPr="003215C5">
        <w:t>m</w:t>
      </w:r>
      <w:r w:rsidR="007810EF" w:rsidRPr="003215C5">
        <w:t>erit</w:t>
      </w:r>
      <w:r w:rsidRPr="003215C5">
        <w:t xml:space="preserve"> assessment scale will be </w:t>
      </w:r>
      <w:r w:rsidR="006A082D" w:rsidRPr="003215C5">
        <w:t xml:space="preserve">set </w:t>
      </w:r>
      <w:r w:rsidRPr="003215C5">
        <w:t>for the target populations</w:t>
      </w:r>
      <w:r w:rsidR="006A082D" w:rsidRPr="003215C5">
        <w:t>,</w:t>
      </w:r>
      <w:r w:rsidRPr="003215C5">
        <w:t xml:space="preserve"> or a similar procedure </w:t>
      </w:r>
      <w:r w:rsidR="00115850">
        <w:t>will be adopted to ensure</w:t>
      </w:r>
      <w:r w:rsidRPr="003215C5">
        <w:t xml:space="preserve"> adequate representation of women </w:t>
      </w:r>
      <w:r w:rsidR="00115850">
        <w:t>by eliminating</w:t>
      </w:r>
      <w:r w:rsidRPr="003215C5">
        <w:t xml:space="preserve"> a </w:t>
      </w:r>
      <w:r w:rsidR="00A5065C">
        <w:t>particular</w:t>
      </w:r>
      <w:r w:rsidRPr="003215C5">
        <w:t xml:space="preserve"> score gap between </w:t>
      </w:r>
      <w:r w:rsidR="0072771F">
        <w:t xml:space="preserve">candidates </w:t>
      </w:r>
      <w:r w:rsidRPr="003215C5">
        <w:t xml:space="preserve">from different groups. Although this solution </w:t>
      </w:r>
      <w:r w:rsidR="00115850">
        <w:t>represents</w:t>
      </w:r>
      <w:r w:rsidRPr="003215C5">
        <w:t xml:space="preserve"> a certain deviation from the </w:t>
      </w:r>
      <w:r w:rsidR="0072771F" w:rsidRPr="003215C5">
        <w:t xml:space="preserve">merit </w:t>
      </w:r>
      <w:r w:rsidRPr="003215C5">
        <w:t xml:space="preserve">principle </w:t>
      </w:r>
      <w:r w:rsidR="00115850">
        <w:t>that is meant to be applied equally f</w:t>
      </w:r>
      <w:r w:rsidRPr="003215C5">
        <w:t xml:space="preserve">or </w:t>
      </w:r>
      <w:r w:rsidR="0072771F">
        <w:t>everyone</w:t>
      </w:r>
      <w:r w:rsidR="00DC6DC4" w:rsidRPr="003215C5">
        <w:t>,</w:t>
      </w:r>
      <w:r w:rsidRPr="003215C5">
        <w:t xml:space="preserve"> </w:t>
      </w:r>
      <w:r w:rsidR="0072771F">
        <w:t xml:space="preserve">as well as </w:t>
      </w:r>
      <w:r w:rsidRPr="003215C5">
        <w:t xml:space="preserve">from the threshold conditions relevant to the position, it is possible to </w:t>
      </w:r>
      <w:r w:rsidR="0072771F">
        <w:t xml:space="preserve">provide </w:t>
      </w:r>
      <w:r w:rsidRPr="003215C5">
        <w:t xml:space="preserve">relevant training </w:t>
      </w:r>
      <w:r w:rsidR="00115850">
        <w:t>when</w:t>
      </w:r>
      <w:r w:rsidRPr="003215C5">
        <w:t xml:space="preserve"> </w:t>
      </w:r>
      <w:r w:rsidR="0072771F" w:rsidRPr="003215C5">
        <w:t>the candidate</w:t>
      </w:r>
      <w:r w:rsidR="0072771F">
        <w:t xml:space="preserve"> is recruited</w:t>
      </w:r>
      <w:r w:rsidRPr="003215C5">
        <w:t xml:space="preserve">. The second solution </w:t>
      </w:r>
      <w:r w:rsidR="00115850">
        <w:t xml:space="preserve">of changing the skills assessment raises a separate challenge of </w:t>
      </w:r>
      <w:r w:rsidR="009E2061">
        <w:t xml:space="preserve">identifying the </w:t>
      </w:r>
      <w:r w:rsidRPr="003215C5">
        <w:t>education and training skills de</w:t>
      </w:r>
      <w:r w:rsidR="005A44DE">
        <w:t>s</w:t>
      </w:r>
      <w:r w:rsidRPr="003215C5">
        <w:t>i</w:t>
      </w:r>
      <w:r w:rsidR="005A44DE">
        <w:t>gn</w:t>
      </w:r>
      <w:r w:rsidRPr="003215C5">
        <w:t xml:space="preserve">ated </w:t>
      </w:r>
      <w:r w:rsidR="005A44DE">
        <w:t xml:space="preserve">for </w:t>
      </w:r>
      <w:r w:rsidRPr="003215C5">
        <w:t>the job.</w:t>
      </w:r>
    </w:p>
    <w:p w14:paraId="7DD6D8EC" w14:textId="47061058" w:rsidR="007D06B9" w:rsidRPr="003215C5" w:rsidRDefault="007D06B9" w:rsidP="00286484">
      <w:pPr>
        <w:spacing w:line="360" w:lineRule="auto"/>
        <w:ind w:firstLine="720"/>
        <w:jc w:val="both"/>
      </w:pPr>
      <w:r w:rsidRPr="003215C5">
        <w:t xml:space="preserve">Some even argue that </w:t>
      </w:r>
      <w:r w:rsidR="00DC6DC4" w:rsidRPr="003215C5">
        <w:t>m</w:t>
      </w:r>
      <w:r w:rsidR="007810EF" w:rsidRPr="003215C5">
        <w:t>erit</w:t>
      </w:r>
      <w:r w:rsidRPr="003215C5">
        <w:t xml:space="preserve"> assessments </w:t>
      </w:r>
      <w:r w:rsidRPr="003215C5">
        <w:rPr>
          <w:i/>
          <w:iCs/>
        </w:rPr>
        <w:t>per se</w:t>
      </w:r>
      <w:r w:rsidRPr="003215C5">
        <w:t>, even without the need for a discussion based on affirmative action, are unfair and undemocratic</w:t>
      </w:r>
      <w:r w:rsidR="00DC6DC4" w:rsidRPr="003215C5">
        <w:t>,</w:t>
      </w:r>
      <w:r w:rsidRPr="003215C5">
        <w:t xml:space="preserve"> because they do not serve as a reliable</w:t>
      </w:r>
      <w:r w:rsidR="005A44DE">
        <w:t>,</w:t>
      </w:r>
      <w:r w:rsidRPr="003215C5">
        <w:t xml:space="preserve"> functional</w:t>
      </w:r>
      <w:r w:rsidR="005A44DE">
        <w:t>,</w:t>
      </w:r>
      <w:r w:rsidRPr="003215C5">
        <w:t xml:space="preserve"> predictive </w:t>
      </w:r>
      <w:r w:rsidR="00DC6DC4" w:rsidRPr="003215C5">
        <w:t>factor</w:t>
      </w:r>
      <w:r w:rsidRPr="003215C5">
        <w:t xml:space="preserve">, </w:t>
      </w:r>
      <w:r w:rsidR="00DC6DC4" w:rsidRPr="003215C5">
        <w:t>since values of excellence as a m</w:t>
      </w:r>
      <w:r w:rsidR="007810EF" w:rsidRPr="003215C5">
        <w:t>erit</w:t>
      </w:r>
      <w:r w:rsidRPr="003215C5">
        <w:t xml:space="preserve"> assessment</w:t>
      </w:r>
      <w:r w:rsidR="00DC6DC4" w:rsidRPr="003215C5">
        <w:t xml:space="preserve"> yardstick </w:t>
      </w:r>
      <w:r w:rsidRPr="003215C5">
        <w:t xml:space="preserve">are </w:t>
      </w:r>
      <w:r w:rsidR="00DC6DC4" w:rsidRPr="003215C5">
        <w:t xml:space="preserve">perceived </w:t>
      </w:r>
      <w:r w:rsidRPr="003215C5">
        <w:t xml:space="preserve">as </w:t>
      </w:r>
      <w:r w:rsidR="00DC6DC4" w:rsidRPr="003215C5">
        <w:t xml:space="preserve">firmly </w:t>
      </w:r>
      <w:r w:rsidR="00C57CD5">
        <w:t>entrenching</w:t>
      </w:r>
      <w:r w:rsidR="00DC6DC4" w:rsidRPr="003215C5">
        <w:t xml:space="preserve"> </w:t>
      </w:r>
      <w:r w:rsidRPr="003215C5">
        <w:t xml:space="preserve">the </w:t>
      </w:r>
      <w:r w:rsidR="00C57CD5">
        <w:t>strong</w:t>
      </w:r>
      <w:r w:rsidRPr="003215C5">
        <w:t xml:space="preserve"> while excluding the weak.</w:t>
      </w:r>
      <w:r w:rsidR="00E00D35" w:rsidRPr="003215C5">
        <w:rPr>
          <w:rStyle w:val="FootnoteReference"/>
        </w:rPr>
        <w:footnoteReference w:id="9"/>
      </w:r>
      <w:r w:rsidRPr="003215C5">
        <w:t xml:space="preserve"> Studies have confirmed the </w:t>
      </w:r>
      <w:r w:rsidR="00C57CD5">
        <w:t>fragile</w:t>
      </w:r>
      <w:r w:rsidR="005A44DE">
        <w:t xml:space="preserve"> </w:t>
      </w:r>
      <w:r w:rsidRPr="003215C5">
        <w:t xml:space="preserve">link between </w:t>
      </w:r>
      <w:r w:rsidR="007810EF" w:rsidRPr="003215C5">
        <w:t>merit</w:t>
      </w:r>
      <w:r w:rsidRPr="003215C5">
        <w:t xml:space="preserve"> test scores and actual successful performance</w:t>
      </w:r>
      <w:r w:rsidR="00DC6DC4" w:rsidRPr="003215C5">
        <w:t>,</w:t>
      </w:r>
      <w:r w:rsidRPr="003215C5">
        <w:t xml:space="preserve"> and have argued that there are </w:t>
      </w:r>
      <w:r w:rsidR="00C57CD5">
        <w:t>more effective</w:t>
      </w:r>
      <w:r w:rsidRPr="003215C5">
        <w:t xml:space="preserve"> employment tests.</w:t>
      </w:r>
      <w:r w:rsidR="00E00D35" w:rsidRPr="003215C5">
        <w:rPr>
          <w:rStyle w:val="FootnoteReference"/>
        </w:rPr>
        <w:footnoteReference w:id="10"/>
      </w:r>
      <w:r w:rsidRPr="003215C5">
        <w:t xml:space="preserve"> A basic </w:t>
      </w:r>
      <w:r w:rsidR="00C57CD5">
        <w:t>rationale</w:t>
      </w:r>
      <w:r w:rsidRPr="003215C5">
        <w:t xml:space="preserve"> for </w:t>
      </w:r>
      <w:r w:rsidR="00C57CD5">
        <w:t xml:space="preserve">the argument that </w:t>
      </w:r>
      <w:r w:rsidRPr="003215C5">
        <w:t xml:space="preserve">the </w:t>
      </w:r>
      <w:r w:rsidR="005A44DE">
        <w:t>m</w:t>
      </w:r>
      <w:r w:rsidR="007810EF" w:rsidRPr="003215C5">
        <w:t>erit</w:t>
      </w:r>
      <w:r w:rsidRPr="003215C5">
        <w:t xml:space="preserve"> test </w:t>
      </w:r>
      <w:r w:rsidR="00C57CD5">
        <w:t>is inherently</w:t>
      </w:r>
      <w:r w:rsidRPr="003215C5">
        <w:t xml:space="preserve"> unfair</w:t>
      </w:r>
      <w:r w:rsidR="00C57CD5">
        <w:t xml:space="preserve"> is that </w:t>
      </w:r>
      <w:r w:rsidRPr="003215C5">
        <w:t xml:space="preserve">the </w:t>
      </w:r>
      <w:r w:rsidRPr="003215C5">
        <w:lastRenderedPageBreak/>
        <w:t>test</w:t>
      </w:r>
      <w:r w:rsidR="005A44DE">
        <w:t xml:space="preserve"> </w:t>
      </w:r>
      <w:r w:rsidRPr="003215C5">
        <w:t>assume</w:t>
      </w:r>
      <w:r w:rsidR="005A44DE">
        <w:t>s</w:t>
      </w:r>
      <w:r w:rsidRPr="003215C5">
        <w:t xml:space="preserve"> that there is one way to complete </w:t>
      </w:r>
      <w:r w:rsidR="005A44DE">
        <w:t xml:space="preserve">a </w:t>
      </w:r>
      <w:r w:rsidRPr="003215C5">
        <w:t xml:space="preserve">task. </w:t>
      </w:r>
      <w:r w:rsidR="00C57CD5">
        <w:t>In this way, the test imbeds</w:t>
      </w:r>
      <w:r w:rsidRPr="003215C5">
        <w:t xml:space="preserve"> criteria for </w:t>
      </w:r>
      <w:r w:rsidR="005A44DE">
        <w:t xml:space="preserve">recruiting </w:t>
      </w:r>
      <w:r w:rsidRPr="003215C5">
        <w:t xml:space="preserve">candidates who are similar to </w:t>
      </w:r>
      <w:r w:rsidR="005A44DE">
        <w:t xml:space="preserve">the </w:t>
      </w:r>
      <w:r w:rsidRPr="003215C5">
        <w:t>decision</w:t>
      </w:r>
      <w:r w:rsidR="000D37DC">
        <w:t>-</w:t>
      </w:r>
      <w:r w:rsidRPr="003215C5">
        <w:t>makers</w:t>
      </w:r>
      <w:r w:rsidR="00DC6DC4" w:rsidRPr="003215C5">
        <w:t>,</w:t>
      </w:r>
      <w:r w:rsidRPr="003215C5">
        <w:t xml:space="preserve"> </w:t>
      </w:r>
      <w:r w:rsidR="00C57CD5">
        <w:t>sharing</w:t>
      </w:r>
      <w:r w:rsidR="005A44DE">
        <w:t xml:space="preserve"> </w:t>
      </w:r>
      <w:r w:rsidRPr="003215C5">
        <w:t>a uniform style. This standardi</w:t>
      </w:r>
      <w:r w:rsidR="005A44DE">
        <w:t>s</w:t>
      </w:r>
      <w:r w:rsidRPr="003215C5">
        <w:t xml:space="preserve">ed test </w:t>
      </w:r>
      <w:r w:rsidR="00C57CD5">
        <w:t xml:space="preserve">thereby </w:t>
      </w:r>
      <w:r w:rsidRPr="003215C5">
        <w:t>creates an arbitrary barrier for many talented candidates</w:t>
      </w:r>
      <w:r w:rsidR="002E0BD7">
        <w:t xml:space="preserve">. An affirmative action model in the context of </w:t>
      </w:r>
      <w:r w:rsidR="002E0BD7" w:rsidRPr="003215C5">
        <w:t>rigid merit assessment</w:t>
      </w:r>
      <w:r w:rsidR="002E0BD7">
        <w:t>s</w:t>
      </w:r>
      <w:r w:rsidRPr="003215C5">
        <w:t xml:space="preserve"> pushes </w:t>
      </w:r>
      <w:commentRangeStart w:id="0"/>
      <w:r w:rsidRPr="003215C5">
        <w:t>target</w:t>
      </w:r>
      <w:commentRangeEnd w:id="0"/>
      <w:r w:rsidR="002E0BD7">
        <w:rPr>
          <w:rStyle w:val="CommentReference"/>
        </w:rPr>
        <w:commentReference w:id="0"/>
      </w:r>
      <w:r w:rsidRPr="003215C5">
        <w:t xml:space="preserve"> populations to the margins</w:t>
      </w:r>
      <w:r w:rsidR="002E0BD7">
        <w:t>,</w:t>
      </w:r>
      <w:r w:rsidRPr="003215C5">
        <w:t xml:space="preserve"> </w:t>
      </w:r>
      <w:r w:rsidR="00DC6DC4" w:rsidRPr="003215C5">
        <w:t xml:space="preserve">prospectively </w:t>
      </w:r>
      <w:r w:rsidRPr="003215C5">
        <w:t>assum</w:t>
      </w:r>
      <w:r w:rsidR="002E0BD7">
        <w:t>ing</w:t>
      </w:r>
      <w:r w:rsidRPr="003215C5">
        <w:t xml:space="preserve"> that these populations do not match the </w:t>
      </w:r>
      <w:r w:rsidR="00DC6DC4" w:rsidRPr="003215C5">
        <w:t>m</w:t>
      </w:r>
      <w:r w:rsidR="007810EF" w:rsidRPr="003215C5">
        <w:t>erit</w:t>
      </w:r>
      <w:r w:rsidR="008578D4" w:rsidRPr="003215C5">
        <w:t>’</w:t>
      </w:r>
      <w:r w:rsidRPr="003215C5">
        <w:t xml:space="preserve">s </w:t>
      </w:r>
      <w:r w:rsidR="008578D4" w:rsidRPr="003215C5">
        <w:t>‘</w:t>
      </w:r>
      <w:r w:rsidRPr="003215C5">
        <w:t>normal</w:t>
      </w:r>
      <w:r w:rsidR="008578D4" w:rsidRPr="003215C5">
        <w:t>’</w:t>
      </w:r>
      <w:r w:rsidRPr="003215C5">
        <w:t xml:space="preserve"> score graph</w:t>
      </w:r>
      <w:r w:rsidR="002E0BD7">
        <w:t>. The affirmative action model then</w:t>
      </w:r>
      <w:r w:rsidRPr="003215C5">
        <w:t xml:space="preserve"> </w:t>
      </w:r>
      <w:r w:rsidR="00DC6DC4" w:rsidRPr="003215C5">
        <w:t>facilitate</w:t>
      </w:r>
      <w:r w:rsidR="002E0BD7">
        <w:t>s</w:t>
      </w:r>
      <w:r w:rsidR="00DC6DC4" w:rsidRPr="003215C5">
        <w:t xml:space="preserve"> </w:t>
      </w:r>
      <w:r w:rsidRPr="003215C5">
        <w:t xml:space="preserve">ways of compensating for </w:t>
      </w:r>
      <w:r w:rsidR="002E0BD7">
        <w:t xml:space="preserve">the lack of correspondence </w:t>
      </w:r>
      <w:r w:rsidRPr="003215C5">
        <w:t>with this graph</w:t>
      </w:r>
      <w:r w:rsidR="002E0BD7">
        <w:t>. These can include</w:t>
      </w:r>
      <w:r w:rsidR="005A44DE">
        <w:t xml:space="preserve"> </w:t>
      </w:r>
      <w:r w:rsidRPr="003215C5">
        <w:t xml:space="preserve">ignoring a score gap for the </w:t>
      </w:r>
      <w:r w:rsidR="00DC6DC4" w:rsidRPr="003215C5">
        <w:t xml:space="preserve">female </w:t>
      </w:r>
      <w:r w:rsidRPr="003215C5">
        <w:t>group</w:t>
      </w:r>
      <w:r w:rsidR="00DC6DC4" w:rsidRPr="003215C5">
        <w:t>,</w:t>
      </w:r>
      <w:r w:rsidRPr="003215C5">
        <w:t xml:space="preserve"> or holding </w:t>
      </w:r>
      <w:r w:rsidR="00DC6DC4" w:rsidRPr="003215C5">
        <w:t xml:space="preserve">designated </w:t>
      </w:r>
      <w:r w:rsidRPr="003215C5">
        <w:t xml:space="preserve">tenders for other populations, within which the </w:t>
      </w:r>
      <w:r w:rsidR="005A44DE">
        <w:t xml:space="preserve">target </w:t>
      </w:r>
      <w:r w:rsidRPr="003215C5">
        <w:t xml:space="preserve">population is measured </w:t>
      </w:r>
      <w:r w:rsidR="002E0BD7">
        <w:t>separately</w:t>
      </w:r>
      <w:r w:rsidRPr="003215C5">
        <w:t xml:space="preserve"> and not </w:t>
      </w:r>
      <w:r w:rsidR="00DC6DC4" w:rsidRPr="003215C5">
        <w:t>in c</w:t>
      </w:r>
      <w:r w:rsidRPr="003215C5">
        <w:t>ompar</w:t>
      </w:r>
      <w:r w:rsidR="00DC6DC4" w:rsidRPr="003215C5">
        <w:t xml:space="preserve">ison </w:t>
      </w:r>
      <w:r w:rsidRPr="003215C5">
        <w:t xml:space="preserve">to the majority group. This mechanism is consistent with the collective view of the right to affirmative action. One of the solutions that can be offered is to refine </w:t>
      </w:r>
      <w:r w:rsidR="007810EF" w:rsidRPr="003215C5">
        <w:t>merit</w:t>
      </w:r>
      <w:r w:rsidRPr="003215C5">
        <w:t xml:space="preserve"> </w:t>
      </w:r>
      <w:r w:rsidR="005A44DE">
        <w:t xml:space="preserve">assessments so that they are </w:t>
      </w:r>
      <w:r w:rsidRPr="003215C5">
        <w:t>sui</w:t>
      </w:r>
      <w:r w:rsidR="005A44DE">
        <w:t xml:space="preserve">ted to </w:t>
      </w:r>
      <w:r w:rsidRPr="003215C5">
        <w:t>the entire population</w:t>
      </w:r>
      <w:r w:rsidR="00DC6DC4" w:rsidRPr="003215C5">
        <w:t>,</w:t>
      </w:r>
      <w:r w:rsidRPr="003215C5">
        <w:t xml:space="preserve"> thus reduc</w:t>
      </w:r>
      <w:r w:rsidR="005A44DE">
        <w:t xml:space="preserve">ing </w:t>
      </w:r>
      <w:r w:rsidRPr="003215C5">
        <w:t>the gap created in employment patterns.</w:t>
      </w:r>
      <w:r w:rsidR="00E00D35" w:rsidRPr="003215C5">
        <w:rPr>
          <w:rStyle w:val="FootnoteReference"/>
        </w:rPr>
        <w:footnoteReference w:id="11"/>
      </w:r>
    </w:p>
    <w:p w14:paraId="3AE0BF25" w14:textId="1A280F23" w:rsidR="007D06B9" w:rsidRPr="003215C5" w:rsidRDefault="00A13CEF" w:rsidP="00286484">
      <w:pPr>
        <w:spacing w:line="360" w:lineRule="auto"/>
        <w:ind w:firstLine="720"/>
        <w:jc w:val="both"/>
      </w:pPr>
      <w:r w:rsidRPr="003215C5">
        <w:t>The central idea of ​​equality</w:t>
      </w:r>
      <w:r w:rsidR="007D06B9" w:rsidRPr="003215C5">
        <w:t xml:space="preserve"> is strict adherence to impartiality and uniform distribution, but this idea does not necessarily guarantee </w:t>
      </w:r>
      <w:r w:rsidR="005A44DE">
        <w:t xml:space="preserve">a </w:t>
      </w:r>
      <w:r w:rsidR="007D06B9" w:rsidRPr="003215C5">
        <w:t>fair distribution.</w:t>
      </w:r>
      <w:r w:rsidR="00E00D35" w:rsidRPr="003215C5">
        <w:rPr>
          <w:rStyle w:val="FootnoteReference"/>
        </w:rPr>
        <w:footnoteReference w:id="12"/>
      </w:r>
      <w:r w:rsidR="007D06B9" w:rsidRPr="003215C5">
        <w:t xml:space="preserve"> This is the </w:t>
      </w:r>
      <w:r w:rsidR="00F44D87">
        <w:t>recognized</w:t>
      </w:r>
      <w:r w:rsidR="007D06B9" w:rsidRPr="003215C5">
        <w:t xml:space="preserve"> argument against </w:t>
      </w:r>
      <w:r w:rsidR="00DC6DC4" w:rsidRPr="003215C5">
        <w:t xml:space="preserve">merit </w:t>
      </w:r>
      <w:r w:rsidR="007D06B9" w:rsidRPr="003215C5">
        <w:t>assessment</w:t>
      </w:r>
      <w:r w:rsidR="005A44DE">
        <w:t xml:space="preserve">s </w:t>
      </w:r>
      <w:r w:rsidR="007D06B9" w:rsidRPr="003215C5">
        <w:t xml:space="preserve">and the setting of threshold conditions in a uniform manner for the entire population, since the entire population is </w:t>
      </w:r>
      <w:r w:rsidR="00DC6DC4" w:rsidRPr="003215C5">
        <w:t xml:space="preserve">not </w:t>
      </w:r>
      <w:r w:rsidR="005A44DE">
        <w:t>identical</w:t>
      </w:r>
      <w:r w:rsidR="007D06B9" w:rsidRPr="003215C5">
        <w:t xml:space="preserve">. Aristotelian equality </w:t>
      </w:r>
      <w:r w:rsidR="00F44D87">
        <w:t>in contrast to</w:t>
      </w:r>
      <w:r w:rsidR="007D06B9" w:rsidRPr="003215C5">
        <w:t xml:space="preserve"> substantive equality</w:t>
      </w:r>
      <w:r w:rsidR="005A44DE">
        <w:t xml:space="preserve"> </w:t>
      </w:r>
      <w:r w:rsidR="007D06B9" w:rsidRPr="003215C5">
        <w:t>presents requirements regarding the rule of division itself</w:t>
      </w:r>
      <w:r w:rsidR="00DC6DC4" w:rsidRPr="003215C5">
        <w:t>,</w:t>
      </w:r>
      <w:r w:rsidR="007D06B9" w:rsidRPr="003215C5">
        <w:t xml:space="preserve"> and </w:t>
      </w:r>
      <w:r w:rsidR="00F44D87">
        <w:t>demands</w:t>
      </w:r>
      <w:r w:rsidR="007D06B9" w:rsidRPr="003215C5">
        <w:t xml:space="preserve"> adjustment</w:t>
      </w:r>
      <w:r w:rsidR="00F44D87">
        <w:t>: e</w:t>
      </w:r>
      <w:r w:rsidR="007D06B9" w:rsidRPr="003215C5">
        <w:t>qual treatment of equals</w:t>
      </w:r>
      <w:r w:rsidR="00DC6DC4" w:rsidRPr="003215C5">
        <w:t>,</w:t>
      </w:r>
      <w:r w:rsidR="007D06B9" w:rsidRPr="003215C5">
        <w:t xml:space="preserve"> and different treatment of differences, where the </w:t>
      </w:r>
      <w:r w:rsidR="00CB2B67">
        <w:t>judgements</w:t>
      </w:r>
      <w:r w:rsidR="007D06B9" w:rsidRPr="003215C5">
        <w:t xml:space="preserve"> are relevant to the manner of division.</w:t>
      </w:r>
      <w:r w:rsidR="00E00D35" w:rsidRPr="003215C5">
        <w:rPr>
          <w:rStyle w:val="FootnoteReference"/>
        </w:rPr>
        <w:footnoteReference w:id="13"/>
      </w:r>
      <w:r w:rsidR="007D06B9" w:rsidRPr="003215C5">
        <w:t xml:space="preserve"> This Aristotelian idea may justify the existence of dedicated tenders or even the existence of different threshold conditions in these tenders. However, the way to justify them on a more horizontal level, with regard to possible harm to stereotypes or even to giving </w:t>
      </w:r>
      <w:r w:rsidR="008578D4" w:rsidRPr="003215C5">
        <w:t>‘</w:t>
      </w:r>
      <w:r w:rsidR="000319D1" w:rsidRPr="003215C5">
        <w:t>concessions’</w:t>
      </w:r>
      <w:r w:rsidR="007D06B9" w:rsidRPr="003215C5">
        <w:t xml:space="preserve"> to those who belong to the target group</w:t>
      </w:r>
      <w:r w:rsidR="005A44DE">
        <w:t>,</w:t>
      </w:r>
      <w:r w:rsidR="007D06B9" w:rsidRPr="003215C5">
        <w:t xml:space="preserve"> but </w:t>
      </w:r>
      <w:r w:rsidR="005A44DE">
        <w:t xml:space="preserve">who </w:t>
      </w:r>
      <w:r w:rsidR="007D06B9" w:rsidRPr="003215C5">
        <w:t>do not suffer from belonging to it, is to determine a predictive measure for assessing the candidate</w:t>
      </w:r>
      <w:r w:rsidR="008578D4" w:rsidRPr="003215C5">
        <w:t>’</w:t>
      </w:r>
      <w:r w:rsidR="007D06B9" w:rsidRPr="003215C5">
        <w:t>s group and personal abilit</w:t>
      </w:r>
      <w:r w:rsidR="002C4E40">
        <w:t>ies</w:t>
      </w:r>
      <w:r w:rsidR="007D06B9" w:rsidRPr="003215C5">
        <w:t xml:space="preserve">. It may not be enough for </w:t>
      </w:r>
      <w:r w:rsidR="000319D1" w:rsidRPr="003215C5">
        <w:t xml:space="preserve">a person </w:t>
      </w:r>
      <w:r w:rsidR="007D06B9" w:rsidRPr="003215C5">
        <w:t xml:space="preserve">to belong to a particular minority group to determine that </w:t>
      </w:r>
      <w:r w:rsidR="000319D1" w:rsidRPr="003215C5">
        <w:t xml:space="preserve">he </w:t>
      </w:r>
      <w:r w:rsidR="00F44D87">
        <w:t xml:space="preserve">or she </w:t>
      </w:r>
      <w:r w:rsidR="007D06B9" w:rsidRPr="003215C5">
        <w:t xml:space="preserve">is entitled to </w:t>
      </w:r>
      <w:r w:rsidR="005A44DE">
        <w:t xml:space="preserve">the benefit of </w:t>
      </w:r>
      <w:r w:rsidR="007D06B9" w:rsidRPr="003215C5">
        <w:t>affirmative action</w:t>
      </w:r>
      <w:r w:rsidR="00F44D87">
        <w:t>. Instead, we may need to</w:t>
      </w:r>
      <w:r w:rsidR="000319D1" w:rsidRPr="003215C5">
        <w:t xml:space="preserve"> </w:t>
      </w:r>
      <w:r w:rsidR="005A44DE">
        <w:t xml:space="preserve">identify </w:t>
      </w:r>
      <w:r w:rsidR="000319D1" w:rsidRPr="003215C5">
        <w:t xml:space="preserve">distinctions </w:t>
      </w:r>
      <w:r w:rsidR="00F44D87">
        <w:t>with</w:t>
      </w:r>
      <w:r w:rsidR="000319D1" w:rsidRPr="003215C5">
        <w:t>in the m</w:t>
      </w:r>
      <w:r w:rsidR="007D06B9" w:rsidRPr="003215C5">
        <w:t>inority population that can predict underrepresentation. However, a person</w:t>
      </w:r>
      <w:r w:rsidR="008578D4" w:rsidRPr="003215C5">
        <w:t>’</w:t>
      </w:r>
      <w:r w:rsidR="007D06B9" w:rsidRPr="003215C5">
        <w:t xml:space="preserve">s belonging to a particular group also requires individual scrutiny, which imposes economic costs on the state. These general </w:t>
      </w:r>
      <w:r w:rsidR="00CB2B67">
        <w:t>judgements</w:t>
      </w:r>
      <w:r w:rsidR="007D06B9" w:rsidRPr="003215C5">
        <w:t xml:space="preserve"> </w:t>
      </w:r>
      <w:r w:rsidR="005A44DE" w:rsidRPr="003215C5">
        <w:t xml:space="preserve">may </w:t>
      </w:r>
      <w:r w:rsidR="007D06B9" w:rsidRPr="003215C5">
        <w:t>not only harm the individual</w:t>
      </w:r>
      <w:r w:rsidR="000319D1" w:rsidRPr="003215C5">
        <w:t>,</w:t>
      </w:r>
      <w:r w:rsidR="007D06B9" w:rsidRPr="003215C5">
        <w:t xml:space="preserve"> but </w:t>
      </w:r>
      <w:r w:rsidR="007D06B9" w:rsidRPr="003215C5">
        <w:lastRenderedPageBreak/>
        <w:t>also impose on him a collective and even arbitrary stereotypical group affiliation</w:t>
      </w:r>
      <w:r w:rsidR="00767CC7">
        <w:t xml:space="preserve"> </w:t>
      </w:r>
      <w:r w:rsidR="007D06B9" w:rsidRPr="003215C5">
        <w:t xml:space="preserve">that does not </w:t>
      </w:r>
      <w:r w:rsidR="005A44DE">
        <w:t xml:space="preserve">correlate to </w:t>
      </w:r>
      <w:r w:rsidR="007D06B9" w:rsidRPr="003215C5">
        <w:t xml:space="preserve">his individual characteristics. Due to the difficulties in </w:t>
      </w:r>
      <w:r w:rsidR="00767CC7">
        <w:t xml:space="preserve">applying </w:t>
      </w:r>
      <w:r w:rsidR="007D06B9" w:rsidRPr="003215C5">
        <w:t>Aristotelian equality, it is customary to promote the values ​​of affirmative action on the basis of substantive equalit</w:t>
      </w:r>
      <w:r w:rsidR="002C4E40">
        <w:t>y that acknowledges</w:t>
      </w:r>
      <w:r w:rsidR="007D06B9" w:rsidRPr="003215C5">
        <w:t xml:space="preserve"> equality in abilities and justifies adjustments.</w:t>
      </w:r>
      <w:r w:rsidR="00E00D35" w:rsidRPr="003215C5">
        <w:rPr>
          <w:rStyle w:val="FootnoteReference"/>
        </w:rPr>
        <w:footnoteReference w:id="14"/>
      </w:r>
    </w:p>
    <w:p w14:paraId="5303F1EC" w14:textId="02921D91" w:rsidR="007D06B9" w:rsidRPr="003215C5" w:rsidRDefault="008A2180" w:rsidP="00286484">
      <w:pPr>
        <w:spacing w:line="360" w:lineRule="auto"/>
        <w:ind w:firstLine="720"/>
        <w:jc w:val="both"/>
      </w:pPr>
      <w:r>
        <w:t xml:space="preserve">In </w:t>
      </w:r>
      <w:r w:rsidR="00B72083">
        <w:t>establishing</w:t>
      </w:r>
      <w:r w:rsidR="007D06B9" w:rsidRPr="003215C5">
        <w:t xml:space="preserve"> affirmative action programs that </w:t>
      </w:r>
      <w:r w:rsidR="00C87290" w:rsidRPr="003215C5">
        <w:t>employ</w:t>
      </w:r>
      <w:r w:rsidR="007D06B9" w:rsidRPr="003215C5">
        <w:t xml:space="preserve"> quotas and reserve a defined number of places for candidates from the target population, the components of the screening proce</w:t>
      </w:r>
      <w:r>
        <w:t>ss</w:t>
      </w:r>
      <w:r w:rsidR="007D06B9" w:rsidRPr="003215C5">
        <w:t xml:space="preserve"> are not addressed</w:t>
      </w:r>
      <w:r w:rsidR="00B72083">
        <w:t xml:space="preserve">. Instead, </w:t>
      </w:r>
      <w:r w:rsidR="007D06B9" w:rsidRPr="003215C5">
        <w:t xml:space="preserve">the scoring method </w:t>
      </w:r>
      <w:r w:rsidR="00C87290" w:rsidRPr="003215C5">
        <w:t xml:space="preserve">is changed </w:t>
      </w:r>
      <w:r>
        <w:t xml:space="preserve">and the </w:t>
      </w:r>
      <w:r w:rsidRPr="003215C5">
        <w:t xml:space="preserve">outcome </w:t>
      </w:r>
      <w:r w:rsidR="007D06B9" w:rsidRPr="003215C5">
        <w:t>influenc</w:t>
      </w:r>
      <w:r>
        <w:t xml:space="preserve">ed </w:t>
      </w:r>
      <w:r w:rsidR="007D06B9" w:rsidRPr="003215C5">
        <w:t xml:space="preserve">to reduce discrimination bias in screening. This procedure is </w:t>
      </w:r>
      <w:r w:rsidR="00B72083">
        <w:t>performed</w:t>
      </w:r>
      <w:r w:rsidR="007D06B9" w:rsidRPr="003215C5">
        <w:t xml:space="preserve"> in tenders dedicated to a particular group, </w:t>
      </w:r>
      <w:r w:rsidR="00B72083">
        <w:t>with</w:t>
      </w:r>
      <w:r w:rsidR="007D06B9" w:rsidRPr="003215C5">
        <w:t xml:space="preserve"> places reserved for candidates from that group only</w:t>
      </w:r>
      <w:r w:rsidR="00C87290" w:rsidRPr="003215C5">
        <w:t>,</w:t>
      </w:r>
      <w:r w:rsidR="007D06B9" w:rsidRPr="003215C5">
        <w:t xml:space="preserve"> </w:t>
      </w:r>
      <w:r w:rsidR="00B72083">
        <w:t>who then</w:t>
      </w:r>
      <w:r w:rsidR="007D06B9" w:rsidRPr="003215C5">
        <w:t xml:space="preserve"> compete </w:t>
      </w:r>
      <w:r>
        <w:t xml:space="preserve">with other </w:t>
      </w:r>
      <w:r w:rsidR="007D06B9" w:rsidRPr="003215C5">
        <w:t>members of the minority group</w:t>
      </w:r>
      <w:r w:rsidR="00B72083">
        <w:t xml:space="preserve"> only</w:t>
      </w:r>
      <w:r>
        <w:t>,</w:t>
      </w:r>
      <w:r w:rsidR="007D06B9" w:rsidRPr="003215C5">
        <w:t xml:space="preserve"> and not </w:t>
      </w:r>
      <w:r w:rsidR="00B72083">
        <w:t xml:space="preserve">with </w:t>
      </w:r>
      <w:r w:rsidR="007D06B9" w:rsidRPr="003215C5">
        <w:t xml:space="preserve">the majority group. In this context, various score indices are used for the target populations, </w:t>
      </w:r>
      <w:r w:rsidR="00B72083">
        <w:t xml:space="preserve">such as </w:t>
      </w:r>
      <w:r w:rsidR="007D06B9" w:rsidRPr="003215C5">
        <w:t xml:space="preserve">lower cross-sectional points that allow </w:t>
      </w:r>
      <w:r w:rsidR="00C87290" w:rsidRPr="003215C5">
        <w:t xml:space="preserve">for </w:t>
      </w:r>
      <w:r w:rsidR="007D06B9" w:rsidRPr="003215C5">
        <w:t xml:space="preserve">a lower </w:t>
      </w:r>
      <w:r w:rsidR="00C87290" w:rsidRPr="003215C5">
        <w:t>pass</w:t>
      </w:r>
      <w:r w:rsidR="00B72083">
        <w:t>ing</w:t>
      </w:r>
      <w:r w:rsidR="00C87290" w:rsidRPr="003215C5">
        <w:t xml:space="preserve"> </w:t>
      </w:r>
      <w:r w:rsidR="007D06B9" w:rsidRPr="003215C5">
        <w:t xml:space="preserve">score. </w:t>
      </w:r>
      <w:r w:rsidR="00B72083">
        <w:t>One of the criticisms</w:t>
      </w:r>
      <w:r w:rsidR="007D06B9" w:rsidRPr="003215C5">
        <w:t xml:space="preserve"> </w:t>
      </w:r>
      <w:r w:rsidR="00C87290" w:rsidRPr="003215C5">
        <w:t xml:space="preserve">directed at </w:t>
      </w:r>
      <w:r w:rsidR="007D06B9" w:rsidRPr="003215C5">
        <w:t xml:space="preserve">the dedicated </w:t>
      </w:r>
      <w:r w:rsidR="004B6223" w:rsidRPr="003215C5">
        <w:t>tender</w:t>
      </w:r>
      <w:r w:rsidR="00C87290" w:rsidRPr="003215C5">
        <w:t xml:space="preserve"> </w:t>
      </w:r>
      <w:r w:rsidR="007D06B9" w:rsidRPr="003215C5">
        <w:t>method</w:t>
      </w:r>
      <w:r w:rsidR="00B72083">
        <w:t xml:space="preserve"> focuses on</w:t>
      </w:r>
      <w:r w:rsidR="007D06B9" w:rsidRPr="003215C5">
        <w:t xml:space="preserve"> the existence of different standards for candidates from different populations </w:t>
      </w:r>
      <w:r>
        <w:t xml:space="preserve">vying </w:t>
      </w:r>
      <w:r w:rsidR="007D06B9" w:rsidRPr="003215C5">
        <w:t>for the same type of job, once in a regular tender</w:t>
      </w:r>
      <w:r>
        <w:t>,</w:t>
      </w:r>
      <w:r w:rsidR="007D06B9" w:rsidRPr="003215C5">
        <w:t xml:space="preserve"> and once in a dedicated tender</w:t>
      </w:r>
      <w:r w:rsidR="00C87290" w:rsidRPr="003215C5">
        <w:t>,</w:t>
      </w:r>
      <w:r w:rsidR="007D06B9" w:rsidRPr="003215C5">
        <w:t xml:space="preserve"> </w:t>
      </w:r>
      <w:r w:rsidR="00C87290" w:rsidRPr="003215C5">
        <w:t xml:space="preserve">which </w:t>
      </w:r>
      <w:r w:rsidR="007D06B9" w:rsidRPr="003215C5">
        <w:t>assum</w:t>
      </w:r>
      <w:r w:rsidR="00C87290" w:rsidRPr="003215C5">
        <w:t>e</w:t>
      </w:r>
      <w:r>
        <w:t>s</w:t>
      </w:r>
      <w:r w:rsidR="007D06B9" w:rsidRPr="003215C5">
        <w:t xml:space="preserve"> that the target population</w:t>
      </w:r>
      <w:r w:rsidR="00C87290" w:rsidRPr="003215C5">
        <w:t xml:space="preserve"> </w:t>
      </w:r>
      <w:r w:rsidR="007D06B9" w:rsidRPr="003215C5">
        <w:t>need</w:t>
      </w:r>
      <w:r w:rsidR="00C87290" w:rsidRPr="003215C5">
        <w:t>s</w:t>
      </w:r>
      <w:r w:rsidR="007D06B9" w:rsidRPr="003215C5">
        <w:t xml:space="preserve"> outside help to be accepted.</w:t>
      </w:r>
      <w:r w:rsidR="00E00D35" w:rsidRPr="003215C5">
        <w:rPr>
          <w:rStyle w:val="FootnoteReference"/>
        </w:rPr>
        <w:footnoteReference w:id="15"/>
      </w:r>
      <w:r w:rsidR="007D06B9" w:rsidRPr="003215C5">
        <w:t xml:space="preserve"> </w:t>
      </w:r>
      <w:r>
        <w:t>I</w:t>
      </w:r>
      <w:r w:rsidR="007D06B9" w:rsidRPr="003215C5">
        <w:t xml:space="preserve">n the case of women, intervention in the scoring method is </w:t>
      </w:r>
      <w:r w:rsidR="00C87290" w:rsidRPr="003215C5">
        <w:t>permissible</w:t>
      </w:r>
      <w:r>
        <w:t xml:space="preserve"> </w:t>
      </w:r>
      <w:r w:rsidR="007D06B9" w:rsidRPr="003215C5">
        <w:t>since they usually do not enjoy dedicated tender</w:t>
      </w:r>
      <w:r>
        <w:t>s</w:t>
      </w:r>
      <w:r w:rsidR="007D06B9" w:rsidRPr="003215C5">
        <w:t xml:space="preserve"> or quotas, </w:t>
      </w:r>
      <w:r>
        <w:t xml:space="preserve">and </w:t>
      </w:r>
      <w:r w:rsidR="007D06B9" w:rsidRPr="003215C5">
        <w:t xml:space="preserve">it </w:t>
      </w:r>
      <w:r>
        <w:t xml:space="preserve">is </w:t>
      </w:r>
      <w:r w:rsidR="007D06B9" w:rsidRPr="003215C5">
        <w:t xml:space="preserve">still possible to use a </w:t>
      </w:r>
      <w:r w:rsidR="00C87290" w:rsidRPr="003215C5">
        <w:t>“t</w:t>
      </w:r>
      <w:r w:rsidR="007D06B9" w:rsidRPr="003215C5">
        <w:t>iebreaker</w:t>
      </w:r>
      <w:r w:rsidR="00C87290" w:rsidRPr="003215C5">
        <w:t>”</w:t>
      </w:r>
      <w:r w:rsidR="007D06B9" w:rsidRPr="003215C5">
        <w:t xml:space="preserve"> when </w:t>
      </w:r>
      <w:r>
        <w:t xml:space="preserve">a </w:t>
      </w:r>
      <w:r w:rsidRPr="003215C5">
        <w:t xml:space="preserve">male candidate and </w:t>
      </w:r>
      <w:r>
        <w:t xml:space="preserve">a </w:t>
      </w:r>
      <w:r w:rsidRPr="003215C5">
        <w:t>female candidate</w:t>
      </w:r>
      <w:r>
        <w:t xml:space="preserve"> have </w:t>
      </w:r>
      <w:r w:rsidR="007D06B9" w:rsidRPr="003215C5">
        <w:t>similar score</w:t>
      </w:r>
      <w:r w:rsidR="00B72083">
        <w:t>s</w:t>
      </w:r>
      <w:r w:rsidR="007D06B9" w:rsidRPr="003215C5">
        <w:t>.</w:t>
      </w:r>
    </w:p>
    <w:p w14:paraId="0DD83EE9" w14:textId="5F59693E" w:rsidR="007D06B9" w:rsidRPr="003215C5" w:rsidRDefault="007D06B9" w:rsidP="00286484">
      <w:pPr>
        <w:spacing w:line="360" w:lineRule="auto"/>
        <w:ind w:firstLine="720"/>
        <w:jc w:val="both"/>
      </w:pPr>
      <w:r w:rsidRPr="003215C5">
        <w:t>The argument in this book</w:t>
      </w:r>
      <w:r w:rsidR="008A2180">
        <w:t xml:space="preserve"> </w:t>
      </w:r>
      <w:r w:rsidRPr="003215C5">
        <w:t xml:space="preserve">is </w:t>
      </w:r>
      <w:r w:rsidR="00B72083">
        <w:t>that a</w:t>
      </w:r>
      <w:r w:rsidRPr="003215C5">
        <w:t xml:space="preserve"> </w:t>
      </w:r>
      <w:r w:rsidR="00C87290" w:rsidRPr="003215C5">
        <w:t>culturally</w:t>
      </w:r>
      <w:r w:rsidR="00C83ACF">
        <w:t xml:space="preserve"> </w:t>
      </w:r>
      <w:r w:rsidRPr="003215C5">
        <w:t xml:space="preserve">adapted </w:t>
      </w:r>
      <w:r w:rsidR="00B72083">
        <w:t>judg</w:t>
      </w:r>
      <w:r w:rsidR="00CB2B67">
        <w:t>e</w:t>
      </w:r>
      <w:r w:rsidR="00B72083">
        <w:t>ment is called for, stemming</w:t>
      </w:r>
      <w:r w:rsidRPr="003215C5">
        <w:t xml:space="preserve"> from the need to </w:t>
      </w:r>
      <w:r w:rsidR="008A2180">
        <w:t xml:space="preserve">hire </w:t>
      </w:r>
      <w:r w:rsidRPr="003215C5">
        <w:t>under</w:t>
      </w:r>
      <w:r w:rsidR="008A2180">
        <w:t>-</w:t>
      </w:r>
      <w:r w:rsidRPr="003215C5">
        <w:t xml:space="preserve">represented employees with unique characteristics for various roles, given the claim that they do not </w:t>
      </w:r>
      <w:r w:rsidR="00B72083" w:rsidRPr="003215C5">
        <w:t xml:space="preserve">adequately </w:t>
      </w:r>
      <w:r w:rsidRPr="003215C5">
        <w:t xml:space="preserve">meet the </w:t>
      </w:r>
      <w:r w:rsidR="00B72083">
        <w:t xml:space="preserve">standards of the </w:t>
      </w:r>
      <w:r w:rsidRPr="003215C5">
        <w:t xml:space="preserve">current screening tests. In this </w:t>
      </w:r>
      <w:r w:rsidR="00CB2B67">
        <w:t>context</w:t>
      </w:r>
      <w:r w:rsidRPr="003215C5">
        <w:t>, it is important to adapt the diagnostic tools and create culturally adapted screening tools for a variety of populations. The assumption is that the conventional screening tools available today prevent diversity in the workplace</w:t>
      </w:r>
      <w:r w:rsidR="00C87290" w:rsidRPr="003215C5">
        <w:t>,</w:t>
      </w:r>
      <w:r w:rsidRPr="003215C5">
        <w:t xml:space="preserve"> and although they </w:t>
      </w:r>
      <w:r w:rsidR="00CB2B67">
        <w:t>facilitate</w:t>
      </w:r>
      <w:r w:rsidRPr="003215C5">
        <w:t xml:space="preserve"> the selection of a suitable candidate, they exclude certain populations</w:t>
      </w:r>
      <w:r w:rsidR="002C4E40">
        <w:t xml:space="preserve"> that do not differ significantly from others </w:t>
      </w:r>
      <w:r w:rsidRPr="003215C5">
        <w:t>in terms of actual job performance.</w:t>
      </w:r>
      <w:r w:rsidR="00E00D35" w:rsidRPr="003215C5">
        <w:rPr>
          <w:rStyle w:val="FootnoteReference"/>
        </w:rPr>
        <w:footnoteReference w:id="16"/>
      </w:r>
    </w:p>
    <w:p w14:paraId="107E3465" w14:textId="4CA3FD09" w:rsidR="007D06B9" w:rsidRPr="003215C5" w:rsidRDefault="008A2180" w:rsidP="00286484">
      <w:pPr>
        <w:spacing w:line="360" w:lineRule="auto"/>
        <w:ind w:firstLine="720"/>
        <w:jc w:val="both"/>
      </w:pPr>
      <w:r>
        <w:t>Screening</w:t>
      </w:r>
      <w:r w:rsidR="007D06B9" w:rsidRPr="003215C5">
        <w:t xml:space="preserve"> and assessments </w:t>
      </w:r>
      <w:r w:rsidRPr="003215C5">
        <w:t xml:space="preserve">tools </w:t>
      </w:r>
      <w:r w:rsidR="007D06B9" w:rsidRPr="003215C5">
        <w:t xml:space="preserve">are often perceived as </w:t>
      </w:r>
      <w:r w:rsidR="00C87290" w:rsidRPr="003215C5">
        <w:t>barrier</w:t>
      </w:r>
      <w:r>
        <w:t>s</w:t>
      </w:r>
      <w:r w:rsidR="00C87290" w:rsidRPr="003215C5">
        <w:t xml:space="preserve"> to</w:t>
      </w:r>
      <w:r w:rsidR="007D06B9" w:rsidRPr="003215C5">
        <w:t xml:space="preserve"> employment for those who belong to other groups that are not the majority group. It is assumed that some of the diagnostic tools </w:t>
      </w:r>
      <w:r w:rsidR="007D06B9" w:rsidRPr="003215C5">
        <w:lastRenderedPageBreak/>
        <w:t>are culturally biased</w:t>
      </w:r>
      <w:r w:rsidR="00C87290" w:rsidRPr="003215C5">
        <w:t>,</w:t>
      </w:r>
      <w:r w:rsidR="007D06B9" w:rsidRPr="003215C5">
        <w:t xml:space="preserve"> and therefore affect the chances of these </w:t>
      </w:r>
      <w:r>
        <w:t xml:space="preserve">candidates </w:t>
      </w:r>
      <w:r w:rsidR="00CB2B67">
        <w:t>competing with</w:t>
      </w:r>
      <w:r w:rsidR="00C87290" w:rsidRPr="003215C5">
        <w:t xml:space="preserve"> </w:t>
      </w:r>
      <w:r w:rsidR="007D06B9" w:rsidRPr="003215C5">
        <w:t>strong</w:t>
      </w:r>
      <w:r w:rsidR="00C87290" w:rsidRPr="003215C5">
        <w:t>er</w:t>
      </w:r>
      <w:r w:rsidR="007D06B9" w:rsidRPr="003215C5">
        <w:t xml:space="preserve"> populations</w:t>
      </w:r>
      <w:r w:rsidR="00C87290" w:rsidRPr="003215C5">
        <w:t>,</w:t>
      </w:r>
      <w:r w:rsidR="007D06B9" w:rsidRPr="003215C5">
        <w:t xml:space="preserve"> </w:t>
      </w:r>
      <w:r w:rsidR="00CB2B67">
        <w:t>thereby resulting in</w:t>
      </w:r>
      <w:r w:rsidR="00074CCC" w:rsidRPr="003215C5">
        <w:t xml:space="preserve"> </w:t>
      </w:r>
      <w:r w:rsidR="007D06B9" w:rsidRPr="003215C5">
        <w:t>consequential discrimination. As part of the screening procedures, it is common to examine mental skills, personal traits</w:t>
      </w:r>
      <w:r w:rsidR="00074CCC" w:rsidRPr="003215C5">
        <w:t>,</w:t>
      </w:r>
      <w:r w:rsidR="007D06B9" w:rsidRPr="003215C5">
        <w:t xml:space="preserve"> and professional knowledge</w:t>
      </w:r>
      <w:r w:rsidR="00074CCC" w:rsidRPr="003215C5">
        <w:t>,</w:t>
      </w:r>
      <w:r w:rsidR="007D06B9" w:rsidRPr="003215C5">
        <w:t xml:space="preserve"> along</w:t>
      </w:r>
      <w:r w:rsidR="00CB2B67">
        <w:t xml:space="preserve"> with</w:t>
      </w:r>
      <w:r w:rsidR="007D06B9" w:rsidRPr="003215C5">
        <w:t xml:space="preserve"> other skills and characteristics</w:t>
      </w:r>
      <w:r w:rsidR="00CB2B67">
        <w:t>,</w:t>
      </w:r>
      <w:r w:rsidR="007D06B9" w:rsidRPr="003215C5">
        <w:t xml:space="preserve"> such as judgment and biographical data</w:t>
      </w:r>
      <w:r w:rsidR="002C4E40">
        <w:t>. A</w:t>
      </w:r>
      <w:r w:rsidR="007D06B9" w:rsidRPr="003215C5">
        <w:t xml:space="preserve">ssessment </w:t>
      </w:r>
      <w:commentRangeStart w:id="1"/>
      <w:r w:rsidR="006443BE" w:rsidRPr="003215C5">
        <w:t>centres</w:t>
      </w:r>
      <w:commentRangeEnd w:id="1"/>
      <w:r w:rsidR="002C4E40">
        <w:rPr>
          <w:rStyle w:val="CommentReference"/>
        </w:rPr>
        <w:commentReference w:id="1"/>
      </w:r>
      <w:r w:rsidR="007D06B9" w:rsidRPr="003215C5">
        <w:t xml:space="preserve"> </w:t>
      </w:r>
      <w:r w:rsidR="002C4E40">
        <w:t xml:space="preserve">are often used </w:t>
      </w:r>
      <w:r w:rsidR="007D06B9" w:rsidRPr="003215C5">
        <w:t xml:space="preserve">as an alternative tool for </w:t>
      </w:r>
      <w:r w:rsidR="00CB2B67">
        <w:t>assessing</w:t>
      </w:r>
      <w:r w:rsidR="007D06B9" w:rsidRPr="003215C5">
        <w:t xml:space="preserve"> personal traits</w:t>
      </w:r>
      <w:r w:rsidR="00074CCC" w:rsidRPr="003215C5">
        <w:t>,</w:t>
      </w:r>
      <w:r w:rsidR="007D06B9" w:rsidRPr="003215C5">
        <w:t xml:space="preserve"> </w:t>
      </w:r>
      <w:r w:rsidR="00074CCC" w:rsidRPr="003215C5">
        <w:t xml:space="preserve">which </w:t>
      </w:r>
      <w:r w:rsidR="002C4E40">
        <w:t xml:space="preserve">offer </w:t>
      </w:r>
      <w:r w:rsidR="007D06B9" w:rsidRPr="003215C5">
        <w:t xml:space="preserve">fertile ground for </w:t>
      </w:r>
      <w:r w:rsidR="00CB2B67">
        <w:t>assessment</w:t>
      </w:r>
      <w:r w:rsidR="007D06B9" w:rsidRPr="003215C5">
        <w:t xml:space="preserve"> bias</w:t>
      </w:r>
      <w:r w:rsidR="00074CCC" w:rsidRPr="003215C5">
        <w:t>es</w:t>
      </w:r>
      <w:r w:rsidR="007D06B9" w:rsidRPr="003215C5">
        <w:t xml:space="preserve">. Although </w:t>
      </w:r>
      <w:r w:rsidRPr="003215C5">
        <w:t xml:space="preserve">mental skills </w:t>
      </w:r>
      <w:r w:rsidR="007D06B9" w:rsidRPr="003215C5">
        <w:t>tests are perceived as valid and effective,</w:t>
      </w:r>
      <w:r w:rsidR="00E00D35" w:rsidRPr="003215C5">
        <w:rPr>
          <w:rStyle w:val="FootnoteReference"/>
        </w:rPr>
        <w:footnoteReference w:id="17"/>
      </w:r>
      <w:r w:rsidR="007D06B9" w:rsidRPr="003215C5">
        <w:t xml:space="preserve"> their disadvantage is that they </w:t>
      </w:r>
      <w:r w:rsidR="006D19ED">
        <w:t>usually reveal</w:t>
      </w:r>
      <w:r>
        <w:t xml:space="preserve"> </w:t>
      </w:r>
      <w:r w:rsidR="007D06B9" w:rsidRPr="003215C5">
        <w:t>significant gaps between the minority and majority group</w:t>
      </w:r>
      <w:r w:rsidR="00074CCC" w:rsidRPr="003215C5">
        <w:t>s</w:t>
      </w:r>
      <w:r w:rsidR="006D19ED">
        <w:t xml:space="preserve">. This kind of result </w:t>
      </w:r>
      <w:r w:rsidR="007D06B9" w:rsidRPr="003215C5">
        <w:t xml:space="preserve">therefore </w:t>
      </w:r>
      <w:r w:rsidR="006D19ED">
        <w:t xml:space="preserve">strengthens </w:t>
      </w:r>
      <w:r w:rsidR="007D06B9" w:rsidRPr="003215C5">
        <w:t>the need for alternative tools. The employment screening process is considered a significant barrier for populations that do not belong to the majority group</w:t>
      </w:r>
      <w:r w:rsidR="00074CCC" w:rsidRPr="003215C5">
        <w:t>,</w:t>
      </w:r>
      <w:r w:rsidR="007D06B9" w:rsidRPr="003215C5">
        <w:t xml:space="preserve"> and one of the common screening tools is </w:t>
      </w:r>
      <w:r w:rsidR="00074CCC" w:rsidRPr="003215C5">
        <w:t xml:space="preserve">the </w:t>
      </w:r>
      <w:r w:rsidR="007D06B9" w:rsidRPr="003215C5">
        <w:t>mental skills test</w:t>
      </w:r>
      <w:r w:rsidR="009F3D7C">
        <w:t>. However,</w:t>
      </w:r>
      <w:r w:rsidR="007D06B9" w:rsidRPr="003215C5">
        <w:t xml:space="preserve"> </w:t>
      </w:r>
      <w:r w:rsidR="002C4E40" w:rsidRPr="003215C5">
        <w:t>given pre-market disparities</w:t>
      </w:r>
      <w:r w:rsidR="002C4E40">
        <w:t>,</w:t>
      </w:r>
      <w:r w:rsidR="002C4E40" w:rsidRPr="003215C5">
        <w:t xml:space="preserve"> </w:t>
      </w:r>
      <w:r w:rsidR="00074CCC" w:rsidRPr="003215C5">
        <w:t xml:space="preserve">this </w:t>
      </w:r>
      <w:r w:rsidR="007D06B9" w:rsidRPr="003215C5">
        <w:t xml:space="preserve">is also the screening tool that perpetuates the largest </w:t>
      </w:r>
      <w:r w:rsidR="00074CCC" w:rsidRPr="003215C5">
        <w:t xml:space="preserve">discrepancy </w:t>
      </w:r>
      <w:r w:rsidR="007D06B9" w:rsidRPr="003215C5">
        <w:t xml:space="preserve">between </w:t>
      </w:r>
      <w:r w:rsidR="00074CCC" w:rsidRPr="003215C5">
        <w:t xml:space="preserve">the </w:t>
      </w:r>
      <w:r w:rsidR="007D06B9" w:rsidRPr="003215C5">
        <w:t>populations</w:t>
      </w:r>
      <w:r w:rsidR="002C4E40">
        <w:t>.</w:t>
      </w:r>
      <w:r w:rsidR="00E00D35" w:rsidRPr="003215C5">
        <w:rPr>
          <w:rStyle w:val="FootnoteReference"/>
        </w:rPr>
        <w:footnoteReference w:id="18"/>
      </w:r>
      <w:r w:rsidR="007D06B9" w:rsidRPr="003215C5">
        <w:t xml:space="preserve"> It has been </w:t>
      </w:r>
      <w:r w:rsidR="00A13CEF" w:rsidRPr="003215C5">
        <w:t>found</w:t>
      </w:r>
      <w:r w:rsidR="007D06B9" w:rsidRPr="003215C5">
        <w:t xml:space="preserve"> that the </w:t>
      </w:r>
      <w:r w:rsidR="009F3D7C">
        <w:t>optimal</w:t>
      </w:r>
      <w:r w:rsidR="00074CCC" w:rsidRPr="003215C5">
        <w:t xml:space="preserve"> </w:t>
      </w:r>
      <w:r w:rsidR="007D06B9" w:rsidRPr="003215C5">
        <w:t xml:space="preserve">balance between screening tools that will </w:t>
      </w:r>
      <w:r w:rsidR="00074CCC" w:rsidRPr="003215C5">
        <w:t xml:space="preserve">indicate to </w:t>
      </w:r>
      <w:r w:rsidR="007D06B9" w:rsidRPr="003215C5">
        <w:t xml:space="preserve">the employer </w:t>
      </w:r>
      <w:r w:rsidR="00074CCC" w:rsidRPr="003215C5">
        <w:t xml:space="preserve">who </w:t>
      </w:r>
      <w:r w:rsidR="007D06B9" w:rsidRPr="003215C5">
        <w:t xml:space="preserve">the right candidate </w:t>
      </w:r>
      <w:r w:rsidR="00074CCC" w:rsidRPr="003215C5">
        <w:t>is</w:t>
      </w:r>
      <w:r w:rsidR="009F3D7C">
        <w:t xml:space="preserve"> while</w:t>
      </w:r>
      <w:r w:rsidR="00074CCC" w:rsidRPr="003215C5">
        <w:t xml:space="preserve"> </w:t>
      </w:r>
      <w:r w:rsidR="007D06B9" w:rsidRPr="003215C5">
        <w:t>also minimi</w:t>
      </w:r>
      <w:r>
        <w:t>s</w:t>
      </w:r>
      <w:r w:rsidR="009F3D7C">
        <w:t>ing</w:t>
      </w:r>
      <w:r w:rsidR="007D06B9" w:rsidRPr="003215C5">
        <w:t xml:space="preserve"> pre-market or cultural effects is achieved through </w:t>
      </w:r>
      <w:r w:rsidR="009F3D7C">
        <w:t xml:space="preserve">a combination of </w:t>
      </w:r>
      <w:r w:rsidR="007D06B9" w:rsidRPr="003215C5">
        <w:t>structured interviews and integrity test</w:t>
      </w:r>
      <w:r>
        <w:t>ing</w:t>
      </w:r>
      <w:r w:rsidR="007D06B9" w:rsidRPr="003215C5">
        <w:t>.</w:t>
      </w:r>
    </w:p>
    <w:p w14:paraId="6DF9A69A" w14:textId="72CED363" w:rsidR="007D06B9" w:rsidRPr="003215C5" w:rsidRDefault="007D06B9" w:rsidP="00286484">
      <w:pPr>
        <w:spacing w:line="360" w:lineRule="auto"/>
        <w:ind w:firstLine="720"/>
        <w:jc w:val="both"/>
      </w:pPr>
      <w:r w:rsidRPr="003215C5">
        <w:t>It should be emphasi</w:t>
      </w:r>
      <w:r w:rsidR="008A2180">
        <w:t>s</w:t>
      </w:r>
      <w:r w:rsidRPr="003215C5">
        <w:t xml:space="preserve">ed that it is now </w:t>
      </w:r>
      <w:r w:rsidR="002C4E40">
        <w:t>increasingly</w:t>
      </w:r>
      <w:r w:rsidRPr="003215C5">
        <w:t xml:space="preserve"> common to outsource the screening process to private institutes. This procedure consists of classical screening tools</w:t>
      </w:r>
      <w:r w:rsidR="002C4E40">
        <w:t>,</w:t>
      </w:r>
      <w:r w:rsidRPr="003215C5">
        <w:t xml:space="preserve"> which are usually written tests</w:t>
      </w:r>
      <w:r w:rsidR="00074CCC" w:rsidRPr="003215C5">
        <w:t>,</w:t>
      </w:r>
      <w:r w:rsidRPr="003215C5">
        <w:t xml:space="preserve"> and alternative screening tools</w:t>
      </w:r>
      <w:r w:rsidR="008A2180">
        <w:t>,</w:t>
      </w:r>
      <w:r w:rsidR="00E00D35" w:rsidRPr="003215C5">
        <w:rPr>
          <w:rStyle w:val="FootnoteReference"/>
        </w:rPr>
        <w:footnoteReference w:id="19"/>
      </w:r>
      <w:r w:rsidRPr="003215C5">
        <w:t xml:space="preserve"> which </w:t>
      </w:r>
      <w:r w:rsidR="00074CCC" w:rsidRPr="003215C5">
        <w:t xml:space="preserve">are intended to </w:t>
      </w:r>
      <w:r w:rsidRPr="003215C5">
        <w:t>measure personal characteristics and judgment.</w:t>
      </w:r>
      <w:r w:rsidR="00E00D35" w:rsidRPr="003215C5">
        <w:rPr>
          <w:rStyle w:val="FootnoteReference"/>
        </w:rPr>
        <w:footnoteReference w:id="20"/>
      </w:r>
      <w:r w:rsidRPr="003215C5">
        <w:t xml:space="preserve"> There is no doubt that the mix is ​​right</w:t>
      </w:r>
      <w:r w:rsidR="002C4E40">
        <w:t>. H</w:t>
      </w:r>
      <w:r w:rsidRPr="003215C5">
        <w:t>owever, I argue that it is advisable to minimi</w:t>
      </w:r>
      <w:r w:rsidR="008A2180">
        <w:t>s</w:t>
      </w:r>
      <w:r w:rsidRPr="003215C5">
        <w:t xml:space="preserve">e the weight of the score given </w:t>
      </w:r>
      <w:r w:rsidR="008A2180">
        <w:t xml:space="preserve">to </w:t>
      </w:r>
      <w:r w:rsidRPr="003215C5">
        <w:t xml:space="preserve">the classic </w:t>
      </w:r>
      <w:r w:rsidR="008A2180">
        <w:t xml:space="preserve">screening </w:t>
      </w:r>
      <w:r w:rsidRPr="003215C5">
        <w:t>tools</w:t>
      </w:r>
      <w:r w:rsidR="00074CCC" w:rsidRPr="003215C5">
        <w:t>,</w:t>
      </w:r>
      <w:r w:rsidRPr="003215C5">
        <w:t xml:space="preserve"> and that it is difficult to ignore unconscious biases </w:t>
      </w:r>
      <w:r w:rsidR="00074CCC" w:rsidRPr="003215C5">
        <w:t xml:space="preserve">even </w:t>
      </w:r>
      <w:r w:rsidRPr="003215C5">
        <w:t>in the alternative proce</w:t>
      </w:r>
      <w:r w:rsidR="00D67027">
        <w:t>ss</w:t>
      </w:r>
      <w:r w:rsidRPr="003215C5">
        <w:t xml:space="preserve">, which I will discuss </w:t>
      </w:r>
      <w:r w:rsidR="00074CCC" w:rsidRPr="003215C5">
        <w:t>later</w:t>
      </w:r>
      <w:r w:rsidRPr="003215C5">
        <w:t>.</w:t>
      </w:r>
    </w:p>
    <w:p w14:paraId="1D795DF4" w14:textId="123EF3E8" w:rsidR="007D06B9" w:rsidRPr="003215C5" w:rsidRDefault="007D06B9" w:rsidP="00286484">
      <w:pPr>
        <w:spacing w:line="360" w:lineRule="auto"/>
        <w:ind w:firstLine="720"/>
        <w:jc w:val="both"/>
      </w:pPr>
      <w:r w:rsidRPr="003215C5">
        <w:t xml:space="preserve">Some countries around the world have chosen to tackle discriminatory screening tools </w:t>
      </w:r>
      <w:r w:rsidR="00074CCC" w:rsidRPr="003215C5">
        <w:t>by creating</w:t>
      </w:r>
      <w:r w:rsidRPr="003215C5">
        <w:t xml:space="preserve"> guidelines for a uniform screening mechanism</w:t>
      </w:r>
      <w:r w:rsidR="00E00D35" w:rsidRPr="003215C5">
        <w:rPr>
          <w:rStyle w:val="FootnoteReference"/>
        </w:rPr>
        <w:footnoteReference w:id="21"/>
      </w:r>
      <w:r w:rsidRPr="003215C5">
        <w:t xml:space="preserve"> </w:t>
      </w:r>
      <w:r w:rsidR="00D67027">
        <w:t xml:space="preserve">that </w:t>
      </w:r>
      <w:r w:rsidRPr="003215C5">
        <w:t>emphasis</w:t>
      </w:r>
      <w:r w:rsidR="00D67027">
        <w:t xml:space="preserve">es </w:t>
      </w:r>
      <w:r w:rsidRPr="003215C5">
        <w:t>alternative screening tools</w:t>
      </w:r>
      <w:r w:rsidR="00074CCC" w:rsidRPr="003215C5">
        <w:t>,</w:t>
      </w:r>
      <w:r w:rsidRPr="003215C5">
        <w:t xml:space="preserve"> and </w:t>
      </w:r>
      <w:r w:rsidR="009F3D7C">
        <w:t>gives</w:t>
      </w:r>
      <w:r w:rsidR="00074CCC" w:rsidRPr="003215C5">
        <w:t xml:space="preserve"> </w:t>
      </w:r>
      <w:r w:rsidRPr="003215C5">
        <w:lastRenderedPageBreak/>
        <w:t xml:space="preserve">preference </w:t>
      </w:r>
      <w:r w:rsidR="009F3D7C">
        <w:t>to</w:t>
      </w:r>
      <w:r w:rsidRPr="003215C5">
        <w:t xml:space="preserve"> structured interviews and integrity tests that </w:t>
      </w:r>
      <w:r w:rsidR="009F3D7C">
        <w:t>succeed in reducing</w:t>
      </w:r>
      <w:r w:rsidRPr="003215C5">
        <w:t xml:space="preserve"> discrimination</w:t>
      </w:r>
      <w:r w:rsidR="009F3D7C">
        <w:t>.</w:t>
      </w:r>
      <w:r w:rsidR="00E00D35" w:rsidRPr="003215C5">
        <w:rPr>
          <w:rStyle w:val="FootnoteReference"/>
        </w:rPr>
        <w:footnoteReference w:id="22"/>
      </w:r>
      <w:r w:rsidRPr="003215C5">
        <w:t xml:space="preserve"> </w:t>
      </w:r>
      <w:r w:rsidR="009F3D7C">
        <w:t>These are prefer</w:t>
      </w:r>
      <w:r w:rsidR="002C4E40">
        <w:t>able</w:t>
      </w:r>
      <w:r w:rsidR="009F3D7C">
        <w:t xml:space="preserve"> to tests</w:t>
      </w:r>
      <w:r w:rsidRPr="003215C5">
        <w:t xml:space="preserve"> of specific academic achievement or skills</w:t>
      </w:r>
      <w:r w:rsidR="00D67027">
        <w:t>,</w:t>
      </w:r>
      <w:r w:rsidR="007870A1" w:rsidRPr="003215C5">
        <w:t xml:space="preserve"> that still</w:t>
      </w:r>
      <w:r w:rsidR="009F3D7C">
        <w:t>,</w:t>
      </w:r>
      <w:r w:rsidR="007870A1" w:rsidRPr="003215C5">
        <w:t xml:space="preserve"> to a large extent</w:t>
      </w:r>
      <w:r w:rsidR="009F3D7C">
        <w:t>,</w:t>
      </w:r>
      <w:r w:rsidR="007870A1" w:rsidRPr="003215C5">
        <w:t xml:space="preserve"> </w:t>
      </w:r>
      <w:r w:rsidR="009F3D7C" w:rsidRPr="003215C5">
        <w:t xml:space="preserve">rely </w:t>
      </w:r>
      <w:r w:rsidR="007870A1" w:rsidRPr="003215C5">
        <w:t xml:space="preserve">on pre-market </w:t>
      </w:r>
      <w:r w:rsidR="00D67027">
        <w:t>factors</w:t>
      </w:r>
      <w:r w:rsidR="009F3D7C">
        <w:t>,</w:t>
      </w:r>
      <w:r w:rsidR="00D67027">
        <w:t xml:space="preserve"> </w:t>
      </w:r>
      <w:r w:rsidR="007870A1" w:rsidRPr="003215C5">
        <w:t>s</w:t>
      </w:r>
      <w:r w:rsidRPr="003215C5">
        <w:t>uch as culture and education</w:t>
      </w:r>
      <w:r w:rsidR="007870A1" w:rsidRPr="003215C5">
        <w:t>,</w:t>
      </w:r>
      <w:r w:rsidRPr="003215C5">
        <w:t xml:space="preserve"> which are also influenced by geographical indicators. The United States is one of the countries that addresses the problem through legislation that prohibits the use of discriminatory occupational classification tools against underrepresented populations considered protected populations</w:t>
      </w:r>
      <w:r w:rsidR="007870A1" w:rsidRPr="003215C5">
        <w:t>,</w:t>
      </w:r>
      <w:r w:rsidRPr="003215C5">
        <w:t xml:space="preserve"> and even sets clear guidelines for </w:t>
      </w:r>
      <w:r w:rsidR="007870A1" w:rsidRPr="003215C5">
        <w:t>legal compliance</w:t>
      </w:r>
      <w:r w:rsidRPr="003215C5">
        <w:t>.</w:t>
      </w:r>
      <w:r w:rsidR="00E00D35" w:rsidRPr="003215C5">
        <w:rPr>
          <w:rStyle w:val="FootnoteReference"/>
        </w:rPr>
        <w:footnoteReference w:id="23"/>
      </w:r>
      <w:r w:rsidRPr="003215C5">
        <w:t xml:space="preserve"> Part D of the </w:t>
      </w:r>
      <w:r w:rsidR="009F3D7C">
        <w:t xml:space="preserve">U.S. </w:t>
      </w:r>
      <w:r w:rsidRPr="003215C5">
        <w:t>guidelines document known as</w:t>
      </w:r>
      <w:r w:rsidR="009F3D7C">
        <w:t xml:space="preserve"> </w:t>
      </w:r>
      <w:r w:rsidRPr="003215C5">
        <w:t xml:space="preserve">Adverse </w:t>
      </w:r>
      <w:r w:rsidR="007870A1" w:rsidRPr="003215C5">
        <w:t>I</w:t>
      </w:r>
      <w:r w:rsidRPr="003215C5">
        <w:t xml:space="preserve">mpact and the </w:t>
      </w:r>
      <w:r w:rsidR="008578D4" w:rsidRPr="003215C5">
        <w:t>“</w:t>
      </w:r>
      <w:r w:rsidR="007870A1" w:rsidRPr="003215C5">
        <w:t>Four-Fifths Rule,”</w:t>
      </w:r>
      <w:r w:rsidR="00E00D35" w:rsidRPr="003215C5">
        <w:rPr>
          <w:rStyle w:val="FootnoteReference"/>
        </w:rPr>
        <w:footnoteReference w:id="24"/>
      </w:r>
      <w:r w:rsidR="007870A1" w:rsidRPr="003215C5">
        <w:t xml:space="preserve"> </w:t>
      </w:r>
      <w:r w:rsidRPr="003215C5">
        <w:t xml:space="preserve">states that if the percentage of candidates included in the target population accepted in the screening process is less than 80 percent of the majority population, the employer must check whether the screening tests he </w:t>
      </w:r>
      <w:r w:rsidR="00D67027">
        <w:t xml:space="preserve">administers </w:t>
      </w:r>
      <w:r w:rsidRPr="003215C5">
        <w:t>are valid and non-</w:t>
      </w:r>
      <w:r w:rsidR="004B6223" w:rsidRPr="003215C5">
        <w:t>discriminatory.</w:t>
      </w:r>
      <w:r w:rsidR="00E00D35" w:rsidRPr="003215C5">
        <w:rPr>
          <w:rStyle w:val="FootnoteReference"/>
        </w:rPr>
        <w:footnoteReference w:id="25"/>
      </w:r>
      <w:r w:rsidRPr="003215C5">
        <w:t xml:space="preserve"> So how can one prepare to minimi</w:t>
      </w:r>
      <w:r w:rsidR="00D67027">
        <w:t>s</w:t>
      </w:r>
      <w:r w:rsidRPr="003215C5">
        <w:t xml:space="preserve">e the </w:t>
      </w:r>
      <w:r w:rsidR="00D67027">
        <w:t xml:space="preserve">screening </w:t>
      </w:r>
      <w:r w:rsidRPr="003215C5">
        <w:t>tools that exclude certain populations? Some researchers believe that it is possible to rely on academic achievement, grades</w:t>
      </w:r>
      <w:r w:rsidR="007870A1" w:rsidRPr="003215C5">
        <w:t>,</w:t>
      </w:r>
      <w:r w:rsidRPr="003215C5">
        <w:t xml:space="preserve"> and </w:t>
      </w:r>
      <w:r w:rsidR="007870A1" w:rsidRPr="003215C5">
        <w:t xml:space="preserve">the </w:t>
      </w:r>
      <w:r w:rsidRPr="003215C5">
        <w:t>number of years of schooling.</w:t>
      </w:r>
      <w:r w:rsidR="00E00D35" w:rsidRPr="003215C5">
        <w:rPr>
          <w:rStyle w:val="FootnoteReference"/>
        </w:rPr>
        <w:footnoteReference w:id="26"/>
      </w:r>
      <w:r w:rsidRPr="003215C5">
        <w:t xml:space="preserve"> I believe that in many contexts</w:t>
      </w:r>
      <w:r w:rsidR="002C4E40">
        <w:t>,</w:t>
      </w:r>
      <w:r w:rsidRPr="003215C5">
        <w:t xml:space="preserve"> most of the underrepresented populations also suffer from pre-market </w:t>
      </w:r>
      <w:r w:rsidR="007870A1" w:rsidRPr="003215C5">
        <w:t xml:space="preserve">education </w:t>
      </w:r>
      <w:r w:rsidR="00D67027">
        <w:t>issues</w:t>
      </w:r>
      <w:r w:rsidR="007870A1" w:rsidRPr="003215C5">
        <w:t>,</w:t>
      </w:r>
      <w:r w:rsidRPr="003215C5">
        <w:t xml:space="preserve"> due to cultural disparities</w:t>
      </w:r>
      <w:r w:rsidR="00D67027">
        <w:t xml:space="preserve">, </w:t>
      </w:r>
      <w:r w:rsidRPr="003215C5">
        <w:t xml:space="preserve">or lower financial investment </w:t>
      </w:r>
      <w:r w:rsidR="007870A1" w:rsidRPr="003215C5">
        <w:t xml:space="preserve">by </w:t>
      </w:r>
      <w:r w:rsidRPr="003215C5">
        <w:t>the state in certain regions or populations, so it can be assumed that reliance on academic achievement will not narrow the gap.</w:t>
      </w:r>
    </w:p>
    <w:p w14:paraId="541624CB" w14:textId="25925B90" w:rsidR="007D06B9" w:rsidRPr="003215C5" w:rsidRDefault="00C83ACF" w:rsidP="00286484">
      <w:pPr>
        <w:spacing w:line="360" w:lineRule="auto"/>
        <w:ind w:firstLine="720"/>
        <w:jc w:val="both"/>
      </w:pPr>
      <w:r>
        <w:t>It should be born in mind that in addition to</w:t>
      </w:r>
      <w:r w:rsidR="00D67027">
        <w:t xml:space="preserve"> </w:t>
      </w:r>
      <w:r w:rsidR="007D06B9" w:rsidRPr="003215C5">
        <w:t xml:space="preserve">examining changes and adjustments in the </w:t>
      </w:r>
      <w:r w:rsidR="00D67027">
        <w:t xml:space="preserve">screening </w:t>
      </w:r>
      <w:r w:rsidR="007D06B9" w:rsidRPr="003215C5">
        <w:t>tool</w:t>
      </w:r>
      <w:r w:rsidR="007870A1" w:rsidRPr="003215C5">
        <w:t>s</w:t>
      </w:r>
      <w:r w:rsidR="007D06B9" w:rsidRPr="003215C5">
        <w:t>, the unconscious biases of the decision</w:t>
      </w:r>
      <w:r w:rsidR="000D37DC">
        <w:t>-</w:t>
      </w:r>
      <w:r w:rsidR="007D06B9" w:rsidRPr="003215C5">
        <w:t>makers</w:t>
      </w:r>
      <w:r>
        <w:t xml:space="preserve"> should also be taken into account</w:t>
      </w:r>
      <w:r w:rsidR="007D06B9" w:rsidRPr="003215C5">
        <w:t xml:space="preserve">. </w:t>
      </w:r>
      <w:r w:rsidR="004B6223" w:rsidRPr="003215C5">
        <w:t>Thus,</w:t>
      </w:r>
      <w:r w:rsidR="007D06B9" w:rsidRPr="003215C5">
        <w:t xml:space="preserve"> we must </w:t>
      </w:r>
      <w:r>
        <w:t>enlist</w:t>
      </w:r>
      <w:r w:rsidR="007D06B9" w:rsidRPr="003215C5">
        <w:t xml:space="preserve"> th</w:t>
      </w:r>
      <w:r>
        <w:t>e</w:t>
      </w:r>
      <w:r w:rsidR="007D06B9" w:rsidRPr="003215C5">
        <w:t xml:space="preserve">se officials </w:t>
      </w:r>
      <w:r>
        <w:t>in</w:t>
      </w:r>
      <w:r w:rsidR="007870A1" w:rsidRPr="003215C5">
        <w:t xml:space="preserve"> </w:t>
      </w:r>
      <w:r w:rsidR="007D06B9" w:rsidRPr="003215C5">
        <w:t>a diverse recruitment process, especially when the</w:t>
      </w:r>
      <w:r>
        <w:t>y</w:t>
      </w:r>
      <w:r w:rsidR="007D06B9" w:rsidRPr="003215C5">
        <w:t xml:space="preserve"> are usually part of the majority group, and hold unconscious biases and positions that may influence the </w:t>
      </w:r>
      <w:r>
        <w:t xml:space="preserve">employment </w:t>
      </w:r>
      <w:r w:rsidR="007D06B9" w:rsidRPr="003215C5">
        <w:t>decision.</w:t>
      </w:r>
    </w:p>
    <w:p w14:paraId="7F67CEA6" w14:textId="77777777" w:rsidR="004B6223" w:rsidRPr="003215C5" w:rsidRDefault="004B6223" w:rsidP="00286484">
      <w:pPr>
        <w:spacing w:line="360" w:lineRule="auto"/>
        <w:jc w:val="both"/>
      </w:pPr>
    </w:p>
    <w:p w14:paraId="708E60B3" w14:textId="03E19041" w:rsidR="007D06B9" w:rsidRPr="00D67027" w:rsidRDefault="007D06B9" w:rsidP="00286484">
      <w:pPr>
        <w:spacing w:line="360" w:lineRule="auto"/>
        <w:jc w:val="both"/>
        <w:rPr>
          <w:sz w:val="24"/>
          <w:szCs w:val="24"/>
        </w:rPr>
      </w:pPr>
      <w:r w:rsidRPr="00D67027">
        <w:rPr>
          <w:sz w:val="24"/>
          <w:szCs w:val="24"/>
          <w:highlight w:val="green"/>
        </w:rPr>
        <w:t>4.2 Implicit Bias</w:t>
      </w:r>
    </w:p>
    <w:p w14:paraId="2120B4E1" w14:textId="467C7897" w:rsidR="007D06B9" w:rsidRPr="003215C5" w:rsidRDefault="00C83ACF" w:rsidP="00286484">
      <w:pPr>
        <w:spacing w:line="360" w:lineRule="auto"/>
        <w:ind w:firstLine="720"/>
        <w:jc w:val="both"/>
      </w:pPr>
      <w:r>
        <w:rPr>
          <w:highlight w:val="green"/>
        </w:rPr>
        <w:t xml:space="preserve">The second </w:t>
      </w:r>
      <w:r w:rsidR="007D06B9" w:rsidRPr="003215C5">
        <w:rPr>
          <w:highlight w:val="green"/>
        </w:rPr>
        <w:t>element</w:t>
      </w:r>
      <w:r>
        <w:rPr>
          <w:highlight w:val="green"/>
        </w:rPr>
        <w:t xml:space="preserve"> with an impact on workplace diversity involves</w:t>
      </w:r>
      <w:r w:rsidR="007D06B9" w:rsidRPr="003215C5">
        <w:rPr>
          <w:highlight w:val="green"/>
        </w:rPr>
        <w:t xml:space="preserve"> the bias and personal preferences of those responsible for selecting the candidates at the recruitment stage. It is </w:t>
      </w:r>
      <w:r>
        <w:rPr>
          <w:highlight w:val="green"/>
        </w:rPr>
        <w:t xml:space="preserve">generally </w:t>
      </w:r>
      <w:r>
        <w:rPr>
          <w:highlight w:val="green"/>
        </w:rPr>
        <w:lastRenderedPageBreak/>
        <w:t xml:space="preserve">assumed </w:t>
      </w:r>
      <w:r w:rsidR="007D06B9" w:rsidRPr="003215C5">
        <w:rPr>
          <w:highlight w:val="green"/>
        </w:rPr>
        <w:t xml:space="preserve">that biases in decision-making affect the ability to ensure </w:t>
      </w:r>
      <w:r>
        <w:rPr>
          <w:highlight w:val="green"/>
        </w:rPr>
        <w:t xml:space="preserve">the desired </w:t>
      </w:r>
      <w:r w:rsidR="007D06B9" w:rsidRPr="003215C5">
        <w:rPr>
          <w:highlight w:val="green"/>
        </w:rPr>
        <w:t>results of affirmative action</w:t>
      </w:r>
      <w:r>
        <w:rPr>
          <w:highlight w:val="green"/>
        </w:rPr>
        <w:t xml:space="preserve"> policies</w:t>
      </w:r>
      <w:r w:rsidR="007D06B9" w:rsidRPr="003215C5">
        <w:rPr>
          <w:highlight w:val="green"/>
        </w:rPr>
        <w:t>.</w:t>
      </w:r>
    </w:p>
    <w:p w14:paraId="7EC7ED55" w14:textId="1B30D465" w:rsidR="007D06B9" w:rsidRPr="003215C5" w:rsidRDefault="00D67027" w:rsidP="00286484">
      <w:pPr>
        <w:spacing w:line="360" w:lineRule="auto"/>
        <w:ind w:firstLine="720"/>
        <w:jc w:val="both"/>
      </w:pPr>
      <w:r>
        <w:t>F</w:t>
      </w:r>
      <w:r w:rsidRPr="003215C5">
        <w:t xml:space="preserve">raming </w:t>
      </w:r>
      <w:r>
        <w:t>a</w:t>
      </w:r>
      <w:r w:rsidR="007D06B9" w:rsidRPr="003215C5">
        <w:t xml:space="preserve">ffirmative action </w:t>
      </w:r>
      <w:r w:rsidR="00F447FC">
        <w:t>has</w:t>
      </w:r>
      <w:r w:rsidR="007D06B9" w:rsidRPr="003215C5">
        <w:t xml:space="preserve"> largely</w:t>
      </w:r>
      <w:r w:rsidR="00F447FC">
        <w:t xml:space="preserve"> been</w:t>
      </w:r>
      <w:r w:rsidR="007D06B9" w:rsidRPr="003215C5">
        <w:t xml:space="preserve"> based on </w:t>
      </w:r>
      <w:r w:rsidR="003829B3">
        <w:t xml:space="preserve">the </w:t>
      </w:r>
      <w:r w:rsidR="007D06B9" w:rsidRPr="003215C5">
        <w:t xml:space="preserve">historical background and moral arguments </w:t>
      </w:r>
      <w:r w:rsidR="003829B3">
        <w:t>for</w:t>
      </w:r>
      <w:r>
        <w:t xml:space="preserve"> </w:t>
      </w:r>
      <w:r w:rsidR="007D06B9" w:rsidRPr="003215C5">
        <w:t>shap</w:t>
      </w:r>
      <w:r w:rsidR="003829B3">
        <w:t>ing</w:t>
      </w:r>
      <w:r w:rsidR="007D06B9" w:rsidRPr="003215C5">
        <w:t xml:space="preserve"> policy, but the development of </w:t>
      </w:r>
      <w:r w:rsidR="006443BE" w:rsidRPr="003215C5">
        <w:t>behavioural</w:t>
      </w:r>
      <w:r w:rsidR="007D06B9" w:rsidRPr="003215C5">
        <w:t xml:space="preserve"> psychological studies </w:t>
      </w:r>
      <w:r w:rsidR="000838CB">
        <w:t>can also</w:t>
      </w:r>
      <w:r w:rsidR="007D06B9" w:rsidRPr="003215C5">
        <w:t xml:space="preserve"> influence how we approach affirmative action policy.</w:t>
      </w:r>
      <w:r w:rsidR="00E00D35" w:rsidRPr="003215C5">
        <w:rPr>
          <w:rStyle w:val="FootnoteReference"/>
        </w:rPr>
        <w:footnoteReference w:id="27"/>
      </w:r>
      <w:r w:rsidR="007D06B9" w:rsidRPr="003215C5">
        <w:t xml:space="preserve"> </w:t>
      </w:r>
      <w:r w:rsidR="00F447FC">
        <w:t>Examining</w:t>
      </w:r>
      <w:r w:rsidR="007D06B9" w:rsidRPr="003215C5">
        <w:t xml:space="preserve"> the cognitive processes underlying decision-making, it has been shown that there is a very strong latent bias that often conflicts with positions or policies of affirmative action.</w:t>
      </w:r>
      <w:r w:rsidR="00E00D35" w:rsidRPr="003215C5">
        <w:rPr>
          <w:rStyle w:val="FootnoteReference"/>
        </w:rPr>
        <w:footnoteReference w:id="28"/>
      </w:r>
      <w:r w:rsidR="007D06B9" w:rsidRPr="003215C5">
        <w:t xml:space="preserve"> This </w:t>
      </w:r>
      <w:r w:rsidR="006443BE" w:rsidRPr="003215C5">
        <w:t>behavioural</w:t>
      </w:r>
      <w:r w:rsidR="007D06B9" w:rsidRPr="003215C5">
        <w:t xml:space="preserve"> </w:t>
      </w:r>
      <w:r w:rsidR="006F5D13" w:rsidRPr="003215C5">
        <w:t xml:space="preserve">research </w:t>
      </w:r>
      <w:r w:rsidR="00F447FC">
        <w:t>reveals</w:t>
      </w:r>
      <w:r w:rsidR="007D06B9" w:rsidRPr="003215C5">
        <w:t xml:space="preserve"> a gap between the </w:t>
      </w:r>
      <w:r w:rsidR="006443BE" w:rsidRPr="003215C5">
        <w:t>behavioural</w:t>
      </w:r>
      <w:r w:rsidR="007D06B9" w:rsidRPr="003215C5">
        <w:t xml:space="preserve"> assessments of the individual that the law relevant to affirmative action seeks to overcome</w:t>
      </w:r>
      <w:r w:rsidR="006F5D13" w:rsidRPr="003215C5">
        <w:t>,</w:t>
      </w:r>
      <w:r w:rsidR="007D06B9" w:rsidRPr="003215C5">
        <w:t xml:space="preserve"> and the actual situation</w:t>
      </w:r>
      <w:r w:rsidR="00F447FC">
        <w:t>.</w:t>
      </w:r>
      <w:r w:rsidR="00106693" w:rsidRPr="003215C5">
        <w:rPr>
          <w:rStyle w:val="FootnoteReference"/>
        </w:rPr>
        <w:footnoteReference w:id="29"/>
      </w:r>
      <w:r w:rsidR="007D06B9" w:rsidRPr="003215C5">
        <w:t xml:space="preserve"> Occupational research is aimed at changing </w:t>
      </w:r>
      <w:r w:rsidR="006F5D13" w:rsidRPr="003215C5">
        <w:t xml:space="preserve">affirmative action </w:t>
      </w:r>
      <w:r w:rsidR="007D06B9" w:rsidRPr="003215C5">
        <w:t xml:space="preserve">thinking, </w:t>
      </w:r>
      <w:r w:rsidR="00F447FC">
        <w:t>so that it no longer is focused on seeking</w:t>
      </w:r>
      <w:r w:rsidR="006F5D13" w:rsidRPr="003215C5">
        <w:t xml:space="preserve"> </w:t>
      </w:r>
      <w:r w:rsidR="007D06B9" w:rsidRPr="003215C5">
        <w:t xml:space="preserve">affirmative justice or </w:t>
      </w:r>
      <w:r w:rsidR="006F5D13" w:rsidRPr="003215C5">
        <w:t xml:space="preserve">a </w:t>
      </w:r>
      <w:r w:rsidR="007D06B9" w:rsidRPr="003215C5">
        <w:t xml:space="preserve">utilitarian principle, but </w:t>
      </w:r>
      <w:r w:rsidR="00F447FC">
        <w:t>is practically responding</w:t>
      </w:r>
      <w:r w:rsidR="007D06B9" w:rsidRPr="003215C5">
        <w:t xml:space="preserve"> to </w:t>
      </w:r>
      <w:r w:rsidR="006F5D13" w:rsidRPr="003215C5">
        <w:t xml:space="preserve">actual </w:t>
      </w:r>
      <w:r w:rsidR="007D06B9" w:rsidRPr="003215C5">
        <w:t>contemporary discrimination, while offering diversity and contributing to the quality of service.</w:t>
      </w:r>
      <w:r w:rsidR="00106693" w:rsidRPr="003215C5">
        <w:rPr>
          <w:rStyle w:val="FootnoteReference"/>
        </w:rPr>
        <w:footnoteReference w:id="30"/>
      </w:r>
      <w:r w:rsidR="007D06B9" w:rsidRPr="003215C5">
        <w:t xml:space="preserve"> However, studies of </w:t>
      </w:r>
      <w:r w:rsidR="006443BE" w:rsidRPr="003215C5">
        <w:t>behaviour</w:t>
      </w:r>
      <w:r w:rsidR="007D06B9" w:rsidRPr="003215C5">
        <w:t xml:space="preserve"> and exposure of latent biases also have drawbacks </w:t>
      </w:r>
      <w:r w:rsidR="00F447FC">
        <w:t>when applied to</w:t>
      </w:r>
      <w:r w:rsidR="007D06B9" w:rsidRPr="003215C5">
        <w:t xml:space="preserve"> </w:t>
      </w:r>
      <w:r w:rsidRPr="003215C5">
        <w:t>design</w:t>
      </w:r>
      <w:r>
        <w:t>ing</w:t>
      </w:r>
      <w:r w:rsidRPr="003215C5">
        <w:t xml:space="preserve"> </w:t>
      </w:r>
      <w:r w:rsidR="007D06B9" w:rsidRPr="003215C5">
        <w:t>affirmative action</w:t>
      </w:r>
      <w:r w:rsidR="00F447FC">
        <w:t xml:space="preserve"> programs</w:t>
      </w:r>
      <w:r w:rsidR="007D06B9" w:rsidRPr="003215C5">
        <w:t>.</w:t>
      </w:r>
      <w:r w:rsidR="00106693" w:rsidRPr="003215C5">
        <w:rPr>
          <w:rStyle w:val="FootnoteReference"/>
        </w:rPr>
        <w:footnoteReference w:id="31"/>
      </w:r>
      <w:r w:rsidR="007D06B9" w:rsidRPr="003215C5">
        <w:t xml:space="preserve"> There are dozens of latent biases that have varying predictive power, </w:t>
      </w:r>
      <w:r w:rsidR="000838CB">
        <w:t xml:space="preserve">and </w:t>
      </w:r>
      <w:r w:rsidR="007D06B9" w:rsidRPr="003215C5">
        <w:t xml:space="preserve">different </w:t>
      </w:r>
      <w:r w:rsidR="000838CB" w:rsidRPr="003215C5">
        <w:t>individual</w:t>
      </w:r>
      <w:r w:rsidR="000838CB" w:rsidRPr="003215C5">
        <w:t xml:space="preserve"> </w:t>
      </w:r>
      <w:r w:rsidR="007D06B9" w:rsidRPr="003215C5">
        <w:t>attitudes and beliefs</w:t>
      </w:r>
      <w:r w:rsidR="006F5D13" w:rsidRPr="003215C5">
        <w:t>,</w:t>
      </w:r>
      <w:r w:rsidR="007D06B9" w:rsidRPr="003215C5">
        <w:t xml:space="preserve"> </w:t>
      </w:r>
      <w:r w:rsidR="006F5D13" w:rsidRPr="003215C5">
        <w:t xml:space="preserve">which </w:t>
      </w:r>
      <w:r w:rsidR="007D06B9" w:rsidRPr="003215C5">
        <w:t xml:space="preserve">should be examined in a variable </w:t>
      </w:r>
      <w:r w:rsidR="00F447FC">
        <w:t xml:space="preserve">and flexible </w:t>
      </w:r>
      <w:r w:rsidR="007D06B9" w:rsidRPr="003215C5">
        <w:t>manner</w:t>
      </w:r>
      <w:r w:rsidR="00F447FC">
        <w:t>,</w:t>
      </w:r>
      <w:r w:rsidR="007D06B9" w:rsidRPr="003215C5">
        <w:t xml:space="preserve"> depending on the magnitude of the bias.</w:t>
      </w:r>
      <w:r w:rsidR="00106693" w:rsidRPr="003215C5">
        <w:rPr>
          <w:rStyle w:val="FootnoteReference"/>
        </w:rPr>
        <w:footnoteReference w:id="32"/>
      </w:r>
      <w:r w:rsidR="007D06B9" w:rsidRPr="003215C5">
        <w:t xml:space="preserve"> </w:t>
      </w:r>
      <w:r w:rsidR="006F5D13" w:rsidRPr="003215C5">
        <w:t xml:space="preserve">It is possible that </w:t>
      </w:r>
      <w:r w:rsidR="00F447FC">
        <w:t>beyond</w:t>
      </w:r>
      <w:r w:rsidR="006F5D13" w:rsidRPr="003215C5">
        <w:t xml:space="preserve"> </w:t>
      </w:r>
      <w:r w:rsidR="006443BE" w:rsidRPr="003215C5">
        <w:t>behavioural</w:t>
      </w:r>
      <w:r w:rsidR="007D06B9" w:rsidRPr="003215C5">
        <w:t xml:space="preserve"> models</w:t>
      </w:r>
      <w:r w:rsidR="00F447FC">
        <w:t xml:space="preserve">’ ability </w:t>
      </w:r>
      <w:r w:rsidR="007D06B9" w:rsidRPr="003215C5">
        <w:t xml:space="preserve"> to explain and </w:t>
      </w:r>
      <w:r w:rsidR="00F447FC">
        <w:t xml:space="preserve">assess </w:t>
      </w:r>
      <w:r w:rsidR="007D06B9" w:rsidRPr="003215C5">
        <w:t xml:space="preserve">ways of overcoming discrimination and </w:t>
      </w:r>
      <w:r w:rsidR="00F447FC">
        <w:t xml:space="preserve">to diagnose the </w:t>
      </w:r>
      <w:r w:rsidR="007D06B9" w:rsidRPr="003215C5">
        <w:t xml:space="preserve">failure of affirmative action programs, these will also provide an answer to the question of which populations should </w:t>
      </w:r>
      <w:r w:rsidR="000838CB">
        <w:t>benefit from</w:t>
      </w:r>
      <w:r w:rsidR="006F5D13" w:rsidRPr="003215C5">
        <w:t xml:space="preserve"> </w:t>
      </w:r>
      <w:r w:rsidR="007D06B9" w:rsidRPr="003215C5">
        <w:t>affirmative action</w:t>
      </w:r>
      <w:r w:rsidR="00F447FC">
        <w:t>. Ho</w:t>
      </w:r>
      <w:r w:rsidR="006F5D13" w:rsidRPr="003215C5">
        <w:t xml:space="preserve">wever, in my opinion, a </w:t>
      </w:r>
      <w:r w:rsidR="00985A9C">
        <w:t xml:space="preserve">count </w:t>
      </w:r>
      <w:r w:rsidR="006F5D13" w:rsidRPr="003215C5">
        <w:t xml:space="preserve">of the number of employees in relation to </w:t>
      </w:r>
      <w:r w:rsidR="006F5D13" w:rsidRPr="003215C5">
        <w:lastRenderedPageBreak/>
        <w:t xml:space="preserve">the </w:t>
      </w:r>
      <w:r w:rsidR="00985A9C">
        <w:t xml:space="preserve">ratio </w:t>
      </w:r>
      <w:r w:rsidR="006F5D13" w:rsidRPr="003215C5">
        <w:t xml:space="preserve">of </w:t>
      </w:r>
      <w:r w:rsidR="00985A9C">
        <w:t xml:space="preserve">their </w:t>
      </w:r>
      <w:r w:rsidR="006F5D13" w:rsidRPr="003215C5">
        <w:t>population</w:t>
      </w:r>
      <w:r w:rsidR="00985A9C">
        <w:t xml:space="preserve"> </w:t>
      </w:r>
      <w:r w:rsidR="006F5D13" w:rsidRPr="003215C5">
        <w:t xml:space="preserve">in the overall labour market would be sufficient to </w:t>
      </w:r>
      <w:r w:rsidR="00F447FC">
        <w:t>indicate</w:t>
      </w:r>
      <w:r w:rsidR="007D06B9" w:rsidRPr="003215C5">
        <w:t xml:space="preserve"> a</w:t>
      </w:r>
      <w:r w:rsidR="006F5D13" w:rsidRPr="003215C5">
        <w:t>ny</w:t>
      </w:r>
      <w:r w:rsidR="007D06B9" w:rsidRPr="003215C5">
        <w:t xml:space="preserve"> gap</w:t>
      </w:r>
      <w:r w:rsidR="006F5D13" w:rsidRPr="003215C5">
        <w:t>s</w:t>
      </w:r>
      <w:r w:rsidR="007D06B9" w:rsidRPr="003215C5">
        <w:t xml:space="preserve"> that need to be </w:t>
      </w:r>
      <w:r w:rsidR="006F5D13" w:rsidRPr="003215C5">
        <w:t>addressed</w:t>
      </w:r>
      <w:r w:rsidR="007D06B9" w:rsidRPr="003215C5">
        <w:t>.</w:t>
      </w:r>
      <w:r w:rsidR="00106693" w:rsidRPr="003215C5">
        <w:rPr>
          <w:rStyle w:val="FootnoteReference"/>
        </w:rPr>
        <w:footnoteReference w:id="33"/>
      </w:r>
    </w:p>
    <w:p w14:paraId="058732B3" w14:textId="29ADC51A" w:rsidR="007D06B9" w:rsidRPr="003215C5" w:rsidRDefault="007D06B9" w:rsidP="00286484">
      <w:pPr>
        <w:spacing w:line="360" w:lineRule="auto"/>
        <w:ind w:firstLine="720"/>
        <w:jc w:val="both"/>
      </w:pPr>
      <w:r w:rsidRPr="003215C5">
        <w:t>Despite the importance of research</w:t>
      </w:r>
      <w:r w:rsidR="006F5D13" w:rsidRPr="003215C5">
        <w:t>,</w:t>
      </w:r>
      <w:r w:rsidRPr="003215C5">
        <w:t xml:space="preserve"> and </w:t>
      </w:r>
      <w:r w:rsidR="006F5D13" w:rsidRPr="003215C5">
        <w:t xml:space="preserve">the </w:t>
      </w:r>
      <w:r w:rsidRPr="003215C5">
        <w:t xml:space="preserve">recognition of latent biases, </w:t>
      </w:r>
      <w:r w:rsidR="006F5D13" w:rsidRPr="003215C5">
        <w:t xml:space="preserve">both </w:t>
      </w:r>
      <w:r w:rsidR="00F447FC">
        <w:t xml:space="preserve">approaches have found it difficult to </w:t>
      </w:r>
      <w:r w:rsidRPr="003215C5">
        <w:t>significantly influenc</w:t>
      </w:r>
      <w:r w:rsidR="00F447FC">
        <w:t>e</w:t>
      </w:r>
      <w:r w:rsidRPr="003215C5">
        <w:t xml:space="preserve"> the design of affirmative action programs. Justifications for affirmative action, past or </w:t>
      </w:r>
      <w:r w:rsidR="00985A9C">
        <w:t>future</w:t>
      </w:r>
      <w:r w:rsidR="009A684E" w:rsidRPr="003215C5">
        <w:t>-looking</w:t>
      </w:r>
      <w:r w:rsidRPr="003215C5">
        <w:t>, cannot be based on a study of psychological biases</w:t>
      </w:r>
      <w:r w:rsidR="009A684E" w:rsidRPr="003215C5">
        <w:t>,</w:t>
      </w:r>
      <w:r w:rsidRPr="003215C5">
        <w:t xml:space="preserve"> because the</w:t>
      </w:r>
      <w:r w:rsidR="00F82B36">
        <w:t>se</w:t>
      </w:r>
      <w:r w:rsidRPr="003215C5">
        <w:t xml:space="preserve"> are mostly latent and difficult to measure</w:t>
      </w:r>
      <w:r w:rsidR="00F82B36">
        <w:t>. There also is</w:t>
      </w:r>
      <w:r w:rsidR="00985A9C">
        <w:t xml:space="preserve"> </w:t>
      </w:r>
      <w:r w:rsidRPr="003215C5">
        <w:t xml:space="preserve">the </w:t>
      </w:r>
      <w:r w:rsidR="00985A9C">
        <w:t xml:space="preserve">problem of the </w:t>
      </w:r>
      <w:r w:rsidRPr="003215C5">
        <w:t xml:space="preserve">gap between </w:t>
      </w:r>
      <w:r w:rsidR="00985A9C">
        <w:t xml:space="preserve">how one </w:t>
      </w:r>
      <w:r w:rsidRPr="003215C5">
        <w:t>actual</w:t>
      </w:r>
      <w:r w:rsidR="00985A9C">
        <w:t>ly</w:t>
      </w:r>
      <w:r w:rsidRPr="003215C5">
        <w:t xml:space="preserve"> </w:t>
      </w:r>
      <w:r w:rsidR="006443BE" w:rsidRPr="003215C5">
        <w:t>behav</w:t>
      </w:r>
      <w:r w:rsidR="00985A9C">
        <w:t>es</w:t>
      </w:r>
      <w:r w:rsidRPr="003215C5">
        <w:t xml:space="preserve"> and how </w:t>
      </w:r>
      <w:r w:rsidR="000838CB">
        <w:t>one says</w:t>
      </w:r>
      <w:r w:rsidR="009A684E" w:rsidRPr="003215C5">
        <w:t xml:space="preserve"> they </w:t>
      </w:r>
      <w:r w:rsidRPr="003215C5">
        <w:t>behave.</w:t>
      </w:r>
      <w:r w:rsidR="00106693" w:rsidRPr="003215C5">
        <w:rPr>
          <w:rStyle w:val="FootnoteReference"/>
        </w:rPr>
        <w:footnoteReference w:id="34"/>
      </w:r>
      <w:r w:rsidRPr="003215C5">
        <w:t xml:space="preserve"> </w:t>
      </w:r>
      <w:r w:rsidR="00985A9C">
        <w:t xml:space="preserve">Exposing </w:t>
      </w:r>
      <w:r w:rsidRPr="003215C5">
        <w:t xml:space="preserve">possible biases can and should, in my opinion, be reflected in the procedural aspect </w:t>
      </w:r>
      <w:r w:rsidR="00985A9C">
        <w:t>–</w:t>
      </w:r>
      <w:r w:rsidRPr="003215C5">
        <w:t xml:space="preserve"> in the decision-making process under affirmative action</w:t>
      </w:r>
      <w:r w:rsidR="009A684E" w:rsidRPr="003215C5">
        <w:t xml:space="preserve"> programs</w:t>
      </w:r>
      <w:r w:rsidR="00F82B36">
        <w:t xml:space="preserve"> – even if this </w:t>
      </w:r>
      <w:r w:rsidRPr="003215C5">
        <w:t xml:space="preserve">creates new problems and </w:t>
      </w:r>
      <w:r w:rsidR="009A684E" w:rsidRPr="003215C5">
        <w:t xml:space="preserve">suspicion </w:t>
      </w:r>
      <w:r w:rsidRPr="003215C5">
        <w:t>of biases. That is, one should not prefer a particular affirmative action</w:t>
      </w:r>
      <w:r w:rsidR="00985A9C" w:rsidRPr="00985A9C">
        <w:t xml:space="preserve"> </w:t>
      </w:r>
      <w:r w:rsidR="00985A9C" w:rsidRPr="003215C5">
        <w:t>model</w:t>
      </w:r>
      <w:r w:rsidR="009A684E" w:rsidRPr="003215C5">
        <w:t>,</w:t>
      </w:r>
      <w:r w:rsidRPr="003215C5">
        <w:t xml:space="preserve"> but rather refine the operation</w:t>
      </w:r>
      <w:r w:rsidR="000838CB">
        <w:t>al</w:t>
      </w:r>
      <w:r w:rsidR="009A684E" w:rsidRPr="003215C5">
        <w:t xml:space="preserve"> method of implementing the program</w:t>
      </w:r>
      <w:r w:rsidRPr="003215C5">
        <w:t>. Either way, preventing or correcting discrimination is a compelling goal in itself</w:t>
      </w:r>
      <w:r w:rsidR="009A684E" w:rsidRPr="003215C5">
        <w:t>,</w:t>
      </w:r>
      <w:r w:rsidRPr="003215C5">
        <w:t xml:space="preserve"> even without the need to persuade </w:t>
      </w:r>
      <w:r w:rsidR="009A684E" w:rsidRPr="003215C5">
        <w:t xml:space="preserve">anyone </w:t>
      </w:r>
      <w:r w:rsidRPr="003215C5">
        <w:t xml:space="preserve">whether it is caused by explicit discrimination or covert bias. </w:t>
      </w:r>
      <w:r w:rsidR="00F82B36">
        <w:t xml:space="preserve">As </w:t>
      </w:r>
      <w:r w:rsidRPr="003215C5">
        <w:t>Prof. Krieger wrote in her research:</w:t>
      </w:r>
      <w:r w:rsidR="00FD2B10" w:rsidRPr="003215C5">
        <w:rPr>
          <w:rStyle w:val="FootnoteReference"/>
        </w:rPr>
        <w:footnoteReference w:id="35"/>
      </w:r>
    </w:p>
    <w:p w14:paraId="27DE9295" w14:textId="72BE3909" w:rsidR="007D06B9" w:rsidRPr="000D37DC" w:rsidRDefault="00F82B36" w:rsidP="00286484">
      <w:pPr>
        <w:tabs>
          <w:tab w:val="right" w:pos="7761"/>
        </w:tabs>
        <w:spacing w:before="100" w:beforeAutospacing="1" w:line="360" w:lineRule="auto"/>
        <w:ind w:left="851" w:right="936"/>
        <w:jc w:val="both"/>
        <w:rPr>
          <w:rFonts w:cstheme="minorHAnsi"/>
          <w:rtl/>
        </w:rPr>
      </w:pPr>
      <w:r>
        <w:rPr>
          <w:rFonts w:cstheme="minorHAnsi"/>
          <w:highlight w:val="green"/>
        </w:rPr>
        <w:t>C</w:t>
      </w:r>
      <w:r w:rsidR="007D06B9" w:rsidRPr="000D37DC">
        <w:rPr>
          <w:rFonts w:cstheme="minorHAnsi"/>
          <w:highlight w:val="green"/>
        </w:rPr>
        <w:t>ognitive structures and processes involved in categorization and information processing can in and of themselves result in stereotyping and other forms of biased intergroup judgment previously attributed to motivational processes.</w:t>
      </w:r>
    </w:p>
    <w:p w14:paraId="2A5B6068" w14:textId="0327E3E1" w:rsidR="007D06B9" w:rsidRPr="003215C5" w:rsidRDefault="007D06B9" w:rsidP="000D37DC">
      <w:pPr>
        <w:tabs>
          <w:tab w:val="left" w:pos="2977"/>
          <w:tab w:val="left" w:pos="4111"/>
        </w:tabs>
        <w:spacing w:line="360" w:lineRule="auto"/>
        <w:ind w:firstLine="720"/>
        <w:jc w:val="both"/>
      </w:pPr>
      <w:r w:rsidRPr="003215C5">
        <w:t xml:space="preserve">The </w:t>
      </w:r>
      <w:r w:rsidR="009A684E" w:rsidRPr="003215C5">
        <w:t xml:space="preserve">affirmative action </w:t>
      </w:r>
      <w:r w:rsidRPr="003215C5">
        <w:t xml:space="preserve">legal model should </w:t>
      </w:r>
      <w:r w:rsidR="009A684E" w:rsidRPr="003215C5">
        <w:t xml:space="preserve">affix </w:t>
      </w:r>
      <w:r w:rsidRPr="003215C5">
        <w:t xml:space="preserve">a price tag </w:t>
      </w:r>
      <w:r w:rsidR="009A684E" w:rsidRPr="003215C5">
        <w:t xml:space="preserve">to unwelcome </w:t>
      </w:r>
      <w:r w:rsidR="006443BE" w:rsidRPr="003215C5">
        <w:t>behaviour</w:t>
      </w:r>
      <w:r w:rsidRPr="003215C5">
        <w:t>. Formally</w:t>
      </w:r>
      <w:r w:rsidR="00985A9C">
        <w:t xml:space="preserve"> </w:t>
      </w:r>
      <w:r w:rsidRPr="003215C5">
        <w:t>however, the psychological-</w:t>
      </w:r>
      <w:r w:rsidR="006443BE" w:rsidRPr="003215C5">
        <w:t>behavioural</w:t>
      </w:r>
      <w:r w:rsidRPr="003215C5">
        <w:t xml:space="preserve"> parameter must not be </w:t>
      </w:r>
      <w:r w:rsidR="004B6223" w:rsidRPr="003215C5">
        <w:t>separated</w:t>
      </w:r>
      <w:r w:rsidR="00933C88">
        <w:t xml:space="preserve"> into its components</w:t>
      </w:r>
      <w:r w:rsidR="004B6223" w:rsidRPr="003215C5">
        <w:t>,</w:t>
      </w:r>
      <w:r w:rsidRPr="003215C5">
        <w:t xml:space="preserve"> and the institutionali</w:t>
      </w:r>
      <w:r w:rsidR="00985A9C">
        <w:t>s</w:t>
      </w:r>
      <w:r w:rsidRPr="003215C5">
        <w:t xml:space="preserve">ation of social enforcement must be </w:t>
      </w:r>
      <w:r w:rsidR="009A684E" w:rsidRPr="003215C5">
        <w:t>ensured</w:t>
      </w:r>
      <w:r w:rsidRPr="003215C5">
        <w:t xml:space="preserve">. Affirmative action laws usually </w:t>
      </w:r>
      <w:r w:rsidR="00933C88" w:rsidRPr="003215C5">
        <w:t>have only an expressive-declaratory effect</w:t>
      </w:r>
      <w:r w:rsidR="00933C88">
        <w:t>, lacking any</w:t>
      </w:r>
      <w:r w:rsidRPr="003215C5">
        <w:t xml:space="preserve"> </w:t>
      </w:r>
      <w:r w:rsidR="009A684E" w:rsidRPr="003215C5">
        <w:t xml:space="preserve">compliance </w:t>
      </w:r>
      <w:r w:rsidRPr="003215C5">
        <w:t>incentives</w:t>
      </w:r>
      <w:r w:rsidR="00933C88">
        <w:t>.</w:t>
      </w:r>
      <w:r w:rsidRPr="003215C5">
        <w:t xml:space="preserve"> </w:t>
      </w:r>
      <w:r w:rsidR="009A684E" w:rsidRPr="003215C5">
        <w:t>Naturally, t</w:t>
      </w:r>
      <w:r w:rsidRPr="003215C5">
        <w:t>hey have a social impact, but when the results are disappointing</w:t>
      </w:r>
      <w:r w:rsidR="00933C88" w:rsidRPr="00933C88">
        <w:t xml:space="preserve"> </w:t>
      </w:r>
      <w:r w:rsidR="00933C88" w:rsidRPr="003215C5">
        <w:t>in reality</w:t>
      </w:r>
      <w:r w:rsidR="009A684E" w:rsidRPr="003215C5">
        <w:t>,</w:t>
      </w:r>
      <w:r w:rsidRPr="003215C5">
        <w:t xml:space="preserve"> and there is no significant enforcement, they remain merely social</w:t>
      </w:r>
      <w:r w:rsidR="009A684E" w:rsidRPr="003215C5">
        <w:t>ly</w:t>
      </w:r>
      <w:r w:rsidRPr="003215C5">
        <w:t xml:space="preserve"> </w:t>
      </w:r>
      <w:r w:rsidR="009A684E" w:rsidRPr="003215C5">
        <w:t>important</w:t>
      </w:r>
      <w:r w:rsidRPr="003215C5">
        <w:t xml:space="preserve">. I believe that it is difficult to bring about internal change in the preferences of </w:t>
      </w:r>
      <w:r w:rsidR="009A684E" w:rsidRPr="003215C5">
        <w:t xml:space="preserve">an </w:t>
      </w:r>
      <w:r w:rsidRPr="003215C5">
        <w:t>individual</w:t>
      </w:r>
      <w:r w:rsidR="00985A9C">
        <w:t xml:space="preserve"> </w:t>
      </w:r>
      <w:r w:rsidRPr="003215C5">
        <w:t>given the existence of biases and personal perceptions which</w:t>
      </w:r>
      <w:r w:rsidR="000838CB">
        <w:t>,</w:t>
      </w:r>
      <w:r w:rsidRPr="003215C5">
        <w:t xml:space="preserve"> </w:t>
      </w:r>
      <w:r w:rsidR="009A684E" w:rsidRPr="003215C5">
        <w:t>from the outset</w:t>
      </w:r>
      <w:r w:rsidR="000838CB">
        <w:t>,</w:t>
      </w:r>
      <w:r w:rsidR="009A684E" w:rsidRPr="003215C5">
        <w:rPr>
          <w:i/>
          <w:iCs/>
        </w:rPr>
        <w:t xml:space="preserve"> </w:t>
      </w:r>
      <w:r w:rsidR="009A684E" w:rsidRPr="003215C5">
        <w:t xml:space="preserve">resulted in </w:t>
      </w:r>
      <w:r w:rsidR="00CF6EB5">
        <w:t>situations</w:t>
      </w:r>
      <w:r w:rsidR="009A684E" w:rsidRPr="003215C5">
        <w:t xml:space="preserve"> </w:t>
      </w:r>
      <w:r w:rsidRPr="003215C5">
        <w:t>of exclu</w:t>
      </w:r>
      <w:r w:rsidR="009A684E" w:rsidRPr="003215C5">
        <w:t xml:space="preserve">ding </w:t>
      </w:r>
      <w:r w:rsidRPr="003215C5">
        <w:t xml:space="preserve">certain groups and </w:t>
      </w:r>
      <w:r w:rsidR="009A684E" w:rsidRPr="003215C5">
        <w:t xml:space="preserve">a </w:t>
      </w:r>
      <w:r w:rsidRPr="003215C5">
        <w:t>need for correcti</w:t>
      </w:r>
      <w:r w:rsidR="009A684E" w:rsidRPr="003215C5">
        <w:t>ve action</w:t>
      </w:r>
      <w:r w:rsidRPr="003215C5">
        <w:t xml:space="preserve">. In addition, provisions regarding affirmative action </w:t>
      </w:r>
      <w:r w:rsidR="00CF6EB5">
        <w:t xml:space="preserve">are justified by </w:t>
      </w:r>
      <w:r w:rsidR="009A684E" w:rsidRPr="003215C5">
        <w:t xml:space="preserve">reasons </w:t>
      </w:r>
      <w:r w:rsidRPr="003215C5">
        <w:t xml:space="preserve">of fairness and justice, and possibly also distribution on an equal </w:t>
      </w:r>
      <w:r w:rsidRPr="003215C5">
        <w:lastRenderedPageBreak/>
        <w:t xml:space="preserve">basis, </w:t>
      </w:r>
      <w:r w:rsidR="000838CB">
        <w:t>while issues of</w:t>
      </w:r>
      <w:r w:rsidRPr="003215C5">
        <w:t xml:space="preserve"> fairness based on skills (</w:t>
      </w:r>
      <w:r w:rsidR="00CF6EB5">
        <w:t>e</w:t>
      </w:r>
      <w:r w:rsidR="006443BE" w:rsidRPr="003215C5">
        <w:t>quity</w:t>
      </w:r>
      <w:r w:rsidRPr="003215C5">
        <w:t>)</w:t>
      </w:r>
      <w:r w:rsidR="000838CB">
        <w:t xml:space="preserve"> should be disregarded</w:t>
      </w:r>
      <w:r w:rsidR="00CF6EB5">
        <w:t>. Such provisions reflect th</w:t>
      </w:r>
      <w:r w:rsidR="009A684E" w:rsidRPr="003215C5">
        <w:t xml:space="preserve">e </w:t>
      </w:r>
      <w:r w:rsidRPr="003215C5">
        <w:t xml:space="preserve">approach </w:t>
      </w:r>
      <w:r w:rsidR="009A684E" w:rsidRPr="003215C5">
        <w:t xml:space="preserve">of </w:t>
      </w:r>
      <w:r w:rsidRPr="003215C5">
        <w:t>historical injustice that requires integration</w:t>
      </w:r>
      <w:r w:rsidR="009A684E" w:rsidRPr="003215C5">
        <w:t>,</w:t>
      </w:r>
      <w:r w:rsidRPr="003215C5">
        <w:t xml:space="preserve"> rather than a discourse of integration due to contemporary unjustified social exclusion, given similar skills.</w:t>
      </w:r>
      <w:r w:rsidR="00FD2B10" w:rsidRPr="003215C5">
        <w:rPr>
          <w:rStyle w:val="FootnoteReference"/>
        </w:rPr>
        <w:footnoteReference w:id="36"/>
      </w:r>
    </w:p>
    <w:p w14:paraId="00E84299" w14:textId="0A190681" w:rsidR="007D06B9" w:rsidRPr="003215C5" w:rsidRDefault="007D06B9" w:rsidP="00286484">
      <w:pPr>
        <w:spacing w:line="360" w:lineRule="auto"/>
        <w:ind w:firstLine="720"/>
        <w:jc w:val="both"/>
      </w:pPr>
      <w:r w:rsidRPr="003215C5">
        <w:t>Many researchers have found that anti-discrimination laws in general, including those dealing with affirmative action, are ineffective</w:t>
      </w:r>
      <w:r w:rsidR="009A684E" w:rsidRPr="003215C5">
        <w:t>,</w:t>
      </w:r>
      <w:r w:rsidRPr="003215C5">
        <w:t xml:space="preserve"> and it is difficult to </w:t>
      </w:r>
      <w:r w:rsidR="00CF6EB5">
        <w:t>provide</w:t>
      </w:r>
      <w:r w:rsidRPr="003215C5">
        <w:t xml:space="preserve"> </w:t>
      </w:r>
      <w:r w:rsidR="00702EE4" w:rsidRPr="003215C5">
        <w:t xml:space="preserve">guidance </w:t>
      </w:r>
      <w:r w:rsidRPr="003215C5">
        <w:t xml:space="preserve">when there are </w:t>
      </w:r>
      <w:r w:rsidR="00702EE4" w:rsidRPr="003215C5">
        <w:t xml:space="preserve">unconscious </w:t>
      </w:r>
      <w:r w:rsidRPr="003215C5">
        <w:t>biases in the processes of social perception and judgment.</w:t>
      </w:r>
      <w:r w:rsidR="00FD2B10" w:rsidRPr="003215C5">
        <w:rPr>
          <w:rStyle w:val="FootnoteReference"/>
        </w:rPr>
        <w:footnoteReference w:id="37"/>
      </w:r>
      <w:r w:rsidRPr="003215C5">
        <w:t xml:space="preserve"> This unconscious discrimination necessitates </w:t>
      </w:r>
      <w:r w:rsidR="00702EE4" w:rsidRPr="003215C5">
        <w:t xml:space="preserve">instituting measures </w:t>
      </w:r>
      <w:r w:rsidRPr="003215C5">
        <w:t>of education and training</w:t>
      </w:r>
      <w:r w:rsidR="00702EE4" w:rsidRPr="003215C5">
        <w:t>,</w:t>
      </w:r>
      <w:r w:rsidRPr="003215C5">
        <w:t xml:space="preserve"> as well as the creation of a skills assessment option that neutrali</w:t>
      </w:r>
      <w:r w:rsidR="00985A9C">
        <w:t>s</w:t>
      </w:r>
      <w:r w:rsidRPr="003215C5">
        <w:t xml:space="preserve">es the </w:t>
      </w:r>
      <w:r w:rsidR="00702EE4" w:rsidRPr="003215C5">
        <w:t>discrimination-creating indicators</w:t>
      </w:r>
      <w:r w:rsidRPr="003215C5">
        <w:t>.</w:t>
      </w:r>
      <w:r w:rsidR="00FD2B10" w:rsidRPr="003215C5">
        <w:rPr>
          <w:rStyle w:val="FootnoteReference"/>
        </w:rPr>
        <w:footnoteReference w:id="38"/>
      </w:r>
    </w:p>
    <w:p w14:paraId="2E07DF9B" w14:textId="61FFB557" w:rsidR="007D06B9" w:rsidRPr="003215C5" w:rsidRDefault="007D06B9" w:rsidP="00286484">
      <w:pPr>
        <w:spacing w:line="360" w:lineRule="auto"/>
        <w:ind w:firstLine="720"/>
        <w:jc w:val="both"/>
      </w:pPr>
      <w:r w:rsidRPr="003215C5">
        <w:t>The bias</w:t>
      </w:r>
      <w:r w:rsidR="00985A9C">
        <w:t>es</w:t>
      </w:r>
      <w:r w:rsidRPr="003215C5">
        <w:t xml:space="preserve"> against the target groups that cause</w:t>
      </w:r>
      <w:r w:rsidR="00985A9C">
        <w:t xml:space="preserve"> </w:t>
      </w:r>
      <w:r w:rsidRPr="003215C5">
        <w:t>their discrimination can be explained through generali</w:t>
      </w:r>
      <w:r w:rsidR="00985A9C">
        <w:t>s</w:t>
      </w:r>
      <w:r w:rsidRPr="003215C5">
        <w:t>ed threat theory,</w:t>
      </w:r>
      <w:r w:rsidR="00FD2B10" w:rsidRPr="003215C5">
        <w:rPr>
          <w:rStyle w:val="FootnoteReference"/>
        </w:rPr>
        <w:footnoteReference w:id="39"/>
      </w:r>
      <w:r w:rsidRPr="003215C5">
        <w:t xml:space="preserve"> which assumes that negative attitudes, including prejudice against </w:t>
      </w:r>
      <w:r w:rsidR="00985A9C">
        <w:t xml:space="preserve">other </w:t>
      </w:r>
      <w:r w:rsidRPr="003215C5">
        <w:t xml:space="preserve">groups, </w:t>
      </w:r>
      <w:r w:rsidR="00702EE4" w:rsidRPr="003215C5">
        <w:t xml:space="preserve">arise from </w:t>
      </w:r>
      <w:r w:rsidRPr="003215C5">
        <w:t xml:space="preserve">a sense of threat </w:t>
      </w:r>
      <w:r w:rsidR="00985A9C">
        <w:t xml:space="preserve">that </w:t>
      </w:r>
      <w:r w:rsidRPr="003215C5">
        <w:t>they evoke. The theory does not assume that the majority group is acting rationally</w:t>
      </w:r>
      <w:r w:rsidR="000838CB">
        <w:t>;</w:t>
      </w:r>
      <w:r w:rsidRPr="003215C5">
        <w:t xml:space="preserve"> otherwise it would have been difficult to accept the argument regarding a sense of real threat. This is a real or imagined threat that the target groups </w:t>
      </w:r>
      <w:r w:rsidR="000838CB">
        <w:t xml:space="preserve">unwittingly </w:t>
      </w:r>
      <w:r w:rsidRPr="003215C5">
        <w:t>provoke</w:t>
      </w:r>
      <w:r w:rsidR="00702EE4" w:rsidRPr="003215C5">
        <w:t>,</w:t>
      </w:r>
      <w:r w:rsidRPr="003215C5">
        <w:t xml:space="preserve"> usually a symbolic threat of cultural differences and appearances</w:t>
      </w:r>
      <w:r w:rsidR="00985A9C">
        <w:t>,</w:t>
      </w:r>
      <w:r w:rsidRPr="003215C5">
        <w:t xml:space="preserve"> that are transformed into negative stereotypes.</w:t>
      </w:r>
    </w:p>
    <w:p w14:paraId="7F1A11AD" w14:textId="3C23AD8F" w:rsidR="007D06B9" w:rsidRPr="003215C5" w:rsidRDefault="007D06B9" w:rsidP="00286484">
      <w:pPr>
        <w:spacing w:line="360" w:lineRule="auto"/>
        <w:ind w:firstLine="720"/>
        <w:jc w:val="both"/>
      </w:pPr>
      <w:r w:rsidRPr="003215C5">
        <w:t xml:space="preserve">Stereotypes </w:t>
      </w:r>
      <w:r w:rsidR="00702EE4" w:rsidRPr="003215C5">
        <w:t xml:space="preserve">are </w:t>
      </w:r>
      <w:r w:rsidRPr="003215C5">
        <w:t>harm</w:t>
      </w:r>
      <w:r w:rsidR="00702EE4" w:rsidRPr="003215C5">
        <w:t xml:space="preserve">ful </w:t>
      </w:r>
      <w:r w:rsidR="000838CB" w:rsidRPr="003215C5">
        <w:t xml:space="preserve">not only </w:t>
      </w:r>
      <w:r w:rsidR="00702EE4" w:rsidRPr="003215C5">
        <w:t>by</w:t>
      </w:r>
      <w:r w:rsidRPr="003215C5">
        <w:t xml:space="preserve"> their very essence, </w:t>
      </w:r>
      <w:r w:rsidR="00BB3817" w:rsidRPr="003215C5">
        <w:t xml:space="preserve">but </w:t>
      </w:r>
      <w:r w:rsidR="000838CB">
        <w:t xml:space="preserve">also </w:t>
      </w:r>
      <w:proofErr w:type="gramStart"/>
      <w:r w:rsidR="000838CB">
        <w:t xml:space="preserve">because </w:t>
      </w:r>
      <w:r w:rsidRPr="003215C5">
        <w:t xml:space="preserve"> they</w:t>
      </w:r>
      <w:proofErr w:type="gramEnd"/>
      <w:r w:rsidRPr="003215C5">
        <w:t xml:space="preserve"> cultivate prejudice and discrimination. Prejudices, stereotyping</w:t>
      </w:r>
      <w:r w:rsidR="00702EE4" w:rsidRPr="003215C5">
        <w:t>,</w:t>
      </w:r>
      <w:r w:rsidRPr="003215C5">
        <w:t xml:space="preserve"> and discrimination often go hand in hand, but it is also possible </w:t>
      </w:r>
      <w:r w:rsidR="00985A9C">
        <w:t xml:space="preserve">for </w:t>
      </w:r>
      <w:r w:rsidRPr="003215C5">
        <w:t xml:space="preserve">one of them </w:t>
      </w:r>
      <w:r w:rsidR="00985A9C">
        <w:t xml:space="preserve">to exist </w:t>
      </w:r>
      <w:r w:rsidRPr="003215C5">
        <w:t>without the other</w:t>
      </w:r>
      <w:r w:rsidR="00702EE4" w:rsidRPr="003215C5">
        <w:t>s</w:t>
      </w:r>
      <w:r w:rsidRPr="003215C5">
        <w:t xml:space="preserve">. Thus, for </w:t>
      </w:r>
      <w:r w:rsidR="00470A8D">
        <w:t>example</w:t>
      </w:r>
      <w:r w:rsidRPr="003215C5">
        <w:t xml:space="preserve">, the affirmative action model in Canada </w:t>
      </w:r>
      <w:r w:rsidR="00470A8D">
        <w:t xml:space="preserve">assumes the existence </w:t>
      </w:r>
      <w:r w:rsidRPr="003215C5">
        <w:t>of prejudices and structural barriers</w:t>
      </w:r>
      <w:r w:rsidR="00702EE4" w:rsidRPr="003215C5">
        <w:t>,</w:t>
      </w:r>
      <w:r w:rsidRPr="003215C5">
        <w:t xml:space="preserve"> and </w:t>
      </w:r>
      <w:r w:rsidR="00470A8D">
        <w:t xml:space="preserve">relies </w:t>
      </w:r>
      <w:r w:rsidRPr="003215C5">
        <w:t xml:space="preserve">less on deliberate discrimination and numerical underrepresentation. An expression of this can be found in </w:t>
      </w:r>
      <w:r w:rsidR="00702EE4" w:rsidRPr="003215C5">
        <w:t>S</w:t>
      </w:r>
      <w:r w:rsidRPr="003215C5">
        <w:t xml:space="preserve">ection 33(2) of </w:t>
      </w:r>
      <w:r w:rsidR="00702EE4" w:rsidRPr="003215C5">
        <w:t xml:space="preserve">the </w:t>
      </w:r>
      <w:r w:rsidRPr="003215C5">
        <w:t>Canadian law,</w:t>
      </w:r>
      <w:r w:rsidR="00FD2B10" w:rsidRPr="003215C5">
        <w:rPr>
          <w:rStyle w:val="FootnoteReference"/>
        </w:rPr>
        <w:footnoteReference w:id="40"/>
      </w:r>
      <w:r w:rsidRPr="003215C5">
        <w:t xml:space="preserve"> which requires checking whether employees define themselves </w:t>
      </w:r>
      <w:r w:rsidR="00702EE4" w:rsidRPr="003215C5">
        <w:t xml:space="preserve">as belonging to </w:t>
      </w:r>
      <w:r w:rsidRPr="003215C5">
        <w:t xml:space="preserve">one of the </w:t>
      </w:r>
      <w:r w:rsidR="00702EE4" w:rsidRPr="003215C5">
        <w:t xml:space="preserve">groups that suffer from </w:t>
      </w:r>
      <w:r w:rsidRPr="003215C5">
        <w:t>prejudice</w:t>
      </w:r>
      <w:r w:rsidR="00702EE4" w:rsidRPr="003215C5">
        <w:t>,</w:t>
      </w:r>
      <w:r w:rsidRPr="003215C5">
        <w:t xml:space="preserve"> and compare</w:t>
      </w:r>
      <w:r w:rsidR="000838CB">
        <w:t>s</w:t>
      </w:r>
      <w:r w:rsidRPr="003215C5">
        <w:t xml:space="preserve"> </w:t>
      </w:r>
      <w:r w:rsidR="00985A9C" w:rsidRPr="003215C5">
        <w:t xml:space="preserve">the subjective data </w:t>
      </w:r>
      <w:r w:rsidRPr="003215C5">
        <w:t xml:space="preserve">to state employment data in the same area to determine numerical underrepresentation. But </w:t>
      </w:r>
      <w:r w:rsidR="00470A8D">
        <w:t xml:space="preserve">even </w:t>
      </w:r>
      <w:r w:rsidRPr="003215C5">
        <w:t xml:space="preserve">that is not </w:t>
      </w:r>
      <w:r w:rsidR="00470A8D">
        <w:t>sufficient.</w:t>
      </w:r>
      <w:r w:rsidRPr="003215C5">
        <w:t xml:space="preserve"> Each </w:t>
      </w:r>
      <w:r w:rsidRPr="003215C5">
        <w:lastRenderedPageBreak/>
        <w:t xml:space="preserve">employer must personally map the underrepresented </w:t>
      </w:r>
      <w:r w:rsidR="00702EE4" w:rsidRPr="003215C5">
        <w:t xml:space="preserve">parties </w:t>
      </w:r>
      <w:r w:rsidRPr="003215C5">
        <w:t>in his or her own en</w:t>
      </w:r>
      <w:r w:rsidR="00470A8D">
        <w:t>terprise</w:t>
      </w:r>
      <w:r w:rsidRPr="003215C5">
        <w:t>, recogni</w:t>
      </w:r>
      <w:r w:rsidR="00985A9C">
        <w:t>s</w:t>
      </w:r>
      <w:r w:rsidRPr="003215C5">
        <w:t xml:space="preserve">ing that there are different solutions for different </w:t>
      </w:r>
      <w:r w:rsidR="00702EE4" w:rsidRPr="003215C5">
        <w:t xml:space="preserve">parties, </w:t>
      </w:r>
      <w:r w:rsidRPr="003215C5">
        <w:t xml:space="preserve">and </w:t>
      </w:r>
      <w:r w:rsidR="00470A8D">
        <w:t xml:space="preserve">that </w:t>
      </w:r>
      <w:r w:rsidRPr="003215C5">
        <w:t xml:space="preserve">there is no one-size-fits-all solution. On the basis of this </w:t>
      </w:r>
      <w:r w:rsidR="004B6223" w:rsidRPr="003215C5">
        <w:t>test,</w:t>
      </w:r>
      <w:r w:rsidRPr="003215C5">
        <w:t xml:space="preserve"> </w:t>
      </w:r>
      <w:r w:rsidR="00470A8D">
        <w:t>the employer</w:t>
      </w:r>
      <w:r w:rsidRPr="003215C5">
        <w:t xml:space="preserve"> will be able to develop plan</w:t>
      </w:r>
      <w:r w:rsidR="00985A9C">
        <w:t>s</w:t>
      </w:r>
      <w:r w:rsidRPr="003215C5">
        <w:t xml:space="preserve"> of action for both the short and long term</w:t>
      </w:r>
      <w:r w:rsidR="00702EE4" w:rsidRPr="003215C5">
        <w:t>s</w:t>
      </w:r>
      <w:r w:rsidRPr="003215C5">
        <w:t>.</w:t>
      </w:r>
    </w:p>
    <w:p w14:paraId="75AD95C3" w14:textId="00536B39" w:rsidR="007D06B9" w:rsidRPr="003215C5" w:rsidRDefault="00470A8D" w:rsidP="00286484">
      <w:pPr>
        <w:spacing w:line="360" w:lineRule="auto"/>
        <w:ind w:firstLine="720"/>
        <w:jc w:val="both"/>
      </w:pPr>
      <w:r>
        <w:t>A</w:t>
      </w:r>
      <w:r w:rsidR="007D06B9" w:rsidRPr="003215C5">
        <w:t>ttributing a stereotypical trait to an ethnic group is not necessarily related to prejudice or discrimination</w:t>
      </w:r>
      <w:r w:rsidR="00702EE4" w:rsidRPr="003215C5">
        <w:t>,</w:t>
      </w:r>
      <w:r w:rsidR="007D06B9" w:rsidRPr="003215C5">
        <w:t xml:space="preserve"> and</w:t>
      </w:r>
      <w:r>
        <w:t>,</w:t>
      </w:r>
      <w:r w:rsidR="007D06B9" w:rsidRPr="003215C5">
        <w:t xml:space="preserve"> similarly, general prejudice against a minority group does not have to include specific stereotypes or acts of discrimination. Stereotypes, like other generalizations, are often used as mental shortcuts, and people apply them especially when they are busy or distracted.</w:t>
      </w:r>
      <w:r w:rsidR="00FD2B10" w:rsidRPr="003215C5">
        <w:rPr>
          <w:rStyle w:val="FootnoteReference"/>
        </w:rPr>
        <w:footnoteReference w:id="41"/>
      </w:r>
      <w:r w:rsidR="007D06B9" w:rsidRPr="003215C5">
        <w:t xml:space="preserve"> Despite the high prevalence of discrimination, one of the biggest obstacles to its elimination is the difficulty people have in identifying it on an individual level. It is difficult for an individual to serve as </w:t>
      </w:r>
      <w:r w:rsidR="00D51B87" w:rsidRPr="003215C5">
        <w:t xml:space="preserve">his own </w:t>
      </w:r>
      <w:r w:rsidR="007D06B9" w:rsidRPr="003215C5">
        <w:t>control group</w:t>
      </w:r>
      <w:r w:rsidR="00D51B87" w:rsidRPr="003215C5">
        <w:t>,</w:t>
      </w:r>
      <w:r w:rsidR="00FD2B10" w:rsidRPr="003215C5">
        <w:rPr>
          <w:rStyle w:val="FootnoteReference"/>
        </w:rPr>
        <w:footnoteReference w:id="42"/>
      </w:r>
      <w:r w:rsidR="007D06B9" w:rsidRPr="003215C5">
        <w:t xml:space="preserve"> and discrimination can be more easily identified when </w:t>
      </w:r>
      <w:r w:rsidR="00154D78">
        <w:t>examining</w:t>
      </w:r>
      <w:r w:rsidR="007D06B9" w:rsidRPr="003215C5">
        <w:t xml:space="preserve"> accumulat</w:t>
      </w:r>
      <w:r w:rsidR="00D51B87" w:rsidRPr="003215C5">
        <w:t>ed</w:t>
      </w:r>
      <w:r w:rsidR="007D06B9" w:rsidRPr="003215C5">
        <w:t xml:space="preserve"> evidence, </w:t>
      </w:r>
      <w:r w:rsidR="00D51B87" w:rsidRPr="003215C5">
        <w:t xml:space="preserve">rather </w:t>
      </w:r>
      <w:r w:rsidR="007D06B9" w:rsidRPr="003215C5">
        <w:t xml:space="preserve">than individual cases, because </w:t>
      </w:r>
      <w:r w:rsidR="00EA4283">
        <w:t>individuals potentially guilty of discrimination find it easier to justify their</w:t>
      </w:r>
      <w:r w:rsidR="00D51B87" w:rsidRPr="003215C5">
        <w:t xml:space="preserve"> behaviour</w:t>
      </w:r>
      <w:r w:rsidR="007D06B9" w:rsidRPr="003215C5">
        <w:t>.</w:t>
      </w:r>
      <w:r w:rsidR="00FD2B10" w:rsidRPr="003215C5">
        <w:rPr>
          <w:rStyle w:val="FootnoteReference"/>
        </w:rPr>
        <w:footnoteReference w:id="43"/>
      </w:r>
      <w:r w:rsidR="007D06B9" w:rsidRPr="003215C5">
        <w:t xml:space="preserve"> </w:t>
      </w:r>
      <w:r w:rsidR="00D51B87" w:rsidRPr="003215C5">
        <w:t>In addition,</w:t>
      </w:r>
      <w:r w:rsidR="007D06B9" w:rsidRPr="003215C5">
        <w:t xml:space="preserve"> individuals can deny that they have been discriminated against, to avoid feeling that they have been treated </w:t>
      </w:r>
      <w:r w:rsidR="00D51B87" w:rsidRPr="003215C5">
        <w:t>unfairly</w:t>
      </w:r>
      <w:r w:rsidR="007D06B9" w:rsidRPr="003215C5">
        <w:t xml:space="preserve">, or </w:t>
      </w:r>
      <w:r w:rsidR="000838CB">
        <w:t xml:space="preserve">because they feel </w:t>
      </w:r>
      <w:r w:rsidR="007D06B9" w:rsidRPr="003215C5">
        <w:t>that they have no control over the</w:t>
      </w:r>
      <w:r w:rsidR="00D51B87" w:rsidRPr="003215C5">
        <w:t>ir</w:t>
      </w:r>
      <w:r w:rsidR="007D06B9" w:rsidRPr="003215C5">
        <w:t xml:space="preserve"> </w:t>
      </w:r>
      <w:r w:rsidR="001400B7">
        <w:t>circumstances</w:t>
      </w:r>
      <w:r w:rsidR="007D06B9" w:rsidRPr="003215C5">
        <w:t>.</w:t>
      </w:r>
      <w:r w:rsidR="00FD2B10" w:rsidRPr="003215C5">
        <w:rPr>
          <w:rStyle w:val="FootnoteReference"/>
        </w:rPr>
        <w:footnoteReference w:id="44"/>
      </w:r>
      <w:r w:rsidR="007D06B9" w:rsidRPr="003215C5">
        <w:t xml:space="preserve"> The </w:t>
      </w:r>
      <w:commentRangeStart w:id="3"/>
      <w:r w:rsidR="007D06B9" w:rsidRPr="003215C5">
        <w:t>explanation</w:t>
      </w:r>
      <w:commentRangeEnd w:id="3"/>
      <w:r w:rsidR="00EA4283">
        <w:rPr>
          <w:rStyle w:val="CommentReference"/>
        </w:rPr>
        <w:commentReference w:id="3"/>
      </w:r>
      <w:r w:rsidR="007D06B9" w:rsidRPr="003215C5">
        <w:t xml:space="preserve"> is that the decision-makers responsible for recruiting candidates suffer from a cultural expectation that certain population groups </w:t>
      </w:r>
      <w:r w:rsidR="001400B7">
        <w:t xml:space="preserve">will </w:t>
      </w:r>
      <w:r w:rsidR="007D06B9" w:rsidRPr="003215C5">
        <w:t>act in a specific way. This is usually negative stereotypical thinking</w:t>
      </w:r>
      <w:r w:rsidR="00EA4283">
        <w:t xml:space="preserve"> reflecting</w:t>
      </w:r>
      <w:r w:rsidR="007D06B9" w:rsidRPr="003215C5">
        <w:t xml:space="preserve"> a basic attribution error </w:t>
      </w:r>
      <w:r w:rsidR="00EA4283">
        <w:t xml:space="preserve">derived </w:t>
      </w:r>
      <w:r w:rsidR="001400B7">
        <w:t xml:space="preserve">from </w:t>
      </w:r>
      <w:r w:rsidR="007D06B9" w:rsidRPr="003215C5">
        <w:t>belonging to a particular group</w:t>
      </w:r>
      <w:r w:rsidR="00D51B87" w:rsidRPr="003215C5">
        <w:t>,</w:t>
      </w:r>
      <w:r w:rsidR="007D06B9" w:rsidRPr="003215C5">
        <w:t xml:space="preserve"> and a personal</w:t>
      </w:r>
      <w:r w:rsidR="00D51B87" w:rsidRPr="003215C5">
        <w:t>ity</w:t>
      </w:r>
      <w:r w:rsidR="007D06B9" w:rsidRPr="003215C5">
        <w:t xml:space="preserve"> and circumstantial assessment diminish</w:t>
      </w:r>
      <w:r w:rsidR="00D51B87" w:rsidRPr="003215C5">
        <w:t xml:space="preserve">ing </w:t>
      </w:r>
      <w:r w:rsidR="007D06B9" w:rsidRPr="003215C5">
        <w:t>other groups, most often minority groups. To reinforce this, people tend to affirm certain hypotheses and attitudes they hold, as part of a stereotypical pool. For example, an interviewer who believes that individuals belonging to a particular group tend to be less cultured</w:t>
      </w:r>
      <w:r w:rsidR="00D51B87" w:rsidRPr="003215C5">
        <w:t>,</w:t>
      </w:r>
      <w:r w:rsidR="007D06B9" w:rsidRPr="003215C5">
        <w:t xml:space="preserve"> and less fluent in the official language</w:t>
      </w:r>
      <w:r w:rsidR="00D51B87" w:rsidRPr="003215C5">
        <w:t>,</w:t>
      </w:r>
      <w:r w:rsidR="007D06B9" w:rsidRPr="003215C5">
        <w:t xml:space="preserve"> will find reinforcement in the interviewee</w:t>
      </w:r>
      <w:r w:rsidR="008578D4" w:rsidRPr="003215C5">
        <w:t>’</w:t>
      </w:r>
      <w:r w:rsidR="007D06B9" w:rsidRPr="003215C5">
        <w:t xml:space="preserve">s </w:t>
      </w:r>
      <w:r w:rsidR="006443BE" w:rsidRPr="003215C5">
        <w:t>behaviour</w:t>
      </w:r>
      <w:r w:rsidR="007D06B9" w:rsidRPr="003215C5">
        <w:t xml:space="preserve"> or personal data to support his or her view. </w:t>
      </w:r>
      <w:r w:rsidR="00D51B87" w:rsidRPr="003215C5">
        <w:t>R</w:t>
      </w:r>
      <w:r w:rsidR="007D06B9" w:rsidRPr="003215C5">
        <w:t>esearch</w:t>
      </w:r>
      <w:r w:rsidR="00FD2B10" w:rsidRPr="003215C5">
        <w:rPr>
          <w:rStyle w:val="FootnoteReference"/>
        </w:rPr>
        <w:footnoteReference w:id="45"/>
      </w:r>
      <w:r w:rsidR="007D06B9" w:rsidRPr="003215C5">
        <w:t xml:space="preserve"> suggests that stereotypes and prejudices make it difficult to gain employment, promotion</w:t>
      </w:r>
      <w:r w:rsidR="00D51B87" w:rsidRPr="003215C5">
        <w:t>,</w:t>
      </w:r>
      <w:r w:rsidR="007D06B9" w:rsidRPr="003215C5">
        <w:t xml:space="preserve"> and rights, and may negatively affect the way </w:t>
      </w:r>
      <w:r w:rsidR="00EA4283">
        <w:t>minority group</w:t>
      </w:r>
      <w:r w:rsidR="007D06B9" w:rsidRPr="003215C5">
        <w:t xml:space="preserve"> workers are recruited.</w:t>
      </w:r>
      <w:r w:rsidR="00FD2B10" w:rsidRPr="003215C5">
        <w:rPr>
          <w:rStyle w:val="FootnoteReference"/>
        </w:rPr>
        <w:footnoteReference w:id="46"/>
      </w:r>
    </w:p>
    <w:p w14:paraId="18C5CDF0" w14:textId="18BA1042" w:rsidR="007D06B9" w:rsidRPr="003215C5" w:rsidRDefault="00281BDE" w:rsidP="00286484">
      <w:pPr>
        <w:spacing w:line="360" w:lineRule="auto"/>
        <w:ind w:firstLine="720"/>
        <w:jc w:val="both"/>
      </w:pPr>
      <w:r w:rsidRPr="003215C5">
        <w:lastRenderedPageBreak/>
        <w:t xml:space="preserve">To </w:t>
      </w:r>
      <w:r w:rsidR="007D06B9" w:rsidRPr="003215C5">
        <w:t>conclude, cognitive biases of various kinds may affect the decision-making process</w:t>
      </w:r>
      <w:r w:rsidRPr="003215C5">
        <w:t>,</w:t>
      </w:r>
      <w:r w:rsidR="007D06B9" w:rsidRPr="003215C5">
        <w:t xml:space="preserve"> </w:t>
      </w:r>
      <w:r w:rsidRPr="003215C5">
        <w:t xml:space="preserve">as well as </w:t>
      </w:r>
      <w:r w:rsidR="007D06B9" w:rsidRPr="003215C5">
        <w:t>the opinion</w:t>
      </w:r>
      <w:r w:rsidR="000838CB">
        <w:t>s</w:t>
      </w:r>
      <w:r w:rsidR="007D06B9" w:rsidRPr="003215C5">
        <w:t xml:space="preserve"> </w:t>
      </w:r>
      <w:r w:rsidR="001400B7">
        <w:t xml:space="preserve">formed </w:t>
      </w:r>
      <w:r w:rsidR="000838CB">
        <w:t>about</w:t>
      </w:r>
      <w:r w:rsidR="001400B7">
        <w:t xml:space="preserve"> </w:t>
      </w:r>
      <w:r w:rsidR="007D06B9" w:rsidRPr="003215C5">
        <w:t xml:space="preserve">the candidate. They can lead to errors in </w:t>
      </w:r>
      <w:r w:rsidR="00EA4283" w:rsidRPr="003215C5">
        <w:t>evaluati</w:t>
      </w:r>
      <w:r w:rsidR="00EA4283">
        <w:t>ng</w:t>
      </w:r>
      <w:r w:rsidR="00EA4283" w:rsidRPr="003215C5">
        <w:t xml:space="preserve"> </w:t>
      </w:r>
      <w:r w:rsidR="007D06B9" w:rsidRPr="003215C5">
        <w:t>the candidate and affect professional judgment.</w:t>
      </w:r>
      <w:r w:rsidR="00FD2B10" w:rsidRPr="003215C5">
        <w:rPr>
          <w:rStyle w:val="FootnoteReference"/>
        </w:rPr>
        <w:footnoteReference w:id="47"/>
      </w:r>
      <w:r w:rsidR="007D06B9" w:rsidRPr="003215C5">
        <w:t xml:space="preserve"> </w:t>
      </w:r>
      <w:r w:rsidR="006443BE" w:rsidRPr="003215C5">
        <w:t>Behavioural</w:t>
      </w:r>
      <w:r w:rsidR="007D06B9" w:rsidRPr="003215C5">
        <w:t xml:space="preserve"> studies not only confirm the biases and attitudes of interviewers, but some also </w:t>
      </w:r>
      <w:r w:rsidR="00EA4283">
        <w:t>posit</w:t>
      </w:r>
      <w:r w:rsidR="007D06B9" w:rsidRPr="003215C5">
        <w:t xml:space="preserve"> that the way the majority group perceives the minority population conveys a latent message that this is how the minority group is expected to behave. This effect, called the </w:t>
      </w:r>
      <w:r w:rsidR="00EA4283">
        <w:t>‘</w:t>
      </w:r>
      <w:r w:rsidR="007D06B9" w:rsidRPr="000D37DC">
        <w:t xml:space="preserve">Pygmalion </w:t>
      </w:r>
      <w:r w:rsidR="001400B7" w:rsidRPr="000D37DC">
        <w:t>E</w:t>
      </w:r>
      <w:r w:rsidR="007D06B9" w:rsidRPr="000D37DC">
        <w:t>ffect</w:t>
      </w:r>
      <w:r w:rsidR="00EA4283">
        <w:t>’</w:t>
      </w:r>
      <w:r w:rsidR="007D06B9" w:rsidRPr="003215C5">
        <w:t xml:space="preserve">, reinforces the existing situation in which the recruiter does not expect the minority group to succeed in the selection process </w:t>
      </w:r>
      <w:r w:rsidR="002D42C5">
        <w:t>or</w:t>
      </w:r>
      <w:r w:rsidR="007D06B9" w:rsidRPr="003215C5">
        <w:t xml:space="preserve"> in non-dedicated general tenders, </w:t>
      </w:r>
      <w:r w:rsidR="002D42C5">
        <w:t xml:space="preserve">nor </w:t>
      </w:r>
      <w:r w:rsidR="007D06B9" w:rsidRPr="003215C5">
        <w:t>to improve or advance within the workplace. It is likely</w:t>
      </w:r>
      <w:r w:rsidR="001400B7">
        <w:t xml:space="preserve"> </w:t>
      </w:r>
      <w:r w:rsidR="007D06B9" w:rsidRPr="003215C5">
        <w:t xml:space="preserve">that if we succeed in creating a change of attitude among managers, or the relevant </w:t>
      </w:r>
      <w:r w:rsidRPr="003215C5">
        <w:t xml:space="preserve">players </w:t>
      </w:r>
      <w:r w:rsidR="007D06B9" w:rsidRPr="003215C5">
        <w:t xml:space="preserve">in the recruitment process, we will contribute to a sense of trust in the minority group which will lead to an increase in their level of performance. </w:t>
      </w:r>
      <w:r w:rsidRPr="003215C5">
        <w:t>Thus, f</w:t>
      </w:r>
      <w:r w:rsidR="007D06B9" w:rsidRPr="003215C5">
        <w:t xml:space="preserve">or </w:t>
      </w:r>
      <w:r w:rsidR="002D42C5">
        <w:t>example</w:t>
      </w:r>
      <w:r w:rsidR="007D06B9" w:rsidRPr="003215C5">
        <w:t xml:space="preserve">, a change in the </w:t>
      </w:r>
      <w:r w:rsidRPr="003215C5">
        <w:t xml:space="preserve">perception </w:t>
      </w:r>
      <w:r w:rsidR="00EA4283">
        <w:t>among</w:t>
      </w:r>
      <w:r w:rsidRPr="003215C5">
        <w:t xml:space="preserve"> </w:t>
      </w:r>
      <w:r w:rsidR="007D06B9" w:rsidRPr="003215C5">
        <w:t>candidates that they are competing for a job by right rather than grace</w:t>
      </w:r>
      <w:r w:rsidRPr="003215C5">
        <w:t>,</w:t>
      </w:r>
      <w:r w:rsidR="007D06B9" w:rsidRPr="003215C5">
        <w:t xml:space="preserve"> can </w:t>
      </w:r>
      <w:r w:rsidR="002D42C5">
        <w:t>help effect</w:t>
      </w:r>
      <w:r w:rsidR="007D06B9" w:rsidRPr="003215C5">
        <w:t xml:space="preserve"> change.</w:t>
      </w:r>
      <w:r w:rsidR="00FD2B10" w:rsidRPr="003215C5">
        <w:rPr>
          <w:rStyle w:val="FootnoteReference"/>
        </w:rPr>
        <w:footnoteReference w:id="48"/>
      </w:r>
    </w:p>
    <w:p w14:paraId="77A6FA77" w14:textId="77777777" w:rsidR="004B6223" w:rsidRPr="003215C5" w:rsidRDefault="004B6223" w:rsidP="00286484">
      <w:pPr>
        <w:spacing w:line="360" w:lineRule="auto"/>
        <w:rPr>
          <w:highlight w:val="green"/>
        </w:rPr>
      </w:pPr>
    </w:p>
    <w:p w14:paraId="4563EDDF" w14:textId="4A77F962" w:rsidR="007D06B9" w:rsidRPr="003215C5" w:rsidRDefault="007D06B9" w:rsidP="00286484">
      <w:pPr>
        <w:spacing w:line="360" w:lineRule="auto"/>
        <w:rPr>
          <w:highlight w:val="green"/>
        </w:rPr>
      </w:pPr>
      <w:r w:rsidRPr="003215C5">
        <w:rPr>
          <w:highlight w:val="green"/>
        </w:rPr>
        <w:t>4.3 Biased Appointments</w:t>
      </w:r>
    </w:p>
    <w:p w14:paraId="26265ECA" w14:textId="717D0406" w:rsidR="007D06B9" w:rsidRPr="003215C5" w:rsidRDefault="007D06B9" w:rsidP="00286484">
      <w:pPr>
        <w:spacing w:line="360" w:lineRule="auto"/>
        <w:ind w:firstLine="720"/>
        <w:rPr>
          <w:highlight w:val="green"/>
        </w:rPr>
      </w:pPr>
      <w:r w:rsidRPr="003215C5">
        <w:rPr>
          <w:highlight w:val="green"/>
        </w:rPr>
        <w:t xml:space="preserve">Affirmative action is effective only where tender and </w:t>
      </w:r>
      <w:r w:rsidR="007810EF" w:rsidRPr="003215C5">
        <w:rPr>
          <w:highlight w:val="green"/>
        </w:rPr>
        <w:t>merit</w:t>
      </w:r>
      <w:r w:rsidRPr="003215C5">
        <w:rPr>
          <w:highlight w:val="green"/>
        </w:rPr>
        <w:t xml:space="preserve">ocracy values </w:t>
      </w:r>
      <w:r w:rsidR="002D42C5">
        <w:rPr>
          <w:highlight w:val="green"/>
        </w:rPr>
        <w:t xml:space="preserve">are </w:t>
      </w:r>
      <w:r w:rsidRPr="003215C5">
        <w:rPr>
          <w:highlight w:val="green"/>
        </w:rPr>
        <w:t>followed</w:t>
      </w:r>
      <w:r w:rsidR="002D42C5">
        <w:rPr>
          <w:highlight w:val="green"/>
        </w:rPr>
        <w:t xml:space="preserve"> in combination</w:t>
      </w:r>
      <w:r w:rsidRPr="003215C5">
        <w:rPr>
          <w:highlight w:val="green"/>
        </w:rPr>
        <w:t xml:space="preserve"> with the rules of affirmative action or appropriate representation program. These solutions </w:t>
      </w:r>
      <w:r w:rsidR="002D42C5">
        <w:rPr>
          <w:highlight w:val="green"/>
        </w:rPr>
        <w:t>cannot help in the face of</w:t>
      </w:r>
      <w:r w:rsidRPr="003215C5">
        <w:rPr>
          <w:highlight w:val="green"/>
        </w:rPr>
        <w:t xml:space="preserve"> bias</w:t>
      </w:r>
      <w:r w:rsidR="002D42C5">
        <w:rPr>
          <w:highlight w:val="green"/>
        </w:rPr>
        <w:t>ed</w:t>
      </w:r>
      <w:r w:rsidRPr="003215C5">
        <w:rPr>
          <w:highlight w:val="green"/>
        </w:rPr>
        <w:t xml:space="preserve"> appointment</w:t>
      </w:r>
      <w:r w:rsidR="002D42C5">
        <w:rPr>
          <w:highlight w:val="green"/>
        </w:rPr>
        <w:t>s</w:t>
      </w:r>
      <w:r w:rsidRPr="003215C5">
        <w:rPr>
          <w:highlight w:val="green"/>
        </w:rPr>
        <w:t xml:space="preserve">, </w:t>
      </w:r>
      <w:r w:rsidR="002D42C5">
        <w:rPr>
          <w:highlight w:val="green"/>
        </w:rPr>
        <w:t xml:space="preserve">made </w:t>
      </w:r>
      <w:r w:rsidRPr="003215C5">
        <w:rPr>
          <w:highlight w:val="green"/>
        </w:rPr>
        <w:t>in the absence of a tender or when the overriding consideration is political.</w:t>
      </w:r>
    </w:p>
    <w:p w14:paraId="2242B6A2" w14:textId="3C57383E" w:rsidR="004E586C" w:rsidRPr="003215C5" w:rsidRDefault="006F6DFC" w:rsidP="00286484">
      <w:pPr>
        <w:spacing w:line="360" w:lineRule="auto"/>
        <w:ind w:firstLine="720"/>
        <w:jc w:val="both"/>
      </w:pPr>
      <w:r>
        <w:t>B</w:t>
      </w:r>
      <w:r w:rsidRPr="003215C5">
        <w:t xml:space="preserve">iased </w:t>
      </w:r>
      <w:r>
        <w:t>a</w:t>
      </w:r>
      <w:r w:rsidR="004E586C" w:rsidRPr="003215C5">
        <w:t xml:space="preserve">ppointments </w:t>
      </w:r>
      <w:r>
        <w:t>have many faces</w:t>
      </w:r>
      <w:r w:rsidR="004E586C" w:rsidRPr="003215C5">
        <w:t xml:space="preserve">, but the </w:t>
      </w:r>
      <w:r>
        <w:t xml:space="preserve">aspect </w:t>
      </w:r>
      <w:r w:rsidR="002D42C5">
        <w:t xml:space="preserve">common to </w:t>
      </w:r>
      <w:r w:rsidR="004E586C" w:rsidRPr="003215C5">
        <w:t>them all</w:t>
      </w:r>
      <w:r w:rsidR="00281BDE" w:rsidRPr="003215C5">
        <w:t xml:space="preserve"> </w:t>
      </w:r>
      <w:r w:rsidR="004E586C" w:rsidRPr="003215C5">
        <w:t>is</w:t>
      </w:r>
      <w:r>
        <w:t xml:space="preserve"> </w:t>
      </w:r>
      <w:r w:rsidR="004E586C" w:rsidRPr="003215C5">
        <w:t xml:space="preserve">that </w:t>
      </w:r>
      <w:r w:rsidR="00281BDE" w:rsidRPr="003215C5">
        <w:t xml:space="preserve">it is </w:t>
      </w:r>
      <w:r w:rsidR="004E586C" w:rsidRPr="003215C5">
        <w:t xml:space="preserve">not the most suitable person </w:t>
      </w:r>
      <w:r w:rsidR="00281BDE" w:rsidRPr="003215C5">
        <w:t xml:space="preserve">who </w:t>
      </w:r>
      <w:r>
        <w:t xml:space="preserve">gets </w:t>
      </w:r>
      <w:r w:rsidR="004E586C" w:rsidRPr="003215C5">
        <w:t xml:space="preserve">the </w:t>
      </w:r>
      <w:r>
        <w:t>job</w:t>
      </w:r>
      <w:r w:rsidR="004E586C" w:rsidRPr="003215C5">
        <w:t xml:space="preserve">. </w:t>
      </w:r>
      <w:r w:rsidR="00281BDE" w:rsidRPr="003215C5">
        <w:t>A</w:t>
      </w:r>
      <w:r w:rsidR="004E586C" w:rsidRPr="003215C5">
        <w:t>udit</w:t>
      </w:r>
      <w:r>
        <w:t>s</w:t>
      </w:r>
      <w:r w:rsidR="004E586C" w:rsidRPr="003215C5">
        <w:t xml:space="preserve"> </w:t>
      </w:r>
      <w:r w:rsidR="00281BDE" w:rsidRPr="003215C5">
        <w:t>flag</w:t>
      </w:r>
      <w:r>
        <w:t xml:space="preserve"> </w:t>
      </w:r>
      <w:r w:rsidR="004E586C" w:rsidRPr="003215C5">
        <w:t xml:space="preserve">situations in which </w:t>
      </w:r>
      <w:r w:rsidR="00BB3817" w:rsidRPr="003215C5">
        <w:t>functionaries’</w:t>
      </w:r>
      <w:r w:rsidR="004E586C" w:rsidRPr="003215C5">
        <w:t xml:space="preserve"> skills do not meet the requirements of the position </w:t>
      </w:r>
      <w:r w:rsidR="00281BDE" w:rsidRPr="003215C5">
        <w:t xml:space="preserve">in terms of </w:t>
      </w:r>
      <w:r w:rsidR="004E586C" w:rsidRPr="003215C5">
        <w:t xml:space="preserve">education, experience or other required </w:t>
      </w:r>
      <w:r>
        <w:t>characteristics</w:t>
      </w:r>
      <w:r w:rsidR="004E586C" w:rsidRPr="003215C5">
        <w:t>. One of the results of biased appointments is the undermining of a sense of security and stability among all employees</w:t>
      </w:r>
      <w:r w:rsidR="00281BDE" w:rsidRPr="003215C5">
        <w:t>,</w:t>
      </w:r>
      <w:r w:rsidR="004E586C" w:rsidRPr="003215C5">
        <w:t xml:space="preserve"> </w:t>
      </w:r>
      <w:r>
        <w:t xml:space="preserve">as well as </w:t>
      </w:r>
      <w:r w:rsidR="004E586C" w:rsidRPr="003215C5">
        <w:t xml:space="preserve">damage to the </w:t>
      </w:r>
      <w:r w:rsidR="00281BDE" w:rsidRPr="003215C5">
        <w:t xml:space="preserve">workplace’s </w:t>
      </w:r>
      <w:r w:rsidR="004E586C" w:rsidRPr="003215C5">
        <w:t>image</w:t>
      </w:r>
      <w:r w:rsidR="002D42C5">
        <w:t>. W</w:t>
      </w:r>
      <w:r w:rsidR="00281BDE" w:rsidRPr="003215C5">
        <w:t xml:space="preserve">ithin </w:t>
      </w:r>
      <w:r w:rsidR="004E586C" w:rsidRPr="003215C5">
        <w:t xml:space="preserve">the context of the civil service, </w:t>
      </w:r>
      <w:r w:rsidR="00AA08B6" w:rsidRPr="003215C5">
        <w:t xml:space="preserve">biased appointments </w:t>
      </w:r>
      <w:r w:rsidR="00AA08B6">
        <w:t>undermine</w:t>
      </w:r>
      <w:r w:rsidR="00281BDE" w:rsidRPr="003215C5">
        <w:t xml:space="preserve"> </w:t>
      </w:r>
      <w:r w:rsidR="002D42C5">
        <w:t xml:space="preserve">any claim to </w:t>
      </w:r>
      <w:r>
        <w:t xml:space="preserve">moral purity </w:t>
      </w:r>
      <w:r w:rsidR="00AA08B6">
        <w:t>or to</w:t>
      </w:r>
      <w:r w:rsidR="00281BDE" w:rsidRPr="003215C5">
        <w:t xml:space="preserve"> </w:t>
      </w:r>
      <w:r>
        <w:t xml:space="preserve">proper </w:t>
      </w:r>
      <w:r w:rsidR="004E586C" w:rsidRPr="003215C5">
        <w:t xml:space="preserve">public administration. </w:t>
      </w:r>
      <w:r w:rsidR="002D42C5">
        <w:t>T</w:t>
      </w:r>
      <w:r w:rsidR="004E586C" w:rsidRPr="003215C5">
        <w:t xml:space="preserve">he term </w:t>
      </w:r>
      <w:r w:rsidR="002D42C5">
        <w:t>‘</w:t>
      </w:r>
      <w:r w:rsidR="004E586C" w:rsidRPr="003215C5">
        <w:t>biased appointment</w:t>
      </w:r>
      <w:r w:rsidR="002D42C5">
        <w:t>’</w:t>
      </w:r>
      <w:r w:rsidR="004E586C" w:rsidRPr="003215C5">
        <w:t xml:space="preserve"> </w:t>
      </w:r>
      <w:r w:rsidR="002D42C5">
        <w:t>ref</w:t>
      </w:r>
      <w:r w:rsidR="00E85172">
        <w:t>ers</w:t>
      </w:r>
      <w:r w:rsidR="002D42C5">
        <w:t xml:space="preserve"> to</w:t>
      </w:r>
      <w:r w:rsidR="004E586C" w:rsidRPr="003215C5">
        <w:t xml:space="preserve"> several different types of biased appointments, ranging from appointments </w:t>
      </w:r>
      <w:r w:rsidR="00281BDE" w:rsidRPr="003215C5">
        <w:t xml:space="preserve">by </w:t>
      </w:r>
      <w:r w:rsidR="004E586C" w:rsidRPr="003215C5">
        <w:t xml:space="preserve">party affiliation, appointments based on </w:t>
      </w:r>
      <w:r>
        <w:t xml:space="preserve">a </w:t>
      </w:r>
      <w:r w:rsidR="004E586C" w:rsidRPr="003215C5">
        <w:t>personal interest</w:t>
      </w:r>
      <w:r w:rsidR="00281BDE" w:rsidRPr="003215C5">
        <w:t>,</w:t>
      </w:r>
      <w:r w:rsidR="004E586C" w:rsidRPr="003215C5">
        <w:t xml:space="preserve"> and more. </w:t>
      </w:r>
      <w:r w:rsidR="008E74EF" w:rsidRPr="003215C5">
        <w:t>B</w:t>
      </w:r>
      <w:r w:rsidR="004E586C" w:rsidRPr="003215C5">
        <w:t>iased appointment</w:t>
      </w:r>
      <w:r w:rsidR="008E74EF" w:rsidRPr="003215C5">
        <w:t>s</w:t>
      </w:r>
      <w:r w:rsidR="004E586C" w:rsidRPr="003215C5">
        <w:t xml:space="preserve"> </w:t>
      </w:r>
      <w:r w:rsidR="00BB3817" w:rsidRPr="003215C5">
        <w:t>are</w:t>
      </w:r>
      <w:r w:rsidR="004E586C" w:rsidRPr="003215C5">
        <w:t xml:space="preserve"> an inclusive </w:t>
      </w:r>
      <w:r w:rsidR="008E74EF" w:rsidRPr="003215C5">
        <w:t xml:space="preserve">term </w:t>
      </w:r>
      <w:r w:rsidR="004E586C" w:rsidRPr="003215C5">
        <w:t>for the plague of improper</w:t>
      </w:r>
      <w:r w:rsidRPr="006F6DFC">
        <w:t xml:space="preserve"> </w:t>
      </w:r>
      <w:r w:rsidRPr="003215C5">
        <w:t>appointments</w:t>
      </w:r>
      <w:r w:rsidR="004E586C" w:rsidRPr="003215C5">
        <w:t>, bad appointments</w:t>
      </w:r>
      <w:r w:rsidR="008E74EF" w:rsidRPr="003215C5">
        <w:t>,</w:t>
      </w:r>
      <w:r w:rsidR="004E586C" w:rsidRPr="003215C5">
        <w:t xml:space="preserve"> </w:t>
      </w:r>
      <w:r w:rsidR="002D42C5">
        <w:t>and those tainted</w:t>
      </w:r>
      <w:r>
        <w:t xml:space="preserve"> </w:t>
      </w:r>
      <w:r w:rsidR="008E74EF" w:rsidRPr="003215C5">
        <w:t xml:space="preserve">by </w:t>
      </w:r>
      <w:r w:rsidR="004E586C" w:rsidRPr="003215C5">
        <w:t>corruption</w:t>
      </w:r>
      <w:r w:rsidR="008E74EF" w:rsidRPr="003215C5">
        <w:t>,</w:t>
      </w:r>
      <w:r w:rsidR="004E586C" w:rsidRPr="003215C5">
        <w:t xml:space="preserve"> and not necessarily appointment</w:t>
      </w:r>
      <w:r w:rsidR="00E85172">
        <w:t>s</w:t>
      </w:r>
      <w:r w:rsidR="004E586C" w:rsidRPr="003215C5">
        <w:t xml:space="preserve"> </w:t>
      </w:r>
      <w:r>
        <w:t xml:space="preserve">by </w:t>
      </w:r>
      <w:r w:rsidR="004E586C" w:rsidRPr="003215C5">
        <w:t>a politician</w:t>
      </w:r>
      <w:r w:rsidR="00E85172">
        <w:t>. I</w:t>
      </w:r>
      <w:r w:rsidR="004E586C" w:rsidRPr="003215C5">
        <w:t xml:space="preserve">n the absence of a clear definition of what </w:t>
      </w:r>
      <w:r w:rsidR="004E586C" w:rsidRPr="003215C5">
        <w:lastRenderedPageBreak/>
        <w:t>a biased appointment is, there can be no authoritative knowledge of the extent, severity</w:t>
      </w:r>
      <w:r w:rsidR="008E74EF" w:rsidRPr="003215C5">
        <w:t>,</w:t>
      </w:r>
      <w:r w:rsidR="004E586C" w:rsidRPr="003215C5">
        <w:t xml:space="preserve"> and harm of the phenomenon.</w:t>
      </w:r>
    </w:p>
    <w:p w14:paraId="74652596" w14:textId="5CF7B717" w:rsidR="004E586C" w:rsidRPr="003215C5" w:rsidRDefault="004E586C" w:rsidP="00286484">
      <w:pPr>
        <w:spacing w:line="360" w:lineRule="auto"/>
        <w:ind w:firstLine="720"/>
        <w:jc w:val="both"/>
      </w:pPr>
      <w:r w:rsidRPr="003215C5">
        <w:t xml:space="preserve">John Stuart Mill saw the proposal to select candidates for the civil service </w:t>
      </w:r>
      <w:r w:rsidR="006F6DFC">
        <w:t>by</w:t>
      </w:r>
      <w:r w:rsidRPr="003215C5">
        <w:t xml:space="preserve"> a competitive test as one of those improvements in public life whose adoption would create a</w:t>
      </w:r>
      <w:r w:rsidR="00E85172">
        <w:t xml:space="preserve"> </w:t>
      </w:r>
      <w:r w:rsidRPr="003215C5">
        <w:t>n</w:t>
      </w:r>
      <w:r w:rsidR="00E85172">
        <w:t>ew</w:t>
      </w:r>
      <w:r w:rsidRPr="003215C5">
        <w:t xml:space="preserve"> era in history, </w:t>
      </w:r>
      <w:r w:rsidR="00E85172">
        <w:t>in which</w:t>
      </w:r>
      <w:r w:rsidR="008E74EF" w:rsidRPr="003215C5">
        <w:t xml:space="preserve"> </w:t>
      </w:r>
      <w:r w:rsidRPr="003215C5">
        <w:t>public affairs</w:t>
      </w:r>
      <w:r w:rsidR="00E85172">
        <w:t xml:space="preserve"> would be entrusted to</w:t>
      </w:r>
      <w:r w:rsidRPr="003215C5">
        <w:t xml:space="preserve"> the most talented hands. According to him, </w:t>
      </w:r>
      <w:r w:rsidR="00E85172">
        <w:t>those holding</w:t>
      </w:r>
      <w:r w:rsidRPr="003215C5">
        <w:t xml:space="preserve"> the opposite view that the world was not created only for the talented</w:t>
      </w:r>
      <w:r w:rsidR="008E74EF" w:rsidRPr="003215C5">
        <w:t>,</w:t>
      </w:r>
      <w:r w:rsidRPr="003215C5">
        <w:t xml:space="preserve"> and that mediocrity must have a part in it, </w:t>
      </w:r>
      <w:r w:rsidR="00E85172">
        <w:t>are, of course,</w:t>
      </w:r>
      <w:r w:rsidRPr="003215C5">
        <w:t xml:space="preserve"> right, but not </w:t>
      </w:r>
      <w:r w:rsidR="00E85172">
        <w:t xml:space="preserve">in the case of </w:t>
      </w:r>
      <w:r w:rsidRPr="003215C5">
        <w:t>the management of state affairs.</w:t>
      </w:r>
      <w:r w:rsidR="00FD2B10" w:rsidRPr="003215C5">
        <w:rPr>
          <w:rStyle w:val="FootnoteReference"/>
        </w:rPr>
        <w:footnoteReference w:id="49"/>
      </w:r>
      <w:r w:rsidRPr="003215C5">
        <w:t xml:space="preserve"> In the political context, </w:t>
      </w:r>
      <w:r w:rsidR="00AA08B6">
        <w:t xml:space="preserve">Woodrow </w:t>
      </w:r>
      <w:proofErr w:type="spellStart"/>
      <w:r w:rsidR="00AA08B6">
        <w:t>w</w:t>
      </w:r>
      <w:r w:rsidRPr="003215C5">
        <w:t>Wilson</w:t>
      </w:r>
      <w:proofErr w:type="spellEnd"/>
      <w:r w:rsidRPr="003215C5">
        <w:t xml:space="preserve"> called for a separation between politics and public service.</w:t>
      </w:r>
      <w:r w:rsidR="00FD2B10" w:rsidRPr="003215C5">
        <w:rPr>
          <w:rStyle w:val="FootnoteReference"/>
        </w:rPr>
        <w:footnoteReference w:id="50"/>
      </w:r>
      <w:r w:rsidRPr="003215C5">
        <w:t xml:space="preserve"> The distinction not only limit</w:t>
      </w:r>
      <w:r w:rsidR="00E85172">
        <w:t>s</w:t>
      </w:r>
      <w:r w:rsidRPr="003215C5">
        <w:t xml:space="preserve"> the administration to its </w:t>
      </w:r>
      <w:r w:rsidR="00E85172">
        <w:t xml:space="preserve">designated </w:t>
      </w:r>
      <w:r w:rsidR="008E74EF" w:rsidRPr="003215C5">
        <w:t xml:space="preserve">field, </w:t>
      </w:r>
      <w:r w:rsidRPr="003215C5">
        <w:t xml:space="preserve">but allows it to </w:t>
      </w:r>
      <w:r w:rsidR="006443BE" w:rsidRPr="003215C5">
        <w:t>fulfil</w:t>
      </w:r>
      <w:r w:rsidRPr="003215C5">
        <w:t xml:space="preserve"> its goals without political intervention, </w:t>
      </w:r>
      <w:r w:rsidR="00E85172">
        <w:t>which can involve</w:t>
      </w:r>
      <w:r w:rsidRPr="003215C5">
        <w:t xml:space="preserve"> dividing public posts according to party affiliation (</w:t>
      </w:r>
      <w:r w:rsidR="008D411F">
        <w:t>s</w:t>
      </w:r>
      <w:r w:rsidRPr="003215C5">
        <w:t xml:space="preserve">poils </w:t>
      </w:r>
      <w:r w:rsidR="008D411F">
        <w:t>s</w:t>
      </w:r>
      <w:r w:rsidRPr="003215C5">
        <w:t xml:space="preserve">ystem) and frequent intervention </w:t>
      </w:r>
      <w:r w:rsidR="008E74EF" w:rsidRPr="003215C5">
        <w:t xml:space="preserve">by </w:t>
      </w:r>
      <w:r w:rsidRPr="003215C5">
        <w:t xml:space="preserve">politicians </w:t>
      </w:r>
      <w:r w:rsidR="008E74EF" w:rsidRPr="003215C5">
        <w:t xml:space="preserve">in </w:t>
      </w:r>
      <w:r w:rsidRPr="003215C5">
        <w:t xml:space="preserve">the </w:t>
      </w:r>
      <w:r w:rsidR="00E85172">
        <w:t>decisions</w:t>
      </w:r>
      <w:r w:rsidRPr="003215C5">
        <w:t xml:space="preserve"> of administrators. </w:t>
      </w:r>
      <w:r w:rsidR="00E85172" w:rsidRPr="003215C5">
        <w:t>Dugan</w:t>
      </w:r>
      <w:r w:rsidR="00E85172">
        <w:t>’s later</w:t>
      </w:r>
      <w:r w:rsidRPr="003215C5">
        <w:t xml:space="preserve"> </w:t>
      </w:r>
      <w:r w:rsidR="00CA3549">
        <w:t>analysis</w:t>
      </w:r>
      <w:r w:rsidRPr="003215C5">
        <w:t xml:space="preserve"> of Wilson</w:t>
      </w:r>
      <w:r w:rsidR="008578D4" w:rsidRPr="003215C5">
        <w:t>’</w:t>
      </w:r>
      <w:r w:rsidRPr="003215C5">
        <w:t xml:space="preserve">s approach found that </w:t>
      </w:r>
      <w:r w:rsidR="00E85172" w:rsidRPr="003215C5">
        <w:t>th</w:t>
      </w:r>
      <w:r w:rsidR="00E85172">
        <w:t xml:space="preserve">ere </w:t>
      </w:r>
      <w:r w:rsidR="00CA3549">
        <w:t xml:space="preserve">actually </w:t>
      </w:r>
      <w:r w:rsidR="00E85172">
        <w:t>is no</w:t>
      </w:r>
      <w:r w:rsidR="00E85172" w:rsidRPr="003215C5">
        <w:t xml:space="preserve"> separation of the two functions, the political and the administrative, </w:t>
      </w:r>
      <w:r w:rsidR="00E85172">
        <w:t xml:space="preserve">in </w:t>
      </w:r>
      <w:r w:rsidR="006F6DFC">
        <w:t xml:space="preserve">the civil </w:t>
      </w:r>
      <w:r w:rsidRPr="003215C5">
        <w:t xml:space="preserve">service in Western European </w:t>
      </w:r>
      <w:r w:rsidR="006F6DFC">
        <w:t>nations</w:t>
      </w:r>
      <w:r w:rsidR="00CA3549">
        <w:t>; furthermore,</w:t>
      </w:r>
      <w:r w:rsidR="00E85172">
        <w:t xml:space="preserve"> these functions actually merge</w:t>
      </w:r>
      <w:r w:rsidRPr="003215C5">
        <w:t xml:space="preserve"> at the top of the hierarchy in almost every country.</w:t>
      </w:r>
      <w:r w:rsidR="00FD2B10" w:rsidRPr="003215C5">
        <w:rPr>
          <w:rStyle w:val="FootnoteReference"/>
        </w:rPr>
        <w:footnoteReference w:id="51"/>
      </w:r>
      <w:r w:rsidRPr="003215C5">
        <w:t xml:space="preserve"> Others have also argued that the distinction between the two functions cannot be </w:t>
      </w:r>
      <w:r w:rsidR="008E74EF" w:rsidRPr="003215C5">
        <w:t xml:space="preserve">sharply </w:t>
      </w:r>
      <w:r w:rsidRPr="003215C5">
        <w:t>maintained,</w:t>
      </w:r>
      <w:r w:rsidR="00FD2B10" w:rsidRPr="003215C5">
        <w:rPr>
          <w:rStyle w:val="FootnoteReference"/>
        </w:rPr>
        <w:footnoteReference w:id="52"/>
      </w:r>
      <w:r w:rsidRPr="003215C5">
        <w:t xml:space="preserve"> and that </w:t>
      </w:r>
      <w:r w:rsidR="00E85172" w:rsidRPr="003215C5">
        <w:t xml:space="preserve">the distinction is dangerous </w:t>
      </w:r>
      <w:r w:rsidR="00E85172">
        <w:t xml:space="preserve">even </w:t>
      </w:r>
      <w:r w:rsidRPr="003215C5">
        <w:t>from a moral point of view.</w:t>
      </w:r>
      <w:r w:rsidR="00FD2B10" w:rsidRPr="003215C5">
        <w:rPr>
          <w:rStyle w:val="FootnoteReference"/>
        </w:rPr>
        <w:footnoteReference w:id="53"/>
      </w:r>
    </w:p>
    <w:p w14:paraId="6585E18C" w14:textId="722360FB" w:rsidR="004E586C" w:rsidRPr="003215C5" w:rsidRDefault="00CA3549" w:rsidP="00286484">
      <w:pPr>
        <w:spacing w:line="360" w:lineRule="auto"/>
        <w:ind w:firstLine="720"/>
        <w:jc w:val="both"/>
      </w:pPr>
      <w:r>
        <w:t>Related to the issue of</w:t>
      </w:r>
      <w:r w:rsidR="006F6DFC">
        <w:t xml:space="preserve"> </w:t>
      </w:r>
      <w:r w:rsidR="004E586C" w:rsidRPr="003215C5">
        <w:t>biased appointment</w:t>
      </w:r>
      <w:r w:rsidR="006F6DFC">
        <w:t>s</w:t>
      </w:r>
      <w:r w:rsidR="004E586C" w:rsidRPr="003215C5">
        <w:t xml:space="preserve"> </w:t>
      </w:r>
      <w:r w:rsidR="006F6DFC" w:rsidRPr="003215C5">
        <w:t>in the civil service</w:t>
      </w:r>
      <w:r w:rsidR="006F6DFC">
        <w:t xml:space="preserve"> for </w:t>
      </w:r>
      <w:r w:rsidR="004E586C" w:rsidRPr="003215C5">
        <w:t xml:space="preserve">political reasons, the debate over the division of </w:t>
      </w:r>
      <w:r w:rsidR="006443BE" w:rsidRPr="003215C5">
        <w:t>labour</w:t>
      </w:r>
      <w:r w:rsidR="004E586C" w:rsidRPr="003215C5">
        <w:t xml:space="preserve"> between the political and administrative echelons </w:t>
      </w:r>
      <w:r>
        <w:t xml:space="preserve">has </w:t>
      </w:r>
      <w:r w:rsidR="004E586C" w:rsidRPr="003215C5">
        <w:t>continued</w:t>
      </w:r>
      <w:r w:rsidR="008E74EF" w:rsidRPr="003215C5">
        <w:t>,</w:t>
      </w:r>
      <w:r w:rsidR="004E586C" w:rsidRPr="003215C5">
        <w:t xml:space="preserve"> and still preoccupies states, with each state finding </w:t>
      </w:r>
      <w:r w:rsidR="006F6DFC">
        <w:t xml:space="preserve">its own </w:t>
      </w:r>
      <w:r w:rsidR="004E586C" w:rsidRPr="003215C5">
        <w:t xml:space="preserve">path between the principle of </w:t>
      </w:r>
      <w:r w:rsidR="008E74EF" w:rsidRPr="003215C5">
        <w:t xml:space="preserve">national interest </w:t>
      </w:r>
      <w:r w:rsidR="004E586C" w:rsidRPr="003215C5">
        <w:t>and the principle of partisanship. In all Western democracies</w:t>
      </w:r>
      <w:r>
        <w:t>,</w:t>
      </w:r>
      <w:r w:rsidR="004E586C" w:rsidRPr="003215C5">
        <w:t xml:space="preserve"> there is an attempt to simultaneously </w:t>
      </w:r>
      <w:r>
        <w:t>embrace</w:t>
      </w:r>
      <w:r w:rsidR="004E586C" w:rsidRPr="003215C5">
        <w:t xml:space="preserve"> these two ideas</w:t>
      </w:r>
      <w:r>
        <w:t xml:space="preserve"> of</w:t>
      </w:r>
      <w:r w:rsidR="004E586C" w:rsidRPr="003215C5">
        <w:t xml:space="preserve"> professionalism and independence on the one hand, and the superiority of the political echelon as an expression of partisanship on the other. The myth of the political neutrality of the professional staff continues to exist because it </w:t>
      </w:r>
      <w:r w:rsidR="008E74EF" w:rsidRPr="003215C5">
        <w:t>i</w:t>
      </w:r>
      <w:r w:rsidR="004E586C" w:rsidRPr="003215C5">
        <w:t xml:space="preserve">s </w:t>
      </w:r>
      <w:r w:rsidR="008E74EF" w:rsidRPr="003215C5">
        <w:t xml:space="preserve">necessary </w:t>
      </w:r>
      <w:r w:rsidR="004E586C" w:rsidRPr="003215C5">
        <w:t>to reconcile the contradiction</w:t>
      </w:r>
      <w:r>
        <w:t>. That is,</w:t>
      </w:r>
      <w:r w:rsidR="004E586C" w:rsidRPr="003215C5">
        <w:t xml:space="preserve"> if one can clearly distinguish between politics and public administration, one can also adhere to</w:t>
      </w:r>
      <w:r w:rsidR="008E74EF" w:rsidRPr="003215C5">
        <w:t>,</w:t>
      </w:r>
      <w:r w:rsidR="004E586C" w:rsidRPr="003215C5">
        <w:t xml:space="preserve"> and separate</w:t>
      </w:r>
      <w:r w:rsidR="008E74EF" w:rsidRPr="003215C5">
        <w:t>,</w:t>
      </w:r>
      <w:r w:rsidR="004E586C" w:rsidRPr="003215C5">
        <w:t xml:space="preserve"> professionalism and independence along with the supremacy of politics </w:t>
      </w:r>
      <w:r>
        <w:t xml:space="preserve">with regard </w:t>
      </w:r>
      <w:r w:rsidR="004E586C" w:rsidRPr="003215C5">
        <w:t xml:space="preserve">to policy making. In </w:t>
      </w:r>
      <w:r w:rsidR="004E586C" w:rsidRPr="003215C5">
        <w:lastRenderedPageBreak/>
        <w:t xml:space="preserve">the American model, for example, biased appointments are possible, mainly </w:t>
      </w:r>
      <w:r w:rsidR="009262DC">
        <w:t>for</w:t>
      </w:r>
      <w:r w:rsidR="006F6DFC">
        <w:t xml:space="preserve"> purely</w:t>
      </w:r>
      <w:r w:rsidR="004E586C" w:rsidRPr="003215C5">
        <w:t xml:space="preserve"> political reason</w:t>
      </w:r>
      <w:r>
        <w:t>s</w:t>
      </w:r>
      <w:r w:rsidR="009262DC">
        <w:t xml:space="preserve">, as it </w:t>
      </w:r>
      <w:r w:rsidR="004E586C" w:rsidRPr="003215C5">
        <w:t xml:space="preserve">is </w:t>
      </w:r>
      <w:r w:rsidR="008E74EF" w:rsidRPr="003215C5">
        <w:t xml:space="preserve">believed </w:t>
      </w:r>
      <w:r w:rsidR="004E586C" w:rsidRPr="003215C5">
        <w:t>that</w:t>
      </w:r>
      <w:r w:rsidR="009262DC">
        <w:t xml:space="preserve"> these</w:t>
      </w:r>
      <w:r w:rsidR="004E586C" w:rsidRPr="003215C5">
        <w:t xml:space="preserve"> employees </w:t>
      </w:r>
      <w:r w:rsidR="008E74EF" w:rsidRPr="003215C5">
        <w:t xml:space="preserve">must </w:t>
      </w:r>
      <w:r w:rsidR="004E586C" w:rsidRPr="003215C5">
        <w:t>share the same political will</w:t>
      </w:r>
      <w:r w:rsidR="009262DC">
        <w:t xml:space="preserve"> as the politicians in power. Thus, in the United States,</w:t>
      </w:r>
      <w:r w:rsidR="004E586C" w:rsidRPr="003215C5">
        <w:t xml:space="preserve"> political appointment</w:t>
      </w:r>
      <w:r w:rsidR="006F6DFC">
        <w:t>s</w:t>
      </w:r>
      <w:r w:rsidR="004E586C" w:rsidRPr="003215C5">
        <w:t xml:space="preserve"> </w:t>
      </w:r>
      <w:r w:rsidR="006F6DFC">
        <w:t xml:space="preserve">which are </w:t>
      </w:r>
      <w:r w:rsidR="004E586C" w:rsidRPr="003215C5">
        <w:t xml:space="preserve">provided as a benefit </w:t>
      </w:r>
      <w:r w:rsidR="006F6DFC">
        <w:t xml:space="preserve">are </w:t>
      </w:r>
      <w:r w:rsidR="004E586C" w:rsidRPr="003215C5">
        <w:t>prohibited</w:t>
      </w:r>
      <w:r w:rsidR="00075841" w:rsidRPr="003215C5">
        <w:t xml:space="preserve">, </w:t>
      </w:r>
      <w:r w:rsidR="009262DC" w:rsidRPr="003215C5">
        <w:t xml:space="preserve">even if completely professional, </w:t>
      </w:r>
      <w:r w:rsidR="00075841" w:rsidRPr="003215C5">
        <w:t xml:space="preserve">with the exception of positions </w:t>
      </w:r>
      <w:r w:rsidR="00AA08B6">
        <w:t>dealing</w:t>
      </w:r>
      <w:r w:rsidR="00075841" w:rsidRPr="003215C5">
        <w:t xml:space="preserve"> with policy formation</w:t>
      </w:r>
      <w:r w:rsidR="004E586C" w:rsidRPr="003215C5">
        <w:t>.</w:t>
      </w:r>
      <w:r w:rsidR="00FD2B10" w:rsidRPr="003215C5">
        <w:rPr>
          <w:rStyle w:val="FootnoteReference"/>
        </w:rPr>
        <w:footnoteReference w:id="54"/>
      </w:r>
      <w:r w:rsidR="004E586C" w:rsidRPr="003215C5">
        <w:t xml:space="preserve"> In this way, the American model maintains, in my opinion, a </w:t>
      </w:r>
      <w:r w:rsidR="00075841" w:rsidRPr="003215C5">
        <w:t xml:space="preserve">good balance between a </w:t>
      </w:r>
      <w:r w:rsidR="004E586C" w:rsidRPr="003215C5">
        <w:t xml:space="preserve">relatively small percentage of biased appointments, </w:t>
      </w:r>
      <w:r w:rsidR="009262DC">
        <w:t>affecting</w:t>
      </w:r>
      <w:r w:rsidR="00075841" w:rsidRPr="003215C5">
        <w:t xml:space="preserve"> some </w:t>
      </w:r>
      <w:r w:rsidR="004E586C" w:rsidRPr="003215C5">
        <w:t xml:space="preserve">senior and </w:t>
      </w:r>
      <w:r w:rsidR="00075841" w:rsidRPr="003215C5">
        <w:t xml:space="preserve">pre-defined </w:t>
      </w:r>
      <w:r w:rsidR="004E586C" w:rsidRPr="003215C5">
        <w:t xml:space="preserve">positions, while the </w:t>
      </w:r>
      <w:r w:rsidR="006F6DFC" w:rsidRPr="003215C5">
        <w:t xml:space="preserve">civil service </w:t>
      </w:r>
      <w:r w:rsidR="004E586C" w:rsidRPr="003215C5">
        <w:t xml:space="preserve">appointment process is conducted according to a </w:t>
      </w:r>
      <w:r w:rsidR="007810EF" w:rsidRPr="003215C5">
        <w:t>merit</w:t>
      </w:r>
      <w:r w:rsidR="004E586C" w:rsidRPr="003215C5">
        <w:t>ocratic model of eligibility.</w:t>
      </w:r>
      <w:r w:rsidR="00FD2B10" w:rsidRPr="003215C5">
        <w:rPr>
          <w:rStyle w:val="FootnoteReference"/>
        </w:rPr>
        <w:footnoteReference w:id="55"/>
      </w:r>
    </w:p>
    <w:p w14:paraId="6BA2497A" w14:textId="3F6A7686" w:rsidR="004E586C" w:rsidRPr="003215C5" w:rsidRDefault="004E586C" w:rsidP="00286484">
      <w:pPr>
        <w:spacing w:line="360" w:lineRule="auto"/>
        <w:ind w:firstLine="720"/>
        <w:jc w:val="both"/>
      </w:pPr>
      <w:r w:rsidRPr="003215C5">
        <w:t xml:space="preserve">A biased appointment can be any appointment that is based on </w:t>
      </w:r>
      <w:r w:rsidR="00075841" w:rsidRPr="003215C5">
        <w:t xml:space="preserve">considerations </w:t>
      </w:r>
      <w:r w:rsidRPr="003215C5">
        <w:t>ext</w:t>
      </w:r>
      <w:r w:rsidR="00075841" w:rsidRPr="003215C5">
        <w:t>raneous</w:t>
      </w:r>
      <w:r w:rsidRPr="003215C5">
        <w:t xml:space="preserve"> to the </w:t>
      </w:r>
      <w:r w:rsidR="007810EF" w:rsidRPr="003215C5">
        <w:t>merit</w:t>
      </w:r>
      <w:r w:rsidRPr="003215C5">
        <w:t xml:space="preserve">ocratic appointment process </w:t>
      </w:r>
      <w:r w:rsidR="00AA08B6">
        <w:t xml:space="preserve">which is </w:t>
      </w:r>
      <w:r w:rsidRPr="003215C5">
        <w:t xml:space="preserve">based on </w:t>
      </w:r>
      <w:r w:rsidR="00151C73">
        <w:t>attributes</w:t>
      </w:r>
      <w:r w:rsidRPr="003215C5">
        <w:t xml:space="preserve"> and skill. A biased appointment does not </w:t>
      </w:r>
      <w:r w:rsidR="00AA08B6">
        <w:t>automatically mean</w:t>
      </w:r>
      <w:r w:rsidRPr="003215C5">
        <w:t xml:space="preserve"> that the appointment is corrupt</w:t>
      </w:r>
      <w:r w:rsidR="00151C73">
        <w:t xml:space="preserve"> or </w:t>
      </w:r>
      <w:r w:rsidR="00075841" w:rsidRPr="003215C5">
        <w:t xml:space="preserve">bad </w:t>
      </w:r>
      <w:r w:rsidRPr="003215C5">
        <w:t xml:space="preserve">for the public service. Sometimes </w:t>
      </w:r>
      <w:r w:rsidR="00151C73">
        <w:t xml:space="preserve">a </w:t>
      </w:r>
      <w:r w:rsidRPr="003215C5">
        <w:t xml:space="preserve">biased appointment will actually help promote </w:t>
      </w:r>
      <w:r w:rsidR="00075841" w:rsidRPr="003215C5">
        <w:t xml:space="preserve">a </w:t>
      </w:r>
      <w:r w:rsidRPr="003215C5">
        <w:t>public administrator</w:t>
      </w:r>
      <w:r w:rsidR="00075841" w:rsidRPr="003215C5">
        <w:t>’s</w:t>
      </w:r>
      <w:r w:rsidRPr="003215C5">
        <w:t xml:space="preserve"> programs.</w:t>
      </w:r>
      <w:r w:rsidR="00FD2B10" w:rsidRPr="003215C5">
        <w:rPr>
          <w:rStyle w:val="FootnoteReference"/>
        </w:rPr>
        <w:footnoteReference w:id="56"/>
      </w:r>
      <w:r w:rsidRPr="003215C5">
        <w:t xml:space="preserve"> Proponents of </w:t>
      </w:r>
      <w:r w:rsidR="00095AFD">
        <w:t>these biased appointments</w:t>
      </w:r>
      <w:r w:rsidRPr="003215C5">
        <w:t xml:space="preserve"> do not necessarily present a political ideological argument, but</w:t>
      </w:r>
      <w:r w:rsidR="00AA08B6">
        <w:t>, instead,</w:t>
      </w:r>
      <w:r w:rsidRPr="003215C5">
        <w:t xml:space="preserve"> criticize the </w:t>
      </w:r>
      <w:r w:rsidR="007810EF" w:rsidRPr="003215C5">
        <w:t>merit</w:t>
      </w:r>
      <w:r w:rsidRPr="003215C5">
        <w:t>ocratic model, arguing that there are no perfect</w:t>
      </w:r>
      <w:r w:rsidR="00075841" w:rsidRPr="003215C5">
        <w:t>,</w:t>
      </w:r>
      <w:r w:rsidRPr="003215C5">
        <w:t xml:space="preserve"> objective criteria for determining </w:t>
      </w:r>
      <w:r w:rsidR="007810EF" w:rsidRPr="003215C5">
        <w:t>merit</w:t>
      </w:r>
      <w:r w:rsidRPr="003215C5">
        <w:t xml:space="preserve">, and that selection procedures adversely affect social mobility. </w:t>
      </w:r>
      <w:r w:rsidR="00095AFD">
        <w:t xml:space="preserve">In fact, the appointment criteria process has been subject to condemnation based on the argument </w:t>
      </w:r>
      <w:r w:rsidRPr="003215C5">
        <w:t xml:space="preserve">that recruitment on the basis of qualifications excludes certain populations from the civil service. Thus, not only </w:t>
      </w:r>
      <w:r w:rsidR="00095AFD">
        <w:t xml:space="preserve">can </w:t>
      </w:r>
      <w:r w:rsidRPr="003215C5">
        <w:t>biased appointment</w:t>
      </w:r>
      <w:r w:rsidR="00151C73">
        <w:t>s</w:t>
      </w:r>
      <w:r w:rsidRPr="003215C5">
        <w:t xml:space="preserve"> contribute</w:t>
      </w:r>
      <w:r w:rsidR="00075841" w:rsidRPr="003215C5">
        <w:t xml:space="preserve"> </w:t>
      </w:r>
      <w:r w:rsidRPr="003215C5">
        <w:t xml:space="preserve">to social exclusion, but also </w:t>
      </w:r>
      <w:r w:rsidR="00151C73">
        <w:t xml:space="preserve">ordinary </w:t>
      </w:r>
      <w:r w:rsidRPr="003215C5">
        <w:t>appointment</w:t>
      </w:r>
      <w:r w:rsidR="00151C73">
        <w:t xml:space="preserve">s </w:t>
      </w:r>
      <w:r w:rsidR="00095AFD">
        <w:t>granted accord</w:t>
      </w:r>
      <w:r w:rsidR="00AA08B6">
        <w:t>ing</w:t>
      </w:r>
      <w:r w:rsidR="00095AFD">
        <w:t xml:space="preserve"> to</w:t>
      </w:r>
      <w:r w:rsidRPr="003215C5">
        <w:t xml:space="preserve"> skill</w:t>
      </w:r>
      <w:r w:rsidR="00095AFD">
        <w:t>s</w:t>
      </w:r>
      <w:r w:rsidR="00075841" w:rsidRPr="003215C5">
        <w:t xml:space="preserve"> </w:t>
      </w:r>
      <w:r w:rsidRPr="003215C5">
        <w:t xml:space="preserve">and </w:t>
      </w:r>
      <w:r w:rsidR="00151C73">
        <w:t xml:space="preserve">attributes </w:t>
      </w:r>
      <w:r w:rsidR="00095AFD">
        <w:t xml:space="preserve">also exhibit </w:t>
      </w:r>
      <w:r w:rsidRPr="003215C5">
        <w:t xml:space="preserve">many problems, mostly in setting threshold conditions, </w:t>
      </w:r>
      <w:r w:rsidR="00075841" w:rsidRPr="003215C5">
        <w:t xml:space="preserve">which </w:t>
      </w:r>
      <w:r w:rsidRPr="003215C5">
        <w:t xml:space="preserve">contribute to social exclusion. </w:t>
      </w:r>
      <w:r w:rsidR="00075841" w:rsidRPr="003215C5">
        <w:t>Success in e</w:t>
      </w:r>
      <w:r w:rsidRPr="003215C5">
        <w:t>xam</w:t>
      </w:r>
      <w:r w:rsidR="00075841" w:rsidRPr="003215C5">
        <w:t>s</w:t>
      </w:r>
      <w:r w:rsidRPr="003215C5">
        <w:t xml:space="preserve">, education, employment </w:t>
      </w:r>
      <w:r w:rsidR="00075841" w:rsidRPr="003215C5">
        <w:t>record</w:t>
      </w:r>
      <w:r w:rsidR="00151C73">
        <w:t>s</w:t>
      </w:r>
      <w:r w:rsidR="00075841" w:rsidRPr="003215C5">
        <w:t>,</w:t>
      </w:r>
      <w:r w:rsidRPr="003215C5">
        <w:t xml:space="preserve"> </w:t>
      </w:r>
      <w:r w:rsidR="00095AFD">
        <w:t xml:space="preserve">etc., </w:t>
      </w:r>
      <w:r w:rsidR="00075841" w:rsidRPr="003215C5">
        <w:t>are all</w:t>
      </w:r>
      <w:r w:rsidRPr="003215C5">
        <w:t xml:space="preserve"> dictated by economic and social circumstances, </w:t>
      </w:r>
      <w:r w:rsidR="00095AFD">
        <w:t xml:space="preserve">and thereby influenced </w:t>
      </w:r>
      <w:r w:rsidRPr="003215C5">
        <w:t>by pre-market mechanisms</w:t>
      </w:r>
      <w:r w:rsidR="00095AFD">
        <w:t>. In addition,</w:t>
      </w:r>
      <w:r w:rsidRPr="003215C5">
        <w:t xml:space="preserve"> the degree to which these skills are able to predict </w:t>
      </w:r>
      <w:r w:rsidR="00075841" w:rsidRPr="003215C5">
        <w:t xml:space="preserve">a person’s </w:t>
      </w:r>
      <w:r w:rsidRPr="003215C5">
        <w:t>success in a</w:t>
      </w:r>
      <w:r w:rsidR="00151C73">
        <w:t>ny given</w:t>
      </w:r>
      <w:r w:rsidRPr="003215C5">
        <w:t xml:space="preserve"> civil service position</w:t>
      </w:r>
      <w:r w:rsidR="00151C73">
        <w:t xml:space="preserve"> </w:t>
      </w:r>
      <w:r w:rsidRPr="003215C5">
        <w:t>is questionable. Therefore, the mechanism for determining the threshold conditions</w:t>
      </w:r>
      <w:r w:rsidR="00151C73">
        <w:t xml:space="preserve"> </w:t>
      </w:r>
      <w:r w:rsidR="00075841" w:rsidRPr="003215C5">
        <w:t xml:space="preserve">entrenches the </w:t>
      </w:r>
      <w:r w:rsidRPr="003215C5">
        <w:t xml:space="preserve">existing </w:t>
      </w:r>
      <w:r w:rsidR="00075841" w:rsidRPr="003215C5">
        <w:t xml:space="preserve">state of </w:t>
      </w:r>
      <w:r w:rsidRPr="003215C5">
        <w:t>distributive justice.</w:t>
      </w:r>
    </w:p>
    <w:p w14:paraId="687A5F65" w14:textId="0ADB1646" w:rsidR="007D06B9" w:rsidRPr="003215C5" w:rsidRDefault="004B6223" w:rsidP="00286484">
      <w:pPr>
        <w:spacing w:line="360" w:lineRule="auto"/>
        <w:ind w:firstLine="720"/>
        <w:jc w:val="both"/>
      </w:pPr>
      <w:r w:rsidRPr="003215C5">
        <w:t>The pro-public service approach</w:t>
      </w:r>
      <w:r w:rsidR="004E586C" w:rsidRPr="003215C5">
        <w:t xml:space="preserve"> sees the </w:t>
      </w:r>
      <w:r w:rsidR="00151C73">
        <w:t xml:space="preserve">civil </w:t>
      </w:r>
      <w:r w:rsidR="004E586C" w:rsidRPr="003215C5">
        <w:t>service as a pure institution for the benefit of the public as a whole</w:t>
      </w:r>
      <w:r w:rsidR="00075841" w:rsidRPr="003215C5">
        <w:t>,</w:t>
      </w:r>
      <w:r w:rsidR="004E586C" w:rsidRPr="003215C5">
        <w:t xml:space="preserve"> in which there is no room for biased appointment</w:t>
      </w:r>
      <w:r w:rsidR="00151C73">
        <w:t>s</w:t>
      </w:r>
      <w:r w:rsidR="004E586C" w:rsidRPr="003215C5">
        <w:t xml:space="preserve"> </w:t>
      </w:r>
      <w:r w:rsidR="00095AFD">
        <w:t>unless they</w:t>
      </w:r>
      <w:r w:rsidR="004E586C" w:rsidRPr="003215C5">
        <w:t xml:space="preserve"> promote the public</w:t>
      </w:r>
      <w:r w:rsidR="00075841" w:rsidRPr="003215C5">
        <w:t>’s interests</w:t>
      </w:r>
      <w:r w:rsidR="004E586C" w:rsidRPr="003215C5">
        <w:t xml:space="preserve">. </w:t>
      </w:r>
      <w:r w:rsidR="00095AFD">
        <w:t>In contrast,</w:t>
      </w:r>
      <w:r w:rsidR="004E586C" w:rsidRPr="003215C5">
        <w:t xml:space="preserve"> there is an approach which recogni</w:t>
      </w:r>
      <w:r w:rsidR="00151C73">
        <w:t>s</w:t>
      </w:r>
      <w:r w:rsidR="004E586C" w:rsidRPr="003215C5">
        <w:t xml:space="preserve">es </w:t>
      </w:r>
      <w:r w:rsidR="00095AFD">
        <w:t xml:space="preserve">the value of </w:t>
      </w:r>
      <w:r w:rsidR="006328A5" w:rsidRPr="003215C5">
        <w:t xml:space="preserve">integration </w:t>
      </w:r>
      <w:r w:rsidR="004E586C" w:rsidRPr="003215C5">
        <w:t xml:space="preserve">of the political </w:t>
      </w:r>
      <w:r w:rsidR="004E586C" w:rsidRPr="003215C5">
        <w:lastRenderedPageBreak/>
        <w:t>element,</w:t>
      </w:r>
      <w:r w:rsidR="00FD2B10" w:rsidRPr="003215C5">
        <w:rPr>
          <w:rStyle w:val="FootnoteReference"/>
        </w:rPr>
        <w:footnoteReference w:id="57"/>
      </w:r>
      <w:r w:rsidR="004E586C" w:rsidRPr="003215C5">
        <w:t xml:space="preserve"> and therefore encourages a system of laws that </w:t>
      </w:r>
      <w:r w:rsidR="006328A5" w:rsidRPr="003215C5">
        <w:t>permit</w:t>
      </w:r>
      <w:r w:rsidR="00095AFD">
        <w:t>s</w:t>
      </w:r>
      <w:r w:rsidR="006328A5" w:rsidRPr="003215C5">
        <w:t xml:space="preserve"> </w:t>
      </w:r>
      <w:r w:rsidR="004E586C" w:rsidRPr="003215C5">
        <w:t>biased appointment</w:t>
      </w:r>
      <w:r w:rsidR="00075841" w:rsidRPr="003215C5">
        <w:t>s</w:t>
      </w:r>
      <w:r w:rsidR="004E586C" w:rsidRPr="003215C5">
        <w:t xml:space="preserve">. </w:t>
      </w:r>
      <w:r w:rsidR="00BB3817" w:rsidRPr="003215C5">
        <w:t>A third approach</w:t>
      </w:r>
      <w:r w:rsidR="004E586C" w:rsidRPr="003215C5">
        <w:t xml:space="preserve"> is the integration approach, </w:t>
      </w:r>
      <w:r w:rsidR="006328A5" w:rsidRPr="003215C5">
        <w:t xml:space="preserve">which </w:t>
      </w:r>
      <w:r w:rsidR="004E586C" w:rsidRPr="003215C5">
        <w:t xml:space="preserve">combines the </w:t>
      </w:r>
      <w:r w:rsidR="00095AFD">
        <w:t xml:space="preserve">prior two </w:t>
      </w:r>
      <w:r w:rsidR="004E586C" w:rsidRPr="003215C5">
        <w:t>approaches in a way that sometimes allows for biased appointment</w:t>
      </w:r>
      <w:r w:rsidR="006328A5" w:rsidRPr="003215C5">
        <w:t>s</w:t>
      </w:r>
      <w:r w:rsidR="004E586C" w:rsidRPr="003215C5">
        <w:t xml:space="preserve"> within the limits of the provisions of the law.</w:t>
      </w:r>
    </w:p>
    <w:p w14:paraId="5B1CF86C" w14:textId="4A7441CD" w:rsidR="004E586C" w:rsidRPr="003215C5" w:rsidRDefault="00AA08B6" w:rsidP="00286484">
      <w:pPr>
        <w:spacing w:line="360" w:lineRule="auto"/>
        <w:ind w:firstLine="720"/>
        <w:jc w:val="both"/>
      </w:pPr>
      <w:r>
        <w:t>Appointing</w:t>
      </w:r>
      <w:r w:rsidR="004E586C" w:rsidRPr="003215C5">
        <w:t xml:space="preserve"> a candidate who is not suitable in terms of his</w:t>
      </w:r>
      <w:r>
        <w:t xml:space="preserve"> or her</w:t>
      </w:r>
      <w:r w:rsidR="004E586C" w:rsidRPr="003215C5">
        <w:t xml:space="preserve"> qualifications for the position</w:t>
      </w:r>
      <w:r w:rsidR="00CB0BED" w:rsidRPr="003215C5">
        <w:t>,</w:t>
      </w:r>
      <w:r w:rsidR="004E586C" w:rsidRPr="003215C5">
        <w:t xml:space="preserve"> </w:t>
      </w:r>
      <w:r w:rsidR="00CB0BED" w:rsidRPr="003215C5">
        <w:t xml:space="preserve">is </w:t>
      </w:r>
      <w:r>
        <w:t>considered</w:t>
      </w:r>
      <w:r w:rsidR="004E586C" w:rsidRPr="003215C5">
        <w:t xml:space="preserve"> </w:t>
      </w:r>
      <w:r w:rsidR="00CB0BED" w:rsidRPr="003215C5">
        <w:t>wrongful</w:t>
      </w:r>
      <w:r w:rsidR="004E586C" w:rsidRPr="003215C5">
        <w:t xml:space="preserve">, regardless of whether the appointment was made to </w:t>
      </w:r>
      <w:r w:rsidR="00095AFD">
        <w:t>provide</w:t>
      </w:r>
      <w:r w:rsidR="004E586C" w:rsidRPr="003215C5">
        <w:t xml:space="preserve"> </w:t>
      </w:r>
      <w:r w:rsidR="00CB0BED" w:rsidRPr="003215C5">
        <w:t>a</w:t>
      </w:r>
      <w:r w:rsidR="00151C73">
        <w:t>ny</w:t>
      </w:r>
      <w:r w:rsidR="00CB0BED" w:rsidRPr="003215C5">
        <w:t xml:space="preserve"> </w:t>
      </w:r>
      <w:r w:rsidR="004E586C" w:rsidRPr="003215C5">
        <w:t xml:space="preserve">personal or political benefit. When appointing a person with the right qualifications for </w:t>
      </w:r>
      <w:r w:rsidR="00CB0BED" w:rsidRPr="003215C5">
        <w:t xml:space="preserve">a </w:t>
      </w:r>
      <w:r w:rsidR="004E586C" w:rsidRPr="003215C5">
        <w:t xml:space="preserve">job, an objective examination is required </w:t>
      </w:r>
      <w:r w:rsidR="00095AFD">
        <w:t>to determine</w:t>
      </w:r>
      <w:r w:rsidR="004E586C" w:rsidRPr="003215C5">
        <w:t xml:space="preserve"> whether </w:t>
      </w:r>
      <w:r>
        <w:t>that person</w:t>
      </w:r>
      <w:r w:rsidR="004E586C" w:rsidRPr="003215C5">
        <w:t xml:space="preserve"> would have been selected had it not been for the personal or political benefit he brings with him. </w:t>
      </w:r>
      <w:r w:rsidR="00135160">
        <w:t>T</w:t>
      </w:r>
      <w:r w:rsidR="004E586C" w:rsidRPr="003215C5">
        <w:t xml:space="preserve">herefore, in my opinion, </w:t>
      </w:r>
      <w:r>
        <w:t>i</w:t>
      </w:r>
      <w:r w:rsidR="00135160" w:rsidRPr="003215C5">
        <w:t xml:space="preserve">t is </w:t>
      </w:r>
      <w:r w:rsidR="00CB0BED" w:rsidRPr="003215C5">
        <w:t xml:space="preserve">best </w:t>
      </w:r>
      <w:r w:rsidR="004E586C" w:rsidRPr="003215C5">
        <w:t xml:space="preserve">to </w:t>
      </w:r>
      <w:r w:rsidR="00CB0BED" w:rsidRPr="003215C5">
        <w:t xml:space="preserve">construct </w:t>
      </w:r>
      <w:r w:rsidR="004E586C" w:rsidRPr="003215C5">
        <w:t>a two-stage test</w:t>
      </w:r>
      <w:r w:rsidR="00CB0BED" w:rsidRPr="003215C5">
        <w:t>,</w:t>
      </w:r>
      <w:r w:rsidR="004E586C" w:rsidRPr="003215C5">
        <w:t xml:space="preserve"> </w:t>
      </w:r>
      <w:r w:rsidR="00CB0BED" w:rsidRPr="003215C5">
        <w:t xml:space="preserve">with </w:t>
      </w:r>
      <w:r w:rsidR="004E586C" w:rsidRPr="003215C5">
        <w:t xml:space="preserve">skills </w:t>
      </w:r>
      <w:r w:rsidR="00CB0BED" w:rsidRPr="003215C5">
        <w:t>taking preference over contacts</w:t>
      </w:r>
      <w:r w:rsidR="004E586C" w:rsidRPr="003215C5">
        <w:t>. The theoretical justification for political appointment</w:t>
      </w:r>
      <w:r>
        <w:t>s</w:t>
      </w:r>
      <w:r w:rsidR="004E586C" w:rsidRPr="003215C5">
        <w:t xml:space="preserve"> exists</w:t>
      </w:r>
      <w:r w:rsidR="00CB0BED" w:rsidRPr="003215C5">
        <w:t>,</w:t>
      </w:r>
      <w:r w:rsidR="004E586C" w:rsidRPr="003215C5">
        <w:t xml:space="preserve"> and the </w:t>
      </w:r>
      <w:r w:rsidR="00135160">
        <w:t xml:space="preserve">level </w:t>
      </w:r>
      <w:r w:rsidR="004E586C" w:rsidRPr="003215C5">
        <w:t xml:space="preserve">of danger </w:t>
      </w:r>
      <w:r w:rsidR="00135160">
        <w:t xml:space="preserve">they present </w:t>
      </w:r>
      <w:r w:rsidR="004E586C" w:rsidRPr="003215C5">
        <w:t xml:space="preserve">is not </w:t>
      </w:r>
      <w:r w:rsidR="00135160">
        <w:t xml:space="preserve">strong </w:t>
      </w:r>
      <w:r w:rsidR="004E586C" w:rsidRPr="003215C5">
        <w:t xml:space="preserve">enough to </w:t>
      </w:r>
      <w:r w:rsidR="00135160">
        <w:t xml:space="preserve">justify </w:t>
      </w:r>
      <w:r w:rsidR="004E586C" w:rsidRPr="003215C5">
        <w:t>abolish</w:t>
      </w:r>
      <w:r w:rsidR="00135160">
        <w:t>ing</w:t>
      </w:r>
      <w:r w:rsidR="004E586C" w:rsidRPr="003215C5">
        <w:t xml:space="preserve"> the intermediate approach and mov</w:t>
      </w:r>
      <w:r w:rsidR="00135160">
        <w:t>ing</w:t>
      </w:r>
      <w:r w:rsidR="004E586C" w:rsidRPr="003215C5">
        <w:t xml:space="preserve"> to a clear pro-public and service-minded approach. The need for an appointment that is also based on political consideration</w:t>
      </w:r>
      <w:r w:rsidR="00CB0BED" w:rsidRPr="003215C5">
        <w:t>s</w:t>
      </w:r>
      <w:r w:rsidR="004E586C" w:rsidRPr="003215C5">
        <w:t xml:space="preserve"> is </w:t>
      </w:r>
      <w:r w:rsidR="00CB0BED" w:rsidRPr="003215C5">
        <w:t xml:space="preserve">vital </w:t>
      </w:r>
      <w:r w:rsidR="004E586C" w:rsidRPr="003215C5">
        <w:t xml:space="preserve">in my view, </w:t>
      </w:r>
      <w:r w:rsidR="00CB0BED" w:rsidRPr="003215C5">
        <w:t xml:space="preserve">for </w:t>
      </w:r>
      <w:r w:rsidR="004E586C" w:rsidRPr="003215C5">
        <w:t>certain pos</w:t>
      </w:r>
      <w:r w:rsidR="00CB0BED" w:rsidRPr="003215C5">
        <w:t>ts</w:t>
      </w:r>
      <w:r w:rsidR="004E586C" w:rsidRPr="003215C5">
        <w:t xml:space="preserve">, </w:t>
      </w:r>
      <w:r>
        <w:t xml:space="preserve">albeit </w:t>
      </w:r>
      <w:r w:rsidR="004E586C" w:rsidRPr="003215C5">
        <w:t>sparingly</w:t>
      </w:r>
      <w:r w:rsidR="00CB0BED" w:rsidRPr="003215C5">
        <w:t>,</w:t>
      </w:r>
      <w:r w:rsidR="004E586C" w:rsidRPr="003215C5">
        <w:t xml:space="preserve"> and with an emphasis on the word </w:t>
      </w:r>
      <w:r w:rsidR="008578D4" w:rsidRPr="003215C5">
        <w:t>“</w:t>
      </w:r>
      <w:r w:rsidR="004E586C" w:rsidRPr="003215C5">
        <w:t>also</w:t>
      </w:r>
      <w:r w:rsidR="008578D4" w:rsidRPr="003215C5">
        <w:t>”</w:t>
      </w:r>
      <w:r w:rsidR="004E586C" w:rsidRPr="003215C5">
        <w:t xml:space="preserve">. That is, the </w:t>
      </w:r>
      <w:r w:rsidR="007810EF" w:rsidRPr="003215C5">
        <w:t>merit</w:t>
      </w:r>
      <w:r w:rsidR="004E586C" w:rsidRPr="003215C5">
        <w:t xml:space="preserve"> values ​​of </w:t>
      </w:r>
      <w:r w:rsidR="00CB0BED" w:rsidRPr="003215C5">
        <w:t xml:space="preserve">attributes </w:t>
      </w:r>
      <w:r w:rsidR="004E586C" w:rsidRPr="003215C5">
        <w:t xml:space="preserve">and skills should not be abandoned </w:t>
      </w:r>
      <w:r w:rsidR="00135160">
        <w:t xml:space="preserve">even </w:t>
      </w:r>
      <w:r w:rsidR="004E586C" w:rsidRPr="003215C5">
        <w:t>in these positions</w:t>
      </w:r>
      <w:r w:rsidR="00135160">
        <w:t xml:space="preserve"> where appointments are made on a more personal or political basis</w:t>
      </w:r>
      <w:r w:rsidR="00CB0BED" w:rsidRPr="003215C5">
        <w:t>,</w:t>
      </w:r>
      <w:r w:rsidR="004E586C" w:rsidRPr="003215C5">
        <w:t xml:space="preserve"> and these appointments should not be </w:t>
      </w:r>
      <w:r w:rsidR="00CB0BED" w:rsidRPr="003215C5">
        <w:t xml:space="preserve">allowed to </w:t>
      </w:r>
      <w:r w:rsidR="00135160">
        <w:t>proliferate.</w:t>
      </w:r>
      <w:r w:rsidR="004E586C" w:rsidRPr="003215C5">
        <w:t xml:space="preserve"> Therefore,</w:t>
      </w:r>
      <w:r w:rsidR="004D1CDF">
        <w:t xml:space="preserve"> the phrases</w:t>
      </w:r>
      <w:r w:rsidR="004E586C" w:rsidRPr="003215C5">
        <w:t xml:space="preserve"> </w:t>
      </w:r>
      <w:r w:rsidR="008578D4" w:rsidRPr="003215C5">
        <w:t>“</w:t>
      </w:r>
      <w:r w:rsidR="004E586C" w:rsidRPr="003215C5">
        <w:t>political appointment</w:t>
      </w:r>
      <w:r w:rsidR="008578D4" w:rsidRPr="003215C5">
        <w:t>”</w:t>
      </w:r>
      <w:r w:rsidR="004E586C" w:rsidRPr="003215C5">
        <w:t xml:space="preserve"> or </w:t>
      </w:r>
      <w:r w:rsidR="008578D4" w:rsidRPr="003215C5">
        <w:t>“</w:t>
      </w:r>
      <w:r w:rsidR="004E586C" w:rsidRPr="003215C5">
        <w:t>biased appointment</w:t>
      </w:r>
      <w:r w:rsidR="008578D4" w:rsidRPr="003215C5">
        <w:t>”</w:t>
      </w:r>
      <w:r w:rsidR="004E586C" w:rsidRPr="003215C5">
        <w:t xml:space="preserve"> does not </w:t>
      </w:r>
      <w:r w:rsidR="00CB0BED" w:rsidRPr="003215C5">
        <w:t xml:space="preserve">necessarily </w:t>
      </w:r>
      <w:r w:rsidR="004E586C" w:rsidRPr="003215C5">
        <w:t xml:space="preserve">have to be perceived as rude </w:t>
      </w:r>
      <w:r w:rsidR="004D1CDF">
        <w:t>ones</w:t>
      </w:r>
      <w:r w:rsidR="004E586C" w:rsidRPr="003215C5">
        <w:t>, but rather</w:t>
      </w:r>
      <w:r w:rsidR="00135160">
        <w:t xml:space="preserve"> as</w:t>
      </w:r>
      <w:r w:rsidR="004E586C" w:rsidRPr="003215C5">
        <w:t xml:space="preserve"> important to </w:t>
      </w:r>
      <w:r w:rsidR="00CB0BED" w:rsidRPr="003215C5">
        <w:t xml:space="preserve">the manner of </w:t>
      </w:r>
      <w:r w:rsidR="004E586C" w:rsidRPr="003215C5">
        <w:t>appoint</w:t>
      </w:r>
      <w:r w:rsidR="00CB0BED" w:rsidRPr="003215C5">
        <w:t>ing</w:t>
      </w:r>
      <w:r w:rsidR="004E586C" w:rsidRPr="003215C5">
        <w:t xml:space="preserve"> and characteri</w:t>
      </w:r>
      <w:r w:rsidR="00CB0BED" w:rsidRPr="003215C5">
        <w:t>sing</w:t>
      </w:r>
      <w:r w:rsidR="004E586C" w:rsidRPr="003215C5">
        <w:t xml:space="preserve"> the candidate. If the law defines the extra-</w:t>
      </w:r>
      <w:r w:rsidR="007810EF" w:rsidRPr="003215C5">
        <w:t>merit</w:t>
      </w:r>
      <w:r w:rsidR="004E586C" w:rsidRPr="003215C5">
        <w:t xml:space="preserve">ocratic elements that can be </w:t>
      </w:r>
      <w:r w:rsidR="00135160">
        <w:t>considered for</w:t>
      </w:r>
      <w:r w:rsidR="004E586C" w:rsidRPr="003215C5">
        <w:t xml:space="preserve"> certain positions, for example, a political element, while the appointment </w:t>
      </w:r>
      <w:r w:rsidR="00CB0BED" w:rsidRPr="003215C5">
        <w:t xml:space="preserve">is still </w:t>
      </w:r>
      <w:r w:rsidR="004E586C" w:rsidRPr="003215C5">
        <w:t xml:space="preserve">subject to external objective </w:t>
      </w:r>
      <w:r w:rsidR="00151C73">
        <w:t>review</w:t>
      </w:r>
      <w:r w:rsidR="004E586C" w:rsidRPr="003215C5">
        <w:t xml:space="preserve">, the phenomenon of </w:t>
      </w:r>
      <w:r w:rsidR="00CB0BED" w:rsidRPr="003215C5">
        <w:t xml:space="preserve">the proscribed </w:t>
      </w:r>
      <w:r w:rsidR="004E586C" w:rsidRPr="003215C5">
        <w:t>political appointment</w:t>
      </w:r>
      <w:r w:rsidR="00151C73">
        <w:t xml:space="preserve"> </w:t>
      </w:r>
      <w:r w:rsidR="00CB0BED" w:rsidRPr="003215C5">
        <w:t xml:space="preserve">that carries </w:t>
      </w:r>
      <w:r w:rsidR="004E586C" w:rsidRPr="003215C5">
        <w:t xml:space="preserve">negative </w:t>
      </w:r>
      <w:r w:rsidR="004D1CDF">
        <w:t>connotations</w:t>
      </w:r>
      <w:r w:rsidR="00135160">
        <w:t xml:space="preserve"> will be reduced, thus strengthening</w:t>
      </w:r>
      <w:r w:rsidR="004E586C" w:rsidRPr="003215C5">
        <w:t xml:space="preserve"> the rule of law.</w:t>
      </w:r>
    </w:p>
    <w:p w14:paraId="01733070" w14:textId="174E1983" w:rsidR="004E586C" w:rsidRPr="003215C5" w:rsidRDefault="00E3733D" w:rsidP="00286484">
      <w:pPr>
        <w:spacing w:line="360" w:lineRule="auto"/>
        <w:ind w:firstLine="720"/>
        <w:jc w:val="both"/>
      </w:pPr>
      <w:r w:rsidRPr="003215C5">
        <w:t>B</w:t>
      </w:r>
      <w:r w:rsidR="004E586C" w:rsidRPr="003215C5">
        <w:t>iased appointment</w:t>
      </w:r>
      <w:r w:rsidRPr="003215C5">
        <w:t>s</w:t>
      </w:r>
      <w:r w:rsidR="004E586C" w:rsidRPr="003215C5">
        <w:t xml:space="preserve"> undermine</w:t>
      </w:r>
      <w:r w:rsidRPr="003215C5">
        <w:t xml:space="preserve"> </w:t>
      </w:r>
      <w:r w:rsidR="004E586C" w:rsidRPr="003215C5">
        <w:t>public trust</w:t>
      </w:r>
      <w:r w:rsidRPr="003215C5">
        <w:t>,</w:t>
      </w:r>
      <w:r w:rsidR="004E586C" w:rsidRPr="003215C5">
        <w:t xml:space="preserve"> </w:t>
      </w:r>
      <w:r w:rsidRPr="003215C5">
        <w:t xml:space="preserve">as well as </w:t>
      </w:r>
      <w:r w:rsidR="004E586C" w:rsidRPr="003215C5">
        <w:t xml:space="preserve">the perception of the </w:t>
      </w:r>
      <w:r w:rsidRPr="003215C5">
        <w:t xml:space="preserve">civil </w:t>
      </w:r>
      <w:r w:rsidR="004E586C" w:rsidRPr="003215C5">
        <w:t>service</w:t>
      </w:r>
      <w:r w:rsidR="00151C73" w:rsidRPr="00151C73">
        <w:t xml:space="preserve"> </w:t>
      </w:r>
      <w:r w:rsidR="00151C73">
        <w:t xml:space="preserve">as </w:t>
      </w:r>
      <w:r w:rsidR="00151C73" w:rsidRPr="003215C5">
        <w:t>professional</w:t>
      </w:r>
      <w:r w:rsidRPr="003215C5">
        <w:t>,</w:t>
      </w:r>
      <w:r w:rsidR="004E586C" w:rsidRPr="003215C5">
        <w:t xml:space="preserve"> and may contradict the </w:t>
      </w:r>
      <w:r w:rsidRPr="003215C5">
        <w:t xml:space="preserve">Weberian </w:t>
      </w:r>
      <w:r w:rsidR="004E586C" w:rsidRPr="003215C5">
        <w:t>perception of the bureaucracy that is largely positivist</w:t>
      </w:r>
      <w:r w:rsidRPr="003215C5">
        <w:t>,</w:t>
      </w:r>
      <w:r w:rsidR="004E586C" w:rsidRPr="003215C5">
        <w:t xml:space="preserve"> with no room for discretion. </w:t>
      </w:r>
      <w:r w:rsidR="004D1CDF">
        <w:t>Such an appointment</w:t>
      </w:r>
      <w:r w:rsidR="004E586C" w:rsidRPr="003215C5">
        <w:t xml:space="preserve"> may result in </w:t>
      </w:r>
      <w:r w:rsidRPr="003215C5">
        <w:t xml:space="preserve">the public employee having </w:t>
      </w:r>
      <w:r w:rsidR="004E586C" w:rsidRPr="003215C5">
        <w:t>a conflict of interest which is prohibited for two reasons</w:t>
      </w:r>
      <w:r w:rsidR="00AA08B6">
        <w:t>. F</w:t>
      </w:r>
      <w:r w:rsidR="004D1CDF">
        <w:t>irst, the official is tasked with exercising</w:t>
      </w:r>
      <w:r w:rsidR="004E586C" w:rsidRPr="003215C5">
        <w:t xml:space="preserve"> only relevant considerations that do not conflict with the public interest</w:t>
      </w:r>
      <w:r w:rsidRPr="003215C5">
        <w:t>,</w:t>
      </w:r>
      <w:r w:rsidR="004E586C" w:rsidRPr="003215C5">
        <w:t xml:space="preserve"> and</w:t>
      </w:r>
      <w:r w:rsidR="004D1CDF">
        <w:t xml:space="preserve">, second, the official </w:t>
      </w:r>
      <w:r w:rsidR="007D4170">
        <w:t>must</w:t>
      </w:r>
      <w:r w:rsidR="004E586C" w:rsidRPr="003215C5">
        <w:t xml:space="preserve"> avoid harming public trust and the principles of </w:t>
      </w:r>
      <w:r w:rsidRPr="003215C5">
        <w:t xml:space="preserve">the civil </w:t>
      </w:r>
      <w:r w:rsidR="004E586C" w:rsidRPr="003215C5">
        <w:t>service. As elected officials</w:t>
      </w:r>
      <w:r w:rsidR="007D4170">
        <w:t>,</w:t>
      </w:r>
      <w:r w:rsidR="004E586C" w:rsidRPr="003215C5">
        <w:t xml:space="preserve"> they must ensure that the best candidate is chosen for the position in a way that will </w:t>
      </w:r>
      <w:r w:rsidR="006443BE" w:rsidRPr="003215C5">
        <w:t>fulfil</w:t>
      </w:r>
      <w:r w:rsidR="004E586C" w:rsidRPr="003215C5">
        <w:t xml:space="preserve"> the public role </w:t>
      </w:r>
      <w:r w:rsidRPr="003215C5">
        <w:t>i</w:t>
      </w:r>
      <w:r w:rsidR="004E586C" w:rsidRPr="003215C5">
        <w:t xml:space="preserve">n the best </w:t>
      </w:r>
      <w:r w:rsidRPr="003215C5">
        <w:t xml:space="preserve">possible way, </w:t>
      </w:r>
      <w:r w:rsidR="004E586C" w:rsidRPr="003215C5">
        <w:t xml:space="preserve">and thus serve us, the public, well. There is no room in this </w:t>
      </w:r>
      <w:r w:rsidR="004D35AD">
        <w:t>approach</w:t>
      </w:r>
      <w:r w:rsidR="004E586C" w:rsidRPr="003215C5">
        <w:t xml:space="preserve"> for biased appointment</w:t>
      </w:r>
      <w:r w:rsidRPr="003215C5">
        <w:t>s</w:t>
      </w:r>
      <w:r w:rsidR="004E586C" w:rsidRPr="003215C5">
        <w:t xml:space="preserve"> </w:t>
      </w:r>
      <w:r w:rsidR="004D35AD">
        <w:t>made in such a</w:t>
      </w:r>
      <w:r w:rsidR="004E586C" w:rsidRPr="003215C5">
        <w:t xml:space="preserve"> way that the public representative will appoint </w:t>
      </w:r>
      <w:r w:rsidRPr="003215C5">
        <w:t xml:space="preserve">agents </w:t>
      </w:r>
      <w:r w:rsidR="004E586C" w:rsidRPr="003215C5">
        <w:t xml:space="preserve">on his behalf to promote interests that are not </w:t>
      </w:r>
      <w:r w:rsidR="007D4170" w:rsidRPr="003215C5">
        <w:lastRenderedPageBreak/>
        <w:t>share</w:t>
      </w:r>
      <w:r w:rsidR="007D4170">
        <w:t>d</w:t>
      </w:r>
      <w:r w:rsidR="007D4170" w:rsidRPr="003215C5">
        <w:t xml:space="preserve"> </w:t>
      </w:r>
      <w:r w:rsidR="007D4170">
        <w:t>by</w:t>
      </w:r>
      <w:r w:rsidR="004E586C" w:rsidRPr="003215C5">
        <w:t xml:space="preserve"> the public as a </w:t>
      </w:r>
      <w:r w:rsidR="004B6223" w:rsidRPr="003215C5">
        <w:t>whole</w:t>
      </w:r>
      <w:r w:rsidR="004E586C" w:rsidRPr="003215C5">
        <w:t xml:space="preserve">. This problem is known in the business </w:t>
      </w:r>
      <w:r w:rsidRPr="003215C5">
        <w:t xml:space="preserve">world </w:t>
      </w:r>
      <w:r w:rsidR="004E586C" w:rsidRPr="003215C5">
        <w:t xml:space="preserve">as the </w:t>
      </w:r>
      <w:r w:rsidR="008F3703">
        <w:t>‘</w:t>
      </w:r>
      <w:r w:rsidR="004E586C" w:rsidRPr="003215C5">
        <w:t>representative problem</w:t>
      </w:r>
      <w:r w:rsidR="008F3703">
        <w:t>’</w:t>
      </w:r>
      <w:r w:rsidR="004E586C" w:rsidRPr="003215C5">
        <w:t>.</w:t>
      </w:r>
      <w:r w:rsidR="00FD2B10" w:rsidRPr="003215C5">
        <w:rPr>
          <w:rStyle w:val="FootnoteReference"/>
        </w:rPr>
        <w:footnoteReference w:id="58"/>
      </w:r>
      <w:r w:rsidR="004E586C" w:rsidRPr="003215C5">
        <w:t xml:space="preserve"> The perception of the biased appointment in general</w:t>
      </w:r>
      <w:r w:rsidRPr="003215C5">
        <w:t>,</w:t>
      </w:r>
      <w:r w:rsidR="004E586C" w:rsidRPr="003215C5">
        <w:t xml:space="preserve"> and </w:t>
      </w:r>
      <w:r w:rsidRPr="003215C5">
        <w:t xml:space="preserve">in </w:t>
      </w:r>
      <w:r w:rsidR="004E586C" w:rsidRPr="003215C5">
        <w:t xml:space="preserve">particular </w:t>
      </w:r>
      <w:r w:rsidRPr="003215C5">
        <w:t xml:space="preserve">the </w:t>
      </w:r>
      <w:r w:rsidR="004E586C" w:rsidRPr="003215C5">
        <w:t xml:space="preserve">political </w:t>
      </w:r>
      <w:r w:rsidRPr="003215C5">
        <w:t>kind</w:t>
      </w:r>
      <w:r w:rsidR="004E586C" w:rsidRPr="003215C5">
        <w:t xml:space="preserve">, </w:t>
      </w:r>
      <w:r w:rsidRPr="003215C5">
        <w:t>as an evil</w:t>
      </w:r>
      <w:r w:rsidR="004E586C" w:rsidRPr="003215C5">
        <w:t>, is based on the fact that biased appointment</w:t>
      </w:r>
      <w:r w:rsidRPr="003215C5">
        <w:t>s</w:t>
      </w:r>
      <w:r w:rsidR="004E586C" w:rsidRPr="003215C5">
        <w:t xml:space="preserve"> increase</w:t>
      </w:r>
      <w:r w:rsidRPr="003215C5">
        <w:t xml:space="preserve"> </w:t>
      </w:r>
      <w:r w:rsidR="004E586C" w:rsidRPr="003215C5">
        <w:t>the sense of alienation from politics</w:t>
      </w:r>
      <w:r w:rsidRPr="003215C5">
        <w:t>,</w:t>
      </w:r>
      <w:r w:rsidR="004E586C" w:rsidRPr="003215C5">
        <w:t xml:space="preserve"> and may </w:t>
      </w:r>
      <w:r w:rsidRPr="003215C5">
        <w:t xml:space="preserve">undermine </w:t>
      </w:r>
      <w:r w:rsidR="004E586C" w:rsidRPr="003215C5">
        <w:t xml:space="preserve">the basic principles of the legal system, the perception of </w:t>
      </w:r>
      <w:r w:rsidR="00BB648F">
        <w:t xml:space="preserve">the </w:t>
      </w:r>
      <w:r w:rsidR="004E586C" w:rsidRPr="003215C5">
        <w:t xml:space="preserve">values ​​of </w:t>
      </w:r>
      <w:r w:rsidR="00BB648F">
        <w:t xml:space="preserve">the nature of </w:t>
      </w:r>
      <w:r w:rsidR="004E586C" w:rsidRPr="003215C5">
        <w:t>public service</w:t>
      </w:r>
      <w:r w:rsidR="007D4170">
        <w:t>,</w:t>
      </w:r>
      <w:r w:rsidR="00BB648F">
        <w:t xml:space="preserve"> </w:t>
      </w:r>
      <w:r w:rsidR="004E586C" w:rsidRPr="003215C5">
        <w:t xml:space="preserve">and </w:t>
      </w:r>
      <w:r w:rsidR="00BB648F">
        <w:t xml:space="preserve">the </w:t>
      </w:r>
      <w:r w:rsidR="004E586C" w:rsidRPr="003215C5">
        <w:t xml:space="preserve">social </w:t>
      </w:r>
      <w:r w:rsidRPr="003215C5">
        <w:t>contract</w:t>
      </w:r>
      <w:r w:rsidR="00BB648F">
        <w:t>,</w:t>
      </w:r>
      <w:r w:rsidRPr="003215C5">
        <w:t xml:space="preserve"> which are the basis for our experience as a civilised nation</w:t>
      </w:r>
      <w:r w:rsidR="004D35AD">
        <w:t xml:space="preserve">. Threatening these elements could pose a </w:t>
      </w:r>
      <w:r w:rsidRPr="003215C5">
        <w:t>d</w:t>
      </w:r>
      <w:r w:rsidR="004E586C" w:rsidRPr="003215C5">
        <w:t>anger to both democracy and the bureaucratic administrative state.</w:t>
      </w:r>
    </w:p>
    <w:p w14:paraId="64F9EA97" w14:textId="31FCA047" w:rsidR="004E586C" w:rsidRPr="003215C5" w:rsidRDefault="004E586C" w:rsidP="00286484">
      <w:pPr>
        <w:spacing w:line="360" w:lineRule="auto"/>
        <w:ind w:firstLine="720"/>
        <w:jc w:val="both"/>
      </w:pPr>
      <w:r w:rsidRPr="003215C5">
        <w:t xml:space="preserve">It seems that the state </w:t>
      </w:r>
      <w:r w:rsidR="004D35AD">
        <w:t>suffers</w:t>
      </w:r>
      <w:r w:rsidR="00BB648F">
        <w:t>,</w:t>
      </w:r>
      <w:r w:rsidR="00BE2E45" w:rsidRPr="003215C5">
        <w:t xml:space="preserve"> as do </w:t>
      </w:r>
      <w:r w:rsidRPr="003215C5">
        <w:t xml:space="preserve">the </w:t>
      </w:r>
      <w:r w:rsidR="00BB648F">
        <w:t xml:space="preserve">civil </w:t>
      </w:r>
      <w:r w:rsidRPr="003215C5">
        <w:t>service and public trust in it</w:t>
      </w:r>
      <w:r w:rsidR="00BE2E45" w:rsidRPr="003215C5">
        <w:t>,</w:t>
      </w:r>
      <w:r w:rsidRPr="003215C5">
        <w:t xml:space="preserve"> </w:t>
      </w:r>
      <w:r w:rsidR="00BE2E45" w:rsidRPr="003215C5">
        <w:t xml:space="preserve">from a </w:t>
      </w:r>
      <w:r w:rsidRPr="003215C5">
        <w:t>sweeping ban o</w:t>
      </w:r>
      <w:r w:rsidR="00BB648F">
        <w:t>n</w:t>
      </w:r>
      <w:r w:rsidRPr="003215C5">
        <w:t xml:space="preserve"> biased appointments. </w:t>
      </w:r>
      <w:r w:rsidR="004D35AD">
        <w:t>Thus,</w:t>
      </w:r>
      <w:r w:rsidRPr="003215C5">
        <w:t xml:space="preserve"> we move away from the concept of public service according to Weber, a concept according to which the </w:t>
      </w:r>
      <w:r w:rsidR="00BB648F">
        <w:t xml:space="preserve">civil </w:t>
      </w:r>
      <w:r w:rsidRPr="003215C5">
        <w:t xml:space="preserve">service, for the most part bureaucratic, should leave </w:t>
      </w:r>
      <w:r w:rsidR="00BE2E45" w:rsidRPr="003215C5">
        <w:t xml:space="preserve">limited </w:t>
      </w:r>
      <w:r w:rsidRPr="003215C5">
        <w:t>space for discretion</w:t>
      </w:r>
      <w:r w:rsidR="00BE2E45" w:rsidRPr="003215C5">
        <w:t>,</w:t>
      </w:r>
      <w:r w:rsidRPr="003215C5">
        <w:t xml:space="preserve"> and carry out, </w:t>
      </w:r>
      <w:r w:rsidR="006E11C8">
        <w:t>with near</w:t>
      </w:r>
      <w:r w:rsidRPr="003215C5">
        <w:t xml:space="preserve"> obedience, the instructions of the political </w:t>
      </w:r>
      <w:r w:rsidR="00BB648F">
        <w:t>masters</w:t>
      </w:r>
      <w:r w:rsidRPr="003215C5">
        <w:t>.</w:t>
      </w:r>
      <w:r w:rsidR="00FD2B10" w:rsidRPr="003215C5">
        <w:rPr>
          <w:rStyle w:val="FootnoteReference"/>
        </w:rPr>
        <w:footnoteReference w:id="59"/>
      </w:r>
    </w:p>
    <w:p w14:paraId="1A08FE01" w14:textId="66053711" w:rsidR="004E586C" w:rsidRPr="003215C5" w:rsidRDefault="004E586C" w:rsidP="00286484">
      <w:pPr>
        <w:spacing w:line="360" w:lineRule="auto"/>
        <w:jc w:val="both"/>
      </w:pPr>
    </w:p>
    <w:p w14:paraId="0F7A7A7D" w14:textId="77777777" w:rsidR="004E586C" w:rsidRPr="003215C5" w:rsidRDefault="004E586C" w:rsidP="00286484">
      <w:pPr>
        <w:tabs>
          <w:tab w:val="right" w:pos="7761"/>
        </w:tabs>
        <w:spacing w:line="360" w:lineRule="auto"/>
        <w:rPr>
          <w:rFonts w:cstheme="minorHAnsi"/>
          <w:b/>
          <w:bCs/>
          <w:sz w:val="32"/>
          <w:szCs w:val="32"/>
        </w:rPr>
      </w:pPr>
      <w:r w:rsidRPr="003215C5">
        <w:rPr>
          <w:rFonts w:cstheme="minorHAnsi"/>
          <w:b/>
          <w:bCs/>
          <w:sz w:val="32"/>
          <w:szCs w:val="32"/>
        </w:rPr>
        <w:t xml:space="preserve">Chapter </w:t>
      </w:r>
      <w:r w:rsidRPr="003215C5">
        <w:rPr>
          <w:rFonts w:cstheme="minorHAnsi"/>
          <w:b/>
          <w:bCs/>
          <w:sz w:val="32"/>
          <w:szCs w:val="32"/>
          <w:rtl/>
        </w:rPr>
        <w:t>5</w:t>
      </w:r>
    </w:p>
    <w:p w14:paraId="711E64AF" w14:textId="5AE51D35" w:rsidR="004E586C" w:rsidRPr="003215C5" w:rsidRDefault="004E586C" w:rsidP="00286484">
      <w:pPr>
        <w:spacing w:line="360" w:lineRule="auto"/>
        <w:jc w:val="both"/>
        <w:rPr>
          <w:rFonts w:cstheme="minorHAnsi"/>
          <w:b/>
          <w:bCs/>
          <w:color w:val="2F5496" w:themeColor="accent1" w:themeShade="BF"/>
          <w:sz w:val="32"/>
          <w:szCs w:val="32"/>
        </w:rPr>
      </w:pPr>
      <w:r w:rsidRPr="003215C5">
        <w:rPr>
          <w:rFonts w:cstheme="minorHAnsi"/>
          <w:b/>
          <w:bCs/>
          <w:color w:val="2F5496" w:themeColor="accent1" w:themeShade="BF"/>
          <w:sz w:val="32"/>
          <w:szCs w:val="32"/>
        </w:rPr>
        <w:t xml:space="preserve">Examination of Alternatives </w:t>
      </w:r>
      <w:r w:rsidR="00BB648F">
        <w:rPr>
          <w:rFonts w:cstheme="minorHAnsi"/>
          <w:b/>
          <w:bCs/>
          <w:color w:val="2F5496" w:themeColor="accent1" w:themeShade="BF"/>
          <w:sz w:val="32"/>
          <w:szCs w:val="32"/>
        </w:rPr>
        <w:t>–</w:t>
      </w:r>
      <w:r w:rsidRPr="003215C5">
        <w:rPr>
          <w:rFonts w:cstheme="minorHAnsi"/>
          <w:b/>
          <w:bCs/>
          <w:color w:val="2F5496" w:themeColor="accent1" w:themeShade="BF"/>
          <w:sz w:val="32"/>
          <w:szCs w:val="32"/>
        </w:rPr>
        <w:t xml:space="preserve"> Alternative Models </w:t>
      </w:r>
      <w:r w:rsidR="00BB648F">
        <w:rPr>
          <w:rFonts w:cstheme="minorHAnsi"/>
          <w:b/>
          <w:bCs/>
          <w:color w:val="2F5496" w:themeColor="accent1" w:themeShade="BF"/>
          <w:sz w:val="32"/>
          <w:szCs w:val="32"/>
        </w:rPr>
        <w:t xml:space="preserve">of </w:t>
      </w:r>
      <w:r w:rsidRPr="003215C5">
        <w:rPr>
          <w:rFonts w:cstheme="minorHAnsi"/>
          <w:b/>
          <w:bCs/>
          <w:color w:val="2F5496" w:themeColor="accent1" w:themeShade="BF"/>
          <w:sz w:val="32"/>
          <w:szCs w:val="32"/>
        </w:rPr>
        <w:t>Affirmative Action and Civil Service</w:t>
      </w:r>
    </w:p>
    <w:p w14:paraId="6B59433D" w14:textId="52E60630" w:rsidR="00A35000" w:rsidRPr="003215C5" w:rsidRDefault="004D35AD" w:rsidP="00286484">
      <w:pPr>
        <w:spacing w:line="360" w:lineRule="auto"/>
        <w:ind w:firstLine="720"/>
        <w:jc w:val="both"/>
      </w:pPr>
      <w:r>
        <w:rPr>
          <w:highlight w:val="green"/>
        </w:rPr>
        <w:t>Having concluded</w:t>
      </w:r>
      <w:r w:rsidR="00A35000" w:rsidRPr="003215C5">
        <w:rPr>
          <w:highlight w:val="green"/>
        </w:rPr>
        <w:t xml:space="preserve"> the</w:t>
      </w:r>
      <w:r w:rsidR="00FE55D0">
        <w:rPr>
          <w:highlight w:val="green"/>
        </w:rPr>
        <w:t xml:space="preserve"> preceding</w:t>
      </w:r>
      <w:r w:rsidR="00A35000" w:rsidRPr="003215C5">
        <w:rPr>
          <w:highlight w:val="green"/>
        </w:rPr>
        <w:t xml:space="preserve"> discussion on affirmative action, it is important to </w:t>
      </w:r>
      <w:r>
        <w:rPr>
          <w:highlight w:val="green"/>
        </w:rPr>
        <w:t>focus more deeply on the choices</w:t>
      </w:r>
      <w:r w:rsidR="00A35000" w:rsidRPr="003215C5">
        <w:rPr>
          <w:highlight w:val="green"/>
        </w:rPr>
        <w:t xml:space="preserve"> made in a number of countries, while emphasizing the characteristics of the model, </w:t>
      </w:r>
      <w:r>
        <w:rPr>
          <w:highlight w:val="green"/>
        </w:rPr>
        <w:t xml:space="preserve">and </w:t>
      </w:r>
      <w:r w:rsidR="00BB3817" w:rsidRPr="003215C5">
        <w:rPr>
          <w:highlight w:val="green"/>
        </w:rPr>
        <w:t>problems</w:t>
      </w:r>
      <w:r w:rsidR="00A35000" w:rsidRPr="003215C5">
        <w:rPr>
          <w:highlight w:val="green"/>
        </w:rPr>
        <w:t xml:space="preserve"> and successes in its implementation. To </w:t>
      </w:r>
      <w:r>
        <w:rPr>
          <w:highlight w:val="green"/>
        </w:rPr>
        <w:t>this end</w:t>
      </w:r>
      <w:r w:rsidR="00A35000" w:rsidRPr="003215C5">
        <w:rPr>
          <w:highlight w:val="green"/>
        </w:rPr>
        <w:t>, the chapter will examine how affirmative action reflected in various treaties, legal provisions and in EU provisions. The chapter will also expand on a comparative aspect between U</w:t>
      </w:r>
      <w:r>
        <w:rPr>
          <w:highlight w:val="green"/>
        </w:rPr>
        <w:t>nited Kingdom</w:t>
      </w:r>
      <w:r w:rsidR="00A35000" w:rsidRPr="003215C5">
        <w:rPr>
          <w:highlight w:val="green"/>
        </w:rPr>
        <w:t xml:space="preserve">, the source of the </w:t>
      </w:r>
      <w:r w:rsidR="007810EF" w:rsidRPr="003215C5">
        <w:rPr>
          <w:highlight w:val="green"/>
        </w:rPr>
        <w:t>merit</w:t>
      </w:r>
      <w:r w:rsidR="00A35000" w:rsidRPr="003215C5">
        <w:rPr>
          <w:highlight w:val="green"/>
        </w:rPr>
        <w:t xml:space="preserve">ocratic model, the United States, </w:t>
      </w:r>
      <w:r w:rsidR="00BB3817" w:rsidRPr="003215C5">
        <w:rPr>
          <w:highlight w:val="green"/>
        </w:rPr>
        <w:t>Canada,</w:t>
      </w:r>
      <w:r w:rsidR="00A35000" w:rsidRPr="003215C5">
        <w:rPr>
          <w:highlight w:val="green"/>
        </w:rPr>
        <w:t xml:space="preserve"> and Israel.</w:t>
      </w:r>
    </w:p>
    <w:p w14:paraId="3848D770" w14:textId="267B8726" w:rsidR="004E586C" w:rsidRPr="003215C5" w:rsidRDefault="004E586C" w:rsidP="00286484">
      <w:pPr>
        <w:spacing w:line="360" w:lineRule="auto"/>
        <w:ind w:firstLine="720"/>
        <w:jc w:val="both"/>
      </w:pPr>
      <w:r w:rsidRPr="003215C5">
        <w:t xml:space="preserve">In the </w:t>
      </w:r>
      <w:r w:rsidR="00BB648F">
        <w:t xml:space="preserve">search </w:t>
      </w:r>
      <w:r w:rsidRPr="003215C5">
        <w:t xml:space="preserve">for the most appropriate model </w:t>
      </w:r>
      <w:r w:rsidR="00BB648F">
        <w:t xml:space="preserve">of </w:t>
      </w:r>
      <w:r w:rsidRPr="003215C5">
        <w:t xml:space="preserve">affirmative action, it is difficult not to see the </w:t>
      </w:r>
      <w:r w:rsidR="00FE55D0">
        <w:t>advantages and disadvantages</w:t>
      </w:r>
      <w:r w:rsidRPr="003215C5">
        <w:t xml:space="preserve"> of each model individually. Sometimes it will be possible to </w:t>
      </w:r>
      <w:r w:rsidR="00BE2E45" w:rsidRPr="003215C5">
        <w:t xml:space="preserve">coalesce around a single </w:t>
      </w:r>
      <w:r w:rsidRPr="003215C5">
        <w:t>alternative</w:t>
      </w:r>
      <w:r w:rsidR="00BE2E45" w:rsidRPr="003215C5">
        <w:t>,</w:t>
      </w:r>
      <w:r w:rsidRPr="003215C5">
        <w:t xml:space="preserve"> and sometimes the public administration needs to </w:t>
      </w:r>
      <w:r w:rsidR="00BE2E45" w:rsidRPr="003215C5">
        <w:t xml:space="preserve">choose </w:t>
      </w:r>
      <w:r w:rsidRPr="003215C5">
        <w:t xml:space="preserve">a </w:t>
      </w:r>
      <w:r w:rsidR="004D35AD">
        <w:t>particular</w:t>
      </w:r>
      <w:r w:rsidRPr="003215C5">
        <w:t xml:space="preserve"> </w:t>
      </w:r>
      <w:r w:rsidR="00BE2E45" w:rsidRPr="003215C5">
        <w:t>path</w:t>
      </w:r>
      <w:r w:rsidRPr="003215C5">
        <w:t xml:space="preserve">. </w:t>
      </w:r>
      <w:r w:rsidRPr="000D37DC">
        <w:t>The first model is of</w:t>
      </w:r>
      <w:r w:rsidRPr="003215C5">
        <w:rPr>
          <w:i/>
          <w:iCs/>
        </w:rPr>
        <w:t xml:space="preserve"> group blindness</w:t>
      </w:r>
      <w:r w:rsidRPr="003215C5">
        <w:t xml:space="preserve">, which suggests that each stage of selection and recruitment will </w:t>
      </w:r>
      <w:r w:rsidRPr="003215C5">
        <w:lastRenderedPageBreak/>
        <w:t xml:space="preserve">allow for a choice that does not reveal the group affiliation of the </w:t>
      </w:r>
      <w:r w:rsidR="00BE2E45" w:rsidRPr="003215C5">
        <w:t xml:space="preserve">person vying </w:t>
      </w:r>
      <w:r w:rsidRPr="003215C5">
        <w:t>for the position.</w:t>
      </w:r>
      <w:r w:rsidR="00FD2B10" w:rsidRPr="003215C5">
        <w:rPr>
          <w:rStyle w:val="FootnoteReference"/>
        </w:rPr>
        <w:footnoteReference w:id="60"/>
      </w:r>
      <w:r w:rsidRPr="003215C5">
        <w:t xml:space="preserve"> However, beyond the selection process, which usually includes a </w:t>
      </w:r>
      <w:r w:rsidR="00BE2E45" w:rsidRPr="003215C5">
        <w:t xml:space="preserve">stage of </w:t>
      </w:r>
      <w:r w:rsidRPr="003215C5">
        <w:t xml:space="preserve">direct and personal impression </w:t>
      </w:r>
      <w:r w:rsidR="00BE2E45" w:rsidRPr="003215C5">
        <w:t xml:space="preserve">of </w:t>
      </w:r>
      <w:r w:rsidRPr="003215C5">
        <w:t xml:space="preserve">the candidate, it is well known that a </w:t>
      </w:r>
      <w:r w:rsidR="00BE2E45" w:rsidRPr="003215C5">
        <w:t xml:space="preserve">perusal </w:t>
      </w:r>
      <w:r w:rsidRPr="003215C5">
        <w:t xml:space="preserve">of </w:t>
      </w:r>
      <w:r w:rsidR="006E11C8">
        <w:t>an individual’s</w:t>
      </w:r>
      <w:r w:rsidR="00BE2E45" w:rsidRPr="003215C5">
        <w:t xml:space="preserve"> </w:t>
      </w:r>
      <w:r w:rsidRPr="003215C5">
        <w:t>resume can give an impression of the candidate</w:t>
      </w:r>
      <w:r w:rsidR="008578D4" w:rsidRPr="003215C5">
        <w:t>’</w:t>
      </w:r>
      <w:r w:rsidRPr="003215C5">
        <w:t>s gender</w:t>
      </w:r>
      <w:r w:rsidR="00BE2E45" w:rsidRPr="003215C5">
        <w:t>,</w:t>
      </w:r>
      <w:r w:rsidRPr="003215C5">
        <w:t xml:space="preserve"> and sometimes the candidate</w:t>
      </w:r>
      <w:r w:rsidR="008578D4" w:rsidRPr="003215C5">
        <w:t>’</w:t>
      </w:r>
      <w:r w:rsidRPr="003215C5">
        <w:t>s name may indicate his</w:t>
      </w:r>
      <w:r w:rsidR="006E11C8">
        <w:t xml:space="preserve"> or her </w:t>
      </w:r>
      <w:r w:rsidRPr="003215C5">
        <w:t xml:space="preserve">group affiliation. </w:t>
      </w:r>
      <w:r w:rsidR="00BE2E45" w:rsidRPr="003215C5">
        <w:t>T</w:t>
      </w:r>
      <w:r w:rsidRPr="003215C5">
        <w:t xml:space="preserve">o ensure </w:t>
      </w:r>
      <w:r w:rsidR="00BE2E45" w:rsidRPr="003215C5">
        <w:t xml:space="preserve">encouragement of </w:t>
      </w:r>
      <w:r w:rsidRPr="003215C5">
        <w:t>selection from a</w:t>
      </w:r>
      <w:r w:rsidR="00BE2E45" w:rsidRPr="003215C5">
        <w:t>n</w:t>
      </w:r>
      <w:r w:rsidRPr="003215C5">
        <w:t xml:space="preserve"> </w:t>
      </w:r>
      <w:r w:rsidR="00BE2E45" w:rsidRPr="003215C5">
        <w:t xml:space="preserve">under-represented </w:t>
      </w:r>
      <w:r w:rsidRPr="003215C5">
        <w:t xml:space="preserve">group, there is </w:t>
      </w:r>
      <w:r w:rsidR="00BB3817" w:rsidRPr="003215C5">
        <w:t>a</w:t>
      </w:r>
      <w:r w:rsidRPr="003215C5">
        <w:t xml:space="preserve"> </w:t>
      </w:r>
      <w:r w:rsidR="00BE2E45" w:rsidRPr="003215C5">
        <w:t xml:space="preserve">model of </w:t>
      </w:r>
      <w:r w:rsidRPr="003215C5">
        <w:t>incentive</w:t>
      </w:r>
      <w:r w:rsidR="00BE2E45" w:rsidRPr="003215C5">
        <w:t>s</w:t>
      </w:r>
      <w:r w:rsidRPr="003215C5">
        <w:t xml:space="preserve"> for submitting applications </w:t>
      </w:r>
      <w:r w:rsidR="00BB648F">
        <w:t>–</w:t>
      </w:r>
      <w:r w:rsidRPr="003215C5">
        <w:t xml:space="preserve"> usually through dedicated tenders in which the target group </w:t>
      </w:r>
      <w:r w:rsidR="008578D4" w:rsidRPr="003215C5">
        <w:t>‘</w:t>
      </w:r>
      <w:r w:rsidRPr="003215C5">
        <w:t>enjoys</w:t>
      </w:r>
      <w:r w:rsidR="008578D4" w:rsidRPr="003215C5">
        <w:t>’</w:t>
      </w:r>
      <w:r w:rsidRPr="003215C5">
        <w:t xml:space="preserve"> the elimination of competition from the majority group.</w:t>
      </w:r>
    </w:p>
    <w:p w14:paraId="5D7DA9F8" w14:textId="6BAC3F5D" w:rsidR="004E586C" w:rsidRPr="003215C5" w:rsidRDefault="004E586C" w:rsidP="00286484">
      <w:pPr>
        <w:spacing w:line="360" w:lineRule="auto"/>
        <w:ind w:firstLine="720"/>
        <w:jc w:val="both"/>
      </w:pPr>
      <w:r w:rsidRPr="003215C5">
        <w:t xml:space="preserve">Three additional models seek to ensure affirmative action </w:t>
      </w:r>
      <w:r w:rsidR="00BB648F">
        <w:t>via</w:t>
      </w:r>
      <w:r w:rsidRPr="003215C5">
        <w:t xml:space="preserve"> </w:t>
      </w:r>
      <w:r w:rsidR="007810EF" w:rsidRPr="003215C5">
        <w:t>merit</w:t>
      </w:r>
      <w:r w:rsidRPr="003215C5">
        <w:t xml:space="preserve"> values. The first advocates a </w:t>
      </w:r>
      <w:r w:rsidRPr="003215C5">
        <w:rPr>
          <w:i/>
          <w:iCs/>
        </w:rPr>
        <w:t>rigid preference</w:t>
      </w:r>
      <w:r w:rsidRPr="003215C5">
        <w:t xml:space="preserve"> </w:t>
      </w:r>
      <w:r w:rsidR="00BB648F">
        <w:t>–</w:t>
      </w:r>
      <w:r w:rsidRPr="003215C5">
        <w:t xml:space="preserve"> intervening in </w:t>
      </w:r>
      <w:r w:rsidR="007810EF" w:rsidRPr="003215C5">
        <w:t>merit</w:t>
      </w:r>
      <w:r w:rsidRPr="003215C5">
        <w:t xml:space="preserve"> values ​​and setting low threshold conditions</w:t>
      </w:r>
      <w:r w:rsidR="00BE2E45" w:rsidRPr="003215C5">
        <w:t>,</w:t>
      </w:r>
      <w:r w:rsidRPr="003215C5">
        <w:t xml:space="preserve"> or accepting candidates with lower qualifications than the </w:t>
      </w:r>
      <w:r w:rsidR="00BB648F">
        <w:t xml:space="preserve">prescribed </w:t>
      </w:r>
      <w:r w:rsidRPr="003215C5">
        <w:t>threshold conditions. This option is less popular</w:t>
      </w:r>
      <w:r w:rsidR="00BE2E45" w:rsidRPr="003215C5">
        <w:t>,</w:t>
      </w:r>
      <w:r w:rsidRPr="003215C5">
        <w:t xml:space="preserve"> and usually does not meet the constitutional test of</w:t>
      </w:r>
      <w:r w:rsidR="00FE55D0">
        <w:t xml:space="preserve"> not</w:t>
      </w:r>
      <w:r w:rsidRPr="003215C5">
        <w:t xml:space="preserve"> violating the values ​​of equality</w:t>
      </w:r>
      <w:r w:rsidR="00FE55D0">
        <w:t>. N</w:t>
      </w:r>
      <w:r w:rsidR="00BE2E45" w:rsidRPr="003215C5">
        <w:t xml:space="preserve">either </w:t>
      </w:r>
      <w:r w:rsidRPr="003215C5">
        <w:t xml:space="preserve">does </w:t>
      </w:r>
      <w:r w:rsidR="00BE2E45" w:rsidRPr="003215C5">
        <w:t xml:space="preserve">it </w:t>
      </w:r>
      <w:r w:rsidRPr="003215C5">
        <w:t xml:space="preserve">even </w:t>
      </w:r>
      <w:r w:rsidR="00BE2E45" w:rsidRPr="003215C5">
        <w:t xml:space="preserve">truly </w:t>
      </w:r>
      <w:r w:rsidRPr="003215C5">
        <w:t>serve the target group</w:t>
      </w:r>
      <w:r w:rsidR="00BE2E45" w:rsidRPr="003215C5">
        <w:t>,</w:t>
      </w:r>
      <w:r w:rsidRPr="003215C5">
        <w:t xml:space="preserve"> </w:t>
      </w:r>
      <w:r w:rsidR="00FE55D0">
        <w:t>as it perpetuates a stigma and increases</w:t>
      </w:r>
      <w:r w:rsidR="00BE2E45" w:rsidRPr="003215C5">
        <w:t xml:space="preserve"> </w:t>
      </w:r>
      <w:r w:rsidRPr="003215C5">
        <w:t xml:space="preserve">opposition </w:t>
      </w:r>
      <w:r w:rsidR="00BE2E45" w:rsidRPr="003215C5">
        <w:t xml:space="preserve">towards it from </w:t>
      </w:r>
      <w:r w:rsidRPr="003215C5">
        <w:t>the majority</w:t>
      </w:r>
      <w:r w:rsidR="00FE55D0">
        <w:t xml:space="preserve">. </w:t>
      </w:r>
      <w:r w:rsidRPr="003215C5">
        <w:t>Another</w:t>
      </w:r>
      <w:r w:rsidR="00BE2E45" w:rsidRPr="003215C5">
        <w:t>, third,</w:t>
      </w:r>
      <w:r w:rsidRPr="003215C5">
        <w:t xml:space="preserve"> model, is that of a </w:t>
      </w:r>
      <w:r w:rsidRPr="003215C5">
        <w:rPr>
          <w:i/>
          <w:iCs/>
        </w:rPr>
        <w:t>tie-breaker</w:t>
      </w:r>
      <w:r w:rsidRPr="003215C5">
        <w:t xml:space="preserve"> </w:t>
      </w:r>
      <w:r w:rsidR="00BB648F">
        <w:t>–</w:t>
      </w:r>
      <w:r w:rsidRPr="003215C5">
        <w:t xml:space="preserve"> choosing a candidate who belongs to the target population over another candidate given </w:t>
      </w:r>
      <w:r w:rsidR="00BB648F">
        <w:t xml:space="preserve">identical </w:t>
      </w:r>
      <w:r w:rsidRPr="003215C5">
        <w:t xml:space="preserve">or </w:t>
      </w:r>
      <w:r w:rsidR="00BB648F">
        <w:t xml:space="preserve">similar </w:t>
      </w:r>
      <w:r w:rsidRPr="003215C5">
        <w:t>qualifications.</w:t>
      </w:r>
      <w:r w:rsidR="0019342C" w:rsidRPr="003215C5">
        <w:rPr>
          <w:rStyle w:val="FootnoteReference"/>
        </w:rPr>
        <w:footnoteReference w:id="61"/>
      </w:r>
      <w:r w:rsidRPr="003215C5">
        <w:t xml:space="preserve"> This method is often adopted for the purpose of adequate representation for women. The tiebreaker does not change </w:t>
      </w:r>
      <w:r w:rsidR="00BE2E45" w:rsidRPr="003215C5">
        <w:t>the rules of the game in terms of m</w:t>
      </w:r>
      <w:r w:rsidR="007810EF" w:rsidRPr="003215C5">
        <w:t>erit</w:t>
      </w:r>
      <w:r w:rsidR="00BE2E45" w:rsidRPr="003215C5">
        <w:t xml:space="preserve">, </w:t>
      </w:r>
      <w:r w:rsidR="00FE55D0">
        <w:t xml:space="preserve">but is applies </w:t>
      </w:r>
      <w:r w:rsidRPr="003215C5">
        <w:t xml:space="preserve">only in the final stage, when we are faced with two </w:t>
      </w:r>
      <w:r w:rsidR="00BE2E45" w:rsidRPr="003215C5">
        <w:t xml:space="preserve">candidates who are </w:t>
      </w:r>
      <w:r w:rsidRPr="003215C5">
        <w:t>equal</w:t>
      </w:r>
      <w:r w:rsidR="00BE2E45" w:rsidRPr="003215C5">
        <w:t>s</w:t>
      </w:r>
      <w:r w:rsidRPr="003215C5">
        <w:t xml:space="preserve"> in terms of skills and </w:t>
      </w:r>
      <w:r w:rsidR="00BE2E45" w:rsidRPr="003215C5">
        <w:t>attributes</w:t>
      </w:r>
      <w:r w:rsidR="006E11C8">
        <w:t>. H</w:t>
      </w:r>
      <w:r w:rsidRPr="003215C5">
        <w:t>ere</w:t>
      </w:r>
      <w:r w:rsidR="00BE2E45" w:rsidRPr="003215C5">
        <w:t>,</w:t>
      </w:r>
      <w:r w:rsidRPr="003215C5">
        <w:t xml:space="preserve"> the model allows the candidate belonging to </w:t>
      </w:r>
      <w:r w:rsidR="00BE2E45" w:rsidRPr="003215C5">
        <w:t xml:space="preserve">the </w:t>
      </w:r>
      <w:r w:rsidRPr="003215C5">
        <w:t xml:space="preserve">group suffering from under-representation to be preferred. The fourth model in the context of </w:t>
      </w:r>
      <w:r w:rsidR="00BE2E45" w:rsidRPr="003215C5">
        <w:t>m</w:t>
      </w:r>
      <w:r w:rsidR="007810EF" w:rsidRPr="003215C5">
        <w:t>erit</w:t>
      </w:r>
      <w:r w:rsidRPr="003215C5">
        <w:t xml:space="preserve"> is a </w:t>
      </w:r>
      <w:r w:rsidRPr="003215C5">
        <w:rPr>
          <w:i/>
          <w:iCs/>
        </w:rPr>
        <w:t>range of skills</w:t>
      </w:r>
      <w:r w:rsidRPr="003215C5">
        <w:t xml:space="preserve"> </w:t>
      </w:r>
      <w:r w:rsidR="00BB648F">
        <w:t>–</w:t>
      </w:r>
      <w:r w:rsidRPr="003215C5">
        <w:t xml:space="preserve"> this method </w:t>
      </w:r>
      <w:r w:rsidR="00BE2E45" w:rsidRPr="003215C5">
        <w:t>relaxes</w:t>
      </w:r>
      <w:r w:rsidRPr="003215C5">
        <w:t xml:space="preserve"> the </w:t>
      </w:r>
      <w:r w:rsidR="00BE2E45" w:rsidRPr="003215C5">
        <w:t>m</w:t>
      </w:r>
      <w:r w:rsidR="007810EF" w:rsidRPr="003215C5">
        <w:t>erit</w:t>
      </w:r>
      <w:r w:rsidRPr="003215C5">
        <w:t xml:space="preserve"> values</w:t>
      </w:r>
      <w:r w:rsidR="00BE2E45" w:rsidRPr="003215C5">
        <w:t>,</w:t>
      </w:r>
      <w:r w:rsidRPr="003215C5">
        <w:t xml:space="preserve"> ​​while maintaining equality as much as possible </w:t>
      </w:r>
      <w:r w:rsidR="00632630" w:rsidRPr="003215C5">
        <w:t xml:space="preserve">by </w:t>
      </w:r>
      <w:r w:rsidRPr="003215C5">
        <w:t>providing a list of parallel skills</w:t>
      </w:r>
      <w:r w:rsidR="00632630" w:rsidRPr="003215C5">
        <w:t>,</w:t>
      </w:r>
      <w:r w:rsidRPr="003215C5">
        <w:t xml:space="preserve"> and in this way </w:t>
      </w:r>
      <w:r w:rsidR="00632630" w:rsidRPr="003215C5">
        <w:t xml:space="preserve">facilitates </w:t>
      </w:r>
      <w:r w:rsidR="00BB648F">
        <w:t xml:space="preserve">recruiting </w:t>
      </w:r>
      <w:r w:rsidRPr="003215C5">
        <w:t xml:space="preserve">additional candidates for </w:t>
      </w:r>
      <w:r w:rsidR="00632630" w:rsidRPr="003215C5">
        <w:t xml:space="preserve">a </w:t>
      </w:r>
      <w:r w:rsidRPr="003215C5">
        <w:t xml:space="preserve">position. This method combines flexibility in the </w:t>
      </w:r>
      <w:r w:rsidR="007810EF" w:rsidRPr="003215C5">
        <w:t>merit</w:t>
      </w:r>
      <w:r w:rsidRPr="003215C5">
        <w:t xml:space="preserve"> values ​​with the </w:t>
      </w:r>
      <w:r w:rsidR="00632630" w:rsidRPr="003215C5">
        <w:t xml:space="preserve">tiebreaker </w:t>
      </w:r>
      <w:r w:rsidRPr="003215C5">
        <w:t>method</w:t>
      </w:r>
      <w:r w:rsidR="00632630" w:rsidRPr="003215C5">
        <w:t>,</w:t>
      </w:r>
      <w:r w:rsidRPr="003215C5">
        <w:t xml:space="preserve"> and given similar skills</w:t>
      </w:r>
      <w:r w:rsidR="00632630" w:rsidRPr="003215C5">
        <w:t>,</w:t>
      </w:r>
      <w:r w:rsidRPr="003215C5">
        <w:t xml:space="preserve"> will prefer the candidate who </w:t>
      </w:r>
      <w:r w:rsidR="00632630" w:rsidRPr="003215C5">
        <w:t xml:space="preserve">belongs to </w:t>
      </w:r>
      <w:r w:rsidRPr="003215C5">
        <w:t>the target group.</w:t>
      </w:r>
      <w:r w:rsidR="00FD2B10" w:rsidRPr="003215C5">
        <w:rPr>
          <w:rStyle w:val="FootnoteReference"/>
        </w:rPr>
        <w:footnoteReference w:id="62"/>
      </w:r>
    </w:p>
    <w:p w14:paraId="38EE7778" w14:textId="4E5169C1" w:rsidR="004E586C" w:rsidRPr="003215C5" w:rsidRDefault="004E586C" w:rsidP="00286484">
      <w:pPr>
        <w:spacing w:line="360" w:lineRule="auto"/>
        <w:ind w:firstLine="720"/>
        <w:jc w:val="both"/>
      </w:pPr>
      <w:r w:rsidRPr="003215C5">
        <w:t xml:space="preserve">Another model, the most controversial, is the </w:t>
      </w:r>
      <w:r w:rsidRPr="003215C5">
        <w:rPr>
          <w:i/>
          <w:iCs/>
        </w:rPr>
        <w:t>quota</w:t>
      </w:r>
      <w:r w:rsidRPr="003215C5">
        <w:t xml:space="preserve"> model </w:t>
      </w:r>
      <w:r w:rsidR="00BB648F">
        <w:t>–</w:t>
      </w:r>
      <w:r w:rsidRPr="003215C5">
        <w:t xml:space="preserve"> that is, </w:t>
      </w:r>
      <w:r w:rsidR="003215C5" w:rsidRPr="003215C5">
        <w:t xml:space="preserve">prefixed allocation of </w:t>
      </w:r>
      <w:r w:rsidRPr="003215C5">
        <w:t xml:space="preserve">employment </w:t>
      </w:r>
      <w:r w:rsidR="003215C5" w:rsidRPr="003215C5">
        <w:t xml:space="preserve">positions </w:t>
      </w:r>
      <w:r w:rsidR="00BB648F">
        <w:t xml:space="preserve">to </w:t>
      </w:r>
      <w:r w:rsidRPr="003215C5">
        <w:t xml:space="preserve">the target group. This can be done through quotas of dedicated tenders, as is customary </w:t>
      </w:r>
      <w:r w:rsidR="006E11C8">
        <w:t>in</w:t>
      </w:r>
      <w:r w:rsidR="008F3703">
        <w:t xml:space="preserve"> encourag</w:t>
      </w:r>
      <w:r w:rsidR="006E11C8">
        <w:t>ing</w:t>
      </w:r>
      <w:r w:rsidR="008F3703">
        <w:t xml:space="preserve"> people t</w:t>
      </w:r>
      <w:r w:rsidRPr="003215C5">
        <w:t>o apply</w:t>
      </w:r>
      <w:r w:rsidR="008F3703">
        <w:t>. Ho</w:t>
      </w:r>
      <w:r w:rsidRPr="003215C5">
        <w:t>wever</w:t>
      </w:r>
      <w:r w:rsidR="003215C5" w:rsidRPr="003215C5">
        <w:t>,</w:t>
      </w:r>
      <w:r w:rsidRPr="003215C5">
        <w:t xml:space="preserve"> this method has been mentioned mainly </w:t>
      </w:r>
      <w:r w:rsidR="003215C5" w:rsidRPr="003215C5">
        <w:t xml:space="preserve">for </w:t>
      </w:r>
      <w:r w:rsidR="00BB648F">
        <w:t xml:space="preserve">its </w:t>
      </w:r>
      <w:r w:rsidRPr="003215C5">
        <w:t xml:space="preserve">negative </w:t>
      </w:r>
      <w:r w:rsidR="003215C5" w:rsidRPr="003215C5">
        <w:t xml:space="preserve">aspect, </w:t>
      </w:r>
      <w:r w:rsidR="006E11C8">
        <w:t xml:space="preserve">which entails </w:t>
      </w:r>
      <w:r w:rsidRPr="003215C5">
        <w:t xml:space="preserve">allowing </w:t>
      </w:r>
      <w:r w:rsidR="006E11C8">
        <w:t xml:space="preserve">the </w:t>
      </w:r>
      <w:r w:rsidRPr="003215C5">
        <w:t xml:space="preserve">pre-reservation of jobs for almost every claimant from the target group to be </w:t>
      </w:r>
      <w:r w:rsidRPr="003215C5">
        <w:lastRenderedPageBreak/>
        <w:t>selected</w:t>
      </w:r>
      <w:r w:rsidR="003215C5" w:rsidRPr="003215C5">
        <w:t>,</w:t>
      </w:r>
      <w:r w:rsidRPr="003215C5">
        <w:t xml:space="preserve"> even </w:t>
      </w:r>
      <w:r w:rsidR="003215C5" w:rsidRPr="003215C5">
        <w:t xml:space="preserve">if </w:t>
      </w:r>
      <w:r w:rsidRPr="003215C5">
        <w:t xml:space="preserve">his </w:t>
      </w:r>
      <w:r w:rsidR="003215C5" w:rsidRPr="003215C5">
        <w:t xml:space="preserve">or her </w:t>
      </w:r>
      <w:r w:rsidRPr="003215C5">
        <w:t>skills are much lower</w:t>
      </w:r>
      <w:r w:rsidR="003215C5" w:rsidRPr="003215C5">
        <w:t xml:space="preserve"> than the skills of members of the majority group</w:t>
      </w:r>
      <w:r w:rsidRPr="003215C5">
        <w:t>.</w:t>
      </w:r>
      <w:r w:rsidR="0019342C" w:rsidRPr="003215C5">
        <w:rPr>
          <w:rStyle w:val="FootnoteReference"/>
        </w:rPr>
        <w:footnoteReference w:id="63"/>
      </w:r>
      <w:r w:rsidRPr="003215C5">
        <w:t xml:space="preserve"> In the Weber</w:t>
      </w:r>
      <w:r w:rsidR="0019342C" w:rsidRPr="003215C5">
        <w:rPr>
          <w:rStyle w:val="FootnoteReference"/>
        </w:rPr>
        <w:footnoteReference w:id="64"/>
      </w:r>
      <w:r w:rsidRPr="003215C5">
        <w:t xml:space="preserve"> case, the Supreme Court of the United States addressed the question of the legality of setting </w:t>
      </w:r>
      <w:r w:rsidR="00BB648F">
        <w:t xml:space="preserve">affirmative action </w:t>
      </w:r>
      <w:r w:rsidRPr="003215C5">
        <w:t>quotas,</w:t>
      </w:r>
      <w:r w:rsidR="0019342C" w:rsidRPr="003215C5">
        <w:rPr>
          <w:rStyle w:val="FootnoteReference"/>
        </w:rPr>
        <w:footnoteReference w:id="65"/>
      </w:r>
      <w:r w:rsidRPr="003215C5">
        <w:t xml:space="preserve"> and </w:t>
      </w:r>
      <w:r w:rsidR="00BB648F">
        <w:t xml:space="preserve">ruled </w:t>
      </w:r>
      <w:r w:rsidRPr="003215C5">
        <w:t>by a majority</w:t>
      </w:r>
      <w:r w:rsidR="003215C5" w:rsidRPr="003215C5">
        <w:t>,</w:t>
      </w:r>
      <w:r w:rsidRPr="003215C5">
        <w:t xml:space="preserve"> that in those circumstances, the quota plan was proportionate, despite the notion that setting quotas was prohibited.</w:t>
      </w:r>
      <w:r w:rsidR="0019342C" w:rsidRPr="003215C5">
        <w:rPr>
          <w:rStyle w:val="FootnoteReference"/>
        </w:rPr>
        <w:footnoteReference w:id="66"/>
      </w:r>
      <w:r w:rsidRPr="003215C5">
        <w:t xml:space="preserve"> This approach </w:t>
      </w:r>
      <w:r w:rsidR="003215C5" w:rsidRPr="003215C5">
        <w:t xml:space="preserve">by </w:t>
      </w:r>
      <w:r w:rsidRPr="003215C5">
        <w:t xml:space="preserve">the Court in the Weber case differs from that of </w:t>
      </w:r>
      <w:r w:rsidR="008F3703">
        <w:t>Justice</w:t>
      </w:r>
      <w:r w:rsidRPr="003215C5">
        <w:t xml:space="preserve"> Powell</w:t>
      </w:r>
      <w:r w:rsidR="008F3703">
        <w:t>’s previously holding</w:t>
      </w:r>
      <w:r w:rsidRPr="003215C5">
        <w:t xml:space="preserve"> in the Bakke case</w:t>
      </w:r>
      <w:r w:rsidR="003215C5" w:rsidRPr="003215C5">
        <w:t>,</w:t>
      </w:r>
      <w:r w:rsidRPr="003215C5">
        <w:t xml:space="preserve"> that affirmative action </w:t>
      </w:r>
      <w:r w:rsidR="003215C5" w:rsidRPr="003215C5">
        <w:t xml:space="preserve">by </w:t>
      </w:r>
      <w:r w:rsidRPr="003215C5">
        <w:t>quota</w:t>
      </w:r>
      <w:r w:rsidR="003215C5" w:rsidRPr="003215C5">
        <w:t xml:space="preserve"> </w:t>
      </w:r>
      <w:r w:rsidRPr="003215C5">
        <w:t xml:space="preserve">is disproportionate, </w:t>
      </w:r>
      <w:r w:rsidR="008F3703">
        <w:t>a</w:t>
      </w:r>
      <w:r w:rsidRPr="003215C5">
        <w:t xml:space="preserve"> </w:t>
      </w:r>
      <w:r w:rsidR="003215C5" w:rsidRPr="003215C5">
        <w:t xml:space="preserve">position </w:t>
      </w:r>
      <w:r w:rsidRPr="003215C5">
        <w:t xml:space="preserve">he </w:t>
      </w:r>
      <w:r w:rsidR="003215C5" w:rsidRPr="003215C5">
        <w:t xml:space="preserve">reiterated </w:t>
      </w:r>
      <w:r w:rsidRPr="003215C5">
        <w:t>in later rulings.</w:t>
      </w:r>
      <w:r w:rsidR="0019342C" w:rsidRPr="003215C5">
        <w:rPr>
          <w:rStyle w:val="FootnoteReference"/>
        </w:rPr>
        <w:footnoteReference w:id="67"/>
      </w:r>
      <w:r w:rsidRPr="003215C5">
        <w:t xml:space="preserve"> It may be possible to point </w:t>
      </w:r>
      <w:r w:rsidR="00BB648F">
        <w:t xml:space="preserve">to </w:t>
      </w:r>
      <w:r w:rsidRPr="003215C5">
        <w:t xml:space="preserve">the difference between the </w:t>
      </w:r>
      <w:r w:rsidR="00BB648F">
        <w:t>C</w:t>
      </w:r>
      <w:r w:rsidRPr="003215C5">
        <w:t>ourt</w:t>
      </w:r>
      <w:r w:rsidR="008578D4" w:rsidRPr="003215C5">
        <w:t>’</w:t>
      </w:r>
      <w:r w:rsidRPr="003215C5">
        <w:t>s treatment or intervention</w:t>
      </w:r>
      <w:r w:rsidR="006E11C8">
        <w:t>s</w:t>
      </w:r>
      <w:r w:rsidRPr="003215C5">
        <w:t xml:space="preserve"> in the private sector on the one hand</w:t>
      </w:r>
      <w:r w:rsidR="003215C5" w:rsidRPr="003215C5">
        <w:t>,</w:t>
      </w:r>
      <w:r w:rsidRPr="003215C5">
        <w:t xml:space="preserve"> and the public sector on the other, when the prevailing view is that quotas should not be allowed</w:t>
      </w:r>
      <w:r w:rsidR="008F3703" w:rsidRPr="008F3703">
        <w:t xml:space="preserve"> </w:t>
      </w:r>
      <w:r w:rsidR="008F3703" w:rsidRPr="003215C5">
        <w:t>in the public sector</w:t>
      </w:r>
      <w:r w:rsidR="003215C5" w:rsidRPr="003215C5">
        <w:t>,</w:t>
      </w:r>
      <w:r w:rsidRPr="003215C5">
        <w:t xml:space="preserve"> </w:t>
      </w:r>
      <w:r w:rsidR="003215C5" w:rsidRPr="003215C5">
        <w:t xml:space="preserve">since they </w:t>
      </w:r>
      <w:r w:rsidRPr="003215C5">
        <w:t xml:space="preserve">constitute a rigid determination. But since the law </w:t>
      </w:r>
      <w:r w:rsidR="006226FD">
        <w:t>regarding</w:t>
      </w:r>
      <w:r w:rsidRPr="003215C5">
        <w:t xml:space="preserve"> affirmative action </w:t>
      </w:r>
      <w:r w:rsidR="003215C5" w:rsidRPr="003215C5">
        <w:t>presents it</w:t>
      </w:r>
      <w:r w:rsidR="00603EDD">
        <w:t>s provisions</w:t>
      </w:r>
      <w:r w:rsidR="003215C5" w:rsidRPr="003215C5">
        <w:t>,</w:t>
      </w:r>
      <w:r w:rsidRPr="003215C5">
        <w:t xml:space="preserve"> but does not</w:t>
      </w:r>
      <w:r w:rsidR="00603EDD">
        <w:t xml:space="preserve"> provide instructions on applying it,</w:t>
      </w:r>
      <w:r w:rsidRPr="003215C5">
        <w:t xml:space="preserve"> administrative flexibility is possible</w:t>
      </w:r>
      <w:r w:rsidR="00603EDD">
        <w:t>, thus resulting in different methods of</w:t>
      </w:r>
      <w:r w:rsidRPr="003215C5">
        <w:t xml:space="preserve"> affirmative action</w:t>
      </w:r>
      <w:r w:rsidR="003215C5" w:rsidRPr="003215C5">
        <w:t>,</w:t>
      </w:r>
      <w:r w:rsidRPr="003215C5">
        <w:t xml:space="preserve"> and even </w:t>
      </w:r>
      <w:r w:rsidR="00603EDD">
        <w:t xml:space="preserve">of </w:t>
      </w:r>
      <w:r w:rsidRPr="003215C5">
        <w:t xml:space="preserve">setting quotas and </w:t>
      </w:r>
      <w:r w:rsidR="00603EDD">
        <w:t xml:space="preserve">making </w:t>
      </w:r>
      <w:r w:rsidRPr="003215C5">
        <w:t xml:space="preserve">changes. Thus, the </w:t>
      </w:r>
      <w:r w:rsidR="00603EDD">
        <w:t xml:space="preserve">U.S. Supreme </w:t>
      </w:r>
      <w:r w:rsidR="003215C5" w:rsidRPr="003215C5">
        <w:t>C</w:t>
      </w:r>
      <w:r w:rsidRPr="003215C5">
        <w:t xml:space="preserve">ourt found that since the quotas were not </w:t>
      </w:r>
      <w:r w:rsidR="00BB648F">
        <w:t xml:space="preserve">prescribed by </w:t>
      </w:r>
      <w:r w:rsidRPr="003215C5">
        <w:t xml:space="preserve">the </w:t>
      </w:r>
      <w:r w:rsidR="00BB648F">
        <w:t xml:space="preserve">wording </w:t>
      </w:r>
      <w:r w:rsidRPr="003215C5">
        <w:t>of the law</w:t>
      </w:r>
      <w:r w:rsidR="003215C5" w:rsidRPr="003215C5">
        <w:t>,</w:t>
      </w:r>
      <w:r w:rsidRPr="003215C5">
        <w:t xml:space="preserve"> but </w:t>
      </w:r>
      <w:r w:rsidR="003215C5" w:rsidRPr="003215C5">
        <w:t xml:space="preserve">were ordered </w:t>
      </w:r>
      <w:r w:rsidRPr="003215C5">
        <w:t xml:space="preserve">by the </w:t>
      </w:r>
      <w:r w:rsidR="003215C5" w:rsidRPr="003215C5">
        <w:t xml:space="preserve">Secretary of State, who </w:t>
      </w:r>
      <w:r w:rsidR="00BB648F">
        <w:t>wa</w:t>
      </w:r>
      <w:r w:rsidR="003215C5" w:rsidRPr="003215C5">
        <w:t xml:space="preserve">s also at liberty to </w:t>
      </w:r>
      <w:r w:rsidRPr="003215C5">
        <w:t>amend or repeal them, the</w:t>
      </w:r>
      <w:r w:rsidR="00BB648F">
        <w:t xml:space="preserve">y were </w:t>
      </w:r>
      <w:r w:rsidRPr="003215C5">
        <w:t xml:space="preserve">not </w:t>
      </w:r>
      <w:r w:rsidR="008578D4" w:rsidRPr="003215C5">
        <w:t>“</w:t>
      </w:r>
      <w:r w:rsidRPr="003215C5">
        <w:t>rigid</w:t>
      </w:r>
      <w:r w:rsidR="008578D4" w:rsidRPr="003215C5">
        <w:t>”</w:t>
      </w:r>
      <w:r w:rsidRPr="003215C5">
        <w:t xml:space="preserve"> quotas</w:t>
      </w:r>
      <w:r w:rsidR="003215C5" w:rsidRPr="003215C5">
        <w:t>,</w:t>
      </w:r>
      <w:r w:rsidRPr="003215C5">
        <w:t xml:space="preserve"> and therefore </w:t>
      </w:r>
      <w:r w:rsidR="003215C5" w:rsidRPr="003215C5">
        <w:t xml:space="preserve">were </w:t>
      </w:r>
      <w:r w:rsidRPr="003215C5">
        <w:t>constitutional and proportionate.</w:t>
      </w:r>
      <w:r w:rsidR="0019342C" w:rsidRPr="003215C5">
        <w:rPr>
          <w:rStyle w:val="FootnoteReference"/>
        </w:rPr>
        <w:footnoteReference w:id="68"/>
      </w:r>
      <w:r w:rsidRPr="003215C5">
        <w:t xml:space="preserve"> The balance reached by the United States Supreme Court </w:t>
      </w:r>
      <w:r w:rsidR="00603EDD">
        <w:t>supports</w:t>
      </w:r>
      <w:r w:rsidRPr="003215C5">
        <w:t xml:space="preserve"> the possibility of setting quotas which are not rigid</w:t>
      </w:r>
      <w:r w:rsidR="00603EDD">
        <w:t xml:space="preserve"> but temporary, </w:t>
      </w:r>
      <w:r w:rsidRPr="003215C5">
        <w:t xml:space="preserve">and </w:t>
      </w:r>
      <w:r w:rsidR="00603EDD">
        <w:t xml:space="preserve">which </w:t>
      </w:r>
      <w:r w:rsidRPr="003215C5">
        <w:t xml:space="preserve">do not create different threshold conditions for candidates to meet quotas </w:t>
      </w:r>
      <w:r w:rsidR="003215C5" w:rsidRPr="003215C5">
        <w:t xml:space="preserve">that have been </w:t>
      </w:r>
      <w:r w:rsidRPr="003215C5">
        <w:t>set.</w:t>
      </w:r>
      <w:r w:rsidR="0019342C" w:rsidRPr="003215C5">
        <w:rPr>
          <w:rStyle w:val="FootnoteReference"/>
        </w:rPr>
        <w:footnoteReference w:id="69"/>
      </w:r>
      <w:r w:rsidRPr="003215C5">
        <w:t xml:space="preserve"> This approach </w:t>
      </w:r>
      <w:r w:rsidR="003215C5" w:rsidRPr="003215C5">
        <w:t>wa</w:t>
      </w:r>
      <w:r w:rsidRPr="003215C5">
        <w:t xml:space="preserve">s also </w:t>
      </w:r>
      <w:r w:rsidR="00BB648F">
        <w:t xml:space="preserve">adopted </w:t>
      </w:r>
      <w:r w:rsidRPr="003215C5">
        <w:t>in Europe in the case of women, and it allows for adequate representation.</w:t>
      </w:r>
      <w:r w:rsidR="0019342C" w:rsidRPr="003215C5">
        <w:rPr>
          <w:rStyle w:val="FootnoteReference"/>
        </w:rPr>
        <w:footnoteReference w:id="70"/>
      </w:r>
      <w:r w:rsidRPr="003215C5">
        <w:t xml:space="preserve"> Compared to th</w:t>
      </w:r>
      <w:r w:rsidR="003215C5" w:rsidRPr="003215C5">
        <w:t>e</w:t>
      </w:r>
      <w:r w:rsidRPr="003215C5">
        <w:t xml:space="preserve"> Weber approach that has taken root in both American and European law, Canada takes a less </w:t>
      </w:r>
      <w:r w:rsidR="00BB648F" w:rsidRPr="003215C5">
        <w:t>inflexible</w:t>
      </w:r>
      <w:r w:rsidRPr="003215C5">
        <w:t xml:space="preserve"> approach</w:t>
      </w:r>
      <w:r w:rsidR="003215C5" w:rsidRPr="003215C5">
        <w:t>,</w:t>
      </w:r>
      <w:r w:rsidRPr="003215C5">
        <w:t xml:space="preserve"> and </w:t>
      </w:r>
      <w:r w:rsidR="00BB648F">
        <w:t xml:space="preserve">does permit </w:t>
      </w:r>
      <w:r w:rsidRPr="003215C5">
        <w:t xml:space="preserve">rigid quotas for women </w:t>
      </w:r>
      <w:r w:rsidR="00BB648F">
        <w:t xml:space="preserve">in the setting of </w:t>
      </w:r>
      <w:r w:rsidRPr="003215C5">
        <w:t>affirmative action programs.</w:t>
      </w:r>
      <w:r w:rsidR="0019342C" w:rsidRPr="003215C5">
        <w:rPr>
          <w:rStyle w:val="FootnoteReference"/>
        </w:rPr>
        <w:footnoteReference w:id="71"/>
      </w:r>
    </w:p>
    <w:p w14:paraId="318081DF" w14:textId="6BD326F4" w:rsidR="004E586C" w:rsidRPr="003215C5" w:rsidRDefault="004E586C" w:rsidP="00286484">
      <w:pPr>
        <w:spacing w:line="360" w:lineRule="auto"/>
        <w:ind w:firstLine="720"/>
        <w:jc w:val="both"/>
      </w:pPr>
      <w:r w:rsidRPr="00FB2AE7">
        <w:lastRenderedPageBreak/>
        <w:t xml:space="preserve">Developments in recent decades on the issue of affirmative action </w:t>
      </w:r>
      <w:r w:rsidR="003215C5" w:rsidRPr="00FB2AE7">
        <w:t xml:space="preserve">around </w:t>
      </w:r>
      <w:r w:rsidRPr="00FB2AE7">
        <w:t xml:space="preserve">the world, and the momentum that this idea has received in comparative </w:t>
      </w:r>
      <w:r w:rsidR="003215C5" w:rsidRPr="00FB2AE7">
        <w:t xml:space="preserve">employment </w:t>
      </w:r>
      <w:r w:rsidRPr="00FB2AE7">
        <w:t xml:space="preserve">law, are the result of the aspiration to </w:t>
      </w:r>
      <w:r w:rsidR="00501210" w:rsidRPr="00FB2AE7">
        <w:t xml:space="preserve">promote </w:t>
      </w:r>
      <w:r w:rsidRPr="00FB2AE7">
        <w:t xml:space="preserve">civil rights that gained so much </w:t>
      </w:r>
      <w:r w:rsidR="00603EDD">
        <w:t>ground</w:t>
      </w:r>
      <w:r w:rsidRPr="00FB2AE7">
        <w:t xml:space="preserve"> in the United States in the 1950s. Only </w:t>
      </w:r>
      <w:r w:rsidR="00501210" w:rsidRPr="00FB2AE7">
        <w:t xml:space="preserve">in the context of </w:t>
      </w:r>
      <w:r w:rsidRPr="00FB2AE7">
        <w:t>the social and institutionali</w:t>
      </w:r>
      <w:r w:rsidR="00501210" w:rsidRPr="00FB2AE7">
        <w:t>s</w:t>
      </w:r>
      <w:r w:rsidRPr="00FB2AE7">
        <w:t xml:space="preserve">ed discrimination of </w:t>
      </w:r>
      <w:r w:rsidR="00501210" w:rsidRPr="00FB2AE7">
        <w:t xml:space="preserve">African Americans </w:t>
      </w:r>
      <w:r w:rsidRPr="00FB2AE7">
        <w:t xml:space="preserve">and </w:t>
      </w:r>
      <w:r w:rsidR="00501210" w:rsidRPr="00FB2AE7">
        <w:t xml:space="preserve">of </w:t>
      </w:r>
      <w:r w:rsidRPr="00FB2AE7">
        <w:t xml:space="preserve">women has </w:t>
      </w:r>
      <w:r w:rsidR="00501210" w:rsidRPr="00FB2AE7">
        <w:t xml:space="preserve">the idea </w:t>
      </w:r>
      <w:r w:rsidRPr="00FB2AE7">
        <w:t xml:space="preserve">that positive action must be taken to eliminate this </w:t>
      </w:r>
      <w:r w:rsidR="00FB2AE7">
        <w:t>scourge</w:t>
      </w:r>
      <w:r w:rsidR="006E11C8" w:rsidRPr="006E11C8">
        <w:t xml:space="preserve"> </w:t>
      </w:r>
      <w:r w:rsidR="006E11C8">
        <w:t>evolved</w:t>
      </w:r>
      <w:r w:rsidRPr="00FB2AE7">
        <w:t xml:space="preserve">. The aim </w:t>
      </w:r>
      <w:r w:rsidR="006E11C8">
        <w:t xml:space="preserve">originally </w:t>
      </w:r>
      <w:r w:rsidRPr="00FB2AE7">
        <w:t>was to promote the status of disadvantaged groups and to exercise the individual</w:t>
      </w:r>
      <w:r w:rsidR="008578D4" w:rsidRPr="00FB2AE7">
        <w:t>’</w:t>
      </w:r>
      <w:r w:rsidRPr="00FB2AE7">
        <w:t>s right to equality (</w:t>
      </w:r>
      <w:r w:rsidR="00FB2AE7">
        <w:t xml:space="preserve">The </w:t>
      </w:r>
      <w:r w:rsidRPr="00FB2AE7">
        <w:t xml:space="preserve">Equal Protection Clause), which was established </w:t>
      </w:r>
      <w:r w:rsidR="00501210" w:rsidRPr="00FB2AE7">
        <w:t xml:space="preserve">by </w:t>
      </w:r>
      <w:r w:rsidRPr="00FB2AE7">
        <w:t>the Fourteenth Amendment to the United States Constitution.</w:t>
      </w:r>
      <w:r w:rsidR="0019342C" w:rsidRPr="00FB2AE7">
        <w:rPr>
          <w:rStyle w:val="FootnoteReference"/>
        </w:rPr>
        <w:footnoteReference w:id="72"/>
      </w:r>
      <w:r w:rsidRPr="00FB2AE7">
        <w:t xml:space="preserve"> </w:t>
      </w:r>
      <w:r w:rsidR="00501210" w:rsidRPr="00FB2AE7">
        <w:t>T</w:t>
      </w:r>
      <w:r w:rsidRPr="00FB2AE7">
        <w:t xml:space="preserve">he idea of ​​affirmative action </w:t>
      </w:r>
      <w:r w:rsidR="00501210" w:rsidRPr="00FB2AE7">
        <w:t xml:space="preserve">was born </w:t>
      </w:r>
      <w:r w:rsidRPr="00FB2AE7">
        <w:t xml:space="preserve">in an </w:t>
      </w:r>
      <w:r w:rsidR="00FB2AE7" w:rsidRPr="00FB2AE7">
        <w:t>executive order</w:t>
      </w:r>
      <w:r w:rsidRPr="00FB2AE7">
        <w:t xml:space="preserve"> issued in the United States</w:t>
      </w:r>
      <w:r w:rsidR="00FB2AE7" w:rsidRPr="00FB2AE7">
        <w:t xml:space="preserve"> by President </w:t>
      </w:r>
      <w:r w:rsidR="00603EDD">
        <w:t xml:space="preserve">Lyndon </w:t>
      </w:r>
      <w:r w:rsidR="00FB2AE7" w:rsidRPr="00FB2AE7">
        <w:t>Johnson</w:t>
      </w:r>
      <w:r w:rsidRPr="00FB2AE7">
        <w:t xml:space="preserve">, Executive Order 11246, </w:t>
      </w:r>
      <w:r w:rsidR="006E11C8">
        <w:t>in</w:t>
      </w:r>
      <w:r w:rsidRPr="00FB2AE7">
        <w:t xml:space="preserve"> which he encouraged the implementation of voluntary affirmative action programs through incentives, </w:t>
      </w:r>
      <w:r w:rsidR="00FB2AE7">
        <w:t xml:space="preserve">and which </w:t>
      </w:r>
      <w:r w:rsidR="00501210" w:rsidRPr="00FB2AE7">
        <w:t>served as a</w:t>
      </w:r>
      <w:r w:rsidR="00603EDD">
        <w:t xml:space="preserve"> spearhead</w:t>
      </w:r>
      <w:r w:rsidR="00501210" w:rsidRPr="00FB2AE7">
        <w:t xml:space="preserve"> </w:t>
      </w:r>
      <w:r w:rsidRPr="00FB2AE7">
        <w:t>and ex</w:t>
      </w:r>
      <w:r w:rsidR="00501210" w:rsidRPr="00FB2AE7">
        <w:t xml:space="preserve">ample for </w:t>
      </w:r>
      <w:r w:rsidR="00603EDD">
        <w:t xml:space="preserve">the </w:t>
      </w:r>
      <w:r w:rsidR="00501210" w:rsidRPr="00FB2AE7">
        <w:t>development of</w:t>
      </w:r>
      <w:r w:rsidRPr="00FB2AE7">
        <w:t xml:space="preserve"> voluntary and constitutional affirmative action programs in the Western democratic world. Accordingly, later in this chapter</w:t>
      </w:r>
      <w:r w:rsidR="00501210" w:rsidRPr="00FB2AE7">
        <w:t>,</w:t>
      </w:r>
      <w:r w:rsidRPr="00FB2AE7">
        <w:t xml:space="preserve"> I will review the mode of expression of the </w:t>
      </w:r>
      <w:r w:rsidR="00501210" w:rsidRPr="00FB2AE7">
        <w:t>m</w:t>
      </w:r>
      <w:r w:rsidR="007810EF" w:rsidRPr="00FB2AE7">
        <w:t>erit</w:t>
      </w:r>
      <w:r w:rsidRPr="00FB2AE7">
        <w:t xml:space="preserve"> method and affirmative action alongside it in different countries and legal systems.</w:t>
      </w:r>
    </w:p>
    <w:p w14:paraId="0A735868" w14:textId="2E42158D" w:rsidR="004E586C" w:rsidRPr="003215C5" w:rsidRDefault="004E586C" w:rsidP="00286484">
      <w:pPr>
        <w:spacing w:line="360" w:lineRule="auto"/>
        <w:jc w:val="both"/>
      </w:pPr>
    </w:p>
    <w:p w14:paraId="38419518" w14:textId="31D49252" w:rsidR="004E586C" w:rsidRPr="003215C5" w:rsidRDefault="004E586C" w:rsidP="00286484">
      <w:pPr>
        <w:spacing w:line="360" w:lineRule="auto"/>
        <w:jc w:val="both"/>
      </w:pPr>
      <w:r w:rsidRPr="003215C5">
        <w:t xml:space="preserve">5.1 Affirmative </w:t>
      </w:r>
      <w:r w:rsidR="00501210">
        <w:t>A</w:t>
      </w:r>
      <w:r w:rsidRPr="003215C5">
        <w:t xml:space="preserve">ction in </w:t>
      </w:r>
      <w:r w:rsidR="00501210" w:rsidRPr="003215C5">
        <w:t xml:space="preserve">International Treaties </w:t>
      </w:r>
      <w:r w:rsidRPr="003215C5">
        <w:t xml:space="preserve">and in </w:t>
      </w:r>
      <w:r w:rsidR="00501210">
        <w:t>L</w:t>
      </w:r>
      <w:r w:rsidRPr="003215C5">
        <w:t xml:space="preserve">egislation in </w:t>
      </w:r>
      <w:r w:rsidR="00501210" w:rsidRPr="003215C5">
        <w:t>Various Countries</w:t>
      </w:r>
    </w:p>
    <w:p w14:paraId="2D9EB8DF" w14:textId="15A5DF26" w:rsidR="004E586C" w:rsidRPr="003215C5" w:rsidRDefault="00501210" w:rsidP="00286484">
      <w:pPr>
        <w:spacing w:line="360" w:lineRule="auto"/>
        <w:ind w:firstLine="720"/>
        <w:jc w:val="both"/>
      </w:pPr>
      <w:r>
        <w:t>A</w:t>
      </w:r>
      <w:r w:rsidR="004E586C" w:rsidRPr="003215C5">
        <w:t>ffirmative action was first formulated in the mid-1960s in the United States as a means of reali</w:t>
      </w:r>
      <w:r>
        <w:t>s</w:t>
      </w:r>
      <w:r w:rsidR="004E586C" w:rsidRPr="003215C5">
        <w:t xml:space="preserve">ing the right to equality enshrined in the </w:t>
      </w:r>
      <w:r w:rsidRPr="003215C5">
        <w:t xml:space="preserve">Equal Protection Clause </w:t>
      </w:r>
      <w:r>
        <w:t xml:space="preserve">of the </w:t>
      </w:r>
      <w:r w:rsidR="004E586C" w:rsidRPr="003215C5">
        <w:t>14</w:t>
      </w:r>
      <w:r w:rsidR="004E586C" w:rsidRPr="00501210">
        <w:rPr>
          <w:vertAlign w:val="superscript"/>
        </w:rPr>
        <w:t>th</w:t>
      </w:r>
      <w:r w:rsidR="004E586C" w:rsidRPr="003215C5">
        <w:t xml:space="preserve"> Amendment. Extensive activity of civil rights movements led to the enactment of a number of laws to </w:t>
      </w:r>
      <w:r w:rsidR="00FB2AE7">
        <w:t xml:space="preserve">eradicate </w:t>
      </w:r>
      <w:r w:rsidR="004E586C" w:rsidRPr="003215C5">
        <w:t xml:space="preserve">discrimination, particularly in the field of </w:t>
      </w:r>
      <w:r>
        <w:t xml:space="preserve">employment </w:t>
      </w:r>
      <w:r w:rsidR="004E586C" w:rsidRPr="003215C5">
        <w:t xml:space="preserve">law, the </w:t>
      </w:r>
      <w:r>
        <w:t xml:space="preserve">principal </w:t>
      </w:r>
      <w:r w:rsidR="004E586C" w:rsidRPr="003215C5">
        <w:t xml:space="preserve">one being Title VII of the Civil Rights Act. Eventually, however, it </w:t>
      </w:r>
      <w:r>
        <w:t xml:space="preserve">transpired </w:t>
      </w:r>
      <w:r w:rsidR="004E586C" w:rsidRPr="003215C5">
        <w:t xml:space="preserve">that the legislation did not lead to </w:t>
      </w:r>
      <w:r w:rsidR="00FB2AE7">
        <w:t xml:space="preserve">the desired </w:t>
      </w:r>
      <w:r w:rsidR="004E586C" w:rsidRPr="003215C5">
        <w:t>results</w:t>
      </w:r>
      <w:r>
        <w:t>,</w:t>
      </w:r>
      <w:r w:rsidR="004E586C" w:rsidRPr="003215C5">
        <w:t xml:space="preserve"> and that resources had to be allocated differently in order to bring about equal opportunities.</w:t>
      </w:r>
      <w:r w:rsidR="0019342C" w:rsidRPr="003215C5">
        <w:rPr>
          <w:rStyle w:val="FootnoteReference"/>
        </w:rPr>
        <w:footnoteReference w:id="73"/>
      </w:r>
      <w:r w:rsidR="004E586C" w:rsidRPr="003215C5">
        <w:t xml:space="preserve"> This need led President Johnson </w:t>
      </w:r>
      <w:r>
        <w:t xml:space="preserve">to </w:t>
      </w:r>
      <w:r w:rsidR="004E586C" w:rsidRPr="003215C5">
        <w:t>sign</w:t>
      </w:r>
      <w:r>
        <w:t xml:space="preserve"> </w:t>
      </w:r>
      <w:r w:rsidR="004E586C" w:rsidRPr="003215C5">
        <w:t xml:space="preserve">an </w:t>
      </w:r>
      <w:r w:rsidR="00FB2AE7">
        <w:t>executive o</w:t>
      </w:r>
      <w:r w:rsidR="00FB2AE7" w:rsidRPr="003215C5">
        <w:t>rder</w:t>
      </w:r>
      <w:r w:rsidR="004E586C" w:rsidRPr="003215C5">
        <w:t xml:space="preserve"> </w:t>
      </w:r>
      <w:r w:rsidR="00FB2AE7">
        <w:t xml:space="preserve">mandating </w:t>
      </w:r>
      <w:r w:rsidR="004E586C" w:rsidRPr="003215C5">
        <w:t xml:space="preserve">companies </w:t>
      </w:r>
      <w:r w:rsidR="00475377">
        <w:t>awarded</w:t>
      </w:r>
      <w:r w:rsidR="004E586C" w:rsidRPr="003215C5">
        <w:t xml:space="preserve"> government contracts to adopt a policy of affirmative action </w:t>
      </w:r>
      <w:r>
        <w:t xml:space="preserve">with respect to </w:t>
      </w:r>
      <w:r w:rsidR="004E586C" w:rsidRPr="003215C5">
        <w:t>their employees.</w:t>
      </w:r>
      <w:r w:rsidR="0019342C" w:rsidRPr="003215C5">
        <w:rPr>
          <w:rStyle w:val="FootnoteReference"/>
        </w:rPr>
        <w:footnoteReference w:id="74"/>
      </w:r>
      <w:r w:rsidR="004E586C" w:rsidRPr="003215C5">
        <w:t xml:space="preserve"> Despite the development of affirmative action policy</w:t>
      </w:r>
      <w:r>
        <w:t xml:space="preserve"> </w:t>
      </w:r>
      <w:r w:rsidR="004E586C" w:rsidRPr="003215C5">
        <w:t xml:space="preserve">and the idea </w:t>
      </w:r>
      <w:r>
        <w:t xml:space="preserve">underlying it </w:t>
      </w:r>
      <w:r w:rsidR="004E586C" w:rsidRPr="003215C5">
        <w:t>in the United States, at the international level</w:t>
      </w:r>
      <w:r w:rsidR="00475377">
        <w:t>,</w:t>
      </w:r>
      <w:r w:rsidR="004E586C" w:rsidRPr="003215C5">
        <w:t xml:space="preserve"> the idea </w:t>
      </w:r>
      <w:r w:rsidR="004E586C" w:rsidRPr="003215C5">
        <w:lastRenderedPageBreak/>
        <w:t>encounter</w:t>
      </w:r>
      <w:r>
        <w:t>ed</w:t>
      </w:r>
      <w:r w:rsidR="004E586C" w:rsidRPr="003215C5">
        <w:t xml:space="preserve"> difficulties</w:t>
      </w:r>
      <w:r w:rsidR="00475377">
        <w:t>. Nonetheless, there are</w:t>
      </w:r>
      <w:r w:rsidR="004E586C" w:rsidRPr="003215C5">
        <w:t xml:space="preserve"> two </w:t>
      </w:r>
      <w:r>
        <w:t xml:space="preserve">treaties </w:t>
      </w:r>
      <w:r w:rsidR="004E586C" w:rsidRPr="003215C5">
        <w:t xml:space="preserve">in which there is explicit reference to the </w:t>
      </w:r>
      <w:r>
        <w:t>subject</w:t>
      </w:r>
      <w:r w:rsidR="004E586C" w:rsidRPr="003215C5">
        <w:t>.</w:t>
      </w:r>
    </w:p>
    <w:p w14:paraId="3D271043" w14:textId="1E8A48F7" w:rsidR="004E586C" w:rsidRPr="003215C5" w:rsidRDefault="004E586C" w:rsidP="00286484">
      <w:pPr>
        <w:spacing w:line="360" w:lineRule="auto"/>
        <w:ind w:firstLine="720"/>
        <w:jc w:val="both"/>
      </w:pPr>
      <w:r w:rsidRPr="003215C5">
        <w:t xml:space="preserve">The 1965 United Nations Convention on the Elimination of All Forms of Racial Discrimination states in </w:t>
      </w:r>
      <w:r w:rsidR="00501210">
        <w:t>P</w:t>
      </w:r>
      <w:r w:rsidRPr="003215C5">
        <w:t>aragraph 4 of Article 1 that special measures</w:t>
      </w:r>
      <w:r w:rsidR="0019342C" w:rsidRPr="003215C5">
        <w:rPr>
          <w:rStyle w:val="FootnoteReference"/>
        </w:rPr>
        <w:footnoteReference w:id="75"/>
      </w:r>
      <w:r w:rsidRPr="003215C5">
        <w:t xml:space="preserve"> may be taken to ensure the proper promotion of groups or individuals in need of protection. Section 4(1) </w:t>
      </w:r>
      <w:r w:rsidR="00501210">
        <w:t xml:space="preserve">of a 1979 UN Treaty addressing discrimination against women also </w:t>
      </w:r>
      <w:r w:rsidRPr="003215C5">
        <w:t xml:space="preserve">provides that temporary and special </w:t>
      </w:r>
      <w:r w:rsidR="00501210">
        <w:t xml:space="preserve">measures </w:t>
      </w:r>
      <w:r w:rsidRPr="003215C5">
        <w:t xml:space="preserve">may be </w:t>
      </w:r>
      <w:r w:rsidR="00501210">
        <w:t xml:space="preserve">employed </w:t>
      </w:r>
      <w:r w:rsidRPr="003215C5">
        <w:t>to promote equality between men and women.</w:t>
      </w:r>
      <w:r w:rsidR="0019342C" w:rsidRPr="003215C5">
        <w:rPr>
          <w:rStyle w:val="FootnoteReference"/>
        </w:rPr>
        <w:footnoteReference w:id="76"/>
      </w:r>
    </w:p>
    <w:p w14:paraId="1EA7BE99" w14:textId="3A17BC3C" w:rsidR="004E586C" w:rsidRPr="003215C5" w:rsidRDefault="004E586C" w:rsidP="00286484">
      <w:pPr>
        <w:spacing w:line="360" w:lineRule="auto"/>
        <w:ind w:firstLine="720"/>
        <w:jc w:val="both"/>
      </w:pPr>
      <w:r w:rsidRPr="003215C5">
        <w:t xml:space="preserve">Since the mid-1970s, </w:t>
      </w:r>
      <w:r w:rsidR="0098388C">
        <w:t xml:space="preserve">affirmative action programs have gained </w:t>
      </w:r>
      <w:r w:rsidR="00475377">
        <w:t>ground</w:t>
      </w:r>
      <w:r w:rsidR="0098388C">
        <w:t xml:space="preserve"> </w:t>
      </w:r>
      <w:r w:rsidRPr="003215C5">
        <w:t xml:space="preserve">in other parts of the Western world, a prominent example </w:t>
      </w:r>
      <w:r w:rsidR="0098388C">
        <w:t xml:space="preserve">being </w:t>
      </w:r>
      <w:r w:rsidRPr="003215C5">
        <w:t>Canada, where th</w:t>
      </w:r>
      <w:r w:rsidR="0098388C">
        <w:t>e</w:t>
      </w:r>
      <w:r w:rsidRPr="003215C5">
        <w:t xml:space="preserve"> principle was </w:t>
      </w:r>
      <w:r w:rsidR="0098388C">
        <w:t xml:space="preserve">enshrined </w:t>
      </w:r>
      <w:r w:rsidRPr="003215C5">
        <w:t>in the Bill of Rights.</w:t>
      </w:r>
      <w:r w:rsidR="0019342C" w:rsidRPr="003215C5">
        <w:rPr>
          <w:rStyle w:val="FootnoteReference"/>
        </w:rPr>
        <w:footnoteReference w:id="77"/>
      </w:r>
      <w:r w:rsidRPr="003215C5">
        <w:t xml:space="preserve"> During the 1980s</w:t>
      </w:r>
      <w:r w:rsidR="00FB2AE7">
        <w:t>,</w:t>
      </w:r>
      <w:r w:rsidRPr="003215C5">
        <w:t xml:space="preserve"> a reverse trend </w:t>
      </w:r>
      <w:r w:rsidR="0098388C">
        <w:t>started</w:t>
      </w:r>
      <w:r w:rsidRPr="003215C5">
        <w:t>, w</w:t>
      </w:r>
      <w:r w:rsidR="00FB2AE7">
        <w:t xml:space="preserve">ith </w:t>
      </w:r>
      <w:r w:rsidRPr="003215C5">
        <w:t>the Supreme Court and the U</w:t>
      </w:r>
      <w:r w:rsidR="00475377">
        <w:t>.</w:t>
      </w:r>
      <w:r w:rsidRPr="003215C5">
        <w:t>S</w:t>
      </w:r>
      <w:r w:rsidR="00475377">
        <w:t>.</w:t>
      </w:r>
      <w:r w:rsidRPr="003215C5">
        <w:t xml:space="preserve"> administration promot</w:t>
      </w:r>
      <w:r w:rsidR="00FB2AE7">
        <w:t>ing</w:t>
      </w:r>
      <w:r w:rsidRPr="003215C5">
        <w:t xml:space="preserve"> a trend of </w:t>
      </w:r>
      <w:r w:rsidR="0098388C">
        <w:t xml:space="preserve">limiting </w:t>
      </w:r>
      <w:r w:rsidRPr="003215C5">
        <w:t xml:space="preserve">applicability of affirmative action </w:t>
      </w:r>
      <w:r w:rsidR="0098388C">
        <w:t>programs</w:t>
      </w:r>
      <w:r w:rsidRPr="003215C5">
        <w:t>,</w:t>
      </w:r>
      <w:r w:rsidR="0019342C" w:rsidRPr="003215C5">
        <w:rPr>
          <w:rStyle w:val="FootnoteReference"/>
        </w:rPr>
        <w:footnoteReference w:id="78"/>
      </w:r>
      <w:r w:rsidRPr="003215C5">
        <w:t xml:space="preserve"> </w:t>
      </w:r>
      <w:r w:rsidR="006E11C8">
        <w:t xml:space="preserve">and </w:t>
      </w:r>
      <w:r w:rsidRPr="003215C5">
        <w:t>the rest of the Western world, such as Western Europe and Scandinavia, actively promot</w:t>
      </w:r>
      <w:r w:rsidR="00475377">
        <w:t>ing</w:t>
      </w:r>
      <w:r w:rsidRPr="003215C5">
        <w:t xml:space="preserve"> th</w:t>
      </w:r>
      <w:r w:rsidR="0098388C">
        <w:t>e</w:t>
      </w:r>
      <w:r w:rsidRPr="003215C5">
        <w:t xml:space="preserve"> policy.</w:t>
      </w:r>
    </w:p>
    <w:p w14:paraId="2447A869" w14:textId="180AE344" w:rsidR="004E586C" w:rsidRPr="003215C5" w:rsidRDefault="004E586C" w:rsidP="00286484">
      <w:pPr>
        <w:spacing w:line="360" w:lineRule="auto"/>
        <w:ind w:firstLine="720"/>
        <w:jc w:val="both"/>
      </w:pPr>
      <w:r w:rsidRPr="003215C5">
        <w:t>Later in the chapter, th</w:t>
      </w:r>
      <w:r w:rsidR="0098388C">
        <w:t>e</w:t>
      </w:r>
      <w:r w:rsidRPr="003215C5">
        <w:t xml:space="preserve"> policy will be discussed in detail in the </w:t>
      </w:r>
      <w:r w:rsidR="0098388C">
        <w:t xml:space="preserve">setting of the </w:t>
      </w:r>
      <w:r w:rsidRPr="003215C5">
        <w:t xml:space="preserve">European Union, the United Kingdom, the United States, </w:t>
      </w:r>
      <w:r w:rsidR="00BB3817" w:rsidRPr="003215C5">
        <w:t>Canada,</w:t>
      </w:r>
      <w:r w:rsidRPr="003215C5">
        <w:t xml:space="preserve"> and Israel. But th</w:t>
      </w:r>
      <w:r w:rsidR="0098388C">
        <w:t>e</w:t>
      </w:r>
      <w:r w:rsidRPr="003215C5">
        <w:t xml:space="preserve"> issue is also relevant in other </w:t>
      </w:r>
      <w:r w:rsidR="00FB2AE7">
        <w:t>places</w:t>
      </w:r>
      <w:r w:rsidRPr="003215C5">
        <w:t>, such as Australia and Norway, which are not part of the EU. In Australia, the law sets a mandatory policy of quantitative targets for the integration of women into the labo</w:t>
      </w:r>
      <w:r w:rsidR="0098388C">
        <w:t>u</w:t>
      </w:r>
      <w:r w:rsidRPr="003215C5">
        <w:t>r market in order to achieve equal opportunities.</w:t>
      </w:r>
      <w:r w:rsidR="0019342C" w:rsidRPr="003215C5">
        <w:rPr>
          <w:rStyle w:val="FootnoteReference"/>
        </w:rPr>
        <w:footnoteReference w:id="79"/>
      </w:r>
      <w:r w:rsidRPr="003215C5">
        <w:t xml:space="preserve"> This method of </w:t>
      </w:r>
      <w:r w:rsidR="0098388C" w:rsidRPr="003215C5">
        <w:t xml:space="preserve">integration </w:t>
      </w:r>
      <w:r w:rsidR="0098388C">
        <w:t xml:space="preserve">targets </w:t>
      </w:r>
      <w:r w:rsidRPr="003215C5">
        <w:t xml:space="preserve">and quotas is also </w:t>
      </w:r>
      <w:r w:rsidR="00475377">
        <w:t>the norm</w:t>
      </w:r>
      <w:r w:rsidR="0098388C">
        <w:t xml:space="preserve"> </w:t>
      </w:r>
      <w:r w:rsidRPr="003215C5">
        <w:t xml:space="preserve">in Norway, where mandatory quotas </w:t>
      </w:r>
      <w:r w:rsidR="0098388C">
        <w:t xml:space="preserve">were </w:t>
      </w:r>
      <w:r w:rsidRPr="003215C5">
        <w:t xml:space="preserve">established </w:t>
      </w:r>
      <w:r w:rsidR="0098388C">
        <w:t xml:space="preserve">by law </w:t>
      </w:r>
      <w:r w:rsidRPr="003215C5">
        <w:t>to ensure adequate representation of women in public bodies.</w:t>
      </w:r>
      <w:r w:rsidR="0019342C" w:rsidRPr="003215C5">
        <w:rPr>
          <w:rStyle w:val="FootnoteReference"/>
        </w:rPr>
        <w:footnoteReference w:id="80"/>
      </w:r>
      <w:r w:rsidRPr="003215C5">
        <w:t xml:space="preserve"> And the </w:t>
      </w:r>
      <w:r w:rsidR="006E11C8">
        <w:t>g</w:t>
      </w:r>
      <w:r w:rsidRPr="003215C5">
        <w:t>overnment has found it appropriate to emphasi</w:t>
      </w:r>
      <w:r w:rsidR="0098388C">
        <w:t>s</w:t>
      </w:r>
      <w:r w:rsidRPr="003215C5">
        <w:t xml:space="preserve">e that affirmative action programs are an integral and </w:t>
      </w:r>
      <w:r w:rsidR="0098388C">
        <w:t xml:space="preserve">inseparable </w:t>
      </w:r>
      <w:r w:rsidRPr="003215C5">
        <w:t>part of the reali</w:t>
      </w:r>
      <w:r w:rsidR="0098388C">
        <w:t>s</w:t>
      </w:r>
      <w:r w:rsidRPr="003215C5">
        <w:t>ation of the principle of equality.</w:t>
      </w:r>
      <w:r w:rsidR="0019342C" w:rsidRPr="003215C5">
        <w:rPr>
          <w:rStyle w:val="FootnoteReference"/>
        </w:rPr>
        <w:footnoteReference w:id="81"/>
      </w:r>
    </w:p>
    <w:p w14:paraId="1271458A" w14:textId="77777777" w:rsidR="004B6223" w:rsidRPr="003215C5" w:rsidRDefault="004B6223" w:rsidP="00286484">
      <w:pPr>
        <w:spacing w:line="360" w:lineRule="auto"/>
        <w:jc w:val="both"/>
      </w:pPr>
    </w:p>
    <w:p w14:paraId="6C1479CA" w14:textId="014014F9" w:rsidR="004E586C" w:rsidRPr="003215C5" w:rsidRDefault="004E586C" w:rsidP="00286484">
      <w:pPr>
        <w:spacing w:line="360" w:lineRule="auto"/>
        <w:jc w:val="both"/>
      </w:pPr>
      <w:r w:rsidRPr="00FB2AE7">
        <w:rPr>
          <w:highlight w:val="green"/>
        </w:rPr>
        <w:t>5.2 European Union</w:t>
      </w:r>
    </w:p>
    <w:p w14:paraId="26D1DA9F" w14:textId="07F90B0C" w:rsidR="004E586C" w:rsidRPr="003215C5" w:rsidRDefault="004E586C" w:rsidP="00286484">
      <w:pPr>
        <w:spacing w:before="120" w:line="360" w:lineRule="auto"/>
        <w:ind w:left="1134" w:right="2098"/>
        <w:jc w:val="both"/>
      </w:pPr>
      <w:r w:rsidRPr="003215C5">
        <w:rPr>
          <w:highlight w:val="green"/>
        </w:rPr>
        <w:lastRenderedPageBreak/>
        <w:t xml:space="preserve">It is impossible to establish real equality of opportunity without an appropriate system of sanctions (Sabine von Colson and </w:t>
      </w:r>
      <w:proofErr w:type="spellStart"/>
      <w:r w:rsidRPr="003215C5">
        <w:rPr>
          <w:highlight w:val="green"/>
        </w:rPr>
        <w:t>Elisibeth</w:t>
      </w:r>
      <w:proofErr w:type="spellEnd"/>
      <w:r w:rsidRPr="003215C5">
        <w:rPr>
          <w:highlight w:val="green"/>
        </w:rPr>
        <w:t xml:space="preserve"> </w:t>
      </w:r>
      <w:proofErr w:type="spellStart"/>
      <w:r w:rsidRPr="003215C5">
        <w:rPr>
          <w:highlight w:val="green"/>
        </w:rPr>
        <w:t>Kamman</w:t>
      </w:r>
      <w:proofErr w:type="spellEnd"/>
      <w:r w:rsidRPr="003215C5">
        <w:rPr>
          <w:highlight w:val="green"/>
        </w:rPr>
        <w:t xml:space="preserve"> v. Land </w:t>
      </w:r>
      <w:proofErr w:type="spellStart"/>
      <w:r w:rsidRPr="003215C5">
        <w:rPr>
          <w:highlight w:val="green"/>
        </w:rPr>
        <w:t>Nordrheim</w:t>
      </w:r>
      <w:proofErr w:type="spellEnd"/>
      <w:r w:rsidRPr="003215C5">
        <w:rPr>
          <w:highlight w:val="green"/>
        </w:rPr>
        <w:t xml:space="preserve"> Westfalen).</w:t>
      </w:r>
      <w:r w:rsidR="0019342C" w:rsidRPr="003215C5">
        <w:rPr>
          <w:rStyle w:val="FootnoteReference"/>
          <w:highlight w:val="green"/>
        </w:rPr>
        <w:footnoteReference w:id="82"/>
      </w:r>
    </w:p>
    <w:p w14:paraId="5BBCBF75" w14:textId="279B9879" w:rsidR="004E586C" w:rsidRPr="003215C5" w:rsidRDefault="004E586C" w:rsidP="00286484">
      <w:pPr>
        <w:spacing w:line="360" w:lineRule="auto"/>
        <w:ind w:firstLine="720"/>
        <w:jc w:val="both"/>
      </w:pPr>
      <w:r w:rsidRPr="000622AB">
        <w:t>EU law was established on the basis of two principles</w:t>
      </w:r>
      <w:r w:rsidR="00475377">
        <w:t>:</w:t>
      </w:r>
      <w:r w:rsidR="0019342C" w:rsidRPr="000622AB">
        <w:rPr>
          <w:rStyle w:val="FootnoteReference"/>
        </w:rPr>
        <w:footnoteReference w:id="83"/>
      </w:r>
      <w:r w:rsidRPr="000622AB">
        <w:t xml:space="preserve"> </w:t>
      </w:r>
      <w:r w:rsidR="00475377">
        <w:t>that</w:t>
      </w:r>
      <w:r w:rsidRPr="000622AB">
        <w:t xml:space="preserve"> of direct applicability, according to which Community law applies directly to</w:t>
      </w:r>
      <w:r w:rsidR="000622AB">
        <w:t>,</w:t>
      </w:r>
      <w:r w:rsidRPr="000622AB">
        <w:t xml:space="preserve"> and </w:t>
      </w:r>
      <w:r w:rsidR="000622AB">
        <w:t xml:space="preserve">is binding on, </w:t>
      </w:r>
      <w:r w:rsidR="00475377">
        <w:t>m</w:t>
      </w:r>
      <w:r w:rsidR="000622AB" w:rsidRPr="000622AB">
        <w:t xml:space="preserve">ember </w:t>
      </w:r>
      <w:r w:rsidR="00475377">
        <w:t>s</w:t>
      </w:r>
      <w:r w:rsidR="000622AB" w:rsidRPr="000622AB">
        <w:t>tates</w:t>
      </w:r>
      <w:r w:rsidR="00475377">
        <w:t>;</w:t>
      </w:r>
      <w:r w:rsidR="0019342C" w:rsidRPr="000622AB">
        <w:rPr>
          <w:rStyle w:val="FootnoteReference"/>
        </w:rPr>
        <w:footnoteReference w:id="84"/>
      </w:r>
      <w:r w:rsidRPr="000622AB">
        <w:t xml:space="preserve"> and the principle of supremacy, according to which Community law prevails over state law in the event of a conflict between them.</w:t>
      </w:r>
      <w:r w:rsidR="0019342C" w:rsidRPr="000622AB">
        <w:rPr>
          <w:rStyle w:val="FootnoteReference"/>
        </w:rPr>
        <w:footnoteReference w:id="85"/>
      </w:r>
      <w:r w:rsidRPr="000622AB">
        <w:t xml:space="preserve"> The unification of interests and </w:t>
      </w:r>
      <w:r w:rsidR="000622AB">
        <w:t xml:space="preserve">a </w:t>
      </w:r>
      <w:r w:rsidRPr="000622AB">
        <w:t xml:space="preserve">redefinition of economic and political borders </w:t>
      </w:r>
      <w:r w:rsidR="000622AB">
        <w:t xml:space="preserve">were the guiding principles of </w:t>
      </w:r>
      <w:r w:rsidRPr="000622AB">
        <w:t xml:space="preserve">the six countries that founded the European project after the horrors of World War II. This move </w:t>
      </w:r>
      <w:r w:rsidR="000622AB">
        <w:t xml:space="preserve">necessitated the </w:t>
      </w:r>
      <w:r w:rsidRPr="000622AB">
        <w:t>remov</w:t>
      </w:r>
      <w:r w:rsidR="000622AB">
        <w:t>al of</w:t>
      </w:r>
      <w:r w:rsidRPr="000622AB">
        <w:t xml:space="preserve"> trade barriers, </w:t>
      </w:r>
      <w:r w:rsidR="000622AB">
        <w:t>relaxing</w:t>
      </w:r>
      <w:r w:rsidRPr="000622AB">
        <w:t xml:space="preserve"> the freedom of movement of people, </w:t>
      </w:r>
      <w:r w:rsidR="000622AB">
        <w:t xml:space="preserve">labour, </w:t>
      </w:r>
      <w:r w:rsidRPr="000622AB">
        <w:t>and goods, prevent</w:t>
      </w:r>
      <w:r w:rsidR="00AD3D75">
        <w:t>ing</w:t>
      </w:r>
      <w:r w:rsidRPr="000622AB">
        <w:t xml:space="preserve"> discriminatory tariffs and levies, and </w:t>
      </w:r>
      <w:r w:rsidR="000622AB">
        <w:t>transferring</w:t>
      </w:r>
      <w:r w:rsidRPr="000622AB">
        <w:t xml:space="preserve"> powers to European institutions.</w:t>
      </w:r>
      <w:r w:rsidR="0019342C" w:rsidRPr="000622AB">
        <w:rPr>
          <w:rStyle w:val="FootnoteReference"/>
        </w:rPr>
        <w:footnoteReference w:id="86"/>
      </w:r>
    </w:p>
    <w:p w14:paraId="7309C018" w14:textId="4DF5DAB0" w:rsidR="004E586C" w:rsidRPr="003215C5" w:rsidRDefault="004E586C" w:rsidP="00286484">
      <w:pPr>
        <w:spacing w:line="360" w:lineRule="auto"/>
        <w:ind w:firstLine="720"/>
        <w:jc w:val="both"/>
      </w:pPr>
      <w:r w:rsidRPr="003215C5">
        <w:t xml:space="preserve">The term affirmative action does not appear in the </w:t>
      </w:r>
      <w:r w:rsidR="000622AB">
        <w:t xml:space="preserve">EU’s </w:t>
      </w:r>
      <w:r w:rsidRPr="003215C5">
        <w:t xml:space="preserve">legislation or case law, but </w:t>
      </w:r>
      <w:r w:rsidR="000622AB">
        <w:t xml:space="preserve">there is </w:t>
      </w:r>
      <w:r w:rsidRPr="003215C5">
        <w:t xml:space="preserve">awareness of the need for social justice to be expressed </w:t>
      </w:r>
      <w:r w:rsidR="000622AB">
        <w:t xml:space="preserve">as </w:t>
      </w:r>
      <w:r w:rsidRPr="003215C5">
        <w:t>actual</w:t>
      </w:r>
      <w:r w:rsidR="00475377">
        <w:t>,</w:t>
      </w:r>
      <w:r w:rsidRPr="003215C5">
        <w:t xml:space="preserve"> </w:t>
      </w:r>
      <w:r w:rsidR="00475377" w:rsidRPr="003215C5">
        <w:t>not just formal</w:t>
      </w:r>
      <w:r w:rsidR="00475377">
        <w:t>,</w:t>
      </w:r>
      <w:r w:rsidR="00475377" w:rsidRPr="003215C5">
        <w:t xml:space="preserve"> </w:t>
      </w:r>
      <w:r w:rsidRPr="003215C5">
        <w:t xml:space="preserve">equality. Concrete </w:t>
      </w:r>
      <w:r w:rsidR="00475377">
        <w:t>treatment</w:t>
      </w:r>
      <w:r w:rsidR="000622AB">
        <w:t xml:space="preserve"> of employment </w:t>
      </w:r>
      <w:r w:rsidRPr="003215C5">
        <w:t>law</w:t>
      </w:r>
      <w:r w:rsidR="000622AB">
        <w:t xml:space="preserve"> </w:t>
      </w:r>
      <w:r w:rsidRPr="003215C5">
        <w:t>and the basic principles in primary legislation began with the Treaty of Rome, signed in 1957</w:t>
      </w:r>
      <w:r w:rsidR="000622AB">
        <w:t>,</w:t>
      </w:r>
      <w:r w:rsidRPr="003215C5">
        <w:t xml:space="preserve"> </w:t>
      </w:r>
      <w:r w:rsidR="00FB2AE7">
        <w:t xml:space="preserve">which </w:t>
      </w:r>
      <w:r w:rsidRPr="003215C5">
        <w:t xml:space="preserve">was the </w:t>
      </w:r>
      <w:r w:rsidR="006668A4">
        <w:t>initial</w:t>
      </w:r>
      <w:r w:rsidRPr="003215C5">
        <w:t xml:space="preserve"> basis for broad</w:t>
      </w:r>
      <w:r w:rsidR="00FB2AE7">
        <w:t>er</w:t>
      </w:r>
      <w:r w:rsidRPr="003215C5">
        <w:t xml:space="preserve"> economic integration between </w:t>
      </w:r>
      <w:r w:rsidR="006668A4">
        <w:t xml:space="preserve">the </w:t>
      </w:r>
      <w:r w:rsidRPr="003215C5">
        <w:t xml:space="preserve">European </w:t>
      </w:r>
      <w:r w:rsidR="006668A4">
        <w:t>nations</w:t>
      </w:r>
      <w:r w:rsidRPr="003215C5">
        <w:t>.</w:t>
      </w:r>
      <w:r w:rsidR="0019342C" w:rsidRPr="003215C5">
        <w:rPr>
          <w:rStyle w:val="FootnoteReference"/>
        </w:rPr>
        <w:footnoteReference w:id="87"/>
      </w:r>
      <w:r w:rsidRPr="003215C5">
        <w:t xml:space="preserve"> The Treaty of Rome is the central historical legal marker that </w:t>
      </w:r>
      <w:r w:rsidR="000622AB">
        <w:t xml:space="preserve">drove the </w:t>
      </w:r>
      <w:r w:rsidRPr="003215C5">
        <w:t xml:space="preserve">development of the European Union to its </w:t>
      </w:r>
      <w:r w:rsidR="000622AB">
        <w:t xml:space="preserve">current </w:t>
      </w:r>
      <w:r w:rsidRPr="003215C5">
        <w:t>status.</w:t>
      </w:r>
      <w:r w:rsidR="0019342C" w:rsidRPr="003215C5">
        <w:rPr>
          <w:rStyle w:val="FootnoteReference"/>
        </w:rPr>
        <w:footnoteReference w:id="88"/>
      </w:r>
      <w:r w:rsidRPr="003215C5">
        <w:t xml:space="preserve"> </w:t>
      </w:r>
      <w:r w:rsidR="006668A4">
        <w:t xml:space="preserve">At </w:t>
      </w:r>
      <w:r w:rsidRPr="003215C5">
        <w:t xml:space="preserve">the beginning, the Treaty of Rome included only one article dealing with </w:t>
      </w:r>
      <w:r w:rsidR="006668A4" w:rsidRPr="003215C5">
        <w:t>worker</w:t>
      </w:r>
      <w:r w:rsidR="006668A4">
        <w:t xml:space="preserve"> </w:t>
      </w:r>
      <w:r w:rsidRPr="003215C5">
        <w:t>equality, which provided for equal</w:t>
      </w:r>
      <w:r w:rsidR="006668A4">
        <w:t xml:space="preserve"> </w:t>
      </w:r>
      <w:r w:rsidRPr="003215C5">
        <w:t xml:space="preserve">pay </w:t>
      </w:r>
      <w:r w:rsidR="00475377">
        <w:t>for employees</w:t>
      </w:r>
      <w:r w:rsidR="000622AB">
        <w:t xml:space="preserve"> of different sexes</w:t>
      </w:r>
      <w:r w:rsidR="00475377">
        <w:t xml:space="preserve"> doing the same work</w:t>
      </w:r>
      <w:r w:rsidRPr="003215C5">
        <w:t>,</w:t>
      </w:r>
      <w:r w:rsidR="0019342C" w:rsidRPr="003215C5">
        <w:rPr>
          <w:rStyle w:val="FootnoteReference"/>
        </w:rPr>
        <w:footnoteReference w:id="89"/>
      </w:r>
      <w:r w:rsidRPr="003215C5">
        <w:t xml:space="preserve"> and the </w:t>
      </w:r>
      <w:r w:rsidR="006668A4">
        <w:t>t</w:t>
      </w:r>
      <w:r w:rsidRPr="003215C5">
        <w:t xml:space="preserve">reaty did not </w:t>
      </w:r>
      <w:r w:rsidR="006668A4">
        <w:t xml:space="preserve">mention </w:t>
      </w:r>
      <w:r w:rsidRPr="003215C5">
        <w:t xml:space="preserve">equality of opportunity at all. Subsequently, in 1975, a </w:t>
      </w:r>
      <w:r w:rsidR="006668A4">
        <w:t>d</w:t>
      </w:r>
      <w:r w:rsidRPr="003215C5">
        <w:t xml:space="preserve">irective was </w:t>
      </w:r>
      <w:r w:rsidR="006668A4">
        <w:t xml:space="preserve">issued </w:t>
      </w:r>
      <w:r w:rsidRPr="003215C5">
        <w:t>to implement the principle of equal pay,</w:t>
      </w:r>
      <w:r w:rsidR="0019342C" w:rsidRPr="003215C5">
        <w:rPr>
          <w:rStyle w:val="FootnoteReference"/>
        </w:rPr>
        <w:footnoteReference w:id="90"/>
      </w:r>
      <w:r w:rsidRPr="003215C5">
        <w:t xml:space="preserve"> and in 1976, a </w:t>
      </w:r>
      <w:r w:rsidR="006668A4">
        <w:t>d</w:t>
      </w:r>
      <w:r w:rsidRPr="003215C5">
        <w:t xml:space="preserve">irective was </w:t>
      </w:r>
      <w:r w:rsidR="006668A4">
        <w:t xml:space="preserve">issued </w:t>
      </w:r>
      <w:r w:rsidRPr="003215C5">
        <w:t xml:space="preserve">regarding equal opportunities </w:t>
      </w:r>
      <w:r w:rsidR="006668A4">
        <w:t xml:space="preserve">at </w:t>
      </w:r>
      <w:r w:rsidRPr="003215C5">
        <w:t xml:space="preserve">work, which introduced the rule of equality in </w:t>
      </w:r>
      <w:r w:rsidR="006668A4">
        <w:t>recruitment</w:t>
      </w:r>
      <w:r w:rsidRPr="003215C5">
        <w:t>, promotion</w:t>
      </w:r>
      <w:r w:rsidR="006668A4">
        <w:t>,</w:t>
      </w:r>
      <w:r w:rsidRPr="003215C5">
        <w:t xml:space="preserve"> </w:t>
      </w:r>
      <w:r w:rsidRPr="003215C5">
        <w:lastRenderedPageBreak/>
        <w:t xml:space="preserve">and all </w:t>
      </w:r>
      <w:r w:rsidR="000622AB">
        <w:t xml:space="preserve">terms and conditions of </w:t>
      </w:r>
      <w:r w:rsidRPr="003215C5">
        <w:t>work.</w:t>
      </w:r>
      <w:r w:rsidR="0019342C" w:rsidRPr="003215C5">
        <w:rPr>
          <w:rStyle w:val="FootnoteReference"/>
        </w:rPr>
        <w:footnoteReference w:id="91"/>
      </w:r>
      <w:r w:rsidRPr="003215C5">
        <w:t xml:space="preserve"> Subsection 4 provided that the Directive would not prejudice measures to encourage equal opportunities </w:t>
      </w:r>
      <w:r w:rsidR="000622AB">
        <w:t xml:space="preserve">between </w:t>
      </w:r>
      <w:r w:rsidRPr="003215C5">
        <w:t xml:space="preserve">men and women, </w:t>
      </w:r>
      <w:r w:rsidR="0007061B">
        <w:t>with the particular goal of removing</w:t>
      </w:r>
      <w:r w:rsidRPr="003215C5">
        <w:t xml:space="preserve"> existing inequalities which prejudice</w:t>
      </w:r>
      <w:r w:rsidR="0007061B">
        <w:t>d</w:t>
      </w:r>
      <w:r w:rsidRPr="003215C5">
        <w:t xml:space="preserve"> women</w:t>
      </w:r>
      <w:r w:rsidR="008578D4" w:rsidRPr="003215C5">
        <w:t>’</w:t>
      </w:r>
      <w:r w:rsidRPr="003215C5">
        <w:t xml:space="preserve">s opportunities at work. As I will </w:t>
      </w:r>
      <w:r w:rsidR="000622AB">
        <w:t xml:space="preserve">demonstrate </w:t>
      </w:r>
      <w:r w:rsidRPr="003215C5">
        <w:t xml:space="preserve">below, the </w:t>
      </w:r>
      <w:r w:rsidR="00F57C10">
        <w:t xml:space="preserve">European </w:t>
      </w:r>
      <w:r w:rsidRPr="003215C5">
        <w:t>Court interpreted this section narrowly, as an exceptional act</w:t>
      </w:r>
      <w:r w:rsidR="00F57C10">
        <w:t>,</w:t>
      </w:r>
      <w:r w:rsidRPr="003215C5">
        <w:t xml:space="preserve"> and not as a basis for </w:t>
      </w:r>
      <w:r w:rsidR="001951EA" w:rsidRPr="003215C5">
        <w:t>affirmative action program</w:t>
      </w:r>
      <w:r w:rsidR="00F57C10">
        <w:t>s</w:t>
      </w:r>
      <w:r w:rsidRPr="003215C5">
        <w:t>.</w:t>
      </w:r>
    </w:p>
    <w:p w14:paraId="128827D5" w14:textId="0ED76DAC" w:rsidR="004E586C" w:rsidRPr="003215C5" w:rsidRDefault="004E586C" w:rsidP="00286484">
      <w:pPr>
        <w:spacing w:line="360" w:lineRule="auto"/>
        <w:ind w:firstLine="720"/>
        <w:jc w:val="both"/>
      </w:pPr>
      <w:r w:rsidRPr="003215C5">
        <w:t xml:space="preserve">The </w:t>
      </w:r>
      <w:r w:rsidR="008747AE" w:rsidRPr="003215C5">
        <w:t>1997</w:t>
      </w:r>
      <w:r w:rsidR="008747AE">
        <w:t xml:space="preserve"> </w:t>
      </w:r>
      <w:r w:rsidRPr="003215C5">
        <w:t xml:space="preserve">Amsterdam Treaty called for full equality and made it possible to adopt measures to prevent discrimination or </w:t>
      </w:r>
      <w:r w:rsidR="008747AE">
        <w:t xml:space="preserve">for </w:t>
      </w:r>
      <w:r w:rsidRPr="003215C5">
        <w:t xml:space="preserve">compensation </w:t>
      </w:r>
      <w:r w:rsidR="008747AE">
        <w:t xml:space="preserve">of </w:t>
      </w:r>
      <w:r w:rsidRPr="003215C5">
        <w:t>a particular group</w:t>
      </w:r>
      <w:r w:rsidR="0007061B">
        <w:t>.</w:t>
      </w:r>
      <w:r w:rsidR="0019342C" w:rsidRPr="003215C5">
        <w:rPr>
          <w:rStyle w:val="FootnoteReference"/>
        </w:rPr>
        <w:footnoteReference w:id="92"/>
      </w:r>
      <w:r w:rsidRPr="003215C5">
        <w:t xml:space="preserve"> </w:t>
      </w:r>
      <w:r w:rsidR="0007061B">
        <w:t>Later directives from this treaty focused on</w:t>
      </w:r>
      <w:r w:rsidR="008747AE">
        <w:t xml:space="preserve"> </w:t>
      </w:r>
      <w:r w:rsidRPr="003215C5">
        <w:t>gender equality.</w:t>
      </w:r>
      <w:r w:rsidR="0019342C" w:rsidRPr="003215C5">
        <w:rPr>
          <w:rStyle w:val="FootnoteReference"/>
        </w:rPr>
        <w:footnoteReference w:id="93"/>
      </w:r>
      <w:r w:rsidRPr="003215C5">
        <w:t xml:space="preserve"> </w:t>
      </w:r>
      <w:r w:rsidR="00F57C10">
        <w:t>Moreover</w:t>
      </w:r>
      <w:r w:rsidRPr="003215C5">
        <w:t xml:space="preserve">, the </w:t>
      </w:r>
      <w:r w:rsidR="00F57C10">
        <w:t xml:space="preserve">UK </w:t>
      </w:r>
      <w:r w:rsidRPr="003215C5">
        <w:t>Equality Act evolved from the idea of ​​equality enshrined in the European Union first under the Amsterdam Treaty of 1997, which call</w:t>
      </w:r>
      <w:r w:rsidR="008747AE">
        <w:t>ed</w:t>
      </w:r>
      <w:r w:rsidRPr="003215C5">
        <w:t xml:space="preserve"> for full equality</w:t>
      </w:r>
      <w:r w:rsidR="00F57C10">
        <w:t>,</w:t>
      </w:r>
      <w:r w:rsidRPr="003215C5">
        <w:t xml:space="preserve"> and allows for the adoption of measures to prevent discrimination or compensation for a particular group.</w:t>
      </w:r>
      <w:r w:rsidR="0019342C" w:rsidRPr="003215C5">
        <w:rPr>
          <w:rStyle w:val="FootnoteReference"/>
        </w:rPr>
        <w:footnoteReference w:id="94"/>
      </w:r>
      <w:r w:rsidRPr="003215C5">
        <w:t xml:space="preserve"> The law adopted the rule of equality </w:t>
      </w:r>
      <w:r w:rsidR="0007061B">
        <w:t>based on the</w:t>
      </w:r>
      <w:r w:rsidRPr="003215C5">
        <w:t xml:space="preserve"> provisions of the </w:t>
      </w:r>
      <w:r w:rsidR="00F57C10" w:rsidRPr="003215C5">
        <w:t>1976</w:t>
      </w:r>
      <w:r w:rsidR="00F57C10">
        <w:t xml:space="preserve"> D</w:t>
      </w:r>
      <w:r w:rsidRPr="003215C5">
        <w:t>irective, which allow</w:t>
      </w:r>
      <w:r w:rsidR="00F57C10">
        <w:t>ed</w:t>
      </w:r>
      <w:r w:rsidRPr="003215C5">
        <w:t xml:space="preserve"> the appointment of a female candidate when her </w:t>
      </w:r>
      <w:r w:rsidR="008747AE">
        <w:t xml:space="preserve">test </w:t>
      </w:r>
      <w:r w:rsidRPr="003215C5">
        <w:t xml:space="preserve">score </w:t>
      </w:r>
      <w:r w:rsidR="00F57C10">
        <w:t>wa</w:t>
      </w:r>
      <w:r w:rsidRPr="003215C5">
        <w:t>s similar to that of the male candidate.</w:t>
      </w:r>
      <w:r w:rsidR="0019342C" w:rsidRPr="003215C5">
        <w:rPr>
          <w:rStyle w:val="FootnoteReference"/>
        </w:rPr>
        <w:footnoteReference w:id="95"/>
      </w:r>
      <w:r w:rsidRPr="003215C5">
        <w:t xml:space="preserve"> But in October 2002, another </w:t>
      </w:r>
      <w:r w:rsidR="008747AE">
        <w:t>d</w:t>
      </w:r>
      <w:r w:rsidRPr="003215C5">
        <w:t xml:space="preserve">irective was </w:t>
      </w:r>
      <w:r w:rsidR="008747AE">
        <w:t xml:space="preserve">issued </w:t>
      </w:r>
      <w:r w:rsidRPr="003215C5">
        <w:t xml:space="preserve">to amend the 1976 </w:t>
      </w:r>
      <w:r w:rsidR="00F57C10">
        <w:t>D</w:t>
      </w:r>
      <w:r w:rsidRPr="003215C5">
        <w:t>irective</w:t>
      </w:r>
      <w:r w:rsidR="00AD3D75">
        <w:t>,</w:t>
      </w:r>
      <w:r w:rsidR="0019342C" w:rsidRPr="003215C5">
        <w:rPr>
          <w:rStyle w:val="FootnoteReference"/>
        </w:rPr>
        <w:footnoteReference w:id="96"/>
      </w:r>
      <w:r w:rsidRPr="003215C5">
        <w:t xml:space="preserve"> and to adopt additional approaches that </w:t>
      </w:r>
      <w:r w:rsidR="00F57C10">
        <w:t xml:space="preserve">were flagged by </w:t>
      </w:r>
      <w:r w:rsidRPr="003215C5">
        <w:t xml:space="preserve">the European Court of Justice. Apart from the two </w:t>
      </w:r>
      <w:r w:rsidR="00F57C10">
        <w:t>D</w:t>
      </w:r>
      <w:r w:rsidRPr="003215C5">
        <w:t xml:space="preserve">irectives from 1975 and 1976, mention should be made of the 1979 </w:t>
      </w:r>
      <w:r w:rsidR="00F57C10">
        <w:t>D</w:t>
      </w:r>
      <w:r w:rsidRPr="003215C5">
        <w:t>irective on equal rights in the field of social security,</w:t>
      </w:r>
      <w:r w:rsidR="0019342C" w:rsidRPr="003215C5">
        <w:rPr>
          <w:rStyle w:val="FootnoteReference"/>
        </w:rPr>
        <w:footnoteReference w:id="97"/>
      </w:r>
      <w:r w:rsidRPr="003215C5">
        <w:t xml:space="preserve"> and a recommendation from 1984 which promotes the issue of affirmative action preference for women.</w:t>
      </w:r>
      <w:r w:rsidR="0019342C" w:rsidRPr="003215C5">
        <w:rPr>
          <w:rStyle w:val="FootnoteReference"/>
        </w:rPr>
        <w:footnoteReference w:id="98"/>
      </w:r>
      <w:r w:rsidRPr="003215C5">
        <w:t xml:space="preserve"> In the 1990s, directives were </w:t>
      </w:r>
      <w:r w:rsidR="008747AE">
        <w:t xml:space="preserve">issued </w:t>
      </w:r>
      <w:r w:rsidRPr="003215C5">
        <w:t>to facilitate the integration of women,</w:t>
      </w:r>
      <w:r w:rsidR="0019342C" w:rsidRPr="003215C5">
        <w:rPr>
          <w:rStyle w:val="FootnoteReference"/>
        </w:rPr>
        <w:footnoteReference w:id="99"/>
      </w:r>
      <w:r w:rsidRPr="003215C5">
        <w:t xml:space="preserve"> the most prominent of which is the one from 1997</w:t>
      </w:r>
      <w:r w:rsidR="00AD3D75">
        <w:t>,</w:t>
      </w:r>
      <w:r w:rsidR="00F57C10">
        <w:t xml:space="preserve"> </w:t>
      </w:r>
      <w:commentRangeStart w:id="4"/>
      <w:r w:rsidRPr="003215C5">
        <w:t>which</w:t>
      </w:r>
      <w:commentRangeEnd w:id="4"/>
      <w:r w:rsidR="0007061B">
        <w:rPr>
          <w:rStyle w:val="CommentReference"/>
        </w:rPr>
        <w:commentReference w:id="4"/>
      </w:r>
      <w:r w:rsidRPr="003215C5">
        <w:t xml:space="preserve"> shifts the burden of proof in claims of discrimination on </w:t>
      </w:r>
      <w:r w:rsidRPr="003215C5">
        <w:lastRenderedPageBreak/>
        <w:t xml:space="preserve">the grounds of sex to the employer. This determination greatly </w:t>
      </w:r>
      <w:r w:rsidR="00F57C10">
        <w:t xml:space="preserve">helped </w:t>
      </w:r>
      <w:r w:rsidRPr="003215C5">
        <w:t>women, who were and still are</w:t>
      </w:r>
      <w:r w:rsidR="008747AE">
        <w:t xml:space="preserve"> </w:t>
      </w:r>
      <w:r w:rsidRPr="003215C5">
        <w:t>the main victims of this discrimination.</w:t>
      </w:r>
      <w:r w:rsidR="0019342C" w:rsidRPr="003215C5">
        <w:rPr>
          <w:rStyle w:val="FootnoteReference"/>
        </w:rPr>
        <w:footnoteReference w:id="100"/>
      </w:r>
      <w:r w:rsidRPr="003215C5">
        <w:t xml:space="preserve"> In all the excellent normative sources</w:t>
      </w:r>
      <w:r w:rsidR="0007061B">
        <w:t>,</w:t>
      </w:r>
      <w:r w:rsidRPr="003215C5">
        <w:t xml:space="preserve"> it has been determined in one way or another that special and temporary measures to accelerate equality, despite their violation of the values ​​of </w:t>
      </w:r>
      <w:r w:rsidR="007810EF" w:rsidRPr="003215C5">
        <w:t>merit</w:t>
      </w:r>
      <w:r w:rsidRPr="003215C5">
        <w:t xml:space="preserve">ocracy, will not be considered discrimination. An example of this is reflected in the </w:t>
      </w:r>
      <w:r w:rsidR="00F57C10">
        <w:t>U</w:t>
      </w:r>
      <w:r w:rsidR="0007061B">
        <w:t>.</w:t>
      </w:r>
      <w:r w:rsidR="00F57C10">
        <w:t>K</w:t>
      </w:r>
      <w:r w:rsidR="0007061B">
        <w:t>.</w:t>
      </w:r>
      <w:r w:rsidR="00F57C10">
        <w:t xml:space="preserve"> </w:t>
      </w:r>
      <w:r w:rsidRPr="003215C5">
        <w:t>Equality Act</w:t>
      </w:r>
      <w:r w:rsidR="008747AE">
        <w:t xml:space="preserve"> </w:t>
      </w:r>
      <w:r w:rsidR="008747AE" w:rsidRPr="003215C5">
        <w:t>2010</w:t>
      </w:r>
      <w:r w:rsidRPr="003215C5">
        <w:t>.</w:t>
      </w:r>
      <w:r w:rsidR="0019342C" w:rsidRPr="003215C5">
        <w:rPr>
          <w:rStyle w:val="FootnoteReference"/>
        </w:rPr>
        <w:footnoteReference w:id="101"/>
      </w:r>
    </w:p>
    <w:p w14:paraId="005BA091" w14:textId="4EC7A20A" w:rsidR="004E586C" w:rsidRPr="003215C5" w:rsidRDefault="004E586C" w:rsidP="00286484">
      <w:pPr>
        <w:spacing w:line="360" w:lineRule="auto"/>
        <w:ind w:firstLine="720"/>
        <w:jc w:val="both"/>
      </w:pPr>
      <w:r w:rsidRPr="003215C5">
        <w:t xml:space="preserve">The Amsterdam Treaty marked a turning point in human rights in the </w:t>
      </w:r>
      <w:r w:rsidR="008747AE">
        <w:t>C</w:t>
      </w:r>
      <w:r w:rsidRPr="003215C5">
        <w:t xml:space="preserve">ommunity. Article 13 of the Amsterdam Treaty adopts two directives from 2000 aimed at promoting positive actions to </w:t>
      </w:r>
      <w:r w:rsidR="0007061B">
        <w:t>advance</w:t>
      </w:r>
      <w:r w:rsidRPr="003215C5">
        <w:t xml:space="preserve"> groups suffering from discrimination,</w:t>
      </w:r>
      <w:r w:rsidR="0019342C" w:rsidRPr="003215C5">
        <w:rPr>
          <w:rStyle w:val="FootnoteReference"/>
        </w:rPr>
        <w:footnoteReference w:id="102"/>
      </w:r>
      <w:r w:rsidRPr="003215C5">
        <w:t xml:space="preserve"> while Article 7 of Directive 2000/78/EC deals with positive actions to promote these groups. Furthermore, Article 137 instructs that the </w:t>
      </w:r>
      <w:r w:rsidR="008747AE">
        <w:t>C</w:t>
      </w:r>
      <w:r w:rsidRPr="003215C5">
        <w:t xml:space="preserve">ommunity support the activities of </w:t>
      </w:r>
      <w:r w:rsidR="00862E51" w:rsidRPr="003215C5">
        <w:t>Member States</w:t>
      </w:r>
      <w:r w:rsidRPr="003215C5">
        <w:t xml:space="preserve"> in the field of equality at work and equal opportunities. This means that the positive promotion of affirmative action is entrusted to </w:t>
      </w:r>
      <w:r w:rsidR="00AD3D75">
        <w:t>me</w:t>
      </w:r>
      <w:r w:rsidR="00862E51" w:rsidRPr="003215C5">
        <w:t xml:space="preserve">mber </w:t>
      </w:r>
      <w:r w:rsidR="00AD3D75">
        <w:t>s</w:t>
      </w:r>
      <w:r w:rsidR="00862E51" w:rsidRPr="003215C5">
        <w:t>tates</w:t>
      </w:r>
      <w:r w:rsidR="00862E51">
        <w:t>,</w:t>
      </w:r>
      <w:r w:rsidRPr="003215C5">
        <w:t xml:space="preserve"> and the role of the </w:t>
      </w:r>
      <w:r w:rsidR="008747AE">
        <w:t>C</w:t>
      </w:r>
      <w:r w:rsidRPr="003215C5">
        <w:t xml:space="preserve">ommunity is to support and </w:t>
      </w:r>
      <w:r w:rsidR="00862E51">
        <w:t>sup</w:t>
      </w:r>
      <w:r w:rsidRPr="003215C5">
        <w:t>plement</w:t>
      </w:r>
      <w:r w:rsidR="0007061B">
        <w:t xml:space="preserve"> their efforts</w:t>
      </w:r>
      <w:r w:rsidRPr="003215C5">
        <w:t xml:space="preserve">. </w:t>
      </w:r>
      <w:r w:rsidR="00862E51">
        <w:t>S</w:t>
      </w:r>
      <w:r w:rsidRPr="003215C5">
        <w:t xml:space="preserve">ection 141(4) outlines the legal norm that </w:t>
      </w:r>
      <w:r w:rsidR="0007061B">
        <w:t>it is possible to adopt</w:t>
      </w:r>
      <w:r w:rsidRPr="003215C5">
        <w:t xml:space="preserve"> measures that confer benefits </w:t>
      </w:r>
      <w:r w:rsidR="00862E51">
        <w:t xml:space="preserve">on </w:t>
      </w:r>
      <w:r w:rsidRPr="003215C5">
        <w:t xml:space="preserve">a particular group to ensure </w:t>
      </w:r>
      <w:r w:rsidR="00862E51">
        <w:t xml:space="preserve">actual </w:t>
      </w:r>
      <w:r w:rsidRPr="003215C5">
        <w:t xml:space="preserve">full equality. The last is the </w:t>
      </w:r>
      <w:r w:rsidR="008747AE">
        <w:t>d</w:t>
      </w:r>
      <w:r w:rsidRPr="003215C5">
        <w:t xml:space="preserve">irective </w:t>
      </w:r>
      <w:r w:rsidR="008747AE">
        <w:t xml:space="preserve">issued </w:t>
      </w:r>
      <w:r w:rsidRPr="003215C5">
        <w:t xml:space="preserve">in 2002, which </w:t>
      </w:r>
      <w:r w:rsidR="00862E51">
        <w:t xml:space="preserve">was intended </w:t>
      </w:r>
      <w:r w:rsidRPr="003215C5">
        <w:t xml:space="preserve">to update </w:t>
      </w:r>
      <w:r w:rsidR="00862E51">
        <w:t xml:space="preserve">one </w:t>
      </w:r>
      <w:r w:rsidRPr="003215C5">
        <w:t>from 1976,</w:t>
      </w:r>
      <w:r w:rsidR="0019342C" w:rsidRPr="003215C5">
        <w:rPr>
          <w:rStyle w:val="FootnoteReference"/>
        </w:rPr>
        <w:footnoteReference w:id="103"/>
      </w:r>
      <w:r w:rsidRPr="003215C5">
        <w:t xml:space="preserve"> and to adopt the main principles that emerge from </w:t>
      </w:r>
      <w:r w:rsidR="00862E51">
        <w:t xml:space="preserve">case law, </w:t>
      </w:r>
      <w:r w:rsidRPr="003215C5">
        <w:t>declar</w:t>
      </w:r>
      <w:r w:rsidR="00862E51">
        <w:t xml:space="preserve">ing </w:t>
      </w:r>
      <w:r w:rsidRPr="003215C5">
        <w:t xml:space="preserve">gender equality as </w:t>
      </w:r>
      <w:r w:rsidR="00862E51">
        <w:t xml:space="preserve">a </w:t>
      </w:r>
      <w:r w:rsidR="008747AE">
        <w:t>C</w:t>
      </w:r>
      <w:r w:rsidR="00862E51" w:rsidRPr="003215C5">
        <w:t xml:space="preserve">ommunity </w:t>
      </w:r>
      <w:r w:rsidRPr="003215C5">
        <w:t>goal and mission, and as such</w:t>
      </w:r>
      <w:r w:rsidR="00862E51">
        <w:t>,</w:t>
      </w:r>
      <w:r w:rsidRPr="003215C5">
        <w:t xml:space="preserve"> impose a positive obligation to encourage it. But beyond the provisions that allow for affirmative action but do not </w:t>
      </w:r>
      <w:r w:rsidR="00862E51">
        <w:t xml:space="preserve">mandate </w:t>
      </w:r>
      <w:r w:rsidRPr="003215C5">
        <w:t xml:space="preserve">it, the EU has adopted the </w:t>
      </w:r>
      <w:r w:rsidR="00862E51">
        <w:t xml:space="preserve">tiebreaker </w:t>
      </w:r>
      <w:r w:rsidRPr="003215C5">
        <w:t xml:space="preserve">rule, which allows </w:t>
      </w:r>
      <w:r w:rsidR="00862E51">
        <w:t xml:space="preserve">for </w:t>
      </w:r>
      <w:r w:rsidRPr="003215C5">
        <w:t xml:space="preserve">the appointment of a female candidate when her score is similar to that of the male candidate, in accordance with the 1976 </w:t>
      </w:r>
      <w:r w:rsidR="008747AE">
        <w:t>D</w:t>
      </w:r>
      <w:r w:rsidRPr="003215C5">
        <w:t>irective</w:t>
      </w:r>
      <w:r w:rsidR="008747AE">
        <w:t>,</w:t>
      </w:r>
      <w:r w:rsidR="0019342C" w:rsidRPr="003215C5">
        <w:rPr>
          <w:rStyle w:val="FootnoteReference"/>
        </w:rPr>
        <w:footnoteReference w:id="104"/>
      </w:r>
      <w:r w:rsidRPr="003215C5">
        <w:t xml:space="preserve"> and thus preferred equality in outcome rather than </w:t>
      </w:r>
      <w:r w:rsidR="00862E51">
        <w:t xml:space="preserve">in </w:t>
      </w:r>
      <w:r w:rsidRPr="003215C5">
        <w:t>proce</w:t>
      </w:r>
      <w:r w:rsidR="00862E51">
        <w:t>ss</w:t>
      </w:r>
      <w:r w:rsidRPr="003215C5">
        <w:t>.</w:t>
      </w:r>
    </w:p>
    <w:p w14:paraId="5DF996DC" w14:textId="33A24048" w:rsidR="004E586C" w:rsidRPr="003215C5" w:rsidRDefault="004E586C" w:rsidP="00286484">
      <w:pPr>
        <w:spacing w:line="360" w:lineRule="auto"/>
        <w:ind w:firstLine="720"/>
        <w:jc w:val="both"/>
      </w:pPr>
      <w:r w:rsidRPr="003215C5">
        <w:t xml:space="preserve">At the </w:t>
      </w:r>
      <w:r w:rsidR="0007061B">
        <w:t>national</w:t>
      </w:r>
      <w:r w:rsidRPr="003215C5">
        <w:t xml:space="preserve"> level, each </w:t>
      </w:r>
      <w:r w:rsidR="0012276D" w:rsidRPr="003215C5">
        <w:t xml:space="preserve">Member State </w:t>
      </w:r>
      <w:r w:rsidR="0012276D">
        <w:t xml:space="preserve">in the Union </w:t>
      </w:r>
      <w:r w:rsidRPr="003215C5">
        <w:t>has acted separately, seeking to promote solutions</w:t>
      </w:r>
      <w:r w:rsidR="008747AE">
        <w:t xml:space="preserve"> </w:t>
      </w:r>
      <w:r w:rsidRPr="003215C5">
        <w:t xml:space="preserve">in different ways, and for diverse populations, according to the need arising from its individual </w:t>
      </w:r>
      <w:r w:rsidR="0012276D">
        <w:t>circumstances</w:t>
      </w:r>
      <w:r w:rsidRPr="003215C5">
        <w:t xml:space="preserve">. In </w:t>
      </w:r>
      <w:r w:rsidRPr="002D6F24">
        <w:rPr>
          <w:b/>
          <w:bCs/>
        </w:rPr>
        <w:t>Northern Ireland</w:t>
      </w:r>
      <w:r w:rsidR="00252447">
        <w:rPr>
          <w:b/>
          <w:bCs/>
        </w:rPr>
        <w:t>,</w:t>
      </w:r>
      <w:r w:rsidRPr="003215C5">
        <w:t xml:space="preserve"> there is a constitutional </w:t>
      </w:r>
      <w:commentRangeStart w:id="5"/>
      <w:r w:rsidRPr="003215C5">
        <w:t>removal</w:t>
      </w:r>
      <w:commentRangeEnd w:id="5"/>
      <w:r w:rsidR="00AD3D75">
        <w:rPr>
          <w:rStyle w:val="CommentReference"/>
        </w:rPr>
        <w:commentReference w:id="5"/>
      </w:r>
      <w:r w:rsidRPr="003215C5">
        <w:t xml:space="preserve"> of affirmative action towards the Catholic population, set out in Irish law.</w:t>
      </w:r>
      <w:r w:rsidR="0019342C" w:rsidRPr="003215C5">
        <w:rPr>
          <w:rStyle w:val="FootnoteReference"/>
        </w:rPr>
        <w:footnoteReference w:id="105"/>
      </w:r>
      <w:r w:rsidRPr="003215C5">
        <w:t xml:space="preserve"> The law requires supervision and a duty to report on the group composition of employees, </w:t>
      </w:r>
      <w:r w:rsidR="00252447">
        <w:t>as well as that of</w:t>
      </w:r>
      <w:r w:rsidRPr="003215C5">
        <w:t xml:space="preserve"> job applicants</w:t>
      </w:r>
      <w:r w:rsidR="00252447">
        <w:t>. I</w:t>
      </w:r>
      <w:r w:rsidRPr="003215C5">
        <w:t xml:space="preserve">n places where there is </w:t>
      </w:r>
      <w:r w:rsidR="0012276D">
        <w:t xml:space="preserve">an indication </w:t>
      </w:r>
      <w:r w:rsidR="0012276D">
        <w:lastRenderedPageBreak/>
        <w:t xml:space="preserve">of </w:t>
      </w:r>
      <w:r w:rsidRPr="003215C5">
        <w:t>under-representation, employers are asked to act proactively and institute a policy of affirmative action. The law gives authority to a committee designated for this issue that has the authority to enforce this policy</w:t>
      </w:r>
      <w:r w:rsidR="0012276D">
        <w:t>,</w:t>
      </w:r>
      <w:r w:rsidRPr="003215C5">
        <w:t xml:space="preserve"> and even to set a timetable and targets for its implementation.</w:t>
      </w:r>
      <w:r w:rsidR="00DD0756" w:rsidRPr="003215C5">
        <w:rPr>
          <w:rStyle w:val="FootnoteReference"/>
        </w:rPr>
        <w:footnoteReference w:id="106"/>
      </w:r>
    </w:p>
    <w:p w14:paraId="4B1D6258" w14:textId="4C08FC4D" w:rsidR="004E586C" w:rsidRPr="003215C5" w:rsidRDefault="004E586C" w:rsidP="00286484">
      <w:pPr>
        <w:spacing w:line="360" w:lineRule="auto"/>
        <w:ind w:firstLine="720"/>
        <w:jc w:val="both"/>
      </w:pPr>
      <w:r w:rsidRPr="005D54A7">
        <w:t xml:space="preserve">In </w:t>
      </w:r>
      <w:r w:rsidRPr="005D54A7">
        <w:rPr>
          <w:b/>
          <w:bCs/>
        </w:rPr>
        <w:t>Germany</w:t>
      </w:r>
      <w:r w:rsidRPr="005D54A7">
        <w:t xml:space="preserve">, an </w:t>
      </w:r>
      <w:r w:rsidR="001951EA" w:rsidRPr="005D54A7">
        <w:t>affirmative action program</w:t>
      </w:r>
      <w:r w:rsidRPr="005D54A7">
        <w:t xml:space="preserve"> for women in the public service and the private labo</w:t>
      </w:r>
      <w:r w:rsidR="005D54A7">
        <w:t>u</w:t>
      </w:r>
      <w:r w:rsidRPr="005D54A7">
        <w:t>r market was established,</w:t>
      </w:r>
      <w:r w:rsidR="00DD0756" w:rsidRPr="005D54A7">
        <w:rPr>
          <w:rStyle w:val="FootnoteReference"/>
        </w:rPr>
        <w:footnoteReference w:id="107"/>
      </w:r>
      <w:r w:rsidRPr="005D54A7">
        <w:t xml:space="preserve"> which, </w:t>
      </w:r>
      <w:r w:rsidR="00DD0756" w:rsidRPr="000D37DC">
        <w:t>inter alia</w:t>
      </w:r>
      <w:r w:rsidRPr="002D6F24">
        <w:t>,</w:t>
      </w:r>
      <w:r w:rsidRPr="005D54A7">
        <w:t xml:space="preserve"> </w:t>
      </w:r>
      <w:r w:rsidR="00446774">
        <w:t xml:space="preserve">mandated </w:t>
      </w:r>
      <w:r w:rsidR="00446774" w:rsidRPr="005D54A7">
        <w:t>at least 50%</w:t>
      </w:r>
      <w:r w:rsidR="00446774">
        <w:t xml:space="preserve"> </w:t>
      </w:r>
      <w:r w:rsidRPr="005D54A7">
        <w:t>representation for women.</w:t>
      </w:r>
      <w:r w:rsidR="00DD0756" w:rsidRPr="005D54A7">
        <w:rPr>
          <w:rStyle w:val="FootnoteReference"/>
        </w:rPr>
        <w:footnoteReference w:id="108"/>
      </w:r>
      <w:r w:rsidRPr="005D54A7">
        <w:t xml:space="preserve"> It was the </w:t>
      </w:r>
      <w:r w:rsidR="005D54A7">
        <w:t xml:space="preserve">Court </w:t>
      </w:r>
      <w:r w:rsidRPr="005D54A7">
        <w:t xml:space="preserve">that </w:t>
      </w:r>
      <w:r w:rsidR="005D54A7">
        <w:t xml:space="preserve">had to address the </w:t>
      </w:r>
      <w:r w:rsidRPr="005D54A7">
        <w:t xml:space="preserve">question </w:t>
      </w:r>
      <w:r w:rsidR="005D54A7">
        <w:t xml:space="preserve">of </w:t>
      </w:r>
      <w:r w:rsidRPr="005D54A7">
        <w:t xml:space="preserve">the degree of legitimacy of </w:t>
      </w:r>
      <w:r w:rsidR="005D54A7">
        <w:t xml:space="preserve">the </w:t>
      </w:r>
      <w:r w:rsidRPr="005D54A7">
        <w:t xml:space="preserve">German legislation </w:t>
      </w:r>
      <w:r w:rsidR="005D54A7">
        <w:t>o</w:t>
      </w:r>
      <w:r w:rsidRPr="005D54A7">
        <w:t xml:space="preserve">n this </w:t>
      </w:r>
      <w:r w:rsidR="005D54A7">
        <w:t>point</w:t>
      </w:r>
      <w:r w:rsidRPr="005D54A7">
        <w:t xml:space="preserve">, following the EU ruling in the </w:t>
      </w:r>
      <w:proofErr w:type="spellStart"/>
      <w:r w:rsidRPr="005D54A7">
        <w:t>Kalancke</w:t>
      </w:r>
      <w:proofErr w:type="spellEnd"/>
      <w:r w:rsidR="00DD0756" w:rsidRPr="005D54A7">
        <w:rPr>
          <w:rStyle w:val="FootnoteReference"/>
        </w:rPr>
        <w:footnoteReference w:id="109"/>
      </w:r>
      <w:r w:rsidRPr="005D54A7">
        <w:t xml:space="preserve"> case, </w:t>
      </w:r>
      <w:r w:rsidR="00252447">
        <w:t>finding</w:t>
      </w:r>
      <w:r w:rsidRPr="005D54A7">
        <w:t xml:space="preserve"> that this legislation was inconsistent with the principle of equality laid down in Directive 76/207 of the European Community Council of 1976.</w:t>
      </w:r>
      <w:r w:rsidR="00DD0756" w:rsidRPr="005D54A7">
        <w:rPr>
          <w:rStyle w:val="FootnoteReference"/>
        </w:rPr>
        <w:footnoteReference w:id="110"/>
      </w:r>
      <w:r w:rsidRPr="005D54A7">
        <w:t xml:space="preserve"> </w:t>
      </w:r>
      <w:r w:rsidR="005D54A7">
        <w:t xml:space="preserve">The Court accepted the prosecutor’s claim, </w:t>
      </w:r>
      <w:r w:rsidR="006F09E9">
        <w:t xml:space="preserve">and </w:t>
      </w:r>
      <w:r w:rsidR="006F09E9">
        <w:t>rejected</w:t>
      </w:r>
      <w:r w:rsidR="006F09E9" w:rsidRPr="005D54A7">
        <w:t xml:space="preserve"> automatic affirmative action preference </w:t>
      </w:r>
      <w:r w:rsidR="006F09E9">
        <w:t xml:space="preserve">for </w:t>
      </w:r>
      <w:r w:rsidR="006F09E9" w:rsidRPr="005D54A7">
        <w:t>women</w:t>
      </w:r>
      <w:r w:rsidR="006F09E9">
        <w:t>, concluding</w:t>
      </w:r>
      <w:r w:rsidRPr="005D54A7">
        <w:t xml:space="preserve"> that a policy of equal opportunity is permissible, but automatically giving priority to women ignores </w:t>
      </w:r>
      <w:r w:rsidR="00446774">
        <w:t xml:space="preserve">a </w:t>
      </w:r>
      <w:r w:rsidR="005D54A7" w:rsidRPr="005D54A7">
        <w:t>m</w:t>
      </w:r>
      <w:r w:rsidR="00446774">
        <w:t>a</w:t>
      </w:r>
      <w:r w:rsidR="005D54A7" w:rsidRPr="005D54A7">
        <w:t>n</w:t>
      </w:r>
      <w:r w:rsidR="005D54A7">
        <w:t xml:space="preserve">’s </w:t>
      </w:r>
      <w:r w:rsidRPr="005D54A7">
        <w:t>right to equality</w:t>
      </w:r>
      <w:r w:rsidR="005D54A7">
        <w:t>,</w:t>
      </w:r>
      <w:r w:rsidRPr="005D54A7">
        <w:t xml:space="preserve"> and deviates from the provisions of the directive encouraging the employment of women. This is one of the first cases in which a </w:t>
      </w:r>
      <w:r w:rsidR="005D54A7">
        <w:t xml:space="preserve">question </w:t>
      </w:r>
      <w:r w:rsidRPr="005D54A7">
        <w:t xml:space="preserve">was submitted to the </w:t>
      </w:r>
      <w:r w:rsidR="005D54A7">
        <w:t>C</w:t>
      </w:r>
      <w:r w:rsidRPr="005D54A7">
        <w:t xml:space="preserve">ourt for a decision that came from one of the EU </w:t>
      </w:r>
      <w:r w:rsidR="005D54A7">
        <w:t>Member States</w:t>
      </w:r>
      <w:r w:rsidRPr="005D54A7">
        <w:t xml:space="preserve">. In the German context, the matter was settled in 2001, </w:t>
      </w:r>
      <w:r w:rsidR="00252447">
        <w:t xml:space="preserve">with </w:t>
      </w:r>
      <w:r w:rsidRPr="005D54A7">
        <w:t>a federal order regulating the manner of execution</w:t>
      </w:r>
      <w:r w:rsidR="005D54A7">
        <w:t>,</w:t>
      </w:r>
      <w:r w:rsidRPr="005D54A7">
        <w:t xml:space="preserve"> and specifically the issue of quotas</w:t>
      </w:r>
      <w:r w:rsidR="00252447">
        <w:t>.</w:t>
      </w:r>
      <w:r w:rsidR="00DD0756" w:rsidRPr="005D54A7">
        <w:rPr>
          <w:rStyle w:val="FootnoteReference"/>
        </w:rPr>
        <w:footnoteReference w:id="111"/>
      </w:r>
      <w:r w:rsidRPr="005D54A7">
        <w:t xml:space="preserve"> </w:t>
      </w:r>
      <w:r w:rsidR="00252447">
        <w:t xml:space="preserve">The resulting </w:t>
      </w:r>
      <w:r w:rsidR="001951EA" w:rsidRPr="005D54A7">
        <w:t>affirmative action program</w:t>
      </w:r>
      <w:r w:rsidRPr="005D54A7">
        <w:t xml:space="preserve"> is based on a statistical factual basis of the ratio of men </w:t>
      </w:r>
      <w:r w:rsidR="005D54A7">
        <w:t xml:space="preserve">to </w:t>
      </w:r>
      <w:r w:rsidRPr="005D54A7">
        <w:t xml:space="preserve">women, among job candidates, employees, </w:t>
      </w:r>
      <w:r w:rsidR="005D54A7">
        <w:t>workers promoted</w:t>
      </w:r>
      <w:r w:rsidRPr="005D54A7">
        <w:t xml:space="preserve"> within the organi</w:t>
      </w:r>
      <w:r w:rsidR="005D54A7">
        <w:t>s</w:t>
      </w:r>
      <w:r w:rsidRPr="005D54A7">
        <w:t>ation</w:t>
      </w:r>
      <w:r w:rsidR="005D54A7">
        <w:t>,</w:t>
      </w:r>
      <w:r w:rsidRPr="005D54A7">
        <w:t xml:space="preserve"> or anyone </w:t>
      </w:r>
      <w:r w:rsidR="005D54A7">
        <w:t xml:space="preserve">eligible </w:t>
      </w:r>
      <w:r w:rsidRPr="005D54A7">
        <w:t>for professional training.</w:t>
      </w:r>
    </w:p>
    <w:p w14:paraId="41529D70" w14:textId="31B645F7" w:rsidR="004E586C" w:rsidRPr="003215C5" w:rsidRDefault="004E586C" w:rsidP="00286484">
      <w:pPr>
        <w:spacing w:line="360" w:lineRule="auto"/>
        <w:ind w:firstLine="720"/>
        <w:jc w:val="both"/>
      </w:pPr>
      <w:r w:rsidRPr="003215C5">
        <w:t>Adequate representation for women that requires positive action to promote women in the labo</w:t>
      </w:r>
      <w:r w:rsidR="005D54A7">
        <w:t>u</w:t>
      </w:r>
      <w:r w:rsidRPr="003215C5">
        <w:t xml:space="preserve">r market can be found in other countries such as </w:t>
      </w:r>
      <w:r w:rsidRPr="005D54A7">
        <w:rPr>
          <w:b/>
          <w:bCs/>
        </w:rPr>
        <w:t>Finland</w:t>
      </w:r>
      <w:r w:rsidRPr="003215C5">
        <w:t>, where a law enacted in 1987</w:t>
      </w:r>
      <w:r w:rsidR="005D54A7">
        <w:t xml:space="preserve"> mandated </w:t>
      </w:r>
      <w:r w:rsidR="00EE6B79">
        <w:t xml:space="preserve">such a </w:t>
      </w:r>
      <w:r w:rsidR="005D54A7">
        <w:t>duty</w:t>
      </w:r>
      <w:r w:rsidRPr="003215C5">
        <w:t>, and in 1995</w:t>
      </w:r>
      <w:r w:rsidR="00EE6B79">
        <w:t>,</w:t>
      </w:r>
      <w:r w:rsidRPr="003215C5">
        <w:t xml:space="preserve"> an amendment was introduced to ensure </w:t>
      </w:r>
      <w:r w:rsidR="005D54A7" w:rsidRPr="003215C5">
        <w:t xml:space="preserve">representation </w:t>
      </w:r>
      <w:r w:rsidR="005D54A7">
        <w:t xml:space="preserve">of </w:t>
      </w:r>
      <w:r w:rsidRPr="003215C5">
        <w:t xml:space="preserve">at least 40% </w:t>
      </w:r>
      <w:r w:rsidR="005D54A7">
        <w:t xml:space="preserve">of </w:t>
      </w:r>
      <w:r w:rsidRPr="003215C5">
        <w:t>women on committees and public councils.</w:t>
      </w:r>
      <w:r w:rsidR="00DD0756" w:rsidRPr="003215C5">
        <w:rPr>
          <w:rStyle w:val="FootnoteReference"/>
        </w:rPr>
        <w:footnoteReference w:id="112"/>
      </w:r>
    </w:p>
    <w:p w14:paraId="40B9EFB6" w14:textId="254A6833" w:rsidR="004E586C" w:rsidRPr="003215C5" w:rsidRDefault="004E586C" w:rsidP="00286484">
      <w:pPr>
        <w:spacing w:line="360" w:lineRule="auto"/>
        <w:ind w:firstLine="720"/>
        <w:jc w:val="both"/>
      </w:pPr>
      <w:r w:rsidRPr="003215C5">
        <w:lastRenderedPageBreak/>
        <w:t xml:space="preserve">But in this sense of equality, </w:t>
      </w:r>
      <w:r w:rsidR="006F09E9">
        <w:t xml:space="preserve">the </w:t>
      </w:r>
      <w:r w:rsidRPr="003215C5">
        <w:t xml:space="preserve">question </w:t>
      </w:r>
      <w:r w:rsidR="006F09E9">
        <w:t xml:space="preserve">of </w:t>
      </w:r>
      <w:r w:rsidR="006F09E9" w:rsidRPr="003215C5">
        <w:t xml:space="preserve">what equality </w:t>
      </w:r>
      <w:r w:rsidR="006F09E9">
        <w:t>are we talking about</w:t>
      </w:r>
      <w:r w:rsidR="006F09E9">
        <w:t xml:space="preserve"> </w:t>
      </w:r>
      <w:r w:rsidR="005D54A7">
        <w:t>arises</w:t>
      </w:r>
      <w:r w:rsidR="006F09E9">
        <w:t>.</w:t>
      </w:r>
      <w:r w:rsidR="005D54A7">
        <w:t xml:space="preserve"> F</w:t>
      </w:r>
      <w:r w:rsidRPr="003215C5">
        <w:t>or whom</w:t>
      </w:r>
      <w:r w:rsidR="005D54A7">
        <w:t>?</w:t>
      </w:r>
      <w:r w:rsidRPr="003215C5">
        <w:t xml:space="preserve"> </w:t>
      </w:r>
      <w:r w:rsidR="005D54A7">
        <w:t>W</w:t>
      </w:r>
      <w:r w:rsidRPr="003215C5">
        <w:t xml:space="preserve">hat means </w:t>
      </w:r>
      <w:r w:rsidR="00EE6B79">
        <w:t xml:space="preserve">are used to achieve or accelerate </w:t>
      </w:r>
      <w:r w:rsidRPr="003215C5">
        <w:t>equality</w:t>
      </w:r>
      <w:r w:rsidR="005D54A7">
        <w:t>?</w:t>
      </w:r>
      <w:r w:rsidRPr="003215C5">
        <w:t xml:space="preserve"> </w:t>
      </w:r>
      <w:r w:rsidR="005D54A7">
        <w:t>D</w:t>
      </w:r>
      <w:r w:rsidRPr="003215C5">
        <w:t xml:space="preserve">o they have </w:t>
      </w:r>
      <w:r w:rsidR="00EE6B79">
        <w:t>any flexibility or do they violate</w:t>
      </w:r>
      <w:r w:rsidRPr="003215C5">
        <w:t xml:space="preserve"> the value</w:t>
      </w:r>
      <w:r w:rsidR="005D54A7">
        <w:t xml:space="preserve"> </w:t>
      </w:r>
      <w:r w:rsidRPr="003215C5">
        <w:t xml:space="preserve">​​of </w:t>
      </w:r>
      <w:r w:rsidR="007810EF" w:rsidRPr="003215C5">
        <w:t>merit</w:t>
      </w:r>
      <w:r w:rsidRPr="003215C5">
        <w:t xml:space="preserve">ocracy? These issues, and many more, </w:t>
      </w:r>
      <w:r w:rsidR="005D54A7">
        <w:t xml:space="preserve">were addressed by </w:t>
      </w:r>
      <w:r w:rsidRPr="003215C5">
        <w:t xml:space="preserve">the </w:t>
      </w:r>
      <w:r w:rsidR="005D54A7">
        <w:t>European Court of Justice</w:t>
      </w:r>
      <w:r w:rsidRPr="003215C5">
        <w:t>. In this review</w:t>
      </w:r>
      <w:r w:rsidR="005D54A7">
        <w:t>,</w:t>
      </w:r>
      <w:r w:rsidRPr="003215C5">
        <w:t xml:space="preserve"> I will seek to address a number of cases out of hundreds of precedents. The </w:t>
      </w:r>
      <w:r w:rsidR="005D54A7">
        <w:t>Court</w:t>
      </w:r>
      <w:r w:rsidR="008578D4" w:rsidRPr="003215C5">
        <w:t>’</w:t>
      </w:r>
      <w:r w:rsidRPr="003215C5">
        <w:t xml:space="preserve">s contribution to the establishment of norms throughout the </w:t>
      </w:r>
      <w:r w:rsidR="00446774">
        <w:t>C</w:t>
      </w:r>
      <w:r w:rsidRPr="003215C5">
        <w:t>ommunity</w:t>
      </w:r>
      <w:r w:rsidR="005D54A7">
        <w:t>,</w:t>
      </w:r>
      <w:r w:rsidRPr="003215C5">
        <w:t xml:space="preserve"> and its uniform interpretation, leads to harmoni</w:t>
      </w:r>
      <w:r w:rsidR="005D54A7">
        <w:t>s</w:t>
      </w:r>
      <w:r w:rsidRPr="003215C5">
        <w:t xml:space="preserve">ation of </w:t>
      </w:r>
      <w:r w:rsidR="00446774">
        <w:t>S</w:t>
      </w:r>
      <w:r w:rsidRPr="003215C5">
        <w:t xml:space="preserve">tate laws. Apart from the </w:t>
      </w:r>
      <w:proofErr w:type="spellStart"/>
      <w:r w:rsidRPr="003215C5">
        <w:t>Kalancke</w:t>
      </w:r>
      <w:proofErr w:type="spellEnd"/>
      <w:r w:rsidRPr="003215C5">
        <w:t xml:space="preserve"> case</w:t>
      </w:r>
      <w:r w:rsidR="00EE6B79">
        <w:t>,</w:t>
      </w:r>
      <w:r w:rsidR="00DD0756" w:rsidRPr="003215C5">
        <w:rPr>
          <w:rStyle w:val="FootnoteReference"/>
        </w:rPr>
        <w:footnoteReference w:id="113"/>
      </w:r>
      <w:r w:rsidRPr="003215C5">
        <w:t xml:space="preserve"> the </w:t>
      </w:r>
      <w:r w:rsidR="005D54A7">
        <w:t>C</w:t>
      </w:r>
      <w:r w:rsidRPr="003215C5">
        <w:t xml:space="preserve">ourt in the </w:t>
      </w:r>
      <w:proofErr w:type="spellStart"/>
      <w:r w:rsidRPr="003215C5">
        <w:t>Marschall</w:t>
      </w:r>
      <w:proofErr w:type="spellEnd"/>
      <w:r w:rsidRPr="003215C5">
        <w:t xml:space="preserve"> case</w:t>
      </w:r>
      <w:r w:rsidR="00DD0756" w:rsidRPr="003215C5">
        <w:rPr>
          <w:rStyle w:val="FootnoteReference"/>
        </w:rPr>
        <w:footnoteReference w:id="114"/>
      </w:r>
      <w:r w:rsidRPr="003215C5">
        <w:t xml:space="preserve"> dealt with </w:t>
      </w:r>
      <w:r w:rsidR="005D54A7">
        <w:t xml:space="preserve">preferring </w:t>
      </w:r>
      <w:r w:rsidRPr="003215C5">
        <w:t xml:space="preserve">a job candidate </w:t>
      </w:r>
      <w:r w:rsidR="00446774">
        <w:t xml:space="preserve">when </w:t>
      </w:r>
      <w:r w:rsidRPr="003215C5">
        <w:t>two candidates ha</w:t>
      </w:r>
      <w:r w:rsidR="005D54A7">
        <w:t xml:space="preserve">d </w:t>
      </w:r>
      <w:r w:rsidRPr="003215C5">
        <w:t xml:space="preserve">different </w:t>
      </w:r>
      <w:r w:rsidR="005D54A7">
        <w:t>m</w:t>
      </w:r>
      <w:r w:rsidR="007810EF" w:rsidRPr="003215C5">
        <w:t>erit</w:t>
      </w:r>
      <w:r w:rsidRPr="003215C5">
        <w:t xml:space="preserve"> scores. The </w:t>
      </w:r>
      <w:r w:rsidR="00F7090D">
        <w:t>C</w:t>
      </w:r>
      <w:r w:rsidRPr="003215C5">
        <w:t>ourt ruled that the employer ha</w:t>
      </w:r>
      <w:r w:rsidR="00EE6B79">
        <w:t>d</w:t>
      </w:r>
      <w:r w:rsidRPr="003215C5">
        <w:t xml:space="preserve"> discretion to decide against a candidate</w:t>
      </w:r>
      <w:r w:rsidR="008578D4" w:rsidRPr="003215C5">
        <w:t>’</w:t>
      </w:r>
      <w:r w:rsidRPr="003215C5">
        <w:t xml:space="preserve">s affirmative action preference if </w:t>
      </w:r>
      <w:r w:rsidR="00252447">
        <w:t xml:space="preserve">the employer </w:t>
      </w:r>
      <w:r w:rsidRPr="003215C5">
        <w:t>c</w:t>
      </w:r>
      <w:r w:rsidR="00EE6B79">
        <w:t>ould</w:t>
      </w:r>
      <w:r w:rsidRPr="003215C5">
        <w:t xml:space="preserve"> </w:t>
      </w:r>
      <w:r w:rsidR="00252447">
        <w:t>show that the man ha</w:t>
      </w:r>
      <w:r w:rsidR="00EE6B79">
        <w:t>d</w:t>
      </w:r>
      <w:r w:rsidR="00F7090D">
        <w:t xml:space="preserve"> </w:t>
      </w:r>
      <w:r w:rsidRPr="003215C5">
        <w:t xml:space="preserve">an advantage in terms of meeting the threshold conditions and </w:t>
      </w:r>
      <w:r w:rsidR="006F09E9">
        <w:t xml:space="preserve">in terms of </w:t>
      </w:r>
      <w:r w:rsidR="007810EF" w:rsidRPr="003215C5">
        <w:t>merit</w:t>
      </w:r>
      <w:r w:rsidRPr="003215C5">
        <w:t xml:space="preserve">, as long as the </w:t>
      </w:r>
      <w:r w:rsidR="00F7090D">
        <w:t>criteri</w:t>
      </w:r>
      <w:r w:rsidR="00252447">
        <w:t>on</w:t>
      </w:r>
      <w:r w:rsidR="00F7090D">
        <w:t xml:space="preserve"> under review </w:t>
      </w:r>
      <w:r w:rsidR="00EE6B79">
        <w:t>wa</w:t>
      </w:r>
      <w:r w:rsidRPr="003215C5">
        <w:t xml:space="preserve">s not </w:t>
      </w:r>
      <w:r w:rsidR="00F7090D">
        <w:t xml:space="preserve">inherently </w:t>
      </w:r>
      <w:r w:rsidRPr="003215C5">
        <w:t>discriminat</w:t>
      </w:r>
      <w:r w:rsidR="00F7090D">
        <w:t>ory</w:t>
      </w:r>
      <w:r w:rsidRPr="003215C5">
        <w:t>. A third case</w:t>
      </w:r>
      <w:r w:rsidR="00F7090D">
        <w:t>,</w:t>
      </w:r>
      <w:r w:rsidRPr="003215C5">
        <w:t xml:space="preserve"> from Germany, the </w:t>
      </w:r>
      <w:proofErr w:type="spellStart"/>
      <w:r w:rsidRPr="003215C5">
        <w:t>Badeck</w:t>
      </w:r>
      <w:proofErr w:type="spellEnd"/>
      <w:r w:rsidRPr="003215C5">
        <w:t xml:space="preserve"> case</w:t>
      </w:r>
      <w:r w:rsidR="00252447" w:rsidRPr="003215C5">
        <w:t>,</w:t>
      </w:r>
      <w:r w:rsidR="00DD0756" w:rsidRPr="003215C5">
        <w:rPr>
          <w:rStyle w:val="FootnoteReference"/>
        </w:rPr>
        <w:footnoteReference w:id="115"/>
      </w:r>
      <w:r w:rsidRPr="003215C5">
        <w:t xml:space="preserve"> </w:t>
      </w:r>
      <w:r w:rsidR="00252447">
        <w:t>challenged</w:t>
      </w:r>
      <w:r w:rsidRPr="003215C5">
        <w:t xml:space="preserve"> a law aimed at improving the proportion of women working in </w:t>
      </w:r>
      <w:r w:rsidR="00446774">
        <w:t xml:space="preserve">the civil </w:t>
      </w:r>
      <w:r w:rsidRPr="003215C5">
        <w:t>service, arguing that the law violate</w:t>
      </w:r>
      <w:r w:rsidR="00F7090D">
        <w:t>d</w:t>
      </w:r>
      <w:r w:rsidRPr="003215C5">
        <w:t xml:space="preserve"> the right</w:t>
      </w:r>
      <w:r w:rsidR="00F7090D">
        <w:t>s</w:t>
      </w:r>
      <w:r w:rsidRPr="003215C5">
        <w:t xml:space="preserve"> of every worker, and</w:t>
      </w:r>
      <w:r w:rsidR="00252447">
        <w:t>,</w:t>
      </w:r>
      <w:r w:rsidRPr="003215C5">
        <w:t xml:space="preserve"> in this context</w:t>
      </w:r>
      <w:r w:rsidR="00252447">
        <w:t>,</w:t>
      </w:r>
      <w:r w:rsidRPr="003215C5">
        <w:t xml:space="preserve"> men, to equal opportunity and recognition of skills. Concretely</w:t>
      </w:r>
      <w:r w:rsidR="00252447">
        <w:t>,</w:t>
      </w:r>
      <w:r w:rsidR="00446774">
        <w:t xml:space="preserve"> </w:t>
      </w:r>
      <w:r w:rsidRPr="003215C5">
        <w:t xml:space="preserve">it </w:t>
      </w:r>
      <w:r w:rsidR="00F7090D">
        <w:t>w</w:t>
      </w:r>
      <w:r w:rsidRPr="003215C5">
        <w:t>as argued</w:t>
      </w:r>
      <w:r w:rsidR="00446774">
        <w:t xml:space="preserve"> </w:t>
      </w:r>
      <w:r w:rsidRPr="003215C5">
        <w:t>that the law set</w:t>
      </w:r>
      <w:r w:rsidR="00F7090D">
        <w:t xml:space="preserve"> rigid </w:t>
      </w:r>
      <w:r w:rsidRPr="003215C5">
        <w:t xml:space="preserve">quotas for the integration of women and their </w:t>
      </w:r>
      <w:r w:rsidR="00F7090D">
        <w:t xml:space="preserve">alleviation </w:t>
      </w:r>
      <w:r w:rsidRPr="003215C5">
        <w:t>from a state of underrepresentation, which g</w:t>
      </w:r>
      <w:r w:rsidR="00F7090D">
        <w:t>a</w:t>
      </w:r>
      <w:r w:rsidRPr="003215C5">
        <w:t>ve</w:t>
      </w:r>
      <w:r w:rsidR="00F7090D">
        <w:t xml:space="preserve"> </w:t>
      </w:r>
      <w:r w:rsidRPr="003215C5">
        <w:t xml:space="preserve">women an unfair advantage in employment. The </w:t>
      </w:r>
      <w:r w:rsidR="00F7090D">
        <w:t>C</w:t>
      </w:r>
      <w:r w:rsidRPr="003215C5">
        <w:t>ourt ruled that the law preserve</w:t>
      </w:r>
      <w:r w:rsidR="00252447">
        <w:t>d</w:t>
      </w:r>
      <w:r w:rsidRPr="003215C5">
        <w:t xml:space="preserve"> the </w:t>
      </w:r>
      <w:r w:rsidR="00446774">
        <w:t>C</w:t>
      </w:r>
      <w:r w:rsidR="00446774" w:rsidRPr="003215C5">
        <w:t>ommunity</w:t>
      </w:r>
      <w:r w:rsidR="00446774">
        <w:t>’s</w:t>
      </w:r>
      <w:r w:rsidR="00446774" w:rsidRPr="003215C5">
        <w:t xml:space="preserve"> </w:t>
      </w:r>
      <w:r w:rsidRPr="003215C5">
        <w:t xml:space="preserve">equality provisions </w:t>
      </w:r>
      <w:r w:rsidR="00252447">
        <w:t>as</w:t>
      </w:r>
      <w:r w:rsidRPr="003215C5">
        <w:t xml:space="preserve"> it allow</w:t>
      </w:r>
      <w:r w:rsidR="00252447">
        <w:t>ed</w:t>
      </w:r>
      <w:r w:rsidRPr="003215C5">
        <w:t xml:space="preserve"> for a uniform </w:t>
      </w:r>
      <w:r w:rsidR="007810EF" w:rsidRPr="003215C5">
        <w:t>merit</w:t>
      </w:r>
      <w:r w:rsidRPr="003215C5">
        <w:t xml:space="preserve"> assessment</w:t>
      </w:r>
      <w:r w:rsidR="00446774">
        <w:t>,</w:t>
      </w:r>
      <w:r w:rsidRPr="003215C5">
        <w:t xml:space="preserve"> thus </w:t>
      </w:r>
      <w:r w:rsidR="00446774">
        <w:t xml:space="preserve">fulfilling </w:t>
      </w:r>
      <w:r w:rsidRPr="003215C5">
        <w:t xml:space="preserve">the principle of equal opportunity for every candidate. </w:t>
      </w:r>
      <w:r w:rsidR="00252447">
        <w:t>T</w:t>
      </w:r>
      <w:r w:rsidRPr="003215C5">
        <w:t xml:space="preserve">he </w:t>
      </w:r>
      <w:r w:rsidR="00F7090D">
        <w:t>C</w:t>
      </w:r>
      <w:r w:rsidRPr="003215C5">
        <w:t xml:space="preserve">ourt </w:t>
      </w:r>
      <w:r w:rsidR="00252447">
        <w:t xml:space="preserve">also </w:t>
      </w:r>
      <w:r w:rsidRPr="003215C5">
        <w:t xml:space="preserve">did not find flaw </w:t>
      </w:r>
      <w:r w:rsidR="00446774">
        <w:t xml:space="preserve">in </w:t>
      </w:r>
      <w:r w:rsidR="00252447">
        <w:t xml:space="preserve">the quotas, </w:t>
      </w:r>
      <w:r w:rsidR="00EE6B79">
        <w:t>concluding they were</w:t>
      </w:r>
      <w:r w:rsidR="00F7090D">
        <w:t xml:space="preserve"> </w:t>
      </w:r>
      <w:r w:rsidRPr="003215C5">
        <w:t xml:space="preserve">proportionate, not </w:t>
      </w:r>
      <w:r w:rsidR="00F7090D">
        <w:t>set</w:t>
      </w:r>
      <w:r w:rsidR="00446774" w:rsidRPr="00446774">
        <w:t xml:space="preserve"> </w:t>
      </w:r>
      <w:r w:rsidR="00446774" w:rsidRPr="003215C5">
        <w:t>arbitrarily</w:t>
      </w:r>
      <w:r w:rsidR="00F7090D">
        <w:t xml:space="preserve">, </w:t>
      </w:r>
      <w:r w:rsidRPr="003215C5">
        <w:t xml:space="preserve">and </w:t>
      </w:r>
      <w:r w:rsidR="00252447">
        <w:t>provid</w:t>
      </w:r>
      <w:r w:rsidR="00EE6B79">
        <w:t>ed</w:t>
      </w:r>
      <w:r w:rsidRPr="003215C5">
        <w:t xml:space="preserve"> the civil service flexibility, so that whe</w:t>
      </w:r>
      <w:r w:rsidR="00252447">
        <w:t>n</w:t>
      </w:r>
      <w:r w:rsidRPr="003215C5">
        <w:t xml:space="preserve"> there </w:t>
      </w:r>
      <w:r w:rsidR="00F7090D">
        <w:t>we</w:t>
      </w:r>
      <w:r w:rsidRPr="003215C5">
        <w:t xml:space="preserve">re not enough suitable </w:t>
      </w:r>
      <w:r w:rsidR="00F7090D">
        <w:t xml:space="preserve">female </w:t>
      </w:r>
      <w:r w:rsidRPr="003215C5">
        <w:t xml:space="preserve">candidates, it </w:t>
      </w:r>
      <w:r w:rsidR="00F7090D">
        <w:t xml:space="preserve">was </w:t>
      </w:r>
      <w:r w:rsidRPr="003215C5">
        <w:t xml:space="preserve">possible to open the position to men. The </w:t>
      </w:r>
      <w:r w:rsidR="00F7090D">
        <w:t xml:space="preserve">Court </w:t>
      </w:r>
      <w:r w:rsidRPr="003215C5">
        <w:t xml:space="preserve">reiterated that the Equal Opportunity Directive of 1976 only prohibits inflexible quotas. </w:t>
      </w:r>
      <w:r w:rsidR="00EE6B79">
        <w:t>I</w:t>
      </w:r>
      <w:r w:rsidR="00EE6B79" w:rsidRPr="003215C5">
        <w:t>n its ruling</w:t>
      </w:r>
      <w:r w:rsidR="00EE6B79">
        <w:t>, t</w:t>
      </w:r>
      <w:r w:rsidRPr="003215C5">
        <w:t xml:space="preserve">he </w:t>
      </w:r>
      <w:r w:rsidR="00F7090D">
        <w:t xml:space="preserve">Court </w:t>
      </w:r>
      <w:r w:rsidRPr="003215C5">
        <w:t>relie</w:t>
      </w:r>
      <w:r w:rsidR="00F7090D">
        <w:t>d</w:t>
      </w:r>
      <w:r w:rsidRPr="003215C5">
        <w:t xml:space="preserve"> on the </w:t>
      </w:r>
      <w:r w:rsidR="00F7090D">
        <w:t>D</w:t>
      </w:r>
      <w:r w:rsidRPr="003215C5">
        <w:t>irective, although</w:t>
      </w:r>
      <w:r w:rsidR="00252447">
        <w:t>,</w:t>
      </w:r>
      <w:r w:rsidRPr="003215C5">
        <w:t xml:space="preserve"> in the meantime</w:t>
      </w:r>
      <w:r w:rsidR="00252447">
        <w:t>,</w:t>
      </w:r>
      <w:r w:rsidRPr="003215C5">
        <w:t xml:space="preserve"> the Amsterdam Treaty</w:t>
      </w:r>
      <w:r w:rsidR="00F7090D">
        <w:t>,</w:t>
      </w:r>
      <w:r w:rsidRPr="003215C5">
        <w:t xml:space="preserve"> and</w:t>
      </w:r>
      <w:r w:rsidR="00252447">
        <w:t>,</w:t>
      </w:r>
      <w:r w:rsidRPr="003215C5">
        <w:t xml:space="preserve"> with it</w:t>
      </w:r>
      <w:r w:rsidR="00252447">
        <w:t>,</w:t>
      </w:r>
      <w:r w:rsidRPr="003215C5">
        <w:t xml:space="preserve"> </w:t>
      </w:r>
      <w:r w:rsidR="00F7090D">
        <w:t>S</w:t>
      </w:r>
      <w:r w:rsidRPr="003215C5">
        <w:t xml:space="preserve">ubsection 141(4) </w:t>
      </w:r>
      <w:r w:rsidR="00F7090D">
        <w:t>became effective</w:t>
      </w:r>
      <w:r w:rsidRPr="003215C5">
        <w:t xml:space="preserve">, </w:t>
      </w:r>
      <w:r w:rsidR="00F7090D">
        <w:t xml:space="preserve">which </w:t>
      </w:r>
      <w:r w:rsidRPr="003215C5">
        <w:t>call</w:t>
      </w:r>
      <w:r w:rsidR="00F7090D">
        <w:t>ed</w:t>
      </w:r>
      <w:r w:rsidRPr="003215C5">
        <w:t xml:space="preserve"> for the inclusion of women also </w:t>
      </w:r>
      <w:r w:rsidR="00F7090D">
        <w:t xml:space="preserve">by </w:t>
      </w:r>
      <w:r w:rsidRPr="003215C5">
        <w:t xml:space="preserve">active </w:t>
      </w:r>
      <w:r w:rsidR="00F7090D">
        <w:t xml:space="preserve">measures </w:t>
      </w:r>
      <w:r w:rsidRPr="003215C5">
        <w:t xml:space="preserve">that </w:t>
      </w:r>
      <w:r w:rsidR="00F7090D">
        <w:t xml:space="preserve">would </w:t>
      </w:r>
      <w:r w:rsidRPr="003215C5">
        <w:t>ensure substanti</w:t>
      </w:r>
      <w:r w:rsidR="00446774">
        <w:t>ve</w:t>
      </w:r>
      <w:r w:rsidRPr="003215C5">
        <w:t xml:space="preserve"> equality.</w:t>
      </w:r>
      <w:r w:rsidR="00DD0756" w:rsidRPr="003215C5">
        <w:rPr>
          <w:rStyle w:val="FootnoteReference"/>
        </w:rPr>
        <w:footnoteReference w:id="116"/>
      </w:r>
    </w:p>
    <w:p w14:paraId="3AEAB705" w14:textId="77777777" w:rsidR="004B6223" w:rsidRPr="003215C5" w:rsidRDefault="004B6223" w:rsidP="00286484">
      <w:pPr>
        <w:spacing w:line="360" w:lineRule="auto"/>
        <w:jc w:val="both"/>
      </w:pPr>
    </w:p>
    <w:p w14:paraId="3B2D40D1" w14:textId="3BCA6614" w:rsidR="004E586C" w:rsidRPr="003215C5" w:rsidRDefault="004E586C" w:rsidP="00286484">
      <w:pPr>
        <w:spacing w:line="360" w:lineRule="auto"/>
        <w:jc w:val="both"/>
      </w:pPr>
      <w:r w:rsidRPr="003215C5">
        <w:t xml:space="preserve">5.3 </w:t>
      </w:r>
      <w:r w:rsidR="00EE6B79">
        <w:t xml:space="preserve">The </w:t>
      </w:r>
      <w:r w:rsidRPr="003215C5">
        <w:t>United Kingdom</w:t>
      </w:r>
    </w:p>
    <w:p w14:paraId="26FD5446" w14:textId="4C6DDFE1" w:rsidR="004E586C" w:rsidRPr="003215C5" w:rsidRDefault="004E586C" w:rsidP="00286484">
      <w:pPr>
        <w:spacing w:line="360" w:lineRule="auto"/>
        <w:ind w:firstLine="720"/>
        <w:jc w:val="both"/>
      </w:pPr>
      <w:r w:rsidRPr="003215C5">
        <w:t xml:space="preserve">According to the </w:t>
      </w:r>
      <w:r w:rsidR="007810EF" w:rsidRPr="003215C5">
        <w:t>merit</w:t>
      </w:r>
      <w:r w:rsidRPr="003215C5">
        <w:t xml:space="preserve">ocratic model, the appointment system should be free </w:t>
      </w:r>
      <w:r w:rsidR="00BA01BF">
        <w:t xml:space="preserve">of </w:t>
      </w:r>
      <w:r w:rsidRPr="003215C5">
        <w:t>irrelevant considerations</w:t>
      </w:r>
      <w:r w:rsidR="00F7090D">
        <w:t>,</w:t>
      </w:r>
      <w:r w:rsidRPr="003215C5">
        <w:t xml:space="preserve"> and </w:t>
      </w:r>
      <w:r w:rsidR="00F7090D">
        <w:t xml:space="preserve">personnel </w:t>
      </w:r>
      <w:r w:rsidRPr="003215C5">
        <w:t xml:space="preserve">turnover </w:t>
      </w:r>
      <w:r w:rsidR="00F7090D">
        <w:t xml:space="preserve">should be </w:t>
      </w:r>
      <w:r w:rsidRPr="003215C5">
        <w:t>based on professional data only. Th</w:t>
      </w:r>
      <w:r w:rsidR="00EE6B79">
        <w:t xml:space="preserve">e model in the </w:t>
      </w:r>
      <w:r w:rsidR="00EE6B79">
        <w:lastRenderedPageBreak/>
        <w:t>United Kingdom</w:t>
      </w:r>
      <w:r w:rsidRPr="003215C5">
        <w:t xml:space="preserve"> is more careful than models </w:t>
      </w:r>
      <w:r w:rsidR="00F7090D">
        <w:t xml:space="preserve">in </w:t>
      </w:r>
      <w:r w:rsidRPr="003215C5">
        <w:t>other countries to separate politics from govern</w:t>
      </w:r>
      <w:r w:rsidR="00F7090D">
        <w:t>ance</w:t>
      </w:r>
      <w:r w:rsidRPr="003215C5">
        <w:t xml:space="preserve">, with the aim of protecting and isolating the civil service. All positions belong to the professional service, and are staffed by professional </w:t>
      </w:r>
      <w:r w:rsidR="00F7090D">
        <w:t xml:space="preserve">officials, who are </w:t>
      </w:r>
      <w:r w:rsidR="00EE6B79">
        <w:t>ranked</w:t>
      </w:r>
      <w:r w:rsidR="00F7090D">
        <w:t xml:space="preserve"> and screened in accordance with </w:t>
      </w:r>
      <w:r w:rsidRPr="003215C5">
        <w:t>professional qualifications. But the British model d</w:t>
      </w:r>
      <w:r w:rsidR="00F7090D">
        <w:t xml:space="preserve">id </w:t>
      </w:r>
      <w:r w:rsidRPr="003215C5">
        <w:t>not always advocate this approach. The professionalism of the service</w:t>
      </w:r>
      <w:r w:rsidR="00F7090D">
        <w:t>,</w:t>
      </w:r>
      <w:r w:rsidRPr="003215C5">
        <w:t xml:space="preserve"> and the reliance on the </w:t>
      </w:r>
      <w:r w:rsidR="00770263">
        <w:t xml:space="preserve">attributes </w:t>
      </w:r>
      <w:r w:rsidRPr="003215C5">
        <w:t>and skills that characteri</w:t>
      </w:r>
      <w:r w:rsidR="00770263">
        <w:t>s</w:t>
      </w:r>
      <w:r w:rsidRPr="003215C5">
        <w:t xml:space="preserve">e the British </w:t>
      </w:r>
      <w:r w:rsidR="007810EF" w:rsidRPr="003215C5">
        <w:t>merit</w:t>
      </w:r>
      <w:r w:rsidRPr="003215C5">
        <w:t>ocratic model</w:t>
      </w:r>
      <w:r w:rsidR="00770263">
        <w:t>,</w:t>
      </w:r>
      <w:r w:rsidRPr="003215C5">
        <w:t xml:space="preserve"> were the result of a process.</w:t>
      </w:r>
    </w:p>
    <w:p w14:paraId="5F96CD7B" w14:textId="328C2A32" w:rsidR="004E586C" w:rsidRPr="003215C5" w:rsidRDefault="004E586C" w:rsidP="00286484">
      <w:pPr>
        <w:spacing w:line="360" w:lineRule="auto"/>
        <w:ind w:firstLine="720"/>
        <w:jc w:val="both"/>
      </w:pPr>
      <w:r w:rsidRPr="003215C5">
        <w:t>Until 1850</w:t>
      </w:r>
      <w:r w:rsidR="00EE6B79">
        <w:t>,</w:t>
      </w:r>
      <w:r w:rsidRPr="003215C5">
        <w:t xml:space="preserve"> the British model was characteri</w:t>
      </w:r>
      <w:r w:rsidR="00770263">
        <w:t>s</w:t>
      </w:r>
      <w:r w:rsidRPr="003215C5">
        <w:t xml:space="preserve">ed by staffing </w:t>
      </w:r>
      <w:r w:rsidR="00BA01BF">
        <w:t xml:space="preserve">pursuant to </w:t>
      </w:r>
      <w:r w:rsidRPr="003215C5">
        <w:t>personal affiliation</w:t>
      </w:r>
      <w:r w:rsidR="00770263">
        <w:t>,</w:t>
      </w:r>
      <w:r w:rsidRPr="003215C5">
        <w:t xml:space="preserve"> </w:t>
      </w:r>
      <w:r w:rsidR="000D30E9">
        <w:t>thereby giving</w:t>
      </w:r>
      <w:r w:rsidR="00770263">
        <w:t xml:space="preserve"> </w:t>
      </w:r>
      <w:r w:rsidRPr="003215C5">
        <w:t>the wealthy lords</w:t>
      </w:r>
      <w:r w:rsidR="00770263">
        <w:t xml:space="preserve"> </w:t>
      </w:r>
      <w:r w:rsidRPr="003215C5">
        <w:t>control over members of parliament and other officials.</w:t>
      </w:r>
      <w:r w:rsidR="00DD0756" w:rsidRPr="003215C5">
        <w:rPr>
          <w:rStyle w:val="FootnoteReference"/>
        </w:rPr>
        <w:footnoteReference w:id="117"/>
      </w:r>
      <w:r w:rsidRPr="003215C5">
        <w:t xml:space="preserve"> The change came in the wake of the </w:t>
      </w:r>
      <w:r w:rsidR="008578D4" w:rsidRPr="003215C5">
        <w:t>“</w:t>
      </w:r>
      <w:r w:rsidRPr="003215C5">
        <w:t xml:space="preserve">Northcote Trevelyan </w:t>
      </w:r>
      <w:r w:rsidR="00770263">
        <w:t>R</w:t>
      </w:r>
      <w:r w:rsidRPr="003215C5">
        <w:t>eport of 1854</w:t>
      </w:r>
      <w:r w:rsidR="008578D4" w:rsidRPr="003215C5">
        <w:t>”</w:t>
      </w:r>
      <w:r w:rsidR="00DD0756" w:rsidRPr="003215C5">
        <w:rPr>
          <w:rStyle w:val="FootnoteReference"/>
        </w:rPr>
        <w:footnoteReference w:id="118"/>
      </w:r>
      <w:r w:rsidRPr="003215C5">
        <w:t xml:space="preserve"> which prohibited </w:t>
      </w:r>
      <w:r w:rsidR="00770263">
        <w:t xml:space="preserve">unprofessional </w:t>
      </w:r>
      <w:r w:rsidRPr="003215C5">
        <w:t>appointments on political-partisan grounds</w:t>
      </w:r>
      <w:r w:rsidR="00770263">
        <w:t>,</w:t>
      </w:r>
      <w:r w:rsidRPr="003215C5">
        <w:t xml:space="preserve"> and established appointment and promotion based on skills and achievements.</w:t>
      </w:r>
      <w:r w:rsidR="00DD0756" w:rsidRPr="003215C5">
        <w:rPr>
          <w:rStyle w:val="FootnoteReference"/>
        </w:rPr>
        <w:footnoteReference w:id="119"/>
      </w:r>
      <w:r w:rsidRPr="003215C5">
        <w:t xml:space="preserve"> The reform was late in coming</w:t>
      </w:r>
      <w:r w:rsidR="00770263">
        <w:t>,</w:t>
      </w:r>
      <w:r w:rsidRPr="003215C5">
        <w:t xml:space="preserve"> and it was not until 1870 that </w:t>
      </w:r>
      <w:r w:rsidR="00770263">
        <w:t xml:space="preserve">an </w:t>
      </w:r>
      <w:commentRangeStart w:id="6"/>
      <w:r w:rsidRPr="00770263">
        <w:rPr>
          <w:color w:val="FF0000"/>
          <w:highlight w:val="cyan"/>
        </w:rPr>
        <w:t>Order</w:t>
      </w:r>
      <w:commentRangeEnd w:id="6"/>
      <w:r w:rsidR="000D30E9">
        <w:rPr>
          <w:rStyle w:val="CommentReference"/>
        </w:rPr>
        <w:commentReference w:id="6"/>
      </w:r>
      <w:r w:rsidRPr="00770263">
        <w:rPr>
          <w:color w:val="FF0000"/>
          <w:highlight w:val="cyan"/>
        </w:rPr>
        <w:t xml:space="preserve"> </w:t>
      </w:r>
      <w:r w:rsidR="00770263" w:rsidRPr="00770263">
        <w:rPr>
          <w:color w:val="FF0000"/>
          <w:highlight w:val="cyan"/>
        </w:rPr>
        <w:t>in Council</w:t>
      </w:r>
      <w:r w:rsidR="00770263">
        <w:t xml:space="preserve"> </w:t>
      </w:r>
      <w:r w:rsidRPr="003215C5">
        <w:t xml:space="preserve">stipulated that appointments of a political nature were </w:t>
      </w:r>
      <w:r w:rsidR="00BA01BF">
        <w:t xml:space="preserve">the </w:t>
      </w:r>
      <w:r w:rsidRPr="003215C5">
        <w:t>exception to the rule of manning posts in the civil service.</w:t>
      </w:r>
      <w:r w:rsidR="00DD0756" w:rsidRPr="003215C5">
        <w:rPr>
          <w:rStyle w:val="FootnoteReference"/>
        </w:rPr>
        <w:footnoteReference w:id="120"/>
      </w:r>
      <w:r w:rsidRPr="003215C5">
        <w:t xml:space="preserve"> </w:t>
      </w:r>
      <w:r w:rsidR="00770263">
        <w:t xml:space="preserve">By </w:t>
      </w:r>
      <w:r w:rsidRPr="003215C5">
        <w:t xml:space="preserve">World War II, the scope of appointments subject to the test of competency and achievement </w:t>
      </w:r>
      <w:r w:rsidR="00770263">
        <w:t>ha</w:t>
      </w:r>
      <w:r w:rsidR="00756E74">
        <w:t>d</w:t>
      </w:r>
      <w:r w:rsidR="00770263">
        <w:t xml:space="preserve"> been </w:t>
      </w:r>
      <w:r w:rsidR="00770263" w:rsidRPr="003215C5">
        <w:t xml:space="preserve">consistently </w:t>
      </w:r>
      <w:r w:rsidR="00770263">
        <w:t xml:space="preserve">and regularly </w:t>
      </w:r>
      <w:r w:rsidRPr="003215C5">
        <w:t xml:space="preserve">expanded. This created a system of causes or tests for the purpose of </w:t>
      </w:r>
      <w:r w:rsidR="00770263">
        <w:t xml:space="preserve">professional </w:t>
      </w:r>
      <w:r w:rsidRPr="003215C5">
        <w:t xml:space="preserve">judgment, </w:t>
      </w:r>
      <w:r w:rsidR="00770263">
        <w:t xml:space="preserve">rather than </w:t>
      </w:r>
      <w:r w:rsidRPr="003215C5">
        <w:t>appointment</w:t>
      </w:r>
      <w:r w:rsidR="006F09E9">
        <w:t>s</w:t>
      </w:r>
      <w:r w:rsidRPr="003215C5">
        <w:t xml:space="preserve"> based on </w:t>
      </w:r>
      <w:r w:rsidR="00770263">
        <w:t xml:space="preserve">extraneous </w:t>
      </w:r>
      <w:r w:rsidRPr="003215C5">
        <w:t>considerations perceived as irrelevant, including political considerations.</w:t>
      </w:r>
    </w:p>
    <w:p w14:paraId="3755CF89" w14:textId="3CCDE06D" w:rsidR="004E586C" w:rsidRPr="003215C5" w:rsidRDefault="004E586C" w:rsidP="00286484">
      <w:pPr>
        <w:spacing w:line="360" w:lineRule="auto"/>
        <w:ind w:firstLine="720"/>
        <w:jc w:val="both"/>
      </w:pPr>
      <w:r w:rsidRPr="003215C5">
        <w:t>To monitor the method</w:t>
      </w:r>
      <w:r w:rsidR="00770263">
        <w:t>’s implementation</w:t>
      </w:r>
      <w:r w:rsidRPr="003215C5">
        <w:t xml:space="preserve">, the United Kingdom set up two independent bodies responsible for the </w:t>
      </w:r>
      <w:r w:rsidR="007810EF" w:rsidRPr="003215C5">
        <w:t>merit</w:t>
      </w:r>
      <w:r w:rsidRPr="003215C5">
        <w:t>ocratic method</w:t>
      </w:r>
      <w:r w:rsidR="00770263">
        <w:t>,</w:t>
      </w:r>
      <w:r w:rsidRPr="003215C5">
        <w:t xml:space="preserve"> </w:t>
      </w:r>
      <w:r w:rsidR="00BA01BF">
        <w:t xml:space="preserve">and </w:t>
      </w:r>
      <w:r w:rsidRPr="003215C5">
        <w:t>also operate</w:t>
      </w:r>
      <w:r w:rsidR="00756E74">
        <w:t>s</w:t>
      </w:r>
      <w:r w:rsidRPr="003215C5">
        <w:t xml:space="preserve"> a system of appea</w:t>
      </w:r>
      <w:r w:rsidR="00BA01BF">
        <w:t xml:space="preserve">l from </w:t>
      </w:r>
      <w:r w:rsidRPr="003215C5">
        <w:t>tender proce</w:t>
      </w:r>
      <w:r w:rsidR="00770263">
        <w:t>edings</w:t>
      </w:r>
      <w:r w:rsidRPr="003215C5">
        <w:t>.</w:t>
      </w:r>
      <w:r w:rsidR="00DD0756" w:rsidRPr="003215C5">
        <w:rPr>
          <w:rStyle w:val="FootnoteReference"/>
        </w:rPr>
        <w:footnoteReference w:id="121"/>
      </w:r>
      <w:r w:rsidRPr="003215C5">
        <w:t xml:space="preserve"> These bodies are also responsible for supervising appointments </w:t>
      </w:r>
      <w:r w:rsidR="00770263">
        <w:t xml:space="preserve">to positions </w:t>
      </w:r>
      <w:r w:rsidRPr="003215C5">
        <w:t xml:space="preserve">that </w:t>
      </w:r>
      <w:r w:rsidR="00770263">
        <w:t xml:space="preserve">received legislative </w:t>
      </w:r>
      <w:r w:rsidRPr="003215C5">
        <w:t>approv</w:t>
      </w:r>
      <w:r w:rsidR="00770263">
        <w:t xml:space="preserve">al </w:t>
      </w:r>
      <w:r w:rsidRPr="003215C5">
        <w:t xml:space="preserve">to deviate from the </w:t>
      </w:r>
      <w:r w:rsidR="007810EF" w:rsidRPr="003215C5">
        <w:t>merit</w:t>
      </w:r>
      <w:r w:rsidRPr="003215C5">
        <w:t>ocratic model:</w:t>
      </w:r>
      <w:r w:rsidR="00DD0756" w:rsidRPr="003215C5">
        <w:rPr>
          <w:rStyle w:val="FootnoteReference"/>
        </w:rPr>
        <w:footnoteReference w:id="122"/>
      </w:r>
      <w:r w:rsidRPr="003215C5">
        <w:t xml:space="preserve"> </w:t>
      </w:r>
      <w:r w:rsidR="00756E74">
        <w:t>a</w:t>
      </w:r>
      <w:r w:rsidRPr="003215C5">
        <w:t xml:space="preserve"> </w:t>
      </w:r>
      <w:r w:rsidR="00073983" w:rsidRPr="003215C5">
        <w:t>temporary appointment</w:t>
      </w:r>
      <w:r w:rsidR="00073983">
        <w:t xml:space="preserve"> position</w:t>
      </w:r>
      <w:r w:rsidRPr="003215C5">
        <w:t>, a new appointment for a former civil servant (in the same position)</w:t>
      </w:r>
      <w:r w:rsidR="00073983">
        <w:t>,</w:t>
      </w:r>
      <w:r w:rsidRPr="003215C5">
        <w:t xml:space="preserve"> and </w:t>
      </w:r>
      <w:r w:rsidR="00073983">
        <w:t xml:space="preserve">the </w:t>
      </w:r>
      <w:r w:rsidRPr="003215C5">
        <w:t xml:space="preserve">appointment </w:t>
      </w:r>
      <w:r w:rsidR="00073983">
        <w:t xml:space="preserve">of </w:t>
      </w:r>
      <w:r w:rsidRPr="003215C5">
        <w:t xml:space="preserve">a disabled employee. These exceptions have no political </w:t>
      </w:r>
      <w:r w:rsidR="006F09E9">
        <w:t>implications</w:t>
      </w:r>
      <w:r w:rsidR="00073983">
        <w:t xml:space="preserve">, </w:t>
      </w:r>
      <w:r w:rsidRPr="003215C5">
        <w:t xml:space="preserve">and the </w:t>
      </w:r>
      <w:r w:rsidR="00073983">
        <w:t xml:space="preserve">harm </w:t>
      </w:r>
      <w:r w:rsidRPr="003215C5">
        <w:t xml:space="preserve">to the </w:t>
      </w:r>
      <w:r w:rsidR="006F09E9">
        <w:t xml:space="preserve">meritocratic </w:t>
      </w:r>
      <w:r w:rsidRPr="003215C5">
        <w:t xml:space="preserve">model and its values ​​is small and balanced. </w:t>
      </w:r>
      <w:r w:rsidR="00073983">
        <w:t>Thus, f</w:t>
      </w:r>
      <w:r w:rsidRPr="003215C5">
        <w:t xml:space="preserve">or </w:t>
      </w:r>
      <w:r w:rsidR="00756E74">
        <w:t>example</w:t>
      </w:r>
      <w:r w:rsidRPr="003215C5">
        <w:t xml:space="preserve">, a temporary employee, even if </w:t>
      </w:r>
      <w:r w:rsidR="006F09E9">
        <w:t>lacking</w:t>
      </w:r>
      <w:r w:rsidRPr="003215C5">
        <w:t xml:space="preserve"> the objective skills and abilities for the job, is </w:t>
      </w:r>
      <w:r w:rsidR="00073983">
        <w:t xml:space="preserve">only </w:t>
      </w:r>
      <w:r w:rsidRPr="003215C5">
        <w:t xml:space="preserve">temporarily </w:t>
      </w:r>
      <w:r w:rsidR="00073983">
        <w:t>o</w:t>
      </w:r>
      <w:r w:rsidRPr="003215C5">
        <w:t>n the job</w:t>
      </w:r>
      <w:r w:rsidR="00756E74">
        <w:t>.</w:t>
      </w:r>
      <w:r w:rsidRPr="003215C5">
        <w:t xml:space="preserve"> </w:t>
      </w:r>
      <w:r w:rsidR="00073983">
        <w:t>With respect to a</w:t>
      </w:r>
      <w:r w:rsidRPr="003215C5">
        <w:t xml:space="preserve"> civil servant who ha</w:t>
      </w:r>
      <w:r w:rsidR="00073983">
        <w:t>d</w:t>
      </w:r>
      <w:r w:rsidRPr="003215C5">
        <w:t xml:space="preserve"> been in public </w:t>
      </w:r>
      <w:r w:rsidRPr="003215C5">
        <w:lastRenderedPageBreak/>
        <w:t xml:space="preserve">service </w:t>
      </w:r>
      <w:r w:rsidR="00073983">
        <w:t xml:space="preserve">and </w:t>
      </w:r>
      <w:r w:rsidRPr="003215C5">
        <w:t xml:space="preserve">who </w:t>
      </w:r>
      <w:r w:rsidR="00073983">
        <w:t xml:space="preserve">now </w:t>
      </w:r>
      <w:r w:rsidRPr="003215C5">
        <w:t>wishes to return to it, there is no doubt about his suitability</w:t>
      </w:r>
      <w:r w:rsidR="00073983">
        <w:t>,</w:t>
      </w:r>
      <w:r w:rsidRPr="003215C5">
        <w:t xml:space="preserve"> and a worker with a disability is part of a social </w:t>
      </w:r>
      <w:r w:rsidR="00756E74">
        <w:t>agreement</w:t>
      </w:r>
      <w:r w:rsidRPr="003215C5">
        <w:t xml:space="preserve"> that cares for excluded population</w:t>
      </w:r>
      <w:r w:rsidR="00073983">
        <w:t>s</w:t>
      </w:r>
      <w:r w:rsidRPr="003215C5">
        <w:t>. Therefore, these exceptions are proportionate</w:t>
      </w:r>
      <w:r w:rsidR="00073983">
        <w:t>,</w:t>
      </w:r>
      <w:r w:rsidRPr="003215C5">
        <w:t xml:space="preserve"> and do not harm the overall </w:t>
      </w:r>
      <w:r w:rsidR="007810EF" w:rsidRPr="003215C5">
        <w:t>merit</w:t>
      </w:r>
      <w:r w:rsidRPr="003215C5">
        <w:t>ocratic set-up of the service.</w:t>
      </w:r>
    </w:p>
    <w:p w14:paraId="72078B2A" w14:textId="0380A28D" w:rsidR="004E586C" w:rsidRPr="003215C5" w:rsidRDefault="00AD0F1C" w:rsidP="00286484">
      <w:pPr>
        <w:spacing w:line="360" w:lineRule="auto"/>
        <w:ind w:firstLine="720"/>
        <w:jc w:val="both"/>
      </w:pPr>
      <w:r>
        <w:t xml:space="preserve">To </w:t>
      </w:r>
      <w:r w:rsidR="004E586C" w:rsidRPr="00AD0F1C">
        <w:t xml:space="preserve">conclude, according to the </w:t>
      </w:r>
      <w:r w:rsidR="007810EF" w:rsidRPr="00AD0F1C">
        <w:t>merit</w:t>
      </w:r>
      <w:r w:rsidR="004E586C" w:rsidRPr="00AD0F1C">
        <w:t>ocratic model, the appointment system should be free from irrelevant considerations</w:t>
      </w:r>
      <w:r>
        <w:t>,</w:t>
      </w:r>
      <w:r w:rsidR="004E586C" w:rsidRPr="00AD0F1C">
        <w:t xml:space="preserve"> and the turnover of person</w:t>
      </w:r>
      <w:r>
        <w:t>nel</w:t>
      </w:r>
      <w:r w:rsidR="004E586C" w:rsidRPr="00AD0F1C">
        <w:t xml:space="preserve"> in it is based on professional </w:t>
      </w:r>
      <w:r w:rsidR="00756E74">
        <w:t>considerations</w:t>
      </w:r>
      <w:r w:rsidR="004E586C" w:rsidRPr="00AD0F1C">
        <w:t xml:space="preserve"> only. All positions are staffed by employees who have passed a job suitability exam, </w:t>
      </w:r>
      <w:r w:rsidR="00BA01BF">
        <w:t xml:space="preserve">and </w:t>
      </w:r>
      <w:r w:rsidR="004E586C" w:rsidRPr="00AD0F1C">
        <w:t xml:space="preserve">threshold conditions are set by a professional and independent body responsible for </w:t>
      </w:r>
      <w:r w:rsidR="00BA01BF">
        <w:t>them</w:t>
      </w:r>
      <w:r w:rsidR="004E586C" w:rsidRPr="00AD0F1C">
        <w:t xml:space="preserve">. The British model found a balance point between </w:t>
      </w:r>
      <w:r w:rsidRPr="00AD0F1C">
        <w:t xml:space="preserve">exceptions </w:t>
      </w:r>
      <w:r>
        <w:t xml:space="preserve">to </w:t>
      </w:r>
      <w:r w:rsidR="004E586C" w:rsidRPr="00AD0F1C">
        <w:t>tender</w:t>
      </w:r>
      <w:r>
        <w:t>s</w:t>
      </w:r>
      <w:r w:rsidR="004E586C" w:rsidRPr="00AD0F1C">
        <w:t xml:space="preserve"> and the possibility of appointment on a political basis within the framework of positions of trust</w:t>
      </w:r>
      <w:r w:rsidR="00756E74">
        <w:t>, a</w:t>
      </w:r>
      <w:r w:rsidR="004E586C" w:rsidRPr="00AD0F1C">
        <w:t>ll while strictly maintaining compliance with threshold conditions. Thus</w:t>
      </w:r>
      <w:r w:rsidR="00BA01BF">
        <w:t>,</w:t>
      </w:r>
      <w:r w:rsidR="004E586C" w:rsidRPr="00AD0F1C">
        <w:t xml:space="preserve"> the British model ensures that even whe</w:t>
      </w:r>
      <w:r w:rsidR="00F24615">
        <w:t>n</w:t>
      </w:r>
      <w:r w:rsidR="004E586C" w:rsidRPr="00AD0F1C">
        <w:t xml:space="preserve"> there is a political or personal consideration in the appointment</w:t>
      </w:r>
      <w:r w:rsidR="00BA01BF">
        <w:t xml:space="preserve"> process</w:t>
      </w:r>
      <w:r w:rsidR="004E586C" w:rsidRPr="00AD0F1C">
        <w:t xml:space="preserve">, it will in any case be a candidate </w:t>
      </w:r>
      <w:r w:rsidR="00F24615" w:rsidRPr="00AD0F1C">
        <w:t xml:space="preserve">worthy </w:t>
      </w:r>
      <w:r w:rsidR="006F09E9">
        <w:t>of</w:t>
      </w:r>
      <w:r w:rsidR="004E586C" w:rsidRPr="00AD0F1C">
        <w:t xml:space="preserve"> the position, who</w:t>
      </w:r>
      <w:r>
        <w:t>,</w:t>
      </w:r>
      <w:r w:rsidR="004E586C" w:rsidRPr="00AD0F1C">
        <w:t xml:space="preserve"> at most</w:t>
      </w:r>
      <w:r>
        <w:t>,</w:t>
      </w:r>
      <w:r w:rsidR="004E586C" w:rsidRPr="00AD0F1C">
        <w:t xml:space="preserve"> did not bid in a tender that gave equal opportunity to other candidates</w:t>
      </w:r>
      <w:r>
        <w:t>,</w:t>
      </w:r>
      <w:r w:rsidR="004E586C" w:rsidRPr="00AD0F1C">
        <w:t xml:space="preserve"> and was selected for the position due to </w:t>
      </w:r>
      <w:r w:rsidRPr="00AD0F1C">
        <w:t xml:space="preserve">considerations </w:t>
      </w:r>
      <w:r>
        <w:t xml:space="preserve">which are not always </w:t>
      </w:r>
      <w:r w:rsidR="004E586C" w:rsidRPr="00AD0F1C">
        <w:t>relevant.</w:t>
      </w:r>
      <w:r w:rsidR="00DD0756" w:rsidRPr="00AD0F1C">
        <w:rPr>
          <w:rStyle w:val="FootnoteReference"/>
        </w:rPr>
        <w:footnoteReference w:id="123"/>
      </w:r>
      <w:r w:rsidR="004E586C" w:rsidRPr="00AD0F1C">
        <w:t xml:space="preserve"> The British model actually ensures that the professionalism of the service is not compromised, even if </w:t>
      </w:r>
      <w:r w:rsidR="00BA01BF">
        <w:t xml:space="preserve">extraneous </w:t>
      </w:r>
      <w:r w:rsidR="00BA01BF" w:rsidRPr="00AD0F1C">
        <w:t xml:space="preserve">appointment </w:t>
      </w:r>
      <w:r w:rsidR="004E586C" w:rsidRPr="00AD0F1C">
        <w:t>considerations are improperly used.</w:t>
      </w:r>
    </w:p>
    <w:p w14:paraId="1C3B4923" w14:textId="271D16DC" w:rsidR="004E586C" w:rsidRPr="003215C5" w:rsidRDefault="004E586C" w:rsidP="00286484">
      <w:pPr>
        <w:spacing w:line="360" w:lineRule="auto"/>
        <w:ind w:firstLine="720"/>
        <w:jc w:val="both"/>
      </w:pPr>
      <w:r w:rsidRPr="003215C5">
        <w:t xml:space="preserve">The British model </w:t>
      </w:r>
      <w:r w:rsidR="00D31773" w:rsidRPr="003215C5">
        <w:t>rigidly</w:t>
      </w:r>
      <w:r w:rsidR="00D31773">
        <w:t xml:space="preserve"> </w:t>
      </w:r>
      <w:r w:rsidR="00AD0F1C">
        <w:t xml:space="preserve">upholds </w:t>
      </w:r>
      <w:r w:rsidR="007810EF" w:rsidRPr="003215C5">
        <w:t>merit</w:t>
      </w:r>
      <w:r w:rsidR="00AD0F1C">
        <w:t>,</w:t>
      </w:r>
      <w:r w:rsidRPr="003215C5">
        <w:t xml:space="preserve"> in parallel with affirmative action programs under the Equality Act 2010.</w:t>
      </w:r>
      <w:r w:rsidR="00DD0756" w:rsidRPr="003215C5">
        <w:rPr>
          <w:rStyle w:val="FootnoteReference"/>
        </w:rPr>
        <w:footnoteReference w:id="124"/>
      </w:r>
      <w:r w:rsidRPr="003215C5">
        <w:t xml:space="preserve"> In this way, the entire recruitment, assessment, promotion</w:t>
      </w:r>
      <w:r w:rsidR="00AD0F1C">
        <w:t>,</w:t>
      </w:r>
      <w:r w:rsidRPr="003215C5">
        <w:t xml:space="preserve"> and testing methods are done uniformly without any distinction aimed at advancing target populations.</w:t>
      </w:r>
      <w:r w:rsidR="00DD0756" w:rsidRPr="003215C5">
        <w:rPr>
          <w:rStyle w:val="FootnoteReference"/>
        </w:rPr>
        <w:footnoteReference w:id="125"/>
      </w:r>
      <w:r w:rsidRPr="003215C5">
        <w:t xml:space="preserve"> This separation between affirmative action programs striv</w:t>
      </w:r>
      <w:r w:rsidR="00AD0F1C">
        <w:t xml:space="preserve">ing </w:t>
      </w:r>
      <w:r w:rsidRPr="003215C5">
        <w:t xml:space="preserve">for positive action </w:t>
      </w:r>
      <w:r w:rsidR="00AD0F1C">
        <w:t xml:space="preserve">on </w:t>
      </w:r>
      <w:r w:rsidRPr="003215C5">
        <w:t>representation from the decision-making stage allows for a positive discourse around these programs that do</w:t>
      </w:r>
      <w:r w:rsidR="00AD0F1C">
        <w:t>es</w:t>
      </w:r>
      <w:r w:rsidRPr="003215C5">
        <w:t xml:space="preserve"> not raise objections of inequality or the recruitment of candidates </w:t>
      </w:r>
      <w:r w:rsidR="00F24615">
        <w:t>lacking</w:t>
      </w:r>
      <w:r w:rsidRPr="003215C5">
        <w:t xml:space="preserve"> the appropriate skills.</w:t>
      </w:r>
      <w:r w:rsidR="00DD0756" w:rsidRPr="003215C5">
        <w:rPr>
          <w:rStyle w:val="FootnoteReference"/>
        </w:rPr>
        <w:footnoteReference w:id="126"/>
      </w:r>
      <w:r w:rsidRPr="003215C5">
        <w:t xml:space="preserve"> However, other voices have also been heard from the courts against the </w:t>
      </w:r>
      <w:r w:rsidR="00F24615">
        <w:t>idea</w:t>
      </w:r>
      <w:r w:rsidRPr="003215C5">
        <w:t xml:space="preserve"> that </w:t>
      </w:r>
      <w:r w:rsidR="00395C33">
        <w:t>m</w:t>
      </w:r>
      <w:r w:rsidR="007810EF" w:rsidRPr="003215C5">
        <w:t>erit</w:t>
      </w:r>
      <w:r w:rsidR="00395C33">
        <w:t xml:space="preserve"> </w:t>
      </w:r>
      <w:r w:rsidRPr="003215C5">
        <w:t xml:space="preserve">assessment could remain neutral, arguing that it may actually have a biased effect in practice, especially due to gender biases and stereotypes, </w:t>
      </w:r>
      <w:r w:rsidR="00F24615">
        <w:t xml:space="preserve">and </w:t>
      </w:r>
      <w:r w:rsidRPr="003215C5">
        <w:t>emphasi</w:t>
      </w:r>
      <w:r w:rsidR="00395C33">
        <w:t>s</w:t>
      </w:r>
      <w:r w:rsidRPr="003215C5">
        <w:t>ing that the quota system is permitted under European law.</w:t>
      </w:r>
      <w:r w:rsidR="00DD0756" w:rsidRPr="003215C5">
        <w:rPr>
          <w:rStyle w:val="FootnoteReference"/>
        </w:rPr>
        <w:footnoteReference w:id="127"/>
      </w:r>
      <w:r w:rsidRPr="003215C5">
        <w:t xml:space="preserve"> In another case, the </w:t>
      </w:r>
      <w:r w:rsidR="00395C33">
        <w:t>C</w:t>
      </w:r>
      <w:r w:rsidRPr="003215C5">
        <w:t xml:space="preserve">ourt </w:t>
      </w:r>
      <w:r w:rsidR="00395C33">
        <w:t xml:space="preserve">reverted </w:t>
      </w:r>
      <w:r w:rsidRPr="003215C5">
        <w:t xml:space="preserve">to the line of </w:t>
      </w:r>
      <w:r w:rsidR="00F24615">
        <w:t>reasoning</w:t>
      </w:r>
      <w:r w:rsidR="00395C33">
        <w:t xml:space="preserve"> </w:t>
      </w:r>
      <w:r w:rsidRPr="003215C5">
        <w:t>that the individual</w:t>
      </w:r>
      <w:r w:rsidR="008578D4" w:rsidRPr="003215C5">
        <w:t>’</w:t>
      </w:r>
      <w:r w:rsidRPr="003215C5">
        <w:t xml:space="preserve">s belonging to a protected group is not important in assessing his ability and </w:t>
      </w:r>
      <w:r w:rsidRPr="003215C5">
        <w:lastRenderedPageBreak/>
        <w:t>skills for the job.</w:t>
      </w:r>
      <w:r w:rsidR="00DD0756" w:rsidRPr="003215C5">
        <w:rPr>
          <w:rStyle w:val="FootnoteReference"/>
        </w:rPr>
        <w:footnoteReference w:id="128"/>
      </w:r>
      <w:r w:rsidRPr="003215C5">
        <w:t xml:space="preserve"> The dilemma was finally </w:t>
      </w:r>
      <w:r w:rsidR="00BA01BF">
        <w:t xml:space="preserve">resolved </w:t>
      </w:r>
      <w:r w:rsidRPr="003215C5">
        <w:t xml:space="preserve">by legislation </w:t>
      </w:r>
      <w:r w:rsidR="00395C33">
        <w:t xml:space="preserve">in the </w:t>
      </w:r>
      <w:r w:rsidR="00F24615">
        <w:t>enactment</w:t>
      </w:r>
      <w:r w:rsidR="00395C33">
        <w:t xml:space="preserve"> of </w:t>
      </w:r>
      <w:r w:rsidRPr="003215C5">
        <w:t>the Equality Act 2010</w:t>
      </w:r>
      <w:r w:rsidR="00395C33">
        <w:t>,</w:t>
      </w:r>
      <w:r w:rsidRPr="003215C5">
        <w:t xml:space="preserve"> </w:t>
      </w:r>
      <w:r w:rsidR="00395C33">
        <w:t xml:space="preserve">under </w:t>
      </w:r>
      <w:r w:rsidRPr="003215C5">
        <w:t xml:space="preserve">which any assessment of an employee or candidate will continue to be objective and ignore group affiliation such as race or gender, except in cases of </w:t>
      </w:r>
      <w:r w:rsidR="00395C33">
        <w:t>a tiebreaker</w:t>
      </w:r>
      <w:r w:rsidRPr="003215C5">
        <w:t>.</w:t>
      </w:r>
      <w:r w:rsidR="00DD0756" w:rsidRPr="003215C5">
        <w:rPr>
          <w:rStyle w:val="FootnoteReference"/>
        </w:rPr>
        <w:footnoteReference w:id="129"/>
      </w:r>
      <w:r w:rsidRPr="003215C5">
        <w:t xml:space="preserve"> The legal framework for affirmative action in the U</w:t>
      </w:r>
      <w:r w:rsidR="00F24615">
        <w:t xml:space="preserve">nited Kingdom </w:t>
      </w:r>
      <w:r w:rsidRPr="003215C5">
        <w:t>exists alongside European laws and conventions</w:t>
      </w:r>
      <w:r w:rsidR="00395C33">
        <w:t>,</w:t>
      </w:r>
      <w:r w:rsidRPr="003215C5">
        <w:t xml:space="preserve"> and the Equality Act </w:t>
      </w:r>
      <w:r w:rsidR="00BA01BF" w:rsidRPr="003215C5">
        <w:t xml:space="preserve">2010 </w:t>
      </w:r>
      <w:r w:rsidRPr="003215C5">
        <w:t>encourages equal participation in the labo</w:t>
      </w:r>
      <w:r w:rsidR="00395C33">
        <w:t>u</w:t>
      </w:r>
      <w:r w:rsidRPr="003215C5">
        <w:t>r market</w:t>
      </w:r>
      <w:r w:rsidR="00DD0756" w:rsidRPr="003215C5">
        <w:rPr>
          <w:rStyle w:val="FootnoteReference"/>
        </w:rPr>
        <w:footnoteReference w:id="130"/>
      </w:r>
      <w:r w:rsidRPr="003215C5">
        <w:t xml:space="preserve"> that allows employers to take proportionate action to enable or encourage people with protected characteristics to participate in the labo</w:t>
      </w:r>
      <w:r w:rsidR="00395C33">
        <w:t>u</w:t>
      </w:r>
      <w:r w:rsidRPr="003215C5">
        <w:t>r market</w:t>
      </w:r>
      <w:r w:rsidR="00F24615">
        <w:t>.</w:t>
      </w:r>
      <w:r w:rsidR="00DD0756" w:rsidRPr="003215C5">
        <w:rPr>
          <w:rStyle w:val="FootnoteReference"/>
        </w:rPr>
        <w:footnoteReference w:id="131"/>
      </w:r>
      <w:r w:rsidRPr="003215C5">
        <w:t xml:space="preserve"> </w:t>
      </w:r>
      <w:r w:rsidR="00F24615">
        <w:t>T</w:t>
      </w:r>
      <w:r w:rsidR="00DD0756" w:rsidRPr="003215C5">
        <w:t xml:space="preserve">hus, </w:t>
      </w:r>
      <w:r w:rsidRPr="003215C5">
        <w:t xml:space="preserve">for </w:t>
      </w:r>
      <w:r w:rsidR="00DD0756" w:rsidRPr="003215C5">
        <w:t>instance, different entry exams can be offered,</w:t>
      </w:r>
      <w:r w:rsidR="00DD0756" w:rsidRPr="003215C5">
        <w:rPr>
          <w:rStyle w:val="FootnoteReference"/>
        </w:rPr>
        <w:footnoteReference w:id="132"/>
      </w:r>
      <w:r w:rsidR="00DD0756" w:rsidRPr="003215C5">
        <w:t xml:space="preserve"> population-targeted recruitment</w:t>
      </w:r>
      <w:r w:rsidR="00C75866">
        <w:t xml:space="preserve"> can be conducted</w:t>
      </w:r>
      <w:r w:rsidR="00DD0756" w:rsidRPr="003215C5">
        <w:t>, and more</w:t>
      </w:r>
      <w:r w:rsidRPr="003215C5">
        <w:t>.</w:t>
      </w:r>
    </w:p>
    <w:p w14:paraId="4AACD154" w14:textId="2202D05D" w:rsidR="004E586C" w:rsidRPr="003215C5" w:rsidRDefault="004E586C" w:rsidP="00286484">
      <w:pPr>
        <w:spacing w:line="360" w:lineRule="auto"/>
        <w:ind w:firstLine="720"/>
        <w:jc w:val="both"/>
      </w:pPr>
      <w:r w:rsidRPr="003215C5">
        <w:t xml:space="preserve">More specifically and </w:t>
      </w:r>
      <w:r w:rsidR="00395C33">
        <w:t>prescriptively</w:t>
      </w:r>
      <w:r w:rsidRPr="003215C5">
        <w:t>, the U</w:t>
      </w:r>
      <w:r w:rsidR="00F24615">
        <w:t>nited Kingdom</w:t>
      </w:r>
      <w:r w:rsidRPr="003215C5">
        <w:t xml:space="preserve"> enacted a law allowing affirmative action for people </w:t>
      </w:r>
      <w:r w:rsidR="00395C33">
        <w:t xml:space="preserve">from </w:t>
      </w:r>
      <w:r w:rsidRPr="003215C5">
        <w:t xml:space="preserve">Northern Ireland, including </w:t>
      </w:r>
      <w:r w:rsidR="00395C33">
        <w:t xml:space="preserve">by means of </w:t>
      </w:r>
      <w:r w:rsidRPr="003215C5">
        <w:t xml:space="preserve">setting </w:t>
      </w:r>
      <w:r w:rsidR="00395C33" w:rsidRPr="003215C5">
        <w:t>target</w:t>
      </w:r>
      <w:r w:rsidR="00395C33">
        <w:t xml:space="preserve"> </w:t>
      </w:r>
      <w:r w:rsidRPr="003215C5">
        <w:t>quota</w:t>
      </w:r>
      <w:r w:rsidR="00395C33">
        <w:t>s</w:t>
      </w:r>
      <w:r w:rsidRPr="003215C5">
        <w:t>,</w:t>
      </w:r>
      <w:r w:rsidR="00DD0756" w:rsidRPr="003215C5">
        <w:rPr>
          <w:rStyle w:val="FootnoteReference"/>
        </w:rPr>
        <w:footnoteReference w:id="133"/>
      </w:r>
      <w:r w:rsidRPr="003215C5">
        <w:t xml:space="preserve"> which has been </w:t>
      </w:r>
      <w:r w:rsidR="00F24615">
        <w:t>applicable</w:t>
      </w:r>
      <w:r w:rsidRPr="003215C5">
        <w:t xml:space="preserve"> </w:t>
      </w:r>
      <w:r w:rsidR="00F24615" w:rsidRPr="003215C5">
        <w:t xml:space="preserve">only </w:t>
      </w:r>
      <w:r w:rsidRPr="003215C5">
        <w:t xml:space="preserve">for </w:t>
      </w:r>
      <w:r w:rsidR="00BB3817" w:rsidRPr="003215C5">
        <w:t>specific</w:t>
      </w:r>
      <w:r w:rsidRPr="003215C5">
        <w:t xml:space="preserve"> groups, such as </w:t>
      </w:r>
      <w:r w:rsidR="00395C33" w:rsidRPr="003215C5">
        <w:t xml:space="preserve">citizens </w:t>
      </w:r>
      <w:r w:rsidR="00395C33">
        <w:t xml:space="preserve">of </w:t>
      </w:r>
      <w:r w:rsidRPr="003215C5">
        <w:t>Northern Ireland, and the</w:t>
      </w:r>
      <w:r w:rsidR="00395C33">
        <w:t xml:space="preserve"> </w:t>
      </w:r>
      <w:r w:rsidRPr="003215C5">
        <w:t xml:space="preserve">quota system </w:t>
      </w:r>
      <w:r w:rsidR="00395C33">
        <w:t xml:space="preserve">does not </w:t>
      </w:r>
      <w:r w:rsidRPr="003215C5">
        <w:t xml:space="preserve">provide </w:t>
      </w:r>
      <w:r w:rsidR="00395C33">
        <w:t xml:space="preserve">for </w:t>
      </w:r>
      <w:r w:rsidRPr="003215C5">
        <w:t>equal opportunities under the Equality Act 2010. This law is a significant development for the idea of ​​equality in the EU from the Amsterdam Treaty of 1997 calling for full equality that allows the adoption of measures to prevent or compensate for shortcomings experienced by a particular group,</w:t>
      </w:r>
      <w:r w:rsidR="00DD0756" w:rsidRPr="003215C5">
        <w:rPr>
          <w:rStyle w:val="FootnoteReference"/>
        </w:rPr>
        <w:footnoteReference w:id="134"/>
      </w:r>
      <w:r w:rsidRPr="003215C5">
        <w:t xml:space="preserve"> and directives dealing with gender equality in goods and services from 2000, 2004</w:t>
      </w:r>
      <w:r w:rsidR="007F4A08">
        <w:t>,</w:t>
      </w:r>
      <w:r w:rsidRPr="003215C5">
        <w:t xml:space="preserve"> and 2006.</w:t>
      </w:r>
      <w:r w:rsidR="00DD0756" w:rsidRPr="003215C5">
        <w:rPr>
          <w:rStyle w:val="FootnoteReference"/>
        </w:rPr>
        <w:footnoteReference w:id="135"/>
      </w:r>
      <w:r w:rsidRPr="003215C5">
        <w:t xml:space="preserve"> But this law does not set goals, quotas</w:t>
      </w:r>
      <w:r w:rsidR="00395C33">
        <w:t>,</w:t>
      </w:r>
      <w:r w:rsidRPr="003215C5">
        <w:t xml:space="preserve"> or operational obligations</w:t>
      </w:r>
      <w:r w:rsidR="00395C33">
        <w:t>,</w:t>
      </w:r>
      <w:r w:rsidRPr="003215C5">
        <w:t xml:space="preserve"> and most of the actions are </w:t>
      </w:r>
      <w:r w:rsidR="00F24615">
        <w:t>not obligatory</w:t>
      </w:r>
      <w:r w:rsidR="00C75866">
        <w:t>,</w:t>
      </w:r>
      <w:r w:rsidR="00F24615">
        <w:t xml:space="preserve"> but</w:t>
      </w:r>
      <w:r w:rsidRPr="003215C5">
        <w:t xml:space="preserve"> voluntary positive </w:t>
      </w:r>
      <w:r w:rsidR="00F24615">
        <w:t>ones</w:t>
      </w:r>
      <w:r w:rsidRPr="003215C5">
        <w:t>.</w:t>
      </w:r>
      <w:r w:rsidR="00DD0756" w:rsidRPr="003215C5">
        <w:rPr>
          <w:rStyle w:val="FootnoteReference"/>
        </w:rPr>
        <w:footnoteReference w:id="136"/>
      </w:r>
      <w:r w:rsidRPr="003215C5">
        <w:t xml:space="preserve"> In the U</w:t>
      </w:r>
      <w:r w:rsidR="00F24615">
        <w:t>nited Kingdom</w:t>
      </w:r>
      <w:r w:rsidR="00395C33">
        <w:t>,</w:t>
      </w:r>
      <w:r w:rsidRPr="003215C5">
        <w:t xml:space="preserve"> more than 80 percent of the labo</w:t>
      </w:r>
      <w:r w:rsidR="00395C33">
        <w:t>u</w:t>
      </w:r>
      <w:r w:rsidRPr="003215C5">
        <w:t xml:space="preserve">r force is employed in the private sector, which may explain why the </w:t>
      </w:r>
      <w:r w:rsidR="00395C33">
        <w:t xml:space="preserve">duty </w:t>
      </w:r>
      <w:r w:rsidRPr="003215C5">
        <w:t xml:space="preserve">of affirmative action in the </w:t>
      </w:r>
      <w:r w:rsidR="00395C33">
        <w:t xml:space="preserve">civil </w:t>
      </w:r>
      <w:r w:rsidRPr="003215C5">
        <w:t>service is not a primary need</w:t>
      </w:r>
      <w:r w:rsidR="00395C33">
        <w:t>,</w:t>
      </w:r>
      <w:r w:rsidRPr="003215C5">
        <w:t xml:space="preserve"> as it will not lead to satisfactory results in the general population</w:t>
      </w:r>
      <w:r w:rsidR="00395C33">
        <w:t>,</w:t>
      </w:r>
      <w:r w:rsidRPr="003215C5">
        <w:t xml:space="preserve"> and there is severe criticism of </w:t>
      </w:r>
      <w:r w:rsidR="00395C33" w:rsidRPr="003215C5">
        <w:t xml:space="preserve">intervention </w:t>
      </w:r>
      <w:r w:rsidR="00395C33">
        <w:t xml:space="preserve">the </w:t>
      </w:r>
      <w:r w:rsidRPr="003215C5">
        <w:t>private market</w:t>
      </w:r>
      <w:r w:rsidR="00395C33">
        <w:t xml:space="preserve"> by </w:t>
      </w:r>
      <w:r w:rsidR="00F24615">
        <w:t xml:space="preserve">the </w:t>
      </w:r>
      <w:r w:rsidR="00395C33">
        <w:t xml:space="preserve">imposition of </w:t>
      </w:r>
      <w:r w:rsidR="00F24615">
        <w:t xml:space="preserve">affirmative </w:t>
      </w:r>
      <w:r w:rsidR="00395C33">
        <w:t>duties</w:t>
      </w:r>
      <w:r w:rsidRPr="003215C5">
        <w:t>.</w:t>
      </w:r>
      <w:r w:rsidR="00DD0756" w:rsidRPr="003215C5">
        <w:rPr>
          <w:rStyle w:val="FootnoteReference"/>
        </w:rPr>
        <w:footnoteReference w:id="137"/>
      </w:r>
      <w:r w:rsidRPr="003215C5">
        <w:t xml:space="preserve"> </w:t>
      </w:r>
      <w:r w:rsidR="00395C33">
        <w:t xml:space="preserve">Simply advancing </w:t>
      </w:r>
      <w:r w:rsidRPr="003215C5">
        <w:t xml:space="preserve">a </w:t>
      </w:r>
      <w:r w:rsidRPr="003215C5">
        <w:lastRenderedPageBreak/>
        <w:t>recommendation in British law is not surprising</w:t>
      </w:r>
      <w:r w:rsidR="00395C33">
        <w:t xml:space="preserve"> </w:t>
      </w:r>
      <w:r w:rsidRPr="003215C5">
        <w:t>when it does not provide results</w:t>
      </w:r>
      <w:r w:rsidR="00395C33">
        <w:t>,</w:t>
      </w:r>
      <w:r w:rsidRPr="003215C5">
        <w:t xml:space="preserve"> and indeed, studies show that there is no change in the under-representation in the U</w:t>
      </w:r>
      <w:r w:rsidR="00F24615">
        <w:t>nited Kingdom.</w:t>
      </w:r>
      <w:r w:rsidR="00DD0756" w:rsidRPr="003215C5">
        <w:rPr>
          <w:rStyle w:val="FootnoteReference"/>
        </w:rPr>
        <w:footnoteReference w:id="138"/>
      </w:r>
    </w:p>
    <w:p w14:paraId="37B55EE6" w14:textId="61003C7A" w:rsidR="004E586C" w:rsidRPr="003215C5" w:rsidRDefault="004E586C" w:rsidP="00286484">
      <w:pPr>
        <w:spacing w:line="360" w:lineRule="auto"/>
        <w:ind w:firstLine="720"/>
        <w:jc w:val="both"/>
      </w:pPr>
      <w:r w:rsidRPr="003215C5">
        <w:t xml:space="preserve">The British and European courts also </w:t>
      </w:r>
      <w:r w:rsidR="007F4A08">
        <w:t xml:space="preserve">had </w:t>
      </w:r>
      <w:r w:rsidRPr="003215C5">
        <w:t>to address the issue under the Equality Act 2010</w:t>
      </w:r>
      <w:r w:rsidR="00B646AB">
        <w:t>,</w:t>
      </w:r>
      <w:r w:rsidR="007F4E8D" w:rsidRPr="003215C5">
        <w:rPr>
          <w:rStyle w:val="FootnoteReference"/>
        </w:rPr>
        <w:footnoteReference w:id="139"/>
      </w:r>
      <w:r w:rsidR="00B646AB">
        <w:t xml:space="preserve"> </w:t>
      </w:r>
      <w:r w:rsidRPr="003215C5">
        <w:t xml:space="preserve">and </w:t>
      </w:r>
      <w:r w:rsidR="00751AC5">
        <w:t>they</w:t>
      </w:r>
      <w:r w:rsidRPr="003215C5">
        <w:t xml:space="preserve"> interpreted the pursuit of affirmative action </w:t>
      </w:r>
      <w:r w:rsidR="00B646AB">
        <w:t xml:space="preserve">in the setting of </w:t>
      </w:r>
      <w:r w:rsidRPr="003215C5">
        <w:t>employer</w:t>
      </w:r>
      <w:r w:rsidR="00B646AB">
        <w:t xml:space="preserve"> </w:t>
      </w:r>
      <w:r w:rsidRPr="003215C5">
        <w:t xml:space="preserve">choice as requiring compliance with three requirements of proportionality: </w:t>
      </w:r>
      <w:r w:rsidR="00751AC5">
        <w:t>a</w:t>
      </w:r>
      <w:r w:rsidRPr="003215C5">
        <w:t xml:space="preserve">dapting the </w:t>
      </w:r>
      <w:r w:rsidR="00B646AB">
        <w:t xml:space="preserve">program to </w:t>
      </w:r>
      <w:r w:rsidRPr="003215C5">
        <w:t xml:space="preserve">the attainment of the desired goal; </w:t>
      </w:r>
      <w:r w:rsidR="00751AC5">
        <w:t>t</w:t>
      </w:r>
      <w:r w:rsidRPr="003215C5">
        <w:t xml:space="preserve">he necessity of the </w:t>
      </w:r>
      <w:r w:rsidR="00B646AB">
        <w:t>program</w:t>
      </w:r>
      <w:r w:rsidR="00751AC5">
        <w:t>;</w:t>
      </w:r>
      <w:r w:rsidR="00B646AB">
        <w:t xml:space="preserve"> </w:t>
      </w:r>
      <w:r w:rsidRPr="003215C5">
        <w:t>and the proportionality of the measures taken.</w:t>
      </w:r>
      <w:r w:rsidR="007F4E8D" w:rsidRPr="003215C5">
        <w:rPr>
          <w:rStyle w:val="FootnoteReference"/>
        </w:rPr>
        <w:footnoteReference w:id="140"/>
      </w:r>
      <w:r w:rsidRPr="003215C5">
        <w:t xml:space="preserve"> However, </w:t>
      </w:r>
      <w:r w:rsidR="00B646AB">
        <w:t xml:space="preserve">compared with </w:t>
      </w:r>
      <w:r w:rsidRPr="003215C5">
        <w:t xml:space="preserve">the </w:t>
      </w:r>
      <w:r w:rsidR="007F4A08">
        <w:t>C</w:t>
      </w:r>
      <w:r w:rsidRPr="003215C5">
        <w:t xml:space="preserve">ourts in the United States, those in the United Kingdom have remained relatively less involved in the development of </w:t>
      </w:r>
      <w:r w:rsidR="007F4A08">
        <w:t xml:space="preserve">affirmative action </w:t>
      </w:r>
      <w:r w:rsidRPr="003215C5">
        <w:t>policy</w:t>
      </w:r>
      <w:r w:rsidR="00B646AB">
        <w:t>,</w:t>
      </w:r>
      <w:r w:rsidRPr="003215C5">
        <w:t xml:space="preserve"> and it is customary to attribute to the </w:t>
      </w:r>
      <w:r w:rsidR="00B646AB">
        <w:t>C</w:t>
      </w:r>
      <w:r w:rsidRPr="003215C5">
        <w:t xml:space="preserve">ourts an interpretive role limited to </w:t>
      </w:r>
      <w:r w:rsidR="00751AC5">
        <w:t>addressing</w:t>
      </w:r>
      <w:r w:rsidRPr="003215C5">
        <w:t xml:space="preserve"> protection </w:t>
      </w:r>
      <w:r w:rsidR="00B646AB">
        <w:t xml:space="preserve">against </w:t>
      </w:r>
      <w:r w:rsidRPr="003215C5">
        <w:t xml:space="preserve">negative and </w:t>
      </w:r>
      <w:r w:rsidR="00B646AB">
        <w:t xml:space="preserve">non-positive </w:t>
      </w:r>
      <w:r w:rsidRPr="003215C5">
        <w:t>discrimination.</w:t>
      </w:r>
      <w:r w:rsidR="007F4E8D" w:rsidRPr="003215C5">
        <w:rPr>
          <w:rStyle w:val="FootnoteReference"/>
        </w:rPr>
        <w:footnoteReference w:id="141"/>
      </w:r>
    </w:p>
    <w:p w14:paraId="457002C3" w14:textId="2ABE9165" w:rsidR="004E586C" w:rsidRPr="003215C5" w:rsidRDefault="004E586C" w:rsidP="00286484">
      <w:pPr>
        <w:spacing w:line="360" w:lineRule="auto"/>
        <w:ind w:firstLine="720"/>
        <w:jc w:val="both"/>
      </w:pPr>
      <w:r w:rsidRPr="003215C5">
        <w:t xml:space="preserve">The term </w:t>
      </w:r>
      <w:r w:rsidR="00C75866">
        <w:t>‘</w:t>
      </w:r>
      <w:r w:rsidRPr="003215C5">
        <w:t>civil service</w:t>
      </w:r>
      <w:r w:rsidR="00C75866">
        <w:t>’</w:t>
      </w:r>
      <w:r w:rsidRPr="003215C5">
        <w:t xml:space="preserve"> has deep roots in the British administration, </w:t>
      </w:r>
      <w:r w:rsidR="00B646AB">
        <w:t xml:space="preserve">ever </w:t>
      </w:r>
      <w:r w:rsidRPr="003215C5">
        <w:t xml:space="preserve">since the public report submitted in 1854 which put an end to the system of political appointments. According to the method that has developed since, civil servants </w:t>
      </w:r>
      <w:r w:rsidR="00B646AB">
        <w:t xml:space="preserve">are </w:t>
      </w:r>
      <w:r w:rsidRPr="003215C5">
        <w:t>selected according to their skills (</w:t>
      </w:r>
      <w:r w:rsidR="00B646AB">
        <w:t>m</w:t>
      </w:r>
      <w:r w:rsidR="007810EF" w:rsidRPr="003215C5">
        <w:t>erit</w:t>
      </w:r>
      <w:r w:rsidRPr="003215C5">
        <w:t>)</w:t>
      </w:r>
      <w:r w:rsidR="00B646AB">
        <w:t>,</w:t>
      </w:r>
      <w:r w:rsidRPr="003215C5">
        <w:t xml:space="preserve"> and serve for years (career-based service leading to tenure). From these principles </w:t>
      </w:r>
      <w:r w:rsidR="00C75866">
        <w:t>has evolved</w:t>
      </w:r>
      <w:r w:rsidRPr="003215C5">
        <w:t xml:space="preserve"> </w:t>
      </w:r>
      <w:r w:rsidR="00B646AB">
        <w:t xml:space="preserve">an </w:t>
      </w:r>
      <w:r w:rsidRPr="003215C5">
        <w:t xml:space="preserve">infrastructure of </w:t>
      </w:r>
      <w:r w:rsidR="00B646AB">
        <w:t xml:space="preserve">an </w:t>
      </w:r>
      <w:r w:rsidRPr="003215C5">
        <w:t>objective and apolitical civil service</w:t>
      </w:r>
      <w:r w:rsidR="00751AC5">
        <w:t>;</w:t>
      </w:r>
      <w:r w:rsidRPr="003215C5">
        <w:t xml:space="preserve"> that is, a permanent service that transfers its loyalty and expertise from one elected administration to another. Today, the English Civil Service Commission</w:t>
      </w:r>
      <w:r w:rsidR="007F4E8D" w:rsidRPr="003215C5">
        <w:rPr>
          <w:rStyle w:val="FootnoteReference"/>
        </w:rPr>
        <w:footnoteReference w:id="142"/>
      </w:r>
      <w:r w:rsidRPr="003215C5">
        <w:t xml:space="preserve"> sets and publishes rules for conducting open and competitive tenders in various government ministries and oversees their execution. These rules </w:t>
      </w:r>
      <w:r w:rsidR="00B646AB">
        <w:t xml:space="preserve">are intended </w:t>
      </w:r>
      <w:r w:rsidRPr="003215C5">
        <w:t xml:space="preserve">to ensure that a person will not be appointed to a position in the civil service unless he has the necessary skills to perform the job. The </w:t>
      </w:r>
      <w:r w:rsidR="00B646AB">
        <w:t xml:space="preserve">duty to conduct a </w:t>
      </w:r>
      <w:r w:rsidRPr="003215C5">
        <w:t>tender</w:t>
      </w:r>
      <w:r w:rsidR="00B646AB">
        <w:t xml:space="preserve"> </w:t>
      </w:r>
      <w:r w:rsidRPr="003215C5">
        <w:t>and exam</w:t>
      </w:r>
      <w:r w:rsidR="00B646AB">
        <w:t xml:space="preserve">s </w:t>
      </w:r>
      <w:r w:rsidRPr="003215C5">
        <w:t xml:space="preserve">applies to the entire civil service, as far as can be discerned, from the office of the director general of the ministry to the </w:t>
      </w:r>
      <w:r w:rsidR="00B646AB">
        <w:t xml:space="preserve">lowest </w:t>
      </w:r>
      <w:r w:rsidRPr="003215C5">
        <w:t>employee</w:t>
      </w:r>
      <w:r w:rsidR="00751AC5">
        <w:t>.</w:t>
      </w:r>
      <w:r w:rsidRPr="003215C5">
        <w:t xml:space="preserve"> </w:t>
      </w:r>
      <w:r w:rsidR="00B646AB">
        <w:t xml:space="preserve">However, </w:t>
      </w:r>
      <w:r w:rsidRPr="003215C5">
        <w:t>there are a limited number of general exemptions, such as</w:t>
      </w:r>
      <w:r w:rsidR="00751AC5">
        <w:t xml:space="preserve"> t</w:t>
      </w:r>
      <w:r w:rsidRPr="003215C5">
        <w:t>emporary appointments, reappointment of a former</w:t>
      </w:r>
      <w:r w:rsidR="007F4A08">
        <w:t xml:space="preserve"> </w:t>
      </w:r>
      <w:r w:rsidRPr="003215C5">
        <w:t>civil servant</w:t>
      </w:r>
      <w:r w:rsidR="007F4A08" w:rsidRPr="007F4A08">
        <w:t xml:space="preserve"> </w:t>
      </w:r>
      <w:r w:rsidR="007F4A08">
        <w:t>returning to duty</w:t>
      </w:r>
      <w:r w:rsidRPr="003215C5">
        <w:t xml:space="preserve">, </w:t>
      </w:r>
      <w:r w:rsidR="00751AC5">
        <w:t>t</w:t>
      </w:r>
      <w:r w:rsidR="00B646AB">
        <w:t>ransfers to the civil service from o</w:t>
      </w:r>
      <w:r w:rsidRPr="003215C5">
        <w:t>ther</w:t>
      </w:r>
      <w:r w:rsidR="00B646AB">
        <w:t xml:space="preserve"> public entities, </w:t>
      </w:r>
      <w:r w:rsidRPr="003215C5">
        <w:t>and even appointments of employees with disabilities.</w:t>
      </w:r>
    </w:p>
    <w:p w14:paraId="7526D092" w14:textId="71EF90A2" w:rsidR="004E586C" w:rsidRPr="003215C5" w:rsidRDefault="004E586C" w:rsidP="00286484">
      <w:pPr>
        <w:spacing w:line="360" w:lineRule="auto"/>
        <w:ind w:firstLine="720"/>
        <w:jc w:val="both"/>
      </w:pPr>
      <w:r w:rsidRPr="00ED086A">
        <w:t xml:space="preserve">As a rule, appointments in the British </w:t>
      </w:r>
      <w:r w:rsidR="00ED086A">
        <w:t xml:space="preserve">Civil </w:t>
      </w:r>
      <w:r w:rsidRPr="00ED086A">
        <w:t>Service are subject to strict threshold conditions</w:t>
      </w:r>
      <w:r w:rsidR="00ED086A">
        <w:t>,</w:t>
      </w:r>
      <w:r w:rsidRPr="00ED086A">
        <w:t xml:space="preserve"> </w:t>
      </w:r>
      <w:r w:rsidR="00ED086A">
        <w:t xml:space="preserve">as well as </w:t>
      </w:r>
      <w:r w:rsidR="00751AC5">
        <w:t xml:space="preserve">to </w:t>
      </w:r>
      <w:r w:rsidRPr="00ED086A">
        <w:t>holding a tender</w:t>
      </w:r>
      <w:r w:rsidR="00751AC5">
        <w:t>. I</w:t>
      </w:r>
      <w:r w:rsidRPr="00ED086A">
        <w:t>n the case of the senior echelon</w:t>
      </w:r>
      <w:r w:rsidR="00ED086A">
        <w:t>,</w:t>
      </w:r>
      <w:r w:rsidRPr="00ED086A">
        <w:t xml:space="preserve"> a procedure </w:t>
      </w:r>
      <w:r w:rsidR="00ED086A">
        <w:t>ha</w:t>
      </w:r>
      <w:r w:rsidRPr="00ED086A">
        <w:t xml:space="preserve">s </w:t>
      </w:r>
      <w:r w:rsidR="00ED086A">
        <w:t>been prescribed</w:t>
      </w:r>
      <w:r w:rsidR="00190A59">
        <w:t xml:space="preserve"> whereby</w:t>
      </w:r>
      <w:r w:rsidR="00751AC5">
        <w:t xml:space="preserve"> </w:t>
      </w:r>
      <w:r w:rsidRPr="00ED086A">
        <w:t xml:space="preserve">a special </w:t>
      </w:r>
      <w:r w:rsidRPr="00ED086A">
        <w:lastRenderedPageBreak/>
        <w:t>committee</w:t>
      </w:r>
      <w:r w:rsidR="00751AC5">
        <w:t xml:space="preserve"> selects</w:t>
      </w:r>
      <w:r w:rsidRPr="00ED086A">
        <w:t xml:space="preserve"> candidates for senior positions</w:t>
      </w:r>
      <w:r w:rsidR="00751AC5">
        <w:t>.</w:t>
      </w:r>
      <w:r w:rsidR="007F4E8D" w:rsidRPr="00ED086A">
        <w:rPr>
          <w:rStyle w:val="FootnoteReference"/>
        </w:rPr>
        <w:footnoteReference w:id="143"/>
      </w:r>
      <w:r w:rsidRPr="00ED086A">
        <w:t xml:space="preserve"> </w:t>
      </w:r>
      <w:r w:rsidR="00751AC5">
        <w:t>However,</w:t>
      </w:r>
      <w:r w:rsidRPr="00ED086A">
        <w:t xml:space="preserve"> the British </w:t>
      </w:r>
      <w:r w:rsidR="00751AC5">
        <w:t>actually</w:t>
      </w:r>
      <w:r w:rsidRPr="00ED086A">
        <w:t xml:space="preserve"> carry out a three-stage procedure</w:t>
      </w:r>
      <w:r w:rsidR="00ED086A">
        <w:t xml:space="preserve">, upon the conclusion of which the committee passes on its recommendations to the Head of </w:t>
      </w:r>
      <w:r w:rsidRPr="00ED086A">
        <w:t>the Home Civil Service</w:t>
      </w:r>
      <w:r w:rsidR="00ED086A">
        <w:t>,</w:t>
      </w:r>
      <w:r w:rsidRPr="00ED086A">
        <w:t xml:space="preserve"> wh</w:t>
      </w:r>
      <w:r w:rsidR="00ED086A">
        <w:t>o</w:t>
      </w:r>
      <w:r w:rsidRPr="00ED086A">
        <w:t xml:space="preserve"> also submits </w:t>
      </w:r>
      <w:r w:rsidR="00ED086A">
        <w:t xml:space="preserve">his </w:t>
      </w:r>
      <w:r w:rsidRPr="00ED086A">
        <w:t xml:space="preserve">recommendations to the Prime Minister, who </w:t>
      </w:r>
      <w:r w:rsidR="00751AC5">
        <w:t>makes the final decision</w:t>
      </w:r>
      <w:r w:rsidRPr="00ED086A">
        <w:t xml:space="preserve">. The fact that there are two examining and recommending </w:t>
      </w:r>
      <w:r w:rsidR="00ED086A">
        <w:t xml:space="preserve">parties </w:t>
      </w:r>
      <w:r w:rsidRPr="00ED086A">
        <w:t xml:space="preserve">before </w:t>
      </w:r>
      <w:r w:rsidR="00ED086A" w:rsidRPr="00ED086A">
        <w:t>the government</w:t>
      </w:r>
      <w:r w:rsidR="00ED086A">
        <w:t>’s</w:t>
      </w:r>
      <w:r w:rsidR="00ED086A" w:rsidRPr="00ED086A">
        <w:t xml:space="preserve"> </w:t>
      </w:r>
      <w:r w:rsidR="00ED086A">
        <w:t>review</w:t>
      </w:r>
      <w:r w:rsidRPr="00ED086A">
        <w:t xml:space="preserve"> ensures a better balance in the face of </w:t>
      </w:r>
      <w:r w:rsidR="00ED086A">
        <w:t xml:space="preserve">extraneous </w:t>
      </w:r>
      <w:r w:rsidRPr="00ED086A">
        <w:t>interests.</w:t>
      </w:r>
      <w:r w:rsidR="007F4E8D" w:rsidRPr="00ED086A">
        <w:rPr>
          <w:rStyle w:val="FootnoteReference"/>
        </w:rPr>
        <w:footnoteReference w:id="144"/>
      </w:r>
      <w:r w:rsidRPr="00ED086A">
        <w:t xml:space="preserve"> The U</w:t>
      </w:r>
      <w:r w:rsidR="00751AC5">
        <w:t>nited Kingdom</w:t>
      </w:r>
      <w:r w:rsidRPr="00ED086A">
        <w:t xml:space="preserve"> </w:t>
      </w:r>
      <w:r w:rsidR="00ED086A">
        <w:t xml:space="preserve">meticulously </w:t>
      </w:r>
      <w:r w:rsidRPr="00ED086A">
        <w:t>adheres to the procedure, with all stages of the appointment having to be fully documented</w:t>
      </w:r>
      <w:r w:rsidR="00ED086A">
        <w:t>,</w:t>
      </w:r>
      <w:r w:rsidRPr="00ED086A">
        <w:t xml:space="preserve"> and information about them </w:t>
      </w:r>
      <w:r w:rsidR="00377EBD">
        <w:t xml:space="preserve">publicly </w:t>
      </w:r>
      <w:r w:rsidRPr="00ED086A">
        <w:t xml:space="preserve">accessible </w:t>
      </w:r>
      <w:r w:rsidR="00ED086A">
        <w:t xml:space="preserve">by </w:t>
      </w:r>
      <w:r w:rsidRPr="00ED086A">
        <w:t>all.</w:t>
      </w:r>
      <w:r w:rsidR="007F4E8D" w:rsidRPr="00ED086A">
        <w:rPr>
          <w:rStyle w:val="FootnoteReference"/>
        </w:rPr>
        <w:footnoteReference w:id="145"/>
      </w:r>
    </w:p>
    <w:p w14:paraId="6D1C7A28" w14:textId="572E9705" w:rsidR="004E586C" w:rsidRPr="003215C5" w:rsidRDefault="004E586C" w:rsidP="00286484">
      <w:pPr>
        <w:spacing w:line="360" w:lineRule="auto"/>
        <w:ind w:firstLine="720"/>
        <w:jc w:val="both"/>
      </w:pPr>
      <w:r w:rsidRPr="003215C5">
        <w:t>The British Code of Appointments, which requires the regulation of the civil service appointment procedure, sets out several principles</w:t>
      </w:r>
      <w:r w:rsidR="00ED086A">
        <w:t xml:space="preserve"> with which </w:t>
      </w:r>
      <w:r w:rsidR="00A627EA">
        <w:t xml:space="preserve">compliance </w:t>
      </w:r>
      <w:r w:rsidR="00ED086A">
        <w:t>is absolutely mandatory</w:t>
      </w:r>
      <w:r w:rsidR="00A627EA">
        <w:t>.</w:t>
      </w:r>
      <w:r w:rsidR="007F4E8D" w:rsidRPr="003215C5">
        <w:rPr>
          <w:rStyle w:val="FootnoteReference"/>
        </w:rPr>
        <w:footnoteReference w:id="146"/>
      </w:r>
      <w:r w:rsidRPr="003215C5">
        <w:t xml:space="preserve"> </w:t>
      </w:r>
      <w:r w:rsidR="00377EBD">
        <w:t>First,</w:t>
      </w:r>
      <w:r w:rsidRPr="003215C5">
        <w:t xml:space="preserve"> </w:t>
      </w:r>
      <w:r w:rsidR="00377EBD">
        <w:t>c</w:t>
      </w:r>
      <w:r w:rsidRPr="003215C5">
        <w:t>ho</w:t>
      </w:r>
      <w:r w:rsidR="00ED086A">
        <w:t xml:space="preserve">osing </w:t>
      </w:r>
      <w:r w:rsidRPr="003215C5">
        <w:t xml:space="preserve">between candidates will be based on </w:t>
      </w:r>
      <w:r w:rsidR="00ED086A">
        <w:t xml:space="preserve">suitability of </w:t>
      </w:r>
      <w:r w:rsidRPr="003215C5">
        <w:t>ability, experience</w:t>
      </w:r>
      <w:r w:rsidR="00ED086A">
        <w:t>,</w:t>
      </w:r>
      <w:r w:rsidRPr="003215C5">
        <w:t xml:space="preserve"> and skills</w:t>
      </w:r>
      <w:r w:rsidR="00377EBD">
        <w:t>. Next,</w:t>
      </w:r>
      <w:r w:rsidRPr="003215C5">
        <w:t xml:space="preserve"> </w:t>
      </w:r>
      <w:r w:rsidR="00377EBD">
        <w:t>a</w:t>
      </w:r>
      <w:r w:rsidRPr="003215C5">
        <w:t xml:space="preserve">fter selection, </w:t>
      </w:r>
      <w:r w:rsidR="00377EBD">
        <w:t xml:space="preserve">and </w:t>
      </w:r>
      <w:r w:rsidRPr="003215C5">
        <w:t xml:space="preserve">before the appointment takes effect, the selected candidate must undergo a thorough examination by an independent team </w:t>
      </w:r>
      <w:r w:rsidR="00ED086A">
        <w:t xml:space="preserve">appointed by </w:t>
      </w:r>
      <w:r w:rsidRPr="003215C5">
        <w:t xml:space="preserve">the commissioner, which means </w:t>
      </w:r>
      <w:r w:rsidR="007F4A08">
        <w:t xml:space="preserve">that </w:t>
      </w:r>
      <w:r w:rsidR="007F4A08" w:rsidRPr="003215C5">
        <w:t xml:space="preserve">an additional supervisory mechanism </w:t>
      </w:r>
      <w:r w:rsidRPr="003215C5">
        <w:t>exist</w:t>
      </w:r>
      <w:r w:rsidR="007F4A08">
        <w:t>s</w:t>
      </w:r>
      <w:r w:rsidR="00377EBD">
        <w:t>. Third,</w:t>
      </w:r>
      <w:r w:rsidRPr="003215C5">
        <w:t xml:space="preserve"> </w:t>
      </w:r>
      <w:r w:rsidR="00377EBD">
        <w:t>a</w:t>
      </w:r>
      <w:r w:rsidRPr="003215C5">
        <w:t>ll stages of the appointment should be documented</w:t>
      </w:r>
      <w:r w:rsidR="00ED086A">
        <w:t>,</w:t>
      </w:r>
      <w:r w:rsidRPr="003215C5">
        <w:t xml:space="preserve"> and information about them should be accessible </w:t>
      </w:r>
      <w:r w:rsidR="00ED086A">
        <w:t xml:space="preserve">by </w:t>
      </w:r>
      <w:r w:rsidRPr="003215C5">
        <w:t>all</w:t>
      </w:r>
      <w:r w:rsidR="00377EBD">
        <w:t>. Fourth, t</w:t>
      </w:r>
      <w:r w:rsidRPr="003215C5">
        <w:t xml:space="preserve">he </w:t>
      </w:r>
      <w:r w:rsidR="007F4A08" w:rsidRPr="003215C5">
        <w:t xml:space="preserve">Lower House Committees </w:t>
      </w:r>
      <w:r w:rsidRPr="003215C5">
        <w:t>of the British Parliament hold hearing</w:t>
      </w:r>
      <w:r w:rsidR="00ED086A">
        <w:t xml:space="preserve">s </w:t>
      </w:r>
      <w:r w:rsidRPr="003215C5">
        <w:t>to approve senior appointments,</w:t>
      </w:r>
      <w:r w:rsidR="007F4E8D" w:rsidRPr="003215C5">
        <w:rPr>
          <w:rStyle w:val="FootnoteReference"/>
        </w:rPr>
        <w:footnoteReference w:id="147"/>
      </w:r>
      <w:r w:rsidRPr="003215C5">
        <w:t xml:space="preserve"> which means </w:t>
      </w:r>
      <w:r w:rsidR="00ED086A">
        <w:t xml:space="preserve">that there is a </w:t>
      </w:r>
      <w:r w:rsidRPr="003215C5">
        <w:t xml:space="preserve">possibility of </w:t>
      </w:r>
      <w:r w:rsidR="00ED086A">
        <w:t xml:space="preserve">complaining about </w:t>
      </w:r>
      <w:r w:rsidR="00377EBD">
        <w:t xml:space="preserve">or appealing </w:t>
      </w:r>
      <w:r w:rsidRPr="003215C5">
        <w:t xml:space="preserve">the tender process without the need for </w:t>
      </w:r>
      <w:r w:rsidR="007F4A08">
        <w:t>legal action</w:t>
      </w:r>
      <w:r w:rsidR="00377EBD">
        <w:t>. Fifth, s</w:t>
      </w:r>
      <w:r w:rsidRPr="003215C5">
        <w:t>enior positions are filled exclusively from within the service itself, as opposed to locating external candidates</w:t>
      </w:r>
      <w:r w:rsidR="00377EBD">
        <w:t>. Finally,</w:t>
      </w:r>
      <w:r w:rsidRPr="003215C5">
        <w:t xml:space="preserve"> promotion is </w:t>
      </w:r>
      <w:r w:rsidR="00377EBD">
        <w:t>carried out</w:t>
      </w:r>
      <w:r w:rsidRPr="003215C5">
        <w:t xml:space="preserve"> according to seniority and skill. To sum</w:t>
      </w:r>
      <w:r w:rsidR="007F4A08">
        <w:t>marise</w:t>
      </w:r>
      <w:r w:rsidRPr="003215C5">
        <w:t>, the British model allows for a more layered, independent oversight mechanism</w:t>
      </w:r>
      <w:r w:rsidR="00ED086A">
        <w:t>,</w:t>
      </w:r>
      <w:r w:rsidRPr="003215C5">
        <w:t xml:space="preserve"> and more </w:t>
      </w:r>
      <w:r w:rsidR="00ED086A" w:rsidRPr="003215C5">
        <w:t xml:space="preserve">options </w:t>
      </w:r>
      <w:r w:rsidR="00ED086A">
        <w:t xml:space="preserve">for </w:t>
      </w:r>
      <w:r w:rsidRPr="003215C5">
        <w:t xml:space="preserve">promotion </w:t>
      </w:r>
      <w:r w:rsidR="00ED086A">
        <w:t xml:space="preserve">to </w:t>
      </w:r>
      <w:r w:rsidRPr="003215C5">
        <w:t>senior positions from within the service.</w:t>
      </w:r>
    </w:p>
    <w:p w14:paraId="788739F4" w14:textId="77777777" w:rsidR="004E586C" w:rsidRPr="003215C5" w:rsidRDefault="004E586C" w:rsidP="00286484">
      <w:pPr>
        <w:spacing w:line="360" w:lineRule="auto"/>
        <w:jc w:val="both"/>
      </w:pPr>
    </w:p>
    <w:p w14:paraId="76C7355B" w14:textId="77777777" w:rsidR="004E586C" w:rsidRPr="003215C5" w:rsidRDefault="004E586C" w:rsidP="00286484">
      <w:pPr>
        <w:spacing w:line="360" w:lineRule="auto"/>
        <w:jc w:val="both"/>
      </w:pPr>
      <w:r w:rsidRPr="003215C5">
        <w:t>5.4 United States</w:t>
      </w:r>
    </w:p>
    <w:p w14:paraId="7B362B36" w14:textId="4833026F" w:rsidR="004E586C" w:rsidRPr="003215C5" w:rsidRDefault="004E586C" w:rsidP="00286484">
      <w:pPr>
        <w:spacing w:line="360" w:lineRule="auto"/>
        <w:ind w:firstLine="720"/>
        <w:jc w:val="both"/>
      </w:pPr>
      <w:r w:rsidRPr="007B2FD8">
        <w:t>The affirmative action doctrine originated in public movements that arose in the mid-1940s in the United States</w:t>
      </w:r>
      <w:r w:rsidR="00ED086A" w:rsidRPr="007B2FD8">
        <w:t>,</w:t>
      </w:r>
      <w:r w:rsidRPr="007B2FD8">
        <w:t xml:space="preserve"> which aimed to eradicate </w:t>
      </w:r>
      <w:r w:rsidR="00ED086A" w:rsidRPr="007B2FD8">
        <w:t>the evils of discrimination and prejudice</w:t>
      </w:r>
      <w:r w:rsidR="00F255EE" w:rsidRPr="007B2FD8">
        <w:t xml:space="preserve"> </w:t>
      </w:r>
      <w:r w:rsidR="007B2FD8">
        <w:t>–</w:t>
      </w:r>
      <w:r w:rsidR="00F255EE" w:rsidRPr="007B2FD8">
        <w:t xml:space="preserve"> </w:t>
      </w:r>
      <w:r w:rsidRPr="007B2FD8">
        <w:t>most often on the basis of race and ethnic origin</w:t>
      </w:r>
      <w:r w:rsidR="00F255EE" w:rsidRPr="007B2FD8">
        <w:t xml:space="preserve"> </w:t>
      </w:r>
      <w:r w:rsidR="007B2FD8">
        <w:t>–</w:t>
      </w:r>
      <w:r w:rsidR="00F255EE" w:rsidRPr="007B2FD8">
        <w:t xml:space="preserve"> from American society</w:t>
      </w:r>
      <w:r w:rsidRPr="007B2FD8">
        <w:t xml:space="preserve">. These movements sought to </w:t>
      </w:r>
      <w:r w:rsidR="00F255EE" w:rsidRPr="007B2FD8">
        <w:t xml:space="preserve">realise </w:t>
      </w:r>
      <w:r w:rsidRPr="007B2FD8">
        <w:t>the individual</w:t>
      </w:r>
      <w:r w:rsidR="008578D4" w:rsidRPr="007B2FD8">
        <w:t>’</w:t>
      </w:r>
      <w:r w:rsidRPr="007B2FD8">
        <w:t xml:space="preserve">s </w:t>
      </w:r>
      <w:r w:rsidRPr="007B2FD8">
        <w:lastRenderedPageBreak/>
        <w:t xml:space="preserve">right to equality, </w:t>
      </w:r>
      <w:r w:rsidR="00F255EE" w:rsidRPr="007B2FD8">
        <w:t xml:space="preserve">within the </w:t>
      </w:r>
      <w:r w:rsidR="00377EBD">
        <w:t>context</w:t>
      </w:r>
      <w:r w:rsidR="00F255EE" w:rsidRPr="007B2FD8">
        <w:t xml:space="preserve"> </w:t>
      </w:r>
      <w:r w:rsidRPr="007B2FD8">
        <w:t>of the 14</w:t>
      </w:r>
      <w:r w:rsidRPr="007B2FD8">
        <w:rPr>
          <w:vertAlign w:val="superscript"/>
        </w:rPr>
        <w:t>th</w:t>
      </w:r>
      <w:r w:rsidRPr="007B2FD8">
        <w:t xml:space="preserve"> Amendment </w:t>
      </w:r>
      <w:r w:rsidR="00377EBD">
        <w:t>of</w:t>
      </w:r>
      <w:r w:rsidRPr="007B2FD8">
        <w:t xml:space="preserve"> the </w:t>
      </w:r>
      <w:r w:rsidR="00F255EE" w:rsidRPr="007B2FD8">
        <w:t>U</w:t>
      </w:r>
      <w:r w:rsidR="00377EBD">
        <w:t>.</w:t>
      </w:r>
      <w:r w:rsidR="00F255EE" w:rsidRPr="007B2FD8">
        <w:t>S</w:t>
      </w:r>
      <w:r w:rsidR="00377EBD">
        <w:t>.</w:t>
      </w:r>
      <w:r w:rsidR="00F255EE" w:rsidRPr="007B2FD8">
        <w:t xml:space="preserve"> </w:t>
      </w:r>
      <w:r w:rsidRPr="007B2FD8">
        <w:t xml:space="preserve">Constitution. The principle that everyone is equal before the law is a cornerstone </w:t>
      </w:r>
      <w:r w:rsidR="007B2FD8">
        <w:t xml:space="preserve">of </w:t>
      </w:r>
      <w:r w:rsidRPr="007B2FD8">
        <w:t xml:space="preserve">the rule of law, and its essence is equal treatment of </w:t>
      </w:r>
      <w:r w:rsidR="00F255EE" w:rsidRPr="007B2FD8">
        <w:t xml:space="preserve">people </w:t>
      </w:r>
      <w:r w:rsidR="00F255EE" w:rsidRPr="007B2FD8">
        <w:rPr>
          <w:i/>
          <w:iCs/>
        </w:rPr>
        <w:t>qua</w:t>
      </w:r>
      <w:r w:rsidR="00F255EE" w:rsidRPr="007B2FD8">
        <w:t xml:space="preserve"> people</w:t>
      </w:r>
      <w:r w:rsidRPr="007B2FD8">
        <w:t xml:space="preserve">, without </w:t>
      </w:r>
      <w:r w:rsidR="00F255EE" w:rsidRPr="007B2FD8">
        <w:t xml:space="preserve">attributing significance </w:t>
      </w:r>
      <w:r w:rsidRPr="007B2FD8">
        <w:t xml:space="preserve">to various </w:t>
      </w:r>
      <w:r w:rsidR="00F255EE" w:rsidRPr="007B2FD8">
        <w:t xml:space="preserve">human </w:t>
      </w:r>
      <w:r w:rsidRPr="007B2FD8">
        <w:t>characteristics, such as social status, family lineage, gender, age, religion, language, skin colo</w:t>
      </w:r>
      <w:r w:rsidR="00F255EE" w:rsidRPr="007B2FD8">
        <w:t>u</w:t>
      </w:r>
      <w:r w:rsidRPr="007B2FD8">
        <w:t>r</w:t>
      </w:r>
      <w:r w:rsidR="00F255EE" w:rsidRPr="007B2FD8">
        <w:t>,</w:t>
      </w:r>
      <w:r w:rsidRPr="007B2FD8">
        <w:t xml:space="preserve"> </w:t>
      </w:r>
      <w:r w:rsidR="00F255EE" w:rsidRPr="007B2FD8">
        <w:t>etc</w:t>
      </w:r>
      <w:r w:rsidRPr="007B2FD8">
        <w:t xml:space="preserve">. </w:t>
      </w:r>
      <w:r w:rsidR="007B2FD8">
        <w:t>However</w:t>
      </w:r>
      <w:r w:rsidRPr="007B2FD8">
        <w:t xml:space="preserve">, it is intuitively clear that the phrase </w:t>
      </w:r>
      <w:r w:rsidR="008578D4" w:rsidRPr="007B2FD8">
        <w:t>“</w:t>
      </w:r>
      <w:r w:rsidR="00F255EE" w:rsidRPr="007B2FD8">
        <w:t xml:space="preserve">everyone is </w:t>
      </w:r>
      <w:r w:rsidRPr="007B2FD8">
        <w:t>equal before the law</w:t>
      </w:r>
      <w:r w:rsidR="008578D4" w:rsidRPr="007B2FD8">
        <w:t>”</w:t>
      </w:r>
      <w:r w:rsidRPr="007B2FD8">
        <w:t xml:space="preserve"> should not be taken literally, because </w:t>
      </w:r>
      <w:r w:rsidR="00B400E2">
        <w:t xml:space="preserve">now </w:t>
      </w:r>
      <w:r w:rsidRPr="007B2FD8">
        <w:t>all are equal. Two different meanings of equality must be distinguished</w:t>
      </w:r>
      <w:r w:rsidR="00B400E2">
        <w:t xml:space="preserve">. The first is </w:t>
      </w:r>
      <w:r w:rsidR="00F255EE" w:rsidRPr="007B2FD8">
        <w:t xml:space="preserve">the </w:t>
      </w:r>
      <w:r w:rsidRPr="007B2FD8">
        <w:t xml:space="preserve">formal meaning </w:t>
      </w:r>
      <w:r w:rsidR="007B2FD8">
        <w:t>–</w:t>
      </w:r>
      <w:r w:rsidRPr="007B2FD8">
        <w:t xml:space="preserve"> the </w:t>
      </w:r>
      <w:r w:rsidR="007B2FD8">
        <w:t xml:space="preserve">application </w:t>
      </w:r>
      <w:r w:rsidRPr="007B2FD8">
        <w:t xml:space="preserve">of the law by the </w:t>
      </w:r>
      <w:r w:rsidR="007B2FD8">
        <w:t>C</w:t>
      </w:r>
      <w:r w:rsidRPr="007B2FD8">
        <w:t xml:space="preserve">ourts without prejudice and without distinction between litigants. The meaning of enforcing the law equally </w:t>
      </w:r>
      <w:r w:rsidR="00F255EE" w:rsidRPr="007B2FD8">
        <w:rPr>
          <w:i/>
          <w:iCs/>
        </w:rPr>
        <w:t>vis-à-vis</w:t>
      </w:r>
      <w:r w:rsidR="00F255EE" w:rsidRPr="007B2FD8">
        <w:t xml:space="preserve"> everyone </w:t>
      </w:r>
      <w:r w:rsidRPr="007B2FD8">
        <w:t xml:space="preserve">does not apply to the </w:t>
      </w:r>
      <w:r w:rsidR="00F255EE" w:rsidRPr="007B2FD8">
        <w:t xml:space="preserve">distinctions drawn by </w:t>
      </w:r>
      <w:r w:rsidRPr="007B2FD8">
        <w:t>the law. The second, a</w:t>
      </w:r>
      <w:r w:rsidR="00F255EE" w:rsidRPr="007B2FD8">
        <w:t xml:space="preserve"> substantive </w:t>
      </w:r>
      <w:r w:rsidRPr="007B2FD8">
        <w:t xml:space="preserve">meaning </w:t>
      </w:r>
      <w:r w:rsidR="00F255EE" w:rsidRPr="007B2FD8">
        <w:t>–</w:t>
      </w:r>
      <w:r w:rsidRPr="007B2FD8">
        <w:t xml:space="preserve"> </w:t>
      </w:r>
      <w:r w:rsidR="00F255EE" w:rsidRPr="007B2FD8">
        <w:t xml:space="preserve">a review </w:t>
      </w:r>
      <w:r w:rsidRPr="007B2FD8">
        <w:t>of the law itself</w:t>
      </w:r>
      <w:r w:rsidR="00F255EE" w:rsidRPr="007B2FD8">
        <w:t>,</w:t>
      </w:r>
      <w:r w:rsidRPr="007B2FD8">
        <w:t xml:space="preserve"> and not </w:t>
      </w:r>
      <w:r w:rsidR="00F255EE" w:rsidRPr="007B2FD8">
        <w:t xml:space="preserve">the manner of </w:t>
      </w:r>
      <w:r w:rsidRPr="007B2FD8">
        <w:t>its operation</w:t>
      </w:r>
      <w:r w:rsidR="00B400E2">
        <w:t>.</w:t>
      </w:r>
      <w:r w:rsidRPr="007B2FD8">
        <w:t xml:space="preserve"> This i</w:t>
      </w:r>
      <w:r w:rsidR="00B400E2">
        <w:t>nvolves</w:t>
      </w:r>
      <w:r w:rsidRPr="007B2FD8">
        <w:t xml:space="preserve"> a substanti</w:t>
      </w:r>
      <w:r w:rsidR="007B2FD8">
        <w:t>ve</w:t>
      </w:r>
      <w:r w:rsidR="00F255EE" w:rsidRPr="007B2FD8">
        <w:t>, material examination</w:t>
      </w:r>
      <w:r w:rsidRPr="007B2FD8">
        <w:t xml:space="preserve">. The law </w:t>
      </w:r>
      <w:r w:rsidR="00F255EE" w:rsidRPr="007B2FD8">
        <w:t xml:space="preserve">draws </w:t>
      </w:r>
      <w:r w:rsidRPr="007B2FD8">
        <w:t xml:space="preserve">certain </w:t>
      </w:r>
      <w:r w:rsidR="00F255EE" w:rsidRPr="007B2FD8">
        <w:t>distinctions</w:t>
      </w:r>
      <w:r w:rsidR="00B400E2">
        <w:t xml:space="preserve"> and</w:t>
      </w:r>
      <w:r w:rsidRPr="007B2FD8">
        <w:t xml:space="preserve"> takes into account natural inequality and inequality that is </w:t>
      </w:r>
      <w:r w:rsidR="007B2FD8">
        <w:t xml:space="preserve">the </w:t>
      </w:r>
      <w:r w:rsidRPr="007B2FD8">
        <w:t>creation of society. The focus of the affirmative action doctrine in the United States on the reali</w:t>
      </w:r>
      <w:r w:rsidR="00F255EE" w:rsidRPr="007B2FD8">
        <w:t>s</w:t>
      </w:r>
      <w:r w:rsidRPr="007B2FD8">
        <w:t>ation of the principle of equal opportunity</w:t>
      </w:r>
      <w:r w:rsidR="00B400E2">
        <w:t xml:space="preserve"> subsequently </w:t>
      </w:r>
      <w:r w:rsidRPr="007B2FD8">
        <w:t>turned out to be insufficient</w:t>
      </w:r>
      <w:r w:rsidR="007B2FD8">
        <w:t>.</w:t>
      </w:r>
      <w:r w:rsidRPr="007B2FD8">
        <w:t xml:space="preserve"> </w:t>
      </w:r>
      <w:r w:rsidR="007B2FD8">
        <w:t>I</w:t>
      </w:r>
      <w:r w:rsidRPr="007B2FD8">
        <w:t xml:space="preserve">t </w:t>
      </w:r>
      <w:r w:rsidR="00B400E2">
        <w:t>became clear to many advocates that in addition to</w:t>
      </w:r>
      <w:r w:rsidR="00A627EA">
        <w:t xml:space="preserve"> supporting</w:t>
      </w:r>
      <w:r w:rsidRPr="007B2FD8">
        <w:t xml:space="preserve"> th</w:t>
      </w:r>
      <w:r w:rsidR="007B2FD8">
        <w:t>e</w:t>
      </w:r>
      <w:r w:rsidRPr="007B2FD8">
        <w:t xml:space="preserve"> principle</w:t>
      </w:r>
      <w:r w:rsidR="00B400E2">
        <w:t xml:space="preserve"> </w:t>
      </w:r>
      <w:r w:rsidR="00A627EA">
        <w:t xml:space="preserve">of </w:t>
      </w:r>
      <w:r w:rsidR="00B400E2">
        <w:t>equal opportunity</w:t>
      </w:r>
      <w:r w:rsidR="00F255EE" w:rsidRPr="007B2FD8">
        <w:t>,</w:t>
      </w:r>
      <w:r w:rsidRPr="007B2FD8">
        <w:t xml:space="preserve"> action </w:t>
      </w:r>
      <w:r w:rsidR="007B2FD8">
        <w:t xml:space="preserve">had to </w:t>
      </w:r>
      <w:r w:rsidRPr="007B2FD8">
        <w:t xml:space="preserve">be taken </w:t>
      </w:r>
      <w:r w:rsidR="00F255EE" w:rsidRPr="007B2FD8">
        <w:t xml:space="preserve">to </w:t>
      </w:r>
      <w:r w:rsidRPr="007B2FD8">
        <w:t>reallocat</w:t>
      </w:r>
      <w:r w:rsidR="00F255EE" w:rsidRPr="007B2FD8">
        <w:t xml:space="preserve">e </w:t>
      </w:r>
      <w:r w:rsidRPr="007B2FD8">
        <w:t xml:space="preserve">resources in order to achieve egalitarian </w:t>
      </w:r>
      <w:r w:rsidR="007B2FD8">
        <w:t>outcomes</w:t>
      </w:r>
      <w:r w:rsidRPr="007B2FD8">
        <w:t>. Thus, the idea of ​​affirmative action is derived from the principle of equality</w:t>
      </w:r>
      <w:r w:rsidR="00F255EE" w:rsidRPr="007B2FD8">
        <w:t>,</w:t>
      </w:r>
      <w:r w:rsidRPr="007B2FD8">
        <w:t xml:space="preserve"> and its purpose is to </w:t>
      </w:r>
      <w:r w:rsidR="007B2FD8">
        <w:t xml:space="preserve">achieve </w:t>
      </w:r>
      <w:r w:rsidRPr="007B2FD8">
        <w:t xml:space="preserve">equality as a consequential social norm. The </w:t>
      </w:r>
      <w:r w:rsidR="00A627EA">
        <w:t xml:space="preserve">goal </w:t>
      </w:r>
      <w:r w:rsidRPr="007B2FD8">
        <w:t>is to provide equal opportunit</w:t>
      </w:r>
      <w:r w:rsidR="007B2FD8">
        <w:t>ies</w:t>
      </w:r>
      <w:r w:rsidRPr="007B2FD8">
        <w:t xml:space="preserve"> to achieve equal result</w:t>
      </w:r>
      <w:r w:rsidR="007B2FD8">
        <w:t>s</w:t>
      </w:r>
      <w:r w:rsidR="00F255EE" w:rsidRPr="007B2FD8">
        <w:t>,</w:t>
      </w:r>
      <w:r w:rsidRPr="007B2FD8">
        <w:t xml:space="preserve"> and this is possible </w:t>
      </w:r>
      <w:r w:rsidR="00A627EA" w:rsidRPr="007B2FD8">
        <w:t>only</w:t>
      </w:r>
      <w:r w:rsidR="00A627EA" w:rsidRPr="007B2FD8">
        <w:t xml:space="preserve"> </w:t>
      </w:r>
      <w:r w:rsidRPr="007B2FD8">
        <w:t xml:space="preserve">when the </w:t>
      </w:r>
      <w:r w:rsidR="00F255EE" w:rsidRPr="007B2FD8">
        <w:t xml:space="preserve">competing </w:t>
      </w:r>
      <w:r w:rsidRPr="007B2FD8">
        <w:t>populations</w:t>
      </w:r>
      <w:r w:rsidR="007B2FD8">
        <w:t xml:space="preserve"> </w:t>
      </w:r>
      <w:r w:rsidRPr="007B2FD8">
        <w:t>do so from a starting point that is more or less equal. Affirmative action has become one of the most effective tools in the active war against the phenomenon of discrimination</w:t>
      </w:r>
      <w:r w:rsidR="00F255EE" w:rsidRPr="007B2FD8">
        <w:t>,</w:t>
      </w:r>
      <w:r w:rsidRPr="007B2FD8">
        <w:t xml:space="preserve"> and it has been </w:t>
      </w:r>
      <w:r w:rsidR="00B400E2">
        <w:t xml:space="preserve">articulated </w:t>
      </w:r>
      <w:r w:rsidRPr="007B2FD8">
        <w:t>in one way or another that special and temporary measures to accelerate actual equality will not be considered discriminat</w:t>
      </w:r>
      <w:r w:rsidR="007B2FD8">
        <w:t>ory</w:t>
      </w:r>
      <w:r w:rsidRPr="007B2FD8">
        <w:t>.</w:t>
      </w:r>
    </w:p>
    <w:p w14:paraId="38B6814F" w14:textId="65330D34" w:rsidR="004E586C" w:rsidRPr="003215C5" w:rsidRDefault="004E586C" w:rsidP="00286484">
      <w:pPr>
        <w:spacing w:line="360" w:lineRule="auto"/>
        <w:ind w:firstLine="720"/>
        <w:jc w:val="both"/>
      </w:pPr>
      <w:r w:rsidRPr="003215C5">
        <w:t xml:space="preserve">The American </w:t>
      </w:r>
      <w:r w:rsidR="00B400E2">
        <w:t xml:space="preserve">civil service </w:t>
      </w:r>
      <w:r w:rsidRPr="003215C5">
        <w:t xml:space="preserve">model is considered </w:t>
      </w:r>
      <w:r w:rsidR="00F255EE">
        <w:t xml:space="preserve">extreme compared with </w:t>
      </w:r>
      <w:r w:rsidRPr="003215C5">
        <w:t xml:space="preserve">the British </w:t>
      </w:r>
      <w:r w:rsidR="007810EF" w:rsidRPr="003215C5">
        <w:t>merit</w:t>
      </w:r>
      <w:r w:rsidRPr="003215C5">
        <w:t>ocratic model, as it is characteri</w:t>
      </w:r>
      <w:r w:rsidR="00F255EE">
        <w:t>s</w:t>
      </w:r>
      <w:r w:rsidRPr="003215C5">
        <w:t xml:space="preserve">ed by appointments based on trust and </w:t>
      </w:r>
      <w:r w:rsidR="00F255EE">
        <w:t xml:space="preserve">partisan </w:t>
      </w:r>
      <w:r w:rsidRPr="003215C5">
        <w:t xml:space="preserve">preference, and </w:t>
      </w:r>
      <w:r w:rsidR="00F255EE">
        <w:t xml:space="preserve">could </w:t>
      </w:r>
      <w:r w:rsidRPr="003215C5">
        <w:t xml:space="preserve">be referred to as the </w:t>
      </w:r>
      <w:r w:rsidR="008578D4" w:rsidRPr="003215C5">
        <w:t>“</w:t>
      </w:r>
      <w:r w:rsidR="008D411F">
        <w:t>s</w:t>
      </w:r>
      <w:r w:rsidR="007B2FD8" w:rsidRPr="003215C5">
        <w:t>poil</w:t>
      </w:r>
      <w:r w:rsidR="007B2FD8">
        <w:t>s</w:t>
      </w:r>
      <w:r w:rsidR="007B2FD8" w:rsidRPr="003215C5">
        <w:t xml:space="preserve"> </w:t>
      </w:r>
      <w:r w:rsidR="008D411F">
        <w:t>s</w:t>
      </w:r>
      <w:r w:rsidR="007B2FD8" w:rsidRPr="003215C5">
        <w:t>ystem</w:t>
      </w:r>
      <w:r w:rsidR="008578D4" w:rsidRPr="003215C5">
        <w:t>”</w:t>
      </w:r>
      <w:r w:rsidRPr="003215C5">
        <w:t xml:space="preserve"> model. The model is characteri</w:t>
      </w:r>
      <w:r w:rsidR="00F255EE">
        <w:t>s</w:t>
      </w:r>
      <w:r w:rsidRPr="003215C5">
        <w:t>ed by new appointments on a political basis every four years</w:t>
      </w:r>
      <w:r w:rsidR="00F255EE">
        <w:t>,</w:t>
      </w:r>
      <w:r w:rsidRPr="003215C5">
        <w:t xml:space="preserve"> and the test for employment in government </w:t>
      </w:r>
      <w:r w:rsidR="00B400E2">
        <w:t xml:space="preserve">is </w:t>
      </w:r>
      <w:r w:rsidRPr="003215C5">
        <w:t xml:space="preserve">loyalty to the </w:t>
      </w:r>
      <w:r w:rsidR="00A627EA">
        <w:t>C</w:t>
      </w:r>
      <w:r w:rsidRPr="003215C5">
        <w:t>onstitution, family background, education, respect</w:t>
      </w:r>
      <w:r w:rsidR="0012231E">
        <w:t>,</w:t>
      </w:r>
      <w:r w:rsidRPr="003215C5">
        <w:t xml:space="preserve"> and reputation (</w:t>
      </w:r>
      <w:r w:rsidR="008578D4" w:rsidRPr="003215C5">
        <w:t>“</w:t>
      </w:r>
      <w:r w:rsidR="00B400E2">
        <w:t>f</w:t>
      </w:r>
      <w:r w:rsidRPr="003215C5">
        <w:t xml:space="preserve">itness of </w:t>
      </w:r>
      <w:r w:rsidR="00B400E2">
        <w:t>c</w:t>
      </w:r>
      <w:r w:rsidRPr="003215C5">
        <w:t>haracter</w:t>
      </w:r>
      <w:r w:rsidR="008578D4" w:rsidRPr="003215C5">
        <w:t>”</w:t>
      </w:r>
      <w:r w:rsidRPr="003215C5">
        <w:t>).</w:t>
      </w:r>
      <w:r w:rsidR="007F4E8D" w:rsidRPr="003215C5">
        <w:rPr>
          <w:rStyle w:val="FootnoteReference"/>
        </w:rPr>
        <w:footnoteReference w:id="148"/>
      </w:r>
      <w:r w:rsidRPr="003215C5">
        <w:t xml:space="preserve"> But even the Americans </w:t>
      </w:r>
      <w:r w:rsidR="007B2FD8">
        <w:t xml:space="preserve">reached the point of </w:t>
      </w:r>
      <w:r w:rsidRPr="003215C5">
        <w:t>sa</w:t>
      </w:r>
      <w:r w:rsidR="007B2FD8">
        <w:t>ying</w:t>
      </w:r>
      <w:r w:rsidRPr="003215C5">
        <w:t xml:space="preserve"> </w:t>
      </w:r>
      <w:r w:rsidR="008578D4" w:rsidRPr="003215C5">
        <w:t>“</w:t>
      </w:r>
      <w:r w:rsidRPr="003215C5">
        <w:t>enough</w:t>
      </w:r>
      <w:r w:rsidR="0012231E">
        <w:t xml:space="preserve"> is enough</w:t>
      </w:r>
      <w:r w:rsidR="008578D4" w:rsidRPr="003215C5">
        <w:t>”</w:t>
      </w:r>
      <w:r w:rsidRPr="003215C5">
        <w:t xml:space="preserve"> to political appointment</w:t>
      </w:r>
      <w:r w:rsidR="0012231E">
        <w:t>s,</w:t>
      </w:r>
      <w:r w:rsidRPr="003215C5">
        <w:t xml:space="preserve"> and refined </w:t>
      </w:r>
      <w:r w:rsidR="007B2FD8">
        <w:t xml:space="preserve">them </w:t>
      </w:r>
      <w:r w:rsidRPr="003215C5">
        <w:t>by partially institutionali</w:t>
      </w:r>
      <w:r w:rsidR="0012231E">
        <w:t>s</w:t>
      </w:r>
      <w:r w:rsidRPr="003215C5">
        <w:t xml:space="preserve">ing </w:t>
      </w:r>
      <w:r w:rsidR="007810EF" w:rsidRPr="003215C5">
        <w:t>merit</w:t>
      </w:r>
      <w:r w:rsidRPr="003215C5">
        <w:t xml:space="preserve">ocratic </w:t>
      </w:r>
      <w:r w:rsidR="0012231E">
        <w:t>admission</w:t>
      </w:r>
      <w:r w:rsidR="007F4E8D" w:rsidRPr="003215C5">
        <w:rPr>
          <w:rStyle w:val="FootnoteReference"/>
        </w:rPr>
        <w:footnoteReference w:id="149"/>
      </w:r>
      <w:r w:rsidRPr="003215C5">
        <w:t xml:space="preserve"> in a way that encouraged </w:t>
      </w:r>
      <w:r w:rsidR="00B400E2">
        <w:t xml:space="preserve">applying </w:t>
      </w:r>
      <w:r w:rsidRPr="003215C5">
        <w:t>objective metrics</w:t>
      </w:r>
      <w:r w:rsidR="007B2FD8">
        <w:t xml:space="preserve"> </w:t>
      </w:r>
      <w:r w:rsidRPr="003215C5">
        <w:t xml:space="preserve">without imposing a duty, as part of </w:t>
      </w:r>
      <w:r w:rsidR="00B400E2">
        <w:t>advancing</w:t>
      </w:r>
      <w:r w:rsidRPr="003215C5">
        <w:t xml:space="preserve"> the effort to reduce the phenomenon of political appointments. However, unlike </w:t>
      </w:r>
      <w:r w:rsidR="00A627EA">
        <w:t>under the purely</w:t>
      </w:r>
      <w:r w:rsidRPr="003215C5">
        <w:t xml:space="preserve"> </w:t>
      </w:r>
      <w:r w:rsidR="007810EF" w:rsidRPr="003215C5">
        <w:t>merit</w:t>
      </w:r>
      <w:r w:rsidRPr="003215C5">
        <w:t xml:space="preserve">ocratic model, </w:t>
      </w:r>
      <w:r w:rsidR="007F4E8D" w:rsidRPr="003215C5">
        <w:t>case law</w:t>
      </w:r>
      <w:r w:rsidRPr="003215C5">
        <w:t xml:space="preserve"> in the United States</w:t>
      </w:r>
      <w:r w:rsidR="007F4E8D" w:rsidRPr="003215C5">
        <w:rPr>
          <w:rStyle w:val="FootnoteReference"/>
        </w:rPr>
        <w:footnoteReference w:id="150"/>
      </w:r>
      <w:r w:rsidRPr="003215C5">
        <w:t xml:space="preserve"> preserve</w:t>
      </w:r>
      <w:r w:rsidR="007F4E8D" w:rsidRPr="003215C5">
        <w:t>s</w:t>
      </w:r>
      <w:r w:rsidRPr="003215C5">
        <w:t xml:space="preserve"> the right of the U</w:t>
      </w:r>
      <w:r w:rsidR="00D31773">
        <w:t>.</w:t>
      </w:r>
      <w:r w:rsidRPr="003215C5">
        <w:t>S</w:t>
      </w:r>
      <w:r w:rsidR="00D31773">
        <w:t>.</w:t>
      </w:r>
      <w:r w:rsidRPr="003215C5">
        <w:t xml:space="preserve"> </w:t>
      </w:r>
      <w:r w:rsidRPr="003215C5">
        <w:lastRenderedPageBreak/>
        <w:t>administration to advance its policies</w:t>
      </w:r>
      <w:r w:rsidR="0012231E">
        <w:t xml:space="preserve"> </w:t>
      </w:r>
      <w:r w:rsidRPr="003215C5">
        <w:t xml:space="preserve">through appointments based on party affiliation. Although judicial review has succeeded in reducing the scope of political appointments, it certainly </w:t>
      </w:r>
      <w:r w:rsidR="00D31773" w:rsidRPr="003215C5">
        <w:t xml:space="preserve">has </w:t>
      </w:r>
      <w:r w:rsidRPr="003215C5">
        <w:t xml:space="preserve">not </w:t>
      </w:r>
      <w:r w:rsidR="0012231E">
        <w:t xml:space="preserve">eradicated </w:t>
      </w:r>
      <w:r w:rsidRPr="003215C5">
        <w:t>th</w:t>
      </w:r>
      <w:r w:rsidR="007B2FD8">
        <w:t>e</w:t>
      </w:r>
      <w:r w:rsidRPr="003215C5">
        <w:t xml:space="preserve"> </w:t>
      </w:r>
      <w:r w:rsidR="007B2FD8">
        <w:t>phenomenon</w:t>
      </w:r>
      <w:r w:rsidRPr="003215C5">
        <w:t xml:space="preserve">. That is, despite the understanding that it is appropriate to adopt the tenets of the </w:t>
      </w:r>
      <w:r w:rsidR="007810EF" w:rsidRPr="003215C5">
        <w:t>merit</w:t>
      </w:r>
      <w:r w:rsidRPr="003215C5">
        <w:t xml:space="preserve">ocratic model </w:t>
      </w:r>
      <w:r w:rsidR="0012231E">
        <w:t xml:space="preserve">which is </w:t>
      </w:r>
      <w:r w:rsidRPr="003215C5">
        <w:t>free from political considerations</w:t>
      </w:r>
      <w:r w:rsidR="007B2FD8">
        <w:t xml:space="preserve"> in order </w:t>
      </w:r>
      <w:r w:rsidRPr="003215C5">
        <w:t>to prevent over-politici</w:t>
      </w:r>
      <w:r w:rsidR="0012231E">
        <w:t>s</w:t>
      </w:r>
      <w:r w:rsidRPr="003215C5">
        <w:t xml:space="preserve">ation, the opinion of the legislature and the American </w:t>
      </w:r>
      <w:r w:rsidR="00D31773">
        <w:t>c</w:t>
      </w:r>
      <w:r w:rsidRPr="003215C5">
        <w:t>ourt</w:t>
      </w:r>
      <w:r w:rsidR="007B2FD8">
        <w:t>s</w:t>
      </w:r>
      <w:r w:rsidRPr="003215C5">
        <w:t xml:space="preserve"> </w:t>
      </w:r>
      <w:r w:rsidR="007B2FD8">
        <w:t>ha</w:t>
      </w:r>
      <w:r w:rsidRPr="003215C5">
        <w:t xml:space="preserve">s </w:t>
      </w:r>
      <w:r w:rsidR="007B2FD8">
        <w:t xml:space="preserve">been </w:t>
      </w:r>
      <w:r w:rsidRPr="003215C5">
        <w:t xml:space="preserve">that there is still </w:t>
      </w:r>
      <w:r w:rsidR="00A627EA">
        <w:t xml:space="preserve">reason to permit </w:t>
      </w:r>
      <w:r w:rsidRPr="003215C5">
        <w:t>party-based appointment</w:t>
      </w:r>
      <w:r w:rsidR="0012231E">
        <w:t>s,</w:t>
      </w:r>
      <w:r w:rsidRPr="003215C5">
        <w:t xml:space="preserve"> and that examination </w:t>
      </w:r>
      <w:r w:rsidR="0012231E">
        <w:t xml:space="preserve">on the basis of attributes </w:t>
      </w:r>
      <w:r w:rsidRPr="003215C5">
        <w:t xml:space="preserve">and skill is </w:t>
      </w:r>
      <w:r w:rsidR="007B2FD8">
        <w:t xml:space="preserve">only </w:t>
      </w:r>
      <w:r w:rsidRPr="003215C5">
        <w:t>a recommendation.</w:t>
      </w:r>
      <w:r w:rsidR="007F4E8D" w:rsidRPr="003215C5">
        <w:rPr>
          <w:rStyle w:val="FootnoteReference"/>
        </w:rPr>
        <w:footnoteReference w:id="151"/>
      </w:r>
    </w:p>
    <w:p w14:paraId="1D0483DF" w14:textId="412F7349" w:rsidR="004E586C" w:rsidRPr="003215C5" w:rsidRDefault="004E586C" w:rsidP="00286484">
      <w:pPr>
        <w:spacing w:line="360" w:lineRule="auto"/>
        <w:ind w:firstLine="720"/>
        <w:jc w:val="both"/>
      </w:pPr>
      <w:r w:rsidRPr="003215C5">
        <w:t xml:space="preserve">The American model combines </w:t>
      </w:r>
      <w:r w:rsidR="007B2FD8" w:rsidRPr="003215C5">
        <w:t xml:space="preserve">meritocracy </w:t>
      </w:r>
      <w:r w:rsidRPr="003215C5">
        <w:t xml:space="preserve">values </w:t>
      </w:r>
      <w:r w:rsidR="007B2FD8">
        <w:t xml:space="preserve">with </w:t>
      </w:r>
      <w:r w:rsidRPr="003215C5">
        <w:t>appointment</w:t>
      </w:r>
      <w:r w:rsidR="00A627EA">
        <w:t>s</w:t>
      </w:r>
      <w:r w:rsidRPr="003215C5">
        <w:t xml:space="preserve"> </w:t>
      </w:r>
      <w:r w:rsidR="0012231E">
        <w:t xml:space="preserve">pursuant to </w:t>
      </w:r>
      <w:r w:rsidRPr="003215C5">
        <w:t>political considerations</w:t>
      </w:r>
      <w:r w:rsidR="0012231E">
        <w:t>,</w:t>
      </w:r>
      <w:r w:rsidRPr="003215C5">
        <w:t xml:space="preserve"> and </w:t>
      </w:r>
      <w:r w:rsidR="00A627EA">
        <w:t>therefore follows</w:t>
      </w:r>
      <w:r w:rsidR="00D31773">
        <w:rPr>
          <w:rStyle w:val="CommentReference"/>
        </w:rPr>
        <w:commentReference w:id="7"/>
      </w:r>
      <w:r w:rsidRPr="003215C5">
        <w:t xml:space="preserve"> the classical British model. At the federal level, the United States Constitution establishes the first principle of the American </w:t>
      </w:r>
      <w:r w:rsidR="0012231E">
        <w:t xml:space="preserve">spoils </w:t>
      </w:r>
      <w:r w:rsidRPr="003215C5">
        <w:t>distribution model</w:t>
      </w:r>
      <w:r w:rsidR="0012231E">
        <w:t>,</w:t>
      </w:r>
      <w:r w:rsidRPr="003215C5">
        <w:t xml:space="preserve"> and public figures </w:t>
      </w:r>
      <w:r w:rsidR="0012231E">
        <w:t xml:space="preserve">are to </w:t>
      </w:r>
      <w:r w:rsidRPr="003215C5">
        <w:t xml:space="preserve">be appointed with the </w:t>
      </w:r>
      <w:r w:rsidR="0012231E">
        <w:t>“</w:t>
      </w:r>
      <w:r w:rsidRPr="003215C5">
        <w:t>Advice and Consent</w:t>
      </w:r>
      <w:r w:rsidR="0012231E">
        <w:t>”</w:t>
      </w:r>
      <w:r w:rsidRPr="003215C5">
        <w:t xml:space="preserve"> of the Senate</w:t>
      </w:r>
      <w:r w:rsidR="00D31773">
        <w:t>.</w:t>
      </w:r>
      <w:r w:rsidR="007F4E8D" w:rsidRPr="003215C5">
        <w:rPr>
          <w:rStyle w:val="FootnoteReference"/>
        </w:rPr>
        <w:footnoteReference w:id="152"/>
      </w:r>
      <w:r w:rsidRPr="003215C5">
        <w:t xml:space="preserve"> Therefore, the American model is characteri</w:t>
      </w:r>
      <w:r w:rsidR="0012231E">
        <w:t>s</w:t>
      </w:r>
      <w:r w:rsidRPr="003215C5">
        <w:t>ed by new appointments on a political basis every four years</w:t>
      </w:r>
      <w:r w:rsidR="0012231E">
        <w:t>,</w:t>
      </w:r>
      <w:r w:rsidRPr="003215C5">
        <w:t xml:space="preserve"> and </w:t>
      </w:r>
      <w:r w:rsidR="0012231E">
        <w:t xml:space="preserve">the </w:t>
      </w:r>
      <w:r w:rsidRPr="003215C5">
        <w:t xml:space="preserve">test for employment in government </w:t>
      </w:r>
      <w:r w:rsidR="0012231E">
        <w:t>ha</w:t>
      </w:r>
      <w:r w:rsidRPr="003215C5">
        <w:t xml:space="preserve">s </w:t>
      </w:r>
      <w:r w:rsidR="0012231E">
        <w:t xml:space="preserve">been </w:t>
      </w:r>
      <w:r w:rsidR="003845DA">
        <w:t xml:space="preserve">set </w:t>
      </w:r>
      <w:r w:rsidR="0012231E">
        <w:t xml:space="preserve">as </w:t>
      </w:r>
      <w:r w:rsidRPr="003215C5">
        <w:t xml:space="preserve">loyalty to the </w:t>
      </w:r>
      <w:r w:rsidR="00D31773">
        <w:t>C</w:t>
      </w:r>
      <w:r w:rsidRPr="003215C5">
        <w:t xml:space="preserve">onstitution, family background, education, </w:t>
      </w:r>
      <w:r w:rsidR="003845DA">
        <w:t>honour,</w:t>
      </w:r>
      <w:r w:rsidRPr="003215C5">
        <w:t xml:space="preserve"> and reputation (</w:t>
      </w:r>
      <w:r w:rsidR="008578D4" w:rsidRPr="003215C5">
        <w:t>“</w:t>
      </w:r>
      <w:r w:rsidR="00A627EA">
        <w:t>f</w:t>
      </w:r>
      <w:r w:rsidRPr="003215C5">
        <w:t xml:space="preserve">itness of </w:t>
      </w:r>
      <w:r w:rsidR="00A627EA">
        <w:t>c</w:t>
      </w:r>
      <w:r w:rsidRPr="003215C5">
        <w:t>haracter</w:t>
      </w:r>
      <w:r w:rsidR="008578D4" w:rsidRPr="003215C5">
        <w:t>”</w:t>
      </w:r>
      <w:r w:rsidRPr="003215C5">
        <w:t>).</w:t>
      </w:r>
      <w:r w:rsidR="007F4E8D" w:rsidRPr="003215C5">
        <w:rPr>
          <w:rStyle w:val="FootnoteReference"/>
        </w:rPr>
        <w:footnoteReference w:id="153"/>
      </w:r>
      <w:r w:rsidRPr="003215C5">
        <w:t xml:space="preserve"> As a result of an increase in the number of political appointments, the administration has been asked to institutionali</w:t>
      </w:r>
      <w:r w:rsidR="0012231E">
        <w:t>s</w:t>
      </w:r>
      <w:r w:rsidRPr="003215C5">
        <w:t xml:space="preserve">e examinations </w:t>
      </w:r>
      <w:r w:rsidR="00D31773">
        <w:t>for</w:t>
      </w:r>
      <w:r w:rsidR="0012231E">
        <w:t xml:space="preserve"> </w:t>
      </w:r>
      <w:r w:rsidR="00D31773">
        <w:t>attributes</w:t>
      </w:r>
      <w:r w:rsidR="0012231E">
        <w:t xml:space="preserve"> </w:t>
      </w:r>
      <w:r w:rsidRPr="003215C5">
        <w:t>and qualifications</w:t>
      </w:r>
      <w:r w:rsidR="0012231E">
        <w:t>,</w:t>
      </w:r>
      <w:r w:rsidRPr="003215C5">
        <w:t xml:space="preserve"> according to the model developed in the U</w:t>
      </w:r>
      <w:r w:rsidR="00D31773">
        <w:t>nited Kingdom</w:t>
      </w:r>
      <w:r w:rsidRPr="003215C5">
        <w:t xml:space="preserve">. The first change that moderated the American </w:t>
      </w:r>
      <w:r w:rsidR="0012231E">
        <w:t xml:space="preserve">spoils </w:t>
      </w:r>
      <w:r w:rsidRPr="003215C5">
        <w:t>distribution model slightly</w:t>
      </w:r>
      <w:r w:rsidR="003845DA">
        <w:t xml:space="preserve"> </w:t>
      </w:r>
      <w:r w:rsidRPr="003215C5">
        <w:t>followed the Pendleton Act of 1883</w:t>
      </w:r>
      <w:r w:rsidR="003845DA">
        <w:t>,</w:t>
      </w:r>
      <w:r w:rsidR="007F4E8D" w:rsidRPr="003215C5">
        <w:rPr>
          <w:rStyle w:val="FootnoteReference"/>
        </w:rPr>
        <w:footnoteReference w:id="154"/>
      </w:r>
      <w:r w:rsidRPr="003215C5">
        <w:t xml:space="preserve"> which encouraged the establishment of rules on staffing</w:t>
      </w:r>
      <w:r w:rsidR="003845DA">
        <w:t xml:space="preserve"> </w:t>
      </w:r>
      <w:r w:rsidRPr="003215C5">
        <w:t>while maintaining the principle of specificity and objective metrics that characteri</w:t>
      </w:r>
      <w:r w:rsidR="0012231E">
        <w:t>s</w:t>
      </w:r>
      <w:r w:rsidRPr="003215C5">
        <w:t>e the British model, without imposing a</w:t>
      </w:r>
      <w:r w:rsidR="0012231E">
        <w:t xml:space="preserve"> duty </w:t>
      </w:r>
      <w:r w:rsidRPr="003215C5">
        <w:t xml:space="preserve">to </w:t>
      </w:r>
      <w:r w:rsidR="0012231E">
        <w:t xml:space="preserve">test </w:t>
      </w:r>
      <w:r w:rsidR="00D31773">
        <w:t xml:space="preserve">for </w:t>
      </w:r>
      <w:r w:rsidR="00A556D8">
        <w:t>attributes and skills, and called for the abolition of political appointments</w:t>
      </w:r>
      <w:r w:rsidRPr="003215C5">
        <w:t xml:space="preserve">. It was </w:t>
      </w:r>
      <w:r w:rsidR="003845DA">
        <w:t xml:space="preserve">later </w:t>
      </w:r>
      <w:r w:rsidRPr="003215C5">
        <w:t>decided</w:t>
      </w:r>
      <w:r w:rsidR="00A556D8">
        <w:t>,</w:t>
      </w:r>
      <w:r w:rsidRPr="003215C5">
        <w:t xml:space="preserve"> </w:t>
      </w:r>
      <w:r w:rsidR="00A556D8">
        <w:t xml:space="preserve">in the setting of </w:t>
      </w:r>
      <w:r w:rsidRPr="003215C5">
        <w:t>the Civil Service Reform Act 1978</w:t>
      </w:r>
      <w:r w:rsidR="007F4E8D" w:rsidRPr="003215C5">
        <w:rPr>
          <w:rStyle w:val="FootnoteReference"/>
        </w:rPr>
        <w:footnoteReference w:id="155"/>
      </w:r>
      <w:r w:rsidRPr="003215C5">
        <w:t xml:space="preserve"> </w:t>
      </w:r>
      <w:r w:rsidR="00A556D8">
        <w:t xml:space="preserve">that </w:t>
      </w:r>
      <w:r w:rsidR="00A556D8" w:rsidRPr="003215C5">
        <w:t xml:space="preserve">two bodies </w:t>
      </w:r>
      <w:r w:rsidR="00A556D8">
        <w:t xml:space="preserve">be </w:t>
      </w:r>
      <w:r w:rsidRPr="003215C5">
        <w:t>establish</w:t>
      </w:r>
      <w:r w:rsidR="00A556D8">
        <w:t>ed,</w:t>
      </w:r>
      <w:r w:rsidRPr="003215C5">
        <w:t xml:space="preserve"> whose role </w:t>
      </w:r>
      <w:r w:rsidR="00A556D8">
        <w:t xml:space="preserve">would be </w:t>
      </w:r>
      <w:r w:rsidRPr="003215C5">
        <w:t>to enforce provisions of law regarding the exposure of corruption</w:t>
      </w:r>
      <w:r w:rsidR="00A556D8">
        <w:t>,</w:t>
      </w:r>
      <w:r w:rsidRPr="003215C5">
        <w:t xml:space="preserve"> and oversee the prohibition of political activity</w:t>
      </w:r>
      <w:r w:rsidR="008D411F">
        <w:t>. T</w:t>
      </w:r>
      <w:r w:rsidR="003845DA">
        <w:t xml:space="preserve">he </w:t>
      </w:r>
      <w:r w:rsidRPr="003215C5">
        <w:t>MSPB (</w:t>
      </w:r>
      <w:r w:rsidR="007810EF" w:rsidRPr="003215C5">
        <w:t>Merit</w:t>
      </w:r>
      <w:r w:rsidRPr="003215C5">
        <w:t xml:space="preserve"> System Protection Board) serves as a system of appeals on tender proce</w:t>
      </w:r>
      <w:r w:rsidR="00A556D8">
        <w:t xml:space="preserve">edings, </w:t>
      </w:r>
      <w:r w:rsidRPr="003215C5">
        <w:t xml:space="preserve">and </w:t>
      </w:r>
      <w:r w:rsidR="00A556D8">
        <w:t xml:space="preserve">is </w:t>
      </w:r>
      <w:r w:rsidRPr="003215C5">
        <w:t>based on the Civil Service Reform Act 1978,</w:t>
      </w:r>
      <w:r w:rsidR="007F4E8D" w:rsidRPr="003215C5">
        <w:rPr>
          <w:rStyle w:val="FootnoteReference"/>
        </w:rPr>
        <w:footnoteReference w:id="156"/>
      </w:r>
      <w:r w:rsidRPr="003215C5">
        <w:t xml:space="preserve"> </w:t>
      </w:r>
      <w:r w:rsidR="007F4E8D" w:rsidRPr="003215C5">
        <w:t>a</w:t>
      </w:r>
      <w:r w:rsidRPr="003215C5">
        <w:t>nd the OPM (Office of Person</w:t>
      </w:r>
      <w:r w:rsidR="003845DA">
        <w:t>ne</w:t>
      </w:r>
      <w:r w:rsidRPr="003215C5">
        <w:t>l Management)</w:t>
      </w:r>
      <w:r w:rsidR="008D411F">
        <w:t xml:space="preserve"> is</w:t>
      </w:r>
      <w:r w:rsidRPr="003215C5">
        <w:t xml:space="preserve"> responsible for ensuring that the values ​​of the </w:t>
      </w:r>
      <w:r w:rsidR="007810EF" w:rsidRPr="003215C5">
        <w:t>merit</w:t>
      </w:r>
      <w:r w:rsidRPr="003215C5">
        <w:t xml:space="preserve">ocratic model are reflected in the procedures and practices </w:t>
      </w:r>
      <w:r w:rsidR="003845DA">
        <w:t xml:space="preserve">employed by </w:t>
      </w:r>
      <w:r w:rsidRPr="003215C5">
        <w:t xml:space="preserve">human </w:t>
      </w:r>
      <w:r w:rsidRPr="003215C5">
        <w:lastRenderedPageBreak/>
        <w:t>resources departments.</w:t>
      </w:r>
      <w:r w:rsidR="007F4E8D" w:rsidRPr="003215C5">
        <w:rPr>
          <w:rStyle w:val="FootnoteReference"/>
        </w:rPr>
        <w:footnoteReference w:id="157"/>
      </w:r>
      <w:r w:rsidRPr="003215C5">
        <w:t xml:space="preserve"> The law does not define who the minority groups are, and requires the OPM to define them.</w:t>
      </w:r>
      <w:r w:rsidR="007F4E8D" w:rsidRPr="003215C5">
        <w:rPr>
          <w:rStyle w:val="FootnoteReference"/>
        </w:rPr>
        <w:footnoteReference w:id="158"/>
      </w:r>
    </w:p>
    <w:p w14:paraId="5143D2A2" w14:textId="4F57A222" w:rsidR="004E586C" w:rsidRPr="003215C5" w:rsidRDefault="004E586C" w:rsidP="00286484">
      <w:pPr>
        <w:spacing w:line="360" w:lineRule="auto"/>
        <w:ind w:firstLine="720"/>
        <w:jc w:val="both"/>
      </w:pPr>
      <w:r w:rsidRPr="003215C5">
        <w:t xml:space="preserve">The American </w:t>
      </w:r>
      <w:r w:rsidR="008D411F">
        <w:t>c</w:t>
      </w:r>
      <w:r w:rsidRPr="003215C5">
        <w:t>ourt</w:t>
      </w:r>
      <w:r w:rsidR="003845DA">
        <w:t>s</w:t>
      </w:r>
      <w:r w:rsidRPr="003215C5">
        <w:t xml:space="preserve"> ha</w:t>
      </w:r>
      <w:r w:rsidR="003845DA">
        <w:t>ve</w:t>
      </w:r>
      <w:r w:rsidRPr="003215C5">
        <w:t xml:space="preserve"> also joined the effort to reduce the phenomenon of political appointments, but </w:t>
      </w:r>
      <w:r w:rsidR="008D411F">
        <w:t>have not fully advanced</w:t>
      </w:r>
      <w:r w:rsidRPr="003215C5">
        <w:t xml:space="preserve"> the </w:t>
      </w:r>
      <w:r w:rsidR="007810EF" w:rsidRPr="003215C5">
        <w:t>merit</w:t>
      </w:r>
      <w:r w:rsidRPr="003215C5">
        <w:t xml:space="preserve">ocratic model, </w:t>
      </w:r>
      <w:r w:rsidR="008D411F">
        <w:t xml:space="preserve">with court </w:t>
      </w:r>
      <w:r w:rsidR="007F4E8D" w:rsidRPr="003215C5">
        <w:t>judgements</w:t>
      </w:r>
      <w:r w:rsidR="007F4E8D" w:rsidRPr="003215C5">
        <w:rPr>
          <w:rStyle w:val="FootnoteReference"/>
        </w:rPr>
        <w:footnoteReference w:id="159"/>
      </w:r>
      <w:r w:rsidRPr="003215C5">
        <w:t xml:space="preserve"> preserv</w:t>
      </w:r>
      <w:r w:rsidR="008D411F">
        <w:t>ing</w:t>
      </w:r>
      <w:r w:rsidRPr="003215C5">
        <w:t xml:space="preserve"> the right of the American administration to advance its policy</w:t>
      </w:r>
      <w:r w:rsidR="00A627EA">
        <w:t xml:space="preserve"> </w:t>
      </w:r>
      <w:r w:rsidRPr="003215C5">
        <w:t>through</w:t>
      </w:r>
      <w:r w:rsidR="00A627EA">
        <w:t xml:space="preserve">, </w:t>
      </w:r>
      <w:r w:rsidR="00A627EA" w:rsidRPr="000D37DC">
        <w:t>inter alia</w:t>
      </w:r>
      <w:r w:rsidR="00A627EA">
        <w:t xml:space="preserve">, </w:t>
      </w:r>
      <w:r w:rsidRPr="003215C5">
        <w:t xml:space="preserve">appointments based on party affiliation. Although </w:t>
      </w:r>
      <w:r w:rsidR="00A556D8">
        <w:t xml:space="preserve">judgements </w:t>
      </w:r>
      <w:r w:rsidR="008D411F">
        <w:t xml:space="preserve">have </w:t>
      </w:r>
      <w:r w:rsidRPr="003215C5">
        <w:t xml:space="preserve">quantitatively limited the number of political appointments, </w:t>
      </w:r>
      <w:r w:rsidR="003845DA">
        <w:t xml:space="preserve">they </w:t>
      </w:r>
      <w:r w:rsidRPr="003215C5">
        <w:t xml:space="preserve">certainly </w:t>
      </w:r>
      <w:r w:rsidR="008D411F">
        <w:t>have</w:t>
      </w:r>
      <w:r w:rsidRPr="003215C5">
        <w:t xml:space="preserve"> not eliminate</w:t>
      </w:r>
      <w:r w:rsidR="008D411F">
        <w:t>d</w:t>
      </w:r>
      <w:r w:rsidRPr="003215C5">
        <w:t xml:space="preserve"> the practice. That is, despite the understanding that it is appropriate to adopt the tenets of the </w:t>
      </w:r>
      <w:r w:rsidR="007810EF" w:rsidRPr="003215C5">
        <w:t>merit</w:t>
      </w:r>
      <w:r w:rsidRPr="003215C5">
        <w:t>ocratic model</w:t>
      </w:r>
      <w:r w:rsidR="00A556D8">
        <w:t>,</w:t>
      </w:r>
      <w:r w:rsidRPr="003215C5">
        <w:t xml:space="preserve"> </w:t>
      </w:r>
      <w:r w:rsidR="00A556D8">
        <w:t xml:space="preserve">which is </w:t>
      </w:r>
      <w:r w:rsidRPr="003215C5">
        <w:t>free from political considerations</w:t>
      </w:r>
      <w:r w:rsidR="008D411F">
        <w:t xml:space="preserve"> and prevents</w:t>
      </w:r>
      <w:r w:rsidRPr="003215C5">
        <w:t xml:space="preserve"> over-politici</w:t>
      </w:r>
      <w:r w:rsidR="00A556D8">
        <w:t>s</w:t>
      </w:r>
      <w:r w:rsidRPr="003215C5">
        <w:t xml:space="preserve">ation, the opinion of the legislature and </w:t>
      </w:r>
      <w:r w:rsidR="003845DA">
        <w:t xml:space="preserve">of </w:t>
      </w:r>
      <w:r w:rsidRPr="003215C5">
        <w:t xml:space="preserve">the American </w:t>
      </w:r>
      <w:r w:rsidR="003845DA">
        <w:t>C</w:t>
      </w:r>
      <w:r w:rsidRPr="003215C5">
        <w:t>ourt</w:t>
      </w:r>
      <w:r w:rsidR="003845DA">
        <w:t>s</w:t>
      </w:r>
      <w:r w:rsidRPr="003215C5">
        <w:t xml:space="preserve"> is that there is still </w:t>
      </w:r>
      <w:r w:rsidR="00A556D8">
        <w:t xml:space="preserve">scope </w:t>
      </w:r>
      <w:r w:rsidRPr="003215C5">
        <w:t xml:space="preserve">to </w:t>
      </w:r>
      <w:r w:rsidR="00A556D8">
        <w:t xml:space="preserve">permitting </w:t>
      </w:r>
      <w:r w:rsidRPr="003215C5">
        <w:t>party-based appointment</w:t>
      </w:r>
      <w:r w:rsidR="00A556D8">
        <w:t>s,</w:t>
      </w:r>
      <w:r w:rsidRPr="003215C5">
        <w:t xml:space="preserve"> and that examination by virtue and skill is a recommendation only.</w:t>
      </w:r>
      <w:r w:rsidR="007F4E8D" w:rsidRPr="003215C5">
        <w:rPr>
          <w:rStyle w:val="FootnoteReference"/>
        </w:rPr>
        <w:footnoteReference w:id="160"/>
      </w:r>
    </w:p>
    <w:p w14:paraId="0B3D3C7D" w14:textId="77288A89" w:rsidR="004E586C" w:rsidRPr="003215C5" w:rsidRDefault="004E586C" w:rsidP="00286484">
      <w:pPr>
        <w:spacing w:line="360" w:lineRule="auto"/>
        <w:ind w:firstLine="720"/>
        <w:jc w:val="both"/>
      </w:pPr>
      <w:r w:rsidRPr="003215C5">
        <w:t>In the U.S. federal government, the senior administrative staff</w:t>
      </w:r>
      <w:r w:rsidR="00F85F35">
        <w:t>er</w:t>
      </w:r>
      <w:r w:rsidRPr="003215C5">
        <w:t xml:space="preserve"> is </w:t>
      </w:r>
      <w:r w:rsidR="00F85F35">
        <w:t xml:space="preserve">the </w:t>
      </w:r>
      <w:r w:rsidR="00F85F35" w:rsidRPr="003215C5">
        <w:t>president</w:t>
      </w:r>
      <w:r w:rsidR="00F85F35">
        <w:t>’s</w:t>
      </w:r>
      <w:r w:rsidR="00F85F35" w:rsidRPr="003215C5">
        <w:t xml:space="preserve"> </w:t>
      </w:r>
      <w:r w:rsidRPr="003215C5">
        <w:t>political partner</w:t>
      </w:r>
      <w:r w:rsidR="00A556D8">
        <w:t>,</w:t>
      </w:r>
      <w:r w:rsidRPr="003215C5">
        <w:t xml:space="preserve"> and therefore it is customary to </w:t>
      </w:r>
      <w:r w:rsidR="008D411F">
        <w:t>choose them</w:t>
      </w:r>
      <w:r w:rsidR="00F85F35">
        <w:t xml:space="preserve"> </w:t>
      </w:r>
      <w:r w:rsidRPr="003215C5">
        <w:t>by presidential appointment</w:t>
      </w:r>
      <w:r w:rsidR="008D411F">
        <w:t>.</w:t>
      </w:r>
      <w:r w:rsidRPr="003215C5">
        <w:t xml:space="preserve"> </w:t>
      </w:r>
      <w:r w:rsidR="00BB3817" w:rsidRPr="003215C5">
        <w:t>Thus,</w:t>
      </w:r>
      <w:r w:rsidRPr="003215C5">
        <w:t xml:space="preserve"> the president fills most of the posts </w:t>
      </w:r>
      <w:r w:rsidR="00A556D8">
        <w:t xml:space="preserve">with </w:t>
      </w:r>
      <w:r w:rsidRPr="003215C5">
        <w:t xml:space="preserve">his </w:t>
      </w:r>
      <w:r w:rsidR="00A556D8">
        <w:t xml:space="preserve">own </w:t>
      </w:r>
      <w:r w:rsidR="008D411F">
        <w:t>people, who</w:t>
      </w:r>
      <w:r w:rsidRPr="003215C5">
        <w:t xml:space="preserve"> leave at the end of </w:t>
      </w:r>
      <w:r w:rsidR="008D411F">
        <w:t>the president’s</w:t>
      </w:r>
      <w:r w:rsidRPr="003215C5">
        <w:t xml:space="preserve"> term.</w:t>
      </w:r>
      <w:r w:rsidR="007F4E8D" w:rsidRPr="003215C5">
        <w:rPr>
          <w:rStyle w:val="FootnoteReference"/>
        </w:rPr>
        <w:footnoteReference w:id="161"/>
      </w:r>
      <w:r w:rsidRPr="003215C5">
        <w:t xml:space="preserve"> This is a non-competitive appointment </w:t>
      </w:r>
      <w:r w:rsidR="00A556D8">
        <w:t xml:space="preserve">system, </w:t>
      </w:r>
      <w:r w:rsidRPr="003215C5">
        <w:t xml:space="preserve">but </w:t>
      </w:r>
      <w:r w:rsidR="008D411F">
        <w:t xml:space="preserve">is </w:t>
      </w:r>
      <w:r w:rsidRPr="003215C5">
        <w:t xml:space="preserve">also not necessarily made on a purely </w:t>
      </w:r>
      <w:r w:rsidR="00A556D8">
        <w:t xml:space="preserve">partisan </w:t>
      </w:r>
      <w:r w:rsidRPr="003215C5">
        <w:t>basis. It is generally accepted that the Senate oversees these appointments</w:t>
      </w:r>
      <w:r w:rsidR="00A556D8">
        <w:t>,</w:t>
      </w:r>
      <w:r w:rsidRPr="003215C5">
        <w:t xml:space="preserve"> as it is the body that approves non-competitive appointments</w:t>
      </w:r>
      <w:r w:rsidR="008D411F">
        <w:t>. It should also be noted that</w:t>
      </w:r>
      <w:r w:rsidR="00A556D8">
        <w:t xml:space="preserve"> </w:t>
      </w:r>
      <w:r w:rsidRPr="003215C5">
        <w:t xml:space="preserve">there are a significant number of </w:t>
      </w:r>
      <w:r w:rsidR="00A556D8">
        <w:t xml:space="preserve">positions </w:t>
      </w:r>
      <w:r w:rsidRPr="003215C5">
        <w:t>(approximately 4,000)</w:t>
      </w:r>
      <w:r w:rsidR="00A556D8">
        <w:t>,</w:t>
      </w:r>
      <w:r w:rsidRPr="003215C5">
        <w:t xml:space="preserve"> that the </w:t>
      </w:r>
      <w:r w:rsidR="00F85F35">
        <w:t>p</w:t>
      </w:r>
      <w:r w:rsidRPr="003215C5">
        <w:t xml:space="preserve">resident can </w:t>
      </w:r>
      <w:r w:rsidR="00A556D8">
        <w:t xml:space="preserve">fill </w:t>
      </w:r>
      <w:r w:rsidRPr="003215C5">
        <w:t>without competition and without the need for Senate approval.</w:t>
      </w:r>
      <w:r w:rsidR="007F4E8D" w:rsidRPr="003215C5">
        <w:rPr>
          <w:rStyle w:val="FootnoteReference"/>
        </w:rPr>
        <w:footnoteReference w:id="162"/>
      </w:r>
      <w:r w:rsidRPr="003215C5">
        <w:t xml:space="preserve"> Thus, alongside the clear exceptions outlined by the federal system for appointment on a </w:t>
      </w:r>
      <w:r w:rsidR="00F85F35" w:rsidRPr="003215C5">
        <w:t>political</w:t>
      </w:r>
      <w:r w:rsidR="00F85F35">
        <w:t>-</w:t>
      </w:r>
      <w:r w:rsidRPr="003215C5">
        <w:t>ideological basis, legislation anchors</w:t>
      </w:r>
      <w:r w:rsidR="007F4E8D" w:rsidRPr="003215C5">
        <w:rPr>
          <w:rStyle w:val="FootnoteReference"/>
        </w:rPr>
        <w:footnoteReference w:id="163"/>
      </w:r>
      <w:r w:rsidRPr="003215C5">
        <w:t xml:space="preserve"> the principles of the </w:t>
      </w:r>
      <w:r w:rsidR="007810EF" w:rsidRPr="003215C5">
        <w:t>merit</w:t>
      </w:r>
      <w:r w:rsidRPr="003215C5">
        <w:t>ocracy system which are</w:t>
      </w:r>
      <w:r w:rsidR="00001F87">
        <w:t>,</w:t>
      </w:r>
      <w:r w:rsidRPr="003215C5">
        <w:t xml:space="preserve"> in fact</w:t>
      </w:r>
      <w:r w:rsidR="00001F87">
        <w:t>,</w:t>
      </w:r>
      <w:r w:rsidRPr="003215C5">
        <w:t xml:space="preserve"> equal opportunities </w:t>
      </w:r>
      <w:r w:rsidRPr="003215C5">
        <w:lastRenderedPageBreak/>
        <w:t>for all</w:t>
      </w:r>
      <w:r w:rsidR="00A556D8">
        <w:t>,</w:t>
      </w:r>
      <w:r w:rsidRPr="003215C5">
        <w:t xml:space="preserve"> and a ban on appointment</w:t>
      </w:r>
      <w:r w:rsidR="008D411F">
        <w:t>s</w:t>
      </w:r>
      <w:r w:rsidRPr="003215C5">
        <w:t xml:space="preserve"> on a personal basis. The section in the </w:t>
      </w:r>
      <w:r w:rsidR="00D31773">
        <w:t>C</w:t>
      </w:r>
      <w:r w:rsidRPr="003215C5">
        <w:t xml:space="preserve">onstitution generally enumerates two methods of appointment: </w:t>
      </w:r>
      <w:r w:rsidR="008D411F">
        <w:t>a</w:t>
      </w:r>
      <w:r w:rsidRPr="003215C5">
        <w:t xml:space="preserve">ppointments by the </w:t>
      </w:r>
      <w:r w:rsidR="00A556D8">
        <w:t>p</w:t>
      </w:r>
      <w:r w:rsidRPr="003215C5">
        <w:t xml:space="preserve">resident </w:t>
      </w:r>
      <w:r w:rsidR="00A556D8">
        <w:t xml:space="preserve">put before </w:t>
      </w:r>
      <w:r w:rsidR="00A556D8" w:rsidRPr="003215C5">
        <w:t xml:space="preserve">the Senate </w:t>
      </w:r>
      <w:r w:rsidRPr="003215C5">
        <w:t>for approval</w:t>
      </w:r>
      <w:r w:rsidR="008D411F">
        <w:t>;</w:t>
      </w:r>
      <w:r w:rsidRPr="003215C5">
        <w:t xml:space="preserve"> and appointments without the approval of the Senate made by the </w:t>
      </w:r>
      <w:r w:rsidR="00A556D8">
        <w:t>p</w:t>
      </w:r>
      <w:r w:rsidRPr="003215C5">
        <w:t xml:space="preserve">resident himself, the Court and the Department Head, a method which is </w:t>
      </w:r>
      <w:r w:rsidR="00F85F35">
        <w:t xml:space="preserve">relevant </w:t>
      </w:r>
      <w:r w:rsidRPr="003215C5">
        <w:t>only to inferior officers.</w:t>
      </w:r>
      <w:r w:rsidR="007F4E8D" w:rsidRPr="003215C5">
        <w:rPr>
          <w:rStyle w:val="FootnoteReference"/>
        </w:rPr>
        <w:footnoteReference w:id="164"/>
      </w:r>
      <w:r w:rsidRPr="003215C5">
        <w:t xml:space="preserve"> The </w:t>
      </w:r>
      <w:r w:rsidR="00640FC4">
        <w:t xml:space="preserve">civil </w:t>
      </w:r>
      <w:r w:rsidRPr="003215C5">
        <w:t>service in the United States justifies a system of non-competitive appointments</w:t>
      </w:r>
      <w:r w:rsidR="00640FC4">
        <w:t>,</w:t>
      </w:r>
      <w:r w:rsidRPr="003215C5">
        <w:t xml:space="preserve"> in that the system is perceived as more accountable to its constituents</w:t>
      </w:r>
      <w:r w:rsidR="00640FC4">
        <w:t>,</w:t>
      </w:r>
      <w:r w:rsidRPr="003215C5">
        <w:t xml:space="preserve"> ensures a high level of motivation</w:t>
      </w:r>
      <w:r w:rsidR="00640FC4">
        <w:t>,</w:t>
      </w:r>
      <w:r w:rsidRPr="003215C5">
        <w:t xml:space="preserve"> and </w:t>
      </w:r>
      <w:r w:rsidR="00640FC4">
        <w:t xml:space="preserve">a </w:t>
      </w:r>
      <w:r w:rsidRPr="003215C5">
        <w:t>flow of ideas and initiatives during each term.</w:t>
      </w:r>
    </w:p>
    <w:p w14:paraId="205EB5F9" w14:textId="79BF4C0D" w:rsidR="004E586C" w:rsidRPr="003215C5" w:rsidRDefault="004E586C" w:rsidP="00286484">
      <w:pPr>
        <w:spacing w:line="360" w:lineRule="auto"/>
        <w:ind w:firstLine="720"/>
        <w:jc w:val="both"/>
      </w:pPr>
      <w:r w:rsidRPr="003215C5">
        <w:t xml:space="preserve">The purpose of the </w:t>
      </w:r>
      <w:r w:rsidR="008D411F">
        <w:t>s</w:t>
      </w:r>
      <w:r w:rsidRPr="003215C5">
        <w:t xml:space="preserve">poils </w:t>
      </w:r>
      <w:r w:rsidR="008D411F">
        <w:t>s</w:t>
      </w:r>
      <w:r w:rsidRPr="003215C5">
        <w:t xml:space="preserve">ystem in the United States is not to </w:t>
      </w:r>
      <w:r w:rsidR="008D411F">
        <w:t>undermine</w:t>
      </w:r>
      <w:r w:rsidRPr="003215C5">
        <w:t xml:space="preserve"> efficient and reliable public service</w:t>
      </w:r>
      <w:r w:rsidR="00640FC4">
        <w:t>,</w:t>
      </w:r>
      <w:r w:rsidRPr="003215C5">
        <w:t xml:space="preserve"> but to ensure a limited number of effective and competent appointments that will accompany </w:t>
      </w:r>
      <w:r w:rsidR="00F85F35">
        <w:t xml:space="preserve">every </w:t>
      </w:r>
      <w:r w:rsidRPr="003215C5">
        <w:t>new administration</w:t>
      </w:r>
      <w:r w:rsidR="00640FC4">
        <w:t>,</w:t>
      </w:r>
      <w:r w:rsidRPr="003215C5">
        <w:t xml:space="preserve"> and establish</w:t>
      </w:r>
      <w:r w:rsidR="00F85F35">
        <w:t xml:space="preserve"> civil </w:t>
      </w:r>
      <w:r w:rsidRPr="003215C5">
        <w:t xml:space="preserve">service </w:t>
      </w:r>
      <w:r w:rsidR="00F85F35">
        <w:t xml:space="preserve">positions </w:t>
      </w:r>
      <w:r w:rsidRPr="003215C5">
        <w:t xml:space="preserve">that are designed to support </w:t>
      </w:r>
      <w:r w:rsidR="00640FC4">
        <w:t xml:space="preserve">the </w:t>
      </w:r>
      <w:r w:rsidRPr="003215C5">
        <w:t>parties. However, two requirements should be noted</w:t>
      </w:r>
      <w:r w:rsidR="004B6507">
        <w:t xml:space="preserve">: </w:t>
      </w:r>
      <w:r w:rsidRPr="003215C5">
        <w:t xml:space="preserve">the </w:t>
      </w:r>
      <w:r w:rsidR="008578D4" w:rsidRPr="003215C5">
        <w:t>“</w:t>
      </w:r>
      <w:r w:rsidRPr="003215C5">
        <w:t>reduction requirement</w:t>
      </w:r>
      <w:r w:rsidR="008578D4" w:rsidRPr="003215C5">
        <w:t>”</w:t>
      </w:r>
      <w:r w:rsidRPr="003215C5">
        <w:t xml:space="preserve"> and the </w:t>
      </w:r>
      <w:r w:rsidR="008578D4" w:rsidRPr="003215C5">
        <w:t>“</w:t>
      </w:r>
      <w:r w:rsidRPr="003215C5">
        <w:t>efficiency and talent requirement</w:t>
      </w:r>
      <w:r w:rsidR="008578D4" w:rsidRPr="003215C5">
        <w:t>”</w:t>
      </w:r>
      <w:r w:rsidRPr="003215C5">
        <w:t xml:space="preserve">. The Pendleton Civil Service Reform Act </w:t>
      </w:r>
      <w:r w:rsidR="004B6507">
        <w:t xml:space="preserve">of </w:t>
      </w:r>
      <w:r w:rsidRPr="003215C5">
        <w:t xml:space="preserve">1883 numerically limited political appointments, although it did not </w:t>
      </w:r>
      <w:r w:rsidR="00640FC4">
        <w:t xml:space="preserve">abolish </w:t>
      </w:r>
      <w:r w:rsidRPr="003215C5">
        <w:t>them</w:t>
      </w:r>
      <w:r w:rsidR="00640FC4">
        <w:t>,</w:t>
      </w:r>
      <w:r w:rsidRPr="003215C5">
        <w:t xml:space="preserve"> and the American system requires a degree of </w:t>
      </w:r>
      <w:r w:rsidR="004B6507">
        <w:t>attributes</w:t>
      </w:r>
      <w:r w:rsidRPr="003215C5">
        <w:t xml:space="preserve"> and skill from </w:t>
      </w:r>
      <w:r w:rsidR="00640FC4">
        <w:t>appointees</w:t>
      </w:r>
      <w:r w:rsidRPr="003215C5">
        <w:t xml:space="preserve">. As a rule, most appointments to </w:t>
      </w:r>
      <w:r w:rsidR="00F85F35" w:rsidRPr="003215C5">
        <w:t>federal positions</w:t>
      </w:r>
      <w:r w:rsidRPr="003215C5">
        <w:t xml:space="preserve"> are made by Congress</w:t>
      </w:r>
      <w:r w:rsidR="004B6507">
        <w:t>.</w:t>
      </w:r>
      <w:r w:rsidRPr="003215C5">
        <w:t xml:space="preserve"> The exceptions are functions defined in the </w:t>
      </w:r>
      <w:r w:rsidR="00D31773">
        <w:t>C</w:t>
      </w:r>
      <w:r w:rsidRPr="003215C5">
        <w:t xml:space="preserve">onstitution: </w:t>
      </w:r>
      <w:r w:rsidR="004B6507">
        <w:t>t</w:t>
      </w:r>
      <w:r w:rsidR="00F85F35">
        <w:t xml:space="preserve">he </w:t>
      </w:r>
      <w:r w:rsidRPr="003215C5">
        <w:t>president and vice president,</w:t>
      </w:r>
      <w:r w:rsidR="007F4E8D" w:rsidRPr="003215C5">
        <w:rPr>
          <w:rStyle w:val="FootnoteReference"/>
        </w:rPr>
        <w:footnoteReference w:id="165"/>
      </w:r>
      <w:r w:rsidRPr="003215C5">
        <w:t xml:space="preserve"> </w:t>
      </w:r>
      <w:r w:rsidR="00F85F35">
        <w:t xml:space="preserve">seats </w:t>
      </w:r>
      <w:r w:rsidR="00640FC4">
        <w:t xml:space="preserve">on </w:t>
      </w:r>
      <w:r w:rsidRPr="003215C5">
        <w:t xml:space="preserve">the Supreme Court, </w:t>
      </w:r>
      <w:r w:rsidR="00001F87">
        <w:t xml:space="preserve">members of </w:t>
      </w:r>
      <w:r w:rsidRPr="003215C5">
        <w:t>the Senate and Congress.</w:t>
      </w:r>
      <w:r w:rsidR="007F4E8D" w:rsidRPr="003215C5">
        <w:rPr>
          <w:rStyle w:val="FootnoteReference"/>
        </w:rPr>
        <w:footnoteReference w:id="166"/>
      </w:r>
      <w:r w:rsidRPr="003215C5">
        <w:t xml:space="preserve"> These provisions allow Congress to determine the name of the office, the scope of the office, the job description</w:t>
      </w:r>
      <w:r w:rsidR="00640FC4">
        <w:t>,</w:t>
      </w:r>
      <w:r w:rsidRPr="003215C5">
        <w:t xml:space="preserve"> and </w:t>
      </w:r>
      <w:r w:rsidR="00F85F35">
        <w:t xml:space="preserve">its attendant </w:t>
      </w:r>
      <w:r w:rsidRPr="003215C5">
        <w:t xml:space="preserve">salary. However, these provisions do not necessarily determine what the selection method </w:t>
      </w:r>
      <w:r w:rsidR="00640FC4">
        <w:t xml:space="preserve">for </w:t>
      </w:r>
      <w:r w:rsidRPr="003215C5">
        <w:t>those jobs will be. With regard to the method of appointments, the Constitution sets out a separate section:</w:t>
      </w:r>
      <w:r w:rsidR="007F4E8D" w:rsidRPr="003215C5">
        <w:rPr>
          <w:rStyle w:val="FootnoteReference"/>
        </w:rPr>
        <w:footnoteReference w:id="167"/>
      </w:r>
    </w:p>
    <w:p w14:paraId="4EF474E0" w14:textId="274BA95D" w:rsidR="004E586C" w:rsidRPr="000D37DC" w:rsidRDefault="004E586C" w:rsidP="00286484">
      <w:pPr>
        <w:tabs>
          <w:tab w:val="right" w:pos="7761"/>
        </w:tabs>
        <w:spacing w:line="360" w:lineRule="auto"/>
        <w:ind w:left="851" w:right="794"/>
        <w:jc w:val="both"/>
        <w:rPr>
          <w:rFonts w:eastAsia="Times New Roman" w:cstheme="minorHAnsi"/>
          <w:szCs w:val="24"/>
          <w:lang w:eastAsia="he-IL"/>
        </w:rPr>
      </w:pPr>
      <w:r w:rsidRPr="000D37DC">
        <w:rPr>
          <w:rFonts w:eastAsia="Times New Roman" w:cstheme="minorHAnsi"/>
          <w:szCs w:val="24"/>
          <w:highlight w:val="green"/>
          <w:lang w:eastAsia="he-IL"/>
        </w:rPr>
        <w:t>[The President] shall nominate, and, by and with the advice and consent of the Senate, shall appoint ambassadors, other public ministers and consuls, judges of the Supreme Court, and all other officers of the United States, whose appointments are not herein otherwise provided for, and which shall be established by law: but the Congress may by law vest the appointment of such inferior officers, as they think proper, in the President alone, in the courts of law, or in the heads of departments.</w:t>
      </w:r>
    </w:p>
    <w:p w14:paraId="68DE5962" w14:textId="15D9DF39" w:rsidR="004E586C" w:rsidRPr="003215C5" w:rsidRDefault="004E586C" w:rsidP="00286484">
      <w:pPr>
        <w:spacing w:line="360" w:lineRule="auto"/>
        <w:ind w:firstLine="720"/>
        <w:jc w:val="both"/>
      </w:pPr>
      <w:r w:rsidRPr="00C77AB1">
        <w:t>The United States Constitution does not directly address the issue of discrimination at work, but the provisions of the 5</w:t>
      </w:r>
      <w:r w:rsidRPr="00C77AB1">
        <w:rPr>
          <w:vertAlign w:val="superscript"/>
        </w:rPr>
        <w:t>th</w:t>
      </w:r>
      <w:r w:rsidRPr="00C77AB1">
        <w:t xml:space="preserve"> and 14</w:t>
      </w:r>
      <w:r w:rsidRPr="00C77AB1">
        <w:rPr>
          <w:vertAlign w:val="superscript"/>
        </w:rPr>
        <w:t>th</w:t>
      </w:r>
      <w:r w:rsidRPr="00C77AB1">
        <w:t xml:space="preserve"> Amendments to the Constitution preclude discrimination by the </w:t>
      </w:r>
      <w:r w:rsidR="00C77AB1">
        <w:t>U</w:t>
      </w:r>
      <w:r w:rsidR="004B6507">
        <w:t xml:space="preserve">nited </w:t>
      </w:r>
      <w:r w:rsidR="004B6507">
        <w:lastRenderedPageBreak/>
        <w:t>States</w:t>
      </w:r>
      <w:r w:rsidR="00F85F35">
        <w:t>.</w:t>
      </w:r>
      <w:r w:rsidR="00C77AB1">
        <w:t xml:space="preserve"> </w:t>
      </w:r>
      <w:r w:rsidR="00F85F35">
        <w:t>However, the</w:t>
      </w:r>
      <w:r w:rsidR="004B6507">
        <w:t>se amendments</w:t>
      </w:r>
      <w:r w:rsidR="00F85F35">
        <w:t xml:space="preserve"> </w:t>
      </w:r>
      <w:r w:rsidRPr="00C77AB1">
        <w:t>apply</w:t>
      </w:r>
      <w:r w:rsidR="00F85F35">
        <w:t xml:space="preserve"> </w:t>
      </w:r>
      <w:r w:rsidRPr="00C77AB1">
        <w:t>only to the federal government.</w:t>
      </w:r>
      <w:r w:rsidR="007F4E8D" w:rsidRPr="00C77AB1">
        <w:rPr>
          <w:rStyle w:val="FootnoteReference"/>
        </w:rPr>
        <w:footnoteReference w:id="168"/>
      </w:r>
      <w:r w:rsidRPr="00C77AB1">
        <w:t xml:space="preserve"> The fear of a lack of protection of civil rights at work in the private </w:t>
      </w:r>
      <w:r w:rsidR="00C77AB1">
        <w:t xml:space="preserve">labour </w:t>
      </w:r>
      <w:r w:rsidRPr="00C77AB1">
        <w:t>market</w:t>
      </w:r>
      <w:r w:rsidR="00F85F35">
        <w:t xml:space="preserve"> </w:t>
      </w:r>
      <w:r w:rsidRPr="00C77AB1">
        <w:t xml:space="preserve">led to the enactment of the Civil Rights </w:t>
      </w:r>
      <w:r w:rsidR="006443BE" w:rsidRPr="00C77AB1">
        <w:t>Act</w:t>
      </w:r>
      <w:r w:rsidR="00C77AB1">
        <w:t>,</w:t>
      </w:r>
      <w:r w:rsidRPr="00C77AB1">
        <w:t xml:space="preserve"> which</w:t>
      </w:r>
      <w:r w:rsidR="00F85F35">
        <w:t>,</w:t>
      </w:r>
      <w:r w:rsidRPr="00C77AB1">
        <w:t xml:space="preserve"> for the first time</w:t>
      </w:r>
      <w:r w:rsidR="00F85F35">
        <w:t>,</w:t>
      </w:r>
      <w:r w:rsidRPr="00C77AB1">
        <w:t xml:space="preserve"> addressed discrimination in the private labo</w:t>
      </w:r>
      <w:r w:rsidR="00C77AB1">
        <w:t>u</w:t>
      </w:r>
      <w:r w:rsidRPr="00C77AB1">
        <w:t>r market</w:t>
      </w:r>
      <w:r w:rsidR="007F4E8D" w:rsidRPr="00C77AB1">
        <w:rPr>
          <w:rStyle w:val="FootnoteReference"/>
        </w:rPr>
        <w:footnoteReference w:id="169"/>
      </w:r>
      <w:r w:rsidRPr="00C77AB1">
        <w:t xml:space="preserve"> and formed the basis for the development of the theory of equality in employment by the </w:t>
      </w:r>
      <w:r w:rsidR="004B6507">
        <w:t>c</w:t>
      </w:r>
      <w:r w:rsidRPr="00C77AB1">
        <w:t xml:space="preserve">ourts. Prohibition of discrimination </w:t>
      </w:r>
      <w:r w:rsidR="00C77AB1">
        <w:t xml:space="preserve">at work </w:t>
      </w:r>
      <w:r w:rsidRPr="00C77AB1">
        <w:t>was further mentioned in the New Deal legislation,</w:t>
      </w:r>
      <w:r w:rsidR="007F4E8D" w:rsidRPr="00C77AB1">
        <w:rPr>
          <w:rStyle w:val="FootnoteReference"/>
        </w:rPr>
        <w:footnoteReference w:id="170"/>
      </w:r>
      <w:r w:rsidRPr="00C77AB1">
        <w:t xml:space="preserve"> but only </w:t>
      </w:r>
      <w:r w:rsidR="00001F87">
        <w:t xml:space="preserve">during </w:t>
      </w:r>
      <w:r w:rsidR="00001F87" w:rsidRPr="00C77AB1">
        <w:t>Kennedy</w:t>
      </w:r>
      <w:r w:rsidR="00001F87">
        <w:t>’s</w:t>
      </w:r>
      <w:r w:rsidR="00001F87" w:rsidRPr="00C77AB1">
        <w:t xml:space="preserve"> </w:t>
      </w:r>
      <w:r w:rsidR="00001F87">
        <w:t>administration</w:t>
      </w:r>
      <w:r w:rsidR="00001F87" w:rsidRPr="00C77AB1">
        <w:t xml:space="preserve"> in 1961 </w:t>
      </w:r>
      <w:r w:rsidR="00001F87">
        <w:t xml:space="preserve">did </w:t>
      </w:r>
      <w:r w:rsidRPr="00C77AB1">
        <w:t xml:space="preserve">presidential </w:t>
      </w:r>
      <w:r w:rsidR="00F85F35">
        <w:t>executive orders</w:t>
      </w:r>
      <w:r w:rsidR="00C77AB1">
        <w:t xml:space="preserve"> mandate </w:t>
      </w:r>
      <w:r w:rsidRPr="00C77AB1">
        <w:t>the government</w:t>
      </w:r>
      <w:r w:rsidR="008578D4" w:rsidRPr="00C77AB1">
        <w:t>’</w:t>
      </w:r>
      <w:r w:rsidRPr="00C77AB1">
        <w:t>s commitment to provid</w:t>
      </w:r>
      <w:r w:rsidR="00C77AB1">
        <w:t>ing</w:t>
      </w:r>
      <w:r w:rsidRPr="00C77AB1">
        <w:t xml:space="preserve"> equal opportunit</w:t>
      </w:r>
      <w:r w:rsidR="00C77AB1">
        <w:t>ies</w:t>
      </w:r>
      <w:r w:rsidR="00F85F35">
        <w:t xml:space="preserve"> </w:t>
      </w:r>
      <w:r w:rsidRPr="00C77AB1">
        <w:t>and tak</w:t>
      </w:r>
      <w:r w:rsidR="004B6507">
        <w:t>ing</w:t>
      </w:r>
      <w:r w:rsidRPr="00C77AB1">
        <w:t xml:space="preserve"> positive action to increase efforts to secure the employment of candidates, first regardless of race, religion, colo</w:t>
      </w:r>
      <w:r w:rsidR="00C77AB1">
        <w:t>u</w:t>
      </w:r>
      <w:r w:rsidRPr="00C77AB1">
        <w:t>r</w:t>
      </w:r>
      <w:r w:rsidR="00C77AB1">
        <w:t>,</w:t>
      </w:r>
      <w:r w:rsidRPr="00C77AB1">
        <w:t xml:space="preserve"> or national origin,</w:t>
      </w:r>
      <w:r w:rsidR="007F4E8D" w:rsidRPr="00C77AB1">
        <w:rPr>
          <w:rStyle w:val="FootnoteReference"/>
        </w:rPr>
        <w:footnoteReference w:id="171"/>
      </w:r>
      <w:r w:rsidRPr="00C77AB1">
        <w:t xml:space="preserve"> </w:t>
      </w:r>
      <w:r w:rsidR="007F4E8D" w:rsidRPr="00C77AB1">
        <w:t>a</w:t>
      </w:r>
      <w:r w:rsidRPr="00C77AB1">
        <w:t xml:space="preserve">nd then </w:t>
      </w:r>
      <w:r w:rsidR="00C77AB1">
        <w:t xml:space="preserve">later </w:t>
      </w:r>
      <w:r w:rsidRPr="00C77AB1">
        <w:t xml:space="preserve">on </w:t>
      </w:r>
      <w:r w:rsidR="007F4E8D" w:rsidRPr="00C77AB1">
        <w:t>the basis of</w:t>
      </w:r>
      <w:r w:rsidRPr="00C77AB1">
        <w:t xml:space="preserve"> sex</w:t>
      </w:r>
      <w:r w:rsidR="00C77AB1">
        <w:t>,</w:t>
      </w:r>
      <w:r w:rsidR="007F4E8D" w:rsidRPr="00C77AB1">
        <w:rPr>
          <w:rStyle w:val="FootnoteReference"/>
        </w:rPr>
        <w:footnoteReference w:id="172"/>
      </w:r>
      <w:r w:rsidRPr="00C77AB1">
        <w:t xml:space="preserve"> even extending the commitment to organi</w:t>
      </w:r>
      <w:r w:rsidR="00C77AB1">
        <w:t>s</w:t>
      </w:r>
      <w:r w:rsidRPr="00C77AB1">
        <w:t xml:space="preserve">ations that entered into </w:t>
      </w:r>
      <w:r w:rsidR="00C77AB1" w:rsidRPr="00C77AB1">
        <w:t xml:space="preserve">contracts </w:t>
      </w:r>
      <w:r w:rsidR="00C77AB1">
        <w:t xml:space="preserve">with the </w:t>
      </w:r>
      <w:r w:rsidRPr="00C77AB1">
        <w:t>federal</w:t>
      </w:r>
      <w:r w:rsidR="00C77AB1">
        <w:t xml:space="preserve"> government</w:t>
      </w:r>
      <w:r w:rsidRPr="00C77AB1">
        <w:t>.</w:t>
      </w:r>
      <w:r w:rsidR="007F4E8D" w:rsidRPr="00C77AB1">
        <w:rPr>
          <w:rStyle w:val="FootnoteReference"/>
        </w:rPr>
        <w:footnoteReference w:id="173"/>
      </w:r>
      <w:r w:rsidRPr="00C77AB1">
        <w:t xml:space="preserve"> The </w:t>
      </w:r>
      <w:r w:rsidR="00F85F35">
        <w:t>executive orders</w:t>
      </w:r>
      <w:r w:rsidR="00C77AB1">
        <w:t xml:space="preserve"> </w:t>
      </w:r>
      <w:r w:rsidRPr="00C77AB1">
        <w:t>did not give operative meaning to the undertaking beyond determining the need to take initiative to assist these populations and establish</w:t>
      </w:r>
      <w:r w:rsidR="00C77AB1">
        <w:t xml:space="preserve"> </w:t>
      </w:r>
      <w:r w:rsidRPr="00C77AB1">
        <w:t>a prohibition of discrimination.</w:t>
      </w:r>
      <w:r w:rsidR="007F4E8D" w:rsidRPr="00C77AB1">
        <w:rPr>
          <w:rStyle w:val="FootnoteReference"/>
        </w:rPr>
        <w:footnoteReference w:id="174"/>
      </w:r>
      <w:r w:rsidRPr="00C77AB1">
        <w:t xml:space="preserve"> And none of the presidents who </w:t>
      </w:r>
      <w:r w:rsidR="00C77AB1">
        <w:t xml:space="preserve">followed </w:t>
      </w:r>
      <w:r w:rsidRPr="00C77AB1">
        <w:t xml:space="preserve">took </w:t>
      </w:r>
      <w:r w:rsidR="00C77AB1">
        <w:t xml:space="preserve">any </w:t>
      </w:r>
      <w:r w:rsidRPr="00C77AB1">
        <w:t>steps to abolish affirmative action.</w:t>
      </w:r>
      <w:r w:rsidR="007F4E8D" w:rsidRPr="00C77AB1">
        <w:rPr>
          <w:rStyle w:val="FootnoteReference"/>
        </w:rPr>
        <w:footnoteReference w:id="175"/>
      </w:r>
    </w:p>
    <w:p w14:paraId="3518004F" w14:textId="523BF38A" w:rsidR="004E586C" w:rsidRPr="003215C5" w:rsidRDefault="004E586C" w:rsidP="00286484">
      <w:pPr>
        <w:spacing w:line="360" w:lineRule="auto"/>
        <w:ind w:firstLine="720"/>
        <w:jc w:val="both"/>
      </w:pPr>
      <w:r w:rsidRPr="003215C5">
        <w:t xml:space="preserve">Beyond the general </w:t>
      </w:r>
      <w:r w:rsidR="00C77AB1">
        <w:t xml:space="preserve">framework </w:t>
      </w:r>
      <w:r w:rsidRPr="003215C5">
        <w:t>outlin</w:t>
      </w:r>
      <w:r w:rsidR="00C77AB1">
        <w:t>ed</w:t>
      </w:r>
      <w:r w:rsidRPr="003215C5">
        <w:t xml:space="preserve"> </w:t>
      </w:r>
      <w:r w:rsidR="00C77AB1">
        <w:t xml:space="preserve">by Kennedy’s Executive Order </w:t>
      </w:r>
      <w:r w:rsidRPr="003215C5">
        <w:t xml:space="preserve">10,925, </w:t>
      </w:r>
      <w:r w:rsidRPr="00001F87">
        <w:rPr>
          <w:highlight w:val="yellow"/>
        </w:rPr>
        <w:t xml:space="preserve">later, during World War I and World War II, </w:t>
      </w:r>
      <w:commentRangeStart w:id="8"/>
      <w:r w:rsidR="00C77AB1" w:rsidRPr="00001F87">
        <w:rPr>
          <w:highlight w:val="yellow"/>
        </w:rPr>
        <w:t>t</w:t>
      </w:r>
      <w:r w:rsidR="00C77AB1">
        <w:t>hey</w:t>
      </w:r>
      <w:commentRangeEnd w:id="8"/>
      <w:r w:rsidR="00001F87">
        <w:rPr>
          <w:rStyle w:val="CommentReference"/>
        </w:rPr>
        <w:commentReference w:id="8"/>
      </w:r>
      <w:r w:rsidR="00C77AB1">
        <w:t xml:space="preserve"> </w:t>
      </w:r>
      <w:r w:rsidRPr="003215C5">
        <w:t>tried to set up dedicated committees on the subject,</w:t>
      </w:r>
      <w:r w:rsidR="007F4E8D" w:rsidRPr="003215C5">
        <w:rPr>
          <w:rStyle w:val="FootnoteReference"/>
        </w:rPr>
        <w:footnoteReference w:id="176"/>
      </w:r>
      <w:r w:rsidRPr="003215C5">
        <w:t xml:space="preserve"> attempts that achieved nothing</w:t>
      </w:r>
      <w:r w:rsidR="00C77AB1">
        <w:t>,</w:t>
      </w:r>
      <w:r w:rsidRPr="003215C5">
        <w:t xml:space="preserve"> and did not survive beyond a small number of years of work.</w:t>
      </w:r>
      <w:r w:rsidR="007F4E8D" w:rsidRPr="003215C5">
        <w:rPr>
          <w:rStyle w:val="FootnoteReference"/>
        </w:rPr>
        <w:footnoteReference w:id="177"/>
      </w:r>
      <w:r w:rsidRPr="003215C5">
        <w:t xml:space="preserve"> Concurrent with the publication of the </w:t>
      </w:r>
      <w:r w:rsidR="00F85F35">
        <w:t xml:space="preserve">executive order </w:t>
      </w:r>
      <w:r w:rsidRPr="003215C5">
        <w:t>by Kennedy, a Presidential Committee on Equal Employment Opportunity (PCEEO) was established.</w:t>
      </w:r>
      <w:r w:rsidR="006E03D3" w:rsidRPr="003215C5">
        <w:rPr>
          <w:rStyle w:val="FootnoteReference"/>
        </w:rPr>
        <w:footnoteReference w:id="178"/>
      </w:r>
      <w:r w:rsidRPr="003215C5">
        <w:t xml:space="preserve"> The </w:t>
      </w:r>
      <w:r w:rsidR="00F85F35">
        <w:t>C</w:t>
      </w:r>
      <w:r w:rsidRPr="003215C5">
        <w:t>ommittee soon sought to approve uniform patterns of conduct (PFP),</w:t>
      </w:r>
      <w:r w:rsidR="006E03D3" w:rsidRPr="003215C5">
        <w:rPr>
          <w:rStyle w:val="FootnoteReference"/>
        </w:rPr>
        <w:footnoteReference w:id="179"/>
      </w:r>
      <w:r w:rsidRPr="003215C5">
        <w:t xml:space="preserve"> using uniform internal procedures </w:t>
      </w:r>
      <w:r w:rsidR="00C77AB1">
        <w:t xml:space="preserve">binding on any </w:t>
      </w:r>
      <w:r w:rsidRPr="003215C5">
        <w:t xml:space="preserve">federal firm to incorporate in its </w:t>
      </w:r>
      <w:r w:rsidR="00F85F35">
        <w:t xml:space="preserve">articles of association </w:t>
      </w:r>
      <w:r w:rsidRPr="003215C5">
        <w:t xml:space="preserve">an effort to </w:t>
      </w:r>
      <w:r w:rsidR="00C77AB1">
        <w:t xml:space="preserve">achieve </w:t>
      </w:r>
      <w:r w:rsidRPr="003215C5">
        <w:t xml:space="preserve">employment </w:t>
      </w:r>
      <w:r w:rsidR="00C77AB1">
        <w:t xml:space="preserve">equality, </w:t>
      </w:r>
      <w:r w:rsidRPr="003215C5">
        <w:t xml:space="preserve">and </w:t>
      </w:r>
      <w:r w:rsidR="004B6507">
        <w:t xml:space="preserve">to </w:t>
      </w:r>
      <w:r w:rsidRPr="003215C5">
        <w:t xml:space="preserve">formulate an action plan to </w:t>
      </w:r>
      <w:r w:rsidR="00C77AB1">
        <w:t xml:space="preserve">secure </w:t>
      </w:r>
      <w:r w:rsidRPr="003215C5">
        <w:t xml:space="preserve">this effort, similar to the Canadian model </w:t>
      </w:r>
      <w:r w:rsidR="00C77AB1">
        <w:t>we shall discuss below</w:t>
      </w:r>
      <w:r w:rsidRPr="003215C5">
        <w:t xml:space="preserve">. The </w:t>
      </w:r>
      <w:r w:rsidR="00F85F35">
        <w:t>C</w:t>
      </w:r>
      <w:r w:rsidRPr="003215C5">
        <w:t>ommittee</w:t>
      </w:r>
      <w:r w:rsidR="008578D4" w:rsidRPr="003215C5">
        <w:t>’</w:t>
      </w:r>
      <w:r w:rsidRPr="003215C5">
        <w:t xml:space="preserve">s periodic review was not of targets, because </w:t>
      </w:r>
      <w:r w:rsidR="00701DD9">
        <w:t xml:space="preserve">recruitment </w:t>
      </w:r>
      <w:r w:rsidRPr="003215C5">
        <w:t xml:space="preserve">and placement targets were never set, but of checking whether </w:t>
      </w:r>
      <w:r w:rsidRPr="003215C5">
        <w:lastRenderedPageBreak/>
        <w:t xml:space="preserve">employers </w:t>
      </w:r>
      <w:r w:rsidR="004B6507">
        <w:t xml:space="preserve">had </w:t>
      </w:r>
      <w:r w:rsidRPr="003215C5">
        <w:t xml:space="preserve">increased the number of </w:t>
      </w:r>
      <w:r w:rsidR="0082325A">
        <w:t xml:space="preserve">workers from </w:t>
      </w:r>
      <w:r w:rsidRPr="003215C5">
        <w:t>minorit</w:t>
      </w:r>
      <w:r w:rsidR="0082325A">
        <w:t xml:space="preserve">y populations </w:t>
      </w:r>
      <w:r w:rsidRPr="003215C5">
        <w:t>among</w:t>
      </w:r>
      <w:r w:rsidR="0082325A">
        <w:t>st</w:t>
      </w:r>
      <w:r w:rsidRPr="003215C5">
        <w:t xml:space="preserve"> their employees</w:t>
      </w:r>
      <w:r w:rsidR="0082325A">
        <w:t>,</w:t>
      </w:r>
      <w:r w:rsidRPr="003215C5">
        <w:t xml:space="preserve"> and whether existing minority employees were promoted </w:t>
      </w:r>
      <w:r w:rsidR="0082325A">
        <w:t xml:space="preserve">at </w:t>
      </w:r>
      <w:r w:rsidRPr="003215C5">
        <w:t xml:space="preserve">work, </w:t>
      </w:r>
      <w:r w:rsidR="0082325A">
        <w:t xml:space="preserve">and if not, </w:t>
      </w:r>
      <w:r w:rsidRPr="003215C5">
        <w:t>why</w:t>
      </w:r>
      <w:r w:rsidR="0082325A">
        <w:t xml:space="preserve"> not</w:t>
      </w:r>
      <w:r w:rsidRPr="003215C5">
        <w:t xml:space="preserve">. The need </w:t>
      </w:r>
      <w:r w:rsidR="0082325A">
        <w:t xml:space="preserve">to provide </w:t>
      </w:r>
      <w:r w:rsidRPr="003215C5">
        <w:t xml:space="preserve">explanations has proven to be </w:t>
      </w:r>
      <w:r w:rsidR="00001F87">
        <w:t>more effective</w:t>
      </w:r>
      <w:r w:rsidRPr="003215C5">
        <w:t xml:space="preserve"> than setting empty numerical targets.</w:t>
      </w:r>
      <w:r w:rsidR="006E03D3" w:rsidRPr="003215C5">
        <w:rPr>
          <w:rStyle w:val="FootnoteReference"/>
        </w:rPr>
        <w:footnoteReference w:id="180"/>
      </w:r>
      <w:r w:rsidRPr="003215C5">
        <w:t xml:space="preserve"> The </w:t>
      </w:r>
      <w:r w:rsidR="00701DD9">
        <w:t>C</w:t>
      </w:r>
      <w:r w:rsidRPr="003215C5">
        <w:t>ommittee</w:t>
      </w:r>
      <w:r w:rsidR="008578D4" w:rsidRPr="003215C5">
        <w:t>’</w:t>
      </w:r>
      <w:r w:rsidRPr="003215C5">
        <w:t xml:space="preserve">s reports pointed to good </w:t>
      </w:r>
      <w:r w:rsidR="00701DD9">
        <w:t xml:space="preserve">recruitment </w:t>
      </w:r>
      <w:r w:rsidRPr="003215C5">
        <w:t>numbers</w:t>
      </w:r>
      <w:r w:rsidR="0082325A">
        <w:t>,</w:t>
      </w:r>
      <w:r w:rsidRPr="003215C5">
        <w:t xml:space="preserve"> </w:t>
      </w:r>
      <w:r w:rsidR="00701DD9">
        <w:t xml:space="preserve">as opposed to </w:t>
      </w:r>
      <w:r w:rsidRPr="003215C5">
        <w:t>less</w:t>
      </w:r>
      <w:r w:rsidR="0082325A">
        <w:t>er</w:t>
      </w:r>
      <w:r w:rsidRPr="003215C5">
        <w:t xml:space="preserve"> success in </w:t>
      </w:r>
      <w:r w:rsidR="00701DD9" w:rsidRPr="003215C5">
        <w:t>minority worker</w:t>
      </w:r>
      <w:r w:rsidR="00701DD9">
        <w:t xml:space="preserve"> </w:t>
      </w:r>
      <w:r w:rsidRPr="003215C5">
        <w:t>promot</w:t>
      </w:r>
      <w:r w:rsidR="00701DD9">
        <w:t>ion</w:t>
      </w:r>
      <w:r w:rsidRPr="003215C5">
        <w:t>s.</w:t>
      </w:r>
      <w:r w:rsidR="006E03D3" w:rsidRPr="003215C5">
        <w:rPr>
          <w:rStyle w:val="FootnoteReference"/>
        </w:rPr>
        <w:footnoteReference w:id="181"/>
      </w:r>
    </w:p>
    <w:p w14:paraId="046D972E" w14:textId="41BB29F0" w:rsidR="004E586C" w:rsidRPr="003215C5" w:rsidRDefault="0082325A" w:rsidP="00286484">
      <w:pPr>
        <w:spacing w:line="360" w:lineRule="auto"/>
        <w:ind w:firstLine="720"/>
        <w:jc w:val="both"/>
      </w:pPr>
      <w:r>
        <w:t>The c</w:t>
      </w:r>
      <w:r w:rsidR="004E586C" w:rsidRPr="003215C5">
        <w:t>ivil service in the United States shifted in the second half of the 19</w:t>
      </w:r>
      <w:r w:rsidR="004E586C" w:rsidRPr="0082325A">
        <w:rPr>
          <w:vertAlign w:val="superscript"/>
        </w:rPr>
        <w:t>th</w:t>
      </w:r>
      <w:r>
        <w:t xml:space="preserve"> </w:t>
      </w:r>
      <w:r w:rsidR="004B6507">
        <w:t>c</w:t>
      </w:r>
      <w:r w:rsidR="004E586C" w:rsidRPr="003215C5">
        <w:t xml:space="preserve">entury from </w:t>
      </w:r>
      <w:r>
        <w:t xml:space="preserve">a </w:t>
      </w:r>
      <w:r w:rsidR="004E586C" w:rsidRPr="003215C5">
        <w:t xml:space="preserve">method of political appointments to </w:t>
      </w:r>
      <w:r>
        <w:t xml:space="preserve">a </w:t>
      </w:r>
      <w:r w:rsidR="004E586C" w:rsidRPr="003215C5">
        <w:t xml:space="preserve">method of </w:t>
      </w:r>
      <w:r>
        <w:t xml:space="preserve">testing </w:t>
      </w:r>
      <w:r w:rsidR="004E586C" w:rsidRPr="003215C5">
        <w:t xml:space="preserve">qualifications, </w:t>
      </w:r>
      <w:r>
        <w:t xml:space="preserve">which </w:t>
      </w:r>
      <w:r w:rsidR="004E586C" w:rsidRPr="003215C5">
        <w:t xml:space="preserve">was reflected in </w:t>
      </w:r>
      <w:r w:rsidR="00BB3817" w:rsidRPr="003215C5">
        <w:t>the Pendleton</w:t>
      </w:r>
      <w:r w:rsidR="004E586C" w:rsidRPr="003215C5">
        <w:t xml:space="preserve"> Act</w:t>
      </w:r>
      <w:r>
        <w:t xml:space="preserve"> </w:t>
      </w:r>
      <w:r w:rsidRPr="003215C5">
        <w:t>1883</w:t>
      </w:r>
      <w:r w:rsidR="004E586C" w:rsidRPr="003215C5">
        <w:t xml:space="preserve">. Today, the </w:t>
      </w:r>
      <w:r>
        <w:t xml:space="preserve">duty to hold a </w:t>
      </w:r>
      <w:r w:rsidR="004E586C" w:rsidRPr="003215C5">
        <w:t>tender and exam</w:t>
      </w:r>
      <w:r w:rsidR="004B6507">
        <w:t xml:space="preserve"> covers</w:t>
      </w:r>
      <w:r w:rsidR="004E586C" w:rsidRPr="003215C5">
        <w:t xml:space="preserve"> over 90% of federal civil service appointments, yet the tradition remains that about a quarter of senior staff </w:t>
      </w:r>
      <w:r>
        <w:t xml:space="preserve">positions </w:t>
      </w:r>
      <w:r w:rsidR="004E586C" w:rsidRPr="003215C5">
        <w:t xml:space="preserve">(about 2,000 </w:t>
      </w:r>
      <w:r w:rsidRPr="003215C5">
        <w:t xml:space="preserve">jobs </w:t>
      </w:r>
      <w:r>
        <w:t xml:space="preserve">in a </w:t>
      </w:r>
      <w:r w:rsidR="004E586C" w:rsidRPr="003215C5">
        <w:t xml:space="preserve">civil service </w:t>
      </w:r>
      <w:r>
        <w:t xml:space="preserve">that numbers more than </w:t>
      </w:r>
      <w:r w:rsidR="004E586C" w:rsidRPr="003215C5">
        <w:t xml:space="preserve">eight million) are </w:t>
      </w:r>
      <w:r>
        <w:t xml:space="preserve">reserved </w:t>
      </w:r>
      <w:r w:rsidR="00701DD9">
        <w:t xml:space="preserve">for </w:t>
      </w:r>
      <w:r w:rsidR="004E586C" w:rsidRPr="003215C5">
        <w:t>personal appointment</w:t>
      </w:r>
      <w:r w:rsidR="00701DD9">
        <w:t xml:space="preserve"> by </w:t>
      </w:r>
      <w:r w:rsidR="004E586C" w:rsidRPr="003215C5">
        <w:t xml:space="preserve">the elected and incoming president, </w:t>
      </w:r>
      <w:r>
        <w:t>o</w:t>
      </w:r>
      <w:r w:rsidR="004E586C" w:rsidRPr="003215C5">
        <w:t xml:space="preserve">f which about 1,000 are appointed </w:t>
      </w:r>
      <w:r w:rsidR="00701DD9">
        <w:t xml:space="preserve">from </w:t>
      </w:r>
      <w:r w:rsidR="004E586C" w:rsidRPr="003215C5">
        <w:t xml:space="preserve">outside the regular civil service. </w:t>
      </w:r>
      <w:r w:rsidR="00701DD9">
        <w:t xml:space="preserve">Moreover, </w:t>
      </w:r>
      <w:r>
        <w:t>i</w:t>
      </w:r>
      <w:r w:rsidR="004E586C" w:rsidRPr="003215C5">
        <w:t>n the United States</w:t>
      </w:r>
      <w:r w:rsidR="00701DD9">
        <w:t>,</w:t>
      </w:r>
      <w:r>
        <w:t xml:space="preserve"> m</w:t>
      </w:r>
      <w:r w:rsidR="007810EF" w:rsidRPr="003215C5">
        <w:t>erit</w:t>
      </w:r>
      <w:r>
        <w:t xml:space="preserve"> </w:t>
      </w:r>
      <w:r w:rsidR="004E586C" w:rsidRPr="003215C5">
        <w:t xml:space="preserve">criteria are objective and, as a general rule, </w:t>
      </w:r>
      <w:r w:rsidR="00701DD9">
        <w:t>reli</w:t>
      </w:r>
      <w:r w:rsidR="00001F87">
        <w:t>ance</w:t>
      </w:r>
      <w:r w:rsidR="00701DD9">
        <w:t xml:space="preserve"> on </w:t>
      </w:r>
      <w:r w:rsidR="004E586C" w:rsidRPr="003215C5">
        <w:t>any factor other than individual talent</w:t>
      </w:r>
      <w:r w:rsidR="00701DD9">
        <w:t xml:space="preserve">, </w:t>
      </w:r>
      <w:r w:rsidR="004E586C" w:rsidRPr="003215C5">
        <w:t>such personal con</w:t>
      </w:r>
      <w:r w:rsidR="00821309">
        <w:t>tacts</w:t>
      </w:r>
      <w:r w:rsidR="004E586C" w:rsidRPr="003215C5">
        <w:t>, is prohibited</w:t>
      </w:r>
      <w:r w:rsidR="00701DD9">
        <w:t>.</w:t>
      </w:r>
      <w:r w:rsidR="007810EF" w:rsidRPr="003215C5">
        <w:rPr>
          <w:rStyle w:val="FootnoteReference"/>
        </w:rPr>
        <w:footnoteReference w:id="182"/>
      </w:r>
      <w:r w:rsidR="004E586C" w:rsidRPr="003215C5">
        <w:t xml:space="preserve"> </w:t>
      </w:r>
      <w:r w:rsidR="00701DD9">
        <w:t xml:space="preserve">However, </w:t>
      </w:r>
      <w:r w:rsidR="004E586C" w:rsidRPr="003215C5">
        <w:t xml:space="preserve">at least as far as affirmative action </w:t>
      </w:r>
      <w:r w:rsidR="00701DD9">
        <w:t xml:space="preserve">at the </w:t>
      </w:r>
      <w:r w:rsidR="004E586C" w:rsidRPr="003215C5">
        <w:t xml:space="preserve">universities is concerned, </w:t>
      </w:r>
      <w:r w:rsidR="00821309">
        <w:t xml:space="preserve">one can see at Ivy League institutions </w:t>
      </w:r>
      <w:r w:rsidR="00001F87">
        <w:t xml:space="preserve">the application of </w:t>
      </w:r>
      <w:r w:rsidR="00821309" w:rsidRPr="003215C5">
        <w:t xml:space="preserve">preferences </w:t>
      </w:r>
      <w:r w:rsidR="00821309">
        <w:t xml:space="preserve">which are </w:t>
      </w:r>
      <w:r w:rsidR="004E586C" w:rsidRPr="003215C5">
        <w:t>no</w:t>
      </w:r>
      <w:r w:rsidR="00821309">
        <w:t xml:space="preserve">t </w:t>
      </w:r>
      <w:r w:rsidR="004E586C" w:rsidRPr="003215C5">
        <w:t xml:space="preserve">academic or objective </w:t>
      </w:r>
      <w:r w:rsidR="00821309">
        <w:t xml:space="preserve">to </w:t>
      </w:r>
      <w:r w:rsidR="004E586C" w:rsidRPr="003215C5">
        <w:t>encourage</w:t>
      </w:r>
      <w:r w:rsidR="00821309">
        <w:t xml:space="preserve"> a socially diverse student body, </w:t>
      </w:r>
      <w:r w:rsidR="007810EF" w:rsidRPr="003215C5">
        <w:t>or s</w:t>
      </w:r>
      <w:r w:rsidR="004E586C" w:rsidRPr="003215C5">
        <w:t>pecific talent.</w:t>
      </w:r>
      <w:r w:rsidR="007810EF" w:rsidRPr="003215C5">
        <w:rPr>
          <w:rStyle w:val="FootnoteReference"/>
        </w:rPr>
        <w:footnoteReference w:id="183"/>
      </w:r>
      <w:r w:rsidR="004E586C" w:rsidRPr="003215C5">
        <w:t xml:space="preserve"> The American approach is integrated</w:t>
      </w:r>
      <w:r w:rsidR="004B6507">
        <w:t>.</w:t>
      </w:r>
      <w:r w:rsidR="004E586C" w:rsidRPr="003215C5">
        <w:t xml:space="preserve"> </w:t>
      </w:r>
      <w:r w:rsidR="00821309">
        <w:t>T</w:t>
      </w:r>
      <w:r w:rsidR="004E586C" w:rsidRPr="003215C5">
        <w:t xml:space="preserve">here </w:t>
      </w:r>
      <w:r w:rsidR="00821309">
        <w:t xml:space="preserve">is affirmative action </w:t>
      </w:r>
      <w:r w:rsidR="004E586C" w:rsidRPr="003215C5">
        <w:t>that sometimes allow</w:t>
      </w:r>
      <w:r w:rsidR="00821309">
        <w:t>s</w:t>
      </w:r>
      <w:r w:rsidR="004E586C" w:rsidRPr="003215C5">
        <w:t xml:space="preserve"> for deviations from </w:t>
      </w:r>
      <w:r w:rsidR="00821309">
        <w:t>m</w:t>
      </w:r>
      <w:r w:rsidR="007810EF" w:rsidRPr="003215C5">
        <w:t>erit</w:t>
      </w:r>
      <w:r w:rsidR="004E586C" w:rsidRPr="003215C5">
        <w:t xml:space="preserve"> values, but these are </w:t>
      </w:r>
      <w:r w:rsidR="00701DD9">
        <w:t xml:space="preserve">focused </w:t>
      </w:r>
      <w:r w:rsidR="004E586C" w:rsidRPr="003215C5">
        <w:t xml:space="preserve">and limited </w:t>
      </w:r>
      <w:r w:rsidR="00821309">
        <w:t>programs</w:t>
      </w:r>
      <w:r w:rsidR="00701DD9">
        <w:t>,</w:t>
      </w:r>
      <w:r w:rsidR="00821309">
        <w:t xml:space="preserve"> </w:t>
      </w:r>
      <w:r w:rsidR="004E586C" w:rsidRPr="003215C5">
        <w:t xml:space="preserve">that are still dominated by </w:t>
      </w:r>
      <w:r w:rsidR="00701DD9">
        <w:t xml:space="preserve">the </w:t>
      </w:r>
      <w:r w:rsidR="004E586C" w:rsidRPr="003215C5">
        <w:t>white male hegemony.</w:t>
      </w:r>
      <w:r w:rsidR="007810EF" w:rsidRPr="003215C5">
        <w:rPr>
          <w:rStyle w:val="FootnoteReference"/>
        </w:rPr>
        <w:footnoteReference w:id="184"/>
      </w:r>
      <w:r w:rsidR="004E586C" w:rsidRPr="003215C5">
        <w:t xml:space="preserve"> The </w:t>
      </w:r>
      <w:r w:rsidR="007810EF" w:rsidRPr="003215C5">
        <w:t>merit</w:t>
      </w:r>
      <w:r w:rsidR="004E586C" w:rsidRPr="003215C5">
        <w:t>ocratic principles which the United States has chosen to incorporate in its domestic model are different from those accepted in the classic</w:t>
      </w:r>
      <w:r w:rsidR="00821309">
        <w:t xml:space="preserve"> </w:t>
      </w:r>
      <w:r w:rsidR="007810EF" w:rsidRPr="003215C5">
        <w:t>merit</w:t>
      </w:r>
      <w:r w:rsidR="004E586C" w:rsidRPr="003215C5">
        <w:t>ocratic model.</w:t>
      </w:r>
      <w:r w:rsidR="007810EF" w:rsidRPr="003215C5">
        <w:rPr>
          <w:rStyle w:val="FootnoteReference"/>
        </w:rPr>
        <w:footnoteReference w:id="185"/>
      </w:r>
      <w:r w:rsidR="004E586C" w:rsidRPr="003215C5">
        <w:t xml:space="preserve"> One of the most prominent </w:t>
      </w:r>
      <w:r w:rsidR="00701DD9">
        <w:t>indications</w:t>
      </w:r>
      <w:r w:rsidR="004E586C" w:rsidRPr="003215C5">
        <w:t xml:space="preserve"> </w:t>
      </w:r>
      <w:r w:rsidR="00701DD9">
        <w:t xml:space="preserve">are </w:t>
      </w:r>
      <w:r w:rsidR="004E586C" w:rsidRPr="003215C5">
        <w:t xml:space="preserve">the threshold conditions, which are usually </w:t>
      </w:r>
      <w:r w:rsidR="00821309">
        <w:t xml:space="preserve">set </w:t>
      </w:r>
      <w:r w:rsidR="00701DD9">
        <w:t xml:space="preserve">by </w:t>
      </w:r>
      <w:r w:rsidR="004E586C" w:rsidRPr="003215C5">
        <w:t xml:space="preserve">the </w:t>
      </w:r>
      <w:r w:rsidR="00701DD9">
        <w:t xml:space="preserve">director </w:t>
      </w:r>
      <w:r w:rsidR="004E586C" w:rsidRPr="003215C5">
        <w:t xml:space="preserve">of the </w:t>
      </w:r>
      <w:r w:rsidR="00701DD9">
        <w:t xml:space="preserve">ministry </w:t>
      </w:r>
      <w:r w:rsidR="004E586C" w:rsidRPr="003215C5">
        <w:t>and not by a professional body, alongside the existence of independent supervisory bodies (the OPM and the MSPB). The importance that the U</w:t>
      </w:r>
      <w:r w:rsidR="004B6507">
        <w:t>.</w:t>
      </w:r>
      <w:r w:rsidR="004E586C" w:rsidRPr="003215C5">
        <w:t>S</w:t>
      </w:r>
      <w:r w:rsidR="004B6507">
        <w:t>.</w:t>
      </w:r>
      <w:r w:rsidR="004E586C" w:rsidRPr="003215C5">
        <w:t xml:space="preserve"> administration</w:t>
      </w:r>
      <w:r w:rsidR="007810EF" w:rsidRPr="003215C5">
        <w:rPr>
          <w:rStyle w:val="FootnoteReference"/>
        </w:rPr>
        <w:footnoteReference w:id="186"/>
      </w:r>
      <w:r w:rsidR="004E586C" w:rsidRPr="003215C5">
        <w:t xml:space="preserve"> </w:t>
      </w:r>
      <w:r w:rsidR="00821309">
        <w:t>a</w:t>
      </w:r>
      <w:r w:rsidR="004B6507">
        <w:t>ccords</w:t>
      </w:r>
      <w:r w:rsidR="00821309">
        <w:t xml:space="preserve"> m</w:t>
      </w:r>
      <w:r w:rsidR="007810EF" w:rsidRPr="003215C5">
        <w:t>erit</w:t>
      </w:r>
      <w:r w:rsidR="004E586C" w:rsidRPr="003215C5">
        <w:t xml:space="preserve"> is reflected in the establishment of a special office for </w:t>
      </w:r>
      <w:r w:rsidR="00821309">
        <w:t>m</w:t>
      </w:r>
      <w:r w:rsidR="007810EF" w:rsidRPr="003215C5">
        <w:t>erit</w:t>
      </w:r>
      <w:r w:rsidR="004E586C" w:rsidRPr="003215C5">
        <w:t xml:space="preserve"> affairs.</w:t>
      </w:r>
      <w:r w:rsidR="007810EF" w:rsidRPr="003215C5">
        <w:rPr>
          <w:rStyle w:val="FootnoteReference"/>
        </w:rPr>
        <w:footnoteReference w:id="187"/>
      </w:r>
      <w:r w:rsidR="004E586C" w:rsidRPr="003215C5">
        <w:t xml:space="preserve"> While the U.S. government appears to have applied </w:t>
      </w:r>
      <w:r w:rsidR="00821309">
        <w:t>m</w:t>
      </w:r>
      <w:r w:rsidR="007810EF" w:rsidRPr="003215C5">
        <w:t>erit</w:t>
      </w:r>
      <w:r w:rsidR="004E586C" w:rsidRPr="003215C5">
        <w:t xml:space="preserve"> extensively, studies </w:t>
      </w:r>
      <w:r w:rsidR="004E586C" w:rsidRPr="003215C5">
        <w:lastRenderedPageBreak/>
        <w:t xml:space="preserve">show that more than </w:t>
      </w:r>
      <w:r w:rsidR="004B6507">
        <w:t>two thirds</w:t>
      </w:r>
      <w:r w:rsidR="004E586C" w:rsidRPr="003215C5">
        <w:t xml:space="preserve"> of workers are employed in ways that deviate from the general model that </w:t>
      </w:r>
      <w:r w:rsidR="00821309">
        <w:t>prescribes m</w:t>
      </w:r>
      <w:r w:rsidR="007810EF" w:rsidRPr="003215C5">
        <w:t>erit</w:t>
      </w:r>
      <w:r w:rsidR="004E586C" w:rsidRPr="003215C5">
        <w:t xml:space="preserve"> values.</w:t>
      </w:r>
      <w:r w:rsidR="007810EF" w:rsidRPr="003215C5">
        <w:rPr>
          <w:rStyle w:val="FootnoteReference"/>
        </w:rPr>
        <w:footnoteReference w:id="188"/>
      </w:r>
    </w:p>
    <w:p w14:paraId="6DAC7055" w14:textId="4444A34B" w:rsidR="004E586C" w:rsidRPr="003215C5" w:rsidRDefault="004E586C" w:rsidP="00286484">
      <w:pPr>
        <w:spacing w:line="360" w:lineRule="auto"/>
        <w:ind w:firstLine="720"/>
        <w:jc w:val="both"/>
      </w:pPr>
      <w:r w:rsidRPr="003215C5">
        <w:t>The purpose of implementing the principle of equal opportunity as an expression of the right to equality (</w:t>
      </w:r>
      <w:r w:rsidR="00821309">
        <w:t xml:space="preserve">the </w:t>
      </w:r>
      <w:r w:rsidRPr="003215C5">
        <w:t xml:space="preserve">Equal Protection Clause) </w:t>
      </w:r>
      <w:r w:rsidR="00701DD9">
        <w:t xml:space="preserve">prescribed by </w:t>
      </w:r>
      <w:r w:rsidRPr="003215C5">
        <w:t>the 14</w:t>
      </w:r>
      <w:r w:rsidRPr="00821309">
        <w:rPr>
          <w:vertAlign w:val="superscript"/>
        </w:rPr>
        <w:t>th</w:t>
      </w:r>
      <w:r w:rsidRPr="003215C5">
        <w:t xml:space="preserve"> Amendment to the </w:t>
      </w:r>
      <w:r w:rsidR="00701DD9">
        <w:t>U</w:t>
      </w:r>
      <w:r w:rsidR="004B6507">
        <w:t>.</w:t>
      </w:r>
      <w:r w:rsidR="00701DD9">
        <w:t>S</w:t>
      </w:r>
      <w:r w:rsidR="004B6507">
        <w:t>.</w:t>
      </w:r>
      <w:r w:rsidR="00701DD9">
        <w:t xml:space="preserve"> </w:t>
      </w:r>
      <w:r w:rsidRPr="003215C5">
        <w:t xml:space="preserve">Constitution was ostensibly achieved with the enactment of the Civil Right Act in 1964, when </w:t>
      </w:r>
      <w:r w:rsidR="00821309">
        <w:t>S</w:t>
      </w:r>
      <w:r w:rsidRPr="003215C5">
        <w:t xml:space="preserve">ection 703 declared </w:t>
      </w:r>
      <w:r w:rsidR="004B6507">
        <w:t>ill</w:t>
      </w:r>
      <w:r w:rsidR="004B6507" w:rsidRPr="003215C5">
        <w:t>egal</w:t>
      </w:r>
      <w:r w:rsidR="004B6507">
        <w:t xml:space="preserve"> the</w:t>
      </w:r>
      <w:r w:rsidRPr="003215C5">
        <w:t xml:space="preserve"> practice of recruiting or promoting workers </w:t>
      </w:r>
      <w:r w:rsidR="00821309">
        <w:t xml:space="preserve">in a </w:t>
      </w:r>
      <w:r w:rsidRPr="003215C5">
        <w:t xml:space="preserve">discriminatory </w:t>
      </w:r>
      <w:r w:rsidR="00821309">
        <w:t>manner</w:t>
      </w:r>
      <w:r w:rsidRPr="003215C5">
        <w:t xml:space="preserve">. </w:t>
      </w:r>
      <w:r w:rsidR="00821309">
        <w:t>Thus, f</w:t>
      </w:r>
      <w:r w:rsidRPr="003215C5">
        <w:t xml:space="preserve">or </w:t>
      </w:r>
      <w:r w:rsidR="004B6507">
        <w:t>example</w:t>
      </w:r>
      <w:r w:rsidRPr="003215C5">
        <w:t xml:space="preserve">, on the basis of </w:t>
      </w:r>
      <w:r w:rsidR="00821309">
        <w:t xml:space="preserve">said </w:t>
      </w:r>
      <w:r w:rsidRPr="003215C5">
        <w:t>section, the Supreme Court rejected eligibility tests for employees</w:t>
      </w:r>
      <w:r w:rsidR="00701DD9">
        <w:t xml:space="preserve"> </w:t>
      </w:r>
      <w:r w:rsidRPr="003215C5">
        <w:t>which ostensibly provided equal opportunit</w:t>
      </w:r>
      <w:r w:rsidR="00701DD9">
        <w:t xml:space="preserve">ies for </w:t>
      </w:r>
      <w:r w:rsidRPr="003215C5">
        <w:t xml:space="preserve">all candidates, but were in fact irrelevant to the nature of the </w:t>
      </w:r>
      <w:r w:rsidR="00821309">
        <w:t>position</w:t>
      </w:r>
      <w:r w:rsidR="004B6507">
        <w:t>;</w:t>
      </w:r>
      <w:r w:rsidRPr="003215C5">
        <w:t xml:space="preserve"> their real purpose was to deny or diminish </w:t>
      </w:r>
      <w:r w:rsidR="00821309">
        <w:t xml:space="preserve">the </w:t>
      </w:r>
      <w:r w:rsidRPr="003215C5">
        <w:t>chance</w:t>
      </w:r>
      <w:r w:rsidR="00821309">
        <w:t>s</w:t>
      </w:r>
      <w:r w:rsidRPr="003215C5">
        <w:t xml:space="preserve"> </w:t>
      </w:r>
      <w:r w:rsidR="00821309">
        <w:t xml:space="preserve">of </w:t>
      </w:r>
      <w:r w:rsidRPr="003215C5">
        <w:t>certain candidates</w:t>
      </w:r>
      <w:r w:rsidR="00821309">
        <w:t>, in that case</w:t>
      </w:r>
      <w:r w:rsidR="00157FAC">
        <w:t>,</w:t>
      </w:r>
      <w:r w:rsidR="00701DD9">
        <w:t xml:space="preserve"> </w:t>
      </w:r>
      <w:r w:rsidR="00821309">
        <w:t>African American candidates</w:t>
      </w:r>
      <w:r w:rsidRPr="003215C5">
        <w:t>.</w:t>
      </w:r>
      <w:r w:rsidR="007810EF" w:rsidRPr="003215C5">
        <w:rPr>
          <w:rStyle w:val="FootnoteReference"/>
        </w:rPr>
        <w:footnoteReference w:id="189"/>
      </w:r>
      <w:r w:rsidRPr="003215C5">
        <w:t xml:space="preserve"> It later </w:t>
      </w:r>
      <w:r w:rsidR="00821309">
        <w:t xml:space="preserve">transpired </w:t>
      </w:r>
      <w:r w:rsidRPr="003215C5">
        <w:t xml:space="preserve">that even </w:t>
      </w:r>
      <w:r w:rsidR="00821309">
        <w:t xml:space="preserve">when </w:t>
      </w:r>
      <w:r w:rsidR="00821309" w:rsidRPr="003215C5">
        <w:t xml:space="preserve">equal opportunity </w:t>
      </w:r>
      <w:r w:rsidRPr="003215C5">
        <w:t xml:space="preserve">was </w:t>
      </w:r>
      <w:r w:rsidR="00821309">
        <w:t>granted</w:t>
      </w:r>
      <w:r w:rsidRPr="003215C5">
        <w:t>, no results were achieved.</w:t>
      </w:r>
      <w:r w:rsidR="003B1E58" w:rsidRPr="003215C5">
        <w:rPr>
          <w:rStyle w:val="FootnoteReference"/>
        </w:rPr>
        <w:footnoteReference w:id="190"/>
      </w:r>
      <w:r w:rsidRPr="003215C5">
        <w:t xml:space="preserve"> Against this background, a trend </w:t>
      </w:r>
      <w:r w:rsidR="00821309">
        <w:t xml:space="preserve">arose demanding </w:t>
      </w:r>
      <w:r w:rsidRPr="003215C5">
        <w:t xml:space="preserve">redistribution of resources and social engineering, aimed at </w:t>
      </w:r>
      <w:r w:rsidR="00821309">
        <w:t xml:space="preserve">achieving </w:t>
      </w:r>
      <w:r w:rsidRPr="003215C5">
        <w:t>results.</w:t>
      </w:r>
      <w:r w:rsidR="003B1E58" w:rsidRPr="003215C5">
        <w:rPr>
          <w:rStyle w:val="FootnoteReference"/>
        </w:rPr>
        <w:footnoteReference w:id="191"/>
      </w:r>
      <w:r w:rsidRPr="003215C5">
        <w:t xml:space="preserve"> But this conception of equality </w:t>
      </w:r>
      <w:r w:rsidR="00821309">
        <w:t xml:space="preserve">of </w:t>
      </w:r>
      <w:r w:rsidRPr="003215C5">
        <w:t>results</w:t>
      </w:r>
      <w:r w:rsidR="00821309">
        <w:t xml:space="preserve"> generated </w:t>
      </w:r>
      <w:r w:rsidRPr="003215C5">
        <w:t>oppo</w:t>
      </w:r>
      <w:r w:rsidR="00821309">
        <w:t>sition</w:t>
      </w:r>
      <w:r w:rsidRPr="003215C5">
        <w:t xml:space="preserve">, </w:t>
      </w:r>
      <w:r w:rsidR="00672092">
        <w:t xml:space="preserve">raising the banner of </w:t>
      </w:r>
      <w:r w:rsidRPr="003215C5">
        <w:t>harm to the majority group</w:t>
      </w:r>
      <w:r w:rsidR="00672092">
        <w:t>,</w:t>
      </w:r>
      <w:r w:rsidRPr="003215C5">
        <w:t xml:space="preserve"> </w:t>
      </w:r>
      <w:r w:rsidR="00672092">
        <w:t xml:space="preserve">as well as </w:t>
      </w:r>
      <w:r w:rsidRPr="003215C5">
        <w:t>the argument of economic viability as a consideration.</w:t>
      </w:r>
      <w:r w:rsidR="003B1E58" w:rsidRPr="003215C5">
        <w:rPr>
          <w:rStyle w:val="FootnoteReference"/>
        </w:rPr>
        <w:footnoteReference w:id="192"/>
      </w:r>
    </w:p>
    <w:p w14:paraId="40E617A2" w14:textId="59E7D917" w:rsidR="004E586C" w:rsidRPr="003215C5" w:rsidRDefault="004E586C" w:rsidP="00286484">
      <w:pPr>
        <w:spacing w:line="360" w:lineRule="auto"/>
        <w:ind w:firstLine="720"/>
        <w:jc w:val="both"/>
      </w:pPr>
      <w:r w:rsidRPr="003215C5">
        <w:t xml:space="preserve">In the 1970s, the Nixon administration created the </w:t>
      </w:r>
      <w:r w:rsidR="008578D4" w:rsidRPr="003215C5">
        <w:t>“</w:t>
      </w:r>
      <w:r w:rsidRPr="003215C5">
        <w:t>Philadelphia Program,</w:t>
      </w:r>
      <w:r w:rsidR="008578D4" w:rsidRPr="003215C5">
        <w:t>”</w:t>
      </w:r>
      <w:r w:rsidRPr="003215C5">
        <w:t xml:space="preserve"> the first major quota program that shifted the emphasis from positive recruitment to positive affirmative action for women and minorities </w:t>
      </w:r>
      <w:r w:rsidR="00672092">
        <w:t>with</w:t>
      </w:r>
      <w:r w:rsidRPr="003215C5">
        <w:t xml:space="preserve">in the civil service, </w:t>
      </w:r>
      <w:r w:rsidR="00672092">
        <w:t xml:space="preserve">the </w:t>
      </w:r>
      <w:r w:rsidRPr="003215C5">
        <w:t>business</w:t>
      </w:r>
      <w:r w:rsidR="00672092">
        <w:t xml:space="preserve"> sector</w:t>
      </w:r>
      <w:r w:rsidRPr="003215C5">
        <w:t xml:space="preserve">, and universities, </w:t>
      </w:r>
      <w:r w:rsidR="00672092">
        <w:t xml:space="preserve">claiming </w:t>
      </w:r>
      <w:r w:rsidR="006147F9">
        <w:t xml:space="preserve">it compensated </w:t>
      </w:r>
      <w:r w:rsidRPr="003215C5">
        <w:t>for past discrimination. Subsequently, the reasoning among proponents of this policy changed</w:t>
      </w:r>
      <w:r w:rsidR="00672092">
        <w:t>,</w:t>
      </w:r>
      <w:r w:rsidRPr="003215C5">
        <w:t xml:space="preserve"> and today it is based on the </w:t>
      </w:r>
      <w:r w:rsidR="00701DD9" w:rsidRPr="003215C5">
        <w:t xml:space="preserve">diversity </w:t>
      </w:r>
      <w:r w:rsidR="00672092" w:rsidRPr="003215C5">
        <w:t>argument</w:t>
      </w:r>
      <w:r w:rsidRPr="003215C5">
        <w:t>. Beginning in the mid-1980s</w:t>
      </w:r>
      <w:r w:rsidR="00672092">
        <w:t>,</w:t>
      </w:r>
      <w:r w:rsidRPr="003215C5">
        <w:t xml:space="preserve"> a trend formed in the administration to reduce </w:t>
      </w:r>
      <w:r w:rsidR="00701DD9">
        <w:t xml:space="preserve">employing </w:t>
      </w:r>
      <w:r w:rsidRPr="003215C5">
        <w:t>affirmative action polic</w:t>
      </w:r>
      <w:r w:rsidR="006147F9">
        <w:t>ies</w:t>
      </w:r>
      <w:r w:rsidR="00672092">
        <w:t>,</w:t>
      </w:r>
      <w:r w:rsidRPr="003215C5">
        <w:t xml:space="preserve"> </w:t>
      </w:r>
      <w:r w:rsidR="00701DD9">
        <w:t xml:space="preserve">with the </w:t>
      </w:r>
      <w:r w:rsidRPr="003215C5">
        <w:t>Congress demonstrat</w:t>
      </w:r>
      <w:r w:rsidR="00701DD9">
        <w:t xml:space="preserve">ing </w:t>
      </w:r>
      <w:r w:rsidRPr="003215C5">
        <w:t>ambivalen</w:t>
      </w:r>
      <w:r w:rsidR="00701DD9">
        <w:t>ce</w:t>
      </w:r>
      <w:r w:rsidRPr="003215C5">
        <w:t xml:space="preserve">: </w:t>
      </w:r>
      <w:r w:rsidR="00157FAC">
        <w:t>outward</w:t>
      </w:r>
      <w:r w:rsidRPr="003215C5">
        <w:t xml:space="preserve"> reluctance </w:t>
      </w:r>
      <w:r w:rsidR="00672092">
        <w:t xml:space="preserve">coupled with </w:t>
      </w:r>
      <w:r w:rsidR="00701DD9">
        <w:t xml:space="preserve">actual </w:t>
      </w:r>
      <w:r w:rsidRPr="003215C5">
        <w:t xml:space="preserve">support </w:t>
      </w:r>
      <w:r w:rsidR="00672092">
        <w:t>in practice</w:t>
      </w:r>
      <w:r w:rsidRPr="003215C5">
        <w:t xml:space="preserve">. The fear </w:t>
      </w:r>
      <w:r w:rsidR="00672092">
        <w:t xml:space="preserve">exhibited by </w:t>
      </w:r>
      <w:r w:rsidRPr="003215C5">
        <w:t>elected officials to formally approve th</w:t>
      </w:r>
      <w:r w:rsidR="00672092">
        <w:t>e</w:t>
      </w:r>
      <w:r w:rsidRPr="003215C5">
        <w:t xml:space="preserve"> policy was based on the claim that it contradicted the Civil Rights Act, which prohibits any form of discrimination, even one in favo</w:t>
      </w:r>
      <w:r w:rsidR="00672092">
        <w:t>u</w:t>
      </w:r>
      <w:r w:rsidRPr="003215C5">
        <w:t xml:space="preserve">r of minorities. This position caused the Supreme Court to play a key role in the issue, and it set strict rules for implementing </w:t>
      </w:r>
      <w:r w:rsidR="001951EA" w:rsidRPr="003215C5">
        <w:t>affirmative action program</w:t>
      </w:r>
      <w:r w:rsidRPr="003215C5">
        <w:t>s that threatened to put an end to th</w:t>
      </w:r>
      <w:r w:rsidR="00701DD9">
        <w:t>e</w:t>
      </w:r>
      <w:r w:rsidRPr="003215C5">
        <w:t xml:space="preserve"> policy, and the socio-political controversy surrounding the issue of affirmative action </w:t>
      </w:r>
      <w:r w:rsidR="006147F9">
        <w:t>has been</w:t>
      </w:r>
      <w:r w:rsidRPr="003215C5">
        <w:t xml:space="preserve"> clearly and emphatically </w:t>
      </w:r>
      <w:r w:rsidR="006147F9">
        <w:t xml:space="preserve">set forth in a series of </w:t>
      </w:r>
      <w:r w:rsidRPr="003215C5">
        <w:t xml:space="preserve">Supreme Court </w:t>
      </w:r>
      <w:r w:rsidR="00672092">
        <w:t>judgements</w:t>
      </w:r>
      <w:r w:rsidRPr="003215C5">
        <w:t xml:space="preserve">. The attitude of the </w:t>
      </w:r>
      <w:r w:rsidR="006147F9">
        <w:t>c</w:t>
      </w:r>
      <w:r w:rsidRPr="003215C5">
        <w:t xml:space="preserve">ourts towards the explicit use of a program that offers preferential treatment to candidates from the </w:t>
      </w:r>
      <w:r w:rsidRPr="003215C5">
        <w:lastRenderedPageBreak/>
        <w:t>minority population</w:t>
      </w:r>
      <w:r w:rsidR="00672092">
        <w:t>,</w:t>
      </w:r>
      <w:r w:rsidRPr="003215C5">
        <w:t xml:space="preserve"> or the use of quotas</w:t>
      </w:r>
      <w:r w:rsidR="00672092">
        <w:t>,</w:t>
      </w:r>
      <w:r w:rsidRPr="003215C5">
        <w:t xml:space="preserve"> has undergone many changes</w:t>
      </w:r>
      <w:r w:rsidR="00672092">
        <w:t>,</w:t>
      </w:r>
      <w:r w:rsidRPr="003215C5">
        <w:t xml:space="preserve"> and today such programs </w:t>
      </w:r>
      <w:r w:rsidR="00672092">
        <w:t xml:space="preserve">could </w:t>
      </w:r>
      <w:r w:rsidRPr="003215C5">
        <w:t xml:space="preserve">be </w:t>
      </w:r>
      <w:r w:rsidR="006147F9">
        <w:t xml:space="preserve">declared </w:t>
      </w:r>
      <w:r w:rsidRPr="003215C5">
        <w:t xml:space="preserve">illegal. Even the use of </w:t>
      </w:r>
      <w:r w:rsidR="00672092">
        <w:t>the tiebreaker</w:t>
      </w:r>
      <w:r w:rsidRPr="003215C5">
        <w:t xml:space="preserve">, that is, giving preference only in cases where there is equality between a candidate from a minority population and a candidate from the majority </w:t>
      </w:r>
      <w:r w:rsidR="00672092">
        <w:t>group</w:t>
      </w:r>
      <w:r w:rsidRPr="003215C5">
        <w:t>, can cause legal problems for employers.</w:t>
      </w:r>
    </w:p>
    <w:p w14:paraId="56256F40" w14:textId="6B363D38" w:rsidR="004E586C" w:rsidRPr="003215C5" w:rsidRDefault="004E586C" w:rsidP="00286484">
      <w:pPr>
        <w:spacing w:line="360" w:lineRule="auto"/>
        <w:ind w:firstLine="720"/>
        <w:jc w:val="both"/>
      </w:pPr>
      <w:r w:rsidRPr="003215C5">
        <w:t xml:space="preserve">The conflict of </w:t>
      </w:r>
      <w:r w:rsidR="006147F9">
        <w:t xml:space="preserve">the </w:t>
      </w:r>
      <w:r w:rsidR="004C057F" w:rsidRPr="003215C5">
        <w:t xml:space="preserve">values </w:t>
      </w:r>
      <w:r w:rsidR="004C057F">
        <w:t xml:space="preserve">of </w:t>
      </w:r>
      <w:r w:rsidR="007810EF" w:rsidRPr="003215C5">
        <w:t>merit</w:t>
      </w:r>
      <w:r w:rsidRPr="003215C5">
        <w:t xml:space="preserve"> ​​with </w:t>
      </w:r>
      <w:r w:rsidR="001951EA" w:rsidRPr="003215C5">
        <w:t xml:space="preserve">affirmative action </w:t>
      </w:r>
      <w:r w:rsidRPr="003215C5">
        <w:t xml:space="preserve">has never been examined in depth, in part because the affirmative action model is perceived as </w:t>
      </w:r>
      <w:r w:rsidR="006147F9">
        <w:t xml:space="preserve">a </w:t>
      </w:r>
      <w:r w:rsidRPr="003215C5">
        <w:t>temporary policy.</w:t>
      </w:r>
      <w:r w:rsidR="003B1E58" w:rsidRPr="003215C5">
        <w:rPr>
          <w:rStyle w:val="FootnoteReference"/>
        </w:rPr>
        <w:footnoteReference w:id="193"/>
      </w:r>
      <w:r w:rsidRPr="003215C5">
        <w:t xml:space="preserve"> Similarly, in the Weber</w:t>
      </w:r>
      <w:r w:rsidR="00FB7C15" w:rsidRPr="00FB7C15">
        <w:t xml:space="preserve"> </w:t>
      </w:r>
      <w:r w:rsidR="00FB7C15" w:rsidRPr="003215C5">
        <w:t>case</w:t>
      </w:r>
      <w:r w:rsidR="003B1E58" w:rsidRPr="003215C5">
        <w:rPr>
          <w:rStyle w:val="FootnoteReference"/>
        </w:rPr>
        <w:footnoteReference w:id="194"/>
      </w:r>
      <w:r w:rsidRPr="003215C5">
        <w:t xml:space="preserve"> in the United States, the </w:t>
      </w:r>
      <w:r w:rsidR="004C057F">
        <w:t>C</w:t>
      </w:r>
      <w:r w:rsidRPr="003215C5">
        <w:t xml:space="preserve">ourt defined the </w:t>
      </w:r>
      <w:r w:rsidR="001951EA" w:rsidRPr="003215C5">
        <w:t>affirmative action program</w:t>
      </w:r>
      <w:r w:rsidRPr="003215C5">
        <w:t xml:space="preserve">, the </w:t>
      </w:r>
      <w:r w:rsidR="004C057F" w:rsidRPr="003215C5">
        <w:t>model</w:t>
      </w:r>
      <w:r w:rsidR="004C057F">
        <w:t>’s</w:t>
      </w:r>
      <w:r w:rsidR="004C057F" w:rsidRPr="003215C5">
        <w:t xml:space="preserve"> </w:t>
      </w:r>
      <w:r w:rsidRPr="003215C5">
        <w:t xml:space="preserve">pioneer, as a temporary measure that allows one group to take precedence over another, until the population assimilates and proves itself and thus no longer needs employment discrimination solutions. In its ruling, the Supreme Court addressed the question of the legality of setting </w:t>
      </w:r>
      <w:r w:rsidR="004C057F">
        <w:t xml:space="preserve">affirmative action </w:t>
      </w:r>
      <w:r w:rsidRPr="003215C5">
        <w:t>quotas,</w:t>
      </w:r>
      <w:r w:rsidR="003B1E58" w:rsidRPr="003215C5">
        <w:rPr>
          <w:rStyle w:val="FootnoteReference"/>
        </w:rPr>
        <w:footnoteReference w:id="195"/>
      </w:r>
      <w:r w:rsidRPr="003215C5">
        <w:t xml:space="preserve"> and ruled</w:t>
      </w:r>
      <w:r w:rsidR="004C057F">
        <w:t>,</w:t>
      </w:r>
      <w:r w:rsidRPr="003215C5">
        <w:t xml:space="preserve"> by a majority</w:t>
      </w:r>
      <w:r w:rsidR="004C057F">
        <w:t>,</w:t>
      </w:r>
      <w:r w:rsidRPr="003215C5">
        <w:t xml:space="preserve"> that in th</w:t>
      </w:r>
      <w:r w:rsidR="004C057F">
        <w:t>os</w:t>
      </w:r>
      <w:r w:rsidRPr="003215C5">
        <w:t xml:space="preserve">e circumstances, the quota plan </w:t>
      </w:r>
      <w:r w:rsidR="004C057F">
        <w:t>wa</w:t>
      </w:r>
      <w:r w:rsidRPr="003215C5">
        <w:t xml:space="preserve">s proportionate, </w:t>
      </w:r>
      <w:r w:rsidR="006147F9">
        <w:t>but that</w:t>
      </w:r>
      <w:r w:rsidRPr="003215C5">
        <w:t xml:space="preserve"> setting quotas </w:t>
      </w:r>
      <w:r w:rsidR="004C057F">
        <w:t>wa</w:t>
      </w:r>
      <w:r w:rsidRPr="003215C5">
        <w:t>s prohibited</w:t>
      </w:r>
      <w:r w:rsidR="00FB7C15" w:rsidRPr="00FB7C15">
        <w:t xml:space="preserve"> </w:t>
      </w:r>
      <w:r w:rsidR="00FB7C15">
        <w:t>notwithstanding</w:t>
      </w:r>
      <w:r w:rsidRPr="003215C5">
        <w:t>.</w:t>
      </w:r>
      <w:r w:rsidR="003B1E58" w:rsidRPr="003215C5">
        <w:rPr>
          <w:rStyle w:val="FootnoteReference"/>
        </w:rPr>
        <w:footnoteReference w:id="196"/>
      </w:r>
      <w:r w:rsidRPr="003215C5">
        <w:t xml:space="preserve"> This approach </w:t>
      </w:r>
      <w:r w:rsidR="004C057F">
        <w:t xml:space="preserve">by </w:t>
      </w:r>
      <w:r w:rsidRPr="003215C5">
        <w:t>the Court in the Weber case differ</w:t>
      </w:r>
      <w:r w:rsidR="00FB7C15">
        <w:t>ed</w:t>
      </w:r>
      <w:r w:rsidRPr="003215C5">
        <w:t xml:space="preserve"> from that </w:t>
      </w:r>
      <w:r w:rsidR="006147F9">
        <w:t>of</w:t>
      </w:r>
      <w:r w:rsidR="004C057F">
        <w:t xml:space="preserve"> </w:t>
      </w:r>
      <w:r w:rsidRPr="003215C5">
        <w:t>Ju</w:t>
      </w:r>
      <w:r w:rsidR="006147F9">
        <w:t>stice</w:t>
      </w:r>
      <w:r w:rsidRPr="003215C5">
        <w:t xml:space="preserve"> Powell previously </w:t>
      </w:r>
      <w:r w:rsidR="004C057F">
        <w:t xml:space="preserve">established </w:t>
      </w:r>
      <w:r w:rsidRPr="003215C5">
        <w:t>in the Bakke case</w:t>
      </w:r>
      <w:r w:rsidR="004C057F">
        <w:t>,</w:t>
      </w:r>
      <w:r w:rsidRPr="003215C5">
        <w:t xml:space="preserve"> that affirmative action </w:t>
      </w:r>
      <w:r w:rsidR="004C057F">
        <w:t xml:space="preserve">by </w:t>
      </w:r>
      <w:r w:rsidRPr="003215C5">
        <w:t>quota</w:t>
      </w:r>
      <w:r w:rsidR="004C057F">
        <w:t xml:space="preserve"> </w:t>
      </w:r>
      <w:r w:rsidRPr="003215C5">
        <w:t>is disproportionate, which he also repeated in later rulings.</w:t>
      </w:r>
      <w:r w:rsidR="003B1E58" w:rsidRPr="003215C5">
        <w:rPr>
          <w:rStyle w:val="FootnoteReference"/>
        </w:rPr>
        <w:footnoteReference w:id="197"/>
      </w:r>
      <w:r w:rsidRPr="003215C5">
        <w:t xml:space="preserve"> The </w:t>
      </w:r>
      <w:r w:rsidR="004C057F">
        <w:t>C</w:t>
      </w:r>
      <w:r w:rsidRPr="003215C5">
        <w:t xml:space="preserve">ourt </w:t>
      </w:r>
      <w:r w:rsidR="004C057F">
        <w:t xml:space="preserve">had to address the question </w:t>
      </w:r>
      <w:r w:rsidR="00157FAC">
        <w:t xml:space="preserve">of </w:t>
      </w:r>
      <w:r w:rsidRPr="003215C5">
        <w:t xml:space="preserve">whether the state is </w:t>
      </w:r>
      <w:r w:rsidR="004C057F">
        <w:t xml:space="preserve">entitled </w:t>
      </w:r>
      <w:r w:rsidRPr="003215C5">
        <w:t>to set a quota for a particular target group, competi</w:t>
      </w:r>
      <w:r w:rsidR="004C057F">
        <w:t xml:space="preserve">ng </w:t>
      </w:r>
      <w:r w:rsidR="00FB7C15">
        <w:t xml:space="preserve">only </w:t>
      </w:r>
      <w:r w:rsidRPr="003215C5">
        <w:t>among themselves</w:t>
      </w:r>
      <w:r w:rsidR="00157FAC">
        <w:t>.</w:t>
      </w:r>
      <w:r w:rsidRPr="003215C5">
        <w:t xml:space="preserve"> The Supreme Court ruled, at the request of the petitioner who </w:t>
      </w:r>
      <w:r w:rsidR="004C057F">
        <w:t>wa</w:t>
      </w:r>
      <w:r w:rsidRPr="003215C5">
        <w:t>s not a member of the target group, that a closed quota program is unconstitutional</w:t>
      </w:r>
      <w:r w:rsidR="004C057F">
        <w:t>,</w:t>
      </w:r>
      <w:r w:rsidRPr="003215C5">
        <w:t xml:space="preserve"> and that only </w:t>
      </w:r>
      <w:r w:rsidR="00FB7C15">
        <w:t xml:space="preserve">preferential </w:t>
      </w:r>
      <w:r w:rsidR="004C057F">
        <w:t xml:space="preserve">scoring could </w:t>
      </w:r>
      <w:r w:rsidRPr="003215C5">
        <w:t>be awarded to the target group.</w:t>
      </w:r>
      <w:r w:rsidR="003B1E58" w:rsidRPr="003215C5">
        <w:rPr>
          <w:rStyle w:val="FootnoteReference"/>
        </w:rPr>
        <w:footnoteReference w:id="198"/>
      </w:r>
      <w:r w:rsidRPr="003215C5">
        <w:t xml:space="preserve"> Thus, the </w:t>
      </w:r>
      <w:r w:rsidR="006147F9">
        <w:t xml:space="preserve">U.S. Supreme </w:t>
      </w:r>
      <w:r w:rsidR="004C057F">
        <w:t>C</w:t>
      </w:r>
      <w:r w:rsidRPr="003215C5">
        <w:t xml:space="preserve">ourt found that since the quotas were not </w:t>
      </w:r>
      <w:r w:rsidR="004C057F">
        <w:t xml:space="preserve">prescribed by </w:t>
      </w:r>
      <w:r w:rsidRPr="003215C5">
        <w:t>the language of the law</w:t>
      </w:r>
      <w:r w:rsidR="004C057F">
        <w:t>,</w:t>
      </w:r>
      <w:r w:rsidRPr="003215C5">
        <w:t xml:space="preserve"> but </w:t>
      </w:r>
      <w:r w:rsidR="004C057F">
        <w:t xml:space="preserve">were ordered </w:t>
      </w:r>
      <w:r w:rsidRPr="003215C5">
        <w:t xml:space="preserve">by the </w:t>
      </w:r>
      <w:r w:rsidR="004C057F">
        <w:t xml:space="preserve">Secretary of State, who </w:t>
      </w:r>
      <w:r w:rsidR="00FB7C15">
        <w:t>wa</w:t>
      </w:r>
      <w:r w:rsidR="004C057F">
        <w:t xml:space="preserve">s also entitled to </w:t>
      </w:r>
      <w:r w:rsidRPr="003215C5">
        <w:t>amend or repeal them, the</w:t>
      </w:r>
      <w:r w:rsidR="00FB7C15">
        <w:t>y</w:t>
      </w:r>
      <w:r w:rsidRPr="003215C5">
        <w:t xml:space="preserve"> </w:t>
      </w:r>
      <w:r w:rsidR="00FB7C15">
        <w:t>we</w:t>
      </w:r>
      <w:r w:rsidRPr="003215C5">
        <w:t xml:space="preserve">re not </w:t>
      </w:r>
      <w:r w:rsidR="008578D4" w:rsidRPr="003215C5">
        <w:t>“</w:t>
      </w:r>
      <w:r w:rsidRPr="003215C5">
        <w:t>rigid</w:t>
      </w:r>
      <w:r w:rsidR="008578D4" w:rsidRPr="003215C5">
        <w:t>”</w:t>
      </w:r>
      <w:r w:rsidRPr="003215C5">
        <w:t xml:space="preserve"> quotas</w:t>
      </w:r>
      <w:r w:rsidR="004C057F">
        <w:t>,</w:t>
      </w:r>
      <w:r w:rsidRPr="003215C5">
        <w:t xml:space="preserve"> and </w:t>
      </w:r>
      <w:r w:rsidR="006147F9">
        <w:t>were</w:t>
      </w:r>
      <w:r w:rsidRPr="003215C5">
        <w:t xml:space="preserve"> therefore constitutional and proportionate.</w:t>
      </w:r>
      <w:r w:rsidR="003B1E58" w:rsidRPr="003215C5">
        <w:rPr>
          <w:rStyle w:val="FootnoteReference"/>
        </w:rPr>
        <w:footnoteReference w:id="199"/>
      </w:r>
      <w:r w:rsidRPr="003215C5">
        <w:t xml:space="preserve"> The balance reached by the United States Supreme Court is in the possibility of setting quotas, which are not rigid, that do not create different threshold conditions for candidates to meet the quotas </w:t>
      </w:r>
      <w:r w:rsidR="00FB7C15">
        <w:t xml:space="preserve">that are </w:t>
      </w:r>
      <w:r w:rsidRPr="003215C5">
        <w:t>set</w:t>
      </w:r>
      <w:r w:rsidR="004C057F">
        <w:t>,</w:t>
      </w:r>
      <w:r w:rsidRPr="003215C5">
        <w:t xml:space="preserve"> and are temporary.</w:t>
      </w:r>
      <w:r w:rsidR="003B1E58" w:rsidRPr="003215C5">
        <w:rPr>
          <w:rStyle w:val="FootnoteReference"/>
        </w:rPr>
        <w:footnoteReference w:id="200"/>
      </w:r>
      <w:r w:rsidRPr="003215C5">
        <w:t xml:space="preserve"> The approach according to which affirmative action should be seen as part of the principle </w:t>
      </w:r>
      <w:r w:rsidRPr="003215C5">
        <w:lastRenderedPageBreak/>
        <w:t>of equality itself</w:t>
      </w:r>
      <w:r w:rsidR="004C057F">
        <w:t>,</w:t>
      </w:r>
      <w:r w:rsidRPr="003215C5">
        <w:t xml:space="preserve"> can be found in the words of Ju</w:t>
      </w:r>
      <w:r w:rsidR="006147F9">
        <w:t>stice</w:t>
      </w:r>
      <w:r w:rsidRPr="003215C5">
        <w:t xml:space="preserve"> Blackmun in the Bakke case: </w:t>
      </w:r>
      <w:r w:rsidR="006147F9">
        <w:t>‘</w:t>
      </w:r>
      <w:r w:rsidRPr="000D37DC">
        <w:t>In order to treat some person</w:t>
      </w:r>
      <w:r w:rsidR="00FB7C15" w:rsidRPr="000D37DC">
        <w:t>s</w:t>
      </w:r>
      <w:r w:rsidRPr="000D37DC">
        <w:t xml:space="preserve"> equally, we must treat them differently</w:t>
      </w:r>
      <w:r w:rsidR="006147F9">
        <w:t>’</w:t>
      </w:r>
      <w:r w:rsidRPr="002D6F24">
        <w:t>.</w:t>
      </w:r>
      <w:r w:rsidR="003B1E58" w:rsidRPr="003215C5">
        <w:rPr>
          <w:rStyle w:val="FootnoteReference"/>
        </w:rPr>
        <w:footnoteReference w:id="201"/>
      </w:r>
      <w:r w:rsidRPr="003215C5">
        <w:t xml:space="preserve"> In the judgment, by </w:t>
      </w:r>
      <w:r w:rsidR="004C057F">
        <w:t xml:space="preserve">the slimmest </w:t>
      </w:r>
      <w:r w:rsidRPr="003215C5">
        <w:t xml:space="preserve">majority of five to four, the </w:t>
      </w:r>
      <w:r w:rsidR="004C057F">
        <w:t>C</w:t>
      </w:r>
      <w:r w:rsidRPr="003215C5">
        <w:t xml:space="preserve">ourt accepted </w:t>
      </w:r>
      <w:r w:rsidR="004C057F">
        <w:t xml:space="preserve">the </w:t>
      </w:r>
      <w:r w:rsidRPr="003215C5">
        <w:t>petitioner</w:t>
      </w:r>
      <w:r w:rsidR="008578D4" w:rsidRPr="003215C5">
        <w:t>’</w:t>
      </w:r>
      <w:r w:rsidRPr="003215C5">
        <w:t>s contention</w:t>
      </w:r>
      <w:r w:rsidR="004C057F">
        <w:t>,</w:t>
      </w:r>
      <w:r w:rsidRPr="003215C5">
        <w:t xml:space="preserve"> and held that the </w:t>
      </w:r>
      <w:r w:rsidR="001951EA" w:rsidRPr="003215C5">
        <w:t>affirmative action program</w:t>
      </w:r>
      <w:r w:rsidRPr="003215C5">
        <w:t xml:space="preserve"> was unconstitutional </w:t>
      </w:r>
      <w:r w:rsidR="00157FAC">
        <w:t xml:space="preserve">under </w:t>
      </w:r>
      <w:r w:rsidRPr="003215C5">
        <w:t xml:space="preserve">the </w:t>
      </w:r>
      <w:r w:rsidR="00157FAC">
        <w:t xml:space="preserve">particular </w:t>
      </w:r>
      <w:r w:rsidRPr="003215C5">
        <w:t>circumstances</w:t>
      </w:r>
      <w:r w:rsidR="00157FAC">
        <w:t xml:space="preserve"> of the case</w:t>
      </w:r>
      <w:r w:rsidRPr="003215C5">
        <w:t xml:space="preserve">. It was held that there was no justification for punishing white candidates for wrongdoing previously inflicted on </w:t>
      </w:r>
      <w:r w:rsidR="004C057F">
        <w:t xml:space="preserve">African Americans, </w:t>
      </w:r>
      <w:r w:rsidRPr="003215C5">
        <w:t xml:space="preserve">or members of other groups. However, the </w:t>
      </w:r>
      <w:r w:rsidR="004C057F">
        <w:t>C</w:t>
      </w:r>
      <w:r w:rsidRPr="003215C5">
        <w:t>ourt recogni</w:t>
      </w:r>
      <w:r w:rsidR="004C057F">
        <w:t>s</w:t>
      </w:r>
      <w:r w:rsidRPr="003215C5">
        <w:t xml:space="preserve">ed the legitimacy of affirmative action, an important </w:t>
      </w:r>
      <w:r w:rsidR="00CE6B69">
        <w:t xml:space="preserve">substantive </w:t>
      </w:r>
      <w:r w:rsidRPr="003215C5">
        <w:t>determination, as long as it d</w:t>
      </w:r>
      <w:r w:rsidR="00CE6B69">
        <w:t>id</w:t>
      </w:r>
      <w:r w:rsidRPr="003215C5">
        <w:t xml:space="preserve"> not involve setting </w:t>
      </w:r>
      <w:r w:rsidR="00CE6B69">
        <w:t xml:space="preserve">racial </w:t>
      </w:r>
      <w:r w:rsidRPr="003215C5">
        <w:t>quotas</w:t>
      </w:r>
      <w:r w:rsidR="00CE6B69">
        <w:t>,</w:t>
      </w:r>
      <w:r w:rsidRPr="003215C5">
        <w:t xml:space="preserve"> and further recogni</w:t>
      </w:r>
      <w:r w:rsidR="00CE6B69">
        <w:t xml:space="preserve">sed </w:t>
      </w:r>
      <w:r w:rsidRPr="003215C5">
        <w:t>the academic freedom of the institution</w:t>
      </w:r>
      <w:r w:rsidR="00FB7C15">
        <w:t>,</w:t>
      </w:r>
      <w:r w:rsidRPr="003215C5">
        <w:t xml:space="preserve"> that include</w:t>
      </w:r>
      <w:r w:rsidR="00FB7C15">
        <w:t>d</w:t>
      </w:r>
      <w:r w:rsidRPr="003215C5">
        <w:t xml:space="preserve"> the freedom </w:t>
      </w:r>
      <w:r w:rsidR="00157FAC">
        <w:t>acknowledge the contribution of and seek out</w:t>
      </w:r>
      <w:r w:rsidRPr="003215C5">
        <w:t xml:space="preserve"> diversity in the cultural background of academic candidates. Operatively, it was stated</w:t>
      </w:r>
      <w:r w:rsidR="00CE6B69">
        <w:t>,</w:t>
      </w:r>
      <w:r w:rsidRPr="003215C5">
        <w:t xml:space="preserve"> that </w:t>
      </w:r>
      <w:r w:rsidR="00CE6B69">
        <w:t xml:space="preserve">testing </w:t>
      </w:r>
      <w:r w:rsidRPr="003215C5">
        <w:t xml:space="preserve">candidates would be done according to qualifications, but it </w:t>
      </w:r>
      <w:r w:rsidR="00CE6B69">
        <w:t>wa</w:t>
      </w:r>
      <w:r w:rsidRPr="003215C5">
        <w:t xml:space="preserve">s possible to give a </w:t>
      </w:r>
      <w:r w:rsidR="00FB7C15">
        <w:t>beneficial</w:t>
      </w:r>
      <w:r w:rsidRPr="003215C5">
        <w:t xml:space="preserve"> </w:t>
      </w:r>
      <w:r w:rsidR="00CE6B69">
        <w:t xml:space="preserve">score </w:t>
      </w:r>
      <w:r w:rsidRPr="003215C5">
        <w:t>to the minority group.</w:t>
      </w:r>
      <w:r w:rsidR="003B1E58" w:rsidRPr="003215C5">
        <w:rPr>
          <w:rStyle w:val="FootnoteReference"/>
        </w:rPr>
        <w:footnoteReference w:id="202"/>
      </w:r>
    </w:p>
    <w:p w14:paraId="7529DC70" w14:textId="38EB0C41" w:rsidR="004E586C" w:rsidRPr="003215C5" w:rsidRDefault="004E586C" w:rsidP="00286484">
      <w:pPr>
        <w:spacing w:line="360" w:lineRule="auto"/>
        <w:ind w:firstLine="720"/>
        <w:jc w:val="both"/>
      </w:pPr>
      <w:r w:rsidRPr="003215C5">
        <w:t xml:space="preserve">In an interesting review written following </w:t>
      </w:r>
      <w:r w:rsidR="00FB7C15">
        <w:t xml:space="preserve">the </w:t>
      </w:r>
      <w:r w:rsidRPr="003215C5">
        <w:t xml:space="preserve">ruling in the </w:t>
      </w:r>
      <w:proofErr w:type="spellStart"/>
      <w:r w:rsidRPr="003215C5">
        <w:t>Wygant</w:t>
      </w:r>
      <w:proofErr w:type="spellEnd"/>
      <w:r w:rsidR="003B1E58" w:rsidRPr="003215C5">
        <w:rPr>
          <w:rStyle w:val="FootnoteReference"/>
        </w:rPr>
        <w:footnoteReference w:id="203"/>
      </w:r>
      <w:r w:rsidRPr="003215C5">
        <w:t xml:space="preserve"> case, in which the </w:t>
      </w:r>
      <w:r w:rsidR="00CE6B69">
        <w:t>C</w:t>
      </w:r>
      <w:r w:rsidRPr="003215C5">
        <w:t xml:space="preserve">ourt </w:t>
      </w:r>
      <w:r w:rsidR="00CE6B69">
        <w:t xml:space="preserve">disqualified </w:t>
      </w:r>
      <w:r w:rsidRPr="003215C5">
        <w:t>a collective agreement that</w:t>
      </w:r>
      <w:r w:rsidR="00FB7C15">
        <w:t xml:space="preserve"> </w:t>
      </w:r>
      <w:r w:rsidRPr="003215C5">
        <w:t>for reasons of affirmative action</w:t>
      </w:r>
      <w:r w:rsidR="00FB7C15">
        <w:t xml:space="preserve"> </w:t>
      </w:r>
      <w:r w:rsidRPr="003215C5">
        <w:t>gave non-white teachers</w:t>
      </w:r>
      <w:r w:rsidR="006147F9" w:rsidRPr="006147F9">
        <w:t xml:space="preserve"> </w:t>
      </w:r>
      <w:r w:rsidR="006147F9" w:rsidRPr="003215C5">
        <w:t>some preference over white teachers</w:t>
      </w:r>
      <w:r w:rsidRPr="003215C5">
        <w:t xml:space="preserve"> in the event of a strike, </w:t>
      </w:r>
      <w:r w:rsidR="006147F9">
        <w:t>Justice</w:t>
      </w:r>
      <w:r w:rsidRPr="003215C5">
        <w:t xml:space="preserve"> </w:t>
      </w:r>
      <w:r w:rsidR="00A13CEF" w:rsidRPr="003215C5">
        <w:t>Sullivan</w:t>
      </w:r>
      <w:r w:rsidRPr="003215C5">
        <w:t xml:space="preserve"> noted that in similar cases where the </w:t>
      </w:r>
      <w:r w:rsidR="00CE6B69">
        <w:t>C</w:t>
      </w:r>
      <w:r w:rsidRPr="003215C5">
        <w:t xml:space="preserve">ourt </w:t>
      </w:r>
      <w:r w:rsidR="006147F9">
        <w:t xml:space="preserve">had </w:t>
      </w:r>
      <w:r w:rsidRPr="003215C5">
        <w:t xml:space="preserve">approved affirmative action, the common denominator was </w:t>
      </w:r>
      <w:r w:rsidR="00CE6B69">
        <w:t xml:space="preserve">concerned with </w:t>
      </w:r>
      <w:r w:rsidRPr="003215C5">
        <w:t xml:space="preserve">compensation for past discrimination, and for this </w:t>
      </w:r>
      <w:r w:rsidR="00CE6B69">
        <w:t xml:space="preserve">reason adhering to </w:t>
      </w:r>
      <w:r w:rsidRPr="003215C5">
        <w:t xml:space="preserve">the principle of equality </w:t>
      </w:r>
      <w:r w:rsidR="00CE6B69">
        <w:t>was restricted</w:t>
      </w:r>
      <w:r w:rsidRPr="003215C5">
        <w:t>.</w:t>
      </w:r>
      <w:r w:rsidR="003B1E58" w:rsidRPr="003215C5">
        <w:rPr>
          <w:rStyle w:val="FootnoteReference"/>
        </w:rPr>
        <w:footnoteReference w:id="204"/>
      </w:r>
    </w:p>
    <w:p w14:paraId="61FAADFF" w14:textId="7A089098" w:rsidR="004E586C" w:rsidRPr="003215C5" w:rsidRDefault="004E586C" w:rsidP="00286484">
      <w:pPr>
        <w:spacing w:line="360" w:lineRule="auto"/>
        <w:ind w:firstLine="720"/>
        <w:jc w:val="both"/>
      </w:pPr>
      <w:r w:rsidRPr="003215C5">
        <w:t xml:space="preserve">The </w:t>
      </w:r>
      <w:r w:rsidR="003651AF">
        <w:t>criteria</w:t>
      </w:r>
      <w:r w:rsidRPr="003215C5">
        <w:t xml:space="preserve"> for partial recognition of affirmative action were recogni</w:t>
      </w:r>
      <w:r w:rsidR="003651AF">
        <w:t>s</w:t>
      </w:r>
      <w:r w:rsidRPr="003215C5">
        <w:t>ed in the Weber</w:t>
      </w:r>
      <w:r w:rsidR="003B1E58" w:rsidRPr="003215C5">
        <w:rPr>
          <w:rStyle w:val="FootnoteReference"/>
        </w:rPr>
        <w:footnoteReference w:id="205"/>
      </w:r>
      <w:r w:rsidRPr="003215C5">
        <w:t xml:space="preserve"> case, </w:t>
      </w:r>
      <w:r w:rsidR="008319E7">
        <w:t xml:space="preserve">where </w:t>
      </w:r>
      <w:r w:rsidRPr="003215C5">
        <w:t xml:space="preserve">Justice Brennan held that affirmative action can be </w:t>
      </w:r>
      <w:r w:rsidR="003651AF">
        <w:t xml:space="preserve">accepted </w:t>
      </w:r>
      <w:r w:rsidRPr="003215C5">
        <w:t xml:space="preserve">only if it is a temporary means of correcting distortions, and only </w:t>
      </w:r>
      <w:r w:rsidR="003651AF">
        <w:t>on a racial basis</w:t>
      </w:r>
      <w:r w:rsidR="00327E07">
        <w:t>. In</w:t>
      </w:r>
      <w:r w:rsidRPr="003215C5">
        <w:t xml:space="preserve"> </w:t>
      </w:r>
      <w:r w:rsidR="003651AF">
        <w:t xml:space="preserve">the </w:t>
      </w:r>
      <w:r w:rsidRPr="003215C5">
        <w:t>Johnson</w:t>
      </w:r>
      <w:r w:rsidR="003B1E58" w:rsidRPr="003215C5">
        <w:rPr>
          <w:rStyle w:val="FootnoteReference"/>
        </w:rPr>
        <w:footnoteReference w:id="206"/>
      </w:r>
      <w:r w:rsidRPr="003215C5">
        <w:t xml:space="preserve"> case, </w:t>
      </w:r>
      <w:r w:rsidR="00327E07" w:rsidRPr="003215C5">
        <w:t xml:space="preserve">Justice Brennan </w:t>
      </w:r>
      <w:r w:rsidR="00327E07">
        <w:t>found</w:t>
      </w:r>
      <w:r w:rsidR="003651AF">
        <w:t xml:space="preserve"> that </w:t>
      </w:r>
      <w:r w:rsidRPr="003215C5">
        <w:t xml:space="preserve">the </w:t>
      </w:r>
      <w:r w:rsidR="003651AF">
        <w:lastRenderedPageBreak/>
        <w:t xml:space="preserve">program </w:t>
      </w:r>
      <w:r w:rsidRPr="003215C5">
        <w:t xml:space="preserve">was legitimate </w:t>
      </w:r>
      <w:r w:rsidR="003651AF">
        <w:t xml:space="preserve">also </w:t>
      </w:r>
      <w:r w:rsidRPr="003215C5">
        <w:t xml:space="preserve">to correct distortions of </w:t>
      </w:r>
      <w:r w:rsidR="003651AF">
        <w:t xml:space="preserve">lack of representation for </w:t>
      </w:r>
      <w:r w:rsidRPr="003215C5">
        <w:t>women in certain positions.</w:t>
      </w:r>
    </w:p>
    <w:p w14:paraId="27639DE3" w14:textId="58FA17EE" w:rsidR="004E586C" w:rsidRPr="003215C5" w:rsidRDefault="004E586C" w:rsidP="00286484">
      <w:pPr>
        <w:spacing w:line="360" w:lineRule="auto"/>
        <w:ind w:firstLine="720"/>
        <w:jc w:val="both"/>
      </w:pPr>
      <w:r w:rsidRPr="003215C5">
        <w:t xml:space="preserve">Affirmative action programs in the United States offer a wide range of methods for </w:t>
      </w:r>
      <w:r w:rsidR="003651AF">
        <w:t xml:space="preserve">adequate </w:t>
      </w:r>
      <w:r w:rsidRPr="003215C5">
        <w:t xml:space="preserve">representation </w:t>
      </w:r>
      <w:r w:rsidR="007C4626">
        <w:t xml:space="preserve">of </w:t>
      </w:r>
      <w:r w:rsidRPr="003215C5">
        <w:t xml:space="preserve">ethnic minorities and women. </w:t>
      </w:r>
      <w:r w:rsidR="00327E07">
        <w:t xml:space="preserve">Reviewing these many methods leads to the </w:t>
      </w:r>
      <w:r w:rsidR="00157FAC">
        <w:t xml:space="preserve">conclusion </w:t>
      </w:r>
      <w:r w:rsidRPr="003215C5">
        <w:t xml:space="preserve">that in the absence of clear legal provisions, </w:t>
      </w:r>
      <w:r w:rsidR="003651AF">
        <w:t xml:space="preserve">affirmative action programs have been found to be </w:t>
      </w:r>
      <w:r w:rsidRPr="003215C5">
        <w:t>ineffective</w:t>
      </w:r>
      <w:r w:rsidR="007C4626">
        <w:t>,</w:t>
      </w:r>
      <w:r w:rsidRPr="003215C5">
        <w:t xml:space="preserve"> and sometimes </w:t>
      </w:r>
      <w:r w:rsidR="004E2D52">
        <w:t xml:space="preserve">have </w:t>
      </w:r>
      <w:r w:rsidR="007C4626">
        <w:t xml:space="preserve">even </w:t>
      </w:r>
      <w:r w:rsidRPr="003215C5">
        <w:t>been declared illegal.</w:t>
      </w:r>
      <w:r w:rsidR="003B1E58" w:rsidRPr="003215C5">
        <w:rPr>
          <w:rStyle w:val="FootnoteReference"/>
        </w:rPr>
        <w:footnoteReference w:id="207"/>
      </w:r>
      <w:r w:rsidRPr="003215C5">
        <w:t xml:space="preserve"> </w:t>
      </w:r>
      <w:r w:rsidR="007C4626">
        <w:t>Moreover</w:t>
      </w:r>
      <w:r w:rsidRPr="003215C5">
        <w:t xml:space="preserve">, clear </w:t>
      </w:r>
      <w:r w:rsidR="003651AF" w:rsidRPr="003215C5">
        <w:t xml:space="preserve">affirmative action </w:t>
      </w:r>
      <w:r w:rsidRPr="003215C5">
        <w:t xml:space="preserve">guidelines have often led to condemnation </w:t>
      </w:r>
      <w:r w:rsidR="003651AF">
        <w:t xml:space="preserve">from </w:t>
      </w:r>
      <w:r w:rsidRPr="003215C5">
        <w:t xml:space="preserve">the majority group. </w:t>
      </w:r>
      <w:r w:rsidR="003651AF">
        <w:t xml:space="preserve">Aside from Executive Order </w:t>
      </w:r>
      <w:r w:rsidRPr="003215C5">
        <w:t xml:space="preserve">10925, federal contract enforcement programs have been set up to increase the employment of minorities </w:t>
      </w:r>
      <w:r w:rsidR="003651AF">
        <w:t xml:space="preserve">at </w:t>
      </w:r>
      <w:r w:rsidRPr="003215C5">
        <w:t>organi</w:t>
      </w:r>
      <w:r w:rsidR="003651AF">
        <w:t>s</w:t>
      </w:r>
      <w:r w:rsidRPr="003215C5">
        <w:t>ations that contract with the federal government,</w:t>
      </w:r>
      <w:r w:rsidR="00A162F2" w:rsidRPr="003215C5">
        <w:rPr>
          <w:rStyle w:val="FootnoteReference"/>
        </w:rPr>
        <w:footnoteReference w:id="208"/>
      </w:r>
      <w:r w:rsidRPr="003215C5">
        <w:t xml:space="preserve"> which have set integration goals while maintaining </w:t>
      </w:r>
      <w:r w:rsidR="007810EF" w:rsidRPr="003215C5">
        <w:t>merit</w:t>
      </w:r>
      <w:r w:rsidRPr="003215C5">
        <w:t xml:space="preserve"> values ​​and avoiding quotas that are perceived as unconstitutional.</w:t>
      </w:r>
      <w:r w:rsidR="00A162F2" w:rsidRPr="003215C5">
        <w:rPr>
          <w:rStyle w:val="FootnoteReference"/>
        </w:rPr>
        <w:footnoteReference w:id="209"/>
      </w:r>
      <w:r w:rsidRPr="003215C5">
        <w:t xml:space="preserve"> These plans to </w:t>
      </w:r>
      <w:r w:rsidR="003651AF">
        <w:t xml:space="preserve">monitor </w:t>
      </w:r>
      <w:r w:rsidRPr="003215C5">
        <w:t xml:space="preserve">and enforce federal contracts have proven ineffective </w:t>
      </w:r>
      <w:r w:rsidR="00157FAC">
        <w:t>over the course</w:t>
      </w:r>
      <w:r w:rsidRPr="003215C5">
        <w:t xml:space="preserve"> of time.</w:t>
      </w:r>
      <w:r w:rsidR="00A162F2" w:rsidRPr="003215C5">
        <w:rPr>
          <w:rStyle w:val="FootnoteReference"/>
        </w:rPr>
        <w:footnoteReference w:id="210"/>
      </w:r>
      <w:r w:rsidRPr="003215C5">
        <w:t xml:space="preserve"> For the first time, under the Equal</w:t>
      </w:r>
      <w:r w:rsidR="004E2D52">
        <w:t xml:space="preserve"> Employment</w:t>
      </w:r>
      <w:r w:rsidRPr="003215C5">
        <w:t xml:space="preserve"> Opportunit</w:t>
      </w:r>
      <w:r w:rsidR="004E2D52">
        <w:t>y</w:t>
      </w:r>
      <w:r w:rsidRPr="003215C5">
        <w:t xml:space="preserve"> Act 1972,</w:t>
      </w:r>
      <w:r w:rsidR="00A162F2" w:rsidRPr="003215C5">
        <w:rPr>
          <w:rStyle w:val="FootnoteReference"/>
        </w:rPr>
        <w:footnoteReference w:id="211"/>
      </w:r>
      <w:r w:rsidRPr="003215C5">
        <w:t xml:space="preserve"> the </w:t>
      </w:r>
      <w:r w:rsidR="005A1E0E">
        <w:t>C</w:t>
      </w:r>
      <w:r w:rsidRPr="003215C5">
        <w:t xml:space="preserve">ourts were allowed to impose </w:t>
      </w:r>
      <w:r w:rsidR="005A1E0E">
        <w:t xml:space="preserve">hiring </w:t>
      </w:r>
      <w:r w:rsidR="005A1E0E" w:rsidRPr="003215C5">
        <w:t>and promot</w:t>
      </w:r>
      <w:r w:rsidR="005A1E0E">
        <w:t xml:space="preserve">ion </w:t>
      </w:r>
      <w:r w:rsidR="005A1E0E" w:rsidRPr="003215C5">
        <w:t xml:space="preserve">quotas </w:t>
      </w:r>
      <w:r w:rsidR="005A1E0E">
        <w:t xml:space="preserve">on </w:t>
      </w:r>
      <w:r w:rsidRPr="003215C5">
        <w:t>employers found guilty of discrimination,</w:t>
      </w:r>
      <w:r w:rsidR="00A162F2" w:rsidRPr="003215C5">
        <w:rPr>
          <w:rStyle w:val="FootnoteReference"/>
        </w:rPr>
        <w:footnoteReference w:id="212"/>
      </w:r>
      <w:r w:rsidRPr="003215C5">
        <w:t xml:space="preserve"> but </w:t>
      </w:r>
      <w:r w:rsidR="007C4626">
        <w:t xml:space="preserve">such </w:t>
      </w:r>
      <w:r w:rsidRPr="003215C5">
        <w:t>action</w:t>
      </w:r>
      <w:r w:rsidR="007C4626">
        <w:t xml:space="preserve"> </w:t>
      </w:r>
      <w:r w:rsidRPr="003215C5">
        <w:t>remained rare</w:t>
      </w:r>
      <w:r w:rsidR="005A1E0E">
        <w:t>,</w:t>
      </w:r>
      <w:r w:rsidRPr="003215C5">
        <w:t xml:space="preserve"> and </w:t>
      </w:r>
      <w:r w:rsidR="00157FAC">
        <w:t xml:space="preserve">was used </w:t>
      </w:r>
      <w:r w:rsidR="007C4626">
        <w:t xml:space="preserve">mainly </w:t>
      </w:r>
      <w:r w:rsidR="005A1E0E">
        <w:t xml:space="preserve">as </w:t>
      </w:r>
      <w:r w:rsidRPr="003215C5">
        <w:t>retaliat</w:t>
      </w:r>
      <w:r w:rsidR="005A1E0E">
        <w:t xml:space="preserve">ion </w:t>
      </w:r>
      <w:r w:rsidR="00157FAC">
        <w:t>resulting from</w:t>
      </w:r>
      <w:r w:rsidRPr="003215C5">
        <w:t xml:space="preserve"> </w:t>
      </w:r>
      <w:r w:rsidR="005A1E0E">
        <w:t>legal action</w:t>
      </w:r>
      <w:r w:rsidRPr="003215C5">
        <w:t>.</w:t>
      </w:r>
      <w:r w:rsidR="00A162F2" w:rsidRPr="003215C5">
        <w:rPr>
          <w:rStyle w:val="FootnoteReference"/>
        </w:rPr>
        <w:footnoteReference w:id="213"/>
      </w:r>
      <w:r w:rsidRPr="003215C5">
        <w:t xml:space="preserve"> Despite this, in 1972</w:t>
      </w:r>
      <w:r w:rsidR="00157FAC">
        <w:t>,</w:t>
      </w:r>
      <w:r w:rsidRPr="003215C5">
        <w:t xml:space="preserve"> the Congress </w:t>
      </w:r>
      <w:r w:rsidR="007C4626">
        <w:t xml:space="preserve">determined </w:t>
      </w:r>
      <w:r w:rsidRPr="003215C5">
        <w:t>that there was still severe discrimination</w:t>
      </w:r>
      <w:r w:rsidR="005A1E0E">
        <w:t>,</w:t>
      </w:r>
      <w:r w:rsidRPr="003215C5">
        <w:t xml:space="preserve"> and in view of this</w:t>
      </w:r>
      <w:r w:rsidR="005A1E0E">
        <w:t>,</w:t>
      </w:r>
      <w:r w:rsidRPr="003215C5">
        <w:t xml:space="preserve"> changes were made to the Equal Employment Opportunit</w:t>
      </w:r>
      <w:r w:rsidR="004E2D52">
        <w:t>y</w:t>
      </w:r>
      <w:r w:rsidRPr="003215C5">
        <w:t xml:space="preserve"> Act,</w:t>
      </w:r>
      <w:r w:rsidR="00A162F2" w:rsidRPr="003215C5">
        <w:rPr>
          <w:rStyle w:val="FootnoteReference"/>
        </w:rPr>
        <w:footnoteReference w:id="214"/>
      </w:r>
      <w:r w:rsidRPr="003215C5">
        <w:t xml:space="preserve"> and the Civil Service Reform Act 1978 was enacted.</w:t>
      </w:r>
    </w:p>
    <w:p w14:paraId="4FDB5D8D" w14:textId="437A608C" w:rsidR="004E586C" w:rsidRPr="003215C5" w:rsidRDefault="004E586C" w:rsidP="00286484">
      <w:pPr>
        <w:spacing w:line="360" w:lineRule="auto"/>
        <w:ind w:firstLine="720"/>
        <w:jc w:val="both"/>
      </w:pPr>
      <w:r w:rsidRPr="00A51987">
        <w:t xml:space="preserve">The main focus </w:t>
      </w:r>
      <w:r w:rsidR="005A1E0E" w:rsidRPr="00A51987">
        <w:t xml:space="preserve">of </w:t>
      </w:r>
      <w:r w:rsidRPr="00A51987">
        <w:t xml:space="preserve">affirmative action programs based primarily on race and gender </w:t>
      </w:r>
      <w:r w:rsidR="00A51987">
        <w:t xml:space="preserve">can be seen </w:t>
      </w:r>
      <w:r w:rsidRPr="00A51987">
        <w:t xml:space="preserve">in </w:t>
      </w:r>
      <w:r w:rsidR="005A1E0E" w:rsidRPr="00A51987">
        <w:t xml:space="preserve">the field of </w:t>
      </w:r>
      <w:r w:rsidRPr="00A51987">
        <w:t>education</w:t>
      </w:r>
      <w:r w:rsidR="00A162F2" w:rsidRPr="00A51987">
        <w:rPr>
          <w:rStyle w:val="FootnoteReference"/>
        </w:rPr>
        <w:footnoteReference w:id="215"/>
      </w:r>
      <w:r w:rsidRPr="00A51987">
        <w:t xml:space="preserve"> and </w:t>
      </w:r>
      <w:r w:rsidR="005A1E0E" w:rsidRPr="00A51987">
        <w:t xml:space="preserve">universities </w:t>
      </w:r>
      <w:r w:rsidRPr="00A51987">
        <w:t>scholarships,</w:t>
      </w:r>
      <w:r w:rsidR="00A162F2" w:rsidRPr="00A51987">
        <w:rPr>
          <w:rStyle w:val="FootnoteReference"/>
        </w:rPr>
        <w:footnoteReference w:id="216"/>
      </w:r>
      <w:r w:rsidRPr="00A51987">
        <w:t xml:space="preserve"> where most of the criticism was </w:t>
      </w:r>
      <w:r w:rsidR="004E2D52">
        <w:t xml:space="preserve">addressed and written about </w:t>
      </w:r>
      <w:r w:rsidRPr="00A51987">
        <w:t xml:space="preserve">by </w:t>
      </w:r>
      <w:r w:rsidR="00A51987">
        <w:t xml:space="preserve">the </w:t>
      </w:r>
      <w:r w:rsidRPr="00A51987">
        <w:t>U.S</w:t>
      </w:r>
      <w:r w:rsidR="00A51987">
        <w:t>.</w:t>
      </w:r>
      <w:r w:rsidR="005A1E0E" w:rsidRPr="00A51987">
        <w:t xml:space="preserve"> </w:t>
      </w:r>
      <w:commentRangeStart w:id="9"/>
      <w:r w:rsidR="004E2D52">
        <w:t>c</w:t>
      </w:r>
      <w:r w:rsidRPr="00A51987">
        <w:t>ourts</w:t>
      </w:r>
      <w:commentRangeEnd w:id="9"/>
      <w:r w:rsidR="004E2D52">
        <w:rPr>
          <w:rStyle w:val="CommentReference"/>
        </w:rPr>
        <w:commentReference w:id="9"/>
      </w:r>
      <w:r w:rsidRPr="00A51987">
        <w:t xml:space="preserve">, from establishing the illegality of affirmative action programs in the form </w:t>
      </w:r>
      <w:r w:rsidRPr="00A51987">
        <w:lastRenderedPageBreak/>
        <w:t>of rigid quotas for minorities in educational institutions</w:t>
      </w:r>
      <w:r w:rsidR="005A1E0E" w:rsidRPr="00A51987">
        <w:t>,</w:t>
      </w:r>
      <w:r w:rsidR="00A162F2" w:rsidRPr="00A51987">
        <w:rPr>
          <w:rStyle w:val="FootnoteReference"/>
        </w:rPr>
        <w:footnoteReference w:id="217"/>
      </w:r>
      <w:r w:rsidRPr="00A51987">
        <w:t xml:space="preserve"> </w:t>
      </w:r>
      <w:r w:rsidR="005A1E0E" w:rsidRPr="00A51987">
        <w:t xml:space="preserve">through legal support of affirmative action </w:t>
      </w:r>
      <w:r w:rsidRPr="00A51987">
        <w:t>in federally funded projects</w:t>
      </w:r>
      <w:r w:rsidR="00A162F2" w:rsidRPr="00A51987">
        <w:rPr>
          <w:rStyle w:val="FootnoteReference"/>
        </w:rPr>
        <w:footnoteReference w:id="218"/>
      </w:r>
      <w:r w:rsidRPr="00A51987">
        <w:t xml:space="preserve"> or short-term </w:t>
      </w:r>
      <w:r w:rsidR="005A1E0E" w:rsidRPr="00A51987">
        <w:t>programs</w:t>
      </w:r>
      <w:r w:rsidRPr="00A51987">
        <w:t>.</w:t>
      </w:r>
      <w:r w:rsidR="00A162F2" w:rsidRPr="00A51987">
        <w:rPr>
          <w:rStyle w:val="FootnoteReference"/>
        </w:rPr>
        <w:footnoteReference w:id="219"/>
      </w:r>
      <w:r w:rsidRPr="00A51987">
        <w:t xml:space="preserve"> It seems that the </w:t>
      </w:r>
      <w:r w:rsidR="004E2D52">
        <w:t>c</w:t>
      </w:r>
      <w:r w:rsidRPr="00A51987">
        <w:t xml:space="preserve">ourts in the United States do not support </w:t>
      </w:r>
      <w:r w:rsidR="001951EA" w:rsidRPr="00A51987">
        <w:t>affirmative action</w:t>
      </w:r>
      <w:r w:rsidRPr="00A51987">
        <w:t xml:space="preserve">. As a rule, they </w:t>
      </w:r>
      <w:r w:rsidR="005A1E0E" w:rsidRPr="00A51987">
        <w:t xml:space="preserve">declare </w:t>
      </w:r>
      <w:r w:rsidR="004E2D52">
        <w:t>affirmative action laws</w:t>
      </w:r>
      <w:r w:rsidRPr="00A51987">
        <w:t xml:space="preserve"> unconstitutional and disproportionate, unless they are directed in </w:t>
      </w:r>
      <w:r w:rsidR="00BB3817" w:rsidRPr="00A51987">
        <w:t>an extremely focused</w:t>
      </w:r>
      <w:r w:rsidRPr="00A51987">
        <w:t xml:space="preserve"> </w:t>
      </w:r>
      <w:r w:rsidR="005A1E0E" w:rsidRPr="00A51987">
        <w:t xml:space="preserve">manner </w:t>
      </w:r>
      <w:r w:rsidRPr="00A51987">
        <w:t xml:space="preserve">or </w:t>
      </w:r>
      <w:r w:rsidR="005A1E0E" w:rsidRPr="00A51987">
        <w:t xml:space="preserve">are </w:t>
      </w:r>
      <w:r w:rsidRPr="00A51987">
        <w:t xml:space="preserve">temporary, </w:t>
      </w:r>
      <w:r w:rsidR="005A1E0E" w:rsidRPr="00A51987">
        <w:t xml:space="preserve">at which point the </w:t>
      </w:r>
      <w:r w:rsidRPr="00A51987">
        <w:t xml:space="preserve">proportionality </w:t>
      </w:r>
      <w:r w:rsidR="005A1E0E" w:rsidRPr="00A51987">
        <w:t xml:space="preserve">of </w:t>
      </w:r>
      <w:r w:rsidRPr="00A51987">
        <w:t xml:space="preserve">the violation of the rights of the majority is </w:t>
      </w:r>
      <w:r w:rsidR="005A1E0E" w:rsidRPr="00A51987">
        <w:t>accepted</w:t>
      </w:r>
      <w:r w:rsidRPr="00A51987">
        <w:t xml:space="preserve">. The </w:t>
      </w:r>
      <w:r w:rsidR="004E2D52">
        <w:t>c</w:t>
      </w:r>
      <w:r w:rsidRPr="00A51987">
        <w:t>ourt</w:t>
      </w:r>
      <w:r w:rsidR="005A1E0E" w:rsidRPr="00A51987">
        <w:t>s</w:t>
      </w:r>
      <w:r w:rsidRPr="00A51987">
        <w:t xml:space="preserve"> </w:t>
      </w:r>
      <w:r w:rsidR="005A1E0E" w:rsidRPr="00A51987">
        <w:t xml:space="preserve">have </w:t>
      </w:r>
      <w:r w:rsidRPr="00A51987">
        <w:t xml:space="preserve">further complicated the policy of affirmative action </w:t>
      </w:r>
      <w:r w:rsidR="005A1E0E" w:rsidRPr="00A51987">
        <w:t xml:space="preserve">by </w:t>
      </w:r>
      <w:r w:rsidRPr="00A51987">
        <w:t>adopt</w:t>
      </w:r>
      <w:r w:rsidR="005A1E0E" w:rsidRPr="00A51987">
        <w:t xml:space="preserve">ing </w:t>
      </w:r>
      <w:r w:rsidRPr="00A51987">
        <w:t>different policies towards different populations.</w:t>
      </w:r>
      <w:r w:rsidR="00A162F2" w:rsidRPr="00A51987">
        <w:rPr>
          <w:rStyle w:val="FootnoteReference"/>
        </w:rPr>
        <w:footnoteReference w:id="220"/>
      </w:r>
      <w:r w:rsidRPr="00A51987">
        <w:t xml:space="preserve"> Thus, women and minorities </w:t>
      </w:r>
      <w:r w:rsidR="004E2D52">
        <w:t>have been</w:t>
      </w:r>
      <w:r w:rsidRPr="00A51987">
        <w:t xml:space="preserve"> required to </w:t>
      </w:r>
      <w:r w:rsidR="005A1E0E" w:rsidRPr="00A51987">
        <w:t xml:space="preserve">produce </w:t>
      </w:r>
      <w:r w:rsidRPr="00A51987">
        <w:t xml:space="preserve">a higher </w:t>
      </w:r>
      <w:r w:rsidR="005A1E0E" w:rsidRPr="00A51987">
        <w:t xml:space="preserve">level of </w:t>
      </w:r>
      <w:r w:rsidRPr="00A51987">
        <w:t>eviden</w:t>
      </w:r>
      <w:r w:rsidR="005A1E0E" w:rsidRPr="00A51987">
        <w:t xml:space="preserve">ce </w:t>
      </w:r>
      <w:r w:rsidRPr="00A51987">
        <w:t>of potential harm to justify affirmative action</w:t>
      </w:r>
      <w:r w:rsidR="005A1E0E" w:rsidRPr="00A51987">
        <w:t>,</w:t>
      </w:r>
      <w:r w:rsidRPr="00A51987">
        <w:t xml:space="preserve"> as opposed to the majority population, </w:t>
      </w:r>
      <w:r w:rsidR="00BB3817" w:rsidRPr="00A51987">
        <w:t>men</w:t>
      </w:r>
      <w:r w:rsidR="00A51987">
        <w:t xml:space="preserve"> </w:t>
      </w:r>
      <w:r w:rsidRPr="00A51987">
        <w:t>and whites, who had to show less potential harm to justify no</w:t>
      </w:r>
      <w:r w:rsidR="00A51987">
        <w:t xml:space="preserve">t allowing the </w:t>
      </w:r>
      <w:r w:rsidRPr="00A51987">
        <w:t>existence of affirmative action programs.</w:t>
      </w:r>
      <w:r w:rsidR="00A162F2" w:rsidRPr="00A51987">
        <w:rPr>
          <w:rStyle w:val="FootnoteReference"/>
        </w:rPr>
        <w:footnoteReference w:id="221"/>
      </w:r>
    </w:p>
    <w:p w14:paraId="0CC8A319" w14:textId="11073796" w:rsidR="004E586C" w:rsidRPr="003215C5" w:rsidRDefault="004E586C" w:rsidP="00286484">
      <w:pPr>
        <w:spacing w:line="360" w:lineRule="auto"/>
        <w:ind w:firstLine="720"/>
        <w:jc w:val="both"/>
      </w:pPr>
      <w:r w:rsidRPr="003215C5">
        <w:t xml:space="preserve">However, all of these federal provisions have relatively little power </w:t>
      </w:r>
      <w:r w:rsidR="005A1E0E">
        <w:t xml:space="preserve">at </w:t>
      </w:r>
      <w:r w:rsidRPr="003215C5">
        <w:t>state level</w:t>
      </w:r>
      <w:r w:rsidR="005A1E0E">
        <w:t>,</w:t>
      </w:r>
      <w:r w:rsidRPr="003215C5">
        <w:t xml:space="preserve"> </w:t>
      </w:r>
      <w:r w:rsidR="005A1E0E">
        <w:t xml:space="preserve">which </w:t>
      </w:r>
      <w:r w:rsidR="00A51987">
        <w:t xml:space="preserve">has the </w:t>
      </w:r>
      <w:r w:rsidRPr="003215C5">
        <w:t xml:space="preserve">freedom </w:t>
      </w:r>
      <w:r w:rsidR="00A51987">
        <w:t xml:space="preserve">to </w:t>
      </w:r>
      <w:r w:rsidRPr="003215C5">
        <w:t>deci</w:t>
      </w:r>
      <w:r w:rsidR="00A51987">
        <w:t xml:space="preserve">de </w:t>
      </w:r>
      <w:r w:rsidRPr="003215C5">
        <w:t xml:space="preserve">whether to adopt </w:t>
      </w:r>
      <w:r w:rsidR="001951EA" w:rsidRPr="003215C5">
        <w:t>affirmative action program</w:t>
      </w:r>
      <w:r w:rsidRPr="003215C5">
        <w:t>s.</w:t>
      </w:r>
      <w:r w:rsidR="00A162F2" w:rsidRPr="003215C5">
        <w:rPr>
          <w:rStyle w:val="FootnoteReference"/>
        </w:rPr>
        <w:footnoteReference w:id="222"/>
      </w:r>
      <w:r w:rsidRPr="003215C5">
        <w:t xml:space="preserve"> Faced with the change that has taken place at the federal level, one can find various states that have enacted local laws prohibiting affirmative action. The most prominent example is the </w:t>
      </w:r>
      <w:r w:rsidR="005A1E0E">
        <w:t>S</w:t>
      </w:r>
      <w:r w:rsidRPr="003215C5">
        <w:t xml:space="preserve">tate of California, </w:t>
      </w:r>
      <w:r w:rsidR="005A1E0E">
        <w:t xml:space="preserve">whose </w:t>
      </w:r>
      <w:r w:rsidRPr="003215C5">
        <w:t>constitution</w:t>
      </w:r>
      <w:r w:rsidR="005A1E0E">
        <w:t xml:space="preserve"> proscribes as follows</w:t>
      </w:r>
      <w:r w:rsidRPr="003215C5">
        <w:t>:</w:t>
      </w:r>
      <w:r w:rsidR="00A162F2" w:rsidRPr="003215C5">
        <w:rPr>
          <w:rStyle w:val="FootnoteReference"/>
        </w:rPr>
        <w:footnoteReference w:id="223"/>
      </w:r>
    </w:p>
    <w:p w14:paraId="1556C7C9" w14:textId="71BC333A" w:rsidR="004E586C" w:rsidRPr="000D37DC" w:rsidRDefault="004E586C" w:rsidP="00286484">
      <w:pPr>
        <w:spacing w:line="360" w:lineRule="auto"/>
        <w:ind w:left="720" w:right="936"/>
        <w:jc w:val="both"/>
        <w:rPr>
          <w:rFonts w:eastAsia="Times New Roman" w:cstheme="minorHAnsi"/>
          <w:szCs w:val="24"/>
          <w:lang w:eastAsia="he-IL"/>
        </w:rPr>
      </w:pPr>
      <w:r w:rsidRPr="000D37DC">
        <w:rPr>
          <w:rFonts w:eastAsia="Times New Roman" w:cstheme="minorHAnsi"/>
          <w:szCs w:val="24"/>
          <w:highlight w:val="green"/>
          <w:lang w:eastAsia="he-IL"/>
        </w:rPr>
        <w:t xml:space="preserve">SEC. </w:t>
      </w:r>
      <w:proofErr w:type="gramStart"/>
      <w:r w:rsidRPr="000D37DC">
        <w:rPr>
          <w:rFonts w:eastAsia="Times New Roman" w:cstheme="minorHAnsi"/>
          <w:szCs w:val="24"/>
          <w:highlight w:val="green"/>
          <w:lang w:eastAsia="he-IL"/>
        </w:rPr>
        <w:t>31.(</w:t>
      </w:r>
      <w:proofErr w:type="gramEnd"/>
      <w:r w:rsidRPr="000D37DC">
        <w:rPr>
          <w:rFonts w:eastAsia="Times New Roman" w:cstheme="minorHAnsi"/>
          <w:szCs w:val="24"/>
          <w:highlight w:val="green"/>
          <w:lang w:eastAsia="he-IL"/>
        </w:rPr>
        <w:t xml:space="preserve">a) The State shall not discriminate against, or grant preferential treatment to, any individual or group on the basis of race, sex, </w:t>
      </w:r>
      <w:proofErr w:type="spellStart"/>
      <w:r w:rsidRPr="000D37DC">
        <w:rPr>
          <w:rFonts w:eastAsia="Times New Roman" w:cstheme="minorHAnsi"/>
          <w:szCs w:val="24"/>
          <w:highlight w:val="green"/>
          <w:lang w:eastAsia="he-IL"/>
        </w:rPr>
        <w:t>color</w:t>
      </w:r>
      <w:proofErr w:type="spellEnd"/>
      <w:r w:rsidRPr="000D37DC">
        <w:rPr>
          <w:rFonts w:eastAsia="Times New Roman" w:cstheme="minorHAnsi"/>
          <w:szCs w:val="24"/>
          <w:highlight w:val="green"/>
          <w:lang w:eastAsia="he-IL"/>
        </w:rPr>
        <w:t>, ethnicity, or national origin in the operation of public employment, public education, or public contracting.</w:t>
      </w:r>
    </w:p>
    <w:p w14:paraId="44FB10C2" w14:textId="05ED9E33" w:rsidR="004E586C" w:rsidRPr="003215C5" w:rsidRDefault="004E586C" w:rsidP="00286484">
      <w:pPr>
        <w:spacing w:line="360" w:lineRule="auto"/>
        <w:ind w:firstLine="720"/>
        <w:jc w:val="both"/>
      </w:pPr>
      <w:r w:rsidRPr="003215C5">
        <w:t xml:space="preserve">If affirmative action programs </w:t>
      </w:r>
      <w:r w:rsidR="0051611B" w:rsidRPr="003215C5">
        <w:t xml:space="preserve">in the United States </w:t>
      </w:r>
      <w:r w:rsidRPr="003215C5">
        <w:t>need to be defined, it can be said that this is a non-uniform policy, which</w:t>
      </w:r>
      <w:r w:rsidR="004E2D52">
        <w:t>,</w:t>
      </w:r>
      <w:r w:rsidRPr="003215C5">
        <w:t xml:space="preserve"> insofar as it exists</w:t>
      </w:r>
      <w:r w:rsidR="00A51987">
        <w:t>,</w:t>
      </w:r>
      <w:r w:rsidRPr="003215C5">
        <w:t xml:space="preserve"> is aimed primarily a</w:t>
      </w:r>
      <w:r w:rsidR="0051611B">
        <w:t>s</w:t>
      </w:r>
      <w:r w:rsidRPr="003215C5">
        <w:t xml:space="preserve"> </w:t>
      </w:r>
      <w:r w:rsidR="0051611B">
        <w:t>a</w:t>
      </w:r>
      <w:r w:rsidRPr="003215C5">
        <w:t xml:space="preserve"> duty </w:t>
      </w:r>
      <w:r w:rsidR="0051611B">
        <w:t xml:space="preserve">incumbent on </w:t>
      </w:r>
      <w:r w:rsidRPr="003215C5">
        <w:t>organi</w:t>
      </w:r>
      <w:r w:rsidR="0051611B">
        <w:t>s</w:t>
      </w:r>
      <w:r w:rsidRPr="003215C5">
        <w:t xml:space="preserve">ations and bodies </w:t>
      </w:r>
      <w:r w:rsidR="0051611B">
        <w:t xml:space="preserve">contracting </w:t>
      </w:r>
      <w:r w:rsidRPr="003215C5">
        <w:t>with the federal government</w:t>
      </w:r>
      <w:r w:rsidR="0051611B">
        <w:t>,</w:t>
      </w:r>
      <w:r w:rsidRPr="003215C5">
        <w:t xml:space="preserve"> and not </w:t>
      </w:r>
      <w:r w:rsidR="0051611B">
        <w:t xml:space="preserve">at </w:t>
      </w:r>
      <w:r w:rsidRPr="003215C5">
        <w:t xml:space="preserve">the administration itself, </w:t>
      </w:r>
      <w:r w:rsidR="0051611B">
        <w:t xml:space="preserve">as well as in the </w:t>
      </w:r>
      <w:r w:rsidRPr="003215C5">
        <w:t>case</w:t>
      </w:r>
      <w:r w:rsidR="0051611B">
        <w:t xml:space="preserve"> of </w:t>
      </w:r>
      <w:r w:rsidR="00A51987">
        <w:t xml:space="preserve">education and </w:t>
      </w:r>
      <w:r w:rsidR="0051611B">
        <w:t xml:space="preserve">higher education. In any event, </w:t>
      </w:r>
      <w:r w:rsidRPr="003215C5">
        <w:t>the Supreme Court has ruled</w:t>
      </w:r>
      <w:r w:rsidR="0051611B">
        <w:rPr>
          <w:rStyle w:val="FootnoteReference"/>
        </w:rPr>
        <w:footnoteReference w:id="224"/>
      </w:r>
      <w:r w:rsidRPr="003215C5">
        <w:t xml:space="preserve"> that these </w:t>
      </w:r>
      <w:r w:rsidR="0051611B">
        <w:t xml:space="preserve">programs </w:t>
      </w:r>
      <w:r w:rsidRPr="003215C5">
        <w:t>should be temporary</w:t>
      </w:r>
      <w:r w:rsidR="00A51987">
        <w:t xml:space="preserve"> and </w:t>
      </w:r>
      <w:r w:rsidR="00A0572A">
        <w:t xml:space="preserve">should </w:t>
      </w:r>
      <w:r w:rsidRPr="003215C5">
        <w:t>not set rigid quotas</w:t>
      </w:r>
      <w:r w:rsidR="0051611B">
        <w:t>,</w:t>
      </w:r>
      <w:r w:rsidRPr="003215C5">
        <w:t xml:space="preserve"> and the</w:t>
      </w:r>
      <w:r w:rsidR="0051611B">
        <w:t>y</w:t>
      </w:r>
      <w:r w:rsidRPr="003215C5">
        <w:t xml:space="preserve"> should not be continued after reaching the representation targets. The United States also treats the population groups</w:t>
      </w:r>
      <w:r w:rsidR="00A51987">
        <w:t xml:space="preserve"> </w:t>
      </w:r>
      <w:r w:rsidRPr="003215C5">
        <w:t>for which it recogni</w:t>
      </w:r>
      <w:r w:rsidR="0051611B">
        <w:t>s</w:t>
      </w:r>
      <w:r w:rsidRPr="003215C5">
        <w:t xml:space="preserve">es </w:t>
      </w:r>
      <w:r w:rsidR="0051611B">
        <w:t xml:space="preserve">a </w:t>
      </w:r>
      <w:r w:rsidRPr="003215C5">
        <w:t>right to affirmative action</w:t>
      </w:r>
      <w:r w:rsidR="00A51987">
        <w:t xml:space="preserve"> </w:t>
      </w:r>
      <w:r w:rsidR="0051611B" w:rsidRPr="003215C5">
        <w:t>differently</w:t>
      </w:r>
      <w:r w:rsidR="00B16AD5">
        <w:t>.</w:t>
      </w:r>
      <w:r w:rsidRPr="003215C5">
        <w:t xml:space="preserve"> </w:t>
      </w:r>
      <w:r w:rsidR="0051611B">
        <w:t>T</w:t>
      </w:r>
      <w:r w:rsidRPr="003215C5">
        <w:t>hus</w:t>
      </w:r>
      <w:r w:rsidR="0051611B">
        <w:t>, i</w:t>
      </w:r>
      <w:r w:rsidR="0051611B" w:rsidRPr="003215C5">
        <w:t>t is</w:t>
      </w:r>
      <w:r w:rsidRPr="003215C5">
        <w:t xml:space="preserve"> perceived that the historical injustice done to women, in </w:t>
      </w:r>
      <w:r w:rsidRPr="003215C5">
        <w:lastRenderedPageBreak/>
        <w:t xml:space="preserve">relation to men, is different from that done to </w:t>
      </w:r>
      <w:r w:rsidR="0051611B">
        <w:t xml:space="preserve">African Americans </w:t>
      </w:r>
      <w:r w:rsidRPr="003215C5">
        <w:t>in relation to whites.</w:t>
      </w:r>
      <w:r w:rsidR="00A162F2" w:rsidRPr="003215C5">
        <w:rPr>
          <w:rStyle w:val="FootnoteReference"/>
        </w:rPr>
        <w:footnoteReference w:id="225"/>
      </w:r>
      <w:r w:rsidRPr="003215C5">
        <w:t xml:space="preserve"> The OPM</w:t>
      </w:r>
      <w:r w:rsidR="00A162F2" w:rsidRPr="003215C5">
        <w:rPr>
          <w:rStyle w:val="FootnoteReference"/>
        </w:rPr>
        <w:footnoteReference w:id="226"/>
      </w:r>
      <w:r w:rsidRPr="003215C5">
        <w:t xml:space="preserve"> has developed employment </w:t>
      </w:r>
      <w:r w:rsidR="0051611B">
        <w:t xml:space="preserve">programs </w:t>
      </w:r>
      <w:r w:rsidRPr="003215C5">
        <w:t>for minorit</w:t>
      </w:r>
      <w:r w:rsidR="0051611B">
        <w:t xml:space="preserve">ies at </w:t>
      </w:r>
      <w:r w:rsidRPr="003215C5">
        <w:t>federal authorities, defining the minority population</w:t>
      </w:r>
      <w:r w:rsidR="0051611B">
        <w:t>s</w:t>
      </w:r>
      <w:r w:rsidRPr="003215C5">
        <w:t>.</w:t>
      </w:r>
      <w:r w:rsidR="00A162F2" w:rsidRPr="003215C5">
        <w:rPr>
          <w:rStyle w:val="FootnoteReference"/>
        </w:rPr>
        <w:footnoteReference w:id="227"/>
      </w:r>
      <w:r w:rsidRPr="003215C5">
        <w:t xml:space="preserve"> All </w:t>
      </w:r>
      <w:r w:rsidR="0051611B">
        <w:t xml:space="preserve">the </w:t>
      </w:r>
      <w:r w:rsidRPr="003215C5">
        <w:t xml:space="preserve">programs in the United States define underrepresentation as a situation in which the proportion of members of the minority group employed in the civil service is less than the proportion of that group in the general </w:t>
      </w:r>
      <w:r w:rsidR="004B6223" w:rsidRPr="003215C5">
        <w:t>labour</w:t>
      </w:r>
      <w:r w:rsidRPr="003215C5">
        <w:t xml:space="preserve"> force.</w:t>
      </w:r>
      <w:r w:rsidR="00A162F2" w:rsidRPr="003215C5">
        <w:rPr>
          <w:rStyle w:val="FootnoteReference"/>
        </w:rPr>
        <w:footnoteReference w:id="228"/>
      </w:r>
      <w:r w:rsidRPr="003215C5">
        <w:t xml:space="preserve"> There is also a different approach to the results of representation</w:t>
      </w:r>
      <w:r w:rsidR="00B16AD5">
        <w:t>.</w:t>
      </w:r>
      <w:r w:rsidRPr="003215C5">
        <w:t xml:space="preserve"> Is it enough for us to have passive representation that leads to results</w:t>
      </w:r>
      <w:r w:rsidR="0051611B">
        <w:t>,</w:t>
      </w:r>
      <w:r w:rsidRPr="003215C5">
        <w:t xml:space="preserve"> or is the meaning of representation active</w:t>
      </w:r>
      <w:r w:rsidR="0051611B">
        <w:t xml:space="preserve">, </w:t>
      </w:r>
      <w:r w:rsidRPr="003215C5">
        <w:t>requir</w:t>
      </w:r>
      <w:r w:rsidR="0051611B">
        <w:t xml:space="preserve">ing </w:t>
      </w:r>
      <w:r w:rsidRPr="003215C5">
        <w:t>the success of advancing agendas and hearing the voice of the under-represented minority?</w:t>
      </w:r>
      <w:r w:rsidR="00A162F2" w:rsidRPr="003215C5">
        <w:rPr>
          <w:rStyle w:val="FootnoteReference"/>
        </w:rPr>
        <w:footnoteReference w:id="229"/>
      </w:r>
    </w:p>
    <w:p w14:paraId="25066FB7" w14:textId="6952007D" w:rsidR="004E586C" w:rsidRPr="003215C5" w:rsidRDefault="004E586C" w:rsidP="00286484">
      <w:pPr>
        <w:spacing w:line="360" w:lineRule="auto"/>
        <w:ind w:firstLine="720"/>
        <w:jc w:val="both"/>
      </w:pPr>
      <w:r w:rsidRPr="003215C5">
        <w:t xml:space="preserve">For example, the </w:t>
      </w:r>
      <w:r w:rsidR="006210D4">
        <w:t>c</w:t>
      </w:r>
      <w:r w:rsidRPr="003215C5">
        <w:t xml:space="preserve">ourts </w:t>
      </w:r>
      <w:r w:rsidR="006210D4">
        <w:t>have held</w:t>
      </w:r>
      <w:r w:rsidRPr="003215C5">
        <w:t xml:space="preserve"> that the quota system is </w:t>
      </w:r>
      <w:r w:rsidR="0051611B">
        <w:t xml:space="preserve">permissible </w:t>
      </w:r>
      <w:r w:rsidR="006210D4" w:rsidRPr="003215C5">
        <w:t xml:space="preserve">only </w:t>
      </w:r>
      <w:r w:rsidRPr="003215C5">
        <w:t xml:space="preserve">for candidates belonging to the </w:t>
      </w:r>
      <w:r w:rsidR="008578D4" w:rsidRPr="003215C5">
        <w:t>‘</w:t>
      </w:r>
      <w:r w:rsidRPr="003215C5">
        <w:t>rac</w:t>
      </w:r>
      <w:r w:rsidR="0051611B">
        <w:t>ial</w:t>
      </w:r>
      <w:r w:rsidRPr="003215C5">
        <w:t xml:space="preserve"> group</w:t>
      </w:r>
      <w:r w:rsidR="008578D4" w:rsidRPr="003215C5">
        <w:t>’</w:t>
      </w:r>
      <w:r w:rsidR="006210D4">
        <w:t>,</w:t>
      </w:r>
      <w:r w:rsidRPr="003215C5">
        <w:t xml:space="preserve"> and even </w:t>
      </w:r>
      <w:r w:rsidR="004B6223" w:rsidRPr="003215C5">
        <w:t>then,</w:t>
      </w:r>
      <w:r w:rsidRPr="003215C5">
        <w:t xml:space="preserve"> its use must be very </w:t>
      </w:r>
      <w:r w:rsidR="004B6223" w:rsidRPr="003215C5">
        <w:t>limited</w:t>
      </w:r>
      <w:r w:rsidR="00A51987">
        <w:t xml:space="preserve"> </w:t>
      </w:r>
      <w:r w:rsidRPr="003215C5">
        <w:t xml:space="preserve">and this preference program should end immediately </w:t>
      </w:r>
      <w:r w:rsidR="0051611B">
        <w:t xml:space="preserve">once </w:t>
      </w:r>
      <w:r w:rsidRPr="003215C5">
        <w:t>their representation in the population</w:t>
      </w:r>
      <w:r w:rsidR="0051611B">
        <w:t xml:space="preserve"> is achieved</w:t>
      </w:r>
      <w:r w:rsidRPr="003215C5">
        <w:t>.</w:t>
      </w:r>
      <w:r w:rsidR="00A162F2" w:rsidRPr="003215C5">
        <w:rPr>
          <w:rStyle w:val="FootnoteReference"/>
        </w:rPr>
        <w:footnoteReference w:id="230"/>
      </w:r>
      <w:r w:rsidRPr="003215C5">
        <w:t xml:space="preserve"> In general, the</w:t>
      </w:r>
      <w:r w:rsidR="006210D4">
        <w:t xml:space="preserve"> c</w:t>
      </w:r>
      <w:r w:rsidRPr="003215C5">
        <w:t>ourts are an important</w:t>
      </w:r>
      <w:r w:rsidR="0051611B">
        <w:t>,</w:t>
      </w:r>
      <w:r w:rsidRPr="003215C5">
        <w:t xml:space="preserve"> </w:t>
      </w:r>
      <w:r w:rsidR="006210D4">
        <w:t>active</w:t>
      </w:r>
      <w:r w:rsidR="0051611B">
        <w:t xml:space="preserve"> party </w:t>
      </w:r>
      <w:r w:rsidRPr="003215C5">
        <w:t xml:space="preserve">in the </w:t>
      </w:r>
      <w:r w:rsidR="00A51987">
        <w:t>U</w:t>
      </w:r>
      <w:r w:rsidR="006210D4">
        <w:t>.</w:t>
      </w:r>
      <w:r w:rsidR="00A51987">
        <w:t>S</w:t>
      </w:r>
      <w:r w:rsidR="006210D4">
        <w:t>.</w:t>
      </w:r>
      <w:r w:rsidR="00A51987">
        <w:t xml:space="preserve"> </w:t>
      </w:r>
      <w:r w:rsidRPr="003215C5">
        <w:t xml:space="preserve">affirmative action </w:t>
      </w:r>
      <w:r w:rsidR="00A51987">
        <w:t>debate</w:t>
      </w:r>
      <w:r w:rsidRPr="003215C5">
        <w:t>, but on the other hand</w:t>
      </w:r>
      <w:r w:rsidR="0051611B">
        <w:t>,</w:t>
      </w:r>
      <w:r w:rsidRPr="003215C5">
        <w:t xml:space="preserve"> most judgments </w:t>
      </w:r>
      <w:r w:rsidR="00A51987">
        <w:t xml:space="preserve">demonstrate </w:t>
      </w:r>
      <w:r w:rsidRPr="003215C5">
        <w:t xml:space="preserve">an anti-paternalistic </w:t>
      </w:r>
      <w:r w:rsidR="00A51987">
        <w:t>trend</w:t>
      </w:r>
      <w:r w:rsidR="0051611B">
        <w:t>,</w:t>
      </w:r>
      <w:r w:rsidRPr="003215C5">
        <w:t xml:space="preserve"> and a conservative judicial tendency against affirmative action,</w:t>
      </w:r>
      <w:r w:rsidR="00A162F2" w:rsidRPr="003215C5">
        <w:rPr>
          <w:rStyle w:val="FootnoteReference"/>
        </w:rPr>
        <w:footnoteReference w:id="231"/>
      </w:r>
      <w:r w:rsidRPr="003215C5">
        <w:t xml:space="preserve"> especially in the Supreme Court</w:t>
      </w:r>
      <w:r w:rsidR="008578D4" w:rsidRPr="003215C5">
        <w:t>’</w:t>
      </w:r>
      <w:r w:rsidRPr="003215C5">
        <w:t xml:space="preserve">s principled </w:t>
      </w:r>
      <w:r w:rsidR="00A51987">
        <w:t>debate</w:t>
      </w:r>
      <w:r w:rsidRPr="003215C5">
        <w:t xml:space="preserve"> in attempting to reconcile affirmative action</w:t>
      </w:r>
      <w:r w:rsidR="00A162F2" w:rsidRPr="003215C5">
        <w:t xml:space="preserve"> in light of the</w:t>
      </w:r>
      <w:r w:rsidRPr="003215C5">
        <w:t xml:space="preserve"> 14</w:t>
      </w:r>
      <w:r w:rsidRPr="003215C5">
        <w:rPr>
          <w:vertAlign w:val="superscript"/>
        </w:rPr>
        <w:t>th</w:t>
      </w:r>
      <w:r w:rsidRPr="003215C5">
        <w:t xml:space="preserve"> </w:t>
      </w:r>
      <w:r w:rsidR="00A162F2" w:rsidRPr="003215C5">
        <w:t xml:space="preserve">Amendment </w:t>
      </w:r>
      <w:r w:rsidRPr="003215C5">
        <w:t xml:space="preserve">of the </w:t>
      </w:r>
      <w:r w:rsidR="00A162F2" w:rsidRPr="003215C5">
        <w:t>U</w:t>
      </w:r>
      <w:r w:rsidR="006210D4">
        <w:t>.</w:t>
      </w:r>
      <w:r w:rsidR="00A162F2" w:rsidRPr="003215C5">
        <w:t>S</w:t>
      </w:r>
      <w:r w:rsidR="006210D4">
        <w:t>.</w:t>
      </w:r>
      <w:r w:rsidR="00A162F2" w:rsidRPr="003215C5">
        <w:t xml:space="preserve"> </w:t>
      </w:r>
      <w:r w:rsidRPr="003215C5">
        <w:t>Constitution.</w:t>
      </w:r>
      <w:r w:rsidR="00A162F2" w:rsidRPr="003215C5">
        <w:rPr>
          <w:rStyle w:val="FootnoteReference"/>
        </w:rPr>
        <w:footnoteReference w:id="232"/>
      </w:r>
      <w:r w:rsidRPr="003215C5">
        <w:t xml:space="preserve"> Therefore, the </w:t>
      </w:r>
      <w:r w:rsidR="00A51987">
        <w:t>C</w:t>
      </w:r>
      <w:r w:rsidR="0051611B" w:rsidRPr="003215C5">
        <w:t>ourt</w:t>
      </w:r>
      <w:r w:rsidR="00A51987">
        <w:t>s</w:t>
      </w:r>
      <w:r w:rsidR="0051611B" w:rsidRPr="003215C5">
        <w:t xml:space="preserve"> </w:t>
      </w:r>
      <w:r w:rsidR="0051611B">
        <w:t xml:space="preserve">in </w:t>
      </w:r>
      <w:r w:rsidRPr="003215C5">
        <w:t>America</w:t>
      </w:r>
      <w:r w:rsidR="0051611B">
        <w:t xml:space="preserve"> </w:t>
      </w:r>
      <w:r w:rsidR="00A51987">
        <w:t xml:space="preserve">are </w:t>
      </w:r>
      <w:r w:rsidRPr="003215C5">
        <w:t xml:space="preserve">perceived as not </w:t>
      </w:r>
      <w:r w:rsidR="0051611B">
        <w:t xml:space="preserve">being able to </w:t>
      </w:r>
      <w:r w:rsidRPr="003215C5">
        <w:t>bring about significant change.</w:t>
      </w:r>
      <w:r w:rsidR="00A162F2" w:rsidRPr="003215C5">
        <w:rPr>
          <w:rStyle w:val="FootnoteReference"/>
        </w:rPr>
        <w:footnoteReference w:id="233"/>
      </w:r>
    </w:p>
    <w:p w14:paraId="02F877E8" w14:textId="600F947D" w:rsidR="004E586C" w:rsidRPr="003215C5" w:rsidRDefault="004E586C" w:rsidP="00286484">
      <w:pPr>
        <w:spacing w:line="360" w:lineRule="auto"/>
        <w:ind w:firstLine="720"/>
        <w:jc w:val="both"/>
      </w:pPr>
      <w:r w:rsidRPr="003215C5">
        <w:t>It seems that in general terms</w:t>
      </w:r>
      <w:r w:rsidR="005562DE">
        <w:t>,</w:t>
      </w:r>
      <w:r w:rsidRPr="003215C5">
        <w:t xml:space="preserve"> the position of American law on the issue of affirmative action can be summari</w:t>
      </w:r>
      <w:r w:rsidR="005562DE">
        <w:t>s</w:t>
      </w:r>
      <w:r w:rsidRPr="003215C5">
        <w:t>ed as a constitutional preference,</w:t>
      </w:r>
      <w:r w:rsidR="00A162F2" w:rsidRPr="003215C5">
        <w:rPr>
          <w:rStyle w:val="FootnoteReference"/>
        </w:rPr>
        <w:footnoteReference w:id="234"/>
      </w:r>
      <w:r w:rsidRPr="003215C5">
        <w:t xml:space="preserve"> since the social norm has never been universally rejected</w:t>
      </w:r>
      <w:r w:rsidR="006210D4">
        <w:t>.</w:t>
      </w:r>
      <w:r w:rsidRPr="003215C5">
        <w:t xml:space="preserve"> It is drawn from the need to compensate for past discrimination as a legitimate consideration</w:t>
      </w:r>
      <w:r w:rsidR="006210D4">
        <w:t>,</w:t>
      </w:r>
      <w:r w:rsidR="00A162F2" w:rsidRPr="003215C5">
        <w:rPr>
          <w:rStyle w:val="FootnoteReference"/>
        </w:rPr>
        <w:footnoteReference w:id="235"/>
      </w:r>
      <w:r w:rsidRPr="003215C5">
        <w:t xml:space="preserve"> </w:t>
      </w:r>
      <w:r w:rsidR="006210D4">
        <w:lastRenderedPageBreak/>
        <w:t>a</w:t>
      </w:r>
      <w:r w:rsidRPr="003215C5">
        <w:t xml:space="preserve">nd it is legitimate for it to </w:t>
      </w:r>
      <w:r w:rsidR="00A162F2" w:rsidRPr="003215C5">
        <w:t>realise</w:t>
      </w:r>
      <w:r w:rsidRPr="003215C5">
        <w:t xml:space="preserve"> and promote diversity</w:t>
      </w:r>
      <w:r w:rsidR="00A51987">
        <w:t xml:space="preserve"> with respect </w:t>
      </w:r>
      <w:r w:rsidRPr="003215C5">
        <w:t>to affirmative action programs in admission to institutions of higher learning</w:t>
      </w:r>
      <w:r w:rsidR="006210D4">
        <w:t>.</w:t>
      </w:r>
      <w:r w:rsidR="00A162F2" w:rsidRPr="003215C5">
        <w:rPr>
          <w:rStyle w:val="FootnoteReference"/>
        </w:rPr>
        <w:footnoteReference w:id="236"/>
      </w:r>
      <w:r w:rsidRPr="003215C5">
        <w:t xml:space="preserve"> Arbitrary quotas are prohibited</w:t>
      </w:r>
      <w:r w:rsidR="005562DE">
        <w:t>,</w:t>
      </w:r>
      <w:r w:rsidRPr="003215C5">
        <w:t xml:space="preserve"> and statistical reliance on data is </w:t>
      </w:r>
      <w:r w:rsidR="005562DE">
        <w:t>necessary</w:t>
      </w:r>
      <w:r w:rsidR="006210D4">
        <w:t>.</w:t>
      </w:r>
      <w:r w:rsidR="00A162F2" w:rsidRPr="003215C5">
        <w:rPr>
          <w:rStyle w:val="FootnoteReference"/>
        </w:rPr>
        <w:footnoteReference w:id="237"/>
      </w:r>
      <w:r w:rsidRPr="003215C5">
        <w:t xml:space="preserve"> And finally</w:t>
      </w:r>
      <w:r w:rsidR="006210D4">
        <w:t>,</w:t>
      </w:r>
      <w:r w:rsidRPr="003215C5">
        <w:t xml:space="preserve"> </w:t>
      </w:r>
      <w:r w:rsidR="005562DE">
        <w:t xml:space="preserve">every </w:t>
      </w:r>
      <w:r w:rsidR="001951EA" w:rsidRPr="003215C5">
        <w:t>affirmative action program</w:t>
      </w:r>
      <w:r w:rsidRPr="003215C5">
        <w:t xml:space="preserve"> is a temporary tool</w:t>
      </w:r>
      <w:r w:rsidR="005562DE">
        <w:t>,</w:t>
      </w:r>
      <w:r w:rsidRPr="003215C5">
        <w:t xml:space="preserve"> and a </w:t>
      </w:r>
      <w:r w:rsidR="005562DE">
        <w:t xml:space="preserve">target </w:t>
      </w:r>
      <w:r w:rsidRPr="003215C5">
        <w:t xml:space="preserve">must be set for </w:t>
      </w:r>
      <w:r w:rsidR="005562DE">
        <w:t xml:space="preserve">when </w:t>
      </w:r>
      <w:r w:rsidRPr="003215C5">
        <w:t>it</w:t>
      </w:r>
      <w:r w:rsidR="005562DE">
        <w:t xml:space="preserve"> ends</w:t>
      </w:r>
      <w:r w:rsidRPr="003215C5">
        <w:t>. Compared to th</w:t>
      </w:r>
      <w:r w:rsidR="005562DE">
        <w:t>e</w:t>
      </w:r>
      <w:r w:rsidRPr="003215C5">
        <w:t xml:space="preserve"> Weber approach that has taken root in American law and in some European countries, Canada takes a less </w:t>
      </w:r>
      <w:r w:rsidR="00A51987" w:rsidRPr="003215C5">
        <w:t>inflexible</w:t>
      </w:r>
      <w:r w:rsidRPr="003215C5">
        <w:t xml:space="preserve"> approach</w:t>
      </w:r>
      <w:r w:rsidR="005562DE">
        <w:t>,</w:t>
      </w:r>
      <w:r w:rsidRPr="003215C5">
        <w:t xml:space="preserve"> and </w:t>
      </w:r>
      <w:r w:rsidR="00A51987">
        <w:t xml:space="preserve">does </w:t>
      </w:r>
      <w:r w:rsidRPr="003215C5">
        <w:t>allow</w:t>
      </w:r>
      <w:r w:rsidR="00A51987">
        <w:t xml:space="preserve"> </w:t>
      </w:r>
      <w:r w:rsidRPr="003215C5">
        <w:t xml:space="preserve">rigid quotas as part of </w:t>
      </w:r>
      <w:r w:rsidR="005562DE">
        <w:t xml:space="preserve">its </w:t>
      </w:r>
      <w:r w:rsidRPr="003215C5">
        <w:t>affirmative action programs.</w:t>
      </w:r>
      <w:r w:rsidR="00A162F2" w:rsidRPr="003215C5">
        <w:rPr>
          <w:rStyle w:val="FootnoteReference"/>
        </w:rPr>
        <w:footnoteReference w:id="238"/>
      </w:r>
    </w:p>
    <w:p w14:paraId="69D41902" w14:textId="77777777" w:rsidR="004B6223" w:rsidRPr="003215C5" w:rsidRDefault="004B6223" w:rsidP="00286484">
      <w:pPr>
        <w:spacing w:line="360" w:lineRule="auto"/>
        <w:jc w:val="both"/>
      </w:pPr>
    </w:p>
    <w:p w14:paraId="111CAA25" w14:textId="01CB2842" w:rsidR="004E586C" w:rsidRPr="003215C5" w:rsidRDefault="004E586C" w:rsidP="00286484">
      <w:pPr>
        <w:spacing w:line="360" w:lineRule="auto"/>
        <w:jc w:val="both"/>
      </w:pPr>
      <w:r w:rsidRPr="003215C5">
        <w:t>5.5 Canada</w:t>
      </w:r>
    </w:p>
    <w:p w14:paraId="13B7FD07" w14:textId="24CDA229" w:rsidR="004E586C" w:rsidRPr="003215C5" w:rsidRDefault="004E586C" w:rsidP="00286484">
      <w:pPr>
        <w:spacing w:line="360" w:lineRule="auto"/>
        <w:ind w:firstLine="720"/>
        <w:jc w:val="both"/>
      </w:pPr>
      <w:r w:rsidRPr="003215C5">
        <w:t xml:space="preserve">Canada also sought to develop the issue of affirmative action alongside </w:t>
      </w:r>
      <w:r w:rsidR="007810EF" w:rsidRPr="003215C5">
        <w:t>merit</w:t>
      </w:r>
      <w:r w:rsidRPr="003215C5">
        <w:t xml:space="preserve"> values,</w:t>
      </w:r>
      <w:r w:rsidR="00A162F2" w:rsidRPr="003215C5">
        <w:rPr>
          <w:rStyle w:val="FootnoteReference"/>
        </w:rPr>
        <w:footnoteReference w:id="239"/>
      </w:r>
      <w:r w:rsidRPr="003215C5">
        <w:t xml:space="preserve"> and first introduced preference programs primarily for women, people with disabilities</w:t>
      </w:r>
      <w:r w:rsidR="008E6F36">
        <w:t>,</w:t>
      </w:r>
      <w:r w:rsidRPr="003215C5">
        <w:t xml:space="preserve"> and Canadian minorities, </w:t>
      </w:r>
      <w:r w:rsidR="00A0572A">
        <w:t xml:space="preserve">which were </w:t>
      </w:r>
      <w:r w:rsidR="008E6F36">
        <w:t xml:space="preserve">binding on </w:t>
      </w:r>
      <w:r w:rsidRPr="003215C5">
        <w:t>private employers seeking to cont</w:t>
      </w:r>
      <w:r w:rsidR="008E6F36">
        <w:t>r</w:t>
      </w:r>
      <w:r w:rsidRPr="003215C5">
        <w:t xml:space="preserve">act </w:t>
      </w:r>
      <w:r w:rsidR="008E6F36">
        <w:t>with the government</w:t>
      </w:r>
      <w:r w:rsidRPr="003215C5">
        <w:t>. In contrast to the United States, Canada has undergone many developments</w:t>
      </w:r>
      <w:r w:rsidR="008E6F36">
        <w:t>,</w:t>
      </w:r>
      <w:r w:rsidRPr="003215C5">
        <w:t xml:space="preserve"> which in 1986 led to federal legislation </w:t>
      </w:r>
      <w:r w:rsidR="008E6F36">
        <w:t xml:space="preserve">mandating </w:t>
      </w:r>
      <w:r w:rsidRPr="003215C5">
        <w:t>affirmative action.</w:t>
      </w:r>
      <w:r w:rsidR="00A162F2" w:rsidRPr="003215C5">
        <w:rPr>
          <w:rStyle w:val="FootnoteReference"/>
        </w:rPr>
        <w:footnoteReference w:id="240"/>
      </w:r>
      <w:r w:rsidRPr="003215C5">
        <w:t xml:space="preserve"> However, and like </w:t>
      </w:r>
      <w:r w:rsidR="008E6F36">
        <w:t xml:space="preserve">in </w:t>
      </w:r>
      <w:r w:rsidRPr="003215C5">
        <w:t xml:space="preserve">the United States, Canada was in no hurry to apply </w:t>
      </w:r>
      <w:r w:rsidR="001951EA" w:rsidRPr="003215C5">
        <w:t>affirmative action program</w:t>
      </w:r>
      <w:r w:rsidRPr="003215C5">
        <w:t>s to the public service or its corporations.</w:t>
      </w:r>
      <w:r w:rsidR="00A162F2" w:rsidRPr="003215C5">
        <w:rPr>
          <w:rStyle w:val="FootnoteReference"/>
        </w:rPr>
        <w:footnoteReference w:id="241"/>
      </w:r>
      <w:r w:rsidRPr="003215C5">
        <w:t xml:space="preserve"> In general, although the quota and </w:t>
      </w:r>
      <w:r w:rsidR="008E6F36">
        <w:t xml:space="preserve">target </w:t>
      </w:r>
      <w:r w:rsidRPr="003215C5">
        <w:t xml:space="preserve">method </w:t>
      </w:r>
      <w:r w:rsidR="008E6F36">
        <w:t xml:space="preserve">is </w:t>
      </w:r>
      <w:r w:rsidRPr="003215C5">
        <w:t>very popular in some countries, in Canada it is objected to on the grounds that the lack of representation is not due to intentional discrimination</w:t>
      </w:r>
      <w:r w:rsidR="008E6F36">
        <w:t>,</w:t>
      </w:r>
      <w:r w:rsidRPr="003215C5">
        <w:t xml:space="preserve"> but mostly </w:t>
      </w:r>
      <w:r w:rsidR="008E6F36">
        <w:t xml:space="preserve">due </w:t>
      </w:r>
      <w:r w:rsidRPr="003215C5">
        <w:t>to structural barriers, biases</w:t>
      </w:r>
      <w:r w:rsidR="008E6F36">
        <w:t>,</w:t>
      </w:r>
      <w:r w:rsidRPr="003215C5">
        <w:t xml:space="preserve"> and prejudices. Only legislation from 1995</w:t>
      </w:r>
      <w:r w:rsidR="00A162F2" w:rsidRPr="003215C5">
        <w:rPr>
          <w:rStyle w:val="FootnoteReference"/>
        </w:rPr>
        <w:footnoteReference w:id="242"/>
      </w:r>
      <w:r w:rsidRPr="003215C5">
        <w:t xml:space="preserve"> </w:t>
      </w:r>
      <w:r w:rsidR="006210D4" w:rsidRPr="003215C5">
        <w:t xml:space="preserve">both </w:t>
      </w:r>
      <w:r w:rsidRPr="003215C5">
        <w:t>refers to courses of action for the purpose of achieving adequate representation of the target populations</w:t>
      </w:r>
      <w:r w:rsidR="008E6F36">
        <w:t>,</w:t>
      </w:r>
      <w:r w:rsidRPr="003215C5">
        <w:t xml:space="preserve"> and applies the duty to the federal service, in addition to the private sector. The law explicitly prohibits the </w:t>
      </w:r>
      <w:r w:rsidR="008E6F36">
        <w:t xml:space="preserve">setting </w:t>
      </w:r>
      <w:r w:rsidRPr="003215C5">
        <w:t>of arbitrary representation targets, also requires occupational adjustments for all preferred populations</w:t>
      </w:r>
      <w:r w:rsidR="008E6F36">
        <w:t>,</w:t>
      </w:r>
      <w:r w:rsidRPr="003215C5">
        <w:t xml:space="preserve"> and establishes a duty to inspect and redeploy every three years</w:t>
      </w:r>
      <w:r w:rsidR="008E6F36">
        <w:t>,</w:t>
      </w:r>
      <w:r w:rsidRPr="003215C5">
        <w:t xml:space="preserve"> </w:t>
      </w:r>
      <w:r w:rsidR="006210D4">
        <w:t>and</w:t>
      </w:r>
      <w:r w:rsidRPr="003215C5">
        <w:t xml:space="preserve"> to set arbitrary quotas.</w:t>
      </w:r>
      <w:r w:rsidR="00A162F2" w:rsidRPr="003215C5">
        <w:rPr>
          <w:rStyle w:val="FootnoteReference"/>
        </w:rPr>
        <w:footnoteReference w:id="243"/>
      </w:r>
    </w:p>
    <w:p w14:paraId="1472A6C6" w14:textId="67706F54" w:rsidR="004E586C" w:rsidRPr="003215C5" w:rsidRDefault="004E586C" w:rsidP="00286484">
      <w:pPr>
        <w:spacing w:line="360" w:lineRule="auto"/>
        <w:ind w:firstLine="720"/>
        <w:jc w:val="both"/>
      </w:pPr>
      <w:r w:rsidRPr="003215C5">
        <w:lastRenderedPageBreak/>
        <w:t xml:space="preserve">Canada is a federal </w:t>
      </w:r>
      <w:r w:rsidR="0022031D">
        <w:t xml:space="preserve">country </w:t>
      </w:r>
      <w:r w:rsidRPr="003215C5">
        <w:t>made up of ten provinces</w:t>
      </w:r>
      <w:r w:rsidR="008E6F36">
        <w:t xml:space="preserve">, </w:t>
      </w:r>
      <w:r w:rsidRPr="003215C5">
        <w:t>and sparsely populated territories</w:t>
      </w:r>
      <w:r w:rsidR="008E6F36">
        <w:t xml:space="preserve"> </w:t>
      </w:r>
      <w:r w:rsidR="0022031D">
        <w:t xml:space="preserve">with </w:t>
      </w:r>
      <w:r w:rsidRPr="003215C5">
        <w:t xml:space="preserve">special status. The </w:t>
      </w:r>
      <w:r w:rsidR="0022031D">
        <w:t xml:space="preserve">divide </w:t>
      </w:r>
      <w:r w:rsidRPr="003215C5">
        <w:t>between French and English speakers is central to its political existence.</w:t>
      </w:r>
      <w:r w:rsidR="00A162F2" w:rsidRPr="003215C5">
        <w:rPr>
          <w:rStyle w:val="FootnoteReference"/>
        </w:rPr>
        <w:footnoteReference w:id="244"/>
      </w:r>
      <w:r w:rsidRPr="003215C5">
        <w:t xml:space="preserve"> Canadian heterogeneity, however, is the result of a long history of relations between diverse ethno-cultural groups</w:t>
      </w:r>
      <w:r w:rsidR="006210D4">
        <w:t>;</w:t>
      </w:r>
      <w:r w:rsidRPr="003215C5">
        <w:t xml:space="preserve"> between the indigenous peoples of Canada, the Indians and the Inuit, the French settlers, and the Metis mixed group; </w:t>
      </w:r>
      <w:r w:rsidR="006210D4">
        <w:t>b</w:t>
      </w:r>
      <w:r w:rsidRPr="003215C5">
        <w:t xml:space="preserve">etween the French and </w:t>
      </w:r>
      <w:r w:rsidR="0022031D">
        <w:t xml:space="preserve">the </w:t>
      </w:r>
      <w:r w:rsidRPr="003215C5">
        <w:t>British</w:t>
      </w:r>
      <w:r w:rsidR="008E6F36" w:rsidRPr="008E6F36">
        <w:t xml:space="preserve"> </w:t>
      </w:r>
      <w:r w:rsidR="008E6F36" w:rsidRPr="003215C5">
        <w:t>settlers</w:t>
      </w:r>
      <w:r w:rsidRPr="003215C5">
        <w:t xml:space="preserve">; </w:t>
      </w:r>
      <w:r w:rsidR="006210D4">
        <w:t>a</w:t>
      </w:r>
      <w:r w:rsidRPr="003215C5">
        <w:t>nd later</w:t>
      </w:r>
      <w:r w:rsidR="008E6F36">
        <w:t>,</w:t>
      </w:r>
      <w:r w:rsidRPr="003215C5">
        <w:t xml:space="preserve"> between all these and new immigrant groups.</w:t>
      </w:r>
      <w:r w:rsidR="00A162F2" w:rsidRPr="003215C5">
        <w:rPr>
          <w:rStyle w:val="FootnoteReference"/>
        </w:rPr>
        <w:footnoteReference w:id="245"/>
      </w:r>
      <w:r w:rsidRPr="003215C5">
        <w:t xml:space="preserve"> </w:t>
      </w:r>
      <w:r w:rsidR="008E6F36" w:rsidRPr="003215C5">
        <w:t>Canada</w:t>
      </w:r>
      <w:r w:rsidR="008E6F36">
        <w:t xml:space="preserve">’s </w:t>
      </w:r>
      <w:r w:rsidRPr="003215C5">
        <w:t>racial-ethnic composition</w:t>
      </w:r>
      <w:r w:rsidR="008E6F36">
        <w:t>,</w:t>
      </w:r>
      <w:r w:rsidRPr="003215C5">
        <w:t xml:space="preserve"> and the issue of </w:t>
      </w:r>
      <w:r w:rsidR="008134B2">
        <w:t>v</w:t>
      </w:r>
      <w:r w:rsidRPr="003215C5">
        <w:t xml:space="preserve">isible </w:t>
      </w:r>
      <w:r w:rsidR="008134B2">
        <w:t>m</w:t>
      </w:r>
      <w:r w:rsidRPr="003215C5">
        <w:t>inorities</w:t>
      </w:r>
      <w:r w:rsidR="008E6F36">
        <w:t>,</w:t>
      </w:r>
      <w:r w:rsidRPr="003215C5">
        <w:t xml:space="preserve"> is a major part of the Canadian agenda.</w:t>
      </w:r>
      <w:r w:rsidR="00A162F2" w:rsidRPr="003215C5">
        <w:rPr>
          <w:rStyle w:val="FootnoteReference"/>
        </w:rPr>
        <w:footnoteReference w:id="246"/>
      </w:r>
      <w:r w:rsidRPr="003215C5">
        <w:t xml:space="preserve"> Within this complex relationship</w:t>
      </w:r>
      <w:r w:rsidR="008E6F36">
        <w:t>,</w:t>
      </w:r>
      <w:r w:rsidRPr="003215C5">
        <w:t xml:space="preserve"> Canada </w:t>
      </w:r>
      <w:r w:rsidR="008E6F36">
        <w:t xml:space="preserve">succeeds in </w:t>
      </w:r>
      <w:r w:rsidRPr="003215C5">
        <w:t>manag</w:t>
      </w:r>
      <w:r w:rsidR="008E6F36">
        <w:t>ing</w:t>
      </w:r>
      <w:r w:rsidRPr="003215C5">
        <w:t xml:space="preserve"> </w:t>
      </w:r>
      <w:r w:rsidR="008E6F36">
        <w:t xml:space="preserve">by </w:t>
      </w:r>
      <w:r w:rsidR="008134B2">
        <w:t>liberal use of</w:t>
      </w:r>
      <w:r w:rsidR="008E6F36">
        <w:t xml:space="preserve"> </w:t>
      </w:r>
      <w:r w:rsidRPr="003215C5">
        <w:t xml:space="preserve">non-identical features of inter-communal relations, and by </w:t>
      </w:r>
      <w:r w:rsidR="008134B2">
        <w:t>adopting</w:t>
      </w:r>
      <w:r w:rsidRPr="003215C5">
        <w:t xml:space="preserve"> a classic </w:t>
      </w:r>
      <w:r w:rsidR="008E6F36">
        <w:t xml:space="preserve">adequate </w:t>
      </w:r>
      <w:r w:rsidRPr="003215C5">
        <w:t xml:space="preserve">representation policy which focuses on the </w:t>
      </w:r>
      <w:r w:rsidR="004B6223" w:rsidRPr="003215C5">
        <w:t>labour</w:t>
      </w:r>
      <w:r w:rsidRPr="003215C5">
        <w:t xml:space="preserve"> market</w:t>
      </w:r>
      <w:r w:rsidR="008E6F36">
        <w:t>,</w:t>
      </w:r>
      <w:r w:rsidRPr="003215C5">
        <w:t xml:space="preserve"> </w:t>
      </w:r>
      <w:r w:rsidR="008E6F36">
        <w:t>which</w:t>
      </w:r>
      <w:r w:rsidR="00A0572A">
        <w:t>,</w:t>
      </w:r>
      <w:r w:rsidR="008E6F36">
        <w:t xml:space="preserve"> </w:t>
      </w:r>
      <w:r w:rsidRPr="003215C5">
        <w:t>in principle</w:t>
      </w:r>
      <w:r w:rsidR="00A0572A">
        <w:t>,</w:t>
      </w:r>
      <w:r w:rsidRPr="003215C5">
        <w:t xml:space="preserve"> </w:t>
      </w:r>
      <w:r w:rsidR="008E6F36">
        <w:t xml:space="preserve">is </w:t>
      </w:r>
      <w:r w:rsidRPr="003215C5">
        <w:t xml:space="preserve">temporary </w:t>
      </w:r>
      <w:r w:rsidR="008E6F36">
        <w:t xml:space="preserve">in </w:t>
      </w:r>
      <w:r w:rsidRPr="003215C5">
        <w:t>character</w:t>
      </w:r>
      <w:r w:rsidR="008E6F36">
        <w:t>,</w:t>
      </w:r>
      <w:r w:rsidRPr="003215C5">
        <w:t xml:space="preserve"> and </w:t>
      </w:r>
      <w:r w:rsidR="008E6F36">
        <w:t xml:space="preserve">bears </w:t>
      </w:r>
      <w:r w:rsidR="008E6F36" w:rsidRPr="003215C5">
        <w:t xml:space="preserve">characteristics </w:t>
      </w:r>
      <w:r w:rsidR="008E6F36">
        <w:t xml:space="preserve">which are as </w:t>
      </w:r>
      <w:r w:rsidRPr="003215C5">
        <w:t>individual as possible.</w:t>
      </w:r>
    </w:p>
    <w:p w14:paraId="50320548" w14:textId="7217FD59" w:rsidR="004E586C" w:rsidRPr="003215C5" w:rsidRDefault="004E586C" w:rsidP="00286484">
      <w:pPr>
        <w:spacing w:line="360" w:lineRule="auto"/>
        <w:ind w:firstLine="720"/>
        <w:jc w:val="both"/>
      </w:pPr>
      <w:r w:rsidRPr="00EE0F63">
        <w:t xml:space="preserve">The central point in the context of adequate representation in Canada is its federal structure and the creation of </w:t>
      </w:r>
      <w:r w:rsidR="00EE0F63" w:rsidRPr="00EE0F63">
        <w:t xml:space="preserve">adequate </w:t>
      </w:r>
      <w:r w:rsidRPr="00EE0F63">
        <w:t>group representation. The federal structure divides political power between the federal and provincial levels, and each province</w:t>
      </w:r>
      <w:r w:rsidR="00EE0F63">
        <w:t xml:space="preserve"> </w:t>
      </w:r>
      <w:r w:rsidRPr="00EE0F63">
        <w:t xml:space="preserve">has governmental powers enshrined in the Canadian Constitution. An interesting example is the French-speaking minority in Canada, which makes up just over a fifth of its citizens, but is credited </w:t>
      </w:r>
      <w:r w:rsidR="00EE0F63">
        <w:t xml:space="preserve">as </w:t>
      </w:r>
      <w:r w:rsidRPr="00EE0F63">
        <w:t>a full partner alongside recognition as a national-cultural group. For example, one of the informal practices is their representation in the Canadian government.</w:t>
      </w:r>
      <w:r w:rsidR="00A162F2" w:rsidRPr="00EE0F63">
        <w:rPr>
          <w:rStyle w:val="FootnoteReference"/>
        </w:rPr>
        <w:footnoteReference w:id="247"/>
      </w:r>
      <w:r w:rsidRPr="00EE0F63">
        <w:t xml:space="preserve"> This minority, which is also recogni</w:t>
      </w:r>
      <w:r w:rsidR="00EE0F63">
        <w:t>s</w:t>
      </w:r>
      <w:r w:rsidRPr="00EE0F63">
        <w:t>ed in Canada</w:t>
      </w:r>
      <w:r w:rsidR="008578D4" w:rsidRPr="00EE0F63">
        <w:t>’</w:t>
      </w:r>
      <w:r w:rsidRPr="00EE0F63">
        <w:t>s bilingualism, is also interesting in its absence from the groups protected by federal legislation on equal opportunities and affirmative action.</w:t>
      </w:r>
    </w:p>
    <w:p w14:paraId="78A40A9D" w14:textId="4A16CA76" w:rsidR="004E586C" w:rsidRPr="003215C5" w:rsidRDefault="004E586C" w:rsidP="00286484">
      <w:pPr>
        <w:spacing w:line="360" w:lineRule="auto"/>
        <w:ind w:firstLine="709"/>
        <w:jc w:val="both"/>
      </w:pPr>
      <w:r w:rsidRPr="003215C5">
        <w:t xml:space="preserve">Federal legislation developed late, against the backdrop of various provincial pieces of legislation prohibiting discrimination on the basis of group affiliation, and inspired by affirmative action programs in the United States from the 1960s. The </w:t>
      </w:r>
      <w:r w:rsidR="00EE0F63">
        <w:t xml:space="preserve">central contention </w:t>
      </w:r>
      <w:r w:rsidRPr="003215C5">
        <w:t xml:space="preserve">was that anti-discrimination norms are </w:t>
      </w:r>
      <w:r w:rsidRPr="003215C5">
        <w:lastRenderedPageBreak/>
        <w:t xml:space="preserve">insufficient, especially when based on </w:t>
      </w:r>
      <w:r w:rsidR="00EE0F63">
        <w:t xml:space="preserve">a </w:t>
      </w:r>
      <w:r w:rsidRPr="003215C5">
        <w:t xml:space="preserve">need to </w:t>
      </w:r>
      <w:r w:rsidR="0022031D">
        <w:t xml:space="preserve">produce </w:t>
      </w:r>
      <w:r w:rsidRPr="003215C5">
        <w:t>pro</w:t>
      </w:r>
      <w:r w:rsidR="0022031D">
        <w:t>of</w:t>
      </w:r>
      <w:r w:rsidRPr="003215C5">
        <w:t xml:space="preserve">. </w:t>
      </w:r>
      <w:r w:rsidR="00EE0F63">
        <w:t>And i</w:t>
      </w:r>
      <w:r w:rsidRPr="003215C5">
        <w:t xml:space="preserve">ndeed, as early as 1978, the federal government formulated an </w:t>
      </w:r>
      <w:r w:rsidR="001951EA" w:rsidRPr="003215C5">
        <w:t>affirmative action program</w:t>
      </w:r>
      <w:r w:rsidRPr="003215C5">
        <w:t xml:space="preserve"> for employment,</w:t>
      </w:r>
      <w:r w:rsidR="00A162F2" w:rsidRPr="003215C5">
        <w:rPr>
          <w:rStyle w:val="FootnoteReference"/>
        </w:rPr>
        <w:footnoteReference w:id="248"/>
      </w:r>
      <w:r w:rsidRPr="003215C5">
        <w:t xml:space="preserve"> establishing protected groups</w:t>
      </w:r>
      <w:r w:rsidR="0022031D">
        <w:t>:</w:t>
      </w:r>
      <w:r w:rsidRPr="003215C5">
        <w:t xml:space="preserve"> </w:t>
      </w:r>
      <w:r w:rsidR="008134B2">
        <w:t>w</w:t>
      </w:r>
      <w:r w:rsidRPr="003215C5">
        <w:t xml:space="preserve">omen, people with disabilities, native Canadians, and black Canadians from Nova Scotia. The plan imposed relatively limited demands for affirmative action on private corporations seeking </w:t>
      </w:r>
      <w:r w:rsidR="0022031D">
        <w:t xml:space="preserve">to </w:t>
      </w:r>
      <w:r w:rsidRPr="003215C5">
        <w:t xml:space="preserve">contract with the government, similar to the presidential </w:t>
      </w:r>
      <w:r w:rsidR="0022031D">
        <w:t>executive orders</w:t>
      </w:r>
      <w:r w:rsidR="00EE0F63">
        <w:t xml:space="preserve"> issued by </w:t>
      </w:r>
      <w:r w:rsidRPr="003215C5">
        <w:t>Johnson and Nixon in the United States, and</w:t>
      </w:r>
      <w:r w:rsidR="008134B2">
        <w:t>,</w:t>
      </w:r>
      <w:r w:rsidRPr="003215C5">
        <w:t xml:space="preserve"> in fact</w:t>
      </w:r>
      <w:r w:rsidR="008134B2">
        <w:t>,</w:t>
      </w:r>
      <w:r w:rsidRPr="003215C5">
        <w:t xml:space="preserve"> </w:t>
      </w:r>
      <w:r w:rsidR="00EE0F63">
        <w:t xml:space="preserve">were content </w:t>
      </w:r>
      <w:r w:rsidRPr="003215C5">
        <w:t xml:space="preserve">with demanding a reasonable effort to improve the employment status of these groups. </w:t>
      </w:r>
      <w:r w:rsidR="0022031D">
        <w:t xml:space="preserve">Notwithstanding </w:t>
      </w:r>
      <w:r w:rsidRPr="003215C5">
        <w:t xml:space="preserve">this </w:t>
      </w:r>
      <w:r w:rsidR="00EE0F63">
        <w:t xml:space="preserve">limited </w:t>
      </w:r>
      <w:r w:rsidRPr="003215C5">
        <w:t xml:space="preserve">starting point, </w:t>
      </w:r>
      <w:r w:rsidR="0022031D">
        <w:t>later on</w:t>
      </w:r>
      <w:r w:rsidR="00EE0F63">
        <w:t xml:space="preserve">, </w:t>
      </w:r>
      <w:r w:rsidRPr="003215C5">
        <w:t xml:space="preserve">significant </w:t>
      </w:r>
      <w:r w:rsidR="008134B2">
        <w:t>progress</w:t>
      </w:r>
      <w:r w:rsidRPr="003215C5">
        <w:t xml:space="preserve"> </w:t>
      </w:r>
      <w:r w:rsidR="0022031D">
        <w:t xml:space="preserve">could </w:t>
      </w:r>
      <w:r w:rsidRPr="003215C5">
        <w:t xml:space="preserve">be discerned in Canada, </w:t>
      </w:r>
      <w:r w:rsidR="00EE0F63">
        <w:t xml:space="preserve">and </w:t>
      </w:r>
      <w:r w:rsidRPr="003215C5">
        <w:t>in 1981</w:t>
      </w:r>
      <w:r w:rsidR="008134B2">
        <w:t>,</w:t>
      </w:r>
      <w:r w:rsidRPr="003215C5">
        <w:t xml:space="preserve"> a pilot </w:t>
      </w:r>
      <w:r w:rsidR="00EE0F63">
        <w:t xml:space="preserve">program of </w:t>
      </w:r>
      <w:r w:rsidRPr="003215C5">
        <w:t xml:space="preserve">affirmative action in the Federal </w:t>
      </w:r>
      <w:r w:rsidR="00EE0F63">
        <w:t xml:space="preserve">Civil </w:t>
      </w:r>
      <w:r w:rsidRPr="003215C5">
        <w:t xml:space="preserve">Service was </w:t>
      </w:r>
      <w:r w:rsidR="0022031D">
        <w:t>introduced</w:t>
      </w:r>
      <w:r w:rsidRPr="003215C5">
        <w:t>, and in 1982</w:t>
      </w:r>
      <w:r w:rsidR="008134B2">
        <w:t>,</w:t>
      </w:r>
      <w:r w:rsidRPr="003215C5">
        <w:t xml:space="preserve"> the Canadian Constitution was </w:t>
      </w:r>
      <w:r w:rsidR="004B6223" w:rsidRPr="003215C5">
        <w:t>amended,</w:t>
      </w:r>
      <w:r w:rsidRPr="003215C5">
        <w:t xml:space="preserve"> and the Charter of Freedom</w:t>
      </w:r>
      <w:r w:rsidR="00EE0F63">
        <w:t>s and</w:t>
      </w:r>
      <w:r w:rsidRPr="003215C5">
        <w:t xml:space="preserve"> Rights</w:t>
      </w:r>
      <w:r w:rsidR="00EE0F63">
        <w:t>,</w:t>
      </w:r>
      <w:r w:rsidRPr="003215C5">
        <w:t xml:space="preserve"> </w:t>
      </w:r>
      <w:r w:rsidR="00EE0F63">
        <w:t xml:space="preserve">which </w:t>
      </w:r>
      <w:r w:rsidRPr="003215C5">
        <w:t>explicitly addressed affirmative action</w:t>
      </w:r>
      <w:r w:rsidR="00EE0F63">
        <w:t>, was adopted</w:t>
      </w:r>
      <w:r w:rsidRPr="003215C5">
        <w:t>:</w:t>
      </w:r>
      <w:r w:rsidR="00A162F2" w:rsidRPr="003215C5">
        <w:rPr>
          <w:rStyle w:val="FootnoteReference"/>
        </w:rPr>
        <w:footnoteReference w:id="249"/>
      </w:r>
    </w:p>
    <w:p w14:paraId="299163A3" w14:textId="77777777" w:rsidR="004E586C" w:rsidRPr="000D37DC" w:rsidRDefault="004E586C" w:rsidP="00286484">
      <w:pPr>
        <w:spacing w:line="360" w:lineRule="auto"/>
        <w:ind w:left="709" w:right="509"/>
        <w:jc w:val="both"/>
        <w:rPr>
          <w:rFonts w:eastAsia="Times New Roman" w:cstheme="minorHAnsi"/>
          <w:szCs w:val="24"/>
          <w:highlight w:val="green"/>
          <w:lang w:eastAsia="he-IL"/>
        </w:rPr>
      </w:pPr>
      <w:r w:rsidRPr="000D37DC">
        <w:rPr>
          <w:rFonts w:eastAsia="Times New Roman" w:cstheme="minorHAnsi"/>
          <w:szCs w:val="24"/>
          <w:highlight w:val="green"/>
          <w:lang w:eastAsia="he-IL"/>
        </w:rPr>
        <w:t>15. (1) Every individual is equal before and under the law and has the right to the equal protection and equal benefit of the law without discrimination and, in particular, without discrimination based on race, national or ethnic origin, colour, religion, sex, age or mental or physical disability.</w:t>
      </w:r>
    </w:p>
    <w:p w14:paraId="535C338C" w14:textId="04D50F6B" w:rsidR="004E586C" w:rsidRPr="000D37DC" w:rsidRDefault="004E586C" w:rsidP="00286484">
      <w:pPr>
        <w:spacing w:line="360" w:lineRule="auto"/>
        <w:ind w:left="709" w:right="509"/>
        <w:jc w:val="both"/>
        <w:rPr>
          <w:rFonts w:eastAsia="Times New Roman" w:cstheme="minorHAnsi"/>
          <w:szCs w:val="24"/>
          <w:highlight w:val="green"/>
          <w:lang w:eastAsia="he-IL"/>
        </w:rPr>
      </w:pPr>
      <w:r w:rsidRPr="000D37DC">
        <w:rPr>
          <w:rFonts w:eastAsia="Times New Roman" w:cstheme="minorHAnsi"/>
          <w:szCs w:val="24"/>
          <w:highlight w:val="green"/>
          <w:lang w:eastAsia="he-IL"/>
        </w:rPr>
        <w:t>(2) Subsection (1) does not preclude any law, program or activity that has as its object the amelioration of conditions of disadvantaged individuals or groups including those that are disadvantaged because of race, national or ethnic origin, colour, religion, sex, age or mental or</w:t>
      </w:r>
      <w:r w:rsidR="00EE0F63" w:rsidRPr="000D37DC">
        <w:rPr>
          <w:rFonts w:eastAsia="Times New Roman" w:cstheme="minorHAnsi"/>
          <w:szCs w:val="24"/>
          <w:highlight w:val="green"/>
          <w:lang w:eastAsia="he-IL"/>
        </w:rPr>
        <w:t xml:space="preserve"> </w:t>
      </w:r>
      <w:r w:rsidRPr="000D37DC">
        <w:rPr>
          <w:rFonts w:eastAsia="Times New Roman" w:cstheme="minorHAnsi"/>
          <w:szCs w:val="24"/>
          <w:highlight w:val="green"/>
          <w:lang w:eastAsia="he-IL"/>
        </w:rPr>
        <w:t>physical disability.</w:t>
      </w:r>
    </w:p>
    <w:p w14:paraId="15C0D0F9" w14:textId="6705F560" w:rsidR="006443BE" w:rsidRPr="003215C5" w:rsidRDefault="008134B2" w:rsidP="00286484">
      <w:pPr>
        <w:spacing w:line="360" w:lineRule="auto"/>
        <w:ind w:firstLine="709"/>
        <w:jc w:val="both"/>
      </w:pPr>
      <w:r>
        <w:t xml:space="preserve">Drawing on </w:t>
      </w:r>
      <w:r w:rsidR="006443BE" w:rsidRPr="003215C5">
        <w:t xml:space="preserve">this </w:t>
      </w:r>
      <w:r>
        <w:t>basic anchoring principle</w:t>
      </w:r>
      <w:r w:rsidR="006443BE" w:rsidRPr="003215C5">
        <w:t>, Parliament acted vigorously</w:t>
      </w:r>
      <w:r w:rsidR="0022031D">
        <w:t xml:space="preserve"> </w:t>
      </w:r>
      <w:r w:rsidR="006443BE" w:rsidRPr="003215C5">
        <w:t>and issued three reports calling for the promotion of equal employment opportunities legislation</w:t>
      </w:r>
      <w:r>
        <w:t>. T</w:t>
      </w:r>
      <w:r w:rsidR="006443BE" w:rsidRPr="003215C5">
        <w:t>he first, the Obstacles report from 1981</w:t>
      </w:r>
      <w:r w:rsidR="00EE0F63">
        <w:t>,</w:t>
      </w:r>
      <w:r w:rsidR="006443BE" w:rsidRPr="003215C5">
        <w:t xml:space="preserve"> call</w:t>
      </w:r>
      <w:r>
        <w:t>ed</w:t>
      </w:r>
      <w:r w:rsidR="006443BE" w:rsidRPr="003215C5">
        <w:t xml:space="preserve"> for the advancement of people with disabilities</w:t>
      </w:r>
      <w:r>
        <w:t>. T</w:t>
      </w:r>
      <w:r w:rsidR="006443BE" w:rsidRPr="003215C5">
        <w:t xml:space="preserve">wo years later, the Equality Now report, which dealt with </w:t>
      </w:r>
      <w:r w:rsidR="00A0572A">
        <w:t>v</w:t>
      </w:r>
      <w:r w:rsidR="0022031D" w:rsidRPr="003215C5">
        <w:t xml:space="preserve">isible </w:t>
      </w:r>
      <w:r w:rsidR="00A0572A">
        <w:t>m</w:t>
      </w:r>
      <w:r w:rsidR="0022031D" w:rsidRPr="003215C5">
        <w:t>inorities</w:t>
      </w:r>
      <w:r>
        <w:t xml:space="preserve"> issues, and </w:t>
      </w:r>
      <w:r w:rsidR="006443BE" w:rsidRPr="003215C5">
        <w:t xml:space="preserve">in 1984, a </w:t>
      </w:r>
      <w:r>
        <w:t xml:space="preserve">final </w:t>
      </w:r>
      <w:r w:rsidR="006443BE" w:rsidRPr="003215C5">
        <w:t xml:space="preserve">report was published by a </w:t>
      </w:r>
      <w:r w:rsidR="00D9238E">
        <w:t xml:space="preserve">royal </w:t>
      </w:r>
      <w:r w:rsidR="006443BE" w:rsidRPr="003215C5">
        <w:t xml:space="preserve">commission of inquiry headed by Judge </w:t>
      </w:r>
      <w:proofErr w:type="spellStart"/>
      <w:r w:rsidR="006443BE" w:rsidRPr="003215C5">
        <w:t>Abella</w:t>
      </w:r>
      <w:proofErr w:type="spellEnd"/>
      <w:r w:rsidR="00D9238E">
        <w:t>,</w:t>
      </w:r>
      <w:r w:rsidR="006443BE" w:rsidRPr="003215C5">
        <w:t xml:space="preserve"> that presented an approach promot</w:t>
      </w:r>
      <w:r w:rsidR="0022031D">
        <w:t xml:space="preserve">ing </w:t>
      </w:r>
      <w:r w:rsidR="006443BE" w:rsidRPr="003215C5">
        <w:t>employment equity</w:t>
      </w:r>
      <w:r w:rsidR="00D9238E">
        <w:t>,</w:t>
      </w:r>
      <w:r w:rsidR="006443BE" w:rsidRPr="003215C5">
        <w:t xml:space="preserve"> and call</w:t>
      </w:r>
      <w:r w:rsidR="0022031D">
        <w:t>ing</w:t>
      </w:r>
      <w:r w:rsidR="006443BE" w:rsidRPr="003215C5">
        <w:t xml:space="preserve"> for affirmative action as a vigorous mandatory policy.</w:t>
      </w:r>
      <w:r w:rsidR="00A162F2" w:rsidRPr="003215C5">
        <w:rPr>
          <w:rStyle w:val="FootnoteReference"/>
        </w:rPr>
        <w:footnoteReference w:id="250"/>
      </w:r>
      <w:r w:rsidR="006443BE" w:rsidRPr="003215C5">
        <w:t xml:space="preserve"> These three</w:t>
      </w:r>
      <w:r>
        <w:t xml:space="preserve"> initiatives </w:t>
      </w:r>
      <w:r w:rsidR="006443BE" w:rsidRPr="003215C5">
        <w:t xml:space="preserve">led Canada to adopt binding federal legislation in the </w:t>
      </w:r>
      <w:r w:rsidR="00D9238E">
        <w:t xml:space="preserve">field </w:t>
      </w:r>
      <w:r w:rsidR="006443BE" w:rsidRPr="003215C5">
        <w:t>of ​​affirmative action,</w:t>
      </w:r>
      <w:r w:rsidR="00A162F2" w:rsidRPr="003215C5">
        <w:rPr>
          <w:rStyle w:val="FootnoteReference"/>
        </w:rPr>
        <w:footnoteReference w:id="251"/>
      </w:r>
      <w:r w:rsidR="006443BE" w:rsidRPr="003215C5">
        <w:t xml:space="preserve"> which imposed a reporting obligation in relation to the representation of four </w:t>
      </w:r>
      <w:r w:rsidR="0022031D">
        <w:t xml:space="preserve">population </w:t>
      </w:r>
      <w:r w:rsidR="006443BE" w:rsidRPr="003215C5">
        <w:t>groups</w:t>
      </w:r>
      <w:r>
        <w:t>—</w:t>
      </w:r>
      <w:r w:rsidR="00A0572A">
        <w:t>w</w:t>
      </w:r>
      <w:r w:rsidR="006443BE" w:rsidRPr="003215C5">
        <w:t xml:space="preserve">omen, </w:t>
      </w:r>
      <w:r w:rsidR="00A0572A" w:rsidRPr="003215C5">
        <w:t>visible minorities</w:t>
      </w:r>
      <w:r w:rsidR="006443BE" w:rsidRPr="003215C5">
        <w:t>,</w:t>
      </w:r>
      <w:r w:rsidR="00A162F2" w:rsidRPr="003215C5">
        <w:rPr>
          <w:rStyle w:val="FootnoteReference"/>
        </w:rPr>
        <w:footnoteReference w:id="252"/>
      </w:r>
      <w:r w:rsidR="006443BE" w:rsidRPr="003215C5">
        <w:t xml:space="preserve"> </w:t>
      </w:r>
      <w:r w:rsidR="00D9238E">
        <w:lastRenderedPageBreak/>
        <w:t>a</w:t>
      </w:r>
      <w:r w:rsidR="006443BE" w:rsidRPr="003215C5">
        <w:t>boriginal peoples, and people with disabilities</w:t>
      </w:r>
      <w:r>
        <w:t>—</w:t>
      </w:r>
      <w:r w:rsidRPr="003215C5">
        <w:t>on a large group of employers</w:t>
      </w:r>
      <w:r>
        <w:t>.</w:t>
      </w:r>
      <w:r w:rsidRPr="003215C5">
        <w:t xml:space="preserve"> </w:t>
      </w:r>
      <w:r w:rsidR="006443BE" w:rsidRPr="003215C5">
        <w:t xml:space="preserve">Federal law requires employers who provide federal services to take </w:t>
      </w:r>
      <w:r>
        <w:t>‘</w:t>
      </w:r>
      <w:r w:rsidR="00A0572A" w:rsidRPr="000D37DC">
        <w:t>positive action</w:t>
      </w:r>
      <w:r w:rsidR="00A0572A">
        <w:t>’</w:t>
      </w:r>
      <w:r w:rsidR="00A0572A" w:rsidRPr="003215C5">
        <w:t xml:space="preserve"> </w:t>
      </w:r>
      <w:r w:rsidR="006443BE" w:rsidRPr="003215C5">
        <w:t>to correct under</w:t>
      </w:r>
      <w:r w:rsidR="0022031D">
        <w:t>-</w:t>
      </w:r>
      <w:r w:rsidR="006443BE" w:rsidRPr="003215C5">
        <w:t xml:space="preserve">representation, and </w:t>
      </w:r>
      <w:r>
        <w:t xml:space="preserve">to </w:t>
      </w:r>
      <w:r w:rsidR="006443BE" w:rsidRPr="003215C5">
        <w:t>prepare plans that set goals and deadlines for achieving them. The law calls for transparency and reporting</w:t>
      </w:r>
      <w:r w:rsidR="00D9238E">
        <w:t>,</w:t>
      </w:r>
      <w:r w:rsidR="006443BE" w:rsidRPr="003215C5">
        <w:t xml:space="preserve"> and </w:t>
      </w:r>
      <w:r w:rsidR="00D9238E">
        <w:t xml:space="preserve">is </w:t>
      </w:r>
      <w:r>
        <w:t>based on</w:t>
      </w:r>
      <w:r w:rsidR="00D9238E">
        <w:t xml:space="preserve"> the assumption </w:t>
      </w:r>
      <w:r w:rsidR="006443BE" w:rsidRPr="003215C5">
        <w:t xml:space="preserve">that as long as the employer takes an active part in locating and diagnosing the causes of under-representation, there will be no need to impose a duty of representation by quota. The law imposes on all private employers employing over 100 employees the </w:t>
      </w:r>
      <w:r>
        <w:t xml:space="preserve">duty to </w:t>
      </w:r>
      <w:r w:rsidR="006443BE" w:rsidRPr="003215C5">
        <w:t>design an action plan to change recruitment and promotion methods</w:t>
      </w:r>
      <w:r>
        <w:t xml:space="preserve"> when</w:t>
      </w:r>
      <w:r w:rsidR="006443BE" w:rsidRPr="003215C5">
        <w:t xml:space="preserve"> under-representation is </w:t>
      </w:r>
      <w:r w:rsidR="00D9238E">
        <w:t>found</w:t>
      </w:r>
      <w:r w:rsidR="006443BE" w:rsidRPr="003215C5">
        <w:t xml:space="preserve">, but it does not apply to the </w:t>
      </w:r>
      <w:r w:rsidR="00D9238E" w:rsidRPr="003215C5">
        <w:t xml:space="preserve">Federal </w:t>
      </w:r>
      <w:r w:rsidR="00D9238E">
        <w:t xml:space="preserve">Civil </w:t>
      </w:r>
      <w:r w:rsidR="00D9238E" w:rsidRPr="003215C5">
        <w:t xml:space="preserve">Service </w:t>
      </w:r>
      <w:r w:rsidR="00D9238E">
        <w:t xml:space="preserve">nor to </w:t>
      </w:r>
      <w:r w:rsidR="006443BE" w:rsidRPr="003215C5">
        <w:t>most private corporations.</w:t>
      </w:r>
      <w:r w:rsidR="00A162F2" w:rsidRPr="003215C5">
        <w:rPr>
          <w:rStyle w:val="FootnoteReference"/>
        </w:rPr>
        <w:footnoteReference w:id="253"/>
      </w:r>
    </w:p>
    <w:p w14:paraId="211DA265" w14:textId="0E0C08CC" w:rsidR="006443BE" w:rsidRPr="003215C5" w:rsidRDefault="006443BE" w:rsidP="00286484">
      <w:pPr>
        <w:spacing w:line="360" w:lineRule="auto"/>
        <w:ind w:firstLine="709"/>
        <w:jc w:val="both"/>
      </w:pPr>
      <w:r w:rsidRPr="003215C5">
        <w:t>The Supreme Court of Canada also did not remain indifferent to the constitutional changes</w:t>
      </w:r>
      <w:r w:rsidR="00D9238E">
        <w:t>,</w:t>
      </w:r>
      <w:r w:rsidRPr="003215C5">
        <w:t xml:space="preserve"> and in the case of </w:t>
      </w:r>
      <w:r w:rsidR="0022031D">
        <w:t xml:space="preserve">the </w:t>
      </w:r>
      <w:r w:rsidRPr="003215C5">
        <w:t>Canadian National Railways</w:t>
      </w:r>
      <w:r w:rsidR="00D9238E">
        <w:t>,</w:t>
      </w:r>
      <w:r w:rsidRPr="003215C5">
        <w:t xml:space="preserve"> the </w:t>
      </w:r>
      <w:r w:rsidR="00D9238E">
        <w:t>C</w:t>
      </w:r>
      <w:r w:rsidRPr="003215C5">
        <w:t>ourt gave full approval to the concept of affirmative action</w:t>
      </w:r>
      <w:r w:rsidR="00D9238E">
        <w:t>,</w:t>
      </w:r>
      <w:r w:rsidRPr="003215C5">
        <w:t xml:space="preserve"> and obliged the railway company to correct the situation of under-representation of women in various positions, forcing the company to integrate</w:t>
      </w:r>
      <w:r w:rsidR="00D9238E">
        <w:t xml:space="preserve"> to the point of achieving a fem</w:t>
      </w:r>
      <w:r w:rsidR="0022031D">
        <w:t xml:space="preserve">inine </w:t>
      </w:r>
      <w:r w:rsidR="00D9238E">
        <w:t>participation rate that corresponds to</w:t>
      </w:r>
      <w:r w:rsidRPr="003215C5">
        <w:t xml:space="preserve"> </w:t>
      </w:r>
      <w:r w:rsidR="00D9238E">
        <w:t>t</w:t>
      </w:r>
      <w:r w:rsidRPr="003215C5">
        <w:t>he national average rate.</w:t>
      </w:r>
      <w:r w:rsidR="000A336D" w:rsidRPr="003215C5">
        <w:rPr>
          <w:rStyle w:val="FootnoteReference"/>
        </w:rPr>
        <w:footnoteReference w:id="254"/>
      </w:r>
      <w:r w:rsidRPr="003215C5">
        <w:t xml:space="preserve"> The importance of the petition was in the innovative nature of the claim of discrimination of individuals, of women</w:t>
      </w:r>
      <w:r w:rsidR="0022031D">
        <w:t>,</w:t>
      </w:r>
      <w:r w:rsidRPr="003215C5">
        <w:t xml:space="preserve"> in the railway company, rel</w:t>
      </w:r>
      <w:r w:rsidR="0022031D">
        <w:t xml:space="preserve">ying </w:t>
      </w:r>
      <w:r w:rsidRPr="003215C5">
        <w:t xml:space="preserve">on statistics about the </w:t>
      </w:r>
      <w:r w:rsidR="0022031D" w:rsidRPr="003215C5">
        <w:t>company</w:t>
      </w:r>
      <w:r w:rsidR="0022031D">
        <w:t>’s</w:t>
      </w:r>
      <w:r w:rsidR="0022031D" w:rsidRPr="003215C5">
        <w:t xml:space="preserve"> </w:t>
      </w:r>
      <w:r w:rsidR="004B6223" w:rsidRPr="003215C5">
        <w:t>labour</w:t>
      </w:r>
      <w:r w:rsidRPr="003215C5">
        <w:t xml:space="preserve"> force. The </w:t>
      </w:r>
      <w:r w:rsidR="0008234F" w:rsidRPr="003215C5">
        <w:t>Supreme Court</w:t>
      </w:r>
      <w:r w:rsidR="0008234F">
        <w:t>’s</w:t>
      </w:r>
      <w:r w:rsidR="0008234F" w:rsidRPr="003215C5">
        <w:t xml:space="preserve"> </w:t>
      </w:r>
      <w:r w:rsidRPr="003215C5">
        <w:t>dissatisfaction led to changes</w:t>
      </w:r>
      <w:r w:rsidR="00D9238E">
        <w:t>,</w:t>
      </w:r>
      <w:r w:rsidRPr="003215C5">
        <w:t xml:space="preserve"> and </w:t>
      </w:r>
      <w:r w:rsidR="0008234F">
        <w:t xml:space="preserve">ultimately </w:t>
      </w:r>
      <w:r w:rsidRPr="003215C5">
        <w:t>to the enactment of a new law, the Employment Equity Act 1995, which clearly and operatively outlined the steps to correct the under-representation of the four target groups</w:t>
      </w:r>
      <w:r w:rsidR="00D9238E">
        <w:t>,</w:t>
      </w:r>
      <w:r w:rsidRPr="003215C5">
        <w:t xml:space="preserve"> </w:t>
      </w:r>
      <w:r w:rsidR="00D9238E">
        <w:t>extending</w:t>
      </w:r>
      <w:r w:rsidRPr="003215C5">
        <w:t xml:space="preserve"> the program</w:t>
      </w:r>
      <w:r w:rsidR="008578D4" w:rsidRPr="003215C5">
        <w:t>’</w:t>
      </w:r>
      <w:r w:rsidRPr="003215C5">
        <w:t xml:space="preserve">s application to the </w:t>
      </w:r>
      <w:r w:rsidR="00D9238E" w:rsidRPr="003215C5">
        <w:t xml:space="preserve">Federal </w:t>
      </w:r>
      <w:r w:rsidR="00D9238E">
        <w:t xml:space="preserve">Civil </w:t>
      </w:r>
      <w:r w:rsidR="00D9238E" w:rsidRPr="003215C5">
        <w:t>Service</w:t>
      </w:r>
      <w:r w:rsidRPr="003215C5">
        <w:t>.</w:t>
      </w:r>
    </w:p>
    <w:p w14:paraId="2CF6669E" w14:textId="6FB59945" w:rsidR="004E586C" w:rsidRPr="003215C5" w:rsidRDefault="006443BE" w:rsidP="00286484">
      <w:pPr>
        <w:spacing w:line="360" w:lineRule="auto"/>
        <w:ind w:firstLine="709"/>
        <w:jc w:val="both"/>
      </w:pPr>
      <w:r w:rsidRPr="003215C5">
        <w:t xml:space="preserve">The assumption that accompanies affirmative action policy in Canada is that the under-representation of </w:t>
      </w:r>
      <w:r w:rsidR="00D9238E">
        <w:t xml:space="preserve">the </w:t>
      </w:r>
      <w:r w:rsidRPr="003215C5">
        <w:t xml:space="preserve">groups </w:t>
      </w:r>
      <w:r w:rsidR="00D9238E">
        <w:t xml:space="preserve">that receive special </w:t>
      </w:r>
      <w:r w:rsidRPr="003215C5">
        <w:t>protect</w:t>
      </w:r>
      <w:r w:rsidR="00D9238E">
        <w:t xml:space="preserve">ion at </w:t>
      </w:r>
      <w:r w:rsidRPr="003215C5">
        <w:t>law (designated group members)</w:t>
      </w:r>
      <w:r w:rsidR="00D9238E">
        <w:t>,</w:t>
      </w:r>
      <w:r w:rsidRPr="003215C5">
        <w:t xml:space="preserve"> stems less from intentional discrimination</w:t>
      </w:r>
      <w:r w:rsidR="00D9238E">
        <w:t>,</w:t>
      </w:r>
      <w:r w:rsidRPr="003215C5">
        <w:t xml:space="preserve"> and more from prejudices and structural barriers to employment. This means that </w:t>
      </w:r>
      <w:r w:rsidR="008134B2" w:rsidRPr="003215C5">
        <w:t>discrimination</w:t>
      </w:r>
      <w:r w:rsidR="008134B2">
        <w:t xml:space="preserve"> </w:t>
      </w:r>
      <w:r w:rsidRPr="003215C5">
        <w:t>is not necessarily intentional</w:t>
      </w:r>
      <w:r w:rsidR="008134B2">
        <w:t>,</w:t>
      </w:r>
      <w:r w:rsidR="0008234F">
        <w:t xml:space="preserve"> </w:t>
      </w:r>
      <w:r w:rsidRPr="003215C5">
        <w:t xml:space="preserve">but </w:t>
      </w:r>
      <w:r w:rsidR="008134B2">
        <w:t>results from</w:t>
      </w:r>
      <w:r w:rsidRPr="003215C5">
        <w:t xml:space="preserve"> </w:t>
      </w:r>
      <w:r w:rsidR="00D9238E" w:rsidRPr="003215C5">
        <w:t xml:space="preserve">covert </w:t>
      </w:r>
      <w:r w:rsidRPr="003215C5">
        <w:t xml:space="preserve">prejudice. The affirmative action model </w:t>
      </w:r>
      <w:r w:rsidR="0008234F">
        <w:t xml:space="preserve">needed </w:t>
      </w:r>
      <w:r w:rsidRPr="003215C5">
        <w:t xml:space="preserve">to </w:t>
      </w:r>
      <w:r w:rsidR="008134B2">
        <w:t>address</w:t>
      </w:r>
      <w:r w:rsidRPr="003215C5">
        <w:t xml:space="preserve"> this situation focused on the method of hiring and setting criteria for promotion, and </w:t>
      </w:r>
      <w:r w:rsidR="008134B2">
        <w:t>rejected</w:t>
      </w:r>
      <w:r w:rsidRPr="003215C5">
        <w:t xml:space="preserve"> the rigid quota model whereby places are allocated to the excluded groups. </w:t>
      </w:r>
      <w:r w:rsidR="008134B2">
        <w:t>With the</w:t>
      </w:r>
      <w:r w:rsidRPr="003215C5">
        <w:t xml:space="preserve"> quota model </w:t>
      </w:r>
      <w:r w:rsidR="008134B2">
        <w:t>being</w:t>
      </w:r>
      <w:r w:rsidRPr="003215C5">
        <w:t>s perceived as less relevant</w:t>
      </w:r>
      <w:r w:rsidR="008134B2">
        <w:t>,</w:t>
      </w:r>
      <w:r w:rsidRPr="003215C5">
        <w:t xml:space="preserve"> a ban </w:t>
      </w:r>
      <w:r w:rsidR="008134B2">
        <w:t xml:space="preserve">was enacted </w:t>
      </w:r>
      <w:r w:rsidRPr="003215C5">
        <w:t xml:space="preserve">on the use of quotas, </w:t>
      </w:r>
      <w:r w:rsidRPr="003215C5">
        <w:lastRenderedPageBreak/>
        <w:t>whe</w:t>
      </w:r>
      <w:r w:rsidR="0008234F">
        <w:t>n</w:t>
      </w:r>
      <w:r w:rsidRPr="003215C5">
        <w:t>ever the quota is arbitrarily set.</w:t>
      </w:r>
      <w:r w:rsidR="000A336D" w:rsidRPr="003215C5">
        <w:rPr>
          <w:rStyle w:val="FootnoteReference"/>
        </w:rPr>
        <w:footnoteReference w:id="255"/>
      </w:r>
      <w:r w:rsidRPr="003215C5">
        <w:t xml:space="preserve"> This imposes an obligation of </w:t>
      </w:r>
      <w:r w:rsidR="00751D36" w:rsidRPr="003215C5">
        <w:t>self-</w:t>
      </w:r>
      <w:r w:rsidR="00751D36">
        <w:t>audit</w:t>
      </w:r>
      <w:r w:rsidR="00751D36" w:rsidRPr="003215C5">
        <w:t xml:space="preserve"> </w:t>
      </w:r>
      <w:r w:rsidR="00751D36">
        <w:t xml:space="preserve">on </w:t>
      </w:r>
      <w:r w:rsidRPr="003215C5">
        <w:t>the employer</w:t>
      </w:r>
      <w:r w:rsidR="00C6150C">
        <w:t>—</w:t>
      </w:r>
      <w:r w:rsidRPr="003215C5">
        <w:t xml:space="preserve"> </w:t>
      </w:r>
      <w:r w:rsidRPr="000D37DC">
        <w:t>Employment Systems Review</w:t>
      </w:r>
      <w:r w:rsidR="00C6150C">
        <w:rPr>
          <w:i/>
          <w:iCs/>
        </w:rPr>
        <w:t>.</w:t>
      </w:r>
      <w:r w:rsidRPr="003215C5">
        <w:t xml:space="preserve"> </w:t>
      </w:r>
      <w:r w:rsidR="00C6150C">
        <w:t>The employer must</w:t>
      </w:r>
      <w:r w:rsidR="00751D36">
        <w:t xml:space="preserve"> </w:t>
      </w:r>
      <w:r w:rsidRPr="003215C5">
        <w:t xml:space="preserve">examine the representation of employees in relation to the demographic composition of the population, </w:t>
      </w:r>
      <w:r w:rsidR="00751D36">
        <w:t xml:space="preserve">and </w:t>
      </w:r>
      <w:r w:rsidRPr="003215C5">
        <w:t xml:space="preserve">to the extent that underrepresentation is discovered, </w:t>
      </w:r>
      <w:r w:rsidR="00C6150C">
        <w:t>the employer</w:t>
      </w:r>
      <w:r w:rsidR="00751D36">
        <w:t xml:space="preserve"> </w:t>
      </w:r>
      <w:r w:rsidRPr="003215C5">
        <w:t xml:space="preserve">must act independently to identify the factors </w:t>
      </w:r>
      <w:r w:rsidR="00751D36">
        <w:t>causing the under-</w:t>
      </w:r>
      <w:r w:rsidRPr="003215C5">
        <w:t>represent</w:t>
      </w:r>
      <w:r w:rsidR="00C6150C">
        <w:t>ation</w:t>
      </w:r>
      <w:r w:rsidRPr="003215C5">
        <w:t xml:space="preserve">, examine new criteria and </w:t>
      </w:r>
      <w:r w:rsidR="004B6223" w:rsidRPr="003215C5">
        <w:t>threshold</w:t>
      </w:r>
      <w:r w:rsidR="00751D36">
        <w:t xml:space="preserve"> conditions to hiring staff</w:t>
      </w:r>
      <w:r w:rsidR="004B6223" w:rsidRPr="003215C5">
        <w:t>,</w:t>
      </w:r>
      <w:r w:rsidRPr="003215C5">
        <w:t xml:space="preserve"> </w:t>
      </w:r>
      <w:r w:rsidR="00751D36">
        <w:t>and finally, formulate methods of correction, g</w:t>
      </w:r>
      <w:r w:rsidRPr="003215C5">
        <w:t>oals</w:t>
      </w:r>
      <w:r w:rsidR="00751D36">
        <w:t>,</w:t>
      </w:r>
      <w:r w:rsidRPr="003215C5">
        <w:t xml:space="preserve"> and a work plan that must be re-examined every three years. The information gathered by the employer</w:t>
      </w:r>
      <w:r w:rsidR="00751D36">
        <w:t>,</w:t>
      </w:r>
      <w:r w:rsidRPr="003215C5">
        <w:t xml:space="preserve"> and the recommendations formulated</w:t>
      </w:r>
      <w:r w:rsidR="00C6150C">
        <w:t xml:space="preserve"> by him</w:t>
      </w:r>
      <w:r w:rsidRPr="003215C5">
        <w:t xml:space="preserve"> </w:t>
      </w:r>
      <w:r w:rsidR="00751D36">
        <w:t>are</w:t>
      </w:r>
      <w:r w:rsidRPr="003215C5">
        <w:t xml:space="preserve"> transparent to employees and </w:t>
      </w:r>
      <w:r w:rsidR="00751D36">
        <w:t xml:space="preserve">also </w:t>
      </w:r>
      <w:r w:rsidRPr="003215C5">
        <w:t xml:space="preserve">reported to the </w:t>
      </w:r>
      <w:r w:rsidR="00751D36">
        <w:t>authorities</w:t>
      </w:r>
      <w:r w:rsidR="00C6150C">
        <w:t>. T</w:t>
      </w:r>
      <w:r w:rsidRPr="003215C5">
        <w:t>his legislation has led to</w:t>
      </w:r>
      <w:r w:rsidR="00C6150C">
        <w:t xml:space="preserve"> r</w:t>
      </w:r>
      <w:r w:rsidR="00C6150C" w:rsidRPr="003215C5">
        <w:t xml:space="preserve">elatively </w:t>
      </w:r>
      <w:r w:rsidR="00C6150C">
        <w:t>encouraging</w:t>
      </w:r>
      <w:r w:rsidRPr="003215C5">
        <w:t xml:space="preserve"> involvement of employers and employees</w:t>
      </w:r>
      <w:r w:rsidR="00C6150C">
        <w:t>,</w:t>
      </w:r>
      <w:r w:rsidR="0008234F">
        <w:t xml:space="preserve"> as well as to </w:t>
      </w:r>
      <w:r w:rsidRPr="003215C5">
        <w:t>action</w:t>
      </w:r>
      <w:r w:rsidR="00751D36">
        <w:t xml:space="preserve"> </w:t>
      </w:r>
      <w:r w:rsidRPr="003215C5">
        <w:t>improv</w:t>
      </w:r>
      <w:r w:rsidR="0008234F">
        <w:t xml:space="preserve">ing </w:t>
      </w:r>
      <w:r w:rsidRPr="003215C5">
        <w:t xml:space="preserve">underrepresentation, and </w:t>
      </w:r>
      <w:r w:rsidR="00C6150C">
        <w:t>it appears that there</w:t>
      </w:r>
      <w:r w:rsidRPr="003215C5">
        <w:t xml:space="preserve"> has indeed been actual improvement.</w:t>
      </w:r>
      <w:r w:rsidR="000A336D" w:rsidRPr="003215C5">
        <w:rPr>
          <w:rStyle w:val="FootnoteReference"/>
        </w:rPr>
        <w:footnoteReference w:id="256"/>
      </w:r>
      <w:r w:rsidRPr="003215C5">
        <w:t xml:space="preserve"> Its important success </w:t>
      </w:r>
      <w:r w:rsidR="00C6150C">
        <w:t>has been</w:t>
      </w:r>
      <w:r w:rsidRPr="003215C5">
        <w:t xml:space="preserve"> in creating collaboration that will lead to a change in the image of the target groups. And various studies conducted in Canada have indeed shown an increase in </w:t>
      </w:r>
      <w:r w:rsidR="00751D36">
        <w:t xml:space="preserve">the </w:t>
      </w:r>
      <w:r w:rsidR="00751D36" w:rsidRPr="003215C5">
        <w:t>value</w:t>
      </w:r>
      <w:r w:rsidR="00751D36">
        <w:t xml:space="preserve"> of </w:t>
      </w:r>
      <w:r w:rsidRPr="003215C5">
        <w:t>representation.</w:t>
      </w:r>
      <w:r w:rsidR="000A336D" w:rsidRPr="003215C5">
        <w:rPr>
          <w:rStyle w:val="FootnoteReference"/>
        </w:rPr>
        <w:footnoteReference w:id="257"/>
      </w:r>
      <w:r w:rsidRPr="003215C5">
        <w:t xml:space="preserve"> At the same time, studies </w:t>
      </w:r>
      <w:r w:rsidR="00C6150C">
        <w:t>have shown</w:t>
      </w:r>
      <w:r w:rsidRPr="003215C5">
        <w:t xml:space="preserve"> a disadvantage in the method, which</w:t>
      </w:r>
      <w:r w:rsidR="00A0572A">
        <w:t>,</w:t>
      </w:r>
      <w:r w:rsidRPr="003215C5">
        <w:t xml:space="preserve"> on the one hand</w:t>
      </w:r>
      <w:r w:rsidR="00A0572A">
        <w:t>,</w:t>
      </w:r>
      <w:r w:rsidRPr="003215C5">
        <w:t xml:space="preserve"> allows the Canadian Commission to impose fines on employers who do not submit reports, but</w:t>
      </w:r>
      <w:r w:rsidR="00A0572A">
        <w:t>,</w:t>
      </w:r>
      <w:r w:rsidRPr="003215C5">
        <w:t xml:space="preserve"> on the other hand, does not have effective enforcement mechanisms to enforce representation targets</w:t>
      </w:r>
      <w:r w:rsidR="00751D36">
        <w:t>,</w:t>
      </w:r>
      <w:r w:rsidRPr="003215C5">
        <w:t xml:space="preserve"> or even effectively monitor all employers who submit reports.</w:t>
      </w:r>
      <w:r w:rsidR="000A336D" w:rsidRPr="003215C5">
        <w:rPr>
          <w:rStyle w:val="FootnoteReference"/>
        </w:rPr>
        <w:footnoteReference w:id="258"/>
      </w:r>
    </w:p>
    <w:p w14:paraId="07584F0B" w14:textId="18529CA6" w:rsidR="006443BE" w:rsidRPr="003215C5" w:rsidRDefault="006443BE" w:rsidP="00286484">
      <w:pPr>
        <w:spacing w:line="360" w:lineRule="auto"/>
        <w:jc w:val="both"/>
      </w:pPr>
    </w:p>
    <w:p w14:paraId="2EEF8E6B" w14:textId="326D7F9B" w:rsidR="006443BE" w:rsidRPr="003215C5" w:rsidRDefault="006443BE" w:rsidP="00286484">
      <w:pPr>
        <w:spacing w:line="360" w:lineRule="auto"/>
        <w:jc w:val="both"/>
        <w:rPr>
          <w:highlight w:val="green"/>
        </w:rPr>
      </w:pPr>
      <w:r w:rsidRPr="003215C5">
        <w:rPr>
          <w:highlight w:val="green"/>
        </w:rPr>
        <w:t>5.5 Israel</w:t>
      </w:r>
    </w:p>
    <w:p w14:paraId="62E894C6" w14:textId="5E59B354" w:rsidR="006443BE" w:rsidRPr="003215C5" w:rsidRDefault="006443BE" w:rsidP="00286484">
      <w:pPr>
        <w:spacing w:line="360" w:lineRule="auto"/>
        <w:ind w:firstLine="720"/>
        <w:jc w:val="both"/>
        <w:rPr>
          <w:highlight w:val="green"/>
        </w:rPr>
      </w:pPr>
      <w:r w:rsidRPr="003215C5">
        <w:rPr>
          <w:highlight w:val="green"/>
        </w:rPr>
        <w:t>Reference to English law has been and still is a key element in the legal evolution in Israel, especially following the British Mandate, whose laws were used as the basis for Israeli law,</w:t>
      </w:r>
      <w:r w:rsidR="000A336D" w:rsidRPr="003215C5">
        <w:rPr>
          <w:rStyle w:val="FootnoteReference"/>
          <w:highlight w:val="green"/>
        </w:rPr>
        <w:footnoteReference w:id="259"/>
      </w:r>
      <w:r w:rsidRPr="003215C5">
        <w:rPr>
          <w:highlight w:val="green"/>
        </w:rPr>
        <w:t xml:space="preserve"> and by virtue of Article 46 of the Order in Council. The hastily established temporary civil service was directly influenced by partisanship, and the genesis of Israel</w:t>
      </w:r>
      <w:r w:rsidR="008578D4" w:rsidRPr="003215C5">
        <w:rPr>
          <w:highlight w:val="green"/>
        </w:rPr>
        <w:t>’</w:t>
      </w:r>
      <w:r w:rsidRPr="003215C5">
        <w:rPr>
          <w:highlight w:val="green"/>
        </w:rPr>
        <w:t xml:space="preserve">s biased appointment habit </w:t>
      </w:r>
      <w:r w:rsidR="00C6150C">
        <w:rPr>
          <w:highlight w:val="green"/>
        </w:rPr>
        <w:t>was</w:t>
      </w:r>
      <w:r w:rsidRPr="003215C5">
        <w:rPr>
          <w:highlight w:val="green"/>
        </w:rPr>
        <w:t xml:space="preserve"> evident in the </w:t>
      </w:r>
      <w:r w:rsidR="008578D4" w:rsidRPr="003215C5">
        <w:rPr>
          <w:highlight w:val="green"/>
        </w:rPr>
        <w:t>“</w:t>
      </w:r>
      <w:r w:rsidRPr="003215C5">
        <w:rPr>
          <w:highlight w:val="green"/>
        </w:rPr>
        <w:t>party index</w:t>
      </w:r>
      <w:r w:rsidR="008578D4" w:rsidRPr="003215C5">
        <w:rPr>
          <w:highlight w:val="green"/>
        </w:rPr>
        <w:t>”</w:t>
      </w:r>
      <w:r w:rsidRPr="003215C5">
        <w:rPr>
          <w:highlight w:val="green"/>
        </w:rPr>
        <w:t xml:space="preserve"> </w:t>
      </w:r>
      <w:r w:rsidRPr="003215C5">
        <w:rPr>
          <w:highlight w:val="green"/>
        </w:rPr>
        <w:lastRenderedPageBreak/>
        <w:t>applied in the institutions of the new country.</w:t>
      </w:r>
      <w:r w:rsidR="000A336D" w:rsidRPr="003215C5">
        <w:rPr>
          <w:rStyle w:val="FootnoteReference"/>
          <w:highlight w:val="green"/>
        </w:rPr>
        <w:footnoteReference w:id="260"/>
      </w:r>
      <w:r w:rsidRPr="003215C5">
        <w:rPr>
          <w:highlight w:val="green"/>
        </w:rPr>
        <w:t xml:space="preserve"> Ever since the Appointments Act of 1959</w:t>
      </w:r>
      <w:r w:rsidR="000A336D" w:rsidRPr="003215C5">
        <w:rPr>
          <w:rStyle w:val="FootnoteReference"/>
          <w:highlight w:val="green"/>
        </w:rPr>
        <w:footnoteReference w:id="261"/>
      </w:r>
      <w:r w:rsidRPr="003215C5">
        <w:rPr>
          <w:highlight w:val="green"/>
        </w:rPr>
        <w:t xml:space="preserve"> stated that civil service appointments are to be made by tender,</w:t>
      </w:r>
      <w:r w:rsidR="000A336D" w:rsidRPr="003215C5">
        <w:rPr>
          <w:rStyle w:val="FootnoteReference"/>
          <w:highlight w:val="green"/>
        </w:rPr>
        <w:footnoteReference w:id="262"/>
      </w:r>
      <w:r w:rsidRPr="003215C5">
        <w:rPr>
          <w:highlight w:val="green"/>
        </w:rPr>
        <w:t xml:space="preserve"> emulating the English </w:t>
      </w:r>
      <w:r w:rsidR="007810EF" w:rsidRPr="003215C5">
        <w:rPr>
          <w:highlight w:val="green"/>
        </w:rPr>
        <w:t>merit</w:t>
      </w:r>
      <w:r w:rsidRPr="003215C5">
        <w:rPr>
          <w:highlight w:val="green"/>
        </w:rPr>
        <w:t>ocratic model that promotes a professional and apolitical civil service,</w:t>
      </w:r>
      <w:r w:rsidR="000A336D" w:rsidRPr="003215C5">
        <w:rPr>
          <w:rStyle w:val="FootnoteReference"/>
          <w:highlight w:val="green"/>
        </w:rPr>
        <w:footnoteReference w:id="263"/>
      </w:r>
      <w:r w:rsidRPr="003215C5">
        <w:rPr>
          <w:highlight w:val="green"/>
        </w:rPr>
        <w:t xml:space="preserve"> and since the </w:t>
      </w:r>
      <w:r w:rsidR="00C6150C">
        <w:rPr>
          <w:highlight w:val="green"/>
        </w:rPr>
        <w:t xml:space="preserve">Israel </w:t>
      </w:r>
      <w:r w:rsidRPr="003215C5">
        <w:rPr>
          <w:highlight w:val="green"/>
        </w:rPr>
        <w:t>Supreme Court</w:t>
      </w:r>
      <w:r w:rsidR="000A336D" w:rsidRPr="003215C5">
        <w:rPr>
          <w:rStyle w:val="FootnoteReference"/>
          <w:highlight w:val="green"/>
        </w:rPr>
        <w:footnoteReference w:id="264"/>
      </w:r>
      <w:r w:rsidRPr="003215C5">
        <w:rPr>
          <w:highlight w:val="green"/>
        </w:rPr>
        <w:t xml:space="preserve"> later ruled that the civil service, as a trustee of the public, must be free of foreign interests, including partisan influence,</w:t>
      </w:r>
      <w:r w:rsidR="000A336D" w:rsidRPr="003215C5">
        <w:rPr>
          <w:rStyle w:val="FootnoteReference"/>
          <w:highlight w:val="green"/>
        </w:rPr>
        <w:footnoteReference w:id="265"/>
      </w:r>
      <w:r w:rsidRPr="003215C5">
        <w:rPr>
          <w:highlight w:val="green"/>
        </w:rPr>
        <w:t xml:space="preserve"> the appointments system was supposed to be objective, and any new appointment should have been based on professional factors only. In that respect, the Israeli governmental system tried to emulate the British system as much as possible,</w:t>
      </w:r>
      <w:r w:rsidR="000A336D" w:rsidRPr="003215C5">
        <w:rPr>
          <w:rStyle w:val="FootnoteReference"/>
          <w:highlight w:val="green"/>
        </w:rPr>
        <w:footnoteReference w:id="266"/>
      </w:r>
      <w:r w:rsidRPr="003215C5">
        <w:rPr>
          <w:highlight w:val="green"/>
        </w:rPr>
        <w:t xml:space="preserve"> including its appointment procedures, which are supposed to be professional, in the sense of evaluating professional skills only.</w:t>
      </w:r>
      <w:r w:rsidR="000A336D" w:rsidRPr="003215C5">
        <w:rPr>
          <w:rStyle w:val="FootnoteReference"/>
          <w:highlight w:val="green"/>
        </w:rPr>
        <w:footnoteReference w:id="267"/>
      </w:r>
      <w:r w:rsidRPr="003215C5">
        <w:rPr>
          <w:highlight w:val="green"/>
        </w:rPr>
        <w:t xml:space="preserve"> This issue was considered of utmost importance, as the Supreme Court reiterated.</w:t>
      </w:r>
      <w:r w:rsidR="000A336D" w:rsidRPr="003215C5">
        <w:rPr>
          <w:rStyle w:val="FootnoteReference"/>
          <w:highlight w:val="green"/>
        </w:rPr>
        <w:footnoteReference w:id="268"/>
      </w:r>
    </w:p>
    <w:p w14:paraId="0FA0650C" w14:textId="1A5C971C" w:rsidR="006443BE" w:rsidRPr="003215C5" w:rsidRDefault="006443BE" w:rsidP="00286484">
      <w:pPr>
        <w:spacing w:line="360" w:lineRule="auto"/>
        <w:ind w:firstLine="720"/>
        <w:jc w:val="both"/>
        <w:rPr>
          <w:highlight w:val="green"/>
        </w:rPr>
      </w:pPr>
      <w:r w:rsidRPr="003215C5">
        <w:rPr>
          <w:highlight w:val="green"/>
        </w:rPr>
        <w:t>The implementation of the Appointments Act was undoubtedly the beginning of a new era in the civil service. Its main objective was to reduce biased appointments and ensure employees are hired and promoted based on objective skills and qualities (</w:t>
      </w:r>
      <w:r w:rsidR="008578D4" w:rsidRPr="003215C5">
        <w:rPr>
          <w:highlight w:val="green"/>
        </w:rPr>
        <w:t>“</w:t>
      </w:r>
      <w:r w:rsidR="007810EF" w:rsidRPr="003215C5">
        <w:rPr>
          <w:highlight w:val="green"/>
        </w:rPr>
        <w:t>merit</w:t>
      </w:r>
      <w:r w:rsidRPr="003215C5">
        <w:rPr>
          <w:highlight w:val="green"/>
        </w:rPr>
        <w:t xml:space="preserve"> system</w:t>
      </w:r>
      <w:r w:rsidR="008578D4" w:rsidRPr="003215C5">
        <w:rPr>
          <w:highlight w:val="green"/>
        </w:rPr>
        <w:t>”</w:t>
      </w:r>
      <w:r w:rsidRPr="003215C5">
        <w:rPr>
          <w:highlight w:val="green"/>
        </w:rPr>
        <w:t xml:space="preserve">), much like the English </w:t>
      </w:r>
      <w:r w:rsidR="007810EF" w:rsidRPr="003215C5">
        <w:rPr>
          <w:highlight w:val="green"/>
        </w:rPr>
        <w:t>merit</w:t>
      </w:r>
      <w:r w:rsidRPr="003215C5">
        <w:rPr>
          <w:highlight w:val="green"/>
        </w:rPr>
        <w:t>ocratic system, which is not contingent on a change of government. Thus, the legislation intended to foster a neutral, professional, and apolitical civil service.</w:t>
      </w:r>
      <w:r w:rsidR="000A336D" w:rsidRPr="003215C5">
        <w:rPr>
          <w:rStyle w:val="FootnoteReference"/>
          <w:highlight w:val="green"/>
        </w:rPr>
        <w:footnoteReference w:id="269"/>
      </w:r>
      <w:r w:rsidRPr="003215C5">
        <w:rPr>
          <w:highlight w:val="green"/>
        </w:rPr>
        <w:t xml:space="preserve"> The state authorities</w:t>
      </w:r>
      <w:r w:rsidR="008578D4" w:rsidRPr="003215C5">
        <w:rPr>
          <w:highlight w:val="green"/>
        </w:rPr>
        <w:t>’</w:t>
      </w:r>
      <w:r w:rsidRPr="003215C5">
        <w:rPr>
          <w:highlight w:val="green"/>
        </w:rPr>
        <w:t xml:space="preserve"> decision to choose the British model over the American one is evident in the Supreme Court ruling in the matter of </w:t>
      </w:r>
      <w:proofErr w:type="spellStart"/>
      <w:r w:rsidRPr="003215C5">
        <w:rPr>
          <w:highlight w:val="green"/>
        </w:rPr>
        <w:t>Halamish</w:t>
      </w:r>
      <w:proofErr w:type="spellEnd"/>
      <w:r w:rsidRPr="003215C5">
        <w:rPr>
          <w:highlight w:val="green"/>
        </w:rPr>
        <w:t>.</w:t>
      </w:r>
      <w:r w:rsidR="000A336D" w:rsidRPr="003215C5">
        <w:rPr>
          <w:rStyle w:val="FootnoteReference"/>
          <w:highlight w:val="green"/>
        </w:rPr>
        <w:footnoteReference w:id="270"/>
      </w:r>
      <w:r w:rsidRPr="003215C5">
        <w:rPr>
          <w:highlight w:val="green"/>
        </w:rPr>
        <w:t xml:space="preserve"> The court stressed that the underlying principle of the </w:t>
      </w:r>
      <w:r w:rsidR="007810EF" w:rsidRPr="003215C5">
        <w:rPr>
          <w:highlight w:val="green"/>
        </w:rPr>
        <w:t>merit</w:t>
      </w:r>
      <w:r w:rsidRPr="003215C5">
        <w:rPr>
          <w:highlight w:val="green"/>
        </w:rPr>
        <w:t xml:space="preserve">ocratic model is the desire to select employees based on their qualities and skills alone, while eliminating any other consideration that is not relevant to the position itself. This was a rejection of the </w:t>
      </w:r>
      <w:r w:rsidR="008578D4" w:rsidRPr="003215C5">
        <w:rPr>
          <w:highlight w:val="green"/>
        </w:rPr>
        <w:t>“</w:t>
      </w:r>
      <w:r w:rsidRPr="003215C5">
        <w:rPr>
          <w:highlight w:val="green"/>
        </w:rPr>
        <w:t>spoils system</w:t>
      </w:r>
      <w:r w:rsidR="008578D4" w:rsidRPr="003215C5">
        <w:rPr>
          <w:highlight w:val="green"/>
        </w:rPr>
        <w:t>”</w:t>
      </w:r>
      <w:r w:rsidRPr="003215C5">
        <w:rPr>
          <w:highlight w:val="green"/>
        </w:rPr>
        <w:t xml:space="preserve"> model: </w:t>
      </w:r>
      <w:r w:rsidR="008578D4" w:rsidRPr="003215C5">
        <w:rPr>
          <w:highlight w:val="green"/>
        </w:rPr>
        <w:t>“</w:t>
      </w:r>
      <w:r w:rsidRPr="003215C5">
        <w:rPr>
          <w:highlight w:val="green"/>
        </w:rPr>
        <w:t xml:space="preserve">Public Tender – to reassure the public that the best </w:t>
      </w:r>
      <w:r w:rsidR="004B6223" w:rsidRPr="003215C5">
        <w:rPr>
          <w:highlight w:val="green"/>
        </w:rPr>
        <w:t>is</w:t>
      </w:r>
      <w:r w:rsidRPr="003215C5">
        <w:rPr>
          <w:highlight w:val="green"/>
        </w:rPr>
        <w:t xml:space="preserve"> hired, not those with the most connections.</w:t>
      </w:r>
      <w:r w:rsidR="008578D4" w:rsidRPr="003215C5">
        <w:rPr>
          <w:highlight w:val="green"/>
        </w:rPr>
        <w:t>”</w:t>
      </w:r>
      <w:r w:rsidR="000A336D" w:rsidRPr="003215C5">
        <w:rPr>
          <w:rStyle w:val="FootnoteReference"/>
          <w:highlight w:val="green"/>
        </w:rPr>
        <w:footnoteReference w:id="271"/>
      </w:r>
      <w:r w:rsidRPr="003215C5">
        <w:rPr>
          <w:highlight w:val="green"/>
        </w:rPr>
        <w:t xml:space="preserve"> One of these irrelevant </w:t>
      </w:r>
      <w:r w:rsidRPr="003215C5">
        <w:rPr>
          <w:highlight w:val="green"/>
        </w:rPr>
        <w:lastRenderedPageBreak/>
        <w:t xml:space="preserve">considerations is the political one: </w:t>
      </w:r>
      <w:r w:rsidR="008578D4" w:rsidRPr="003215C5">
        <w:rPr>
          <w:highlight w:val="green"/>
        </w:rPr>
        <w:t>“</w:t>
      </w:r>
      <w:r w:rsidRPr="003215C5">
        <w:rPr>
          <w:highlight w:val="green"/>
        </w:rPr>
        <w:t>Hiring state employees... shall not be subject to partisan bias or political affiliation, but rather personal training</w:t>
      </w:r>
      <w:r w:rsidR="008578D4" w:rsidRPr="003215C5">
        <w:rPr>
          <w:highlight w:val="green"/>
        </w:rPr>
        <w:t>”</w:t>
      </w:r>
      <w:r w:rsidRPr="003215C5">
        <w:rPr>
          <w:highlight w:val="green"/>
        </w:rPr>
        <w:t xml:space="preserve">. </w:t>
      </w:r>
      <w:r w:rsidR="000A336D" w:rsidRPr="003215C5">
        <w:rPr>
          <w:rStyle w:val="FootnoteReference"/>
          <w:highlight w:val="green"/>
        </w:rPr>
        <w:footnoteReference w:id="272"/>
      </w:r>
    </w:p>
    <w:p w14:paraId="17512D2B" w14:textId="5BE7328D" w:rsidR="006443BE" w:rsidRPr="003215C5" w:rsidRDefault="006443BE" w:rsidP="00286484">
      <w:pPr>
        <w:spacing w:line="360" w:lineRule="auto"/>
        <w:ind w:firstLine="720"/>
        <w:jc w:val="both"/>
        <w:rPr>
          <w:highlight w:val="green"/>
        </w:rPr>
      </w:pPr>
      <w:r w:rsidRPr="003215C5">
        <w:rPr>
          <w:highlight w:val="green"/>
        </w:rPr>
        <w:t xml:space="preserve">That being said, since Israel chose to adopt the </w:t>
      </w:r>
      <w:r w:rsidR="007810EF" w:rsidRPr="003215C5">
        <w:rPr>
          <w:highlight w:val="green"/>
        </w:rPr>
        <w:t>merit</w:t>
      </w:r>
      <w:r w:rsidRPr="003215C5">
        <w:rPr>
          <w:highlight w:val="green"/>
        </w:rPr>
        <w:t xml:space="preserve">ocratic model over the others, biased appointments should have been eliminated. Israel did not fully enact the </w:t>
      </w:r>
      <w:r w:rsidR="007810EF" w:rsidRPr="003215C5">
        <w:rPr>
          <w:highlight w:val="green"/>
        </w:rPr>
        <w:t>merit</w:t>
      </w:r>
      <w:r w:rsidRPr="003215C5">
        <w:rPr>
          <w:highlight w:val="green"/>
        </w:rPr>
        <w:t xml:space="preserve">ocratic model to begin with; furthermore, over the years this model eroded, allowing the incidence of biased appointments. Upon the establishment of the state, most of the principles of the British </w:t>
      </w:r>
      <w:r w:rsidR="007810EF" w:rsidRPr="003215C5">
        <w:rPr>
          <w:highlight w:val="green"/>
        </w:rPr>
        <w:t>merit</w:t>
      </w:r>
      <w:r w:rsidRPr="003215C5">
        <w:rPr>
          <w:highlight w:val="green"/>
        </w:rPr>
        <w:t xml:space="preserve">ocratic model were implemented. However, it is wrong to assume that Israel has fully adopted the British model. The Appointments Act was supposed to embody the </w:t>
      </w:r>
      <w:r w:rsidR="007810EF" w:rsidRPr="003215C5">
        <w:rPr>
          <w:highlight w:val="green"/>
        </w:rPr>
        <w:t>merit</w:t>
      </w:r>
      <w:r w:rsidRPr="003215C5">
        <w:rPr>
          <w:highlight w:val="green"/>
        </w:rPr>
        <w:t xml:space="preserve">ocratic model, but it did not prevent the politicization of the civil service that existed back in the early days of the country, before the Act was passed. It actually eroded the model even more by extending the list of positions, making appointments by tender the exception to the rule of biased appointments. Besides legislation, the government continued to erode the principles of the </w:t>
      </w:r>
      <w:r w:rsidR="007810EF" w:rsidRPr="003215C5">
        <w:rPr>
          <w:highlight w:val="green"/>
        </w:rPr>
        <w:t>merit</w:t>
      </w:r>
      <w:r w:rsidRPr="003215C5">
        <w:rPr>
          <w:highlight w:val="green"/>
        </w:rPr>
        <w:t>ocratic model more and more. the Act both mandated public tenders and set the path for exemptions from them. On the one hand, the Appointments Act was enacted to reduce improprieties and adopt the professional and apolitical British model (Section 19 of the Appointments Act), On the other hand, Sections 21</w:t>
      </w:r>
      <w:r w:rsidR="000A336D" w:rsidRPr="003215C5">
        <w:rPr>
          <w:rStyle w:val="FootnoteReference"/>
          <w:highlight w:val="green"/>
        </w:rPr>
        <w:footnoteReference w:id="273"/>
      </w:r>
      <w:r w:rsidRPr="003215C5">
        <w:rPr>
          <w:highlight w:val="green"/>
        </w:rPr>
        <w:t xml:space="preserve"> and 23</w:t>
      </w:r>
      <w:r w:rsidR="000A336D" w:rsidRPr="003215C5">
        <w:rPr>
          <w:rStyle w:val="FootnoteReference"/>
          <w:highlight w:val="green"/>
        </w:rPr>
        <w:footnoteReference w:id="274"/>
      </w:r>
      <w:r w:rsidRPr="003215C5">
        <w:rPr>
          <w:highlight w:val="green"/>
        </w:rPr>
        <w:t xml:space="preserve"> of the Appointments Act state that the tender requirement shall not apply to senior positions, allowing the government to set a list of positions that are exempt from this mandatory tender. In particular, Section 23 of the Appointments Act allows appointments by search committees, originating from the provisions of the Civil Service Regulations and government decisions.</w:t>
      </w:r>
      <w:r w:rsidR="000A336D" w:rsidRPr="003215C5">
        <w:rPr>
          <w:rStyle w:val="FootnoteReference"/>
          <w:highlight w:val="green"/>
        </w:rPr>
        <w:footnoteReference w:id="275"/>
      </w:r>
      <w:r w:rsidRPr="003215C5">
        <w:rPr>
          <w:highlight w:val="green"/>
        </w:rPr>
        <w:t xml:space="preserve"> It seems, at least in theory, that Section 23 was meant to provide a more effective way of searching for qualified candidates than tenders, rather than to be a gateway for biased appointments. Following the Supreme Court ruling,</w:t>
      </w:r>
      <w:r w:rsidR="000A336D" w:rsidRPr="003215C5">
        <w:rPr>
          <w:rStyle w:val="FootnoteReference"/>
          <w:highlight w:val="green"/>
        </w:rPr>
        <w:footnoteReference w:id="276"/>
      </w:r>
      <w:r w:rsidRPr="003215C5">
        <w:rPr>
          <w:highlight w:val="green"/>
        </w:rPr>
        <w:t xml:space="preserve"> which had the aim of improving the tender </w:t>
      </w:r>
      <w:r w:rsidRPr="003215C5">
        <w:rPr>
          <w:highlight w:val="green"/>
        </w:rPr>
        <w:lastRenderedPageBreak/>
        <w:t>exemption mechanism, the government decided</w:t>
      </w:r>
      <w:r w:rsidR="000A336D" w:rsidRPr="003215C5">
        <w:rPr>
          <w:rStyle w:val="FootnoteReference"/>
          <w:highlight w:val="green"/>
        </w:rPr>
        <w:footnoteReference w:id="277"/>
      </w:r>
      <w:r w:rsidRPr="003215C5">
        <w:rPr>
          <w:highlight w:val="green"/>
        </w:rPr>
        <w:t xml:space="preserve"> to establish the search committee mechanism and apply it to a limited number of specific positions that are exempt from tender.</w:t>
      </w:r>
      <w:r w:rsidR="000A336D" w:rsidRPr="003215C5">
        <w:rPr>
          <w:rStyle w:val="FootnoteReference"/>
          <w:highlight w:val="green"/>
        </w:rPr>
        <w:footnoteReference w:id="278"/>
      </w:r>
    </w:p>
    <w:p w14:paraId="34505164" w14:textId="4F8B27E9" w:rsidR="006443BE" w:rsidRPr="003215C5" w:rsidRDefault="006443BE" w:rsidP="00286484">
      <w:pPr>
        <w:spacing w:line="360" w:lineRule="auto"/>
        <w:ind w:firstLine="720"/>
        <w:jc w:val="both"/>
      </w:pPr>
      <w:r w:rsidRPr="003215C5">
        <w:rPr>
          <w:highlight w:val="green"/>
        </w:rPr>
        <w:t xml:space="preserve">The main conclusion so far, then, is that the Appointments Act includes provisions that poorly implement the </w:t>
      </w:r>
      <w:r w:rsidR="007810EF" w:rsidRPr="003215C5">
        <w:rPr>
          <w:highlight w:val="green"/>
        </w:rPr>
        <w:t>merit</w:t>
      </w:r>
      <w:r w:rsidRPr="003215C5">
        <w:rPr>
          <w:highlight w:val="green"/>
        </w:rPr>
        <w:t xml:space="preserve">ocratic model. That some provisions of the Act lead to deviations from the classic </w:t>
      </w:r>
      <w:r w:rsidR="007810EF" w:rsidRPr="003215C5">
        <w:rPr>
          <w:highlight w:val="green"/>
        </w:rPr>
        <w:t>merit</w:t>
      </w:r>
      <w:r w:rsidRPr="003215C5">
        <w:rPr>
          <w:highlight w:val="green"/>
        </w:rPr>
        <w:t xml:space="preserve">ocratic model (be it intended by the legislature or not) that Israel chose to adopt at its inception does not condemn the </w:t>
      </w:r>
      <w:r w:rsidR="007810EF" w:rsidRPr="003215C5">
        <w:rPr>
          <w:highlight w:val="green"/>
        </w:rPr>
        <w:t>merit</w:t>
      </w:r>
      <w:r w:rsidRPr="003215C5">
        <w:rPr>
          <w:highlight w:val="green"/>
        </w:rPr>
        <w:t xml:space="preserve">ocratic model. The core concept of the civil service in Israel, as anchored in the Appointments Act of 1959 and in legal rulings, states that the public service relies on neutral, professional, and apolitical staff appointed in a public, competitive, and equal selection process. The Israeli civil service is based on personnel that do not change with the replacement of the minister in charge; this is the essence of the professional service in the </w:t>
      </w:r>
      <w:r w:rsidR="007810EF" w:rsidRPr="003215C5">
        <w:rPr>
          <w:highlight w:val="green"/>
        </w:rPr>
        <w:t>merit</w:t>
      </w:r>
      <w:r w:rsidRPr="003215C5">
        <w:rPr>
          <w:highlight w:val="green"/>
        </w:rPr>
        <w:t xml:space="preserve">ocratic model, in which workers are selected based on objective skills instead of political affiliation, and are therefore considered worthy for any time or under any government. However, as an exception to this </w:t>
      </w:r>
      <w:r w:rsidR="007810EF" w:rsidRPr="003215C5">
        <w:rPr>
          <w:highlight w:val="green"/>
        </w:rPr>
        <w:t>merit</w:t>
      </w:r>
      <w:r w:rsidRPr="003215C5">
        <w:rPr>
          <w:highlight w:val="green"/>
        </w:rPr>
        <w:t>ocratic rule and under the Civil Service Act and the provisions of the Civil Service Regulations,</w:t>
      </w:r>
      <w:r w:rsidR="000A336D" w:rsidRPr="003215C5">
        <w:rPr>
          <w:rStyle w:val="FootnoteReference"/>
          <w:highlight w:val="green"/>
        </w:rPr>
        <w:footnoteReference w:id="279"/>
      </w:r>
      <w:r w:rsidRPr="003215C5">
        <w:rPr>
          <w:highlight w:val="green"/>
        </w:rPr>
        <w:t xml:space="preserve"> the prime minister or any minister or government ministry director can appoint someone to a position of trust in their office as they please, without holding a tender.</w:t>
      </w:r>
    </w:p>
    <w:p w14:paraId="20F681B2" w14:textId="54A6A38C" w:rsidR="006443BE" w:rsidRPr="003215C5" w:rsidRDefault="006443BE" w:rsidP="00286484">
      <w:pPr>
        <w:spacing w:line="360" w:lineRule="auto"/>
        <w:ind w:firstLine="720"/>
        <w:jc w:val="both"/>
      </w:pPr>
      <w:r w:rsidRPr="007B076F">
        <w:t xml:space="preserve">The concept of </w:t>
      </w:r>
      <w:r w:rsidR="007810EF" w:rsidRPr="007B076F">
        <w:t>merit</w:t>
      </w:r>
      <w:r w:rsidRPr="007B076F">
        <w:t>ocracy in the civil service in Israel has also influenced the concept of affirmative action</w:t>
      </w:r>
      <w:r w:rsidR="007B076F">
        <w:t>,</w:t>
      </w:r>
      <w:r w:rsidRPr="007B076F">
        <w:t xml:space="preserve"> and raises broader questions about the nature of the service</w:t>
      </w:r>
      <w:r w:rsidR="007B076F">
        <w:t>,</w:t>
      </w:r>
      <w:r w:rsidRPr="007B076F">
        <w:t xml:space="preserve"> and the </w:t>
      </w:r>
      <w:r w:rsidR="007B076F">
        <w:t xml:space="preserve">duty </w:t>
      </w:r>
      <w:r w:rsidRPr="007B076F">
        <w:t>to hold tender</w:t>
      </w:r>
      <w:r w:rsidR="007B076F">
        <w:t>s</w:t>
      </w:r>
      <w:r w:rsidRPr="007B076F">
        <w:t xml:space="preserve"> in it. Additional questions concern the interpretation of the provisions of the law regarding affirmative action </w:t>
      </w:r>
      <w:r w:rsidR="0008234F">
        <w:t>–</w:t>
      </w:r>
      <w:r w:rsidRPr="007B076F">
        <w:t xml:space="preserve"> do they impose a</w:t>
      </w:r>
      <w:r w:rsidR="007B076F">
        <w:t xml:space="preserve"> </w:t>
      </w:r>
      <w:r w:rsidR="007B076F" w:rsidRPr="007B076F">
        <w:t xml:space="preserve">duty of </w:t>
      </w:r>
      <w:r w:rsidRPr="007B076F">
        <w:t xml:space="preserve">adequate representation on all positions in the civil service? Is this </w:t>
      </w:r>
      <w:r w:rsidR="007B076F">
        <w:t xml:space="preserve">duty </w:t>
      </w:r>
      <w:r w:rsidRPr="007B076F">
        <w:t xml:space="preserve">relevant </w:t>
      </w:r>
      <w:r w:rsidR="007B076F">
        <w:t xml:space="preserve">to </w:t>
      </w:r>
      <w:r w:rsidRPr="007B076F">
        <w:t xml:space="preserve">all </w:t>
      </w:r>
      <w:r w:rsidR="007B076F">
        <w:t>positions</w:t>
      </w:r>
      <w:r w:rsidRPr="007B076F">
        <w:t xml:space="preserve">, even those </w:t>
      </w:r>
      <w:r w:rsidR="007B076F">
        <w:t xml:space="preserve">that have no </w:t>
      </w:r>
      <w:r w:rsidRPr="007B076F">
        <w:t>tender? And is the duty of adequate representation an active duty? The Appointments Act stipulates</w:t>
      </w:r>
      <w:r w:rsidR="007B076F">
        <w:t>,</w:t>
      </w:r>
      <w:r w:rsidRPr="007B076F">
        <w:t xml:space="preserve"> in </w:t>
      </w:r>
      <w:r w:rsidR="007B076F">
        <w:t>S</w:t>
      </w:r>
      <w:r w:rsidRPr="007B076F">
        <w:t>ection 15(c)</w:t>
      </w:r>
      <w:r w:rsidR="007B076F">
        <w:t>,</w:t>
      </w:r>
      <w:r w:rsidRPr="007B076F">
        <w:t xml:space="preserve"> that the provisions of the law regarding adequate representation (for all target groups) shall apply to all </w:t>
      </w:r>
      <w:r w:rsidR="007B076F">
        <w:t xml:space="preserve">measures </w:t>
      </w:r>
      <w:r w:rsidRPr="007B076F">
        <w:t xml:space="preserve">of </w:t>
      </w:r>
      <w:r w:rsidR="007B076F">
        <w:t xml:space="preserve">admission to, </w:t>
      </w:r>
      <w:r w:rsidRPr="007B076F">
        <w:t>and promotion in</w:t>
      </w:r>
      <w:r w:rsidR="007B076F">
        <w:t>,</w:t>
      </w:r>
      <w:r w:rsidRPr="007B076F">
        <w:t xml:space="preserve"> the civil service, whether </w:t>
      </w:r>
      <w:r w:rsidR="007B076F">
        <w:t xml:space="preserve">by </w:t>
      </w:r>
      <w:r w:rsidRPr="007B076F">
        <w:t xml:space="preserve">tender or </w:t>
      </w:r>
      <w:r w:rsidR="007B076F">
        <w:t>otherwise;</w:t>
      </w:r>
      <w:r w:rsidRPr="007B076F">
        <w:t xml:space="preserve"> the provisions of </w:t>
      </w:r>
      <w:r w:rsidR="007B076F">
        <w:t>S</w:t>
      </w:r>
      <w:r w:rsidRPr="007B076F">
        <w:t xml:space="preserve">ection 6C(a) </w:t>
      </w:r>
      <w:r w:rsidR="007B076F">
        <w:t xml:space="preserve">prescribe </w:t>
      </w:r>
      <w:r w:rsidRPr="007B076F">
        <w:t xml:space="preserve">adequate representation for women in every public </w:t>
      </w:r>
      <w:r w:rsidR="007B076F">
        <w:t>entity,</w:t>
      </w:r>
      <w:r w:rsidRPr="007B076F">
        <w:t xml:space="preserve"> </w:t>
      </w:r>
      <w:r w:rsidR="007B076F">
        <w:t>w</w:t>
      </w:r>
      <w:r w:rsidRPr="007B076F">
        <w:t xml:space="preserve">ithout </w:t>
      </w:r>
      <w:r w:rsidR="007B076F">
        <w:t xml:space="preserve">limitation </w:t>
      </w:r>
      <w:r w:rsidRPr="007B076F">
        <w:t>to tender proce</w:t>
      </w:r>
      <w:r w:rsidR="007B076F">
        <w:t xml:space="preserve">edings </w:t>
      </w:r>
      <w:r w:rsidRPr="007B076F">
        <w:t>only.</w:t>
      </w:r>
      <w:r w:rsidR="000A336D" w:rsidRPr="007B076F">
        <w:rPr>
          <w:rStyle w:val="FootnoteReference"/>
        </w:rPr>
        <w:footnoteReference w:id="280"/>
      </w:r>
      <w:r w:rsidRPr="007B076F">
        <w:t xml:space="preserve"> The Israeli legislature selected a number of target populations and explicitly </w:t>
      </w:r>
      <w:r w:rsidR="007B076F">
        <w:t xml:space="preserve">noted </w:t>
      </w:r>
      <w:r w:rsidRPr="007B076F">
        <w:t xml:space="preserve">them in the provisions of the law: </w:t>
      </w:r>
      <w:r w:rsidR="00C43A29">
        <w:t>w</w:t>
      </w:r>
      <w:r w:rsidRPr="007B076F">
        <w:t xml:space="preserve">omen (as part of the duty to represent both sexes), people with </w:t>
      </w:r>
      <w:r w:rsidRPr="007B076F">
        <w:lastRenderedPageBreak/>
        <w:t xml:space="preserve">disabilities, Arabs (including Druze and Circassians), </w:t>
      </w:r>
      <w:r w:rsidR="00511C97">
        <w:t xml:space="preserve">ethnic </w:t>
      </w:r>
      <w:r w:rsidRPr="007B076F">
        <w:t xml:space="preserve">Ethiopians, </w:t>
      </w:r>
      <w:r w:rsidR="0008234F">
        <w:t xml:space="preserve">the </w:t>
      </w:r>
      <w:r w:rsidRPr="007B076F">
        <w:t>ultra-Orthodox</w:t>
      </w:r>
      <w:r w:rsidR="0008234F">
        <w:t xml:space="preserve"> community</w:t>
      </w:r>
      <w:r w:rsidR="00511C97">
        <w:t>,</w:t>
      </w:r>
      <w:r w:rsidRPr="007B076F">
        <w:t xml:space="preserve"> and new immigrants. The duty of adequate representation for non-women target groups</w:t>
      </w:r>
      <w:r w:rsidR="0008234F">
        <w:t xml:space="preserve"> </w:t>
      </w:r>
      <w:r w:rsidRPr="007B076F">
        <w:t xml:space="preserve">is fulfilled through tenders, usually designated for them, and </w:t>
      </w:r>
      <w:r w:rsidR="00511C97">
        <w:t xml:space="preserve">with respect to </w:t>
      </w:r>
      <w:r w:rsidRPr="007B076F">
        <w:t>women</w:t>
      </w:r>
      <w:r w:rsidR="00C43A29">
        <w:t>,</w:t>
      </w:r>
      <w:r w:rsidRPr="007B076F">
        <w:t xml:space="preserve"> representation must be </w:t>
      </w:r>
      <w:r w:rsidR="00511C97">
        <w:t xml:space="preserve">achieved </w:t>
      </w:r>
      <w:r w:rsidRPr="007B076F">
        <w:t xml:space="preserve">on an ongoing basis </w:t>
      </w:r>
      <w:r w:rsidR="00511C97">
        <w:t xml:space="preserve">in </w:t>
      </w:r>
      <w:r w:rsidRPr="007B076F">
        <w:t xml:space="preserve">tenders, but there is no </w:t>
      </w:r>
      <w:r w:rsidR="00511C97">
        <w:t xml:space="preserve">duty of </w:t>
      </w:r>
      <w:r w:rsidRPr="007B076F">
        <w:t>adequate</w:t>
      </w:r>
      <w:r w:rsidR="00511C97">
        <w:t xml:space="preserve"> </w:t>
      </w:r>
      <w:r w:rsidRPr="007B076F">
        <w:t>represent</w:t>
      </w:r>
      <w:r w:rsidR="00511C97">
        <w:t>ation</w:t>
      </w:r>
      <w:r w:rsidRPr="007B076F">
        <w:t xml:space="preserve"> whe</w:t>
      </w:r>
      <w:r w:rsidR="00C43A29">
        <w:t>n</w:t>
      </w:r>
      <w:r w:rsidRPr="007B076F">
        <w:t xml:space="preserve"> there is no tender.</w:t>
      </w:r>
      <w:r w:rsidR="000A336D" w:rsidRPr="007B076F">
        <w:rPr>
          <w:rStyle w:val="FootnoteReference"/>
        </w:rPr>
        <w:footnoteReference w:id="281"/>
      </w:r>
    </w:p>
    <w:p w14:paraId="732B28EA" w14:textId="6D43CDA9" w:rsidR="006443BE" w:rsidRPr="003215C5" w:rsidRDefault="00511C97" w:rsidP="00286484">
      <w:pPr>
        <w:spacing w:line="360" w:lineRule="auto"/>
        <w:ind w:firstLine="720"/>
        <w:jc w:val="both"/>
      </w:pPr>
      <w:r>
        <w:t xml:space="preserve">Case law </w:t>
      </w:r>
      <w:r w:rsidR="006443BE" w:rsidRPr="003215C5">
        <w:t>states that even where there is an exemption from tender, the</w:t>
      </w:r>
      <w:r>
        <w:t xml:space="preserve">re is no </w:t>
      </w:r>
      <w:r w:rsidR="006443BE" w:rsidRPr="003215C5">
        <w:t>exemption from the applica</w:t>
      </w:r>
      <w:r>
        <w:t>bility</w:t>
      </w:r>
      <w:r w:rsidR="006443BE" w:rsidRPr="003215C5">
        <w:t xml:space="preserve"> of the usual criteria that apply to appointments in the </w:t>
      </w:r>
      <w:r>
        <w:t xml:space="preserve">civil </w:t>
      </w:r>
      <w:r w:rsidR="006443BE" w:rsidRPr="003215C5">
        <w:t xml:space="preserve">service </w:t>
      </w:r>
      <w:r>
        <w:t xml:space="preserve">with respect to </w:t>
      </w:r>
      <w:r w:rsidR="006443BE" w:rsidRPr="003215C5">
        <w:t>reasonableness, fairness,</w:t>
      </w:r>
      <w:r w:rsidR="000A336D" w:rsidRPr="003215C5">
        <w:rPr>
          <w:rStyle w:val="FootnoteReference"/>
        </w:rPr>
        <w:footnoteReference w:id="282"/>
      </w:r>
      <w:r w:rsidR="006443BE" w:rsidRPr="003215C5">
        <w:t xml:space="preserve"> etc.</w:t>
      </w:r>
      <w:r>
        <w:t>, and therefore</w:t>
      </w:r>
      <w:r w:rsidR="00736EEB">
        <w:t>,</w:t>
      </w:r>
      <w:r w:rsidR="006443BE" w:rsidRPr="003215C5">
        <w:t xml:space="preserve"> </w:t>
      </w:r>
      <w:r>
        <w:t xml:space="preserve">applying an active duty of affirmative action to all positions, even those exempt from tender, is not supposed to limit the sphere of action for </w:t>
      </w:r>
      <w:r w:rsidR="006443BE" w:rsidRPr="003215C5">
        <w:t>decision-mak</w:t>
      </w:r>
      <w:r>
        <w:t xml:space="preserve">ers </w:t>
      </w:r>
      <w:r w:rsidR="006443BE" w:rsidRPr="003215C5">
        <w:t xml:space="preserve">(such as ministers). This duty does not dictate to </w:t>
      </w:r>
      <w:r>
        <w:t xml:space="preserve">them </w:t>
      </w:r>
      <w:r w:rsidR="006443BE" w:rsidRPr="003215C5">
        <w:t>whom to appoint, but establishes an active duty to search</w:t>
      </w:r>
      <w:r>
        <w:t>,</w:t>
      </w:r>
      <w:r w:rsidR="006443BE" w:rsidRPr="003215C5">
        <w:t xml:space="preserve"> leav</w:t>
      </w:r>
      <w:r>
        <w:t xml:space="preserve">ing a zone of </w:t>
      </w:r>
      <w:r w:rsidR="006443BE" w:rsidRPr="003215C5">
        <w:t xml:space="preserve">freedom </w:t>
      </w:r>
      <w:r>
        <w:t xml:space="preserve">to </w:t>
      </w:r>
      <w:r w:rsidR="006443BE" w:rsidRPr="003215C5">
        <w:t xml:space="preserve">appoint. This concern was raised </w:t>
      </w:r>
      <w:r w:rsidR="00674000">
        <w:t>by</w:t>
      </w:r>
      <w:r w:rsidR="006443BE" w:rsidRPr="003215C5">
        <w:t xml:space="preserve"> the Women</w:t>
      </w:r>
      <w:r w:rsidR="008578D4" w:rsidRPr="003215C5">
        <w:t>’</w:t>
      </w:r>
      <w:r w:rsidR="006443BE" w:rsidRPr="003215C5">
        <w:t>s Lobby</w:t>
      </w:r>
      <w:r w:rsidR="00674000">
        <w:t xml:space="preserve"> in Israel’s Supreme Court, </w:t>
      </w:r>
      <w:r w:rsidR="000A336D" w:rsidRPr="003215C5">
        <w:rPr>
          <w:rStyle w:val="FootnoteReference"/>
        </w:rPr>
        <w:footnoteReference w:id="283"/>
      </w:r>
      <w:r w:rsidR="006443BE" w:rsidRPr="003215C5">
        <w:t xml:space="preserve"> but the </w:t>
      </w:r>
      <w:r w:rsidR="00674000">
        <w:t xml:space="preserve">court </w:t>
      </w:r>
      <w:r w:rsidR="006443BE" w:rsidRPr="003215C5">
        <w:t xml:space="preserve">ruled that the duty of adequate representation includes taking reasonable measures to locate </w:t>
      </w:r>
      <w:r>
        <w:t xml:space="preserve">female </w:t>
      </w:r>
      <w:r w:rsidR="006443BE" w:rsidRPr="003215C5">
        <w:t xml:space="preserve">candidates, including </w:t>
      </w:r>
      <w:r>
        <w:t xml:space="preserve">by </w:t>
      </w:r>
      <w:r w:rsidR="006443BE" w:rsidRPr="003215C5">
        <w:t xml:space="preserve">active search. Following the </w:t>
      </w:r>
      <w:r w:rsidR="00674000">
        <w:t>Supreme Court</w:t>
      </w:r>
      <w:r w:rsidR="00674000" w:rsidRPr="003215C5">
        <w:t xml:space="preserve"> </w:t>
      </w:r>
      <w:r>
        <w:t>case</w:t>
      </w:r>
      <w:r w:rsidR="006443BE" w:rsidRPr="003215C5">
        <w:t>, new directives were issued by the Attorney General,</w:t>
      </w:r>
      <w:r w:rsidR="000A336D" w:rsidRPr="003215C5">
        <w:rPr>
          <w:rStyle w:val="FootnoteReference"/>
        </w:rPr>
        <w:footnoteReference w:id="284"/>
      </w:r>
      <w:r w:rsidR="006443BE" w:rsidRPr="003215C5">
        <w:t xml:space="preserve"> </w:t>
      </w:r>
      <w:r w:rsidR="0008234F">
        <w:t xml:space="preserve">under </w:t>
      </w:r>
      <w:r w:rsidR="006443BE" w:rsidRPr="003215C5">
        <w:t xml:space="preserve">which provisions regarding adequate representation and affirmative action apply to all positions </w:t>
      </w:r>
      <w:r w:rsidR="0008234F">
        <w:t>with</w:t>
      </w:r>
      <w:r w:rsidR="006443BE" w:rsidRPr="003215C5">
        <w:t>in the civil service</w:t>
      </w:r>
      <w:r>
        <w:t>,</w:t>
      </w:r>
      <w:r w:rsidR="006443BE" w:rsidRPr="003215C5">
        <w:t xml:space="preserve"> and are also actively binding. But these provisions</w:t>
      </w:r>
      <w:r w:rsidR="00674000">
        <w:t xml:space="preserve"> are not yet fully effective.</w:t>
      </w:r>
      <w:r w:rsidR="006443BE" w:rsidRPr="003215C5">
        <w:t xml:space="preserve"> First, this active duty </w:t>
      </w:r>
      <w:r>
        <w:t xml:space="preserve">set by precedent has </w:t>
      </w:r>
      <w:r w:rsidR="006443BE" w:rsidRPr="003215C5">
        <w:t xml:space="preserve">not yet received </w:t>
      </w:r>
      <w:r>
        <w:t>e</w:t>
      </w:r>
      <w:r w:rsidR="006443BE" w:rsidRPr="003215C5">
        <w:t>xpression in the provisions of the law</w:t>
      </w:r>
      <w:r>
        <w:t>,</w:t>
      </w:r>
      <w:r w:rsidR="006443BE" w:rsidRPr="003215C5">
        <w:t xml:space="preserve"> or </w:t>
      </w:r>
      <w:r>
        <w:t xml:space="preserve">anchored any </w:t>
      </w:r>
      <w:r w:rsidRPr="00511C97">
        <w:rPr>
          <w:i/>
          <w:iCs/>
        </w:rPr>
        <w:t>modus operandi</w:t>
      </w:r>
      <w:r>
        <w:t xml:space="preserve"> </w:t>
      </w:r>
      <w:r w:rsidR="006443BE" w:rsidRPr="003215C5">
        <w:t xml:space="preserve">in practice, was mentioned only </w:t>
      </w:r>
      <w:r>
        <w:t xml:space="preserve">in the context of </w:t>
      </w:r>
      <w:r w:rsidR="006443BE" w:rsidRPr="003215C5">
        <w:t>women</w:t>
      </w:r>
      <w:r w:rsidR="0008234F">
        <w:t>,</w:t>
      </w:r>
      <w:r>
        <w:t xml:space="preserve"> </w:t>
      </w:r>
      <w:r w:rsidR="006443BE" w:rsidRPr="003215C5">
        <w:t xml:space="preserve">and not for the other target groups, and </w:t>
      </w:r>
      <w:r w:rsidR="00674000" w:rsidRPr="003215C5">
        <w:t xml:space="preserve">Judge </w:t>
      </w:r>
      <w:proofErr w:type="spellStart"/>
      <w:r w:rsidR="00674000" w:rsidRPr="003215C5">
        <w:t>Cheshin</w:t>
      </w:r>
      <w:proofErr w:type="spellEnd"/>
      <w:r w:rsidR="00674000">
        <w:t xml:space="preserve"> stated than when</w:t>
      </w:r>
      <w:r w:rsidR="006443BE" w:rsidRPr="003215C5">
        <w:t xml:space="preserve"> women did not </w:t>
      </w:r>
      <w:r w:rsidR="00BE40D5">
        <w:t xml:space="preserve">vie </w:t>
      </w:r>
      <w:r w:rsidR="006443BE" w:rsidRPr="003215C5">
        <w:t xml:space="preserve">for office </w:t>
      </w:r>
      <w:r w:rsidR="00BE40D5">
        <w:t>from the outset</w:t>
      </w:r>
      <w:r w:rsidR="00674000">
        <w:t>, he</w:t>
      </w:r>
      <w:r w:rsidR="0008234F">
        <w:t xml:space="preserve"> </w:t>
      </w:r>
      <w:r w:rsidR="00BE40D5">
        <w:t xml:space="preserve">did not believe there was any </w:t>
      </w:r>
      <w:r w:rsidR="006443BE" w:rsidRPr="003215C5">
        <w:t xml:space="preserve">reason to complain about the </w:t>
      </w:r>
      <w:r w:rsidR="0008234F">
        <w:t xml:space="preserve">appropriateness </w:t>
      </w:r>
      <w:r w:rsidR="006443BE" w:rsidRPr="003215C5">
        <w:t>of the tender proce</w:t>
      </w:r>
      <w:r w:rsidR="00BE40D5">
        <w:t xml:space="preserve">edings </w:t>
      </w:r>
      <w:r w:rsidR="006443BE" w:rsidRPr="003215C5">
        <w:t xml:space="preserve">in accordance with the law. The </w:t>
      </w:r>
      <w:proofErr w:type="spellStart"/>
      <w:r w:rsidR="006443BE" w:rsidRPr="00BE40D5">
        <w:rPr>
          <w:i/>
          <w:iCs/>
        </w:rPr>
        <w:t>Ethach</w:t>
      </w:r>
      <w:proofErr w:type="spellEnd"/>
      <w:r w:rsidR="006443BE" w:rsidRPr="003215C5">
        <w:t xml:space="preserve"> </w:t>
      </w:r>
      <w:r w:rsidR="00BE40D5">
        <w:t xml:space="preserve">Society </w:t>
      </w:r>
      <w:r w:rsidR="00674000">
        <w:t xml:space="preserve">Supreme Court </w:t>
      </w:r>
      <w:r w:rsidR="00BE40D5">
        <w:t>case</w:t>
      </w:r>
      <w:r w:rsidR="000A336D" w:rsidRPr="003215C5">
        <w:rPr>
          <w:rStyle w:val="FootnoteReference"/>
        </w:rPr>
        <w:footnoteReference w:id="285"/>
      </w:r>
      <w:r w:rsidR="006443BE" w:rsidRPr="003215C5">
        <w:t xml:space="preserve"> </w:t>
      </w:r>
      <w:r w:rsidR="00BE40D5">
        <w:t>held</w:t>
      </w:r>
      <w:r w:rsidR="006443BE" w:rsidRPr="003215C5">
        <w:t xml:space="preserve"> that the exception that releases the appointing body from </w:t>
      </w:r>
      <w:r w:rsidR="00290168">
        <w:t xml:space="preserve">compliance with </w:t>
      </w:r>
      <w:r w:rsidR="006443BE" w:rsidRPr="003215C5">
        <w:t xml:space="preserve">the duty of </w:t>
      </w:r>
      <w:r w:rsidR="00BE40D5">
        <w:t xml:space="preserve">striving </w:t>
      </w:r>
      <w:r w:rsidR="006443BE" w:rsidRPr="003215C5">
        <w:t xml:space="preserve">to </w:t>
      </w:r>
      <w:r w:rsidR="00BE40D5">
        <w:t xml:space="preserve">hire </w:t>
      </w:r>
      <w:r w:rsidR="006443BE" w:rsidRPr="003215C5">
        <w:t xml:space="preserve">women will apply only in exceptional cases where </w:t>
      </w:r>
      <w:r w:rsidR="00290168">
        <w:t xml:space="preserve">fulfilling </w:t>
      </w:r>
      <w:r w:rsidR="006443BE" w:rsidRPr="003215C5">
        <w:t xml:space="preserve">the duty is </w:t>
      </w:r>
      <w:r w:rsidR="00290168">
        <w:t>im</w:t>
      </w:r>
      <w:r w:rsidR="006443BE" w:rsidRPr="003215C5">
        <w:t>possible</w:t>
      </w:r>
      <w:r w:rsidR="00674000">
        <w:t>;</w:t>
      </w:r>
      <w:r w:rsidR="006443BE" w:rsidRPr="003215C5">
        <w:t xml:space="preserve"> </w:t>
      </w:r>
      <w:r w:rsidR="00290168">
        <w:t>f</w:t>
      </w:r>
      <w:r w:rsidR="006443BE" w:rsidRPr="003215C5">
        <w:t xml:space="preserve">or example, when there is no candidate who meets the necessary eligibility conditions for appointment </w:t>
      </w:r>
      <w:r w:rsidR="00BE40D5">
        <w:t xml:space="preserve">to </w:t>
      </w:r>
      <w:r w:rsidR="006443BE" w:rsidRPr="003215C5">
        <w:t>a particular position.</w:t>
      </w:r>
    </w:p>
    <w:p w14:paraId="3C45635A" w14:textId="503CB41C" w:rsidR="006443BE" w:rsidRPr="003215C5" w:rsidRDefault="006443BE" w:rsidP="00286484">
      <w:pPr>
        <w:spacing w:line="360" w:lineRule="auto"/>
        <w:ind w:firstLine="720"/>
        <w:jc w:val="both"/>
      </w:pPr>
      <w:r w:rsidRPr="00290168">
        <w:t>An in-depth examination of the Civil Service Commission</w:t>
      </w:r>
      <w:r w:rsidR="008578D4" w:rsidRPr="00290168">
        <w:t>’</w:t>
      </w:r>
      <w:r w:rsidRPr="00290168">
        <w:t xml:space="preserve">s reports, along with the provisions of the law and the </w:t>
      </w:r>
      <w:r w:rsidR="00BE40D5" w:rsidRPr="00290168">
        <w:t>C</w:t>
      </w:r>
      <w:r w:rsidRPr="00290168">
        <w:t>ourts</w:t>
      </w:r>
      <w:r w:rsidR="008578D4" w:rsidRPr="00290168">
        <w:t>’</w:t>
      </w:r>
      <w:r w:rsidRPr="00290168">
        <w:t xml:space="preserve"> interpretation, presents a picture according to which the duty of adequate representation does not address the question of the promotion of target groups in general</w:t>
      </w:r>
      <w:r w:rsidR="00BE40D5" w:rsidRPr="00290168">
        <w:t>,</w:t>
      </w:r>
      <w:r w:rsidRPr="00290168">
        <w:t xml:space="preserve"> and does not </w:t>
      </w:r>
      <w:r w:rsidRPr="00290168">
        <w:lastRenderedPageBreak/>
        <w:t xml:space="preserve">even </w:t>
      </w:r>
      <w:r w:rsidR="00BE40D5" w:rsidRPr="00290168">
        <w:t xml:space="preserve">uniformly </w:t>
      </w:r>
      <w:r w:rsidRPr="00290168">
        <w:t xml:space="preserve">guarantee adequate representation. On the contrary, it seems that even if the </w:t>
      </w:r>
      <w:r w:rsidR="00290168" w:rsidRPr="00290168">
        <w:t>civil service</w:t>
      </w:r>
      <w:r w:rsidRPr="00290168">
        <w:t xml:space="preserve"> adheres to the duty of adequate representation, it </w:t>
      </w:r>
      <w:r w:rsidR="00BE40D5" w:rsidRPr="00290168">
        <w:t xml:space="preserve">focuses only </w:t>
      </w:r>
      <w:r w:rsidRPr="00290168">
        <w:t xml:space="preserve">on the lower ranks of the </w:t>
      </w:r>
      <w:r w:rsidR="00290168" w:rsidRPr="00290168">
        <w:t>s</w:t>
      </w:r>
      <w:r w:rsidRPr="00290168">
        <w:t>ervice. The duty of adequate representation has evolved over the years</w:t>
      </w:r>
      <w:r w:rsidR="00BE40D5" w:rsidRPr="00290168">
        <w:t>,</w:t>
      </w:r>
      <w:r w:rsidRPr="00290168">
        <w:t xml:space="preserve"> and various target groups have been added to it. This list is not yet closed, there are no definitions or criteria that characteri</w:t>
      </w:r>
      <w:r w:rsidR="00BE40D5" w:rsidRPr="00290168">
        <w:t>s</w:t>
      </w:r>
      <w:r w:rsidRPr="00290168">
        <w:t xml:space="preserve">e the target groups, and from reading the </w:t>
      </w:r>
      <w:r w:rsidR="00BE40D5" w:rsidRPr="00290168">
        <w:t>case law</w:t>
      </w:r>
      <w:r w:rsidR="0085504F">
        <w:t>,</w:t>
      </w:r>
      <w:r w:rsidR="00BE40D5" w:rsidRPr="00290168">
        <w:t xml:space="preserve"> </w:t>
      </w:r>
      <w:r w:rsidRPr="00290168">
        <w:t>we see that there is a significant gap between the clarity of the law</w:t>
      </w:r>
      <w:r w:rsidR="00290168">
        <w:t>,</w:t>
      </w:r>
      <w:r w:rsidRPr="00290168">
        <w:t xml:space="preserve"> and the duty of adequate representation as it is currently implemented. Examining the latest and </w:t>
      </w:r>
      <w:r w:rsidR="00BE40D5" w:rsidRPr="00290168">
        <w:t xml:space="preserve">sparsely </w:t>
      </w:r>
      <w:r w:rsidRPr="00290168">
        <w:t xml:space="preserve">published data, </w:t>
      </w:r>
      <w:r w:rsidR="0085504F">
        <w:t xml:space="preserve">some </w:t>
      </w:r>
      <w:r w:rsidRPr="00290168">
        <w:t>conclusions emerge</w:t>
      </w:r>
      <w:r w:rsidR="0085504F">
        <w:t>. First, Israel has</w:t>
      </w:r>
      <w:r w:rsidRPr="00290168">
        <w:t xml:space="preserve"> not reached the goals of adequate representation </w:t>
      </w:r>
      <w:r w:rsidR="0085504F">
        <w:t xml:space="preserve">of </w:t>
      </w:r>
      <w:r w:rsidR="0085504F" w:rsidRPr="00290168">
        <w:t xml:space="preserve">any target group </w:t>
      </w:r>
      <w:r w:rsidRPr="00290168">
        <w:t>in the civil service</w:t>
      </w:r>
      <w:r w:rsidR="0085504F">
        <w:t>.</w:t>
      </w:r>
      <w:r w:rsidRPr="00290168">
        <w:t xml:space="preserve"> In the case of women, </w:t>
      </w:r>
      <w:r w:rsidR="00BE40D5" w:rsidRPr="00290168">
        <w:t xml:space="preserve">one </w:t>
      </w:r>
      <w:r w:rsidRPr="00290168">
        <w:t>can argue</w:t>
      </w:r>
      <w:r w:rsidR="00BE40D5" w:rsidRPr="00290168">
        <w:t xml:space="preserve"> </w:t>
      </w:r>
      <w:r w:rsidRPr="00290168">
        <w:t xml:space="preserve">whether the </w:t>
      </w:r>
      <w:r w:rsidR="00BE40D5" w:rsidRPr="00290168">
        <w:t xml:space="preserve">review </w:t>
      </w:r>
      <w:r w:rsidRPr="00290168">
        <w:t xml:space="preserve">of </w:t>
      </w:r>
      <w:r w:rsidR="00BE40D5" w:rsidRPr="00290168">
        <w:t xml:space="preserve">adequate </w:t>
      </w:r>
      <w:r w:rsidRPr="00290168">
        <w:t xml:space="preserve">representation is in the civil service </w:t>
      </w:r>
      <w:r w:rsidR="00BE40D5" w:rsidRPr="00290168">
        <w:t xml:space="preserve">as a whole, </w:t>
      </w:r>
      <w:r w:rsidRPr="00290168">
        <w:t xml:space="preserve">or </w:t>
      </w:r>
      <w:r w:rsidR="00290168">
        <w:t xml:space="preserve">with respect to </w:t>
      </w:r>
      <w:r w:rsidRPr="00290168">
        <w:t>jobs or ranks</w:t>
      </w:r>
      <w:r w:rsidR="0085504F">
        <w:t>.</w:t>
      </w:r>
      <w:r w:rsidRPr="00290168">
        <w:t xml:space="preserve"> </w:t>
      </w:r>
      <w:r w:rsidR="0085504F">
        <w:t>In addition, t</w:t>
      </w:r>
      <w:r w:rsidRPr="00290168">
        <w:t>here is a large gap of adequate representation across the senior ranks in the civil service</w:t>
      </w:r>
      <w:r w:rsidR="00BE40D5" w:rsidRPr="00290168">
        <w:t>,</w:t>
      </w:r>
      <w:r w:rsidRPr="00290168">
        <w:t xml:space="preserve"> and even </w:t>
      </w:r>
      <w:r w:rsidR="00BE40D5" w:rsidRPr="00290168">
        <w:t xml:space="preserve">laterally </w:t>
      </w:r>
      <w:r w:rsidRPr="00290168">
        <w:t xml:space="preserve">in </w:t>
      </w:r>
      <w:r w:rsidR="00BE40D5" w:rsidRPr="00290168">
        <w:t xml:space="preserve">certain </w:t>
      </w:r>
      <w:r w:rsidRPr="00290168">
        <w:t xml:space="preserve">positions; </w:t>
      </w:r>
      <w:r w:rsidR="0085504F">
        <w:t>i</w:t>
      </w:r>
      <w:r w:rsidRPr="00290168">
        <w:t xml:space="preserve">t can be said that the absolute majority of appointments </w:t>
      </w:r>
      <w:r w:rsidR="00BE40D5" w:rsidRPr="00290168">
        <w:t xml:space="preserve">of </w:t>
      </w:r>
      <w:r w:rsidRPr="00290168">
        <w:t xml:space="preserve">Arabs are </w:t>
      </w:r>
      <w:r w:rsidR="008323E5">
        <w:t xml:space="preserve">made </w:t>
      </w:r>
      <w:r w:rsidR="00BE40D5" w:rsidRPr="00290168">
        <w:t xml:space="preserve">via </w:t>
      </w:r>
      <w:r w:rsidRPr="00290168">
        <w:t>dedicated tenders</w:t>
      </w:r>
      <w:r w:rsidR="0085504F">
        <w:t>, while i</w:t>
      </w:r>
      <w:r w:rsidRPr="00290168">
        <w:t>n the lower ranks of the civil service</w:t>
      </w:r>
      <w:r w:rsidR="00BE40D5" w:rsidRPr="00290168">
        <w:t>,</w:t>
      </w:r>
      <w:r w:rsidRPr="00290168">
        <w:t xml:space="preserve"> we see an extreme majority for women.</w:t>
      </w:r>
      <w:r w:rsidR="000A336D" w:rsidRPr="00290168">
        <w:rPr>
          <w:rStyle w:val="FootnoteReference"/>
        </w:rPr>
        <w:footnoteReference w:id="286"/>
      </w:r>
      <w:r w:rsidRPr="00290168">
        <w:t xml:space="preserve"> In </w:t>
      </w:r>
      <w:r w:rsidR="00080F4B" w:rsidRPr="00290168">
        <w:t>the</w:t>
      </w:r>
      <w:r w:rsidRPr="00290168">
        <w:t xml:space="preserve"> conceptual </w:t>
      </w:r>
      <w:r w:rsidR="00080F4B" w:rsidRPr="00290168">
        <w:t xml:space="preserve">review </w:t>
      </w:r>
      <w:r w:rsidRPr="00290168">
        <w:t xml:space="preserve">of the relationship between the goals and objectives of </w:t>
      </w:r>
      <w:r w:rsidR="00080F4B" w:rsidRPr="00290168">
        <w:t xml:space="preserve">adequate </w:t>
      </w:r>
      <w:r w:rsidRPr="00290168">
        <w:t>representation policy</w:t>
      </w:r>
      <w:r w:rsidR="00080F4B" w:rsidRPr="00290168">
        <w:t>,</w:t>
      </w:r>
      <w:r w:rsidRPr="00290168">
        <w:t xml:space="preserve"> and the tools provided by the law</w:t>
      </w:r>
      <w:r w:rsidR="00290168">
        <w:t xml:space="preserve"> </w:t>
      </w:r>
      <w:r w:rsidRPr="00290168">
        <w:t xml:space="preserve">for their </w:t>
      </w:r>
      <w:r w:rsidR="004B6223" w:rsidRPr="00290168">
        <w:t>fulfilment</w:t>
      </w:r>
      <w:r w:rsidRPr="00290168">
        <w:t xml:space="preserve">, the book finds a gap in both the mix of </w:t>
      </w:r>
      <w:r w:rsidR="00080F4B" w:rsidRPr="00290168">
        <w:t xml:space="preserve">groups </w:t>
      </w:r>
      <w:r w:rsidRPr="00290168">
        <w:t xml:space="preserve">participating </w:t>
      </w:r>
      <w:r w:rsidR="00080F4B" w:rsidRPr="00290168">
        <w:t xml:space="preserve">in the tenders, </w:t>
      </w:r>
      <w:r w:rsidRPr="00290168">
        <w:t xml:space="preserve">and </w:t>
      </w:r>
      <w:r w:rsidR="00080F4B" w:rsidRPr="00290168">
        <w:t xml:space="preserve">problems in </w:t>
      </w:r>
      <w:r w:rsidRPr="00290168">
        <w:t>promotion, especially for women</w:t>
      </w:r>
      <w:r w:rsidR="00080F4B" w:rsidRPr="00290168">
        <w:t>,</w:t>
      </w:r>
      <w:r w:rsidRPr="00290168">
        <w:t xml:space="preserve"> </w:t>
      </w:r>
      <w:r w:rsidR="00080F4B" w:rsidRPr="00290168">
        <w:t xml:space="preserve">derived from a lack of </w:t>
      </w:r>
      <w:r w:rsidRPr="00290168">
        <w:t xml:space="preserve">actively locating </w:t>
      </w:r>
      <w:r w:rsidR="00290168">
        <w:t xml:space="preserve">members of </w:t>
      </w:r>
      <w:r w:rsidR="00080F4B" w:rsidRPr="00290168">
        <w:t xml:space="preserve">the </w:t>
      </w:r>
      <w:r w:rsidRPr="00290168">
        <w:t xml:space="preserve">target groups in </w:t>
      </w:r>
      <w:r w:rsidR="00080F4B" w:rsidRPr="00290168">
        <w:t>tender-</w:t>
      </w:r>
      <w:r w:rsidRPr="00290168">
        <w:t>exempt positions.</w:t>
      </w:r>
      <w:r w:rsidR="000A336D" w:rsidRPr="00290168">
        <w:rPr>
          <w:rStyle w:val="FootnoteReference"/>
        </w:rPr>
        <w:footnoteReference w:id="287"/>
      </w:r>
    </w:p>
    <w:p w14:paraId="5FB105D8" w14:textId="079E1173" w:rsidR="006443BE" w:rsidRPr="003215C5" w:rsidRDefault="006443BE" w:rsidP="00286484">
      <w:pPr>
        <w:spacing w:line="360" w:lineRule="auto"/>
        <w:ind w:firstLine="720"/>
        <w:jc w:val="both"/>
      </w:pPr>
      <w:r w:rsidRPr="003215C5">
        <w:t xml:space="preserve">One of the tools for achieving substantive equality is the rule of affirmative action, which is designed to promote equality to cure a historical injustice </w:t>
      </w:r>
      <w:r w:rsidR="002D6F24">
        <w:t>which has caused</w:t>
      </w:r>
      <w:r w:rsidRPr="003215C5">
        <w:t xml:space="preserve"> the starting point of </w:t>
      </w:r>
      <w:r w:rsidR="00931974">
        <w:t xml:space="preserve">different </w:t>
      </w:r>
      <w:r w:rsidRPr="003215C5">
        <w:t xml:space="preserve">population groups </w:t>
      </w:r>
      <w:r w:rsidR="002D6F24">
        <w:t>to be unequal</w:t>
      </w:r>
      <w:r w:rsidRPr="003215C5">
        <w:t>.</w:t>
      </w:r>
      <w:r w:rsidR="000A336D" w:rsidRPr="003215C5">
        <w:rPr>
          <w:rStyle w:val="FootnoteReference"/>
        </w:rPr>
        <w:footnoteReference w:id="288"/>
      </w:r>
      <w:r w:rsidRPr="003215C5">
        <w:t xml:space="preserve"> Considering the historical injustice as a relevant and necessary consideration to promote the equality of certain populations against the background of the gaps and hardships </w:t>
      </w:r>
      <w:r w:rsidR="002D6F24">
        <w:t xml:space="preserve">they have suffered due to </w:t>
      </w:r>
      <w:r w:rsidRPr="003215C5">
        <w:t xml:space="preserve">discrimination is a seemingly necessary consideration in all recruitment and selection procedures in the civil service. Consideration of this </w:t>
      </w:r>
      <w:r w:rsidR="00080F4B">
        <w:t xml:space="preserve">factor </w:t>
      </w:r>
      <w:r w:rsidR="004B6223" w:rsidRPr="003215C5">
        <w:t>fulfils</w:t>
      </w:r>
      <w:r w:rsidRPr="003215C5">
        <w:t xml:space="preserve"> the rule of affirmative action and measures of distributive justice. The </w:t>
      </w:r>
      <w:r w:rsidR="00080F4B">
        <w:t>C</w:t>
      </w:r>
      <w:r w:rsidRPr="003215C5">
        <w:t xml:space="preserve">ourts in Israel have begun to </w:t>
      </w:r>
      <w:r w:rsidR="002D6F24">
        <w:t>examine</w:t>
      </w:r>
      <w:r w:rsidRPr="003215C5">
        <w:t xml:space="preserve"> the issue of affirmative action in the case of women, after the legislature addressed the issue of adequate representation of women in government companies.</w:t>
      </w:r>
      <w:r w:rsidR="000A336D" w:rsidRPr="003215C5">
        <w:rPr>
          <w:rStyle w:val="FootnoteReference"/>
        </w:rPr>
        <w:footnoteReference w:id="289"/>
      </w:r>
      <w:r w:rsidRPr="003215C5">
        <w:t xml:space="preserve"> The law itself did not bring about any actual </w:t>
      </w:r>
      <w:r w:rsidRPr="003215C5">
        <w:lastRenderedPageBreak/>
        <w:t xml:space="preserve">change, until the </w:t>
      </w:r>
      <w:r w:rsidR="00080F4B">
        <w:t xml:space="preserve">judgement </w:t>
      </w:r>
      <w:r w:rsidRPr="003215C5">
        <w:t xml:space="preserve">in the first petition </w:t>
      </w:r>
      <w:r w:rsidR="00931974">
        <w:t xml:space="preserve">filed </w:t>
      </w:r>
      <w:r w:rsidR="00080F4B">
        <w:t xml:space="preserve">by </w:t>
      </w:r>
      <w:r w:rsidRPr="003215C5">
        <w:t>the Women</w:t>
      </w:r>
      <w:r w:rsidR="008578D4" w:rsidRPr="003215C5">
        <w:t>’</w:t>
      </w:r>
      <w:r w:rsidRPr="003215C5">
        <w:t>s Lobby</w:t>
      </w:r>
      <w:r w:rsidR="00931974">
        <w:t>,</w:t>
      </w:r>
      <w:r w:rsidR="000A336D" w:rsidRPr="003215C5">
        <w:rPr>
          <w:rStyle w:val="FootnoteReference"/>
        </w:rPr>
        <w:footnoteReference w:id="290"/>
      </w:r>
      <w:r w:rsidRPr="003215C5">
        <w:t xml:space="preserve"> </w:t>
      </w:r>
      <w:r w:rsidR="00080F4B">
        <w:t xml:space="preserve">where it was held </w:t>
      </w:r>
      <w:r w:rsidRPr="003215C5">
        <w:t xml:space="preserve">that the section in the Government Companies Act does not deal with </w:t>
      </w:r>
      <w:r w:rsidR="002D6F24">
        <w:t>‘</w:t>
      </w:r>
      <w:r w:rsidRPr="003215C5">
        <w:t xml:space="preserve">new legislative anchoring </w:t>
      </w:r>
      <w:r w:rsidR="00080F4B">
        <w:t xml:space="preserve">of </w:t>
      </w:r>
      <w:r w:rsidRPr="003215C5">
        <w:t>ingrained rights, such as the basic right to equality</w:t>
      </w:r>
      <w:r w:rsidR="00080F4B">
        <w:t>,</w:t>
      </w:r>
      <w:r w:rsidRPr="003215C5">
        <w:t xml:space="preserve"> </w:t>
      </w:r>
      <w:r w:rsidR="00080F4B">
        <w:t xml:space="preserve">but with a new norm the purpose of which is to positively enforce and give expression to the adequate representation </w:t>
      </w:r>
      <w:r w:rsidR="004B6223" w:rsidRPr="003215C5">
        <w:t>of</w:t>
      </w:r>
      <w:r w:rsidRPr="003215C5">
        <w:t xml:space="preserve"> both sexes in the composition of boards of directors</w:t>
      </w:r>
      <w:r w:rsidR="002D6F24">
        <w:t>’.</w:t>
      </w:r>
      <w:r w:rsidR="00080F4B">
        <w:t xml:space="preserve"> </w:t>
      </w:r>
      <w:r w:rsidR="004B6223" w:rsidRPr="003215C5">
        <w:t>In</w:t>
      </w:r>
      <w:r w:rsidRPr="003215C5">
        <w:t xml:space="preserve"> 1998, the </w:t>
      </w:r>
      <w:r w:rsidR="00080F4B">
        <w:t>C</w:t>
      </w:r>
      <w:r w:rsidRPr="003215C5">
        <w:t xml:space="preserve">ourt was </w:t>
      </w:r>
      <w:r w:rsidR="00080F4B">
        <w:t xml:space="preserve">afforded </w:t>
      </w:r>
      <w:r w:rsidRPr="003215C5">
        <w:t xml:space="preserve">another opportunity to continue to </w:t>
      </w:r>
      <w:r w:rsidR="002D6F24">
        <w:t>rule on</w:t>
      </w:r>
      <w:r w:rsidR="00931974">
        <w:t xml:space="preserve"> </w:t>
      </w:r>
      <w:r w:rsidRPr="003215C5">
        <w:t xml:space="preserve">the issue, and in the case of the </w:t>
      </w:r>
      <w:r w:rsidR="00080F4B" w:rsidRPr="003215C5">
        <w:t xml:space="preserve">second petition </w:t>
      </w:r>
      <w:r w:rsidR="00080F4B">
        <w:t xml:space="preserve">by </w:t>
      </w:r>
      <w:r w:rsidRPr="003215C5">
        <w:t>the Women</w:t>
      </w:r>
      <w:r w:rsidR="008578D4" w:rsidRPr="003215C5">
        <w:t>’</w:t>
      </w:r>
      <w:r w:rsidRPr="003215C5">
        <w:t>s Lobby</w:t>
      </w:r>
      <w:r w:rsidR="002D6F24">
        <w:t>,</w:t>
      </w:r>
      <w:r w:rsidR="000A336D" w:rsidRPr="003215C5">
        <w:rPr>
          <w:rStyle w:val="FootnoteReference"/>
        </w:rPr>
        <w:footnoteReference w:id="291"/>
      </w:r>
      <w:r w:rsidRPr="003215C5">
        <w:t xml:space="preserve"> it applied the doctrine of affirmative action in its broad </w:t>
      </w:r>
      <w:r w:rsidR="00080F4B">
        <w:t xml:space="preserve">sense also </w:t>
      </w:r>
      <w:r w:rsidRPr="003215C5">
        <w:t xml:space="preserve">to </w:t>
      </w:r>
      <w:r w:rsidR="00080F4B">
        <w:t xml:space="preserve">entities </w:t>
      </w:r>
      <w:r w:rsidRPr="003215C5">
        <w:t xml:space="preserve">not </w:t>
      </w:r>
      <w:r w:rsidR="00080F4B">
        <w:t xml:space="preserve">subject to it </w:t>
      </w:r>
      <w:r w:rsidRPr="003215C5">
        <w:t xml:space="preserve">by law. At the time, there was talk </w:t>
      </w:r>
      <w:r w:rsidR="002D6F24">
        <w:t>that this included everyone</w:t>
      </w:r>
      <w:r w:rsidRPr="003215C5">
        <w:t xml:space="preserve"> except the government companies, and the </w:t>
      </w:r>
      <w:r w:rsidR="00080F4B">
        <w:t>C</w:t>
      </w:r>
      <w:r w:rsidRPr="003215C5">
        <w:t xml:space="preserve">ourt even </w:t>
      </w:r>
      <w:r w:rsidR="00080F4B">
        <w:t xml:space="preserve">prescribed </w:t>
      </w:r>
      <w:r w:rsidRPr="003215C5">
        <w:t xml:space="preserve">the duty to actively search for </w:t>
      </w:r>
      <w:r w:rsidR="00080F4B">
        <w:t xml:space="preserve">female </w:t>
      </w:r>
      <w:r w:rsidRPr="003215C5">
        <w:t>candidate</w:t>
      </w:r>
      <w:r w:rsidR="008323E5">
        <w:t>s</w:t>
      </w:r>
      <w:r w:rsidRPr="003215C5">
        <w:t xml:space="preserve">. The Supreme Court </w:t>
      </w:r>
      <w:r w:rsidR="00080F4B">
        <w:t>wa</w:t>
      </w:r>
      <w:r w:rsidRPr="003215C5">
        <w:t xml:space="preserve">s </w:t>
      </w:r>
      <w:r w:rsidR="00931974">
        <w:t xml:space="preserve">asked </w:t>
      </w:r>
      <w:r w:rsidRPr="003215C5">
        <w:t xml:space="preserve">to address the issue </w:t>
      </w:r>
      <w:r w:rsidR="00931974">
        <w:t xml:space="preserve">for </w:t>
      </w:r>
      <w:r w:rsidR="00080F4B">
        <w:t xml:space="preserve">a </w:t>
      </w:r>
      <w:r w:rsidRPr="003215C5">
        <w:t>third</w:t>
      </w:r>
      <w:r w:rsidR="00080F4B">
        <w:t xml:space="preserve"> time</w:t>
      </w:r>
      <w:r w:rsidR="00931974">
        <w:t>,</w:t>
      </w:r>
      <w:r w:rsidR="000A336D" w:rsidRPr="003215C5">
        <w:rPr>
          <w:rStyle w:val="FootnoteReference"/>
        </w:rPr>
        <w:footnoteReference w:id="292"/>
      </w:r>
      <w:r w:rsidRPr="003215C5">
        <w:t xml:space="preserve"> and critici</w:t>
      </w:r>
      <w:r w:rsidR="00080F4B">
        <w:t>s</w:t>
      </w:r>
      <w:r w:rsidRPr="003215C5">
        <w:t xml:space="preserve">ed the government ministries for not acting on the </w:t>
      </w:r>
      <w:r w:rsidR="00080F4B">
        <w:t xml:space="preserve">matter, </w:t>
      </w:r>
      <w:r w:rsidRPr="003215C5">
        <w:t xml:space="preserve">and leaving the </w:t>
      </w:r>
      <w:r w:rsidR="00080F4B">
        <w:t xml:space="preserve">lacuna for </w:t>
      </w:r>
      <w:r w:rsidRPr="003215C5">
        <w:t>interpret</w:t>
      </w:r>
      <w:r w:rsidR="00080F4B">
        <w:t>at</w:t>
      </w:r>
      <w:r w:rsidRPr="003215C5">
        <w:t xml:space="preserve">ive </w:t>
      </w:r>
      <w:r w:rsidR="00931974">
        <w:t xml:space="preserve">action </w:t>
      </w:r>
      <w:r w:rsidR="00080F4B">
        <w:t xml:space="preserve">by </w:t>
      </w:r>
      <w:r w:rsidRPr="003215C5">
        <w:t xml:space="preserve">the </w:t>
      </w:r>
      <w:commentRangeStart w:id="10"/>
      <w:r w:rsidR="00080F4B">
        <w:t>C</w:t>
      </w:r>
      <w:r w:rsidRPr="003215C5">
        <w:t>ourt</w:t>
      </w:r>
      <w:commentRangeEnd w:id="10"/>
      <w:r w:rsidR="002D6F24">
        <w:rPr>
          <w:rStyle w:val="CommentReference"/>
        </w:rPr>
        <w:commentReference w:id="10"/>
      </w:r>
      <w:r w:rsidRPr="003215C5">
        <w:t>.</w:t>
      </w:r>
    </w:p>
    <w:p w14:paraId="59B7F1E3" w14:textId="4D21C890" w:rsidR="006443BE" w:rsidRPr="003215C5" w:rsidRDefault="006443BE" w:rsidP="00286484">
      <w:pPr>
        <w:spacing w:line="360" w:lineRule="auto"/>
        <w:ind w:firstLine="720"/>
        <w:jc w:val="both"/>
      </w:pPr>
      <w:r w:rsidRPr="00D0528A">
        <w:t xml:space="preserve">Amendment </w:t>
      </w:r>
      <w:r w:rsidR="00D0528A">
        <w:t xml:space="preserve">No. </w:t>
      </w:r>
      <w:r w:rsidRPr="00D0528A">
        <w:t xml:space="preserve">11 to the Appointments </w:t>
      </w:r>
      <w:r w:rsidR="007604EC" w:rsidRPr="00D0528A">
        <w:t>Act</w:t>
      </w:r>
      <w:r w:rsidRPr="00D0528A">
        <w:t xml:space="preserve"> </w:t>
      </w:r>
      <w:r w:rsidR="00D0528A">
        <w:t xml:space="preserve">from the year </w:t>
      </w:r>
      <w:r w:rsidR="00D0528A" w:rsidRPr="00D0528A">
        <w:t>2000</w:t>
      </w:r>
      <w:r w:rsidR="00D0528A">
        <w:t xml:space="preserve">, </w:t>
      </w:r>
      <w:r w:rsidRPr="00D0528A">
        <w:t xml:space="preserve">enshrined affirmative action and the ways to achieve it. But it is worth noting that even before the </w:t>
      </w:r>
      <w:r w:rsidR="00D0528A">
        <w:t>A</w:t>
      </w:r>
      <w:r w:rsidRPr="00D0528A">
        <w:t>mendment</w:t>
      </w:r>
      <w:r w:rsidR="006C2B04">
        <w:t xml:space="preserve"> was enacted</w:t>
      </w:r>
      <w:r w:rsidRPr="00D0528A">
        <w:t>, actions were taken aimed at integrating members of the Arab, Druze</w:t>
      </w:r>
      <w:r w:rsidR="00931974">
        <w:t>,</w:t>
      </w:r>
      <w:r w:rsidRPr="00D0528A">
        <w:t xml:space="preserve"> and Circassian populations into the civil service. The report </w:t>
      </w:r>
      <w:r w:rsidR="00D0528A">
        <w:t xml:space="preserve">by </w:t>
      </w:r>
      <w:r w:rsidRPr="00D0528A">
        <w:t xml:space="preserve">the </w:t>
      </w:r>
      <w:proofErr w:type="spellStart"/>
      <w:r w:rsidRPr="00D0528A">
        <w:t>Kovarsky</w:t>
      </w:r>
      <w:proofErr w:type="spellEnd"/>
      <w:r w:rsidRPr="00D0528A">
        <w:t xml:space="preserve"> Commission (1989), which examined the entire structure of the civil service, presented a series of recommendations for the integration and </w:t>
      </w:r>
      <w:r w:rsidR="00931974">
        <w:t>promotion</w:t>
      </w:r>
      <w:r w:rsidRPr="00D0528A">
        <w:t xml:space="preserve"> of the Arab, Druze and Circassian populations in the civil service.</w:t>
      </w:r>
      <w:r w:rsidR="0073529C" w:rsidRPr="00D0528A">
        <w:rPr>
          <w:rStyle w:val="FootnoteReference"/>
        </w:rPr>
        <w:footnoteReference w:id="293"/>
      </w:r>
      <w:r w:rsidRPr="00D0528A">
        <w:t xml:space="preserve"> Following this, on June 16, 1993, the government decided to allocate 100 designated jobs for workers from the Arab sector</w:t>
      </w:r>
      <w:r w:rsidR="00D0528A">
        <w:t>,</w:t>
      </w:r>
      <w:r w:rsidRPr="00D0528A">
        <w:t xml:space="preserve"> and another 30 jobs for workers from the Druze sector. </w:t>
      </w:r>
      <w:r w:rsidR="00D0528A">
        <w:t xml:space="preserve">Since said </w:t>
      </w:r>
      <w:r w:rsidRPr="00D0528A">
        <w:t xml:space="preserve">decision </w:t>
      </w:r>
      <w:r w:rsidR="00D0528A">
        <w:t xml:space="preserve">and </w:t>
      </w:r>
      <w:r w:rsidRPr="00D0528A">
        <w:t>to</w:t>
      </w:r>
      <w:r w:rsidR="00D0528A">
        <w:t xml:space="preserve"> </w:t>
      </w:r>
      <w:r w:rsidRPr="00D0528A">
        <w:t>da</w:t>
      </w:r>
      <w:r w:rsidR="00D0528A">
        <w:t>te</w:t>
      </w:r>
      <w:r w:rsidRPr="00D0528A">
        <w:t xml:space="preserve">, the Civil Service Commission continues to implement government decisions on the subject </w:t>
      </w:r>
      <w:r w:rsidR="00D0528A">
        <w:t xml:space="preserve">by </w:t>
      </w:r>
      <w:r w:rsidRPr="00D0528A">
        <w:t>holding separate tenders for jobs designated for the various groups entitled to affirmative action. It should be emphasi</w:t>
      </w:r>
      <w:r w:rsidR="00D0528A">
        <w:t>s</w:t>
      </w:r>
      <w:r w:rsidRPr="00D0528A">
        <w:t>ed</w:t>
      </w:r>
      <w:r w:rsidR="00D0528A">
        <w:t>,</w:t>
      </w:r>
      <w:r w:rsidRPr="00D0528A">
        <w:t xml:space="preserve"> that until 2000, affirmative action was exercised without the issue being </w:t>
      </w:r>
      <w:r w:rsidR="006C2B04">
        <w:t>set forth</w:t>
      </w:r>
      <w:r w:rsidRPr="00D0528A">
        <w:t xml:space="preserve"> in legislation, based on the legal position that the principle of substantive equality </w:t>
      </w:r>
      <w:r w:rsidR="00931974">
        <w:t>–</w:t>
      </w:r>
      <w:r w:rsidRPr="00D0528A">
        <w:t xml:space="preserve"> as opposed to formal equality </w:t>
      </w:r>
      <w:r w:rsidR="00D0528A">
        <w:t>–</w:t>
      </w:r>
      <w:r w:rsidRPr="00D0528A">
        <w:t xml:space="preserve"> allows</w:t>
      </w:r>
      <w:r w:rsidR="00D0528A">
        <w:t>,</w:t>
      </w:r>
      <w:r w:rsidRPr="00D0528A">
        <w:t xml:space="preserve"> and even </w:t>
      </w:r>
      <w:r w:rsidR="00D0528A">
        <w:t xml:space="preserve">mandates, </w:t>
      </w:r>
      <w:r w:rsidRPr="00D0528A">
        <w:t xml:space="preserve">affirmative action to promote adequate representation (then, of the Arab population) in the civil service. This is in contrast to the position presented in the </w:t>
      </w:r>
      <w:proofErr w:type="spellStart"/>
      <w:r w:rsidR="00D0528A" w:rsidRPr="00D0528A">
        <w:t>Kovarsky</w:t>
      </w:r>
      <w:proofErr w:type="spellEnd"/>
      <w:r w:rsidR="00D0528A" w:rsidRPr="00D0528A">
        <w:t xml:space="preserve"> </w:t>
      </w:r>
      <w:r w:rsidRPr="00D0528A">
        <w:t>report, according to which the Appointment</w:t>
      </w:r>
      <w:r w:rsidR="00931974">
        <w:t>s</w:t>
      </w:r>
      <w:r w:rsidR="00D0528A">
        <w:t xml:space="preserve"> Act </w:t>
      </w:r>
      <w:r w:rsidRPr="00D0528A">
        <w:t xml:space="preserve">and the </w:t>
      </w:r>
      <w:r w:rsidR="00D0528A">
        <w:t xml:space="preserve">duty </w:t>
      </w:r>
      <w:r w:rsidRPr="00D0528A">
        <w:t>of equality in tenders do not allow jobs to be designated for a specific population.</w:t>
      </w:r>
    </w:p>
    <w:p w14:paraId="00C76696" w14:textId="16F7C2AC" w:rsidR="006443BE" w:rsidRPr="003215C5" w:rsidRDefault="006443BE" w:rsidP="00286484">
      <w:pPr>
        <w:spacing w:line="360" w:lineRule="auto"/>
        <w:ind w:firstLine="720"/>
        <w:jc w:val="both"/>
      </w:pPr>
      <w:r w:rsidRPr="003215C5">
        <w:lastRenderedPageBreak/>
        <w:t xml:space="preserve">Amendment 11 enshrines the duty of representation for certain groups in the civil service, including Arabs (including Druze and Circassians), women, people with disabilities, and later members of the Ethiopian community. </w:t>
      </w:r>
      <w:r w:rsidR="00D0528A">
        <w:t xml:space="preserve">Section </w:t>
      </w:r>
      <w:r w:rsidRPr="003215C5">
        <w:t xml:space="preserve">15 uses the term </w:t>
      </w:r>
      <w:r w:rsidR="008578D4" w:rsidRPr="003215C5">
        <w:t>“</w:t>
      </w:r>
      <w:r w:rsidR="00D0528A">
        <w:t xml:space="preserve">adequate </w:t>
      </w:r>
      <w:r w:rsidRPr="003215C5">
        <w:t>expression</w:t>
      </w:r>
      <w:r w:rsidR="008578D4" w:rsidRPr="003215C5">
        <w:t>”</w:t>
      </w:r>
      <w:r w:rsidRPr="003215C5">
        <w:t xml:space="preserve"> rather than </w:t>
      </w:r>
      <w:r w:rsidR="008578D4" w:rsidRPr="003215C5">
        <w:t>“</w:t>
      </w:r>
      <w:r w:rsidR="00D0528A">
        <w:t>adequate</w:t>
      </w:r>
      <w:r w:rsidR="00D0528A" w:rsidRPr="003215C5">
        <w:t xml:space="preserve"> </w:t>
      </w:r>
      <w:r w:rsidRPr="003215C5">
        <w:t>representation</w:t>
      </w:r>
      <w:r w:rsidR="008578D4" w:rsidRPr="003215C5">
        <w:t>”</w:t>
      </w:r>
      <w:r w:rsidRPr="003215C5">
        <w:t xml:space="preserve"> to mark the goal to be pursued, but how is it achieved? There is no clear operative mechanism. The legislature authori</w:t>
      </w:r>
      <w:r w:rsidR="00D0528A">
        <w:t>s</w:t>
      </w:r>
      <w:r w:rsidRPr="003215C5">
        <w:t xml:space="preserve">ed the government to act in several ways to promote </w:t>
      </w:r>
      <w:r w:rsidR="00D0528A">
        <w:t>adequate</w:t>
      </w:r>
      <w:r w:rsidR="00D0528A" w:rsidRPr="003215C5">
        <w:t xml:space="preserve"> </w:t>
      </w:r>
      <w:r w:rsidRPr="003215C5">
        <w:t xml:space="preserve">expression among employees: </w:t>
      </w:r>
      <w:r w:rsidR="00D703C2">
        <w:t>‘</w:t>
      </w:r>
      <w:r w:rsidR="00D0528A">
        <w:t>T</w:t>
      </w:r>
      <w:r w:rsidRPr="003215C5">
        <w:t>o take reasonable measures</w:t>
      </w:r>
      <w:r w:rsidR="00D0528A">
        <w:t xml:space="preserve"> </w:t>
      </w:r>
      <w:r w:rsidRPr="003215C5">
        <w:t>in the circumstances, which may enable and encourage adequate representation</w:t>
      </w:r>
      <w:r w:rsidR="006C2B04">
        <w:t>’,</w:t>
      </w:r>
      <w:r w:rsidR="0073529C" w:rsidRPr="003215C5">
        <w:rPr>
          <w:rStyle w:val="FootnoteReference"/>
        </w:rPr>
        <w:footnoteReference w:id="294"/>
      </w:r>
      <w:r w:rsidRPr="003215C5">
        <w:t xml:space="preserve"> </w:t>
      </w:r>
      <w:r w:rsidR="006C2B04">
        <w:t>‘</w:t>
      </w:r>
      <w:r w:rsidRPr="003215C5">
        <w:t xml:space="preserve">To designate jobs that will be filled, as far as possible, only by candidates who are fit for the job, from among a group entitled to adequate representation that is not adequately represented, as determined by the </w:t>
      </w:r>
      <w:r w:rsidR="00D0528A">
        <w:t>g</w:t>
      </w:r>
      <w:r w:rsidRPr="003215C5">
        <w:t>overnment</w:t>
      </w:r>
      <w:r w:rsidR="006C2B04">
        <w:t>’,</w:t>
      </w:r>
      <w:r w:rsidR="0073529C" w:rsidRPr="003215C5">
        <w:rPr>
          <w:rStyle w:val="FootnoteReference"/>
        </w:rPr>
        <w:footnoteReference w:id="295"/>
      </w:r>
      <w:r w:rsidRPr="003215C5">
        <w:t xml:space="preserve"> To give </w:t>
      </w:r>
      <w:r w:rsidR="006C2B04">
        <w:t>‘</w:t>
      </w:r>
      <w:r w:rsidRPr="003215C5">
        <w:t>priority to candidates from among a group entitled to adequate representation that is not adequately represented, when they have qualifications similar to those of other candidates</w:t>
      </w:r>
      <w:r w:rsidR="006C2B04">
        <w:t>’.</w:t>
      </w:r>
      <w:r w:rsidR="0073529C" w:rsidRPr="003215C5">
        <w:rPr>
          <w:rStyle w:val="FootnoteReference"/>
        </w:rPr>
        <w:footnoteReference w:id="296"/>
      </w:r>
      <w:r w:rsidRPr="003215C5">
        <w:t xml:space="preserve"> </w:t>
      </w:r>
      <w:r w:rsidR="00D0528A">
        <w:t>Thus far</w:t>
      </w:r>
      <w:r w:rsidRPr="003215C5">
        <w:t xml:space="preserve">, the government may determine for itself what </w:t>
      </w:r>
      <w:r w:rsidR="00D0528A">
        <w:t>adequate</w:t>
      </w:r>
      <w:r w:rsidR="00D0528A" w:rsidRPr="003215C5">
        <w:t xml:space="preserve"> </w:t>
      </w:r>
      <w:r w:rsidRPr="003215C5">
        <w:t xml:space="preserve">representation </w:t>
      </w:r>
      <w:r w:rsidR="00FB2F3B">
        <w:t xml:space="preserve">is, </w:t>
      </w:r>
      <w:r w:rsidRPr="003215C5">
        <w:t xml:space="preserve">and </w:t>
      </w:r>
      <w:r w:rsidR="00D703C2">
        <w:t>what</w:t>
      </w:r>
      <w:r w:rsidR="00FB2F3B">
        <w:t xml:space="preserve"> its </w:t>
      </w:r>
      <w:r w:rsidRPr="003215C5">
        <w:t>goals are</w:t>
      </w:r>
      <w:r w:rsidR="006C2B04">
        <w:t>. I</w:t>
      </w:r>
      <w:r w:rsidRPr="003215C5">
        <w:t>t may designate certain jobs for an eligible group</w:t>
      </w:r>
      <w:r w:rsidR="00D0528A">
        <w:t>,</w:t>
      </w:r>
      <w:r w:rsidRPr="003215C5">
        <w:t xml:space="preserve"> and prefer a candidate with similar qualifications</w:t>
      </w:r>
      <w:r w:rsidR="00FB2F3B" w:rsidRPr="00FB2F3B">
        <w:t xml:space="preserve"> </w:t>
      </w:r>
      <w:r w:rsidR="00FB2F3B" w:rsidRPr="003215C5">
        <w:t>in a regular tender</w:t>
      </w:r>
      <w:r w:rsidRPr="003215C5">
        <w:t xml:space="preserve">, as was done </w:t>
      </w:r>
      <w:r w:rsidR="00D0528A">
        <w:t xml:space="preserve">in the case of </w:t>
      </w:r>
      <w:r w:rsidRPr="003215C5">
        <w:t>women</w:t>
      </w:r>
      <w:r w:rsidR="00D703C2">
        <w:t>,</w:t>
      </w:r>
      <w:r w:rsidR="0073529C" w:rsidRPr="003215C5">
        <w:rPr>
          <w:rStyle w:val="FootnoteReference"/>
        </w:rPr>
        <w:footnoteReference w:id="297"/>
      </w:r>
      <w:r w:rsidRPr="003215C5">
        <w:t xml:space="preserve"> and</w:t>
      </w:r>
      <w:r w:rsidR="00D703C2">
        <w:t>,</w:t>
      </w:r>
      <w:r w:rsidRPr="003215C5">
        <w:t xml:space="preserve"> even </w:t>
      </w:r>
      <w:r w:rsidR="00D0528A">
        <w:t xml:space="preserve">as stated by </w:t>
      </w:r>
      <w:r w:rsidRPr="003215C5">
        <w:t>the law</w:t>
      </w:r>
      <w:r w:rsidR="00BC02B9">
        <w:t>,</w:t>
      </w:r>
      <w:r w:rsidRPr="003215C5">
        <w:t xml:space="preserve"> accept qualified candidates only </w:t>
      </w:r>
      <w:r w:rsidR="00BC02B9">
        <w:t>‘</w:t>
      </w:r>
      <w:r w:rsidRPr="003215C5">
        <w:t xml:space="preserve">as </w:t>
      </w:r>
      <w:r w:rsidR="00D0528A">
        <w:t xml:space="preserve">far </w:t>
      </w:r>
      <w:r w:rsidRPr="003215C5">
        <w:t>as possible</w:t>
      </w:r>
      <w:r w:rsidR="00BC02B9">
        <w:t>’</w:t>
      </w:r>
      <w:r w:rsidRPr="003215C5">
        <w:t xml:space="preserve">. Following the </w:t>
      </w:r>
      <w:r w:rsidR="00D0528A">
        <w:t>A</w:t>
      </w:r>
      <w:r w:rsidRPr="003215C5">
        <w:t>mendment, the Attorney General issued guidelines on the issue of adequate representation for certain sectors</w:t>
      </w:r>
      <w:r w:rsidR="00D0528A">
        <w:t>,</w:t>
      </w:r>
      <w:r w:rsidR="0073529C" w:rsidRPr="003215C5">
        <w:rPr>
          <w:rStyle w:val="FootnoteReference"/>
        </w:rPr>
        <w:footnoteReference w:id="298"/>
      </w:r>
      <w:r w:rsidRPr="003215C5">
        <w:t xml:space="preserve"> emphasi</w:t>
      </w:r>
      <w:r w:rsidR="00D0528A">
        <w:t>s</w:t>
      </w:r>
      <w:r w:rsidRPr="003215C5">
        <w:t xml:space="preserve">ing both the prohibition </w:t>
      </w:r>
      <w:r w:rsidR="00D703C2">
        <w:t>against</w:t>
      </w:r>
      <w:r w:rsidRPr="003215C5">
        <w:t xml:space="preserve"> discrimination</w:t>
      </w:r>
      <w:r w:rsidR="00D0528A">
        <w:t>,</w:t>
      </w:r>
      <w:r w:rsidRPr="003215C5">
        <w:t xml:space="preserve"> and the duty </w:t>
      </w:r>
      <w:r w:rsidR="00D0528A">
        <w:t xml:space="preserve">to take positive </w:t>
      </w:r>
      <w:r w:rsidRPr="003215C5">
        <w:t>action</w:t>
      </w:r>
      <w:r w:rsidR="00D0528A">
        <w:t xml:space="preserve"> </w:t>
      </w:r>
      <w:r w:rsidRPr="003215C5">
        <w:t xml:space="preserve">to achieve substantive equality. In this context, it should be noted that the duty of adequate representation is a </w:t>
      </w:r>
      <w:r w:rsidR="00D0528A">
        <w:t xml:space="preserve">purposeful </w:t>
      </w:r>
      <w:r w:rsidRPr="003215C5">
        <w:t xml:space="preserve">duty that </w:t>
      </w:r>
      <w:r w:rsidR="00BC02B9">
        <w:t>‘</w:t>
      </w:r>
      <w:r w:rsidRPr="003215C5">
        <w:t xml:space="preserve">depends, </w:t>
      </w:r>
      <w:r w:rsidR="00D0528A" w:rsidRPr="000D37DC">
        <w:t>inter alia</w:t>
      </w:r>
      <w:r w:rsidRPr="003215C5">
        <w:t xml:space="preserve">, on the </w:t>
      </w:r>
      <w:r w:rsidR="00D0528A">
        <w:t xml:space="preserve">nature </w:t>
      </w:r>
      <w:r w:rsidRPr="003215C5">
        <w:t xml:space="preserve">of the </w:t>
      </w:r>
      <w:r w:rsidR="00D0528A">
        <w:t>entity</w:t>
      </w:r>
      <w:r w:rsidRPr="003215C5">
        <w:t xml:space="preserve">, including the practical importance of the </w:t>
      </w:r>
      <w:r w:rsidR="00F244BA">
        <w:t xml:space="preserve">entity </w:t>
      </w:r>
      <w:r w:rsidRPr="003215C5">
        <w:t>in terms of the groups entitled to adequate representation</w:t>
      </w:r>
      <w:r w:rsidR="00BC02B9">
        <w:t>’.</w:t>
      </w:r>
      <w:r w:rsidR="0073529C" w:rsidRPr="003215C5">
        <w:rPr>
          <w:rStyle w:val="FootnoteReference"/>
        </w:rPr>
        <w:footnoteReference w:id="299"/>
      </w:r>
    </w:p>
    <w:p w14:paraId="7CB74927" w14:textId="6333753E" w:rsidR="006443BE" w:rsidRPr="003215C5" w:rsidRDefault="006443BE" w:rsidP="00286484">
      <w:pPr>
        <w:spacing w:line="360" w:lineRule="auto"/>
        <w:ind w:firstLine="720"/>
        <w:jc w:val="both"/>
      </w:pPr>
      <w:r w:rsidRPr="003215C5">
        <w:t xml:space="preserve">Contrary to the perception that </w:t>
      </w:r>
      <w:r w:rsidR="00F244BA">
        <w:t xml:space="preserve">the </w:t>
      </w:r>
      <w:r w:rsidRPr="003215C5">
        <w:t>law ha</w:t>
      </w:r>
      <w:r w:rsidR="00F244BA">
        <w:t>s</w:t>
      </w:r>
      <w:r w:rsidRPr="003215C5">
        <w:t xml:space="preserve"> the power to direct social </w:t>
      </w:r>
      <w:r w:rsidR="004B6223" w:rsidRPr="003215C5">
        <w:t>behaviour</w:t>
      </w:r>
      <w:r w:rsidRPr="003215C5">
        <w:t>, Rosenberg argues</w:t>
      </w:r>
      <w:r w:rsidR="0073529C" w:rsidRPr="003215C5">
        <w:rPr>
          <w:rStyle w:val="FootnoteReference"/>
        </w:rPr>
        <w:footnoteReference w:id="300"/>
      </w:r>
      <w:r w:rsidRPr="003215C5">
        <w:t xml:space="preserve"> that laws that are perceived as problematic</w:t>
      </w:r>
      <w:r w:rsidR="00F244BA">
        <w:t>,</w:t>
      </w:r>
      <w:r w:rsidRPr="003215C5">
        <w:t xml:space="preserve"> or </w:t>
      </w:r>
      <w:r w:rsidR="00F244BA">
        <w:t xml:space="preserve">are </w:t>
      </w:r>
      <w:r w:rsidRPr="003215C5">
        <w:t>opposed by a strong group (not necessarily the majority group)</w:t>
      </w:r>
      <w:r w:rsidR="00F244BA">
        <w:t>,</w:t>
      </w:r>
      <w:r w:rsidRPr="003215C5">
        <w:t xml:space="preserve"> do not </w:t>
      </w:r>
      <w:r w:rsidR="00FB2F3B">
        <w:t xml:space="preserve">facilitate </w:t>
      </w:r>
      <w:r w:rsidRPr="003215C5">
        <w:t>real change</w:t>
      </w:r>
      <w:r w:rsidR="00F244BA">
        <w:t>,</w:t>
      </w:r>
      <w:r w:rsidRPr="003215C5">
        <w:t xml:space="preserve"> and make enforcement </w:t>
      </w:r>
      <w:r w:rsidR="00FB2F3B">
        <w:t xml:space="preserve">more </w:t>
      </w:r>
      <w:r w:rsidRPr="003215C5">
        <w:t>difficult</w:t>
      </w:r>
      <w:r w:rsidR="00BC02B9">
        <w:t>.</w:t>
      </w:r>
      <w:r w:rsidR="0073529C" w:rsidRPr="003215C5">
        <w:rPr>
          <w:rStyle w:val="FootnoteReference"/>
        </w:rPr>
        <w:footnoteReference w:id="301"/>
      </w:r>
      <w:r w:rsidRPr="003215C5">
        <w:t xml:space="preserve"> This non-compliance with the provisions of the law, such as affirmative action, may be seen as an exception to the rule that the law succeeds in shaping conduct. </w:t>
      </w:r>
      <w:r w:rsidR="004B6223" w:rsidRPr="003215C5">
        <w:t>Of course,</w:t>
      </w:r>
      <w:r w:rsidRPr="003215C5">
        <w:t xml:space="preserve"> there is no complete disregard for the provisions of the law</w:t>
      </w:r>
      <w:r w:rsidR="00F244BA">
        <w:t>,</w:t>
      </w:r>
      <w:r w:rsidRPr="003215C5">
        <w:t xml:space="preserve"> and the </w:t>
      </w:r>
      <w:r w:rsidR="00F244BA">
        <w:t xml:space="preserve">prescription of </w:t>
      </w:r>
      <w:r w:rsidRPr="003215C5">
        <w:t>affirmative action</w:t>
      </w:r>
      <w:r w:rsidR="00BC02B9">
        <w:t>. Rather, i</w:t>
      </w:r>
      <w:r w:rsidRPr="003215C5">
        <w:t xml:space="preserve">t is </w:t>
      </w:r>
      <w:r w:rsidR="00F244BA">
        <w:t xml:space="preserve">carried out </w:t>
      </w:r>
      <w:r w:rsidRPr="003215C5">
        <w:t xml:space="preserve">in the shadows, on a small </w:t>
      </w:r>
      <w:r w:rsidRPr="003215C5">
        <w:lastRenderedPageBreak/>
        <w:t xml:space="preserve">scale, </w:t>
      </w:r>
      <w:r w:rsidR="00FB2F3B">
        <w:t xml:space="preserve">in </w:t>
      </w:r>
      <w:r w:rsidR="00F244BA">
        <w:t xml:space="preserve">a </w:t>
      </w:r>
      <w:r w:rsidR="00FB2F3B">
        <w:t xml:space="preserve">protracted </w:t>
      </w:r>
      <w:r w:rsidRPr="003215C5">
        <w:t>war</w:t>
      </w:r>
      <w:r w:rsidR="00F244BA">
        <w:t>,</w:t>
      </w:r>
      <w:r w:rsidRPr="003215C5">
        <w:t xml:space="preserve"> and </w:t>
      </w:r>
      <w:r w:rsidR="00F244BA">
        <w:t xml:space="preserve">by </w:t>
      </w:r>
      <w:r w:rsidRPr="003215C5">
        <w:t>changes in the form of affirmative action</w:t>
      </w:r>
      <w:r w:rsidR="00BC02B9">
        <w:t>. However,</w:t>
      </w:r>
      <w:r w:rsidRPr="003215C5">
        <w:t xml:space="preserve"> these do not lead to real results</w:t>
      </w:r>
      <w:r w:rsidR="00F244BA">
        <w:t>,</w:t>
      </w:r>
      <w:r w:rsidRPr="003215C5">
        <w:t xml:space="preserve"> and therefore there is no real harm in this </w:t>
      </w:r>
      <w:r w:rsidR="004B6223" w:rsidRPr="003215C5">
        <w:t>behaviour</w:t>
      </w:r>
      <w:r w:rsidRPr="003215C5">
        <w:t xml:space="preserve"> that can undermine the effectiveness of the legal system to direct </w:t>
      </w:r>
      <w:r w:rsidR="004B6223" w:rsidRPr="003215C5">
        <w:t>behaviour</w:t>
      </w:r>
      <w:r w:rsidRPr="003215C5">
        <w:t>.</w:t>
      </w:r>
      <w:r w:rsidR="0073529C" w:rsidRPr="003215C5">
        <w:rPr>
          <w:rStyle w:val="FootnoteReference"/>
        </w:rPr>
        <w:footnoteReference w:id="302"/>
      </w:r>
    </w:p>
    <w:p w14:paraId="1E7E5402" w14:textId="1283ED4D" w:rsidR="006443BE" w:rsidRPr="003215C5" w:rsidRDefault="006443BE" w:rsidP="00286484">
      <w:pPr>
        <w:spacing w:line="360" w:lineRule="auto"/>
        <w:ind w:firstLine="720"/>
        <w:jc w:val="both"/>
      </w:pPr>
      <w:r w:rsidRPr="003215C5">
        <w:t xml:space="preserve">An initial examination of the </w:t>
      </w:r>
      <w:r w:rsidR="00F244BA">
        <w:t xml:space="preserve">field </w:t>
      </w:r>
      <w:r w:rsidRPr="003215C5">
        <w:t>of ​​affirmative action can lead to the conclusion that the legal situation in Israel is excellent</w:t>
      </w:r>
      <w:r w:rsidR="00F244BA">
        <w:t>,</w:t>
      </w:r>
      <w:r w:rsidRPr="003215C5">
        <w:t xml:space="preserve"> and that the legislature deals with the issue comprehensively. But the </w:t>
      </w:r>
      <w:r w:rsidR="004B6223" w:rsidRPr="003215C5">
        <w:t>sceptical</w:t>
      </w:r>
      <w:r w:rsidRPr="003215C5">
        <w:t xml:space="preserve"> reader </w:t>
      </w:r>
      <w:r w:rsidR="00FB2F3B">
        <w:t xml:space="preserve">should read data </w:t>
      </w:r>
      <w:r w:rsidRPr="003215C5">
        <w:t xml:space="preserve">from the field that </w:t>
      </w:r>
      <w:r w:rsidR="00BC02B9">
        <w:t>shows</w:t>
      </w:r>
      <w:r w:rsidR="00F244BA">
        <w:t xml:space="preserve"> </w:t>
      </w:r>
      <w:r w:rsidR="00FB2F3B">
        <w:t xml:space="preserve">both pay </w:t>
      </w:r>
      <w:r w:rsidRPr="003215C5">
        <w:t>gaps and employment gaps for certain populations. Affirmative action programs are of great importance in marking the absorption and social integration of certain populations, and especially minorities suffering from under-representation in employment. Social exclusion does not operate in a vacuum</w:t>
      </w:r>
      <w:r w:rsidR="00F244BA">
        <w:t>,</w:t>
      </w:r>
      <w:r w:rsidRPr="003215C5">
        <w:t xml:space="preserve"> and its existence and especially the question of its success in the face of the affirmative action model must be examined. </w:t>
      </w:r>
      <w:r w:rsidR="00FB2F3B">
        <w:t xml:space="preserve">The </w:t>
      </w:r>
      <w:r w:rsidR="00FB2F3B" w:rsidRPr="003215C5">
        <w:t xml:space="preserve">affirmative action </w:t>
      </w:r>
      <w:r w:rsidRPr="003215C5">
        <w:t>model did not change anything</w:t>
      </w:r>
      <w:r w:rsidR="00BC02B9">
        <w:t>. O</w:t>
      </w:r>
      <w:r w:rsidRPr="003215C5">
        <w:t>n the contrary</w:t>
      </w:r>
      <w:r w:rsidR="00BC02B9">
        <w:t>,</w:t>
      </w:r>
      <w:r w:rsidRPr="003215C5">
        <w:t xml:space="preserve"> it exacerbated the phenomenon</w:t>
      </w:r>
      <w:r w:rsidR="00BC02B9">
        <w:t xml:space="preserve"> of discrimination in the labour market</w:t>
      </w:r>
      <w:r w:rsidR="00FB2F3B">
        <w:t>,</w:t>
      </w:r>
      <w:r w:rsidRPr="003215C5">
        <w:t xml:space="preserve"> and contributed to deeper </w:t>
      </w:r>
      <w:commentRangeStart w:id="11"/>
      <w:r w:rsidRPr="003215C5">
        <w:t>exclusion</w:t>
      </w:r>
      <w:commentRangeEnd w:id="11"/>
      <w:r w:rsidR="00D703C2">
        <w:rPr>
          <w:rStyle w:val="CommentReference"/>
        </w:rPr>
        <w:commentReference w:id="11"/>
      </w:r>
      <w:r w:rsidR="00BC02B9">
        <w:t>.</w:t>
      </w:r>
      <w:r w:rsidRPr="003215C5">
        <w:t xml:space="preserve"> Not only </w:t>
      </w:r>
      <w:r w:rsidR="00F244BA">
        <w:t xml:space="preserve">did </w:t>
      </w:r>
      <w:r w:rsidRPr="003215C5">
        <w:t>the law not change</w:t>
      </w:r>
      <w:r w:rsidR="00F244BA">
        <w:t xml:space="preserve"> </w:t>
      </w:r>
      <w:r w:rsidRPr="003215C5">
        <w:t>enough</w:t>
      </w:r>
      <w:r w:rsidR="00F244BA">
        <w:t>,</w:t>
      </w:r>
      <w:r w:rsidRPr="003215C5">
        <w:t xml:space="preserve"> but in the context of excluding certain populations from the </w:t>
      </w:r>
      <w:r w:rsidR="004B6223" w:rsidRPr="003215C5">
        <w:t>labour</w:t>
      </w:r>
      <w:r w:rsidRPr="003215C5">
        <w:t xml:space="preserve"> market, it </w:t>
      </w:r>
      <w:r w:rsidR="00F244BA">
        <w:t>had a</w:t>
      </w:r>
      <w:r w:rsidR="00FB2F3B">
        <w:t>n</w:t>
      </w:r>
      <w:r w:rsidR="00F244BA">
        <w:t xml:space="preserve"> </w:t>
      </w:r>
      <w:r w:rsidR="00D703C2">
        <w:t>adverse effect</w:t>
      </w:r>
      <w:r w:rsidRPr="003215C5">
        <w:t>.</w:t>
      </w:r>
    </w:p>
    <w:p w14:paraId="6F6992E3" w14:textId="560DFECF" w:rsidR="006443BE" w:rsidRPr="003215C5" w:rsidRDefault="006443BE" w:rsidP="00286484">
      <w:pPr>
        <w:spacing w:line="360" w:lineRule="auto"/>
        <w:ind w:firstLine="720"/>
        <w:jc w:val="both"/>
      </w:pPr>
      <w:r w:rsidRPr="003215C5">
        <w:t xml:space="preserve">As one examines </w:t>
      </w:r>
      <w:r w:rsidR="00F244BA" w:rsidRPr="003215C5">
        <w:t xml:space="preserve">affirmative action laws </w:t>
      </w:r>
      <w:r w:rsidRPr="003215C5">
        <w:t>in depth</w:t>
      </w:r>
      <w:r w:rsidR="00FB2F3B">
        <w:t>,</w:t>
      </w:r>
      <w:r w:rsidRPr="003215C5">
        <w:t xml:space="preserve"> </w:t>
      </w:r>
      <w:r w:rsidR="00F244BA">
        <w:t xml:space="preserve">as well as </w:t>
      </w:r>
      <w:r w:rsidRPr="003215C5">
        <w:t xml:space="preserve">their actual implementation, </w:t>
      </w:r>
      <w:r w:rsidR="00F244BA">
        <w:t xml:space="preserve">one </w:t>
      </w:r>
      <w:r w:rsidRPr="003215C5">
        <w:t xml:space="preserve">can </w:t>
      </w:r>
      <w:r w:rsidR="00F244BA">
        <w:t xml:space="preserve">discern </w:t>
      </w:r>
      <w:r w:rsidRPr="003215C5">
        <w:t xml:space="preserve">that the </w:t>
      </w:r>
      <w:r w:rsidR="00FB2F3B" w:rsidRPr="003215C5">
        <w:t xml:space="preserve">civil service </w:t>
      </w:r>
      <w:r w:rsidRPr="003215C5">
        <w:t>promotes various decisions that impose requirements that make it difficult for part</w:t>
      </w:r>
      <w:r w:rsidR="00F244BA">
        <w:t>s</w:t>
      </w:r>
      <w:r w:rsidRPr="003215C5">
        <w:t xml:space="preserve"> of the population to participate in the public </w:t>
      </w:r>
      <w:r w:rsidR="00FB2F3B">
        <w:t xml:space="preserve">sector </w:t>
      </w:r>
      <w:r w:rsidR="004B6223" w:rsidRPr="003215C5">
        <w:t>labour</w:t>
      </w:r>
      <w:r w:rsidRPr="003215C5">
        <w:t xml:space="preserve"> market</w:t>
      </w:r>
      <w:r w:rsidR="00BC02B9">
        <w:t>, thus having</w:t>
      </w:r>
      <w:r w:rsidRPr="003215C5">
        <w:t xml:space="preserve"> a negative impact on various populations failing to advance their </w:t>
      </w:r>
      <w:r w:rsidR="004B6223" w:rsidRPr="003215C5">
        <w:t>labour</w:t>
      </w:r>
      <w:r w:rsidRPr="003215C5">
        <w:t xml:space="preserve"> market interests. What group should be assisted in integrating into the public </w:t>
      </w:r>
      <w:r w:rsidR="004B6223" w:rsidRPr="003215C5">
        <w:t>labour</w:t>
      </w:r>
      <w:r w:rsidRPr="003215C5">
        <w:t xml:space="preserve"> market? It is customary to address employment integration by measuring the </w:t>
      </w:r>
      <w:r w:rsidR="004B6223" w:rsidRPr="003215C5">
        <w:t>labour</w:t>
      </w:r>
      <w:r w:rsidRPr="003215C5">
        <w:t xml:space="preserve"> market participation rate. This test is narrow</w:t>
      </w:r>
      <w:r w:rsidR="00F244BA">
        <w:t>,</w:t>
      </w:r>
      <w:r w:rsidRPr="003215C5">
        <w:t xml:space="preserve"> and gives distorted results. In order to examine the need for integration, the participation rate must be measured in proportion to the scope and quality of employment. Is the integration horizontal across all civil service jobs and ranks? Does the integration match the professional skills? The higher these metrics, the more successful the integration can be defined.</w:t>
      </w:r>
    </w:p>
    <w:p w14:paraId="172ED275" w14:textId="1ED0C914" w:rsidR="006443BE" w:rsidRPr="003215C5" w:rsidRDefault="006443BE" w:rsidP="00286484">
      <w:pPr>
        <w:spacing w:line="360" w:lineRule="auto"/>
        <w:ind w:firstLine="720"/>
        <w:jc w:val="both"/>
      </w:pPr>
      <w:r w:rsidRPr="003215C5">
        <w:t xml:space="preserve">It should be borne in mind that it is not certain that gaps in the employment of those populations </w:t>
      </w:r>
      <w:r w:rsidR="00F244BA">
        <w:t xml:space="preserve">indicate </w:t>
      </w:r>
      <w:r w:rsidRPr="003215C5">
        <w:t>discrimination in employment</w:t>
      </w:r>
      <w:r w:rsidR="00F244BA">
        <w:t>,</w:t>
      </w:r>
      <w:r w:rsidRPr="003215C5">
        <w:t xml:space="preserve"> or a phenomenon which </w:t>
      </w:r>
      <w:r w:rsidR="00F244BA">
        <w:t xml:space="preserve">an </w:t>
      </w:r>
      <w:r w:rsidR="001951EA" w:rsidRPr="003215C5">
        <w:t>affirmative action program</w:t>
      </w:r>
      <w:r w:rsidRPr="003215C5">
        <w:t xml:space="preserve"> can </w:t>
      </w:r>
      <w:r w:rsidR="00F244BA">
        <w:t>remedy</w:t>
      </w:r>
      <w:r w:rsidRPr="003215C5">
        <w:t xml:space="preserve">. It can be assumed, at least for some members of the target population, that they have lower qualifications than the rest of the population for a particular </w:t>
      </w:r>
      <w:r w:rsidR="00D703C2">
        <w:t>field</w:t>
      </w:r>
      <w:r w:rsidR="00F244BA">
        <w:t>,</w:t>
      </w:r>
      <w:r w:rsidRPr="003215C5">
        <w:t xml:space="preserve"> and are therefore naturally less competitive </w:t>
      </w:r>
      <w:r w:rsidR="00FB2F3B">
        <w:t xml:space="preserve">in relation to </w:t>
      </w:r>
      <w:r w:rsidRPr="003215C5">
        <w:t xml:space="preserve">a particular </w:t>
      </w:r>
      <w:r w:rsidR="00FB2F3B">
        <w:t>job</w:t>
      </w:r>
      <w:r w:rsidRPr="003215C5">
        <w:t>. This diagnosis raises a theoretical question</w:t>
      </w:r>
      <w:r w:rsidR="00BC02B9">
        <w:t>.</w:t>
      </w:r>
      <w:r w:rsidRPr="003215C5">
        <w:t xml:space="preserve"> </w:t>
      </w:r>
      <w:r w:rsidR="00F244BA">
        <w:t>S</w:t>
      </w:r>
      <w:r w:rsidRPr="003215C5">
        <w:t xml:space="preserve">hould affirmative action solve a problem of tastes and preferences </w:t>
      </w:r>
      <w:r w:rsidR="00FB2F3B">
        <w:t xml:space="preserve">at </w:t>
      </w:r>
      <w:r w:rsidRPr="003215C5">
        <w:t xml:space="preserve">the </w:t>
      </w:r>
      <w:r w:rsidR="00D430E7">
        <w:t>hiring stage,</w:t>
      </w:r>
      <w:r w:rsidRPr="003215C5">
        <w:t xml:space="preserve"> or correct pre-market barriers of </w:t>
      </w:r>
      <w:r w:rsidRPr="003215C5">
        <w:lastRenderedPageBreak/>
        <w:t>education, culture, language</w:t>
      </w:r>
      <w:r w:rsidR="00D430E7">
        <w:t>,</w:t>
      </w:r>
      <w:r w:rsidRPr="003215C5">
        <w:t xml:space="preserve"> and more? If we </w:t>
      </w:r>
      <w:r w:rsidR="00FB2F3B">
        <w:t xml:space="preserve">accept </w:t>
      </w:r>
      <w:r w:rsidRPr="003215C5">
        <w:t xml:space="preserve">the second option, it seems to me that it is possible to </w:t>
      </w:r>
      <w:r w:rsidR="00BC02B9">
        <w:t>address</w:t>
      </w:r>
      <w:r w:rsidRPr="003215C5">
        <w:t xml:space="preserve"> underrepresentation through </w:t>
      </w:r>
      <w:r w:rsidR="00FB2F3B">
        <w:t xml:space="preserve">the setting of the </w:t>
      </w:r>
      <w:r w:rsidRPr="003215C5">
        <w:t xml:space="preserve">threshold conditions for </w:t>
      </w:r>
      <w:r w:rsidR="00D430E7">
        <w:t>a position</w:t>
      </w:r>
      <w:r w:rsidRPr="003215C5">
        <w:t xml:space="preserve">. Moreover, in my view, one of the problems with the existing model is that </w:t>
      </w:r>
      <w:r w:rsidR="00D430E7">
        <w:t xml:space="preserve">the solution of </w:t>
      </w:r>
      <w:r w:rsidRPr="003215C5">
        <w:t>dedicated tenders without reference to threshold conditions does not provide a real opportunity to enter the service</w:t>
      </w:r>
      <w:r w:rsidR="00BC02B9">
        <w:t>. I</w:t>
      </w:r>
      <w:r w:rsidR="004B6223" w:rsidRPr="003215C5">
        <w:t>ndeed,</w:t>
      </w:r>
      <w:r w:rsidRPr="003215C5">
        <w:t xml:space="preserve"> in practic</w:t>
      </w:r>
      <w:r w:rsidR="00D430E7">
        <w:t>al terms</w:t>
      </w:r>
      <w:r w:rsidRPr="003215C5">
        <w:t xml:space="preserve">, </w:t>
      </w:r>
      <w:r w:rsidR="00D430E7">
        <w:t xml:space="preserve">very </w:t>
      </w:r>
      <w:r w:rsidRPr="003215C5">
        <w:t xml:space="preserve">few </w:t>
      </w:r>
      <w:r w:rsidR="00D430E7">
        <w:t xml:space="preserve">compete </w:t>
      </w:r>
      <w:r w:rsidRPr="003215C5">
        <w:t xml:space="preserve">for these jobs which subsequently become </w:t>
      </w:r>
      <w:r w:rsidR="00BC02B9">
        <w:t xml:space="preserve">subject to </w:t>
      </w:r>
      <w:r w:rsidRPr="003215C5">
        <w:t>a regular tender</w:t>
      </w:r>
      <w:r w:rsidR="00D430E7">
        <w:t>,</w:t>
      </w:r>
      <w:r w:rsidRPr="003215C5">
        <w:t xml:space="preserve"> and </w:t>
      </w:r>
      <w:r w:rsidR="00D430E7">
        <w:t xml:space="preserve">are </w:t>
      </w:r>
      <w:r w:rsidR="00FB2F3B" w:rsidRPr="003215C5">
        <w:t xml:space="preserve">not </w:t>
      </w:r>
      <w:r w:rsidRPr="003215C5">
        <w:t>staffed by the target population.</w:t>
      </w:r>
    </w:p>
    <w:p w14:paraId="143CD946" w14:textId="033A9175" w:rsidR="006443BE" w:rsidRPr="005E2D0A" w:rsidRDefault="006443BE" w:rsidP="00286484">
      <w:pPr>
        <w:spacing w:line="360" w:lineRule="auto"/>
        <w:ind w:firstLine="720"/>
        <w:jc w:val="both"/>
        <w:rPr>
          <w:u w:val="single"/>
        </w:rPr>
      </w:pPr>
      <w:r w:rsidRPr="005E2D0A">
        <w:t xml:space="preserve">The transition in Israel from a passive policy of non-discrimination laws to an active policy </w:t>
      </w:r>
      <w:r w:rsidR="00BC02B9">
        <w:t>that ensures</w:t>
      </w:r>
      <w:r w:rsidRPr="005E2D0A">
        <w:t xml:space="preserve"> equal opportunities and equality in result</w:t>
      </w:r>
      <w:r w:rsidR="00D430E7" w:rsidRPr="005E2D0A">
        <w:t>,</w:t>
      </w:r>
      <w:r w:rsidRPr="005E2D0A">
        <w:t xml:space="preserve"> </w:t>
      </w:r>
      <w:r w:rsidR="00D430E7" w:rsidRPr="005E2D0A">
        <w:t>wa</w:t>
      </w:r>
      <w:r w:rsidRPr="005E2D0A">
        <w:t xml:space="preserve">s </w:t>
      </w:r>
      <w:r w:rsidR="00BC02B9">
        <w:t>accomplished</w:t>
      </w:r>
      <w:r w:rsidR="00D430E7" w:rsidRPr="005E2D0A">
        <w:t xml:space="preserve"> </w:t>
      </w:r>
      <w:r w:rsidRPr="005E2D0A">
        <w:t xml:space="preserve">by adopting affirmative action </w:t>
      </w:r>
      <w:r w:rsidR="00D430E7" w:rsidRPr="005E2D0A">
        <w:t xml:space="preserve">which </w:t>
      </w:r>
      <w:r w:rsidRPr="005E2D0A">
        <w:t>is perceived as a systematic way to combat systematic discrimination</w:t>
      </w:r>
      <w:r w:rsidR="00D430E7" w:rsidRPr="005E2D0A">
        <w:t>,</w:t>
      </w:r>
      <w:r w:rsidRPr="005E2D0A">
        <w:t xml:space="preserve"> and one of its methods is to ensure adequate representation. But what is </w:t>
      </w:r>
      <w:r w:rsidR="00BC02B9">
        <w:t>‘</w:t>
      </w:r>
      <w:r w:rsidR="0073529C" w:rsidRPr="005E2D0A">
        <w:t>adequate</w:t>
      </w:r>
      <w:r w:rsidRPr="005E2D0A">
        <w:t xml:space="preserve"> representation</w:t>
      </w:r>
      <w:r w:rsidR="00BC02B9">
        <w:t>’</w:t>
      </w:r>
      <w:r w:rsidRPr="005E2D0A">
        <w:t>?</w:t>
      </w:r>
      <w:r w:rsidR="0073529C" w:rsidRPr="005E2D0A">
        <w:rPr>
          <w:rStyle w:val="FootnoteReference"/>
        </w:rPr>
        <w:footnoteReference w:id="303"/>
      </w:r>
      <w:r w:rsidRPr="005E2D0A">
        <w:t xml:space="preserve"> </w:t>
      </w:r>
      <w:r w:rsidR="005E2D0A">
        <w:t xml:space="preserve">There are </w:t>
      </w:r>
      <w:r w:rsidR="005E2D0A" w:rsidRPr="005E2D0A">
        <w:t xml:space="preserve">several </w:t>
      </w:r>
      <w:r w:rsidR="005E2D0A">
        <w:t>way</w:t>
      </w:r>
      <w:r w:rsidR="00BC02B9">
        <w:t>s</w:t>
      </w:r>
      <w:r w:rsidR="005E2D0A">
        <w:t xml:space="preserve"> in which i</w:t>
      </w:r>
      <w:r w:rsidRPr="005E2D0A">
        <w:t xml:space="preserve">t is customary to </w:t>
      </w:r>
      <w:r w:rsidR="005E2D0A">
        <w:t xml:space="preserve">review </w:t>
      </w:r>
      <w:r w:rsidRPr="005E2D0A">
        <w:t>the rate of representation in the civil service</w:t>
      </w:r>
      <w:r w:rsidR="00BC02B9">
        <w:t>. One is t</w:t>
      </w:r>
      <w:r w:rsidRPr="005E2D0A">
        <w:t>he rat</w:t>
      </w:r>
      <w:r w:rsidR="00D430E7" w:rsidRPr="005E2D0A">
        <w:t>io</w:t>
      </w:r>
      <w:r w:rsidRPr="005E2D0A">
        <w:t xml:space="preserve"> </w:t>
      </w:r>
      <w:r w:rsidR="005E2D0A">
        <w:t xml:space="preserve">between </w:t>
      </w:r>
      <w:r w:rsidRPr="005E2D0A">
        <w:t xml:space="preserve">the group </w:t>
      </w:r>
      <w:r w:rsidR="005E2D0A">
        <w:t xml:space="preserve">and </w:t>
      </w:r>
      <w:r w:rsidRPr="005E2D0A">
        <w:t>all employees</w:t>
      </w:r>
      <w:r w:rsidR="00D430E7" w:rsidRPr="005E2D0A">
        <w:t>,</w:t>
      </w:r>
      <w:r w:rsidRPr="005E2D0A">
        <w:t xml:space="preserve"> and its </w:t>
      </w:r>
      <w:r w:rsidR="00D430E7" w:rsidRPr="005E2D0A">
        <w:t xml:space="preserve">comparison to </w:t>
      </w:r>
      <w:r w:rsidRPr="005E2D0A">
        <w:t xml:space="preserve">the </w:t>
      </w:r>
      <w:r w:rsidR="005E2D0A" w:rsidRPr="005E2D0A">
        <w:t>group</w:t>
      </w:r>
      <w:r w:rsidR="005E2D0A">
        <w:t>’s</w:t>
      </w:r>
      <w:r w:rsidR="005E2D0A" w:rsidRPr="005E2D0A">
        <w:t xml:space="preserve"> </w:t>
      </w:r>
      <w:r w:rsidR="005E2D0A">
        <w:t>proportion</w:t>
      </w:r>
      <w:r w:rsidRPr="005E2D0A">
        <w:t xml:space="preserve"> in the general population</w:t>
      </w:r>
      <w:r w:rsidR="00BC02B9">
        <w:t>. Another is r</w:t>
      </w:r>
      <w:r w:rsidRPr="005E2D0A">
        <w:t xml:space="preserve">epresentation of the group at various levels </w:t>
      </w:r>
      <w:r w:rsidR="00D430E7" w:rsidRPr="005E2D0A">
        <w:t xml:space="preserve">in </w:t>
      </w:r>
      <w:r w:rsidRPr="005E2D0A">
        <w:t>the civil service, especially junior and management positions</w:t>
      </w:r>
      <w:r w:rsidR="00BC02B9">
        <w:t>.</w:t>
      </w:r>
      <w:r w:rsidRPr="005E2D0A">
        <w:t xml:space="preserve"> Another option is to examine the group</w:t>
      </w:r>
      <w:r w:rsidR="008578D4" w:rsidRPr="005E2D0A">
        <w:t>’</w:t>
      </w:r>
      <w:r w:rsidRPr="005E2D0A">
        <w:t xml:space="preserve">s representation in comparison with its </w:t>
      </w:r>
      <w:r w:rsidR="00D430E7" w:rsidRPr="005E2D0A">
        <w:t xml:space="preserve">participation </w:t>
      </w:r>
      <w:r w:rsidRPr="005E2D0A">
        <w:t>rate</w:t>
      </w:r>
      <w:r w:rsidR="00D430E7" w:rsidRPr="005E2D0A">
        <w:t xml:space="preserve"> </w:t>
      </w:r>
      <w:r w:rsidRPr="005E2D0A">
        <w:t xml:space="preserve">in the </w:t>
      </w:r>
      <w:r w:rsidR="004B6223" w:rsidRPr="005E2D0A">
        <w:t>labour</w:t>
      </w:r>
      <w:r w:rsidRPr="005E2D0A">
        <w:t xml:space="preserve"> market. Israel chose the first option, while </w:t>
      </w:r>
      <w:r w:rsidR="00D430E7" w:rsidRPr="005E2D0A">
        <w:t>complying with</w:t>
      </w:r>
      <w:r w:rsidRPr="005E2D0A">
        <w:t xml:space="preserve"> </w:t>
      </w:r>
      <w:r w:rsidR="00D430E7" w:rsidRPr="005E2D0A">
        <w:t xml:space="preserve">lateral </w:t>
      </w:r>
      <w:r w:rsidRPr="005E2D0A">
        <w:t xml:space="preserve">and </w:t>
      </w:r>
      <w:r w:rsidR="00D430E7" w:rsidRPr="005E2D0A">
        <w:t xml:space="preserve">horizontal splicing </w:t>
      </w:r>
      <w:r w:rsidRPr="005E2D0A">
        <w:t>within the various jobs and ranks.</w:t>
      </w:r>
      <w:r w:rsidR="0073529C" w:rsidRPr="005E2D0A">
        <w:rPr>
          <w:rStyle w:val="FootnoteReference"/>
        </w:rPr>
        <w:footnoteReference w:id="304"/>
      </w:r>
      <w:r w:rsidRPr="005E2D0A">
        <w:t xml:space="preserve"> This chapter seeks to examine the group</w:t>
      </w:r>
      <w:r w:rsidR="008578D4" w:rsidRPr="005E2D0A">
        <w:t>’</w:t>
      </w:r>
      <w:r w:rsidRPr="005E2D0A">
        <w:t>s representation in the most advanced way</w:t>
      </w:r>
      <w:r w:rsidR="00D430E7" w:rsidRPr="005E2D0A">
        <w:t>,</w:t>
      </w:r>
      <w:r w:rsidRPr="005E2D0A">
        <w:t xml:space="preserve"> and to compare it with its employment rate</w:t>
      </w:r>
      <w:r w:rsidR="00D430E7" w:rsidRPr="005E2D0A">
        <w:t xml:space="preserve"> </w:t>
      </w:r>
      <w:r w:rsidRPr="005E2D0A">
        <w:t xml:space="preserve">in the </w:t>
      </w:r>
      <w:r w:rsidR="004B6223" w:rsidRPr="005E2D0A">
        <w:t>labour</w:t>
      </w:r>
      <w:r w:rsidRPr="005E2D0A">
        <w:t xml:space="preserve"> market in particular</w:t>
      </w:r>
      <w:r w:rsidR="00D430E7" w:rsidRPr="005E2D0A">
        <w:t>,</w:t>
      </w:r>
      <w:r w:rsidRPr="005E2D0A">
        <w:t xml:space="preserve"> and </w:t>
      </w:r>
      <w:r w:rsidR="00D430E7" w:rsidRPr="005E2D0A">
        <w:t xml:space="preserve">spliced to senior positions </w:t>
      </w:r>
      <w:r w:rsidRPr="005E2D0A">
        <w:t>in general. This examination is similar to the manner in which underrepresentation is examined in the United States, in which the OPM</w:t>
      </w:r>
      <w:r w:rsidR="0073529C" w:rsidRPr="005E2D0A">
        <w:rPr>
          <w:rStyle w:val="FootnoteReference"/>
        </w:rPr>
        <w:footnoteReference w:id="305"/>
      </w:r>
      <w:r w:rsidRPr="005E2D0A">
        <w:t xml:space="preserve"> is required to implement a policy of non-discrimination at work, under anti-discrimination laws similar to those in </w:t>
      </w:r>
      <w:r w:rsidR="00BC02B9">
        <w:t>Israel</w:t>
      </w:r>
      <w:r w:rsidRPr="005E2D0A">
        <w:t xml:space="preserve">. To this end, the OPM must develop a minority population employment plan </w:t>
      </w:r>
      <w:r w:rsidR="005E2D0A">
        <w:t>with</w:t>
      </w:r>
      <w:r w:rsidRPr="005E2D0A">
        <w:t>in the federal government, defining the minority population along with the Commission.</w:t>
      </w:r>
      <w:r w:rsidR="0073529C" w:rsidRPr="005E2D0A">
        <w:rPr>
          <w:rStyle w:val="FootnoteReference"/>
        </w:rPr>
        <w:footnoteReference w:id="306"/>
      </w:r>
      <w:r w:rsidRPr="005E2D0A">
        <w:t xml:space="preserve"> All programs in the United States define underrepresentation as a situation in which the proportion of members of the minority group employed in the civil service is less than the proportion of that group in the general </w:t>
      </w:r>
      <w:r w:rsidR="004B6223" w:rsidRPr="005E2D0A">
        <w:t>labour</w:t>
      </w:r>
      <w:r w:rsidRPr="005E2D0A">
        <w:t xml:space="preserve"> force.</w:t>
      </w:r>
      <w:r w:rsidR="0073529C" w:rsidRPr="005E2D0A">
        <w:rPr>
          <w:rStyle w:val="FootnoteReference"/>
        </w:rPr>
        <w:footnoteReference w:id="307"/>
      </w:r>
      <w:r w:rsidRPr="005E2D0A">
        <w:t xml:space="preserve"> There is also a different approach to </w:t>
      </w:r>
      <w:r w:rsidRPr="005E2D0A">
        <w:lastRenderedPageBreak/>
        <w:t>the results of representation</w:t>
      </w:r>
      <w:r w:rsidR="00BC02B9">
        <w:t>.</w:t>
      </w:r>
      <w:r w:rsidRPr="005E2D0A">
        <w:t xml:space="preserve"> Is it enough for us to have passive representation that leads to results</w:t>
      </w:r>
      <w:r w:rsidR="00D430E7" w:rsidRPr="005E2D0A">
        <w:t>,</w:t>
      </w:r>
      <w:r w:rsidRPr="005E2D0A">
        <w:t xml:space="preserve"> or is the meaning of representation an active meaning that requires the success of advancing agendas</w:t>
      </w:r>
      <w:r w:rsidR="00D430E7" w:rsidRPr="005E2D0A">
        <w:t>,</w:t>
      </w:r>
      <w:r w:rsidRPr="005E2D0A">
        <w:t xml:space="preserve"> and hearing the voice of the under-represented minority?</w:t>
      </w:r>
      <w:r w:rsidR="0073529C" w:rsidRPr="005E2D0A">
        <w:rPr>
          <w:rStyle w:val="FootnoteReference"/>
        </w:rPr>
        <w:footnoteReference w:id="308"/>
      </w:r>
      <w:r w:rsidRPr="005E2D0A">
        <w:t xml:space="preserve"> </w:t>
      </w:r>
      <w:r w:rsidR="00BC02B9">
        <w:t>Although</w:t>
      </w:r>
      <w:r w:rsidRPr="005E2D0A">
        <w:t xml:space="preserve"> this is an important and interesting </w:t>
      </w:r>
      <w:r w:rsidR="00D430E7" w:rsidRPr="005E2D0A">
        <w:t>distinction</w:t>
      </w:r>
      <w:r w:rsidRPr="005E2D0A">
        <w:t xml:space="preserve">, Israel is still in the first stage of </w:t>
      </w:r>
      <w:r w:rsidR="00D430E7" w:rsidRPr="005E2D0A">
        <w:t xml:space="preserve">failing to achieve </w:t>
      </w:r>
      <w:r w:rsidRPr="005E2D0A">
        <w:t>represen</w:t>
      </w:r>
      <w:r w:rsidR="00D430E7" w:rsidRPr="005E2D0A">
        <w:t>ta</w:t>
      </w:r>
      <w:r w:rsidRPr="005E2D0A">
        <w:t>t</w:t>
      </w:r>
      <w:r w:rsidR="00D430E7" w:rsidRPr="005E2D0A">
        <w:t>ion</w:t>
      </w:r>
      <w:r w:rsidRPr="005E2D0A">
        <w:t xml:space="preserve"> in </w:t>
      </w:r>
      <w:r w:rsidR="00D430E7" w:rsidRPr="005E2D0A">
        <w:t>outcomes</w:t>
      </w:r>
      <w:r w:rsidRPr="005E2D0A">
        <w:t>.</w:t>
      </w:r>
    </w:p>
    <w:p w14:paraId="1B63DF32" w14:textId="2828D02B" w:rsidR="006443BE" w:rsidRPr="003215C5" w:rsidRDefault="006443BE" w:rsidP="00286484">
      <w:pPr>
        <w:spacing w:line="360" w:lineRule="auto"/>
        <w:ind w:firstLine="720"/>
        <w:jc w:val="both"/>
      </w:pPr>
      <w:r w:rsidRPr="003215C5">
        <w:t xml:space="preserve">The provisions of </w:t>
      </w:r>
      <w:r w:rsidR="00D430E7">
        <w:t>S</w:t>
      </w:r>
      <w:r w:rsidRPr="003215C5">
        <w:t xml:space="preserve">ection 15A of the Appointments Act do not explain what </w:t>
      </w:r>
      <w:r w:rsidR="00D430E7">
        <w:t xml:space="preserve">adequate </w:t>
      </w:r>
      <w:r w:rsidRPr="003215C5">
        <w:t xml:space="preserve">representation is. </w:t>
      </w:r>
      <w:r w:rsidR="005E2D0A">
        <w:t>In</w:t>
      </w:r>
      <w:r w:rsidR="00D430E7">
        <w:t xml:space="preserve"> review</w:t>
      </w:r>
      <w:r w:rsidR="005E2D0A">
        <w:t xml:space="preserve">ing </w:t>
      </w:r>
      <w:r w:rsidRPr="003215C5">
        <w:t xml:space="preserve">the </w:t>
      </w:r>
      <w:r w:rsidR="00D430E7">
        <w:t>B</w:t>
      </w:r>
      <w:r w:rsidRPr="003215C5">
        <w:t>ill</w:t>
      </w:r>
      <w:r w:rsidR="005E2D0A">
        <w:t>,</w:t>
      </w:r>
      <w:r w:rsidRPr="003215C5">
        <w:t xml:space="preserve"> </w:t>
      </w:r>
      <w:r w:rsidR="005E2D0A">
        <w:t xml:space="preserve">one reads </w:t>
      </w:r>
      <w:r w:rsidRPr="003215C5">
        <w:t xml:space="preserve">language </w:t>
      </w:r>
      <w:r w:rsidR="00AA1E1E">
        <w:t xml:space="preserve">which is </w:t>
      </w:r>
      <w:r w:rsidRPr="003215C5">
        <w:t xml:space="preserve">different from the </w:t>
      </w:r>
      <w:r w:rsidR="00AA1E1E">
        <w:t xml:space="preserve">language of the </w:t>
      </w:r>
      <w:r w:rsidR="005E2D0A">
        <w:t>section</w:t>
      </w:r>
      <w:r w:rsidR="005E2D0A" w:rsidRPr="003215C5">
        <w:t xml:space="preserve"> </w:t>
      </w:r>
      <w:r w:rsidR="005E2D0A">
        <w:t xml:space="preserve">as finally </w:t>
      </w:r>
      <w:r w:rsidRPr="003215C5">
        <w:t>approved</w:t>
      </w:r>
      <w:r w:rsidR="00AA1E1E">
        <w:t xml:space="preserve">, </w:t>
      </w:r>
      <w:r w:rsidR="005E2D0A">
        <w:t>with</w:t>
      </w:r>
      <w:r w:rsidRPr="003215C5">
        <w:t xml:space="preserve"> a literal explanation in the explanatory </w:t>
      </w:r>
      <w:r w:rsidR="00AA1E1E">
        <w:t>remarks</w:t>
      </w:r>
      <w:r w:rsidRPr="003215C5">
        <w:t xml:space="preserve">. This is what </w:t>
      </w:r>
      <w:r w:rsidR="00AA1E1E" w:rsidRPr="003215C5">
        <w:t xml:space="preserve">the </w:t>
      </w:r>
      <w:r w:rsidR="00AA1E1E">
        <w:t>B</w:t>
      </w:r>
      <w:r w:rsidR="00AA1E1E" w:rsidRPr="003215C5">
        <w:t xml:space="preserve">ill </w:t>
      </w:r>
      <w:r w:rsidR="00AA1E1E">
        <w:t xml:space="preserve">stated, </w:t>
      </w:r>
      <w:r w:rsidRPr="003215C5">
        <w:t xml:space="preserve">and </w:t>
      </w:r>
      <w:r w:rsidR="00AA1E1E">
        <w:t xml:space="preserve">which was </w:t>
      </w:r>
      <w:r w:rsidRPr="003215C5">
        <w:t xml:space="preserve">then omitted from the wording of the section: </w:t>
      </w:r>
      <w:r w:rsidR="00BC02B9">
        <w:t>‘</w:t>
      </w:r>
      <w:proofErr w:type="gramStart"/>
      <w:r w:rsidR="00AA1E1E">
        <w:t>T</w:t>
      </w:r>
      <w:r w:rsidRPr="003215C5">
        <w:t>aking into account</w:t>
      </w:r>
      <w:proofErr w:type="gramEnd"/>
      <w:r w:rsidRPr="003215C5">
        <w:t xml:space="preserve"> their proportion among the population qualified for </w:t>
      </w:r>
      <w:r w:rsidR="00AA1E1E">
        <w:t xml:space="preserve">the </w:t>
      </w:r>
      <w:r w:rsidRPr="003215C5">
        <w:t xml:space="preserve">work </w:t>
      </w:r>
      <w:r w:rsidR="00AA1E1E">
        <w:t xml:space="preserve">in issue </w:t>
      </w:r>
      <w:r w:rsidRPr="003215C5">
        <w:t xml:space="preserve">(in this </w:t>
      </w:r>
      <w:r w:rsidR="00AA1E1E">
        <w:t xml:space="preserve">Act </w:t>
      </w:r>
      <w:r w:rsidR="005E2D0A">
        <w:t>–</w:t>
      </w:r>
      <w:r w:rsidRPr="003215C5">
        <w:t xml:space="preserve"> adequate</w:t>
      </w:r>
      <w:r w:rsidR="005E2D0A">
        <w:t xml:space="preserve"> </w:t>
      </w:r>
      <w:r w:rsidRPr="003215C5">
        <w:t>representation).</w:t>
      </w:r>
      <w:r w:rsidR="00BC02B9">
        <w:t>’</w:t>
      </w:r>
      <w:r w:rsidRPr="003215C5">
        <w:t xml:space="preserve"> And the explanatory </w:t>
      </w:r>
      <w:r w:rsidR="00AA1E1E">
        <w:t>remarks said the following</w:t>
      </w:r>
      <w:r w:rsidRPr="003215C5">
        <w:t>:</w:t>
      </w:r>
    </w:p>
    <w:p w14:paraId="11F3250B" w14:textId="250C9000" w:rsidR="006443BE" w:rsidRPr="003215C5" w:rsidRDefault="006443BE" w:rsidP="00286484">
      <w:pPr>
        <w:spacing w:line="360" w:lineRule="auto"/>
        <w:ind w:left="1134" w:right="1134"/>
        <w:jc w:val="both"/>
        <w:rPr>
          <w:i/>
          <w:iCs/>
        </w:rPr>
      </w:pPr>
      <w:r w:rsidRPr="000D37DC">
        <w:t xml:space="preserve">The Arab population, including the Druze population and the Circassian population in the </w:t>
      </w:r>
      <w:r w:rsidR="00AA1E1E" w:rsidRPr="000D37DC">
        <w:t>state</w:t>
      </w:r>
      <w:r w:rsidRPr="000D37DC">
        <w:t>, although it constitutes almost one-fifth of the state</w:t>
      </w:r>
      <w:r w:rsidR="00AA1E1E" w:rsidRPr="000D37DC">
        <w:t>’s</w:t>
      </w:r>
      <w:r w:rsidRPr="000D37DC">
        <w:t xml:space="preserve"> population, is represented in the civil service only at a rate of about 5% of all civil servants</w:t>
      </w:r>
      <w:r w:rsidR="00AA1E1E" w:rsidRPr="000D37DC">
        <w:t>,</w:t>
      </w:r>
      <w:r w:rsidRPr="000D37DC">
        <w:t xml:space="preserve"> and </w:t>
      </w:r>
      <w:r w:rsidR="00AA1E1E" w:rsidRPr="000D37DC">
        <w:t xml:space="preserve">amongst </w:t>
      </w:r>
      <w:r w:rsidRPr="000D37DC">
        <w:t xml:space="preserve">senior civil servants, </w:t>
      </w:r>
      <w:r w:rsidR="00AA1E1E" w:rsidRPr="000D37DC">
        <w:t xml:space="preserve">the rate is </w:t>
      </w:r>
      <w:r w:rsidRPr="000D37DC">
        <w:t>even lower.</w:t>
      </w:r>
    </w:p>
    <w:p w14:paraId="5FD49819" w14:textId="1ECF76A7" w:rsidR="006443BE" w:rsidRPr="003215C5" w:rsidRDefault="004B6223" w:rsidP="00286484">
      <w:pPr>
        <w:spacing w:line="360" w:lineRule="auto"/>
        <w:ind w:firstLine="720"/>
        <w:jc w:val="both"/>
      </w:pPr>
      <w:r w:rsidRPr="00F92729">
        <w:t>Usually,</w:t>
      </w:r>
      <w:r w:rsidR="006443BE" w:rsidRPr="00F92729">
        <w:t xml:space="preserve"> people who tend to adopt </w:t>
      </w:r>
      <w:r w:rsidR="00F92729">
        <w:t>m</w:t>
      </w:r>
      <w:r w:rsidR="00F92729" w:rsidRPr="00F92729">
        <w:t xml:space="preserve">erit </w:t>
      </w:r>
      <w:r w:rsidR="006443BE" w:rsidRPr="00F92729">
        <w:t xml:space="preserve">principles and </w:t>
      </w:r>
      <w:r w:rsidR="00F92729">
        <w:t xml:space="preserve">who </w:t>
      </w:r>
      <w:r w:rsidR="006443BE" w:rsidRPr="00F92729">
        <w:t xml:space="preserve">believe that results should be </w:t>
      </w:r>
      <w:r w:rsidR="005E2D0A">
        <w:t>awarded</w:t>
      </w:r>
      <w:r w:rsidR="006443BE" w:rsidRPr="00F92729">
        <w:t xml:space="preserve"> to the most deserving, oppose a policy of affirmative action that violates or </w:t>
      </w:r>
      <w:r w:rsidR="00F92729">
        <w:t xml:space="preserve">infringes </w:t>
      </w:r>
      <w:r w:rsidR="00F92729" w:rsidRPr="00F92729">
        <w:t xml:space="preserve">the </w:t>
      </w:r>
      <w:r w:rsidR="005E2D0A">
        <w:t>m</w:t>
      </w:r>
      <w:r w:rsidR="005E2D0A" w:rsidRPr="00F92729">
        <w:t xml:space="preserve">erit </w:t>
      </w:r>
      <w:r w:rsidR="00F92729" w:rsidRPr="00F92729">
        <w:t xml:space="preserve">principle </w:t>
      </w:r>
      <w:r w:rsidR="006443BE" w:rsidRPr="00F92729">
        <w:t xml:space="preserve">in any way. But how should affirmative action be </w:t>
      </w:r>
      <w:r w:rsidR="00F92729">
        <w:t xml:space="preserve">viewed in light </w:t>
      </w:r>
      <w:r w:rsidR="006443BE" w:rsidRPr="00F92729">
        <w:t xml:space="preserve">of existing discrimination rather than </w:t>
      </w:r>
      <w:r w:rsidR="00F92729">
        <w:t xml:space="preserve">corrective </w:t>
      </w:r>
      <w:r w:rsidR="006443BE" w:rsidRPr="00F92729">
        <w:t>justice emphasis</w:t>
      </w:r>
      <w:r w:rsidR="00F92729">
        <w:t xml:space="preserve">ing </w:t>
      </w:r>
      <w:r w:rsidR="006443BE" w:rsidRPr="00F92729">
        <w:t xml:space="preserve">historical injustice? It seems that the same </w:t>
      </w:r>
      <w:r w:rsidR="00F92729" w:rsidRPr="00F92729">
        <w:t xml:space="preserve">supporters </w:t>
      </w:r>
      <w:r w:rsidR="00F92729">
        <w:t>of m</w:t>
      </w:r>
      <w:r w:rsidR="007810EF" w:rsidRPr="00F92729">
        <w:t>erit</w:t>
      </w:r>
      <w:r w:rsidR="006443BE" w:rsidRPr="00F92729">
        <w:t xml:space="preserve"> will express support for eradicating discrimination on the grounds that discrimination </w:t>
      </w:r>
      <w:r w:rsidR="00F92729">
        <w:t xml:space="preserve">distorts </w:t>
      </w:r>
      <w:r w:rsidR="006443BE" w:rsidRPr="00F92729">
        <w:t xml:space="preserve">assessment of talent, and </w:t>
      </w:r>
      <w:r w:rsidR="005E2D0A">
        <w:t xml:space="preserve">recruitment using </w:t>
      </w:r>
      <w:r w:rsidR="00F92729">
        <w:t xml:space="preserve">methods that </w:t>
      </w:r>
      <w:r w:rsidR="00F92729" w:rsidRPr="00F92729">
        <w:t xml:space="preserve">bypass </w:t>
      </w:r>
      <w:r w:rsidR="006443BE" w:rsidRPr="00F92729">
        <w:t>tender</w:t>
      </w:r>
      <w:r w:rsidR="00F92729">
        <w:t xml:space="preserve">s </w:t>
      </w:r>
      <w:r w:rsidR="006443BE" w:rsidRPr="00F92729">
        <w:t xml:space="preserve">harms the purity of </w:t>
      </w:r>
      <w:r w:rsidR="00F92729">
        <w:t xml:space="preserve">the civil </w:t>
      </w:r>
      <w:r w:rsidR="006443BE" w:rsidRPr="00F92729">
        <w:t>service</w:t>
      </w:r>
      <w:r w:rsidR="00F92729">
        <w:t>,</w:t>
      </w:r>
      <w:r w:rsidR="006443BE" w:rsidRPr="00F92729">
        <w:t xml:space="preserve"> and </w:t>
      </w:r>
      <w:r w:rsidR="00BC02B9">
        <w:t xml:space="preserve">undermines </w:t>
      </w:r>
      <w:r w:rsidR="006443BE" w:rsidRPr="00F92729">
        <w:t xml:space="preserve">the success of affirmative action. </w:t>
      </w:r>
      <w:r w:rsidR="009029B9">
        <w:t>These methods include a</w:t>
      </w:r>
      <w:r w:rsidR="006443BE" w:rsidRPr="00F92729">
        <w:t xml:space="preserve">ny tender that deviates from the </w:t>
      </w:r>
      <w:r w:rsidR="005E2D0A">
        <w:t xml:space="preserve">ordinary, </w:t>
      </w:r>
      <w:r w:rsidR="00F92729">
        <w:t xml:space="preserve">facilitates </w:t>
      </w:r>
      <w:r w:rsidR="006443BE" w:rsidRPr="00F92729">
        <w:t xml:space="preserve">an </w:t>
      </w:r>
      <w:r w:rsidR="00F92729">
        <w:t xml:space="preserve">unprofessional </w:t>
      </w:r>
      <w:r w:rsidR="006443BE" w:rsidRPr="00F92729">
        <w:t>appointment</w:t>
      </w:r>
      <w:r w:rsidR="00F92729">
        <w:t>,</w:t>
      </w:r>
      <w:r w:rsidR="006443BE" w:rsidRPr="00F92729">
        <w:t xml:space="preserve"> and further excludes the </w:t>
      </w:r>
      <w:r w:rsidR="005E2D0A" w:rsidRPr="00F92729">
        <w:t xml:space="preserve">underrepresented </w:t>
      </w:r>
      <w:r w:rsidR="006443BE" w:rsidRPr="00F92729">
        <w:t xml:space="preserve">populations, when </w:t>
      </w:r>
      <w:r w:rsidR="00F92729">
        <w:t xml:space="preserve">from the outset </w:t>
      </w:r>
      <w:r w:rsidR="006443BE" w:rsidRPr="00F92729">
        <w:t xml:space="preserve">they are denied the right to compete for the position. Worse, it seems that section 15A(c) of the Appointments Act, which </w:t>
      </w:r>
      <w:r w:rsidR="00F92729">
        <w:t xml:space="preserve">prescribes </w:t>
      </w:r>
      <w:r w:rsidR="006443BE" w:rsidRPr="00F92729">
        <w:t>a</w:t>
      </w:r>
      <w:r w:rsidR="00F92729">
        <w:t xml:space="preserve"> duty </w:t>
      </w:r>
      <w:r w:rsidR="006443BE" w:rsidRPr="00F92729">
        <w:t xml:space="preserve">of adequate representation in all means of appointment, including by way of tender or </w:t>
      </w:r>
      <w:r w:rsidR="00F92729">
        <w:t>otherwise</w:t>
      </w:r>
      <w:r w:rsidR="006443BE" w:rsidRPr="00F92729">
        <w:t xml:space="preserve">, will not succeed in correcting the </w:t>
      </w:r>
      <w:r w:rsidR="006443BE" w:rsidRPr="00F92729">
        <w:lastRenderedPageBreak/>
        <w:t>distortion.</w:t>
      </w:r>
      <w:r w:rsidR="0073529C" w:rsidRPr="00F92729">
        <w:rPr>
          <w:rStyle w:val="FootnoteReference"/>
        </w:rPr>
        <w:footnoteReference w:id="309"/>
      </w:r>
      <w:r w:rsidR="006443BE" w:rsidRPr="00F92729">
        <w:t xml:space="preserve"> The </w:t>
      </w:r>
      <w:r w:rsidR="00F92729">
        <w:t>A</w:t>
      </w:r>
      <w:r w:rsidR="006443BE" w:rsidRPr="00F92729">
        <w:t xml:space="preserve">mendment made by the legislature </w:t>
      </w:r>
      <w:r w:rsidR="00F92729">
        <w:t xml:space="preserve">once </w:t>
      </w:r>
      <w:r w:rsidR="006443BE" w:rsidRPr="00F92729">
        <w:t xml:space="preserve">again links the duty of adequate representation to </w:t>
      </w:r>
      <w:r w:rsidR="00F92729">
        <w:t>m</w:t>
      </w:r>
      <w:r w:rsidR="007810EF" w:rsidRPr="00F92729">
        <w:t>erit</w:t>
      </w:r>
      <w:r w:rsidR="006443BE" w:rsidRPr="00F92729">
        <w:t xml:space="preserve"> assessments. Thus, </w:t>
      </w:r>
      <w:r w:rsidR="00F92729">
        <w:t>S</w:t>
      </w:r>
      <w:r w:rsidR="006443BE" w:rsidRPr="00F92729">
        <w:t>ection</w:t>
      </w:r>
      <w:r w:rsidR="00F92729">
        <w:t xml:space="preserve"> </w:t>
      </w:r>
      <w:r w:rsidR="006443BE" w:rsidRPr="00F92729">
        <w:t xml:space="preserve">15A(b)(2) and </w:t>
      </w:r>
      <w:r w:rsidR="00F92729">
        <w:t>S</w:t>
      </w:r>
      <w:r w:rsidR="006443BE" w:rsidRPr="00F92729">
        <w:t xml:space="preserve">ubsection (3) require </w:t>
      </w:r>
      <w:r w:rsidR="005E2D0A">
        <w:t>implementation of</w:t>
      </w:r>
      <w:r w:rsidR="006443BE" w:rsidRPr="00F92729">
        <w:t xml:space="preserve"> </w:t>
      </w:r>
      <w:r w:rsidR="00F92729">
        <w:t xml:space="preserve">adequate representation </w:t>
      </w:r>
      <w:r w:rsidR="006443BE" w:rsidRPr="00F92729">
        <w:t>only from among</w:t>
      </w:r>
      <w:r w:rsidR="00F92729">
        <w:t>st</w:t>
      </w:r>
      <w:r w:rsidR="006443BE" w:rsidRPr="00F92729">
        <w:t xml:space="preserve"> the group of </w:t>
      </w:r>
      <w:r w:rsidR="00F92729" w:rsidRPr="00F92729">
        <w:t xml:space="preserve">candidates </w:t>
      </w:r>
      <w:r w:rsidR="005E2D0A">
        <w:t xml:space="preserve">who are </w:t>
      </w:r>
      <w:r w:rsidR="006443BE" w:rsidRPr="00F92729">
        <w:t>eligible for the position. But the legislature failed</w:t>
      </w:r>
      <w:r w:rsidR="005E2D0A">
        <w:t>,</w:t>
      </w:r>
      <w:r w:rsidR="006443BE" w:rsidRPr="00F92729">
        <w:t xml:space="preserve"> because it did not address the </w:t>
      </w:r>
      <w:r w:rsidR="009029B9">
        <w:t>reality</w:t>
      </w:r>
      <w:r w:rsidR="006443BE" w:rsidRPr="00F92729">
        <w:t xml:space="preserve"> that </w:t>
      </w:r>
      <w:r w:rsidR="00F92729">
        <w:t>m</w:t>
      </w:r>
      <w:r w:rsidR="007810EF" w:rsidRPr="00F92729">
        <w:t>erit</w:t>
      </w:r>
      <w:r w:rsidR="006443BE" w:rsidRPr="00F92729">
        <w:t xml:space="preserve"> assessments do not always take place, and in their absence, according to the </w:t>
      </w:r>
      <w:r w:rsidR="00F92729">
        <w:t xml:space="preserve">letter </w:t>
      </w:r>
      <w:r w:rsidR="006443BE" w:rsidRPr="00F92729">
        <w:t xml:space="preserve">of the law, there is no legal </w:t>
      </w:r>
      <w:r w:rsidR="00F92729">
        <w:t xml:space="preserve">duty of </w:t>
      </w:r>
      <w:r w:rsidR="006443BE" w:rsidRPr="00F92729">
        <w:t xml:space="preserve">adequate representation. Therefore, the problem lies not only, if at all, in the development of the legal doctrine of affirmative action, but in the appointment procedures in the </w:t>
      </w:r>
      <w:r w:rsidR="00F92729">
        <w:t xml:space="preserve">civil </w:t>
      </w:r>
      <w:r w:rsidR="006443BE" w:rsidRPr="00F92729">
        <w:t>service</w:t>
      </w:r>
      <w:r w:rsidR="005E2D0A">
        <w:t>,</w:t>
      </w:r>
      <w:r w:rsidR="006443BE" w:rsidRPr="00F92729">
        <w:t xml:space="preserve"> which are</w:t>
      </w:r>
      <w:r w:rsidR="00F92729">
        <w:t>,</w:t>
      </w:r>
      <w:r w:rsidR="006443BE" w:rsidRPr="00F92729">
        <w:t xml:space="preserve"> for the most part</w:t>
      </w:r>
      <w:r w:rsidR="00F92729">
        <w:t>,</w:t>
      </w:r>
      <w:r w:rsidR="006443BE" w:rsidRPr="00F92729">
        <w:t xml:space="preserve"> biased appointments that deviate from the original principle</w:t>
      </w:r>
      <w:r w:rsidR="009029B9">
        <w:t>—</w:t>
      </w:r>
      <w:r w:rsidR="006443BE" w:rsidRPr="00F92729">
        <w:t xml:space="preserve">the </w:t>
      </w:r>
      <w:r w:rsidR="007810EF" w:rsidRPr="00F92729">
        <w:t>merit</w:t>
      </w:r>
      <w:r w:rsidR="006443BE" w:rsidRPr="00F92729">
        <w:t xml:space="preserve">ocratic principle. Without adhering to proper appointment procedures, we will not reach the </w:t>
      </w:r>
      <w:r w:rsidR="002315CD">
        <w:t xml:space="preserve">state necessary </w:t>
      </w:r>
      <w:r w:rsidR="006443BE" w:rsidRPr="00F92729">
        <w:t xml:space="preserve">to </w:t>
      </w:r>
      <w:r w:rsidR="009029B9">
        <w:t>achieve</w:t>
      </w:r>
      <w:r w:rsidR="006443BE" w:rsidRPr="00F92729">
        <w:t xml:space="preserve"> the affirmative action norm, which exists only in an appointment procedure based on an examination of the candidate</w:t>
      </w:r>
      <w:r w:rsidR="008578D4" w:rsidRPr="00F92729">
        <w:t>’</w:t>
      </w:r>
      <w:r w:rsidR="006443BE" w:rsidRPr="00F92729">
        <w:t xml:space="preserve">s qualifications. The discussions about the scope of </w:t>
      </w:r>
      <w:r w:rsidR="002315CD">
        <w:t>adequate representation</w:t>
      </w:r>
      <w:r w:rsidR="006443BE" w:rsidRPr="00F92729">
        <w:t>, its quality</w:t>
      </w:r>
      <w:r w:rsidR="002315CD">
        <w:t>,</w:t>
      </w:r>
      <w:r w:rsidR="006443BE" w:rsidRPr="00F92729">
        <w:t xml:space="preserve"> and the way it is implemented are </w:t>
      </w:r>
      <w:r w:rsidR="002315CD">
        <w:t xml:space="preserve">all </w:t>
      </w:r>
      <w:r w:rsidR="006443BE" w:rsidRPr="00F92729">
        <w:t xml:space="preserve">important, but they cannot take place </w:t>
      </w:r>
      <w:r w:rsidR="00D0687B">
        <w:t>i</w:t>
      </w:r>
      <w:r w:rsidR="006443BE" w:rsidRPr="00F92729">
        <w:t xml:space="preserve">n </w:t>
      </w:r>
      <w:r w:rsidR="00D0687B">
        <w:t>a vacuum</w:t>
      </w:r>
      <w:r w:rsidR="002315CD">
        <w:t>,</w:t>
      </w:r>
      <w:r w:rsidR="006443BE" w:rsidRPr="00F92729">
        <w:t xml:space="preserve"> and </w:t>
      </w:r>
      <w:r w:rsidR="002315CD">
        <w:t xml:space="preserve">may </w:t>
      </w:r>
      <w:r w:rsidR="006443BE" w:rsidRPr="00F92729">
        <w:t xml:space="preserve">sometimes divert the discussion from one of the main barriers to the success of an </w:t>
      </w:r>
      <w:r w:rsidR="001951EA" w:rsidRPr="00F92729">
        <w:t>affirmative action program</w:t>
      </w:r>
      <w:r w:rsidR="009029B9">
        <w:t>—</w:t>
      </w:r>
      <w:r w:rsidR="006443BE" w:rsidRPr="00F92729">
        <w:t xml:space="preserve">the appointment process. It is important to understand that the insistence on </w:t>
      </w:r>
      <w:r w:rsidR="002315CD">
        <w:t>m</w:t>
      </w:r>
      <w:r w:rsidR="002315CD" w:rsidRPr="00F92729">
        <w:t xml:space="preserve">erit </w:t>
      </w:r>
      <w:r w:rsidR="006443BE" w:rsidRPr="00F92729">
        <w:t xml:space="preserve">values is necessary and </w:t>
      </w:r>
      <w:r w:rsidR="002315CD">
        <w:t xml:space="preserve">is </w:t>
      </w:r>
      <w:r w:rsidR="006443BE" w:rsidRPr="00F92729">
        <w:t>not subject, at least at this stage, to a discussion of its advantages or disadvantages</w:t>
      </w:r>
      <w:r w:rsidR="00D0687B">
        <w:t>.</w:t>
      </w:r>
      <w:r w:rsidR="006443BE" w:rsidRPr="00F92729">
        <w:t xml:space="preserve"> </w:t>
      </w:r>
      <w:r w:rsidR="00D0687B">
        <w:t>W</w:t>
      </w:r>
      <w:r w:rsidR="006443BE" w:rsidRPr="00F92729">
        <w:t>hy</w:t>
      </w:r>
      <w:r w:rsidR="00D0687B">
        <w:t xml:space="preserve"> is that</w:t>
      </w:r>
      <w:r w:rsidR="006443BE" w:rsidRPr="00F92729">
        <w:t xml:space="preserve">? Because the State of Israel has chosen the </w:t>
      </w:r>
      <w:r w:rsidR="007810EF" w:rsidRPr="00F92729">
        <w:t>merit</w:t>
      </w:r>
      <w:r w:rsidR="006443BE" w:rsidRPr="00F92729">
        <w:t xml:space="preserve">ocracy model, </w:t>
      </w:r>
      <w:r w:rsidR="002315CD">
        <w:t xml:space="preserve">and thus, </w:t>
      </w:r>
      <w:r w:rsidR="006443BE" w:rsidRPr="00F92729">
        <w:t>it is important to examine how, if at all, the model allows for the existence of affirmative action</w:t>
      </w:r>
      <w:r w:rsidR="002315CD">
        <w:t xml:space="preserve"> </w:t>
      </w:r>
      <w:r w:rsidR="006443BE" w:rsidRPr="00F92729">
        <w:t xml:space="preserve">in its current form. </w:t>
      </w:r>
      <w:r w:rsidR="00D0687B">
        <w:t>Ostensibly</w:t>
      </w:r>
      <w:r w:rsidR="006443BE" w:rsidRPr="00F92729">
        <w:t>, the legislature has created a legal structure that seeks to maintain a policy of affirmative action</w:t>
      </w:r>
      <w:r w:rsidR="002315CD">
        <w:t>,</w:t>
      </w:r>
      <w:r w:rsidR="006443BE" w:rsidRPr="00F92729">
        <w:t xml:space="preserve"> and a </w:t>
      </w:r>
      <w:r w:rsidR="007810EF" w:rsidRPr="00F92729">
        <w:t>merit</w:t>
      </w:r>
      <w:r w:rsidR="006443BE" w:rsidRPr="00F92729">
        <w:t>ocratic method of appointment to the civil service. This structure never worked. From the moment the Appointment</w:t>
      </w:r>
      <w:r w:rsidR="002315CD">
        <w:t xml:space="preserve"> </w:t>
      </w:r>
      <w:r w:rsidR="002315CD" w:rsidRPr="00F92729">
        <w:t xml:space="preserve">Act </w:t>
      </w:r>
      <w:r w:rsidR="006443BE" w:rsidRPr="00F92729">
        <w:t xml:space="preserve">was enacted, the erosion of the </w:t>
      </w:r>
      <w:r w:rsidR="007810EF" w:rsidRPr="00F92729">
        <w:t>merit</w:t>
      </w:r>
      <w:r w:rsidR="006443BE" w:rsidRPr="00F92729">
        <w:t xml:space="preserve">ocratic model </w:t>
      </w:r>
      <w:r w:rsidR="00D0687B" w:rsidRPr="00F92729">
        <w:t xml:space="preserve">adopted </w:t>
      </w:r>
      <w:r w:rsidR="009029B9">
        <w:t>began</w:t>
      </w:r>
      <w:r w:rsidR="006443BE" w:rsidRPr="00F92729">
        <w:t xml:space="preserve">. </w:t>
      </w:r>
      <w:r w:rsidR="002315CD">
        <w:t xml:space="preserve">Moreover, </w:t>
      </w:r>
      <w:r w:rsidR="006443BE" w:rsidRPr="00F92729">
        <w:t xml:space="preserve">quantitative studies published by the Civil Service Commission show that </w:t>
      </w:r>
      <w:r w:rsidR="002315CD">
        <w:t xml:space="preserve">the </w:t>
      </w:r>
      <w:r w:rsidR="006443BE" w:rsidRPr="00F92729">
        <w:t>attempt to maintain a model of affirmative action under the provisions of the Appointment</w:t>
      </w:r>
      <w:r w:rsidR="002315CD">
        <w:t xml:space="preserve"> </w:t>
      </w:r>
      <w:r w:rsidR="006443BE" w:rsidRPr="00F92729">
        <w:t>Act does not allow for adequate representation, due</w:t>
      </w:r>
      <w:r w:rsidR="009029B9">
        <w:t>,</w:t>
      </w:r>
      <w:r w:rsidR="006443BE" w:rsidRPr="00F92729">
        <w:t xml:space="preserve"> </w:t>
      </w:r>
      <w:r w:rsidR="009029B9" w:rsidRPr="000D37DC">
        <w:t>inter alia</w:t>
      </w:r>
      <w:r w:rsidR="009029B9">
        <w:rPr>
          <w:i/>
          <w:iCs/>
        </w:rPr>
        <w:t>,</w:t>
      </w:r>
      <w:r w:rsidR="009029B9" w:rsidRPr="00F92729">
        <w:t xml:space="preserve"> </w:t>
      </w:r>
      <w:r w:rsidR="006443BE" w:rsidRPr="00F92729">
        <w:t xml:space="preserve">to deviation from the </w:t>
      </w:r>
      <w:r w:rsidR="007810EF" w:rsidRPr="00F92729">
        <w:t>merit</w:t>
      </w:r>
      <w:r w:rsidR="006443BE" w:rsidRPr="00F92729">
        <w:t xml:space="preserve">ocratic model and erosion of the </w:t>
      </w:r>
      <w:r w:rsidR="002315CD">
        <w:t xml:space="preserve">duty </w:t>
      </w:r>
      <w:r w:rsidR="006443BE" w:rsidRPr="00F92729">
        <w:t>to hold a tender.</w:t>
      </w:r>
    </w:p>
    <w:p w14:paraId="452A548C" w14:textId="0EBA046C" w:rsidR="006443BE" w:rsidRPr="003215C5" w:rsidRDefault="006443BE" w:rsidP="00286484">
      <w:pPr>
        <w:spacing w:line="360" w:lineRule="auto"/>
        <w:ind w:firstLine="720"/>
        <w:jc w:val="both"/>
      </w:pPr>
      <w:r w:rsidRPr="003215C5">
        <w:t>Following the Prime Minister</w:t>
      </w:r>
      <w:r w:rsidR="008578D4" w:rsidRPr="003215C5">
        <w:t>’</w:t>
      </w:r>
      <w:r w:rsidRPr="003215C5">
        <w:t xml:space="preserve">s letter of appointment dated </w:t>
      </w:r>
      <w:r w:rsidR="002315CD">
        <w:t xml:space="preserve">August </w:t>
      </w:r>
      <w:r w:rsidRPr="003215C5">
        <w:t>10</w:t>
      </w:r>
      <w:r w:rsidR="002315CD">
        <w:t xml:space="preserve">, </w:t>
      </w:r>
      <w:r w:rsidRPr="003215C5">
        <w:t xml:space="preserve">2011, Prof. Manuel Trachtenberg submitted a report of a </w:t>
      </w:r>
      <w:r w:rsidR="002315CD">
        <w:t>C</w:t>
      </w:r>
      <w:r w:rsidRPr="003215C5">
        <w:t xml:space="preserve">ommittee for </w:t>
      </w:r>
      <w:r w:rsidR="002315CD" w:rsidRPr="003215C5">
        <w:t xml:space="preserve">Socio-Economic Change </w:t>
      </w:r>
      <w:r w:rsidRPr="003215C5">
        <w:t xml:space="preserve">(hereinafter: the </w:t>
      </w:r>
      <w:r w:rsidR="002315CD">
        <w:t>“</w:t>
      </w:r>
      <w:r w:rsidRPr="002315CD">
        <w:rPr>
          <w:b/>
          <w:bCs/>
        </w:rPr>
        <w:t>Committee</w:t>
      </w:r>
      <w:r w:rsidR="002315CD">
        <w:t>”</w:t>
      </w:r>
      <w:r w:rsidRPr="003215C5">
        <w:t xml:space="preserve">), on </w:t>
      </w:r>
      <w:r w:rsidR="0073529C" w:rsidRPr="003215C5">
        <w:t xml:space="preserve">August </w:t>
      </w:r>
      <w:r w:rsidRPr="003215C5">
        <w:t>26</w:t>
      </w:r>
      <w:r w:rsidR="0073529C" w:rsidRPr="003215C5">
        <w:t xml:space="preserve">, </w:t>
      </w:r>
      <w:r w:rsidRPr="003215C5">
        <w:t>2011,</w:t>
      </w:r>
      <w:r w:rsidR="0073529C" w:rsidRPr="003215C5">
        <w:rPr>
          <w:rStyle w:val="FootnoteReference"/>
        </w:rPr>
        <w:footnoteReference w:id="310"/>
      </w:r>
      <w:r w:rsidRPr="003215C5">
        <w:t xml:space="preserve"> </w:t>
      </w:r>
      <w:r w:rsidR="00BB3817" w:rsidRPr="003215C5">
        <w:t>which</w:t>
      </w:r>
      <w:r w:rsidR="00BB3817">
        <w:t xml:space="preserve">, </w:t>
      </w:r>
      <w:r w:rsidR="00BB3817" w:rsidRPr="009029B9">
        <w:t>inter</w:t>
      </w:r>
      <w:r w:rsidR="002315CD" w:rsidRPr="000D37DC">
        <w:t xml:space="preserve"> alia</w:t>
      </w:r>
      <w:r w:rsidR="002315CD" w:rsidRPr="009029B9">
        <w:t>,</w:t>
      </w:r>
      <w:r w:rsidRPr="003215C5">
        <w:t xml:space="preserve"> dealt with</w:t>
      </w:r>
      <w:r w:rsidR="002315CD">
        <w:t xml:space="preserve"> </w:t>
      </w:r>
      <w:r w:rsidRPr="003215C5">
        <w:t xml:space="preserve">failures in the public sector and encouraging ultra-Orthodox employment. The </w:t>
      </w:r>
      <w:r w:rsidR="002315CD">
        <w:t>C</w:t>
      </w:r>
      <w:r w:rsidRPr="003215C5">
        <w:t>ommittee pointed out that the civil service in Israel lags behind new trends in public administration</w:t>
      </w:r>
      <w:r w:rsidR="002315CD">
        <w:t>,</w:t>
      </w:r>
      <w:r w:rsidR="0073529C" w:rsidRPr="003215C5">
        <w:rPr>
          <w:rStyle w:val="FootnoteReference"/>
        </w:rPr>
        <w:footnoteReference w:id="311"/>
      </w:r>
      <w:r w:rsidRPr="003215C5">
        <w:t xml:space="preserve"> and that efforts must be made to adapt the manpower </w:t>
      </w:r>
      <w:r w:rsidRPr="003215C5">
        <w:lastRenderedPageBreak/>
        <w:t xml:space="preserve">management system in the public service to strengthen compliance with service objectives, </w:t>
      </w:r>
      <w:r w:rsidR="009029B9">
        <w:t xml:space="preserve">and </w:t>
      </w:r>
      <w:r w:rsidRPr="003215C5">
        <w:t>maintain its values, moral purity, integrity</w:t>
      </w:r>
      <w:r w:rsidR="002315CD">
        <w:t>,</w:t>
      </w:r>
      <w:r w:rsidRPr="003215C5">
        <w:t xml:space="preserve"> and transparency. The </w:t>
      </w:r>
      <w:r w:rsidR="002315CD">
        <w:t>C</w:t>
      </w:r>
      <w:r w:rsidRPr="003215C5">
        <w:t xml:space="preserve">ommittee </w:t>
      </w:r>
      <w:r w:rsidR="00D0687B">
        <w:t xml:space="preserve">recommended </w:t>
      </w:r>
      <w:r w:rsidR="00D0687B" w:rsidRPr="003215C5">
        <w:t>many structural changes</w:t>
      </w:r>
      <w:r w:rsidR="00D0687B">
        <w:t xml:space="preserve"> </w:t>
      </w:r>
      <w:r w:rsidR="00D0687B" w:rsidRPr="003215C5">
        <w:t>and the adoption of market</w:t>
      </w:r>
      <w:r w:rsidR="00D0687B">
        <w:t>-based</w:t>
      </w:r>
      <w:r w:rsidR="00D0687B" w:rsidRPr="003215C5">
        <w:t xml:space="preserve"> norms</w:t>
      </w:r>
      <w:r w:rsidR="00D0687B">
        <w:t>,</w:t>
      </w:r>
      <w:r w:rsidR="00D0687B" w:rsidRPr="003215C5">
        <w:t xml:space="preserve"> </w:t>
      </w:r>
      <w:r w:rsidR="00D0687B">
        <w:t xml:space="preserve">which </w:t>
      </w:r>
      <w:r w:rsidRPr="003215C5">
        <w:t>present</w:t>
      </w:r>
      <w:r w:rsidR="002315CD">
        <w:t>ed</w:t>
      </w:r>
      <w:r w:rsidRPr="003215C5">
        <w:t xml:space="preserve"> the civil service with significant challenge</w:t>
      </w:r>
      <w:r w:rsidR="00D0687B">
        <w:t>s</w:t>
      </w:r>
      <w:r w:rsidRPr="003215C5">
        <w:t xml:space="preserve">. The </w:t>
      </w:r>
      <w:r w:rsidR="002315CD">
        <w:t>C</w:t>
      </w:r>
      <w:r w:rsidRPr="003215C5">
        <w:t>ommittee reinforce</w:t>
      </w:r>
      <w:r w:rsidR="002315CD">
        <w:t>d</w:t>
      </w:r>
      <w:r w:rsidRPr="003215C5">
        <w:t xml:space="preserve"> the importance of the Commission</w:t>
      </w:r>
      <w:r w:rsidR="008578D4" w:rsidRPr="003215C5">
        <w:t>’</w:t>
      </w:r>
      <w:r w:rsidRPr="003215C5">
        <w:t xml:space="preserve">s place as a body </w:t>
      </w:r>
      <w:r w:rsidR="002315CD">
        <w:t xml:space="preserve">that </w:t>
      </w:r>
      <w:r w:rsidRPr="003215C5">
        <w:t>set</w:t>
      </w:r>
      <w:r w:rsidR="002315CD">
        <w:t xml:space="preserve">s </w:t>
      </w:r>
      <w:r w:rsidRPr="003215C5">
        <w:t>policy</w:t>
      </w:r>
      <w:r w:rsidR="002315CD">
        <w:t>,</w:t>
      </w:r>
      <w:r w:rsidRPr="003215C5">
        <w:t xml:space="preserve"> and enables the transfer of some aspects of the </w:t>
      </w:r>
      <w:r w:rsidR="002315CD">
        <w:t xml:space="preserve">implementation </w:t>
      </w:r>
      <w:r w:rsidRPr="003215C5">
        <w:t>to the ministries, ensuring th</w:t>
      </w:r>
      <w:r w:rsidR="002315CD">
        <w:t xml:space="preserve">at </w:t>
      </w:r>
      <w:r w:rsidRPr="003215C5">
        <w:t xml:space="preserve">success </w:t>
      </w:r>
      <w:r w:rsidR="00E37A1A">
        <w:t xml:space="preserve">metrics </w:t>
      </w:r>
      <w:r w:rsidR="002315CD">
        <w:t xml:space="preserve">are </w:t>
      </w:r>
      <w:r w:rsidR="00E37A1A">
        <w:t>put in place</w:t>
      </w:r>
      <w:r w:rsidR="002315CD">
        <w:t xml:space="preserve">, </w:t>
      </w:r>
      <w:r w:rsidR="00E37A1A">
        <w:t xml:space="preserve">as well as </w:t>
      </w:r>
      <w:r w:rsidR="00BF7328">
        <w:t xml:space="preserve">the </w:t>
      </w:r>
      <w:r w:rsidR="00D0687B" w:rsidRPr="003215C5">
        <w:t>Commission</w:t>
      </w:r>
      <w:r w:rsidR="00BF7328">
        <w:t>’s</w:t>
      </w:r>
      <w:r w:rsidR="00D0687B" w:rsidRPr="003215C5">
        <w:t xml:space="preserve"> </w:t>
      </w:r>
      <w:r w:rsidR="00E37A1A" w:rsidRPr="003215C5">
        <w:t>supervision and control mechanism</w:t>
      </w:r>
      <w:r w:rsidRPr="003215C5">
        <w:t xml:space="preserve">. In this way, the </w:t>
      </w:r>
      <w:r w:rsidR="00E37A1A">
        <w:t>C</w:t>
      </w:r>
      <w:r w:rsidRPr="003215C5">
        <w:t>ommittee enable</w:t>
      </w:r>
      <w:r w:rsidR="00E37A1A">
        <w:t>d</w:t>
      </w:r>
      <w:r w:rsidRPr="003215C5">
        <w:t xml:space="preserve"> the delegation of authority from the Commission to the ministries</w:t>
      </w:r>
      <w:r w:rsidR="00E37A1A">
        <w:t>,</w:t>
      </w:r>
      <w:r w:rsidRPr="003215C5">
        <w:t xml:space="preserve"> to be done in a responsible manner that maintains a supervisory mechanism </w:t>
      </w:r>
      <w:r w:rsidR="00D0687B">
        <w:t xml:space="preserve">as well as </w:t>
      </w:r>
      <w:r w:rsidRPr="003215C5">
        <w:t xml:space="preserve">clear </w:t>
      </w:r>
      <w:r w:rsidR="00E37A1A">
        <w:t>targets</w:t>
      </w:r>
      <w:r w:rsidRPr="003215C5">
        <w:t>. The report also recommend</w:t>
      </w:r>
      <w:r w:rsidR="00E37A1A">
        <w:t xml:space="preserve">ed </w:t>
      </w:r>
      <w:r w:rsidRPr="003215C5">
        <w:t xml:space="preserve">reform of the </w:t>
      </w:r>
      <w:r w:rsidR="00D0687B">
        <w:t xml:space="preserve">recruitment process, to facilitate </w:t>
      </w:r>
      <w:r w:rsidRPr="003215C5">
        <w:t>recruitment of quality personnel</w:t>
      </w:r>
      <w:r w:rsidR="00D0687B">
        <w:t xml:space="preserve"> as well as </w:t>
      </w:r>
      <w:r w:rsidR="00E37A1A">
        <w:t>reward excellence.</w:t>
      </w:r>
      <w:r w:rsidRPr="003215C5">
        <w:t xml:space="preserve"> </w:t>
      </w:r>
      <w:r w:rsidR="00E37A1A">
        <w:t>T</w:t>
      </w:r>
      <w:r w:rsidR="00E37A1A" w:rsidRPr="003215C5">
        <w:t xml:space="preserve">he report </w:t>
      </w:r>
      <w:r w:rsidR="00E37A1A">
        <w:t xml:space="preserve">further </w:t>
      </w:r>
      <w:r w:rsidRPr="003215C5">
        <w:t>focuse</w:t>
      </w:r>
      <w:r w:rsidR="00D0687B">
        <w:t>d</w:t>
      </w:r>
      <w:r w:rsidR="00E37A1A">
        <w:t xml:space="preserve"> on </w:t>
      </w:r>
      <w:r w:rsidRPr="003215C5">
        <w:t>encouragement of ultra-Orthodox employment</w:t>
      </w:r>
      <w:r w:rsidR="0073529C" w:rsidRPr="003215C5">
        <w:rPr>
          <w:rStyle w:val="FootnoteReference"/>
        </w:rPr>
        <w:footnoteReference w:id="312"/>
      </w:r>
      <w:r w:rsidRPr="003215C5">
        <w:t xml:space="preserve"> in the </w:t>
      </w:r>
      <w:r w:rsidR="004B6223" w:rsidRPr="003215C5">
        <w:t>labour</w:t>
      </w:r>
      <w:r w:rsidRPr="003215C5">
        <w:t xml:space="preserve"> market in general.</w:t>
      </w:r>
    </w:p>
    <w:p w14:paraId="3529C836" w14:textId="629BFDDF" w:rsidR="006443BE" w:rsidRPr="003215C5" w:rsidRDefault="006443BE" w:rsidP="00286484">
      <w:pPr>
        <w:spacing w:line="360" w:lineRule="auto"/>
        <w:ind w:firstLine="720"/>
        <w:jc w:val="both"/>
      </w:pPr>
      <w:r w:rsidRPr="003215C5">
        <w:t xml:space="preserve">It is difficult for the ultra-Orthodox population to break </w:t>
      </w:r>
      <w:r w:rsidR="00E37A1A">
        <w:t xml:space="preserve">through </w:t>
      </w:r>
      <w:r w:rsidRPr="003215C5">
        <w:t>the barrier</w:t>
      </w:r>
      <w:r w:rsidR="00E37A1A">
        <w:t>s</w:t>
      </w:r>
      <w:r w:rsidRPr="003215C5">
        <w:t xml:space="preserve"> of entry into the </w:t>
      </w:r>
      <w:r w:rsidR="00E37A1A">
        <w:t xml:space="preserve">civil </w:t>
      </w:r>
      <w:r w:rsidRPr="003215C5">
        <w:t xml:space="preserve">service due in part to the threshold conditions that </w:t>
      </w:r>
      <w:r w:rsidR="004B6223" w:rsidRPr="003215C5">
        <w:t>favour</w:t>
      </w:r>
      <w:r w:rsidRPr="003215C5">
        <w:t xml:space="preserve"> secular or national religious candidates, </w:t>
      </w:r>
      <w:r w:rsidR="00D0687B" w:rsidRPr="003215C5">
        <w:t xml:space="preserve">academic </w:t>
      </w:r>
      <w:r w:rsidRPr="003215C5">
        <w:t>graduates</w:t>
      </w:r>
      <w:r w:rsidR="00E37A1A">
        <w:t>,</w:t>
      </w:r>
      <w:r w:rsidRPr="003215C5">
        <w:t xml:space="preserve"> and those with </w:t>
      </w:r>
      <w:r w:rsidR="00E37A1A" w:rsidRPr="003215C5">
        <w:t xml:space="preserve">training </w:t>
      </w:r>
      <w:r w:rsidR="00E37A1A">
        <w:t xml:space="preserve">in </w:t>
      </w:r>
      <w:r w:rsidRPr="003215C5">
        <w:t xml:space="preserve">English and mathematics, </w:t>
      </w:r>
      <w:r w:rsidR="00E37A1A">
        <w:t xml:space="preserve">notwithstanding that </w:t>
      </w:r>
      <w:r w:rsidRPr="003215C5">
        <w:t>there may be advantage</w:t>
      </w:r>
      <w:r w:rsidR="00E37A1A">
        <w:t>s</w:t>
      </w:r>
      <w:r w:rsidRPr="003215C5">
        <w:t xml:space="preserve"> that yeshiva graduates </w:t>
      </w:r>
      <w:r w:rsidR="00D0687B">
        <w:t xml:space="preserve">could </w:t>
      </w:r>
      <w:r w:rsidR="001122A1">
        <w:t>offer</w:t>
      </w:r>
      <w:r w:rsidRPr="003215C5">
        <w:t xml:space="preserve">. </w:t>
      </w:r>
      <w:r w:rsidR="00E37A1A">
        <w:t>T</w:t>
      </w:r>
      <w:r w:rsidRPr="003215C5">
        <w:t>o resolve this, adequate representation has the power to deal with both pre-market discrimination and pre-market failures. Over the years, a number of bills have been submitted seeking to recogni</w:t>
      </w:r>
      <w:r w:rsidR="00D0687B">
        <w:t>s</w:t>
      </w:r>
      <w:r w:rsidRPr="003215C5">
        <w:t xml:space="preserve">e the ultra-Orthodox </w:t>
      </w:r>
      <w:r w:rsidR="00E37A1A">
        <w:t xml:space="preserve">community </w:t>
      </w:r>
      <w:r w:rsidRPr="003215C5">
        <w:t xml:space="preserve">as a target population for statutory </w:t>
      </w:r>
      <w:r w:rsidR="00E37A1A">
        <w:t>adequate representation</w:t>
      </w:r>
      <w:r w:rsidRPr="003215C5">
        <w:t xml:space="preserve">, along with a certain increase in the employment rate of ultra-Orthodox men and women, mainly due to </w:t>
      </w:r>
      <w:r w:rsidR="00D0687B">
        <w:t xml:space="preserve">a desire to overcome </w:t>
      </w:r>
      <w:r w:rsidR="001122A1">
        <w:t>their</w:t>
      </w:r>
      <w:r w:rsidR="00D0687B">
        <w:t xml:space="preserve"> state of </w:t>
      </w:r>
      <w:r w:rsidRPr="003215C5">
        <w:t xml:space="preserve">poverty, and about half of those of working age </w:t>
      </w:r>
      <w:r w:rsidR="00E37A1A">
        <w:t xml:space="preserve">have </w:t>
      </w:r>
      <w:r w:rsidRPr="003215C5">
        <w:t xml:space="preserve">integrated into the </w:t>
      </w:r>
      <w:r w:rsidR="004B6223" w:rsidRPr="003215C5">
        <w:t>labour</w:t>
      </w:r>
      <w:r w:rsidRPr="003215C5">
        <w:t xml:space="preserve"> market.</w:t>
      </w:r>
      <w:r w:rsidR="0073529C" w:rsidRPr="003215C5">
        <w:rPr>
          <w:rStyle w:val="FootnoteReference"/>
        </w:rPr>
        <w:footnoteReference w:id="313"/>
      </w:r>
      <w:r w:rsidRPr="003215C5">
        <w:t xml:space="preserve"> Only in 2015 did the government </w:t>
      </w:r>
      <w:r w:rsidR="00E37A1A">
        <w:t xml:space="preserve">pass </w:t>
      </w:r>
      <w:r w:rsidRPr="003215C5">
        <w:t>a decision</w:t>
      </w:r>
      <w:r w:rsidR="0073529C" w:rsidRPr="003215C5">
        <w:rPr>
          <w:rStyle w:val="FootnoteReference"/>
        </w:rPr>
        <w:footnoteReference w:id="314"/>
      </w:r>
      <w:r w:rsidRPr="003215C5">
        <w:t xml:space="preserve"> to adopt the recommendations of the inter-ministerial </w:t>
      </w:r>
      <w:r w:rsidR="00E37A1A">
        <w:t xml:space="preserve">team </w:t>
      </w:r>
      <w:r w:rsidRPr="003215C5">
        <w:t>for the integration of the ultra-Orthodox population in the civil service, and offer exposure routes for jobs for the ultra-Orthodox population in appropriate channels. Even today, enabl</w:t>
      </w:r>
      <w:r w:rsidR="00D0687B">
        <w:t>ing</w:t>
      </w:r>
      <w:r w:rsidRPr="003215C5">
        <w:t xml:space="preserve"> </w:t>
      </w:r>
      <w:r w:rsidR="00E37A1A">
        <w:t xml:space="preserve">integration </w:t>
      </w:r>
      <w:r w:rsidRPr="003215C5">
        <w:t xml:space="preserve">of </w:t>
      </w:r>
      <w:r w:rsidR="00E37A1A">
        <w:t xml:space="preserve">adequate representation must be done </w:t>
      </w:r>
      <w:r w:rsidRPr="003215C5">
        <w:t xml:space="preserve">by way of dedicated tenders. These </w:t>
      </w:r>
      <w:r w:rsidR="001122A1">
        <w:t>including opening the way</w:t>
      </w:r>
      <w:r w:rsidRPr="003215C5">
        <w:t xml:space="preserve"> </w:t>
      </w:r>
      <w:r w:rsidR="00E37A1A">
        <w:t xml:space="preserve">for </w:t>
      </w:r>
      <w:r w:rsidRPr="003215C5">
        <w:t xml:space="preserve">low-level </w:t>
      </w:r>
      <w:r w:rsidR="00E37A1A">
        <w:t>positions</w:t>
      </w:r>
      <w:r w:rsidRPr="003215C5">
        <w:t xml:space="preserve">, </w:t>
      </w:r>
      <w:r w:rsidR="001122A1">
        <w:t xml:space="preserve">perhaps </w:t>
      </w:r>
      <w:r w:rsidRPr="003215C5">
        <w:t xml:space="preserve">even changing the </w:t>
      </w:r>
      <w:r w:rsidR="007810EF" w:rsidRPr="003215C5">
        <w:t>merit</w:t>
      </w:r>
      <w:r w:rsidRPr="003215C5">
        <w:t xml:space="preserve"> assessment and threshold conditions for these jobs</w:t>
      </w:r>
      <w:r w:rsidR="00E37A1A">
        <w:t>,</w:t>
      </w:r>
      <w:r w:rsidRPr="003215C5">
        <w:t xml:space="preserve"> </w:t>
      </w:r>
      <w:r w:rsidR="00E37A1A">
        <w:t xml:space="preserve">as </w:t>
      </w:r>
      <w:r w:rsidRPr="003215C5">
        <w:t xml:space="preserve">compared to </w:t>
      </w:r>
      <w:r w:rsidR="00E37A1A" w:rsidRPr="003215C5">
        <w:t xml:space="preserve">parallel </w:t>
      </w:r>
      <w:r w:rsidRPr="003215C5">
        <w:t xml:space="preserve">tenders </w:t>
      </w:r>
      <w:r w:rsidR="00E37A1A">
        <w:t xml:space="preserve">for </w:t>
      </w:r>
      <w:r w:rsidRPr="003215C5">
        <w:t xml:space="preserve">the same job </w:t>
      </w:r>
      <w:r w:rsidR="00E37A1A">
        <w:t xml:space="preserve">addressed </w:t>
      </w:r>
      <w:r w:rsidR="001122A1">
        <w:t>to</w:t>
      </w:r>
      <w:r w:rsidR="00E37A1A">
        <w:t xml:space="preserve"> the </w:t>
      </w:r>
      <w:r w:rsidRPr="003215C5">
        <w:t>general population.</w:t>
      </w:r>
    </w:p>
    <w:p w14:paraId="01C44EA4" w14:textId="704180D2" w:rsidR="006443BE" w:rsidRPr="003215C5" w:rsidRDefault="006443BE" w:rsidP="00286484">
      <w:pPr>
        <w:spacing w:line="360" w:lineRule="auto"/>
        <w:ind w:firstLine="720"/>
        <w:jc w:val="both"/>
      </w:pPr>
      <w:r w:rsidRPr="003215C5">
        <w:lastRenderedPageBreak/>
        <w:t xml:space="preserve">In light of the </w:t>
      </w:r>
      <w:r w:rsidR="00E37A1A">
        <w:t>C</w:t>
      </w:r>
      <w:r w:rsidRPr="003215C5">
        <w:t>ommittee</w:t>
      </w:r>
      <w:r w:rsidR="008578D4" w:rsidRPr="003215C5">
        <w:t>’</w:t>
      </w:r>
      <w:r w:rsidRPr="003215C5">
        <w:t>s report, the government adopted a decision</w:t>
      </w:r>
      <w:r w:rsidR="0073529C" w:rsidRPr="003215C5">
        <w:rPr>
          <w:rStyle w:val="FootnoteReference"/>
        </w:rPr>
        <w:footnoteReference w:id="315"/>
      </w:r>
      <w:r w:rsidRPr="003215C5">
        <w:t xml:space="preserve"> on improving human capital management mechanisms in the civil service</w:t>
      </w:r>
      <w:r w:rsidR="009465DA">
        <w:t>. It also established</w:t>
      </w:r>
      <w:r w:rsidRPr="003215C5">
        <w:t xml:space="preserve"> an outline for human capital management reform </w:t>
      </w:r>
      <w:r w:rsidR="00E37A1A">
        <w:t xml:space="preserve">at </w:t>
      </w:r>
      <w:r w:rsidRPr="003215C5">
        <w:t>the Civil Service Commission aim</w:t>
      </w:r>
      <w:r w:rsidR="004E7E25">
        <w:t xml:space="preserve">ed at </w:t>
      </w:r>
      <w:r w:rsidRPr="003215C5">
        <w:t>formulat</w:t>
      </w:r>
      <w:r w:rsidR="004E7E25">
        <w:t>ing</w:t>
      </w:r>
      <w:r w:rsidRPr="003215C5">
        <w:t xml:space="preserve"> a detailed plan to implement civil service management and development reform</w:t>
      </w:r>
      <w:r w:rsidR="009465DA">
        <w:t>. It delivered</w:t>
      </w:r>
      <w:r w:rsidRPr="003215C5">
        <w:t xml:space="preserve"> its recommendations</w:t>
      </w:r>
      <w:r w:rsidR="004E7E25">
        <w:t xml:space="preserve"> in light of the</w:t>
      </w:r>
      <w:r w:rsidR="009465DA">
        <w:t xml:space="preserve"> following</w:t>
      </w:r>
      <w:r w:rsidR="004E7E25">
        <w:t xml:space="preserve"> principles: </w:t>
      </w:r>
      <w:r w:rsidR="009465DA">
        <w:t>s</w:t>
      </w:r>
      <w:r w:rsidR="004E7E25">
        <w:t>trengthening the Commission as a</w:t>
      </w:r>
      <w:r w:rsidRPr="003215C5">
        <w:t xml:space="preserve"> professional </w:t>
      </w:r>
      <w:r w:rsidR="004E7E25">
        <w:t xml:space="preserve">body </w:t>
      </w:r>
      <w:r w:rsidRPr="003215C5">
        <w:t>responsible for</w:t>
      </w:r>
      <w:r w:rsidR="009465DA">
        <w:t>,</w:t>
      </w:r>
      <w:r w:rsidRPr="003215C5">
        <w:t xml:space="preserve"> </w:t>
      </w:r>
      <w:r w:rsidR="009465DA" w:rsidRPr="000D37DC">
        <w:t>inter alia</w:t>
      </w:r>
      <w:r w:rsidR="009465DA">
        <w:t>,</w:t>
      </w:r>
      <w:r w:rsidR="009465DA" w:rsidRPr="003215C5">
        <w:t xml:space="preserve"> </w:t>
      </w:r>
      <w:r w:rsidRPr="003215C5">
        <w:t xml:space="preserve">policy-making, with an emphasis on adequate representation and equal opportunities at work; </w:t>
      </w:r>
      <w:r w:rsidR="009465DA">
        <w:t>s</w:t>
      </w:r>
      <w:r w:rsidRPr="003215C5">
        <w:t xml:space="preserve">etting threshold requirements and </w:t>
      </w:r>
      <w:r w:rsidR="004E7E25">
        <w:t xml:space="preserve">necessary </w:t>
      </w:r>
      <w:r w:rsidRPr="003215C5">
        <w:t xml:space="preserve">skills; </w:t>
      </w:r>
      <w:r w:rsidR="009465DA">
        <w:t>s</w:t>
      </w:r>
      <w:r w:rsidRPr="003215C5">
        <w:t xml:space="preserve">triving for </w:t>
      </w:r>
      <w:r w:rsidR="00D0687B" w:rsidRPr="003215C5">
        <w:t>outputs and results</w:t>
      </w:r>
      <w:r w:rsidR="00D0687B">
        <w:t>-</w:t>
      </w:r>
      <w:r w:rsidR="00D0687B" w:rsidRPr="003215C5">
        <w:t xml:space="preserve">based </w:t>
      </w:r>
      <w:r w:rsidRPr="003215C5">
        <w:t xml:space="preserve">evaluation </w:t>
      </w:r>
      <w:r w:rsidR="00D0687B">
        <w:t xml:space="preserve">to </w:t>
      </w:r>
      <w:r w:rsidRPr="003215C5">
        <w:t>reward</w:t>
      </w:r>
      <w:r w:rsidR="00D0687B">
        <w:t xml:space="preserve"> </w:t>
      </w:r>
      <w:r w:rsidRPr="003215C5">
        <w:t xml:space="preserve">employees; </w:t>
      </w:r>
      <w:r w:rsidR="009465DA">
        <w:t>d</w:t>
      </w:r>
      <w:r w:rsidRPr="003215C5">
        <w:t xml:space="preserve">elegating powers from the Commission to </w:t>
      </w:r>
      <w:r w:rsidR="004E7E25">
        <w:t xml:space="preserve">the ministries </w:t>
      </w:r>
      <w:r w:rsidRPr="003215C5">
        <w:t xml:space="preserve">while </w:t>
      </w:r>
      <w:r w:rsidR="004E7E25">
        <w:t xml:space="preserve">at the same time strengthening the </w:t>
      </w:r>
      <w:r w:rsidRPr="003215C5">
        <w:t xml:space="preserve">control mechanism; </w:t>
      </w:r>
      <w:r w:rsidR="009465DA">
        <w:t>r</w:t>
      </w:r>
      <w:r w:rsidRPr="003215C5">
        <w:t xml:space="preserve">e-examination of </w:t>
      </w:r>
      <w:r w:rsidR="004E7E25">
        <w:t xml:space="preserve">which jobs are considered </w:t>
      </w:r>
      <w:r w:rsidR="004E7E25" w:rsidRPr="003215C5">
        <w:t>senior staff</w:t>
      </w:r>
      <w:r w:rsidR="004E7E25">
        <w:t xml:space="preserve"> </w:t>
      </w:r>
      <w:r w:rsidRPr="003215C5">
        <w:t xml:space="preserve">positions; </w:t>
      </w:r>
      <w:r w:rsidR="009465DA">
        <w:t>e</w:t>
      </w:r>
      <w:r w:rsidRPr="003215C5">
        <w:t xml:space="preserve">xamining the possibility of creating time-limited employment routes; </w:t>
      </w:r>
      <w:r w:rsidR="009465DA">
        <w:t>p</w:t>
      </w:r>
      <w:r w:rsidRPr="003215C5">
        <w:t xml:space="preserve">erforming screening tests through external parties; </w:t>
      </w:r>
      <w:r w:rsidR="009465DA">
        <w:t>and r</w:t>
      </w:r>
      <w:r w:rsidR="00783E31">
        <w:t xml:space="preserve">eviewing a </w:t>
      </w:r>
      <w:r w:rsidRPr="003215C5">
        <w:t xml:space="preserve">general reform </w:t>
      </w:r>
      <w:r w:rsidR="00783E31">
        <w:t xml:space="preserve">of the </w:t>
      </w:r>
      <w:r w:rsidRPr="003215C5">
        <w:t xml:space="preserve">recruitment </w:t>
      </w:r>
      <w:r w:rsidR="00783E31">
        <w:t>processes</w:t>
      </w:r>
      <w:r w:rsidRPr="003215C5">
        <w:t xml:space="preserve">. Therefore, the </w:t>
      </w:r>
      <w:r w:rsidR="004E7E25">
        <w:t>g</w:t>
      </w:r>
      <w:r w:rsidRPr="003215C5">
        <w:t>overnment decided to establish a committee headed by the Civil Service Commissioner to formulate a detailed plan for implementing civil service reform, with an emphasis on human capital management,</w:t>
      </w:r>
      <w:r w:rsidR="0073529C" w:rsidRPr="003215C5">
        <w:rPr>
          <w:rStyle w:val="FootnoteReference"/>
        </w:rPr>
        <w:footnoteReference w:id="316"/>
      </w:r>
      <w:r w:rsidRPr="003215C5">
        <w:t xml:space="preserve"> and for this purpose</w:t>
      </w:r>
      <w:r w:rsidR="00BF7328">
        <w:t>,</w:t>
      </w:r>
      <w:r w:rsidRPr="003215C5">
        <w:t xml:space="preserve"> the </w:t>
      </w:r>
      <w:r w:rsidR="00BF7328">
        <w:t>,</w:t>
      </w:r>
      <w:r w:rsidR="008578D4" w:rsidRPr="003215C5">
        <w:t>‘</w:t>
      </w:r>
      <w:r w:rsidRPr="003215C5">
        <w:t>Civil Service Human Capital Management Reform</w:t>
      </w:r>
      <w:r w:rsidR="004E7E25" w:rsidRPr="004E7E25">
        <w:t xml:space="preserve"> </w:t>
      </w:r>
      <w:r w:rsidR="004E7E25">
        <w:t>Staff Team</w:t>
      </w:r>
      <w:r w:rsidR="00BF7328">
        <w:t>,</w:t>
      </w:r>
      <w:r w:rsidR="008578D4" w:rsidRPr="003215C5">
        <w:t>’</w:t>
      </w:r>
      <w:r w:rsidRPr="003215C5">
        <w:t xml:space="preserve"> was established</w:t>
      </w:r>
      <w:r w:rsidR="004E7E25">
        <w:t>, which on June 25, 2013</w:t>
      </w:r>
      <w:r w:rsidR="00783E31">
        <w:t>,</w:t>
      </w:r>
      <w:r w:rsidR="004E7E25">
        <w:t xml:space="preserve"> presented the report of the committee to reform improvement of human capital management </w:t>
      </w:r>
      <w:r w:rsidR="004E7E25" w:rsidRPr="003215C5">
        <w:t>mechanisms in the civil service including the creation of goal-based management</w:t>
      </w:r>
      <w:r w:rsidRPr="003215C5">
        <w:t>.</w:t>
      </w:r>
      <w:r w:rsidR="0073529C" w:rsidRPr="003215C5">
        <w:rPr>
          <w:rStyle w:val="FootnoteReference"/>
        </w:rPr>
        <w:footnoteReference w:id="317"/>
      </w:r>
      <w:r w:rsidRPr="003215C5">
        <w:t xml:space="preserve"> It should be emphasi</w:t>
      </w:r>
      <w:r w:rsidR="004E7E25">
        <w:t>s</w:t>
      </w:r>
      <w:r w:rsidRPr="003215C5">
        <w:t>ed that the need for comprehensive change in the civil service in Israel</w:t>
      </w:r>
      <w:r w:rsidR="004E7E25">
        <w:t>,</w:t>
      </w:r>
      <w:r w:rsidRPr="003215C5">
        <w:t xml:space="preserve"> and adapt</w:t>
      </w:r>
      <w:r w:rsidR="004E7E25">
        <w:t xml:space="preserve">ing </w:t>
      </w:r>
      <w:r w:rsidRPr="003215C5">
        <w:t>to global trends is not new</w:t>
      </w:r>
      <w:r w:rsidR="004E7E25">
        <w:t>.</w:t>
      </w:r>
      <w:r w:rsidRPr="003215C5">
        <w:t xml:space="preserve"> </w:t>
      </w:r>
      <w:r w:rsidR="004E7E25">
        <w:t xml:space="preserve">The issue was raised </w:t>
      </w:r>
      <w:r w:rsidRPr="003215C5">
        <w:t xml:space="preserve">comprehensively </w:t>
      </w:r>
      <w:r w:rsidR="004E7E25">
        <w:t xml:space="preserve">by </w:t>
      </w:r>
      <w:r w:rsidRPr="003215C5">
        <w:t xml:space="preserve">the </w:t>
      </w:r>
      <w:proofErr w:type="spellStart"/>
      <w:r w:rsidRPr="003215C5">
        <w:t>Kovarsky</w:t>
      </w:r>
      <w:proofErr w:type="spellEnd"/>
      <w:r w:rsidRPr="003215C5">
        <w:t xml:space="preserve"> Commission </w:t>
      </w:r>
      <w:r w:rsidR="004E7E25">
        <w:t xml:space="preserve">as far </w:t>
      </w:r>
      <w:r w:rsidRPr="003215C5">
        <w:t xml:space="preserve">back </w:t>
      </w:r>
      <w:r w:rsidR="004E7E25">
        <w:t xml:space="preserve">as </w:t>
      </w:r>
      <w:r w:rsidRPr="003215C5">
        <w:t>1986</w:t>
      </w:r>
      <w:r w:rsidR="004E7E25">
        <w:t>,</w:t>
      </w:r>
      <w:r w:rsidRPr="003215C5">
        <w:t xml:space="preserve"> which recommended </w:t>
      </w:r>
      <w:r w:rsidR="004E7E25">
        <w:t xml:space="preserve">a </w:t>
      </w:r>
      <w:r w:rsidRPr="003215C5">
        <w:t xml:space="preserve">re-shaping </w:t>
      </w:r>
      <w:r w:rsidR="004E7E25">
        <w:t xml:space="preserve">of </w:t>
      </w:r>
      <w:r w:rsidRPr="003215C5">
        <w:t xml:space="preserve">human capital in the civil service while examining all government functions and </w:t>
      </w:r>
      <w:r w:rsidR="004E7E25">
        <w:t xml:space="preserve">the </w:t>
      </w:r>
      <w:r w:rsidRPr="003215C5">
        <w:t>independence</w:t>
      </w:r>
      <w:r w:rsidR="004E7E25">
        <w:t xml:space="preserve"> of the Commission, together with delegation of powers and authorities to the ministries, recommendations which were never adopted</w:t>
      </w:r>
      <w:r w:rsidRPr="003215C5">
        <w:t>.</w:t>
      </w:r>
      <w:r w:rsidR="0073529C" w:rsidRPr="003215C5">
        <w:rPr>
          <w:rStyle w:val="FootnoteReference"/>
        </w:rPr>
        <w:footnoteReference w:id="318"/>
      </w:r>
    </w:p>
    <w:p w14:paraId="5CDFC7DD" w14:textId="19701D01" w:rsidR="006443BE" w:rsidRPr="003215C5" w:rsidRDefault="006443BE" w:rsidP="00286484">
      <w:pPr>
        <w:spacing w:line="360" w:lineRule="auto"/>
        <w:ind w:firstLine="720"/>
        <w:jc w:val="both"/>
      </w:pPr>
      <w:r w:rsidRPr="00FB5CB3">
        <w:t xml:space="preserve">According to the provisions of the </w:t>
      </w:r>
      <w:commentRangeStart w:id="13"/>
      <w:proofErr w:type="spellStart"/>
      <w:r w:rsidR="005D1B99" w:rsidRPr="00FB5CB3">
        <w:rPr>
          <w:i/>
          <w:iCs/>
        </w:rPr>
        <w:t>Takshir</w:t>
      </w:r>
      <w:commentRangeEnd w:id="13"/>
      <w:proofErr w:type="spellEnd"/>
      <w:r w:rsidR="005D1B99" w:rsidRPr="00FB5CB3">
        <w:rPr>
          <w:rStyle w:val="CommentReference"/>
          <w:rtl/>
        </w:rPr>
        <w:commentReference w:id="13"/>
      </w:r>
      <w:r w:rsidR="005D1B99">
        <w:rPr>
          <w:i/>
          <w:iCs/>
        </w:rPr>
        <w:t xml:space="preserve"> </w:t>
      </w:r>
      <w:r w:rsidR="005D1B99" w:rsidRPr="000D37DC">
        <w:t>(</w:t>
      </w:r>
      <w:r w:rsidR="009465DA">
        <w:t>Civil Service Bylaws</w:t>
      </w:r>
      <w:r w:rsidR="005D1B99">
        <w:t>)</w:t>
      </w:r>
      <w:r w:rsidR="00FB5CB3" w:rsidRPr="00FB5CB3">
        <w:t>,</w:t>
      </w:r>
      <w:r w:rsidR="0073529C" w:rsidRPr="00FB5CB3">
        <w:rPr>
          <w:rStyle w:val="FootnoteReference"/>
        </w:rPr>
        <w:footnoteReference w:id="319"/>
      </w:r>
      <w:r w:rsidRPr="00FB5CB3">
        <w:t xml:space="preserve"> priority is given to employee</w:t>
      </w:r>
      <w:r w:rsidR="00783E31">
        <w:t>s</w:t>
      </w:r>
      <w:r w:rsidRPr="00FB5CB3">
        <w:t xml:space="preserve"> from </w:t>
      </w:r>
      <w:r w:rsidR="00FB5CB3">
        <w:t xml:space="preserve">within </w:t>
      </w:r>
      <w:r w:rsidR="00783E31">
        <w:t xml:space="preserve">any given </w:t>
      </w:r>
      <w:r w:rsidRPr="00FB5CB3">
        <w:t>ministry</w:t>
      </w:r>
      <w:r w:rsidR="00FB5CB3">
        <w:t>,</w:t>
      </w:r>
      <w:r w:rsidRPr="00FB5CB3">
        <w:t xml:space="preserve"> and the possibility of appointing an employee from </w:t>
      </w:r>
      <w:r w:rsidR="00FB5CB3">
        <w:t xml:space="preserve">within </w:t>
      </w:r>
      <w:r w:rsidRPr="00FB5CB3">
        <w:t>the ministry to a</w:t>
      </w:r>
      <w:r w:rsidR="00783E31">
        <w:t>ny</w:t>
      </w:r>
      <w:r w:rsidRPr="00FB5CB3">
        <w:t xml:space="preserve"> position offered </w:t>
      </w:r>
      <w:r w:rsidR="00783E31">
        <w:t xml:space="preserve">by way of </w:t>
      </w:r>
      <w:r w:rsidRPr="00FB5CB3">
        <w:t xml:space="preserve">internal tender will be </w:t>
      </w:r>
      <w:r w:rsidR="00FB5CB3">
        <w:t>explored</w:t>
      </w:r>
      <w:r w:rsidR="00783E31" w:rsidRPr="00783E31">
        <w:t xml:space="preserve"> </w:t>
      </w:r>
      <w:r w:rsidR="00783E31" w:rsidRPr="00FB5CB3">
        <w:t>first</w:t>
      </w:r>
      <w:r w:rsidRPr="00FB5CB3">
        <w:t xml:space="preserve">. Only if no suitable candidate is found </w:t>
      </w:r>
      <w:r w:rsidR="00783E31">
        <w:t xml:space="preserve">will </w:t>
      </w:r>
      <w:r w:rsidRPr="00FB5CB3">
        <w:t xml:space="preserve">an inter-ministerial tender be published </w:t>
      </w:r>
      <w:r w:rsidR="00783E31">
        <w:t xml:space="preserve">open to </w:t>
      </w:r>
      <w:r w:rsidRPr="00FB5CB3">
        <w:t>all civil servants</w:t>
      </w:r>
      <w:r w:rsidR="00FB5CB3">
        <w:t xml:space="preserve">, which </w:t>
      </w:r>
      <w:r w:rsidR="00783E31">
        <w:t xml:space="preserve">will result in </w:t>
      </w:r>
      <w:r w:rsidR="00FB5CB3">
        <w:t>transferring a civil servant from one ministry to a post being offered in another</w:t>
      </w:r>
      <w:r w:rsidRPr="00FB5CB3">
        <w:t xml:space="preserve">. </w:t>
      </w:r>
      <w:r w:rsidR="00322860">
        <w:t>A</w:t>
      </w:r>
      <w:r w:rsidRPr="00FB5CB3">
        <w:t xml:space="preserve">s a last resort, when no suitable candidate is found, the </w:t>
      </w:r>
      <w:proofErr w:type="spellStart"/>
      <w:r w:rsidRPr="00FB5CB3">
        <w:rPr>
          <w:i/>
          <w:iCs/>
        </w:rPr>
        <w:t>T</w:t>
      </w:r>
      <w:r w:rsidR="00FB5CB3" w:rsidRPr="00FB5CB3">
        <w:rPr>
          <w:i/>
          <w:iCs/>
        </w:rPr>
        <w:t>a</w:t>
      </w:r>
      <w:r w:rsidRPr="00FB5CB3">
        <w:rPr>
          <w:i/>
          <w:iCs/>
        </w:rPr>
        <w:t>kshir</w:t>
      </w:r>
      <w:proofErr w:type="spellEnd"/>
      <w:r w:rsidRPr="00FB5CB3">
        <w:t xml:space="preserve"> </w:t>
      </w:r>
      <w:r w:rsidR="00783E31">
        <w:t xml:space="preserve">permits </w:t>
      </w:r>
      <w:r w:rsidRPr="00FB5CB3">
        <w:t xml:space="preserve">a public tender </w:t>
      </w:r>
      <w:r w:rsidR="00783E31">
        <w:t xml:space="preserve">open to </w:t>
      </w:r>
      <w:r w:rsidRPr="00FB5CB3">
        <w:t xml:space="preserve">all </w:t>
      </w:r>
      <w:r w:rsidR="00FB5CB3">
        <w:t>competitors</w:t>
      </w:r>
      <w:r w:rsidRPr="00FB5CB3">
        <w:t xml:space="preserve">. The provisions of </w:t>
      </w:r>
      <w:r w:rsidR="00FB5CB3">
        <w:t>S</w:t>
      </w:r>
      <w:r w:rsidRPr="00FB5CB3">
        <w:t xml:space="preserve">ection </w:t>
      </w:r>
      <w:r w:rsidRPr="00FB5CB3">
        <w:lastRenderedPageBreak/>
        <w:t>19 of the Appointments Act state</w:t>
      </w:r>
      <w:r w:rsidR="00FB5CB3">
        <w:t>s</w:t>
      </w:r>
      <w:r w:rsidRPr="00FB5CB3">
        <w:t xml:space="preserve"> that a person </w:t>
      </w:r>
      <w:r w:rsidR="00FB5CB3">
        <w:t>wi</w:t>
      </w:r>
      <w:r w:rsidRPr="00FB5CB3">
        <w:t xml:space="preserve">ll not be appointed </w:t>
      </w:r>
      <w:r w:rsidR="00783E31">
        <w:t xml:space="preserve">as </w:t>
      </w:r>
      <w:r w:rsidRPr="00FB5CB3">
        <w:t>an employee until after a public tender has been held</w:t>
      </w:r>
      <w:r w:rsidR="00FB5CB3">
        <w:t>,</w:t>
      </w:r>
      <w:r w:rsidRPr="00FB5CB3">
        <w:t xml:space="preserve"> and </w:t>
      </w:r>
      <w:r w:rsidR="00FB5CB3">
        <w:t>S</w:t>
      </w:r>
      <w:r w:rsidRPr="00FB5CB3">
        <w:t>ection 20 of the Appointments Act allows for the establishment of rules regarding the participation of civil servants in tender</w:t>
      </w:r>
      <w:r w:rsidR="00783E31">
        <w:t>s</w:t>
      </w:r>
      <w:r w:rsidRPr="00FB5CB3">
        <w:t xml:space="preserve">. The law does not refer to </w:t>
      </w:r>
      <w:r w:rsidR="00BF7328">
        <w:t>the public tender only and no other,</w:t>
      </w:r>
      <w:r w:rsidRPr="00FB5CB3">
        <w:t xml:space="preserve"> and, as stated, </w:t>
      </w:r>
      <w:r w:rsidR="00FB5CB3">
        <w:t xml:space="preserve">prevails over </w:t>
      </w:r>
      <w:r w:rsidRPr="00FB5CB3">
        <w:t xml:space="preserve">the provisions of the </w:t>
      </w:r>
      <w:r w:rsidRPr="00FB5CB3">
        <w:rPr>
          <w:i/>
          <w:iCs/>
        </w:rPr>
        <w:t>Takshir</w:t>
      </w:r>
      <w:r w:rsidRPr="00FB5CB3">
        <w:t xml:space="preserve">. </w:t>
      </w:r>
      <w:r w:rsidR="00FB5CB3">
        <w:t>Thus, the public tender is not the only way for e</w:t>
      </w:r>
      <w:r w:rsidRPr="00FB5CB3">
        <w:t xml:space="preserve">mployees </w:t>
      </w:r>
      <w:r w:rsidR="00FB5CB3">
        <w:t xml:space="preserve">to </w:t>
      </w:r>
      <w:r w:rsidRPr="00FB5CB3">
        <w:t>be recruited</w:t>
      </w:r>
      <w:r w:rsidR="00FB5CB3">
        <w:t xml:space="preserve"> to the civil service, and alongside it is a mechanism of internal tenders, including the inter-ministerial kind, designated only for civil servants. Additionally, there are certain positions which can be manned</w:t>
      </w:r>
      <w:r w:rsidR="00783E31">
        <w:t xml:space="preserve"> </w:t>
      </w:r>
      <w:r w:rsidRPr="00FB5CB3">
        <w:t xml:space="preserve">both from within and </w:t>
      </w:r>
      <w:r w:rsidR="00FB5CB3">
        <w:t xml:space="preserve">from outside </w:t>
      </w:r>
      <w:r w:rsidRPr="00FB5CB3">
        <w:t>the service, in a tender</w:t>
      </w:r>
      <w:r w:rsidR="00FB5CB3">
        <w:t>-</w:t>
      </w:r>
      <w:r w:rsidRPr="00FB5CB3">
        <w:t>exempt</w:t>
      </w:r>
      <w:r w:rsidR="00FB5CB3">
        <w:t xml:space="preserve"> </w:t>
      </w:r>
      <w:r w:rsidRPr="00FB5CB3">
        <w:t>proce</w:t>
      </w:r>
      <w:r w:rsidR="00783E31">
        <w:t>ss</w:t>
      </w:r>
      <w:r w:rsidRPr="00FB5CB3">
        <w:t xml:space="preserve">, under </w:t>
      </w:r>
      <w:r w:rsidR="00FB5CB3">
        <w:t>S</w:t>
      </w:r>
      <w:r w:rsidRPr="00FB5CB3">
        <w:t xml:space="preserve">ections 12, 21 of the Appointments Act, as </w:t>
      </w:r>
      <w:r w:rsidR="00FB5CB3">
        <w:t xml:space="preserve">detailed </w:t>
      </w:r>
      <w:r w:rsidR="004B6223" w:rsidRPr="00FB5CB3">
        <w:t>above. The</w:t>
      </w:r>
      <w:r w:rsidRPr="00FB5CB3">
        <w:t xml:space="preserve"> </w:t>
      </w:r>
      <w:r w:rsidR="00322860">
        <w:t xml:space="preserve">Civil Service Reform </w:t>
      </w:r>
      <w:r w:rsidR="00FB5CB3">
        <w:t xml:space="preserve">Staff Team </w:t>
      </w:r>
      <w:r w:rsidRPr="00FB5CB3">
        <w:t>found that the tender procedure is unreasonably long</w:t>
      </w:r>
      <w:r w:rsidR="00FB5CB3">
        <w:t>,</w:t>
      </w:r>
      <w:r w:rsidRPr="00FB5CB3">
        <w:t xml:space="preserve"> and there is no proactive appeal to </w:t>
      </w:r>
      <w:r w:rsidR="00FB5CB3">
        <w:t xml:space="preserve">the </w:t>
      </w:r>
      <w:r w:rsidRPr="00FB5CB3">
        <w:t xml:space="preserve">potential target audience, including in the context </w:t>
      </w:r>
      <w:r w:rsidR="00FB5CB3">
        <w:t>of dedicated tenders or locating women for position</w:t>
      </w:r>
      <w:r w:rsidR="00783E31">
        <w:t>s</w:t>
      </w:r>
      <w:r w:rsidR="00FB5CB3">
        <w:t xml:space="preserve"> to </w:t>
      </w:r>
      <w:r w:rsidR="00783E31">
        <w:t xml:space="preserve">adhere to </w:t>
      </w:r>
      <w:r w:rsidR="00FB5CB3">
        <w:t>adequate representation. F</w:t>
      </w:r>
      <w:r w:rsidR="004B6223" w:rsidRPr="00FB5CB3">
        <w:t>or</w:t>
      </w:r>
      <w:r w:rsidRPr="00FB5CB3">
        <w:t xml:space="preserve"> the purpose of improvement, the </w:t>
      </w:r>
      <w:r w:rsidR="00FB5CB3">
        <w:t xml:space="preserve">Staff Team </w:t>
      </w:r>
      <w:r w:rsidRPr="00FB5CB3">
        <w:t xml:space="preserve">concluded, </w:t>
      </w:r>
      <w:r w:rsidR="00FB5CB3" w:rsidRPr="000D37DC">
        <w:t>inter alia</w:t>
      </w:r>
      <w:r w:rsidRPr="005D1B99">
        <w:t>,</w:t>
      </w:r>
      <w:r w:rsidRPr="00FB5CB3">
        <w:t xml:space="preserve"> that active recruitment for unique positions or target populations should be held in order to increase the potential for participation in the tender. </w:t>
      </w:r>
      <w:r w:rsidR="00FB5CB3">
        <w:t xml:space="preserve">The Staff Team further concluded that internal tenders for entry-level positions </w:t>
      </w:r>
      <w:r w:rsidR="00783E31">
        <w:t>sh</w:t>
      </w:r>
      <w:r w:rsidR="00FB5CB3">
        <w:t>ould be cancelled, retaining the possibility for the ministries to decide on a</w:t>
      </w:r>
      <w:r w:rsidRPr="00FB5CB3">
        <w:t>n internal tender of any kind before going to a public tender</w:t>
      </w:r>
      <w:r w:rsidR="00FB5CB3">
        <w:t>.</w:t>
      </w:r>
      <w:r w:rsidR="00535E90" w:rsidRPr="00FB5CB3">
        <w:rPr>
          <w:rStyle w:val="FootnoteReference"/>
        </w:rPr>
        <w:footnoteReference w:id="320"/>
      </w:r>
      <w:r w:rsidRPr="00FB5CB3">
        <w:t xml:space="preserve"> </w:t>
      </w:r>
      <w:r w:rsidR="00FB5CB3">
        <w:t xml:space="preserve">This is </w:t>
      </w:r>
      <w:r w:rsidRPr="00FB5CB3">
        <w:t xml:space="preserve">in contrast to the situation </w:t>
      </w:r>
      <w:r w:rsidR="00783E31">
        <w:t xml:space="preserve">thus </w:t>
      </w:r>
      <w:r w:rsidRPr="00FB5CB3">
        <w:t xml:space="preserve">far, according to which the Appointments Act stipulates that admission to the civil service will be </w:t>
      </w:r>
      <w:r w:rsidR="00783E31">
        <w:t xml:space="preserve">by </w:t>
      </w:r>
      <w:r w:rsidRPr="00FB5CB3">
        <w:t>public tender,</w:t>
      </w:r>
      <w:r w:rsidR="00535E90" w:rsidRPr="00FB5CB3">
        <w:rPr>
          <w:rStyle w:val="FootnoteReference"/>
        </w:rPr>
        <w:footnoteReference w:id="321"/>
      </w:r>
      <w:r w:rsidRPr="00FB5CB3">
        <w:t xml:space="preserve"> but the </w:t>
      </w:r>
      <w:r w:rsidR="00FB5CB3" w:rsidRPr="00FB5CB3">
        <w:rPr>
          <w:i/>
          <w:iCs/>
        </w:rPr>
        <w:t>Takshir</w:t>
      </w:r>
      <w:r w:rsidR="00FB5CB3">
        <w:t xml:space="preserve"> </w:t>
      </w:r>
      <w:r w:rsidRPr="00FB5CB3">
        <w:t>stipulates that in order to fill a vacancy</w:t>
      </w:r>
      <w:r w:rsidR="000519E2">
        <w:t>, there is a duty to publish an internal tender open only to ministry employees, and i</w:t>
      </w:r>
      <w:r w:rsidRPr="00FB5CB3">
        <w:t xml:space="preserve">f the position is not filled </w:t>
      </w:r>
      <w:r w:rsidR="000519E2">
        <w:t xml:space="preserve">by </w:t>
      </w:r>
      <w:r w:rsidRPr="00FB5CB3">
        <w:t>internal tender, an inter-ministerial tender may be held for all civil servants, even before the public tender.</w:t>
      </w:r>
      <w:r w:rsidR="00535E90" w:rsidRPr="00FB5CB3">
        <w:rPr>
          <w:rStyle w:val="FootnoteReference"/>
        </w:rPr>
        <w:footnoteReference w:id="322"/>
      </w:r>
      <w:r w:rsidRPr="00FB5CB3">
        <w:t xml:space="preserve"> The policy proposed by the </w:t>
      </w:r>
      <w:r w:rsidR="000519E2">
        <w:t>Staff Team</w:t>
      </w:r>
      <w:r w:rsidRPr="00FB5CB3">
        <w:t xml:space="preserve"> to cancel the internal tenders</w:t>
      </w:r>
      <w:r w:rsidR="000519E2">
        <w:t>,</w:t>
      </w:r>
      <w:r w:rsidRPr="00FB5CB3">
        <w:t xml:space="preserve"> and go to public tender</w:t>
      </w:r>
      <w:r w:rsidR="000519E2">
        <w:t>,</w:t>
      </w:r>
      <w:r w:rsidRPr="00FB5CB3">
        <w:t xml:space="preserve"> </w:t>
      </w:r>
      <w:r w:rsidR="000519E2">
        <w:t xml:space="preserve">focuses </w:t>
      </w:r>
      <w:r w:rsidRPr="00FB5CB3">
        <w:t xml:space="preserve">on the lower ranks, on the grounds that </w:t>
      </w:r>
      <w:r w:rsidR="00322860" w:rsidRPr="00FB5CB3">
        <w:t>the internal tenders are ineffective</w:t>
      </w:r>
      <w:r w:rsidR="00322860">
        <w:t xml:space="preserve"> </w:t>
      </w:r>
      <w:r w:rsidR="00783E31">
        <w:t>with respect to them</w:t>
      </w:r>
      <w:r w:rsidRPr="00FB5CB3">
        <w:t xml:space="preserve">. </w:t>
      </w:r>
      <w:r w:rsidR="000519E2">
        <w:t xml:space="preserve">For </w:t>
      </w:r>
      <w:r w:rsidRPr="00FB5CB3">
        <w:t xml:space="preserve">the </w:t>
      </w:r>
      <w:r w:rsidR="00783E31">
        <w:t xml:space="preserve">higher </w:t>
      </w:r>
      <w:r w:rsidRPr="00FB5CB3">
        <w:t xml:space="preserve">ranks, </w:t>
      </w:r>
      <w:r w:rsidR="00783E31">
        <w:t xml:space="preserve">both </w:t>
      </w:r>
      <w:r w:rsidRPr="00FB5CB3">
        <w:t xml:space="preserve">intermediate and senior staff, the </w:t>
      </w:r>
      <w:r w:rsidR="000519E2">
        <w:t>Staff Team</w:t>
      </w:r>
      <w:r w:rsidR="000519E2" w:rsidRPr="00FB5CB3">
        <w:t xml:space="preserve"> </w:t>
      </w:r>
      <w:r w:rsidRPr="00FB5CB3">
        <w:t xml:space="preserve">proposes to preserve the internal </w:t>
      </w:r>
      <w:r w:rsidR="00783E31">
        <w:t xml:space="preserve">and </w:t>
      </w:r>
      <w:r w:rsidRPr="00FB5CB3">
        <w:t>inter-ministerial tender</w:t>
      </w:r>
      <w:r w:rsidR="00783E31">
        <w:t>s</w:t>
      </w:r>
      <w:r w:rsidRPr="00FB5CB3">
        <w:t xml:space="preserve"> as </w:t>
      </w:r>
      <w:r w:rsidR="00783E31">
        <w:t>the</w:t>
      </w:r>
      <w:r w:rsidRPr="00FB5CB3">
        <w:t xml:space="preserve"> first </w:t>
      </w:r>
      <w:r w:rsidR="00783E31">
        <w:t>option</w:t>
      </w:r>
      <w:r w:rsidR="000519E2">
        <w:t>,</w:t>
      </w:r>
      <w:r w:rsidRPr="00FB5CB3">
        <w:t xml:space="preserve"> </w:t>
      </w:r>
      <w:r w:rsidR="00BF7328">
        <w:t xml:space="preserve">in order </w:t>
      </w:r>
      <w:r w:rsidRPr="00FB5CB3">
        <w:t xml:space="preserve">to preserve the professional knowledge and functional continuity of the civil service, but </w:t>
      </w:r>
      <w:r w:rsidR="00BF7328">
        <w:t>suggests</w:t>
      </w:r>
      <w:r w:rsidRPr="00FB5CB3">
        <w:t xml:space="preserve"> allowing these tenders to be waived</w:t>
      </w:r>
      <w:r w:rsidR="000519E2">
        <w:t>,</w:t>
      </w:r>
      <w:r w:rsidRPr="00FB5CB3">
        <w:t xml:space="preserve"> and to go to </w:t>
      </w:r>
      <w:r w:rsidR="00783E31">
        <w:t xml:space="preserve">straight to a </w:t>
      </w:r>
      <w:r w:rsidRPr="00FB5CB3">
        <w:t>public tender.</w:t>
      </w:r>
      <w:r w:rsidR="00535E90" w:rsidRPr="00FB5CB3">
        <w:rPr>
          <w:rStyle w:val="FootnoteReference"/>
        </w:rPr>
        <w:footnoteReference w:id="323"/>
      </w:r>
      <w:r w:rsidRPr="00FB5CB3">
        <w:t xml:space="preserve"> </w:t>
      </w:r>
      <w:r w:rsidRPr="00FB5CB3">
        <w:lastRenderedPageBreak/>
        <w:t xml:space="preserve">The </w:t>
      </w:r>
      <w:r w:rsidR="000519E2">
        <w:t>Staff Team</w:t>
      </w:r>
      <w:r w:rsidR="000519E2" w:rsidRPr="00FB5CB3">
        <w:t xml:space="preserve"> </w:t>
      </w:r>
      <w:r w:rsidRPr="00FB5CB3">
        <w:t xml:space="preserve">also recommended </w:t>
      </w:r>
      <w:r w:rsidR="000519E2">
        <w:t xml:space="preserve">adaptation </w:t>
      </w:r>
      <w:r w:rsidRPr="00FB5CB3">
        <w:t xml:space="preserve">of </w:t>
      </w:r>
      <w:r w:rsidR="000519E2">
        <w:t xml:space="preserve">the </w:t>
      </w:r>
      <w:r w:rsidR="00322860">
        <w:t>assessment</w:t>
      </w:r>
      <w:r w:rsidRPr="00FB5CB3">
        <w:t xml:space="preserve"> and screening procedures, or rather their cancellation, for </w:t>
      </w:r>
      <w:r w:rsidR="000519E2">
        <w:t xml:space="preserve">competitors </w:t>
      </w:r>
      <w:r w:rsidRPr="00FB5CB3">
        <w:t xml:space="preserve">within the </w:t>
      </w:r>
      <w:r w:rsidR="000519E2">
        <w:t xml:space="preserve">service in </w:t>
      </w:r>
      <w:r w:rsidRPr="00FB5CB3">
        <w:t>internal or inter-ministerial tender.</w:t>
      </w:r>
      <w:r w:rsidR="00535E90" w:rsidRPr="00FB5CB3">
        <w:rPr>
          <w:rStyle w:val="FootnoteReference"/>
        </w:rPr>
        <w:footnoteReference w:id="324"/>
      </w:r>
      <w:r w:rsidRPr="00FB5CB3">
        <w:t xml:space="preserve"> Thus, the </w:t>
      </w:r>
      <w:r w:rsidR="000519E2">
        <w:t>Staff Team</w:t>
      </w:r>
      <w:r w:rsidR="000519E2" w:rsidRPr="00FB5CB3">
        <w:t xml:space="preserve"> </w:t>
      </w:r>
      <w:r w:rsidR="00783E31">
        <w:t>recommend</w:t>
      </w:r>
      <w:r w:rsidR="00322860">
        <w:t>ed</w:t>
      </w:r>
      <w:r w:rsidR="00783E31">
        <w:t xml:space="preserve"> waiving </w:t>
      </w:r>
      <w:r w:rsidRPr="00FB5CB3">
        <w:t xml:space="preserve">objective </w:t>
      </w:r>
      <w:r w:rsidR="007810EF" w:rsidRPr="00FB5CB3">
        <w:t>merit</w:t>
      </w:r>
      <w:r w:rsidRPr="00FB5CB3">
        <w:t xml:space="preserve"> values </w:t>
      </w:r>
      <w:r w:rsidR="00322860">
        <w:t>when</w:t>
      </w:r>
      <w:r w:rsidR="000519E2">
        <w:t xml:space="preserve"> review</w:t>
      </w:r>
      <w:r w:rsidR="00783E31">
        <w:t>ing a candidate’s</w:t>
      </w:r>
      <w:r w:rsidR="000519E2">
        <w:t xml:space="preserve"> </w:t>
      </w:r>
      <w:r w:rsidRPr="00FB5CB3">
        <w:t xml:space="preserve">suitability for </w:t>
      </w:r>
      <w:r w:rsidR="00783E31">
        <w:t xml:space="preserve">a </w:t>
      </w:r>
      <w:r w:rsidRPr="00FB5CB3">
        <w:t xml:space="preserve">position, </w:t>
      </w:r>
      <w:r w:rsidR="00783E31">
        <w:t xml:space="preserve">and </w:t>
      </w:r>
      <w:r w:rsidR="000519E2">
        <w:t>rel</w:t>
      </w:r>
      <w:r w:rsidR="00783E31">
        <w:t xml:space="preserve">y </w:t>
      </w:r>
      <w:r w:rsidR="00322860">
        <w:t xml:space="preserve">rather </w:t>
      </w:r>
      <w:r w:rsidR="000519E2">
        <w:t xml:space="preserve">on </w:t>
      </w:r>
      <w:r w:rsidRPr="00FB5CB3">
        <w:t>personal assessment from the employee</w:t>
      </w:r>
      <w:r w:rsidR="008578D4" w:rsidRPr="00FB5CB3">
        <w:t>’</w:t>
      </w:r>
      <w:r w:rsidRPr="00FB5CB3">
        <w:t xml:space="preserve">s </w:t>
      </w:r>
      <w:r w:rsidR="000519E2">
        <w:t>file</w:t>
      </w:r>
      <w:r w:rsidRPr="00FB5CB3">
        <w:t xml:space="preserve">. This </w:t>
      </w:r>
      <w:r w:rsidR="000519E2">
        <w:t xml:space="preserve">distinction </w:t>
      </w:r>
      <w:r w:rsidRPr="00FB5CB3">
        <w:t>is based on the fact that the employee has undergone a tender</w:t>
      </w:r>
      <w:r w:rsidR="00783E31">
        <w:t xml:space="preserve"> </w:t>
      </w:r>
      <w:r w:rsidRPr="00FB5CB3">
        <w:t xml:space="preserve">and examination of </w:t>
      </w:r>
      <w:r w:rsidR="000519E2">
        <w:t xml:space="preserve">attributes </w:t>
      </w:r>
      <w:r w:rsidRPr="00FB5CB3">
        <w:t>and skills upon entering the service</w:t>
      </w:r>
      <w:r w:rsidR="000519E2">
        <w:t>,</w:t>
      </w:r>
      <w:r w:rsidRPr="00FB5CB3">
        <w:t xml:space="preserve"> but does not </w:t>
      </w:r>
      <w:proofErr w:type="gramStart"/>
      <w:r w:rsidRPr="00FB5CB3">
        <w:t>take into account</w:t>
      </w:r>
      <w:proofErr w:type="gramEnd"/>
      <w:r w:rsidRPr="00FB5CB3">
        <w:t xml:space="preserve"> the need to re-examine his suitability </w:t>
      </w:r>
      <w:r w:rsidR="000519E2">
        <w:t xml:space="preserve">for </w:t>
      </w:r>
      <w:r w:rsidRPr="00FB5CB3">
        <w:t xml:space="preserve">the new position for which he is a candidate. Since holding an inter-ministerial tender </w:t>
      </w:r>
      <w:r w:rsidR="000519E2">
        <w:t xml:space="preserve">for entry-level </w:t>
      </w:r>
      <w:r w:rsidRPr="00FB5CB3">
        <w:t xml:space="preserve">positions is still an option </w:t>
      </w:r>
      <w:r w:rsidR="000519E2">
        <w:t xml:space="preserve">open to </w:t>
      </w:r>
      <w:r w:rsidRPr="00FB5CB3">
        <w:t>the ministry, it is likely that the ministry will exercise it when it is interested in a candidate or candidates from other ministries</w:t>
      </w:r>
      <w:r w:rsidR="00C63C19">
        <w:t xml:space="preserve">. Therefore, </w:t>
      </w:r>
      <w:r w:rsidRPr="00FB5CB3">
        <w:t xml:space="preserve">I think it is </w:t>
      </w:r>
      <w:r w:rsidR="00C63C19">
        <w:t>meaningful</w:t>
      </w:r>
      <w:r w:rsidRPr="00FB5CB3">
        <w:t xml:space="preserve"> to emphasi</w:t>
      </w:r>
      <w:r w:rsidR="000519E2">
        <w:t>s</w:t>
      </w:r>
      <w:r w:rsidRPr="00FB5CB3">
        <w:t xml:space="preserve">e the </w:t>
      </w:r>
      <w:r w:rsidR="00C63C19">
        <w:t xml:space="preserve">importance of </w:t>
      </w:r>
      <w:r w:rsidRPr="00FB5CB3">
        <w:t>knowledge and experience in the relevant ministry</w:t>
      </w:r>
      <w:r w:rsidR="000519E2">
        <w:t>, the central reason for the existence of internal tenders in the first place</w:t>
      </w:r>
      <w:r w:rsidRPr="00FB5CB3">
        <w:t xml:space="preserve">. There is no doubt that this is a </w:t>
      </w:r>
      <w:r w:rsidR="000519E2">
        <w:t xml:space="preserve">restriction on </w:t>
      </w:r>
      <w:r w:rsidRPr="00FB5CB3">
        <w:t xml:space="preserve">the ability of outside candidates to compete for jobs within the service, but this </w:t>
      </w:r>
      <w:r w:rsidR="000519E2">
        <w:t xml:space="preserve">restriction </w:t>
      </w:r>
      <w:r w:rsidR="00783E31">
        <w:t xml:space="preserve">can be </w:t>
      </w:r>
      <w:r w:rsidRPr="00FB5CB3">
        <w:t>justifi</w:t>
      </w:r>
      <w:r w:rsidR="00783E31">
        <w:t>ed</w:t>
      </w:r>
      <w:r w:rsidRPr="00FB5CB3">
        <w:t xml:space="preserve">, both in </w:t>
      </w:r>
      <w:r w:rsidR="00783E31">
        <w:t xml:space="preserve">terms of </w:t>
      </w:r>
      <w:r w:rsidRPr="00FB5CB3">
        <w:t>promotion</w:t>
      </w:r>
      <w:r w:rsidR="000519E2">
        <w:t>,</w:t>
      </w:r>
      <w:r w:rsidRPr="00FB5CB3">
        <w:t xml:space="preserve"> and </w:t>
      </w:r>
      <w:r w:rsidR="00783E31">
        <w:t xml:space="preserve">in terms of </w:t>
      </w:r>
      <w:r w:rsidRPr="00FB5CB3">
        <w:t>growth within the system</w:t>
      </w:r>
      <w:r w:rsidR="000519E2">
        <w:t>,</w:t>
      </w:r>
      <w:r w:rsidRPr="00FB5CB3">
        <w:t xml:space="preserve"> </w:t>
      </w:r>
      <w:r w:rsidR="00516469">
        <w:t xml:space="preserve">as well </w:t>
      </w:r>
      <w:r w:rsidR="00C63C19">
        <w:t>in terms of</w:t>
      </w:r>
      <w:r w:rsidR="00516469">
        <w:t xml:space="preserve"> </w:t>
      </w:r>
      <w:r w:rsidRPr="00FB5CB3">
        <w:t xml:space="preserve">retaining important knowledge. </w:t>
      </w:r>
      <w:r w:rsidR="000519E2">
        <w:t xml:space="preserve">Transitioning to </w:t>
      </w:r>
      <w:r w:rsidRPr="00FB5CB3">
        <w:t xml:space="preserve">inter-ministerial tenders will not solve the problem of </w:t>
      </w:r>
      <w:r w:rsidR="000519E2" w:rsidRPr="00FB5CB3">
        <w:t xml:space="preserve">outside </w:t>
      </w:r>
      <w:r w:rsidRPr="00FB5CB3">
        <w:t>applicants</w:t>
      </w:r>
      <w:r w:rsidR="00516469">
        <w:t>,</w:t>
      </w:r>
      <w:r w:rsidRPr="00FB5CB3">
        <w:t xml:space="preserve"> and will not increase their chances. At most, this will impair the ability of employees within a particular </w:t>
      </w:r>
      <w:r w:rsidR="000519E2">
        <w:t xml:space="preserve">ministry </w:t>
      </w:r>
      <w:r w:rsidRPr="00FB5CB3">
        <w:t>to progress and grow within the system.</w:t>
      </w:r>
    </w:p>
    <w:p w14:paraId="7660440B" w14:textId="4F7819F0" w:rsidR="006443BE" w:rsidRPr="003215C5" w:rsidRDefault="006443BE" w:rsidP="00286484">
      <w:pPr>
        <w:spacing w:line="360" w:lineRule="auto"/>
        <w:ind w:firstLine="720"/>
        <w:jc w:val="both"/>
      </w:pPr>
      <w:r w:rsidRPr="003215C5">
        <w:t xml:space="preserve">Comparative research shows </w:t>
      </w:r>
      <w:r w:rsidR="00516469">
        <w:t xml:space="preserve">an </w:t>
      </w:r>
      <w:r w:rsidRPr="003215C5">
        <w:t xml:space="preserve">opposite trend in the world. </w:t>
      </w:r>
      <w:r w:rsidR="000519E2">
        <w:t>A</w:t>
      </w:r>
      <w:r w:rsidRPr="003215C5">
        <w:t>t the intermediate level</w:t>
      </w:r>
      <w:r w:rsidR="000519E2">
        <w:t>s</w:t>
      </w:r>
      <w:r w:rsidRPr="003215C5">
        <w:t xml:space="preserve"> and above and not at </w:t>
      </w:r>
      <w:r w:rsidR="000519E2">
        <w:t xml:space="preserve">entry </w:t>
      </w:r>
      <w:r w:rsidRPr="003215C5">
        <w:t xml:space="preserve">level, the cancellation of internal tenders and the </w:t>
      </w:r>
      <w:r w:rsidR="000519E2">
        <w:t xml:space="preserve">institution </w:t>
      </w:r>
      <w:r w:rsidRPr="003215C5">
        <w:t xml:space="preserve">of public tenders that </w:t>
      </w:r>
      <w:r w:rsidR="00516469">
        <w:t xml:space="preserve">permit </w:t>
      </w:r>
      <w:r w:rsidRPr="003215C5">
        <w:t xml:space="preserve">the candidacy of any </w:t>
      </w:r>
      <w:r w:rsidR="00516469">
        <w:t>person</w:t>
      </w:r>
      <w:r w:rsidRPr="003215C5">
        <w:t xml:space="preserve">, including from the civil service, </w:t>
      </w:r>
      <w:r w:rsidR="00516469">
        <w:t xml:space="preserve">is </w:t>
      </w:r>
      <w:r w:rsidRPr="003215C5">
        <w:t>encouraged.</w:t>
      </w:r>
      <w:r w:rsidR="00535E90" w:rsidRPr="003215C5">
        <w:rPr>
          <w:rStyle w:val="FootnoteReference"/>
        </w:rPr>
        <w:footnoteReference w:id="325"/>
      </w:r>
      <w:r w:rsidRPr="003215C5">
        <w:t xml:space="preserve"> Two general approaches can be identified: </w:t>
      </w:r>
      <w:r w:rsidR="00C63C19">
        <w:t>a</w:t>
      </w:r>
      <w:r w:rsidRPr="003215C5">
        <w:t xml:space="preserve"> career-based approach that enables the development of a career </w:t>
      </w:r>
      <w:r w:rsidR="000519E2">
        <w:t>with</w:t>
      </w:r>
      <w:r w:rsidRPr="003215C5">
        <w:t>in the civil service over years</w:t>
      </w:r>
      <w:r w:rsidR="000519E2">
        <w:t>,</w:t>
      </w:r>
      <w:r w:rsidRPr="003215C5">
        <w:t xml:space="preserve"> while maintaining promotion opportunities within it</w:t>
      </w:r>
      <w:r w:rsidR="00C63C19">
        <w:t>;</w:t>
      </w:r>
      <w:r w:rsidR="00535E90" w:rsidRPr="003215C5">
        <w:rPr>
          <w:rStyle w:val="FootnoteReference"/>
        </w:rPr>
        <w:footnoteReference w:id="326"/>
      </w:r>
      <w:r w:rsidRPr="003215C5">
        <w:t xml:space="preserve"> and a role-based approach based on providing opportunities for candidates outside the organi</w:t>
      </w:r>
      <w:r w:rsidR="000519E2">
        <w:t>s</w:t>
      </w:r>
      <w:r w:rsidRPr="003215C5">
        <w:t>ation with an emphasis on finding the best candidate.</w:t>
      </w:r>
      <w:r w:rsidR="00535E90" w:rsidRPr="003215C5">
        <w:rPr>
          <w:rStyle w:val="FootnoteReference"/>
        </w:rPr>
        <w:footnoteReference w:id="327"/>
      </w:r>
      <w:r w:rsidRPr="003215C5">
        <w:t xml:space="preserve"> The </w:t>
      </w:r>
      <w:r w:rsidR="000519E2">
        <w:t xml:space="preserve">Staff Team </w:t>
      </w:r>
      <w:r w:rsidRPr="003215C5">
        <w:t>seeks to justify the abolition of internal tenders as part of organi</w:t>
      </w:r>
      <w:r w:rsidR="000519E2">
        <w:t>s</w:t>
      </w:r>
      <w:r w:rsidRPr="003215C5">
        <w:t xml:space="preserve">ational </w:t>
      </w:r>
      <w:r w:rsidRPr="003215C5">
        <w:lastRenderedPageBreak/>
        <w:t>change</w:t>
      </w:r>
      <w:r w:rsidR="000519E2">
        <w:t>s</w:t>
      </w:r>
      <w:r w:rsidRPr="003215C5">
        <w:t xml:space="preserve"> and </w:t>
      </w:r>
      <w:r w:rsidR="000519E2">
        <w:t xml:space="preserve">a </w:t>
      </w:r>
      <w:r w:rsidRPr="003215C5">
        <w:t xml:space="preserve">transition to a role-based system, as opposed to a career-based system. But in my opinion, a role-based system does not necessarily mean recruiting outsiders to improve </w:t>
      </w:r>
      <w:r w:rsidR="004B6223" w:rsidRPr="003215C5">
        <w:t>results,</w:t>
      </w:r>
      <w:r w:rsidRPr="003215C5">
        <w:t xml:space="preserve"> but it </w:t>
      </w:r>
      <w:r w:rsidR="004B730D">
        <w:t xml:space="preserve">can </w:t>
      </w:r>
      <w:r w:rsidR="007E479F" w:rsidRPr="003215C5">
        <w:t>also</w:t>
      </w:r>
      <w:r w:rsidR="007E479F" w:rsidRPr="003215C5">
        <w:t xml:space="preserve"> </w:t>
      </w:r>
      <w:r w:rsidRPr="003215C5">
        <w:t xml:space="preserve">retain employees from </w:t>
      </w:r>
      <w:r w:rsidR="004B730D">
        <w:t xml:space="preserve">within </w:t>
      </w:r>
      <w:r w:rsidRPr="003215C5">
        <w:t xml:space="preserve">the service who are able to achieve the desired results. In the United States, for example, where </w:t>
      </w:r>
      <w:r w:rsidR="00516469">
        <w:t xml:space="preserve">the norm is </w:t>
      </w:r>
      <w:r w:rsidR="004B730D">
        <w:t xml:space="preserve">the </w:t>
      </w:r>
      <w:r w:rsidRPr="003215C5">
        <w:t xml:space="preserve">role-based approach, the tendency is to hold public and competitive tenders, except </w:t>
      </w:r>
      <w:r w:rsidR="00516469">
        <w:t xml:space="preserve">with respect to </w:t>
      </w:r>
      <w:r w:rsidR="004B730D">
        <w:t xml:space="preserve">the </w:t>
      </w:r>
      <w:r w:rsidR="00516469" w:rsidRPr="003215C5">
        <w:t>tender</w:t>
      </w:r>
      <w:r w:rsidR="00516469">
        <w:t>-less</w:t>
      </w:r>
      <w:r w:rsidR="00516469" w:rsidRPr="003215C5">
        <w:t xml:space="preserve"> appointment </w:t>
      </w:r>
      <w:r w:rsidRPr="003215C5">
        <w:t>exceptions</w:t>
      </w:r>
      <w:r w:rsidR="00535E90" w:rsidRPr="003215C5">
        <w:rPr>
          <w:rStyle w:val="FootnoteReference"/>
        </w:rPr>
        <w:footnoteReference w:id="328"/>
      </w:r>
      <w:r w:rsidRPr="003215C5">
        <w:t xml:space="preserve"> and mobili</w:t>
      </w:r>
      <w:r w:rsidR="00516469">
        <w:t>s</w:t>
      </w:r>
      <w:r w:rsidR="004B730D">
        <w:t>ation</w:t>
      </w:r>
      <w:r w:rsidRPr="003215C5">
        <w:t xml:space="preserve"> of employees within the service, between </w:t>
      </w:r>
      <w:r w:rsidR="004B730D">
        <w:t>ministries</w:t>
      </w:r>
      <w:r w:rsidR="00516469">
        <w:t>,</w:t>
      </w:r>
      <w:r w:rsidR="004B730D">
        <w:t xml:space="preserve"> </w:t>
      </w:r>
      <w:r w:rsidRPr="003215C5">
        <w:t xml:space="preserve">and within the </w:t>
      </w:r>
      <w:r w:rsidR="004B730D">
        <w:t>ministry</w:t>
      </w:r>
      <w:r w:rsidR="00516469">
        <w:t>,</w:t>
      </w:r>
      <w:r w:rsidR="004B730D">
        <w:t xml:space="preserve"> </w:t>
      </w:r>
      <w:r w:rsidRPr="003215C5">
        <w:t xml:space="preserve">based on </w:t>
      </w:r>
      <w:r w:rsidR="004B730D" w:rsidRPr="003215C5">
        <w:t xml:space="preserve">performance </w:t>
      </w:r>
      <w:r w:rsidR="00516469">
        <w:t xml:space="preserve">and </w:t>
      </w:r>
      <w:r w:rsidR="004B730D">
        <w:t xml:space="preserve">without the need for a </w:t>
      </w:r>
      <w:r w:rsidRPr="003215C5">
        <w:t>tender.</w:t>
      </w:r>
      <w:r w:rsidR="00535E90" w:rsidRPr="003215C5">
        <w:rPr>
          <w:rStyle w:val="FootnoteReference"/>
        </w:rPr>
        <w:footnoteReference w:id="329"/>
      </w:r>
    </w:p>
    <w:p w14:paraId="506B5654" w14:textId="5BAF5B18" w:rsidR="006443BE" w:rsidRPr="003215C5" w:rsidRDefault="004B730D" w:rsidP="00286484">
      <w:pPr>
        <w:spacing w:line="360" w:lineRule="auto"/>
        <w:ind w:firstLine="720"/>
        <w:jc w:val="both"/>
      </w:pPr>
      <w:r>
        <w:t>C</w:t>
      </w:r>
      <w:r w:rsidR="006443BE" w:rsidRPr="003215C5">
        <w:t>ancell</w:t>
      </w:r>
      <w:r>
        <w:t xml:space="preserve">ing </w:t>
      </w:r>
      <w:r w:rsidR="006443BE" w:rsidRPr="003215C5">
        <w:t xml:space="preserve">the internal tender will strengthen the glass ceiling </w:t>
      </w:r>
      <w:r w:rsidR="0011368E">
        <w:t xml:space="preserve">under </w:t>
      </w:r>
      <w:r w:rsidR="006443BE" w:rsidRPr="003215C5">
        <w:t xml:space="preserve">which the target populations </w:t>
      </w:r>
      <w:r w:rsidR="004B6223" w:rsidRPr="003215C5">
        <w:t>suffer,</w:t>
      </w:r>
      <w:r w:rsidR="006443BE" w:rsidRPr="003215C5">
        <w:t xml:space="preserve"> and it is likely</w:t>
      </w:r>
      <w:r>
        <w:t xml:space="preserve"> </w:t>
      </w:r>
      <w:r w:rsidR="006443BE" w:rsidRPr="003215C5">
        <w:t>that the existence of an inter-ministerial tender will not change this</w:t>
      </w:r>
      <w:r w:rsidR="00C63C19">
        <w:t>.</w:t>
      </w:r>
      <w:r w:rsidR="006443BE" w:rsidRPr="003215C5">
        <w:t xml:space="preserve"> On the contrary, the </w:t>
      </w:r>
      <w:r w:rsidR="0011368E">
        <w:t xml:space="preserve">slim </w:t>
      </w:r>
      <w:r w:rsidR="006443BE" w:rsidRPr="003215C5">
        <w:t>chance</w:t>
      </w:r>
      <w:r w:rsidR="0011368E">
        <w:t xml:space="preserve"> </w:t>
      </w:r>
      <w:r w:rsidR="006443BE" w:rsidRPr="003215C5">
        <w:t xml:space="preserve">that </w:t>
      </w:r>
      <w:r w:rsidR="0011368E">
        <w:t xml:space="preserve">the target </w:t>
      </w:r>
      <w:r w:rsidR="006443BE" w:rsidRPr="003215C5">
        <w:t>population</w:t>
      </w:r>
      <w:r w:rsidR="0011368E">
        <w:t xml:space="preserve"> </w:t>
      </w:r>
      <w:r w:rsidR="006443BE" w:rsidRPr="003215C5">
        <w:t>ha</w:t>
      </w:r>
      <w:r w:rsidR="007E479F">
        <w:t>s</w:t>
      </w:r>
      <w:r w:rsidR="006443BE" w:rsidRPr="003215C5">
        <w:t xml:space="preserve"> of </w:t>
      </w:r>
      <w:r w:rsidR="0011368E">
        <w:t>any promotion with</w:t>
      </w:r>
      <w:r w:rsidR="006443BE" w:rsidRPr="003215C5">
        <w:t xml:space="preserve">in </w:t>
      </w:r>
      <w:r>
        <w:t xml:space="preserve">the </w:t>
      </w:r>
      <w:r w:rsidR="006443BE" w:rsidRPr="003215C5">
        <w:t xml:space="preserve">service is due to the personal and professional acquaintance with the </w:t>
      </w:r>
      <w:r>
        <w:t xml:space="preserve">ministry, </w:t>
      </w:r>
      <w:r w:rsidR="006443BE" w:rsidRPr="003215C5">
        <w:t>that</w:t>
      </w:r>
      <w:r w:rsidR="007E479F">
        <w:t xml:space="preserve"> can</w:t>
      </w:r>
      <w:bookmarkStart w:id="15" w:name="_GoBack"/>
      <w:bookmarkEnd w:id="15"/>
      <w:r w:rsidR="006443BE" w:rsidRPr="003215C5">
        <w:t xml:space="preserve"> bridge </w:t>
      </w:r>
      <w:r>
        <w:t xml:space="preserve">the </w:t>
      </w:r>
      <w:r w:rsidR="006443BE" w:rsidRPr="003215C5">
        <w:t>tendenc</w:t>
      </w:r>
      <w:r w:rsidR="00C77206">
        <w:t>ies</w:t>
      </w:r>
      <w:r w:rsidR="006443BE" w:rsidRPr="003215C5">
        <w:t xml:space="preserve"> and attitudes that prevented them from being promoted and mobile. The illusion of affirmative action also includes the fact that it is a partial preference for part of the process. Affirmative action in Israel concentrates on the first stage of opening </w:t>
      </w:r>
      <w:r w:rsidR="0011368E">
        <w:t xml:space="preserve">the </w:t>
      </w:r>
      <w:r w:rsidR="006443BE" w:rsidRPr="003215C5">
        <w:t xml:space="preserve">doors to the target population into the </w:t>
      </w:r>
      <w:r>
        <w:t xml:space="preserve">civil </w:t>
      </w:r>
      <w:r w:rsidR="006443BE" w:rsidRPr="003215C5">
        <w:t>service</w:t>
      </w:r>
      <w:r w:rsidR="00C77206">
        <w:t>,</w:t>
      </w:r>
      <w:r w:rsidR="006443BE" w:rsidRPr="003215C5">
        <w:t xml:space="preserve"> but the continuation of the process lacks </w:t>
      </w:r>
      <w:r w:rsidR="0011368E">
        <w:t xml:space="preserve">any </w:t>
      </w:r>
      <w:r w:rsidR="006443BE" w:rsidRPr="003215C5">
        <w:t>preferen</w:t>
      </w:r>
      <w:r>
        <w:t>tial treatment</w:t>
      </w:r>
      <w:r w:rsidR="00C77206">
        <w:t xml:space="preserve"> and, instead,</w:t>
      </w:r>
      <w:r w:rsidR="006443BE" w:rsidRPr="003215C5">
        <w:t xml:space="preserve"> is </w:t>
      </w:r>
      <w:r w:rsidR="0011368E">
        <w:t xml:space="preserve">characterised by </w:t>
      </w:r>
      <w:r w:rsidR="006443BE" w:rsidRPr="003215C5">
        <w:t xml:space="preserve">equal </w:t>
      </w:r>
      <w:r>
        <w:t>treatment</w:t>
      </w:r>
      <w:r w:rsidR="006443BE" w:rsidRPr="003215C5">
        <w:t xml:space="preserve">. In this way, the threshold for entering the service is lowered, </w:t>
      </w:r>
      <w:r w:rsidR="0011368E">
        <w:t xml:space="preserve">as </w:t>
      </w:r>
      <w:r w:rsidR="006443BE" w:rsidRPr="003215C5">
        <w:t>candidates compete within their own group</w:t>
      </w:r>
      <w:r>
        <w:t>,</w:t>
      </w:r>
      <w:r w:rsidR="006443BE" w:rsidRPr="003215C5">
        <w:t xml:space="preserve"> and not </w:t>
      </w:r>
      <w:r w:rsidR="00C77206">
        <w:t>against</w:t>
      </w:r>
      <w:r>
        <w:t xml:space="preserve"> </w:t>
      </w:r>
      <w:r w:rsidR="0011368E">
        <w:t xml:space="preserve">those </w:t>
      </w:r>
      <w:r w:rsidR="006443BE" w:rsidRPr="003215C5">
        <w:t>who do not belong to the</w:t>
      </w:r>
      <w:r w:rsidR="0011368E">
        <w:t>ir</w:t>
      </w:r>
      <w:r w:rsidR="006443BE" w:rsidRPr="003215C5">
        <w:t xml:space="preserve"> population </w:t>
      </w:r>
      <w:r>
        <w:t>group</w:t>
      </w:r>
      <w:r w:rsidR="00C77206">
        <w:t>. However,</w:t>
      </w:r>
      <w:r w:rsidR="006443BE" w:rsidRPr="003215C5">
        <w:t xml:space="preserve"> later on</w:t>
      </w:r>
      <w:r>
        <w:t>,</w:t>
      </w:r>
      <w:r w:rsidR="006443BE" w:rsidRPr="003215C5">
        <w:t xml:space="preserve"> in any internal tender in the civil service, to improve their employment status, </w:t>
      </w:r>
      <w:r>
        <w:t xml:space="preserve">horizontally </w:t>
      </w:r>
      <w:r w:rsidR="006443BE" w:rsidRPr="003215C5">
        <w:t xml:space="preserve">or </w:t>
      </w:r>
      <w:r>
        <w:t>vertically</w:t>
      </w:r>
      <w:r w:rsidR="006443BE" w:rsidRPr="003215C5">
        <w:t>, the</w:t>
      </w:r>
      <w:r>
        <w:t>re is no</w:t>
      </w:r>
      <w:r w:rsidR="006443BE" w:rsidRPr="003215C5">
        <w:t xml:space="preserve"> preferential treatment </w:t>
      </w:r>
      <w:r>
        <w:t xml:space="preserve">and they compete with </w:t>
      </w:r>
      <w:r w:rsidR="006443BE" w:rsidRPr="003215C5">
        <w:t>the general population.</w:t>
      </w:r>
      <w:r w:rsidR="00535E90" w:rsidRPr="003215C5">
        <w:rPr>
          <w:rStyle w:val="FootnoteReference"/>
        </w:rPr>
        <w:footnoteReference w:id="330"/>
      </w:r>
      <w:r w:rsidR="006443BE" w:rsidRPr="003215C5">
        <w:t xml:space="preserve"> Failure to </w:t>
      </w:r>
      <w:r>
        <w:t xml:space="preserve">set </w:t>
      </w:r>
      <w:r w:rsidR="006443BE" w:rsidRPr="003215C5">
        <w:t xml:space="preserve">the scope of tenders of any type, at </w:t>
      </w:r>
      <w:r w:rsidR="0011368E">
        <w:t xml:space="preserve">the </w:t>
      </w:r>
      <w:r w:rsidR="006443BE" w:rsidRPr="003215C5">
        <w:t xml:space="preserve">low, </w:t>
      </w:r>
      <w:r w:rsidR="0011368E">
        <w:t>intermediate</w:t>
      </w:r>
      <w:r>
        <w:t>,</w:t>
      </w:r>
      <w:r w:rsidR="006443BE" w:rsidRPr="003215C5">
        <w:t xml:space="preserve"> and high</w:t>
      </w:r>
      <w:r w:rsidR="0011368E">
        <w:t>er</w:t>
      </w:r>
      <w:r w:rsidR="006443BE" w:rsidRPr="003215C5">
        <w:t xml:space="preserve"> </w:t>
      </w:r>
      <w:r>
        <w:t>rank</w:t>
      </w:r>
      <w:r w:rsidR="0011368E">
        <w:t>s</w:t>
      </w:r>
      <w:r w:rsidR="006443BE" w:rsidRPr="003215C5">
        <w:t>, with an emphasis on the percentage of designated tenders of a</w:t>
      </w:r>
      <w:r>
        <w:t>ll</w:t>
      </w:r>
      <w:r w:rsidR="006443BE" w:rsidRPr="003215C5">
        <w:t xml:space="preserve"> type</w:t>
      </w:r>
      <w:r>
        <w:t>s</w:t>
      </w:r>
      <w:r w:rsidR="006443BE" w:rsidRPr="003215C5">
        <w:t xml:space="preserve">, will result in </w:t>
      </w:r>
      <w:r w:rsidR="0011368E">
        <w:t xml:space="preserve">a </w:t>
      </w:r>
      <w:r>
        <w:t>fail</w:t>
      </w:r>
      <w:r w:rsidR="0011368E">
        <w:t xml:space="preserve">ure </w:t>
      </w:r>
      <w:r>
        <w:t xml:space="preserve">to </w:t>
      </w:r>
      <w:r w:rsidR="006443BE" w:rsidRPr="003215C5">
        <w:t>meet</w:t>
      </w:r>
      <w:r>
        <w:t xml:space="preserve"> </w:t>
      </w:r>
      <w:r w:rsidR="006443BE" w:rsidRPr="003215C5">
        <w:t>affirmative action and adequate representation</w:t>
      </w:r>
      <w:r w:rsidRPr="004B730D">
        <w:t xml:space="preserve"> </w:t>
      </w:r>
      <w:r w:rsidRPr="003215C5">
        <w:t>targets</w:t>
      </w:r>
      <w:r w:rsidR="006443BE" w:rsidRPr="003215C5">
        <w:t xml:space="preserve">. Only an orderly plan of the volume of tenders </w:t>
      </w:r>
      <w:r>
        <w:t xml:space="preserve">by </w:t>
      </w:r>
      <w:r w:rsidR="006443BE" w:rsidRPr="003215C5">
        <w:t>percentages</w:t>
      </w:r>
      <w:r w:rsidR="0011368E">
        <w:t>,</w:t>
      </w:r>
      <w:r w:rsidR="006443BE" w:rsidRPr="003215C5">
        <w:t xml:space="preserve"> will be able to simultaneously </w:t>
      </w:r>
      <w:r>
        <w:t xml:space="preserve">integrate </w:t>
      </w:r>
      <w:r w:rsidR="006443BE" w:rsidRPr="003215C5">
        <w:t>new employees from the private market in</w:t>
      </w:r>
      <w:r w:rsidR="0011368E">
        <w:t>to</w:t>
      </w:r>
      <w:r w:rsidR="006443BE" w:rsidRPr="003215C5">
        <w:t xml:space="preserve"> the civil service</w:t>
      </w:r>
      <w:r>
        <w:t>,</w:t>
      </w:r>
      <w:r w:rsidR="006443BE" w:rsidRPr="003215C5">
        <w:t xml:space="preserve"> </w:t>
      </w:r>
      <w:r w:rsidR="0011368E">
        <w:t xml:space="preserve">and </w:t>
      </w:r>
      <w:r w:rsidR="006443BE" w:rsidRPr="003215C5">
        <w:t>encourag</w:t>
      </w:r>
      <w:r w:rsidR="0011368E">
        <w:t>e</w:t>
      </w:r>
      <w:r w:rsidR="006443BE" w:rsidRPr="003215C5">
        <w:t xml:space="preserve"> internal mobility and job </w:t>
      </w:r>
      <w:r w:rsidR="006443BE" w:rsidRPr="003215C5">
        <w:lastRenderedPageBreak/>
        <w:t>availability, all while maintaining the goal of diversity and inclusion in employment to meet affirmative action targets.</w:t>
      </w:r>
    </w:p>
    <w:p w14:paraId="30E19D79" w14:textId="64592E43" w:rsidR="006443BE" w:rsidRPr="003215C5" w:rsidRDefault="00C77206" w:rsidP="00286484">
      <w:pPr>
        <w:spacing w:line="360" w:lineRule="auto"/>
        <w:ind w:firstLine="720"/>
        <w:jc w:val="both"/>
      </w:pPr>
      <w:r>
        <w:t>Israel’s</w:t>
      </w:r>
      <w:r w:rsidR="006443BE" w:rsidRPr="003215C5">
        <w:t xml:space="preserve"> state of employment diversity</w:t>
      </w:r>
      <w:r w:rsidR="004B730D">
        <w:t>,</w:t>
      </w:r>
      <w:r w:rsidR="006443BE" w:rsidRPr="003215C5">
        <w:t xml:space="preserve"> or </w:t>
      </w:r>
      <w:r w:rsidR="004B730D">
        <w:t xml:space="preserve">even prior to </w:t>
      </w:r>
      <w:r w:rsidR="006443BE" w:rsidRPr="003215C5">
        <w:t xml:space="preserve">it, meeting integration goals, </w:t>
      </w:r>
      <w:r w:rsidR="004B730D">
        <w:t>wa</w:t>
      </w:r>
      <w:r w:rsidR="006443BE" w:rsidRPr="003215C5">
        <w:t xml:space="preserve">s </w:t>
      </w:r>
      <w:r w:rsidR="004B730D">
        <w:t xml:space="preserve">found by the Staff Team to </w:t>
      </w:r>
      <w:r>
        <w:t>be poor</w:t>
      </w:r>
      <w:r w:rsidR="006443BE" w:rsidRPr="003215C5">
        <w:t xml:space="preserve">. The </w:t>
      </w:r>
      <w:r w:rsidR="004B730D">
        <w:t>Staff Team</w:t>
      </w:r>
      <w:r w:rsidR="004B730D" w:rsidRPr="003215C5">
        <w:t xml:space="preserve"> </w:t>
      </w:r>
      <w:r w:rsidR="006443BE" w:rsidRPr="003215C5">
        <w:t xml:space="preserve">recommended that to meet the long-established representation targets, even before re-examination or mapping of barriers, it </w:t>
      </w:r>
      <w:r>
        <w:t>would be</w:t>
      </w:r>
      <w:r w:rsidR="006443BE" w:rsidRPr="003215C5">
        <w:t xml:space="preserve"> necessary to hold a dedicated tender </w:t>
      </w:r>
      <w:r w:rsidR="004B730D">
        <w:t xml:space="preserve">for </w:t>
      </w:r>
      <w:r w:rsidR="006443BE" w:rsidRPr="003215C5">
        <w:t>every third tender in the civil service.</w:t>
      </w:r>
      <w:r w:rsidR="00535E90" w:rsidRPr="003215C5">
        <w:rPr>
          <w:rStyle w:val="FootnoteReference"/>
        </w:rPr>
        <w:footnoteReference w:id="331"/>
      </w:r>
      <w:r w:rsidR="006443BE" w:rsidRPr="003215C5">
        <w:t xml:space="preserve"> It should be noted</w:t>
      </w:r>
      <w:r w:rsidR="004B730D">
        <w:t>,</w:t>
      </w:r>
      <w:r w:rsidR="006443BE" w:rsidRPr="003215C5">
        <w:t xml:space="preserve"> that this is not a recommendation</w:t>
      </w:r>
      <w:r w:rsidR="004B730D">
        <w:t>,</w:t>
      </w:r>
      <w:r w:rsidR="006443BE" w:rsidRPr="003215C5">
        <w:t xml:space="preserve"> but a quantification of the need for a dedicated tender to close the gaps.</w:t>
      </w:r>
    </w:p>
    <w:sectPr w:rsidR="006443BE" w:rsidRPr="003215C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usan" w:date="2021-05-15T10:37:00Z" w:initials="SD">
    <w:p w14:paraId="45034BE1" w14:textId="29433F3E" w:rsidR="000D37DC" w:rsidRDefault="000D37DC">
      <w:pPr>
        <w:pStyle w:val="CommentText"/>
      </w:pPr>
      <w:r>
        <w:rPr>
          <w:rStyle w:val="CommentReference"/>
        </w:rPr>
        <w:annotationRef/>
      </w:r>
      <w:r>
        <w:t>Does this correctly reflect your meaning?</w:t>
      </w:r>
    </w:p>
  </w:comment>
  <w:comment w:id="1" w:author="Susan" w:date="2021-05-15T22:53:00Z" w:initials="SD">
    <w:p w14:paraId="2E230B4C" w14:textId="45647783" w:rsidR="002C4E40" w:rsidRDefault="002C4E40">
      <w:pPr>
        <w:pStyle w:val="CommentText"/>
      </w:pPr>
      <w:r>
        <w:rPr>
          <w:rStyle w:val="CommentReference"/>
        </w:rPr>
        <w:annotationRef/>
      </w:r>
      <w:r>
        <w:t>Is centres correct here?</w:t>
      </w:r>
    </w:p>
  </w:comment>
  <w:comment w:id="3" w:author="Susan" w:date="2021-05-15T12:45:00Z" w:initials="SD">
    <w:p w14:paraId="13937941" w14:textId="63394B2E" w:rsidR="000D37DC" w:rsidRDefault="000D37DC">
      <w:pPr>
        <w:pStyle w:val="CommentText"/>
      </w:pPr>
      <w:r>
        <w:rPr>
          <w:rStyle w:val="CommentReference"/>
        </w:rPr>
        <w:annotationRef/>
      </w:r>
      <w:r>
        <w:t>It is not entirely clear - the explanation for what? Ongoing discrimination in hiring? This should be clarified.</w:t>
      </w:r>
    </w:p>
  </w:comment>
  <w:comment w:id="4" w:author="Susan" w:date="2021-05-15T16:13:00Z" w:initials="SD">
    <w:p w14:paraId="2B829326" w14:textId="7F04951A" w:rsidR="000D37DC" w:rsidRDefault="000D37DC">
      <w:pPr>
        <w:pStyle w:val="CommentText"/>
      </w:pPr>
      <w:r>
        <w:rPr>
          <w:rStyle w:val="CommentReference"/>
        </w:rPr>
        <w:annotationRef/>
      </w:r>
      <w:r>
        <w:t>Are all these Directives, etc. from the EU? Perhaps clarify here and there.</w:t>
      </w:r>
    </w:p>
  </w:comment>
  <w:comment w:id="5" w:author="Susan" w:date="2021-05-15T23:33:00Z" w:initials="SD">
    <w:p w14:paraId="7288C68C" w14:textId="284AFE0C" w:rsidR="00AD3D75" w:rsidRDefault="00AD3D75">
      <w:pPr>
        <w:pStyle w:val="CommentText"/>
      </w:pPr>
      <w:r>
        <w:rPr>
          <w:rStyle w:val="CommentReference"/>
        </w:rPr>
        <w:annotationRef/>
      </w:r>
      <w:r>
        <w:t>This is an accurate translation – does it correctly reflect your intentions?</w:t>
      </w:r>
    </w:p>
  </w:comment>
  <w:comment w:id="6" w:author="Susan" w:date="2021-05-15T16:38:00Z" w:initials="SD">
    <w:p w14:paraId="2311CC26" w14:textId="65F19AF2" w:rsidR="000D37DC" w:rsidRDefault="000D37DC">
      <w:pPr>
        <w:pStyle w:val="CommentText"/>
      </w:pPr>
      <w:r>
        <w:rPr>
          <w:rStyle w:val="CommentReference"/>
        </w:rPr>
        <w:annotationRef/>
      </w:r>
      <w:r>
        <w:t>Is this the correct term?</w:t>
      </w:r>
    </w:p>
  </w:comment>
  <w:comment w:id="7" w:author="Susan" w:date="2021-05-15T17:40:00Z" w:initials="SD">
    <w:p w14:paraId="19C8F2FF" w14:textId="5D252644" w:rsidR="000D37DC" w:rsidRDefault="000D37DC">
      <w:pPr>
        <w:pStyle w:val="CommentText"/>
      </w:pPr>
      <w:r>
        <w:rPr>
          <w:rStyle w:val="CommentReference"/>
        </w:rPr>
        <w:annotationRef/>
      </w:r>
      <w:r>
        <w:t>Do you mean is consistent with here? The translation is correct.</w:t>
      </w:r>
    </w:p>
  </w:comment>
  <w:comment w:id="8" w:author="Susan" w:date="2021-05-16T00:20:00Z" w:initials="SD">
    <w:p w14:paraId="7D47C782" w14:textId="08A5D965" w:rsidR="00001F87" w:rsidRDefault="00001F87">
      <w:pPr>
        <w:pStyle w:val="CommentText"/>
      </w:pPr>
      <w:r>
        <w:rPr>
          <w:rStyle w:val="CommentReference"/>
        </w:rPr>
        <w:annotationRef/>
      </w:r>
      <w:r>
        <w:t>This is an accurate translation, but it is not clear chronologically. Please clarify.</w:t>
      </w:r>
    </w:p>
  </w:comment>
  <w:comment w:id="9" w:author="Susan" w:date="2021-05-15T18:45:00Z" w:initials="SD">
    <w:p w14:paraId="4539B88C" w14:textId="17809EB8" w:rsidR="000D37DC" w:rsidRDefault="000D37DC">
      <w:pPr>
        <w:pStyle w:val="CommentText"/>
      </w:pPr>
      <w:r>
        <w:rPr>
          <w:rStyle w:val="CommentReference"/>
        </w:rPr>
        <w:annotationRef/>
      </w:r>
      <w:r>
        <w:t>Consider specifying which courts – federal courts? State? Both?</w:t>
      </w:r>
    </w:p>
  </w:comment>
  <w:comment w:id="10" w:author="Susan" w:date="2021-05-15T20:07:00Z" w:initials="SD">
    <w:p w14:paraId="2DABBF36" w14:textId="7C4B156C" w:rsidR="000D37DC" w:rsidRDefault="000D37DC">
      <w:pPr>
        <w:pStyle w:val="CommentText"/>
      </w:pPr>
      <w:r>
        <w:rPr>
          <w:rStyle w:val="CommentReference"/>
        </w:rPr>
        <w:annotationRef/>
      </w:r>
      <w:r>
        <w:t>Do you mean Labour Court here?</w:t>
      </w:r>
    </w:p>
  </w:comment>
  <w:comment w:id="11" w:author="Susan" w:date="2021-05-16T00:56:00Z" w:initials="SD">
    <w:p w14:paraId="39F3F0E4" w14:textId="3F955F4A" w:rsidR="00D703C2" w:rsidRDefault="00D703C2">
      <w:pPr>
        <w:pStyle w:val="CommentText"/>
      </w:pPr>
      <w:r>
        <w:rPr>
          <w:rStyle w:val="CommentReference"/>
        </w:rPr>
        <w:annotationRef/>
      </w:r>
      <w:r>
        <w:t>It is not clear from the text why this happened – it is somewhat confusing.</w:t>
      </w:r>
    </w:p>
  </w:comment>
  <w:comment w:id="13" w:author="Guy MalbeC" w:date="2021-05-02T08:37:00Z" w:initials="GM">
    <w:p w14:paraId="57AAE99C" w14:textId="77777777" w:rsidR="000D37DC" w:rsidRDefault="000D37DC" w:rsidP="005D1B99">
      <w:pPr>
        <w:pStyle w:val="CommentText"/>
      </w:pPr>
      <w:r>
        <w:rPr>
          <w:rStyle w:val="CommentReference"/>
        </w:rPr>
        <w:annotationRef/>
      </w:r>
      <w:r w:rsidRPr="009B3238">
        <w:rPr>
          <w:i/>
          <w:iCs/>
        </w:rPr>
        <w:t>Translator</w:t>
      </w:r>
      <w:r>
        <w:rPr>
          <w:i/>
          <w:iCs/>
        </w:rPr>
        <w:t>’</w:t>
      </w:r>
      <w:r w:rsidRPr="009B3238">
        <w:rPr>
          <w:i/>
          <w:iCs/>
        </w:rPr>
        <w:t>s Note</w:t>
      </w:r>
      <w:r>
        <w:t>: The Civil Service Bylaws – g.m.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034BE1" w15:done="0"/>
  <w15:commentEx w15:paraId="2E230B4C" w15:done="0"/>
  <w15:commentEx w15:paraId="13937941" w15:done="0"/>
  <w15:commentEx w15:paraId="2B829326" w15:done="0"/>
  <w15:commentEx w15:paraId="7288C68C" w15:done="0"/>
  <w15:commentEx w15:paraId="2311CC26" w15:done="0"/>
  <w15:commentEx w15:paraId="19C8F2FF" w15:done="0"/>
  <w15:commentEx w15:paraId="7D47C782" w15:done="0"/>
  <w15:commentEx w15:paraId="4539B88C" w15:done="0"/>
  <w15:commentEx w15:paraId="2DABBF36" w15:done="0"/>
  <w15:commentEx w15:paraId="39F3F0E4" w15:done="0"/>
  <w15:commentEx w15:paraId="57AAE9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8E359" w16cex:dateUtc="2021-05-02T0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034BE1" w16cid:durableId="244A22F6"/>
  <w16cid:commentId w16cid:paraId="2E230B4C" w16cid:durableId="244ACF66"/>
  <w16cid:commentId w16cid:paraId="13937941" w16cid:durableId="244A4105"/>
  <w16cid:commentId w16cid:paraId="2B829326" w16cid:durableId="244A71AE"/>
  <w16cid:commentId w16cid:paraId="7288C68C" w16cid:durableId="244AD8E7"/>
  <w16cid:commentId w16cid:paraId="2311CC26" w16cid:durableId="244A7792"/>
  <w16cid:commentId w16cid:paraId="7D47C782" w16cid:durableId="244AE3B6"/>
  <w16cid:commentId w16cid:paraId="4539B88C" w16cid:durableId="244A9552"/>
  <w16cid:commentId w16cid:paraId="2DABBF36" w16cid:durableId="244AA882"/>
  <w16cid:commentId w16cid:paraId="39F3F0E4" w16cid:durableId="244AEC4A"/>
  <w16cid:commentId w16cid:paraId="57AAE99C" w16cid:durableId="244AB1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65CCC" w14:textId="77777777" w:rsidR="000D37DC" w:rsidRDefault="000D37DC" w:rsidP="00E00D35">
      <w:pPr>
        <w:spacing w:after="0" w:line="240" w:lineRule="auto"/>
      </w:pPr>
      <w:r>
        <w:separator/>
      </w:r>
    </w:p>
  </w:endnote>
  <w:endnote w:type="continuationSeparator" w:id="0">
    <w:p w14:paraId="39DA6078" w14:textId="77777777" w:rsidR="000D37DC" w:rsidRDefault="000D37DC" w:rsidP="00E00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BF0E0" w14:textId="77777777" w:rsidR="000D37DC" w:rsidRDefault="000D37DC" w:rsidP="00E00D35">
      <w:pPr>
        <w:spacing w:after="0" w:line="240" w:lineRule="auto"/>
      </w:pPr>
      <w:r>
        <w:separator/>
      </w:r>
    </w:p>
  </w:footnote>
  <w:footnote w:type="continuationSeparator" w:id="0">
    <w:p w14:paraId="26A530F6" w14:textId="77777777" w:rsidR="000D37DC" w:rsidRDefault="000D37DC" w:rsidP="00E00D35">
      <w:pPr>
        <w:spacing w:after="0" w:line="240" w:lineRule="auto"/>
      </w:pPr>
      <w:r>
        <w:continuationSeparator/>
      </w:r>
    </w:p>
  </w:footnote>
  <w:footnote w:id="1">
    <w:p w14:paraId="36B0FB6B" w14:textId="4C50AAAA" w:rsidR="000D37DC" w:rsidRPr="005562DE" w:rsidRDefault="000D37DC"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vertAlign w:val="superscript"/>
          <w:lang w:val="en-GB"/>
        </w:rPr>
        <w:footnoteRef/>
      </w:r>
      <w:r w:rsidRPr="005562DE">
        <w:rPr>
          <w:highlight w:val="green"/>
          <w:lang w:val="en-GB"/>
        </w:rPr>
        <w:t>Herring, C., &amp; Henderson, L. (2015). Diversity in organizations: A critical examination. Chicago (Author-Date, 15 ed.); K</w:t>
      </w:r>
      <w:r>
        <w:rPr>
          <w:highlight w:val="green"/>
          <w:lang w:val="en-GB"/>
        </w:rPr>
        <w:t>a</w:t>
      </w:r>
      <w:r w:rsidRPr="005562DE">
        <w:rPr>
          <w:highlight w:val="green"/>
          <w:lang w:val="en-GB"/>
        </w:rPr>
        <w:t>l</w:t>
      </w:r>
      <w:r>
        <w:rPr>
          <w:highlight w:val="green"/>
          <w:lang w:val="en-GB"/>
        </w:rPr>
        <w:t>e</w:t>
      </w:r>
      <w:r w:rsidRPr="005562DE">
        <w:rPr>
          <w:highlight w:val="green"/>
          <w:lang w:val="en-GB"/>
        </w:rPr>
        <w:t xml:space="preserve">v, A., Kelly, E. and Dobbin, F. Best Practices or Best Guesses? Assessing the Efficiency of Corporate Affirmative Action and Diversity Policies. American Sociological Review, 71 (4) 589- 617 (2006). Online journal; Dobbin, F, S Kim, and A Kalev </w:t>
      </w:r>
      <w:r>
        <w:rPr>
          <w:highlight w:val="green"/>
          <w:lang w:val="en-GB"/>
        </w:rPr>
        <w:t>“</w:t>
      </w:r>
      <w:r w:rsidRPr="005562DE">
        <w:rPr>
          <w:highlight w:val="green"/>
          <w:lang w:val="en-GB"/>
        </w:rPr>
        <w:t>You Can</w:t>
      </w:r>
      <w:r>
        <w:rPr>
          <w:highlight w:val="green"/>
          <w:lang w:val="en-GB"/>
        </w:rPr>
        <w:t>’</w:t>
      </w:r>
      <w:r w:rsidRPr="005562DE">
        <w:rPr>
          <w:highlight w:val="green"/>
          <w:lang w:val="en-GB"/>
        </w:rPr>
        <w:t>t Always Get What You Need : Organizational Determinants of Diversity Programs</w:t>
      </w:r>
      <w:r>
        <w:rPr>
          <w:highlight w:val="green"/>
          <w:lang w:val="en-GB"/>
        </w:rPr>
        <w:t>”</w:t>
      </w:r>
      <w:r w:rsidRPr="005562DE">
        <w:rPr>
          <w:highlight w:val="green"/>
          <w:lang w:val="en-GB"/>
        </w:rPr>
        <w:t>, American Sociological Review 76:386 (2011); S.</w:t>
      </w:r>
      <w:r>
        <w:rPr>
          <w:highlight w:val="green"/>
          <w:lang w:val="en-GB"/>
        </w:rPr>
        <w:t xml:space="preserve"> </w:t>
      </w:r>
      <w:r w:rsidRPr="005562DE">
        <w:rPr>
          <w:highlight w:val="green"/>
          <w:lang w:val="en-GB"/>
        </w:rPr>
        <w:t xml:space="preserve">Kim, A Kalev, and F Dobbin </w:t>
      </w:r>
      <w:r>
        <w:rPr>
          <w:highlight w:val="green"/>
          <w:lang w:val="en-GB"/>
        </w:rPr>
        <w:t>“</w:t>
      </w:r>
      <w:r w:rsidRPr="005562DE">
        <w:rPr>
          <w:highlight w:val="green"/>
          <w:lang w:val="en-GB"/>
        </w:rPr>
        <w:t>Progressive Corporations at Work: The Case of Diversity Programs</w:t>
      </w:r>
      <w:r>
        <w:rPr>
          <w:highlight w:val="green"/>
          <w:lang w:val="en-GB"/>
        </w:rPr>
        <w:t>”</w:t>
      </w:r>
      <w:r w:rsidRPr="005562DE">
        <w:rPr>
          <w:highlight w:val="green"/>
          <w:lang w:val="en-GB"/>
        </w:rPr>
        <w:t xml:space="preserve">, Review of Law and Social Change 36 (2):171-213 (2012); Dobbin, F, and A Kalev </w:t>
      </w:r>
      <w:r>
        <w:rPr>
          <w:highlight w:val="green"/>
          <w:lang w:val="en-GB"/>
        </w:rPr>
        <w:t>“</w:t>
      </w:r>
      <w:r w:rsidRPr="005562DE">
        <w:rPr>
          <w:b/>
          <w:bCs/>
          <w:highlight w:val="green"/>
          <w:lang w:val="en-GB"/>
        </w:rPr>
        <w:t>The Origins and Effects of Corporate Diversity Programs</w:t>
      </w:r>
      <w:r>
        <w:rPr>
          <w:highlight w:val="green"/>
          <w:lang w:val="en-GB"/>
        </w:rPr>
        <w:t>”</w:t>
      </w:r>
      <w:r w:rsidRPr="005562DE">
        <w:rPr>
          <w:highlight w:val="green"/>
          <w:lang w:val="en-GB"/>
        </w:rPr>
        <w:t>, pp. 253-281 in Oxford Handbook of Diversity and Work, edited by QM Roberson. New York: Oxford University Press (2013)</w:t>
      </w:r>
      <w:r w:rsidRPr="005562DE">
        <w:rPr>
          <w:highlight w:val="green"/>
          <w:rtl/>
          <w:lang w:val="en-GB"/>
        </w:rPr>
        <w:t>.</w:t>
      </w:r>
    </w:p>
  </w:footnote>
  <w:footnote w:id="2">
    <w:p w14:paraId="55CCEE63" w14:textId="651ABAA0" w:rsidR="000D37DC" w:rsidRPr="005562DE" w:rsidRDefault="000D37DC"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Herdman, A. O. &amp; McMillan-Capehart, A. (2010</w:t>
      </w:r>
      <w:r w:rsidRPr="005562DE">
        <w:rPr>
          <w:i/>
          <w:iCs/>
          <w:highlight w:val="green"/>
          <w:lang w:val="en-GB"/>
        </w:rPr>
        <w:t xml:space="preserve">) </w:t>
      </w:r>
      <w:r w:rsidRPr="005562DE">
        <w:rPr>
          <w:b/>
          <w:bCs/>
          <w:i/>
          <w:iCs/>
          <w:highlight w:val="green"/>
          <w:lang w:val="en-GB"/>
        </w:rPr>
        <w:t>Establishing a diversity program is not enough: Exploring the determinants of diversity climate</w:t>
      </w:r>
      <w:r w:rsidRPr="005562DE">
        <w:rPr>
          <w:highlight w:val="green"/>
          <w:lang w:val="en-GB"/>
        </w:rPr>
        <w:t xml:space="preserve"> Journal of Business Psychology, 25, 39-35. </w:t>
      </w:r>
    </w:p>
  </w:footnote>
  <w:footnote w:id="3">
    <w:p w14:paraId="2600B4DE" w14:textId="6C0DF30A" w:rsidR="000D37DC" w:rsidRPr="005562DE" w:rsidRDefault="000D37DC" w:rsidP="00A61C8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Tajfel, H., &amp; Turner, J. C. </w:t>
      </w:r>
      <w:r>
        <w:rPr>
          <w:highlight w:val="green"/>
          <w:lang w:val="en-GB"/>
        </w:rPr>
        <w:t>“</w:t>
      </w:r>
      <w:r w:rsidRPr="005562DE">
        <w:rPr>
          <w:highlight w:val="green"/>
          <w:lang w:val="en-GB"/>
        </w:rPr>
        <w:t>The social identity theory of intergroup behaviour</w:t>
      </w:r>
      <w:r>
        <w:rPr>
          <w:highlight w:val="green"/>
          <w:lang w:val="en-GB"/>
        </w:rPr>
        <w:t>”</w:t>
      </w:r>
      <w:r w:rsidRPr="005562DE">
        <w:rPr>
          <w:highlight w:val="green"/>
          <w:lang w:val="en-GB"/>
        </w:rPr>
        <w:t xml:space="preserve"> In S. Worchel &amp; W. G. Austin (Eds.), The psychology of intergroup relations (pp. 7–24) (1986)</w:t>
      </w:r>
      <w:r w:rsidRPr="005562DE">
        <w:rPr>
          <w:rtl/>
          <w:lang w:val="en-GB"/>
        </w:rPr>
        <w:t>.</w:t>
      </w:r>
    </w:p>
  </w:footnote>
  <w:footnote w:id="4">
    <w:p w14:paraId="5F2DD477" w14:textId="33F132D7" w:rsidR="000D37DC" w:rsidRPr="005562DE" w:rsidRDefault="000D37DC"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Kenneth L. Karst &amp; Harold W. Horowitz, Affirmative Action and Equal Protection, 60 Va. L. Rev. 955, 965 (1974)</w:t>
      </w:r>
      <w:r w:rsidRPr="005562DE">
        <w:rPr>
          <w:highlight w:val="green"/>
          <w:rtl/>
          <w:lang w:val="en-GB"/>
        </w:rPr>
        <w:t>.</w:t>
      </w:r>
    </w:p>
  </w:footnote>
  <w:footnote w:id="5">
    <w:p w14:paraId="24E8DAA9" w14:textId="06F8B50F" w:rsidR="000D37DC" w:rsidRPr="005562DE" w:rsidRDefault="000D37DC" w:rsidP="00A61C8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Don A. Moore, Lloyd Tanlu &amp; Max H. Bazerman, </w:t>
      </w:r>
      <w:r w:rsidRPr="005562DE">
        <w:rPr>
          <w:i/>
          <w:iCs/>
          <w:highlight w:val="green"/>
          <w:lang w:val="en-GB"/>
        </w:rPr>
        <w:t>Conflict of Interest and the Intrusion of Bias</w:t>
      </w:r>
      <w:r w:rsidRPr="005562DE">
        <w:rPr>
          <w:highlight w:val="green"/>
          <w:lang w:val="en-GB"/>
        </w:rPr>
        <w:t xml:space="preserve">, 5 Judgment &amp; Decision Making 37 n. 1 (2010). A similar view was advanced by Gino and co-authors, who demonstrated that the level of control needed to behave ethically is much higher than that following from the decision to be unethical, see Francesca Gino, Maurice E. Schweitzer, Nicole L. Mead &amp; Dan Ariely, </w:t>
      </w:r>
      <w:r w:rsidRPr="005562DE">
        <w:rPr>
          <w:i/>
          <w:iCs/>
          <w:highlight w:val="green"/>
          <w:lang w:val="en-GB"/>
        </w:rPr>
        <w:t>Unable to Resist Temptation: How Self-Control Depletion Promotes Unethical Behavior</w:t>
      </w:r>
      <w:r w:rsidRPr="005562DE">
        <w:rPr>
          <w:highlight w:val="green"/>
          <w:lang w:val="en-GB"/>
        </w:rPr>
        <w:t xml:space="preserve">, 115 Org. Behav. &amp; Hum. Decision Processes 191 n. 2 (2011). Epley and Caruso concluded that automatic processing leads to egocentric ethical interpretations, see Nicolas Epley &amp; Eugene M. Caruso, </w:t>
      </w:r>
      <w:r w:rsidRPr="005562DE">
        <w:rPr>
          <w:i/>
          <w:iCs/>
          <w:highlight w:val="green"/>
          <w:lang w:val="en-GB"/>
        </w:rPr>
        <w:t>Egocentric Ethics</w:t>
      </w:r>
      <w:r w:rsidRPr="005562DE">
        <w:rPr>
          <w:highlight w:val="green"/>
          <w:lang w:val="en-GB"/>
        </w:rPr>
        <w:t xml:space="preserve">, 17 Soc. Just. Res. 171 n. 2 (2004). Similarly, Van den Bos and co-authors found support for the notion that when appraising a situation, we prefer outcomes that benefit ourselves, and only later correct to </w:t>
      </w:r>
      <w:proofErr w:type="gramStart"/>
      <w:r w:rsidRPr="005562DE">
        <w:rPr>
          <w:highlight w:val="green"/>
          <w:lang w:val="en-GB"/>
        </w:rPr>
        <w:t>take into account</w:t>
      </w:r>
      <w:proofErr w:type="gramEnd"/>
      <w:r w:rsidRPr="005562DE">
        <w:rPr>
          <w:highlight w:val="green"/>
          <w:lang w:val="en-GB"/>
        </w:rPr>
        <w:t xml:space="preserve"> fairness toward others, see Kees Van den Bos, Susanne L. Peters, D. Ramona Bobocel &amp; Jan Fekke Ybema, </w:t>
      </w:r>
      <w:r w:rsidRPr="005562DE">
        <w:rPr>
          <w:i/>
          <w:iCs/>
          <w:highlight w:val="green"/>
          <w:lang w:val="en-GB"/>
        </w:rPr>
        <w:t>On Preferences and Doing the Right Thing: Satisfaction with Advantageous Inequity When Cognitive Processing is Limited</w:t>
      </w:r>
      <w:r w:rsidRPr="005562DE">
        <w:rPr>
          <w:highlight w:val="green"/>
          <w:lang w:val="en-GB"/>
        </w:rPr>
        <w:t>, 42 J. Experimental Soc. Psychol. 273 n. 3 (2006).</w:t>
      </w:r>
    </w:p>
  </w:footnote>
  <w:footnote w:id="6">
    <w:p w14:paraId="522E437F" w14:textId="4E1BDDB7" w:rsidR="000D37DC" w:rsidRPr="005562DE" w:rsidRDefault="000D37DC" w:rsidP="00A61C8A">
      <w:pPr>
        <w:pStyle w:val="FootnoteText"/>
        <w:bidi w:val="0"/>
        <w:jc w:val="both"/>
        <w:rPr>
          <w:lang w:val="en-GB"/>
        </w:rPr>
      </w:pPr>
      <w:r w:rsidRPr="005562DE">
        <w:rPr>
          <w:rStyle w:val="FootnoteReference"/>
          <w:lang w:val="en-GB"/>
        </w:rPr>
        <w:footnoteRef/>
      </w:r>
      <w:r w:rsidRPr="005562DE">
        <w:rPr>
          <w:lang w:val="en-GB"/>
        </w:rPr>
        <w:t xml:space="preserve"> In Rawls</w:t>
      </w:r>
      <w:r>
        <w:rPr>
          <w:lang w:val="en-GB"/>
        </w:rPr>
        <w:t>’</w:t>
      </w:r>
      <w:r w:rsidRPr="005562DE">
        <w:rPr>
          <w:lang w:val="en-GB"/>
        </w:rPr>
        <w:t xml:space="preserve"> approach, the parties are rational and driven by a desire to maximi</w:t>
      </w:r>
      <w:r>
        <w:rPr>
          <w:lang w:val="en-GB"/>
        </w:rPr>
        <w:t>s</w:t>
      </w:r>
      <w:r w:rsidRPr="005562DE">
        <w:rPr>
          <w:lang w:val="en-GB"/>
        </w:rPr>
        <w:t>e their self-interest. When the parties did not know in advance what their status</w:t>
      </w:r>
      <w:r>
        <w:rPr>
          <w:lang w:val="en-GB"/>
        </w:rPr>
        <w:t>,</w:t>
      </w:r>
      <w:r w:rsidRPr="005562DE">
        <w:rPr>
          <w:lang w:val="en-GB"/>
        </w:rPr>
        <w:t xml:space="preserve"> and </w:t>
      </w:r>
      <w:r>
        <w:rPr>
          <w:lang w:val="en-GB"/>
        </w:rPr>
        <w:t xml:space="preserve">the </w:t>
      </w:r>
      <w:r w:rsidRPr="005562DE">
        <w:rPr>
          <w:lang w:val="en-GB"/>
        </w:rPr>
        <w:t>status of the candidate</w:t>
      </w:r>
      <w:r>
        <w:rPr>
          <w:lang w:val="en-GB"/>
        </w:rPr>
        <w:t>,</w:t>
      </w:r>
      <w:r w:rsidRPr="005562DE">
        <w:rPr>
          <w:lang w:val="en-GB"/>
        </w:rPr>
        <w:t xml:space="preserve"> was, they would support an arrangement that would reduce as much as possible socio-economic gaps. </w:t>
      </w:r>
      <w:r>
        <w:rPr>
          <w:lang w:val="en-GB"/>
        </w:rPr>
        <w:t xml:space="preserve">Over and above </w:t>
      </w:r>
      <w:r w:rsidRPr="005562DE">
        <w:rPr>
          <w:lang w:val="en-GB"/>
        </w:rPr>
        <w:t>the difficulty in not providing information about the candidate, it is not possible in practice to detach the decision</w:t>
      </w:r>
      <w:r>
        <w:rPr>
          <w:lang w:val="en-GB"/>
        </w:rPr>
        <w:t>-</w:t>
      </w:r>
      <w:r w:rsidRPr="005562DE">
        <w:rPr>
          <w:lang w:val="en-GB"/>
        </w:rPr>
        <w:t xml:space="preserve">maker from his knowledge about himself, his gender, </w:t>
      </w:r>
      <w:r>
        <w:rPr>
          <w:lang w:val="en-GB"/>
        </w:rPr>
        <w:t xml:space="preserve">his </w:t>
      </w:r>
      <w:r w:rsidRPr="005562DE">
        <w:rPr>
          <w:lang w:val="en-GB"/>
        </w:rPr>
        <w:t>group affiliation, and more.</w:t>
      </w:r>
    </w:p>
  </w:footnote>
  <w:footnote w:id="7">
    <w:p w14:paraId="515BE6E6" w14:textId="03EF22E0" w:rsidR="000D37DC" w:rsidRPr="005562DE" w:rsidRDefault="000D37DC" w:rsidP="00A61C8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Stanley Fish, </w:t>
      </w:r>
      <w:r w:rsidRPr="005562DE">
        <w:rPr>
          <w:i/>
          <w:iCs/>
          <w:highlight w:val="green"/>
          <w:lang w:val="en-GB"/>
        </w:rPr>
        <w:t xml:space="preserve">Reverse Racism or How the Pot Got to Call the Kettle Black, </w:t>
      </w:r>
      <w:r w:rsidRPr="005562DE">
        <w:rPr>
          <w:highlight w:val="green"/>
          <w:lang w:val="en-GB"/>
        </w:rPr>
        <w:t>Atlantic Monthly, Nov. 1993, at 128</w:t>
      </w:r>
      <w:r w:rsidRPr="005562DE">
        <w:rPr>
          <w:highlight w:val="green"/>
          <w:rtl/>
          <w:lang w:val="en-GB"/>
        </w:rPr>
        <w:t>.</w:t>
      </w:r>
    </w:p>
  </w:footnote>
  <w:footnote w:id="8">
    <w:p w14:paraId="76F4EABA" w14:textId="730D3744" w:rsidR="000D37DC" w:rsidRPr="005562DE" w:rsidRDefault="000D37DC" w:rsidP="00A61C8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Known as the term: Modera quota system.</w:t>
      </w:r>
    </w:p>
  </w:footnote>
  <w:footnote w:id="9">
    <w:p w14:paraId="0C31CEC6" w14:textId="57F84535" w:rsidR="000D37DC" w:rsidRPr="005562DE" w:rsidRDefault="000D37DC"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John Calmore, </w:t>
      </w:r>
      <w:r w:rsidRPr="005562DE">
        <w:rPr>
          <w:i/>
          <w:iCs/>
          <w:highlight w:val="green"/>
          <w:lang w:val="en-GB"/>
        </w:rPr>
        <w:t xml:space="preserve">Critical Race Theory, Archie Shepp, and Fire Music: Securing an Authentic Intellectual Life in a Multicultural World, </w:t>
      </w:r>
      <w:r w:rsidRPr="005562DE">
        <w:rPr>
          <w:highlight w:val="green"/>
          <w:lang w:val="en-GB"/>
        </w:rPr>
        <w:t>65 S.</w:t>
      </w:r>
      <w:r w:rsidRPr="005562DE">
        <w:rPr>
          <w:b/>
          <w:bCs/>
          <w:highlight w:val="green"/>
          <w:lang w:val="en-GB"/>
        </w:rPr>
        <w:t xml:space="preserve"> </w:t>
      </w:r>
      <w:r w:rsidRPr="005562DE">
        <w:rPr>
          <w:highlight w:val="green"/>
          <w:lang w:val="en-GB"/>
        </w:rPr>
        <w:t>Cal. L Rev. 2129,</w:t>
      </w:r>
      <w:r w:rsidRPr="005562DE">
        <w:rPr>
          <w:b/>
          <w:bCs/>
          <w:highlight w:val="green"/>
          <w:lang w:val="en-GB"/>
        </w:rPr>
        <w:t xml:space="preserve"> </w:t>
      </w:r>
      <w:r w:rsidRPr="005562DE">
        <w:rPr>
          <w:highlight w:val="green"/>
          <w:lang w:val="en-GB"/>
        </w:rPr>
        <w:t>2219 (1992; John E.</w:t>
      </w:r>
      <w:r w:rsidRPr="005562DE">
        <w:rPr>
          <w:b/>
          <w:bCs/>
          <w:highlight w:val="green"/>
          <w:lang w:val="en-GB"/>
        </w:rPr>
        <w:t xml:space="preserve"> </w:t>
      </w:r>
      <w:r w:rsidRPr="005562DE">
        <w:rPr>
          <w:highlight w:val="green"/>
          <w:lang w:val="en-GB"/>
        </w:rPr>
        <w:t xml:space="preserve">Morrison, </w:t>
      </w:r>
      <w:r w:rsidRPr="005562DE">
        <w:rPr>
          <w:i/>
          <w:iCs/>
          <w:highlight w:val="green"/>
          <w:lang w:val="en-GB"/>
        </w:rPr>
        <w:t xml:space="preserve">Colorblindness, Individuality, and Merit: An Analysis of the Rhetoric against Affirmative Action, </w:t>
      </w:r>
      <w:r w:rsidRPr="005562DE">
        <w:rPr>
          <w:highlight w:val="green"/>
          <w:lang w:val="en-GB"/>
        </w:rPr>
        <w:t>79 Iowa L Rev. 313, 333 (1994)</w:t>
      </w:r>
      <w:r w:rsidRPr="005562DE">
        <w:rPr>
          <w:highlight w:val="green"/>
          <w:rtl/>
          <w:lang w:val="en-GB"/>
        </w:rPr>
        <w:t>.</w:t>
      </w:r>
    </w:p>
  </w:footnote>
  <w:footnote w:id="10">
    <w:p w14:paraId="3A4565BF" w14:textId="4FDED479" w:rsidR="000D37DC" w:rsidRPr="005562DE" w:rsidRDefault="000D37DC" w:rsidP="00A61C8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Committee on the general aptitude test battery, National Research Council, Fairness in employment testing: validity generalization, minority issues, and the general aptitude test battery 253-60 (John A. Hartigan &amp; Alexandra K. Wigdor eds., 1989) 169</w:t>
      </w:r>
      <w:r w:rsidRPr="005562DE">
        <w:rPr>
          <w:highlight w:val="green"/>
          <w:rtl/>
          <w:lang w:val="en-GB"/>
        </w:rPr>
        <w:t>.</w:t>
      </w:r>
    </w:p>
  </w:footnote>
  <w:footnote w:id="11">
    <w:p w14:paraId="7340ED67" w14:textId="034DD415" w:rsidR="000D37DC" w:rsidRPr="005562DE" w:rsidRDefault="000D37DC"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Susan Sturm and Lani Guinier, </w:t>
      </w:r>
      <w:r w:rsidRPr="005562DE">
        <w:rPr>
          <w:i/>
          <w:iCs/>
          <w:highlight w:val="green"/>
          <w:lang w:val="en-GB"/>
        </w:rPr>
        <w:t>The Future of Affirmative Action: Reclaiming the Innovative Deal,</w:t>
      </w:r>
      <w:r w:rsidRPr="005562DE">
        <w:rPr>
          <w:highlight w:val="green"/>
          <w:lang w:val="en-GB"/>
        </w:rPr>
        <w:t xml:space="preserve"> 84 Cal. L. Rev. 953, 1003 (1996)</w:t>
      </w:r>
      <w:r w:rsidRPr="005562DE">
        <w:rPr>
          <w:highlight w:val="green"/>
          <w:rtl/>
          <w:lang w:val="en-GB"/>
        </w:rPr>
        <w:t>.</w:t>
      </w:r>
    </w:p>
  </w:footnote>
  <w:footnote w:id="12">
    <w:p w14:paraId="2C38BE17" w14:textId="6ACDA26F" w:rsidR="000D37DC" w:rsidRPr="005562DE" w:rsidRDefault="000D37DC" w:rsidP="00A61C8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Timothy J. O</w:t>
      </w:r>
      <w:r>
        <w:rPr>
          <w:highlight w:val="green"/>
          <w:lang w:val="en-GB"/>
        </w:rPr>
        <w:t>’</w:t>
      </w:r>
      <w:r w:rsidRPr="005562DE">
        <w:rPr>
          <w:highlight w:val="green"/>
          <w:lang w:val="en-GB"/>
        </w:rPr>
        <w:t xml:space="preserve">Neill, </w:t>
      </w:r>
      <w:r w:rsidRPr="005562DE">
        <w:rPr>
          <w:i/>
          <w:iCs/>
          <w:highlight w:val="green"/>
          <w:lang w:val="en-GB"/>
        </w:rPr>
        <w:t>The Language of Equality in a Constitutional Order</w:t>
      </w:r>
      <w:r w:rsidRPr="005562DE">
        <w:rPr>
          <w:highlight w:val="green"/>
          <w:lang w:val="en-GB"/>
        </w:rPr>
        <w:t xml:space="preserve">, 75(3) AM. POL. SCI. Rev. 626, 630 (1981); Larry S. Temkin, </w:t>
      </w:r>
      <w:r w:rsidRPr="005562DE">
        <w:rPr>
          <w:i/>
          <w:iCs/>
          <w:highlight w:val="green"/>
          <w:lang w:val="en-GB"/>
        </w:rPr>
        <w:t>Inequality: A Complex, Individualistic, and Comparative Notion</w:t>
      </w:r>
      <w:r w:rsidRPr="005562DE">
        <w:rPr>
          <w:highlight w:val="green"/>
          <w:lang w:val="en-GB"/>
        </w:rPr>
        <w:t>, 11 Philosophical Issues 327, 329 (2001)</w:t>
      </w:r>
      <w:r w:rsidRPr="005562DE">
        <w:rPr>
          <w:highlight w:val="green"/>
          <w:rtl/>
          <w:lang w:val="en-GB"/>
        </w:rPr>
        <w:t>.</w:t>
      </w:r>
    </w:p>
  </w:footnote>
  <w:footnote w:id="13">
    <w:p w14:paraId="5BE31DA7" w14:textId="44B36BF0" w:rsidR="000D37DC" w:rsidRPr="005562DE" w:rsidRDefault="000D37DC" w:rsidP="00A61C8A">
      <w:pPr>
        <w:pStyle w:val="FootnoteText"/>
        <w:bidi w:val="0"/>
        <w:jc w:val="both"/>
        <w:rPr>
          <w:lang w:val="en-GB"/>
        </w:rPr>
      </w:pPr>
      <w:r w:rsidRPr="005562DE">
        <w:rPr>
          <w:rStyle w:val="FootnoteReference"/>
          <w:lang w:val="en-GB"/>
        </w:rPr>
        <w:footnoteRef/>
      </w:r>
      <w:r w:rsidRPr="005562DE">
        <w:rPr>
          <w:rtl/>
          <w:lang w:val="en-GB"/>
        </w:rPr>
        <w:t xml:space="preserve"> </w:t>
      </w:r>
      <w:r w:rsidRPr="005562DE">
        <w:rPr>
          <w:lang w:val="en-GB"/>
        </w:rPr>
        <w:t xml:space="preserve">Aristotle, </w:t>
      </w:r>
      <w:r w:rsidRPr="005562DE">
        <w:rPr>
          <w:i/>
          <w:iCs/>
          <w:lang w:val="en-GB"/>
        </w:rPr>
        <w:t>Nicomachean Ethics</w:t>
      </w:r>
      <w:r w:rsidRPr="005562DE">
        <w:rPr>
          <w:lang w:val="en-GB"/>
        </w:rPr>
        <w:t xml:space="preserve"> pp. 116 – 118 (Book E, Chapter C, Para. 1131) (Translated by Joseph G. Liebes, 5733 (</w:t>
      </w:r>
      <w:r w:rsidRPr="005562DE">
        <w:rPr>
          <w:i/>
          <w:iCs/>
          <w:lang w:val="en-GB"/>
        </w:rPr>
        <w:t>year</w:t>
      </w:r>
      <w:r w:rsidRPr="005562DE">
        <w:rPr>
          <w:lang w:val="en-GB"/>
        </w:rPr>
        <w:t>)).</w:t>
      </w:r>
    </w:p>
  </w:footnote>
  <w:footnote w:id="14">
    <w:p w14:paraId="0C17A0E5" w14:textId="06D6AF38" w:rsidR="000D37DC" w:rsidRPr="005562DE" w:rsidRDefault="000D37DC"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Amartya sen, Inequality re-examined 39–55 (1992)</w:t>
      </w:r>
      <w:r w:rsidRPr="005562DE">
        <w:rPr>
          <w:highlight w:val="green"/>
          <w:rtl/>
          <w:lang w:val="en-GB"/>
        </w:rPr>
        <w:t>.</w:t>
      </w:r>
    </w:p>
  </w:footnote>
  <w:footnote w:id="15">
    <w:p w14:paraId="33B15C15" w14:textId="02F3811A" w:rsidR="000D37DC" w:rsidRPr="005562DE" w:rsidRDefault="000D37DC" w:rsidP="000558AB">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McWhorter, J.H. </w:t>
      </w:r>
      <w:r w:rsidRPr="005562DE">
        <w:rPr>
          <w:i/>
          <w:iCs/>
          <w:highlight w:val="green"/>
          <w:lang w:val="en-GB"/>
        </w:rPr>
        <w:t>Losing the Race: Self-Sabotage in Black America</w:t>
      </w:r>
      <w:r w:rsidRPr="005562DE">
        <w:rPr>
          <w:highlight w:val="green"/>
          <w:lang w:val="en-GB"/>
        </w:rPr>
        <w:t>, The Free Press, New York (2000)</w:t>
      </w:r>
      <w:r w:rsidRPr="005562DE">
        <w:rPr>
          <w:highlight w:val="green"/>
          <w:rtl/>
          <w:lang w:val="en-GB"/>
        </w:rPr>
        <w:t>.</w:t>
      </w:r>
    </w:p>
  </w:footnote>
  <w:footnote w:id="16">
    <w:p w14:paraId="39FE186F" w14:textId="107B0149" w:rsidR="000D37DC" w:rsidRPr="005562DE" w:rsidRDefault="000D37DC" w:rsidP="00C87290">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Referred to in the literature as the: Diversity-Validity Dilemma; See, Pyburn Jr., K.M.; Ployhart, R.E.; and Kravitz, D.A. </w:t>
      </w:r>
      <w:r>
        <w:rPr>
          <w:highlight w:val="green"/>
          <w:lang w:val="en-GB"/>
        </w:rPr>
        <w:t>“</w:t>
      </w:r>
      <w:r w:rsidRPr="005562DE">
        <w:rPr>
          <w:highlight w:val="green"/>
          <w:lang w:val="en-GB"/>
        </w:rPr>
        <w:t>The Diversity-Validity Dilemma: Overview and Legal Context</w:t>
      </w:r>
      <w:r>
        <w:rPr>
          <w:highlight w:val="green"/>
          <w:lang w:val="en-GB"/>
        </w:rPr>
        <w:t>”</w:t>
      </w:r>
      <w:r w:rsidRPr="005562DE">
        <w:rPr>
          <w:highlight w:val="green"/>
          <w:lang w:val="en-GB"/>
        </w:rPr>
        <w:t xml:space="preserve">. </w:t>
      </w:r>
      <w:r w:rsidRPr="005562DE">
        <w:rPr>
          <w:i/>
          <w:iCs/>
          <w:highlight w:val="green"/>
          <w:lang w:val="en-GB"/>
        </w:rPr>
        <w:t>Personnel Psychology</w:t>
      </w:r>
      <w:r w:rsidRPr="005562DE">
        <w:rPr>
          <w:highlight w:val="green"/>
          <w:lang w:val="en-GB"/>
        </w:rPr>
        <w:t xml:space="preserve"> 61:143-151 (2008)</w:t>
      </w:r>
      <w:r w:rsidRPr="005562DE">
        <w:rPr>
          <w:highlight w:val="green"/>
          <w:rtl/>
          <w:lang w:val="en-GB"/>
        </w:rPr>
        <w:t>.</w:t>
      </w:r>
      <w:r w:rsidRPr="005562DE">
        <w:rPr>
          <w:highlight w:val="green"/>
          <w:lang w:val="en-GB"/>
        </w:rPr>
        <w:t xml:space="preserve"> </w:t>
      </w:r>
      <w:r w:rsidRPr="005562DE">
        <w:rPr>
          <w:i/>
          <w:iCs/>
          <w:highlight w:val="green"/>
          <w:lang w:val="en-GB"/>
        </w:rPr>
        <w:t>Cf.</w:t>
      </w:r>
      <w:r w:rsidRPr="005562DE">
        <w:rPr>
          <w:highlight w:val="green"/>
          <w:lang w:val="en-GB"/>
        </w:rPr>
        <w:t xml:space="preserve">: Chung-Yan, G.A.; and Cronshaw, S.F. </w:t>
      </w:r>
      <w:r>
        <w:rPr>
          <w:highlight w:val="green"/>
          <w:lang w:val="en-GB"/>
        </w:rPr>
        <w:t>“</w:t>
      </w:r>
      <w:r w:rsidRPr="005562DE">
        <w:rPr>
          <w:highlight w:val="green"/>
          <w:lang w:val="en-GB"/>
        </w:rPr>
        <w:t>A Critical Re-examination and Analysis of Cognitive Ability Tests Using the Thorndike Model of Fairness</w:t>
      </w:r>
      <w:r>
        <w:rPr>
          <w:highlight w:val="green"/>
          <w:lang w:val="en-GB"/>
        </w:rPr>
        <w:t>”</w:t>
      </w:r>
      <w:r w:rsidRPr="005562DE">
        <w:rPr>
          <w:highlight w:val="green"/>
          <w:lang w:val="en-GB"/>
        </w:rPr>
        <w:t xml:space="preserve">, </w:t>
      </w:r>
      <w:r w:rsidRPr="005562DE">
        <w:rPr>
          <w:i/>
          <w:iCs/>
          <w:highlight w:val="green"/>
          <w:lang w:val="en-GB"/>
        </w:rPr>
        <w:t>Journal of Occupational and Organizational Psychology</w:t>
      </w:r>
      <w:r w:rsidRPr="005562DE">
        <w:rPr>
          <w:highlight w:val="green"/>
          <w:lang w:val="en-GB"/>
        </w:rPr>
        <w:t xml:space="preserve"> 75:489-509 (2002)</w:t>
      </w:r>
      <w:r w:rsidRPr="005562DE">
        <w:rPr>
          <w:highlight w:val="green"/>
          <w:rtl/>
          <w:lang w:val="en-GB"/>
        </w:rPr>
        <w:t>.</w:t>
      </w:r>
    </w:p>
  </w:footnote>
  <w:footnote w:id="17">
    <w:p w14:paraId="2D375BF6" w14:textId="6CD4F65A" w:rsidR="000D37DC" w:rsidRPr="005562DE" w:rsidRDefault="000D37DC" w:rsidP="000558AB">
      <w:pPr>
        <w:pStyle w:val="FootnoteText"/>
        <w:bidi w:val="0"/>
        <w:jc w:val="both"/>
        <w:rPr>
          <w:highlight w:val="green"/>
          <w:lang w:val="en-GB"/>
        </w:rPr>
      </w:pPr>
      <w:r w:rsidRPr="005562DE">
        <w:rPr>
          <w:rStyle w:val="FootnoteReference"/>
          <w:highlight w:val="green"/>
          <w:lang w:val="en-GB"/>
        </w:rPr>
        <w:footnoteRef/>
      </w:r>
      <w:r w:rsidRPr="005562DE">
        <w:rPr>
          <w:highlight w:val="green"/>
          <w:lang w:val="en-GB"/>
        </w:rPr>
        <w:t xml:space="preserve"> Ployhart, R.E.; and Holtz, B.C. </w:t>
      </w:r>
      <w:r>
        <w:rPr>
          <w:highlight w:val="green"/>
          <w:lang w:val="en-GB"/>
        </w:rPr>
        <w:t>“</w:t>
      </w:r>
      <w:r w:rsidRPr="005562DE">
        <w:rPr>
          <w:highlight w:val="green"/>
          <w:lang w:val="en-GB"/>
        </w:rPr>
        <w:t>The Diversity-Validity Dilemma: Strategies for Reducing Racioethnic and Sex Subgroup Differences and Adverse Impact Selection</w:t>
      </w:r>
      <w:r>
        <w:rPr>
          <w:highlight w:val="green"/>
          <w:lang w:val="en-GB"/>
        </w:rPr>
        <w:t>”</w:t>
      </w:r>
      <w:r w:rsidRPr="005562DE">
        <w:rPr>
          <w:highlight w:val="green"/>
          <w:lang w:val="en-GB"/>
        </w:rPr>
        <w:t xml:space="preserve">, </w:t>
      </w:r>
      <w:r w:rsidRPr="005562DE">
        <w:rPr>
          <w:i/>
          <w:iCs/>
          <w:highlight w:val="green"/>
          <w:lang w:val="en-GB"/>
        </w:rPr>
        <w:t>Personnel Psychology</w:t>
      </w:r>
      <w:r w:rsidRPr="005562DE">
        <w:rPr>
          <w:highlight w:val="green"/>
          <w:lang w:val="en-GB"/>
        </w:rPr>
        <w:t xml:space="preserve"> 61:153-172 (2008)</w:t>
      </w:r>
      <w:r w:rsidRPr="005562DE">
        <w:rPr>
          <w:highlight w:val="green"/>
          <w:rtl/>
          <w:lang w:val="en-GB"/>
        </w:rPr>
        <w:t>.</w:t>
      </w:r>
    </w:p>
  </w:footnote>
  <w:footnote w:id="18">
    <w:p w14:paraId="169AA96C" w14:textId="57F22A0F" w:rsidR="000D37DC" w:rsidRPr="005562DE" w:rsidRDefault="000D37DC" w:rsidP="000558AB">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Sternberg, R.J.; Forsythe, G.B.; Hedlund, J.; Horvath, J.A.; Wagner, R.K.; Williams, W.M.; Snook, S. A.; and Grigorenko, E.L</w:t>
      </w:r>
      <w:r w:rsidRPr="005562DE">
        <w:rPr>
          <w:b/>
          <w:bCs/>
          <w:i/>
          <w:iCs/>
          <w:highlight w:val="green"/>
          <w:lang w:val="en-GB"/>
        </w:rPr>
        <w:t xml:space="preserve">., </w:t>
      </w:r>
      <w:r w:rsidRPr="005562DE">
        <w:rPr>
          <w:i/>
          <w:iCs/>
          <w:highlight w:val="green"/>
          <w:lang w:val="en-GB"/>
        </w:rPr>
        <w:t>Practical Intelligence in Everyday Life</w:t>
      </w:r>
      <w:r w:rsidRPr="005562DE">
        <w:rPr>
          <w:highlight w:val="green"/>
          <w:lang w:val="en-GB"/>
        </w:rPr>
        <w:t>, Cambridge University Press, New York (2000)</w:t>
      </w:r>
      <w:r w:rsidRPr="005562DE">
        <w:rPr>
          <w:highlight w:val="green"/>
          <w:rtl/>
          <w:lang w:val="en-GB"/>
        </w:rPr>
        <w:t>.</w:t>
      </w:r>
    </w:p>
  </w:footnote>
  <w:footnote w:id="19">
    <w:p w14:paraId="48B49496" w14:textId="16C5718B" w:rsidR="000D37DC" w:rsidRPr="005562DE" w:rsidRDefault="000D37DC" w:rsidP="000558AB">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Collins, J.M.; Schmidt, F.L.; Sanchez-Ku, F.M.; Thomas, L.; McDaniel, M.A.; and Le, H. </w:t>
      </w:r>
      <w:r>
        <w:rPr>
          <w:highlight w:val="green"/>
          <w:lang w:val="en-GB"/>
        </w:rPr>
        <w:t>“</w:t>
      </w:r>
      <w:r w:rsidRPr="005562DE">
        <w:rPr>
          <w:highlight w:val="green"/>
          <w:lang w:val="en-GB"/>
        </w:rPr>
        <w:t>Can Basic Individual Differences Shed Light on the Construct Meaning of Assessment Center Evaluations?</w:t>
      </w:r>
      <w:r>
        <w:rPr>
          <w:highlight w:val="green"/>
          <w:lang w:val="en-GB"/>
        </w:rPr>
        <w:t>”</w:t>
      </w:r>
      <w:r w:rsidRPr="005562DE">
        <w:rPr>
          <w:highlight w:val="green"/>
          <w:lang w:val="en-GB"/>
        </w:rPr>
        <w:t xml:space="preserve"> </w:t>
      </w:r>
      <w:r w:rsidRPr="005562DE">
        <w:rPr>
          <w:i/>
          <w:iCs/>
          <w:highlight w:val="green"/>
          <w:lang w:val="en-GB"/>
        </w:rPr>
        <w:t>International Journal of Selection and Assessment</w:t>
      </w:r>
      <w:r w:rsidRPr="005562DE">
        <w:rPr>
          <w:highlight w:val="green"/>
          <w:lang w:val="en-GB"/>
        </w:rPr>
        <w:t xml:space="preserve"> 11:17-29 (2003)</w:t>
      </w:r>
      <w:r w:rsidRPr="005562DE">
        <w:rPr>
          <w:highlight w:val="green"/>
          <w:rtl/>
          <w:lang w:val="en-GB"/>
        </w:rPr>
        <w:t>.</w:t>
      </w:r>
    </w:p>
  </w:footnote>
  <w:footnote w:id="20">
    <w:p w14:paraId="79DD5469" w14:textId="4281A0C8" w:rsidR="000D37DC" w:rsidRPr="005562DE" w:rsidRDefault="000D37DC" w:rsidP="000558AB">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Situational judgment tests</w:t>
      </w:r>
      <w:r w:rsidRPr="005562DE">
        <w:rPr>
          <w:highlight w:val="green"/>
          <w:rtl/>
          <w:lang w:val="en-GB"/>
        </w:rPr>
        <w:t>.</w:t>
      </w:r>
    </w:p>
  </w:footnote>
  <w:footnote w:id="21">
    <w:p w14:paraId="7BBB8C80" w14:textId="4666DD94" w:rsidR="000D37DC" w:rsidRPr="005562DE" w:rsidRDefault="000D37DC" w:rsidP="000558AB">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See. e.g., in the US: Uniform Guidelines on Employee Selection Procedure. See in detail: Pyburn Jr., K.M.; Ployhart, R.E.; and Kravitz, D.A. </w:t>
      </w:r>
      <w:r>
        <w:rPr>
          <w:highlight w:val="green"/>
          <w:lang w:val="en-GB"/>
        </w:rPr>
        <w:t>“</w:t>
      </w:r>
      <w:r w:rsidRPr="005562DE">
        <w:rPr>
          <w:highlight w:val="green"/>
          <w:lang w:val="en-GB"/>
        </w:rPr>
        <w:t>The Diversity-Validity Dilemma: Overview and Legal Context</w:t>
      </w:r>
      <w:r>
        <w:rPr>
          <w:highlight w:val="green"/>
          <w:lang w:val="en-GB"/>
        </w:rPr>
        <w:t>”</w:t>
      </w:r>
      <w:r w:rsidRPr="005562DE">
        <w:rPr>
          <w:highlight w:val="green"/>
          <w:lang w:val="en-GB"/>
        </w:rPr>
        <w:t xml:space="preserve">. </w:t>
      </w:r>
      <w:r w:rsidRPr="005562DE">
        <w:rPr>
          <w:i/>
          <w:iCs/>
          <w:highlight w:val="green"/>
          <w:lang w:val="en-GB"/>
        </w:rPr>
        <w:t>Personnel Psychology</w:t>
      </w:r>
      <w:r w:rsidRPr="005562DE">
        <w:rPr>
          <w:highlight w:val="green"/>
          <w:lang w:val="en-GB"/>
        </w:rPr>
        <w:t xml:space="preserve"> 61:143-151 (2008)</w:t>
      </w:r>
      <w:r w:rsidRPr="005562DE">
        <w:rPr>
          <w:highlight w:val="green"/>
          <w:rtl/>
          <w:lang w:val="en-GB"/>
        </w:rPr>
        <w:t>.</w:t>
      </w:r>
    </w:p>
  </w:footnote>
  <w:footnote w:id="22">
    <w:p w14:paraId="6C57FF9B" w14:textId="023AA946" w:rsidR="000D37DC" w:rsidRPr="005562DE" w:rsidRDefault="000D37DC" w:rsidP="000558AB">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Schmidt, F.L.; and Hunter, J.E. </w:t>
      </w:r>
      <w:r>
        <w:rPr>
          <w:highlight w:val="green"/>
          <w:lang w:val="en-GB"/>
        </w:rPr>
        <w:t>“</w:t>
      </w:r>
      <w:r w:rsidRPr="005562DE">
        <w:rPr>
          <w:highlight w:val="green"/>
          <w:lang w:val="en-GB"/>
        </w:rPr>
        <w:t xml:space="preserve">The Validity and Utility of Selection Methods in Personnel Psychology: Practical and Theoretical Implications of 85 Years of Research Findings. </w:t>
      </w:r>
      <w:r w:rsidRPr="005562DE">
        <w:rPr>
          <w:i/>
          <w:iCs/>
          <w:highlight w:val="green"/>
          <w:lang w:val="en-GB"/>
        </w:rPr>
        <w:t>Psychological Bulletin</w:t>
      </w:r>
      <w:r w:rsidRPr="005562DE">
        <w:rPr>
          <w:highlight w:val="green"/>
          <w:lang w:val="en-GB"/>
        </w:rPr>
        <w:t xml:space="preserve"> 124:262-274 (1998)</w:t>
      </w:r>
      <w:r w:rsidRPr="005562DE">
        <w:rPr>
          <w:highlight w:val="green"/>
          <w:rtl/>
          <w:lang w:val="en-GB"/>
        </w:rPr>
        <w:t>.</w:t>
      </w:r>
    </w:p>
  </w:footnote>
  <w:footnote w:id="23">
    <w:p w14:paraId="17CC2D8F" w14:textId="5FD518DF" w:rsidR="000D37DC" w:rsidRPr="005562DE" w:rsidRDefault="000D37DC" w:rsidP="00D67027">
      <w:pPr>
        <w:pStyle w:val="FootnoteText"/>
        <w:bidi w:val="0"/>
        <w:jc w:val="both"/>
        <w:rPr>
          <w:lang w:val="en-GB"/>
        </w:rPr>
      </w:pPr>
      <w:r w:rsidRPr="005562DE">
        <w:rPr>
          <w:rStyle w:val="FootnoteReference"/>
          <w:lang w:val="en-GB"/>
        </w:rPr>
        <w:footnoteRef/>
      </w:r>
      <w:r w:rsidRPr="005562DE">
        <w:rPr>
          <w:rtl/>
          <w:lang w:val="en-GB"/>
        </w:rPr>
        <w:t xml:space="preserve"> </w:t>
      </w:r>
      <w:r w:rsidRPr="00D67027">
        <w:rPr>
          <w:i/>
          <w:iCs/>
          <w:lang w:val="en-GB"/>
        </w:rPr>
        <w:t>E.g.</w:t>
      </w:r>
      <w:r w:rsidRPr="005562DE">
        <w:rPr>
          <w:lang w:val="en-GB"/>
        </w:rPr>
        <w:t xml:space="preserve">: The Civil Rights Act 1964 &amp; The Civil Rights Act 1991. </w:t>
      </w:r>
      <w:r>
        <w:rPr>
          <w:lang w:val="en-GB"/>
        </w:rPr>
        <w:t xml:space="preserve">The </w:t>
      </w:r>
      <w:r w:rsidRPr="005562DE">
        <w:rPr>
          <w:lang w:val="en-GB"/>
        </w:rPr>
        <w:t>Uniform Guidelines on Employee Selection Procedure, 1978</w:t>
      </w:r>
      <w:r>
        <w:rPr>
          <w:lang w:val="en-GB"/>
        </w:rPr>
        <w:t>,</w:t>
      </w:r>
      <w:r w:rsidRPr="005562DE">
        <w:rPr>
          <w:lang w:val="en-GB"/>
        </w:rPr>
        <w:t xml:space="preserve"> detail the guidelines set by the Department of Labor to avoid discrimination</w:t>
      </w:r>
      <w:r>
        <w:rPr>
          <w:lang w:val="en-GB"/>
        </w:rPr>
        <w:t>;</w:t>
      </w:r>
      <w:r w:rsidRPr="005562DE">
        <w:rPr>
          <w:lang w:val="en-GB"/>
        </w:rPr>
        <w:t xml:space="preserve"> </w:t>
      </w:r>
      <w:r>
        <w:rPr>
          <w:lang w:val="en-GB"/>
        </w:rPr>
        <w:t xml:space="preserve">they are accessible </w:t>
      </w:r>
      <w:r w:rsidRPr="005562DE">
        <w:rPr>
          <w:lang w:val="en-GB"/>
        </w:rPr>
        <w:t xml:space="preserve">here: </w:t>
      </w:r>
      <w:hyperlink r:id="rId1" w:history="1">
        <w:r w:rsidRPr="005562DE">
          <w:rPr>
            <w:rStyle w:val="Hyperlink"/>
            <w:lang w:val="en-GB"/>
          </w:rPr>
          <w:t>http://www.uniformguidelines.com/uniformguidelines.html</w:t>
        </w:r>
      </w:hyperlink>
      <w:r w:rsidRPr="00D67027">
        <w:rPr>
          <w:rStyle w:val="Hyperlink"/>
          <w:color w:val="auto"/>
          <w:u w:val="none"/>
          <w:lang w:val="en-GB"/>
        </w:rPr>
        <w:t>.</w:t>
      </w:r>
    </w:p>
  </w:footnote>
  <w:footnote w:id="24">
    <w:p w14:paraId="18BC9311" w14:textId="044035A3" w:rsidR="000D37DC" w:rsidRPr="005562DE" w:rsidRDefault="000D37DC" w:rsidP="004574B0">
      <w:pPr>
        <w:pStyle w:val="FootnoteText"/>
        <w:bidi w:val="0"/>
        <w:jc w:val="both"/>
        <w:rPr>
          <w:lang w:val="en-GB"/>
        </w:rPr>
      </w:pPr>
      <w:r w:rsidRPr="005562DE">
        <w:rPr>
          <w:rStyle w:val="FootnoteReference"/>
          <w:lang w:val="en-GB"/>
        </w:rPr>
        <w:footnoteRef/>
      </w:r>
      <w:r w:rsidRPr="005562DE">
        <w:rPr>
          <w:rtl/>
          <w:lang w:val="en-GB"/>
        </w:rPr>
        <w:t xml:space="preserve"> </w:t>
      </w:r>
      <w:r w:rsidRPr="005562DE">
        <w:rPr>
          <w:i/>
          <w:iCs/>
          <w:lang w:val="en-GB"/>
        </w:rPr>
        <w:t>Ibid</w:t>
      </w:r>
      <w:r w:rsidRPr="005562DE">
        <w:rPr>
          <w:lang w:val="en-GB"/>
        </w:rPr>
        <w:t>.</w:t>
      </w:r>
    </w:p>
  </w:footnote>
  <w:footnote w:id="25">
    <w:p w14:paraId="6B85521D" w14:textId="0D965134" w:rsidR="000D37DC" w:rsidRPr="005562DE" w:rsidRDefault="000D37DC" w:rsidP="004574B0">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Pyburn, see </w:t>
      </w:r>
      <w:r w:rsidRPr="005562DE">
        <w:rPr>
          <w:i/>
          <w:iCs/>
          <w:highlight w:val="green"/>
          <w:lang w:val="en-GB"/>
        </w:rPr>
        <w:t>supra</w:t>
      </w:r>
      <w:r w:rsidRPr="005562DE">
        <w:rPr>
          <w:highlight w:val="green"/>
          <w:lang w:val="en-GB"/>
        </w:rPr>
        <w:t>.</w:t>
      </w:r>
    </w:p>
  </w:footnote>
  <w:footnote w:id="26">
    <w:p w14:paraId="554C9DAD" w14:textId="43A89A21" w:rsidR="000D37DC" w:rsidRPr="005562DE" w:rsidRDefault="000D37DC" w:rsidP="004574B0">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Berry, C.M.; Gruys, M.; and Sacket, P.R. </w:t>
      </w:r>
      <w:r>
        <w:rPr>
          <w:highlight w:val="green"/>
          <w:lang w:val="en-GB"/>
        </w:rPr>
        <w:t>“</w:t>
      </w:r>
      <w:r w:rsidRPr="005562DE">
        <w:rPr>
          <w:highlight w:val="green"/>
          <w:lang w:val="en-GB"/>
        </w:rPr>
        <w:t>Educational Attainment as a Proxy for Cognitive Ability in Selection: Effects on Levels of Cognitive Ability and Adverse Impact</w:t>
      </w:r>
      <w:r>
        <w:rPr>
          <w:highlight w:val="green"/>
          <w:lang w:val="en-GB"/>
        </w:rPr>
        <w:t>”</w:t>
      </w:r>
      <w:r w:rsidRPr="005562DE">
        <w:rPr>
          <w:highlight w:val="green"/>
          <w:lang w:val="en-GB"/>
        </w:rPr>
        <w:t xml:space="preserve">, </w:t>
      </w:r>
      <w:r w:rsidRPr="005562DE">
        <w:rPr>
          <w:i/>
          <w:iCs/>
          <w:highlight w:val="green"/>
          <w:lang w:val="en-GB"/>
        </w:rPr>
        <w:t>Journal of Applied Psychology</w:t>
      </w:r>
      <w:r w:rsidRPr="005562DE">
        <w:rPr>
          <w:b/>
          <w:bCs/>
          <w:i/>
          <w:iCs/>
          <w:highlight w:val="green"/>
          <w:lang w:val="en-GB"/>
        </w:rPr>
        <w:t xml:space="preserve"> </w:t>
      </w:r>
      <w:r w:rsidRPr="005562DE">
        <w:rPr>
          <w:highlight w:val="green"/>
          <w:lang w:val="en-GB"/>
        </w:rPr>
        <w:t>91:696-705 (2006)</w:t>
      </w:r>
      <w:r w:rsidRPr="005562DE">
        <w:rPr>
          <w:highlight w:val="green"/>
          <w:rtl/>
          <w:lang w:val="en-GB"/>
        </w:rPr>
        <w:t>.</w:t>
      </w:r>
    </w:p>
  </w:footnote>
  <w:footnote w:id="27">
    <w:p w14:paraId="26F66746" w14:textId="1644744A" w:rsidR="000D37DC" w:rsidRPr="005562DE" w:rsidRDefault="000D37DC" w:rsidP="004574B0">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LH Krieger, ST Fiske., </w:t>
      </w:r>
      <w:r w:rsidRPr="005562DE">
        <w:rPr>
          <w:i/>
          <w:iCs/>
          <w:highlight w:val="green"/>
          <w:lang w:val="en-GB"/>
        </w:rPr>
        <w:t>Behavioral realism in employment discrimination law: Implicit bias and disparate treatment</w:t>
      </w:r>
      <w:r w:rsidRPr="005562DE">
        <w:rPr>
          <w:highlight w:val="green"/>
          <w:lang w:val="en-GB"/>
        </w:rPr>
        <w:t>, California Law Review 94 (4), 997-1062, 2006.</w:t>
      </w:r>
    </w:p>
  </w:footnote>
  <w:footnote w:id="28">
    <w:p w14:paraId="052C2608" w14:textId="41F00B9A" w:rsidR="000D37DC" w:rsidRPr="005562DE" w:rsidRDefault="000D37DC" w:rsidP="004574B0">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Anthony G. Greenwald &amp; Linda Hamilton Krieger, </w:t>
      </w:r>
      <w:r w:rsidRPr="005562DE">
        <w:rPr>
          <w:i/>
          <w:iCs/>
          <w:highlight w:val="green"/>
          <w:lang w:val="en-GB"/>
        </w:rPr>
        <w:t>Implicit Bias: Scientific Foundations</w:t>
      </w:r>
      <w:r w:rsidRPr="005562DE">
        <w:rPr>
          <w:highlight w:val="green"/>
          <w:lang w:val="en-GB"/>
        </w:rPr>
        <w:t>, 94 Calif. L. Rev. 954-958 (2006)</w:t>
      </w:r>
      <w:r w:rsidRPr="005562DE">
        <w:rPr>
          <w:highlight w:val="green"/>
          <w:rtl/>
          <w:lang w:val="en-GB"/>
        </w:rPr>
        <w:t>.</w:t>
      </w:r>
    </w:p>
  </w:footnote>
  <w:footnote w:id="29">
    <w:p w14:paraId="1DE95BE5" w14:textId="1E72E19A" w:rsidR="000D37DC" w:rsidRPr="005562DE" w:rsidRDefault="000D37DC" w:rsidP="004574B0">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Jerry Kang &amp; Mahzarin R. Banaji </w:t>
      </w:r>
      <w:r w:rsidRPr="005562DE">
        <w:rPr>
          <w:i/>
          <w:iCs/>
          <w:highlight w:val="green"/>
          <w:lang w:val="en-GB"/>
        </w:rPr>
        <w:t xml:space="preserve">Fair Measures: A Behavioral Realist Revision of </w:t>
      </w:r>
      <w:r>
        <w:rPr>
          <w:i/>
          <w:iCs/>
          <w:highlight w:val="green"/>
          <w:lang w:val="en-GB"/>
        </w:rPr>
        <w:t>“</w:t>
      </w:r>
      <w:r w:rsidRPr="005562DE">
        <w:rPr>
          <w:i/>
          <w:iCs/>
          <w:highlight w:val="green"/>
          <w:lang w:val="en-GB"/>
        </w:rPr>
        <w:t>Affirmative Action</w:t>
      </w:r>
      <w:r>
        <w:rPr>
          <w:i/>
          <w:iCs/>
          <w:highlight w:val="green"/>
          <w:lang w:val="en-GB"/>
        </w:rPr>
        <w:t>”</w:t>
      </w:r>
      <w:r w:rsidRPr="005562DE">
        <w:rPr>
          <w:highlight w:val="green"/>
          <w:lang w:val="en-GB"/>
        </w:rPr>
        <w:t>, Cal. L. Rev. Vol. 94, No. 4 (Jul. 2006), pp. 1063-1118</w:t>
      </w:r>
      <w:r w:rsidRPr="005562DE">
        <w:rPr>
          <w:highlight w:val="green"/>
          <w:rtl/>
          <w:lang w:val="en-GB"/>
        </w:rPr>
        <w:t>.</w:t>
      </w:r>
    </w:p>
  </w:footnote>
  <w:footnote w:id="30">
    <w:p w14:paraId="5510CFEE" w14:textId="3B50F7C4" w:rsidR="000D37DC" w:rsidRPr="005562DE" w:rsidRDefault="000D37DC" w:rsidP="00C2747F">
      <w:pPr>
        <w:pStyle w:val="FootnoteText"/>
        <w:bidi w:val="0"/>
        <w:jc w:val="both"/>
        <w:rPr>
          <w:lang w:val="en-GB"/>
        </w:rPr>
      </w:pPr>
      <w:r w:rsidRPr="005562DE">
        <w:rPr>
          <w:rStyle w:val="FootnoteReference"/>
          <w:lang w:val="en-GB"/>
        </w:rPr>
        <w:footnoteRef/>
      </w:r>
      <w:r w:rsidRPr="005562DE">
        <w:rPr>
          <w:rtl/>
          <w:lang w:val="en-GB"/>
        </w:rPr>
        <w:t xml:space="preserve"> </w:t>
      </w:r>
      <w:r w:rsidRPr="005562DE">
        <w:rPr>
          <w:lang w:val="en-GB"/>
        </w:rPr>
        <w:t>This forward-looking justification for affirmative action can be gleaned from the Court</w:t>
      </w:r>
      <w:r>
        <w:rPr>
          <w:lang w:val="en-GB"/>
        </w:rPr>
        <w:t>’</w:t>
      </w:r>
      <w:r w:rsidRPr="005562DE">
        <w:rPr>
          <w:lang w:val="en-GB"/>
        </w:rPr>
        <w:t xml:space="preserve">s </w:t>
      </w:r>
      <w:r>
        <w:rPr>
          <w:lang w:val="en-GB"/>
        </w:rPr>
        <w:t>o</w:t>
      </w:r>
      <w:r w:rsidRPr="005562DE">
        <w:rPr>
          <w:lang w:val="en-GB"/>
        </w:rPr>
        <w:t xml:space="preserve">pinion in </w:t>
      </w:r>
      <w:r>
        <w:rPr>
          <w:lang w:val="en-GB"/>
        </w:rPr>
        <w:t xml:space="preserve">the </w:t>
      </w:r>
      <w:r w:rsidRPr="005562DE">
        <w:rPr>
          <w:lang w:val="en-GB"/>
        </w:rPr>
        <w:t>Bakke</w:t>
      </w:r>
      <w:r>
        <w:rPr>
          <w:lang w:val="en-GB"/>
        </w:rPr>
        <w:t xml:space="preserve"> case</w:t>
      </w:r>
      <w:r w:rsidRPr="005562DE">
        <w:rPr>
          <w:lang w:val="en-GB"/>
        </w:rPr>
        <w:t>, A3S U.S. at 311</w:t>
      </w:r>
      <w:r>
        <w:rPr>
          <w:lang w:val="en-GB"/>
        </w:rPr>
        <w:t>–</w:t>
      </w:r>
      <w:r w:rsidRPr="005562DE">
        <w:rPr>
          <w:lang w:val="en-GB"/>
        </w:rPr>
        <w:t>312</w:t>
      </w:r>
      <w:r w:rsidRPr="005562DE">
        <w:rPr>
          <w:rtl/>
          <w:lang w:val="en-GB"/>
        </w:rPr>
        <w:t>.</w:t>
      </w:r>
    </w:p>
  </w:footnote>
  <w:footnote w:id="31">
    <w:p w14:paraId="02C9CAE9" w14:textId="5FFA116C" w:rsidR="000D37DC" w:rsidRPr="005562DE" w:rsidRDefault="000D37DC" w:rsidP="00C2747F">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Elaine W. Shoben, </w:t>
      </w:r>
      <w:r w:rsidRPr="005562DE">
        <w:rPr>
          <w:i/>
          <w:iCs/>
          <w:highlight w:val="green"/>
          <w:lang w:val="en-GB"/>
        </w:rPr>
        <w:t>The Use of Statistics to Prove Intentional Employment Discrimination</w:t>
      </w:r>
      <w:r w:rsidRPr="005562DE">
        <w:rPr>
          <w:highlight w:val="green"/>
          <w:lang w:val="en-GB"/>
        </w:rPr>
        <w:t xml:space="preserve">, 46 L. &amp; Contemp. Probs. 221 n. 4 (1983); Beginning with </w:t>
      </w:r>
      <w:r w:rsidRPr="005562DE">
        <w:rPr>
          <w:i/>
          <w:highlight w:val="green"/>
          <w:lang w:val="en-GB"/>
        </w:rPr>
        <w:t>Griggs v. Duke Power Co.</w:t>
      </w:r>
      <w:r w:rsidRPr="005562DE">
        <w:rPr>
          <w:iCs/>
          <w:highlight w:val="green"/>
          <w:lang w:val="en-GB"/>
        </w:rPr>
        <w:t>,</w:t>
      </w:r>
      <w:r w:rsidRPr="005562DE">
        <w:rPr>
          <w:i/>
          <w:highlight w:val="green"/>
          <w:lang w:val="en-GB"/>
        </w:rPr>
        <w:t xml:space="preserve"> </w:t>
      </w:r>
      <w:r w:rsidRPr="005562DE">
        <w:rPr>
          <w:iCs/>
          <w:highlight w:val="green"/>
          <w:lang w:val="en-GB"/>
        </w:rPr>
        <w:t>(</w:t>
      </w:r>
      <w:r w:rsidRPr="005562DE">
        <w:rPr>
          <w:highlight w:val="green"/>
          <w:lang w:val="en-GB"/>
        </w:rPr>
        <w:t>1971</w:t>
      </w:r>
      <w:r w:rsidRPr="005562DE">
        <w:rPr>
          <w:iCs/>
          <w:highlight w:val="green"/>
          <w:lang w:val="en-GB"/>
        </w:rPr>
        <w:t>) t</w:t>
      </w:r>
      <w:r w:rsidRPr="005562DE">
        <w:rPr>
          <w:highlight w:val="green"/>
          <w:lang w:val="en-GB"/>
        </w:rPr>
        <w:t>he U.S. Supreme Court has recognized that although it is not mandatory for the composition of a company</w:t>
      </w:r>
      <w:r>
        <w:rPr>
          <w:highlight w:val="green"/>
          <w:lang w:val="en-GB"/>
        </w:rPr>
        <w:t>’</w:t>
      </w:r>
      <w:r w:rsidRPr="005562DE">
        <w:rPr>
          <w:highlight w:val="green"/>
          <w:lang w:val="en-GB"/>
        </w:rPr>
        <w:t>s workforce to replicate that of the general population, statistical disparities between the two can be used as compelling evidence of employment discrimination under a disparate impact theory. According to this theory, even if it is impossible to prove that the employer intended to treat candidates differently, the fact that the employer used criteria that resulted in discrimination or an unequal outcome toward a class of individuals is sufficient to establish unlawful discrimination.</w:t>
      </w:r>
    </w:p>
  </w:footnote>
  <w:footnote w:id="32">
    <w:p w14:paraId="09ED34A3" w14:textId="16830B21" w:rsidR="000D37DC" w:rsidRPr="005562DE" w:rsidRDefault="000D37DC" w:rsidP="00C2747F">
      <w:pPr>
        <w:pStyle w:val="FootnoteText"/>
        <w:bidi w:val="0"/>
        <w:jc w:val="both"/>
        <w:rPr>
          <w:lang w:val="en-GB"/>
        </w:rPr>
      </w:pPr>
      <w:r w:rsidRPr="005562DE">
        <w:rPr>
          <w:rStyle w:val="FootnoteReference"/>
          <w:highlight w:val="green"/>
          <w:lang w:val="en-GB"/>
        </w:rPr>
        <w:footnoteRef/>
      </w:r>
      <w:r w:rsidRPr="005562DE">
        <w:rPr>
          <w:highlight w:val="green"/>
          <w:lang w:val="en-GB"/>
        </w:rPr>
        <w:t xml:space="preserve"> Linda Hamilton Krieger, </w:t>
      </w:r>
      <w:r w:rsidRPr="005562DE">
        <w:rPr>
          <w:i/>
          <w:iCs/>
          <w:highlight w:val="green"/>
          <w:lang w:val="en-GB"/>
        </w:rPr>
        <w:t>The Content of Our Categories: A Cognitive Bias Approach to Discrimination and Equal Employment Opportunity</w:t>
      </w:r>
      <w:r w:rsidRPr="005562DE">
        <w:rPr>
          <w:highlight w:val="green"/>
          <w:lang w:val="en-GB"/>
        </w:rPr>
        <w:t>, 47 Stan. L. Rev. 1161, 1238-41 (1995)</w:t>
      </w:r>
      <w:r w:rsidRPr="005562DE">
        <w:rPr>
          <w:lang w:val="en-GB"/>
        </w:rPr>
        <w:t>.</w:t>
      </w:r>
    </w:p>
  </w:footnote>
  <w:footnote w:id="33">
    <w:p w14:paraId="20B1A29E" w14:textId="27914696" w:rsidR="000D37DC" w:rsidRPr="005562DE" w:rsidRDefault="000D37DC" w:rsidP="00C2747F">
      <w:pPr>
        <w:pStyle w:val="FootnoteText"/>
        <w:bidi w:val="0"/>
        <w:jc w:val="both"/>
        <w:rPr>
          <w:highlight w:val="green"/>
          <w:lang w:val="en-GB"/>
        </w:rPr>
      </w:pPr>
      <w:r w:rsidRPr="005562DE">
        <w:rPr>
          <w:rStyle w:val="FootnoteReference"/>
          <w:highlight w:val="green"/>
          <w:lang w:val="en-GB"/>
        </w:rPr>
        <w:footnoteRef/>
      </w:r>
      <w:r w:rsidRPr="005562DE">
        <w:rPr>
          <w:highlight w:val="green"/>
          <w:lang w:val="en-GB"/>
        </w:rPr>
        <w:t xml:space="preserve"> Rebecca Hanner White &amp; Linda Hamilton Krieger, </w:t>
      </w:r>
      <w:r w:rsidRPr="005562DE">
        <w:rPr>
          <w:i/>
          <w:iCs/>
          <w:highlight w:val="green"/>
          <w:lang w:val="en-GB"/>
        </w:rPr>
        <w:t>Whose Motive Matters? Discrimination in Multi-Actor Employment Decision Making</w:t>
      </w:r>
      <w:r w:rsidRPr="005562DE">
        <w:rPr>
          <w:highlight w:val="green"/>
          <w:lang w:val="en-GB"/>
        </w:rPr>
        <w:t>, 61 La. L. Rev. 495 (2001) (applying insights from the social psychology of group decision making to disparate treatment cases involving multiple decision makers).</w:t>
      </w:r>
    </w:p>
  </w:footnote>
  <w:footnote w:id="34">
    <w:p w14:paraId="7383BFFB" w14:textId="33FC0D61" w:rsidR="000D37DC" w:rsidRPr="005562DE" w:rsidRDefault="000D37DC" w:rsidP="00C2747F">
      <w:pPr>
        <w:pStyle w:val="FootnoteText"/>
        <w:bidi w:val="0"/>
        <w:jc w:val="both"/>
        <w:rPr>
          <w:highlight w:val="green"/>
          <w:lang w:val="en-GB"/>
        </w:rPr>
      </w:pPr>
      <w:r w:rsidRPr="005562DE">
        <w:rPr>
          <w:rStyle w:val="FootnoteReference"/>
          <w:highlight w:val="green"/>
          <w:lang w:val="en-GB"/>
        </w:rPr>
        <w:footnoteRef/>
      </w:r>
      <w:r w:rsidRPr="005562DE">
        <w:rPr>
          <w:highlight w:val="green"/>
          <w:lang w:val="en-GB"/>
        </w:rPr>
        <w:t xml:space="preserve"> Neta Nadiv and Yuval Feldman, Behavioral Ethics Approach to Employment Law and Workplace Norms (Forthcoming 2021).</w:t>
      </w:r>
    </w:p>
  </w:footnote>
  <w:footnote w:id="35">
    <w:p w14:paraId="4F882886" w14:textId="1F36B14D" w:rsidR="000D37DC" w:rsidRPr="005562DE" w:rsidRDefault="000D37DC" w:rsidP="00C2747F">
      <w:pPr>
        <w:pStyle w:val="FootnoteText"/>
        <w:bidi w:val="0"/>
        <w:jc w:val="both"/>
        <w:rPr>
          <w:lang w:val="en-GB"/>
        </w:rPr>
      </w:pPr>
      <w:r w:rsidRPr="005562DE">
        <w:rPr>
          <w:rStyle w:val="FootnoteReference"/>
          <w:highlight w:val="green"/>
          <w:lang w:val="en-GB"/>
        </w:rPr>
        <w:footnoteRef/>
      </w:r>
      <w:r w:rsidRPr="005562DE">
        <w:rPr>
          <w:highlight w:val="green"/>
          <w:lang w:val="en-GB"/>
        </w:rPr>
        <w:t xml:space="preserve"> Linda Hamilton Krieger, </w:t>
      </w:r>
      <w:r w:rsidRPr="005562DE">
        <w:rPr>
          <w:i/>
          <w:iCs/>
          <w:highlight w:val="green"/>
          <w:lang w:val="en-GB"/>
        </w:rPr>
        <w:t>The Content of Our Categories: A Cognitive Bias Approach to discrimination and Equal Employment Opportunity</w:t>
      </w:r>
      <w:r w:rsidRPr="005562DE">
        <w:rPr>
          <w:highlight w:val="green"/>
          <w:lang w:val="en-GB"/>
        </w:rPr>
        <w:t>, 47 STAN. L. REV. 1161-1248, 1187 (1995)</w:t>
      </w:r>
      <w:r w:rsidRPr="005562DE">
        <w:rPr>
          <w:highlight w:val="green"/>
          <w:rtl/>
          <w:lang w:val="en-GB"/>
        </w:rPr>
        <w:t>.</w:t>
      </w:r>
    </w:p>
  </w:footnote>
  <w:footnote w:id="36">
    <w:p w14:paraId="0279FAA7" w14:textId="1EFBFC6A" w:rsidR="000D37DC" w:rsidRPr="005562DE" w:rsidRDefault="000D37DC" w:rsidP="00C2747F">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Law, Charlie L., and Elicia A. Hrabal. </w:t>
      </w:r>
      <w:r>
        <w:rPr>
          <w:highlight w:val="green"/>
          <w:lang w:val="en-GB"/>
        </w:rPr>
        <w:t>“</w:t>
      </w:r>
      <w:r w:rsidRPr="005562DE">
        <w:rPr>
          <w:highlight w:val="green"/>
          <w:lang w:val="en-GB"/>
        </w:rPr>
        <w:t>Sexual Minorities in the Workplace: The Status of Legal and Organizational Protection.</w:t>
      </w:r>
      <w:r>
        <w:rPr>
          <w:highlight w:val="green"/>
          <w:lang w:val="en-GB"/>
        </w:rPr>
        <w:t>”</w:t>
      </w:r>
      <w:r w:rsidRPr="005562DE">
        <w:rPr>
          <w:highlight w:val="green"/>
          <w:lang w:val="en-GB"/>
        </w:rPr>
        <w:t xml:space="preserve"> TIP 47.4 (2010): 37</w:t>
      </w:r>
      <w:r w:rsidRPr="005562DE">
        <w:rPr>
          <w:highlight w:val="green"/>
          <w:rtl/>
          <w:lang w:val="en-GB"/>
        </w:rPr>
        <w:t>.</w:t>
      </w:r>
    </w:p>
  </w:footnote>
  <w:footnote w:id="37">
    <w:p w14:paraId="2CDB4D4E" w14:textId="348BD354" w:rsidR="000D37DC" w:rsidRPr="005562DE" w:rsidRDefault="000D37DC" w:rsidP="00C2747F">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Anthony G. Greenwald &amp; Linda Hamilton Krieger, </w:t>
      </w:r>
      <w:r w:rsidRPr="005562DE">
        <w:rPr>
          <w:i/>
          <w:iCs/>
          <w:highlight w:val="green"/>
          <w:lang w:val="en-GB"/>
        </w:rPr>
        <w:t>Implicit Bias: Scientific Foundations</w:t>
      </w:r>
      <w:r w:rsidRPr="005562DE">
        <w:rPr>
          <w:highlight w:val="green"/>
          <w:lang w:val="en-GB"/>
        </w:rPr>
        <w:t>, 94 CAL. L. REV. 945, 946 (2006).</w:t>
      </w:r>
      <w:r w:rsidRPr="005562DE">
        <w:rPr>
          <w:highlight w:val="green"/>
          <w:rtl/>
          <w:lang w:val="en-GB"/>
        </w:rPr>
        <w:t xml:space="preserve"> </w:t>
      </w:r>
      <w:r w:rsidRPr="005562DE">
        <w:rPr>
          <w:highlight w:val="green"/>
          <w:lang w:val="en-GB"/>
        </w:rPr>
        <w:t xml:space="preserve">And: Krieger, Linda Hamilton, and Susan T. Fiske. </w:t>
      </w:r>
      <w:r>
        <w:rPr>
          <w:highlight w:val="green"/>
          <w:lang w:val="en-GB"/>
        </w:rPr>
        <w:t>“</w:t>
      </w:r>
      <w:r w:rsidRPr="005562DE">
        <w:rPr>
          <w:highlight w:val="green"/>
          <w:lang w:val="en-GB"/>
        </w:rPr>
        <w:t>Behavioral realism in employment discrimination law: Implicit bias and disparate treatment.</w:t>
      </w:r>
      <w:r>
        <w:rPr>
          <w:highlight w:val="green"/>
          <w:lang w:val="en-GB"/>
        </w:rPr>
        <w:t>”</w:t>
      </w:r>
      <w:r w:rsidRPr="005562DE">
        <w:rPr>
          <w:highlight w:val="green"/>
          <w:lang w:val="en-GB"/>
        </w:rPr>
        <w:t> </w:t>
      </w:r>
      <w:r w:rsidRPr="005562DE">
        <w:rPr>
          <w:i/>
          <w:iCs/>
          <w:highlight w:val="green"/>
          <w:lang w:val="en-GB"/>
        </w:rPr>
        <w:t>Cal. L. Rev.</w:t>
      </w:r>
      <w:r w:rsidRPr="005562DE">
        <w:rPr>
          <w:highlight w:val="green"/>
          <w:lang w:val="en-GB"/>
        </w:rPr>
        <w:t> 94 (2006): 997</w:t>
      </w:r>
      <w:r w:rsidRPr="005562DE">
        <w:rPr>
          <w:highlight w:val="green"/>
          <w:rtl/>
          <w:lang w:val="en-GB"/>
        </w:rPr>
        <w:t>.‏</w:t>
      </w:r>
    </w:p>
  </w:footnote>
  <w:footnote w:id="38">
    <w:p w14:paraId="59CD8A14" w14:textId="00EE839A" w:rsidR="000D37DC" w:rsidRPr="005562DE" w:rsidRDefault="000D37DC" w:rsidP="00C2747F">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Ivan E. Bodensteiner, </w:t>
      </w:r>
      <w:r w:rsidRPr="005562DE">
        <w:rPr>
          <w:i/>
          <w:iCs/>
          <w:highlight w:val="green"/>
          <w:lang w:val="en-GB"/>
        </w:rPr>
        <w:t>The Implication of Psychological Research Related to Unconscious</w:t>
      </w:r>
      <w:r w:rsidRPr="005562DE">
        <w:rPr>
          <w:highlight w:val="green"/>
          <w:vertAlign w:val="superscript"/>
          <w:lang w:val="en-GB"/>
        </w:rPr>
        <w:t xml:space="preserve"> </w:t>
      </w:r>
      <w:r w:rsidRPr="005562DE">
        <w:rPr>
          <w:i/>
          <w:iCs/>
          <w:highlight w:val="green"/>
          <w:lang w:val="en-GB"/>
        </w:rPr>
        <w:t>Discrimination and Implicit Bias in Proving Intentional Discrimination,</w:t>
      </w:r>
      <w:r w:rsidRPr="005562DE">
        <w:rPr>
          <w:highlight w:val="green"/>
          <w:lang w:val="en-GB"/>
        </w:rPr>
        <w:t xml:space="preserve"> </w:t>
      </w:r>
      <w:r w:rsidRPr="005562DE">
        <w:rPr>
          <w:i/>
          <w:iCs/>
          <w:highlight w:val="green"/>
          <w:lang w:val="en-GB"/>
        </w:rPr>
        <w:t>Missouri. L. Rev. Vol. 73 (2008).</w:t>
      </w:r>
    </w:p>
  </w:footnote>
  <w:footnote w:id="39">
    <w:p w14:paraId="53C8A046" w14:textId="77777777" w:rsidR="000D37DC" w:rsidRPr="005562DE" w:rsidRDefault="000D37DC" w:rsidP="00C2747F">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Stephan, W.G., Stephan, C.W., &amp; Gudykunst, W.B. (1999). Anxiety in intergroup relations: A</w:t>
      </w:r>
    </w:p>
    <w:p w14:paraId="5768ED57" w14:textId="52B96E6D" w:rsidR="000D37DC" w:rsidRPr="005562DE" w:rsidRDefault="000D37DC" w:rsidP="00C2747F">
      <w:pPr>
        <w:pStyle w:val="FootnoteText"/>
        <w:bidi w:val="0"/>
        <w:jc w:val="both"/>
        <w:rPr>
          <w:lang w:val="en-GB"/>
        </w:rPr>
      </w:pPr>
      <w:r w:rsidRPr="005562DE">
        <w:rPr>
          <w:highlight w:val="green"/>
          <w:lang w:val="en-GB"/>
        </w:rPr>
        <w:t xml:space="preserve">comparison of anxiety/uncertainty management theory and integrated threat theory. </w:t>
      </w:r>
      <w:r w:rsidRPr="005562DE">
        <w:rPr>
          <w:i/>
          <w:iCs/>
          <w:highlight w:val="green"/>
          <w:lang w:val="en-GB"/>
        </w:rPr>
        <w:t xml:space="preserve">International Journal of Intercultural Relations, 23(4), </w:t>
      </w:r>
      <w:r w:rsidRPr="005562DE">
        <w:rPr>
          <w:highlight w:val="green"/>
          <w:lang w:val="en-GB"/>
        </w:rPr>
        <w:t>613-628</w:t>
      </w:r>
      <w:r w:rsidRPr="005562DE">
        <w:rPr>
          <w:highlight w:val="green"/>
          <w:rtl/>
          <w:lang w:val="en-GB"/>
        </w:rPr>
        <w:t>.</w:t>
      </w:r>
    </w:p>
  </w:footnote>
  <w:footnote w:id="40">
    <w:p w14:paraId="38B138A9" w14:textId="6B715A0C" w:rsidR="000D37DC" w:rsidRPr="005562DE" w:rsidRDefault="000D37DC" w:rsidP="00C2747F">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Employment Equity Act 1995.</w:t>
      </w:r>
    </w:p>
  </w:footnote>
  <w:footnote w:id="41">
    <w:p w14:paraId="3D870245" w14:textId="3719FE65" w:rsidR="000D37DC" w:rsidRPr="005562DE" w:rsidRDefault="000D37DC" w:rsidP="00C2747F">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Gilbert, D. T., &amp; Hixon, J. (1991). The trouble of thinking: Activation and application of stereotypic beliefs. </w:t>
      </w:r>
      <w:r w:rsidRPr="005562DE">
        <w:rPr>
          <w:i/>
          <w:iCs/>
          <w:highlight w:val="green"/>
          <w:lang w:val="en-GB"/>
        </w:rPr>
        <w:t>Journal of Personality and Social Psychology, 60,</w:t>
      </w:r>
      <w:r w:rsidRPr="005562DE">
        <w:rPr>
          <w:highlight w:val="green"/>
          <w:lang w:val="en-GB"/>
        </w:rPr>
        <w:t xml:space="preserve"> 509-517</w:t>
      </w:r>
      <w:r w:rsidRPr="005562DE">
        <w:rPr>
          <w:highlight w:val="green"/>
          <w:rtl/>
          <w:lang w:val="en-GB"/>
        </w:rPr>
        <w:t>.</w:t>
      </w:r>
    </w:p>
  </w:footnote>
  <w:footnote w:id="42">
    <w:p w14:paraId="441E5F54" w14:textId="727352AA" w:rsidR="000D37DC" w:rsidRPr="005562DE" w:rsidRDefault="000D37DC" w:rsidP="00C2747F">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bookmarkStart w:id="2" w:name="_Hlk70841389"/>
      <w:r w:rsidRPr="005562DE">
        <w:rPr>
          <w:highlight w:val="green"/>
          <w:lang w:val="en-GB"/>
        </w:rPr>
        <w:t xml:space="preserve">Fiske, S. T. (1998). Prejudice, stereotyping, and discrimination. In D. T. Gilbert, S. T. Fiske, &amp; G. Lindzey (Eds.), </w:t>
      </w:r>
      <w:r w:rsidRPr="005562DE">
        <w:rPr>
          <w:i/>
          <w:iCs/>
          <w:highlight w:val="green"/>
          <w:lang w:val="en-GB"/>
        </w:rPr>
        <w:t>The handbook of social psychology</w:t>
      </w:r>
      <w:r w:rsidRPr="005562DE">
        <w:rPr>
          <w:highlight w:val="green"/>
          <w:lang w:val="en-GB"/>
        </w:rPr>
        <w:t xml:space="preserve"> (4th ed., pp. 357-411). New York: McGraw-Hill</w:t>
      </w:r>
      <w:r w:rsidRPr="005562DE">
        <w:rPr>
          <w:highlight w:val="green"/>
          <w:rtl/>
          <w:lang w:val="en-GB"/>
        </w:rPr>
        <w:t>.</w:t>
      </w:r>
      <w:bookmarkEnd w:id="2"/>
    </w:p>
  </w:footnote>
  <w:footnote w:id="43">
    <w:p w14:paraId="4974CB7E" w14:textId="624917C3" w:rsidR="000D37DC" w:rsidRPr="005562DE" w:rsidRDefault="000D37DC" w:rsidP="00C2747F">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Crosby, F. (1984). The denial of personal discrimination. </w:t>
      </w:r>
      <w:r w:rsidRPr="005562DE">
        <w:rPr>
          <w:i/>
          <w:iCs/>
          <w:highlight w:val="green"/>
          <w:lang w:val="en-GB"/>
        </w:rPr>
        <w:t>American Behavioral Scientist, 27,</w:t>
      </w:r>
      <w:r w:rsidRPr="005562DE">
        <w:rPr>
          <w:highlight w:val="green"/>
          <w:lang w:val="en-GB"/>
        </w:rPr>
        <w:t xml:space="preserve"> 371-386</w:t>
      </w:r>
      <w:r w:rsidRPr="005562DE">
        <w:rPr>
          <w:highlight w:val="green"/>
          <w:rtl/>
          <w:lang w:val="en-GB"/>
        </w:rPr>
        <w:t>.</w:t>
      </w:r>
    </w:p>
  </w:footnote>
  <w:footnote w:id="44">
    <w:p w14:paraId="1F07DA83" w14:textId="00CD12AA" w:rsidR="000D37DC" w:rsidRPr="005562DE" w:rsidRDefault="000D37DC" w:rsidP="00C2747F">
      <w:pPr>
        <w:pStyle w:val="FootnoteText"/>
        <w:bidi w:val="0"/>
        <w:jc w:val="both"/>
        <w:rPr>
          <w:highlight w:val="green"/>
          <w:lang w:val="en-GB"/>
        </w:rPr>
      </w:pPr>
      <w:r w:rsidRPr="005562DE">
        <w:rPr>
          <w:rStyle w:val="FootnoteReference"/>
          <w:highlight w:val="green"/>
          <w:lang w:val="en-GB"/>
        </w:rPr>
        <w:footnoteRef/>
      </w:r>
      <w:r w:rsidRPr="005562DE">
        <w:rPr>
          <w:highlight w:val="green"/>
          <w:lang w:val="en-GB"/>
        </w:rPr>
        <w:t xml:space="preserve"> Ruggiero, K. M., &amp; Taylor, D. M. (1997). Why minority group members perceive or do not perceive the discrimination that confronts them: The role of self-esteem and perceived control. </w:t>
      </w:r>
      <w:r w:rsidRPr="005562DE">
        <w:rPr>
          <w:i/>
          <w:iCs/>
          <w:highlight w:val="green"/>
          <w:lang w:val="en-GB"/>
        </w:rPr>
        <w:t>Journal of Personality and Social Psychology, 72,</w:t>
      </w:r>
      <w:r w:rsidRPr="005562DE">
        <w:rPr>
          <w:highlight w:val="green"/>
          <w:lang w:val="en-GB"/>
        </w:rPr>
        <w:t xml:space="preserve"> 373-389</w:t>
      </w:r>
      <w:r w:rsidRPr="005562DE">
        <w:rPr>
          <w:highlight w:val="green"/>
          <w:rtl/>
          <w:lang w:val="en-GB"/>
        </w:rPr>
        <w:t>.</w:t>
      </w:r>
    </w:p>
  </w:footnote>
  <w:footnote w:id="45">
    <w:p w14:paraId="4F8B1EBC" w14:textId="717C5308" w:rsidR="000D37DC" w:rsidRPr="005562DE" w:rsidRDefault="000D37DC" w:rsidP="00C2747F">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D</w:t>
      </w:r>
      <w:r>
        <w:rPr>
          <w:highlight w:val="green"/>
          <w:lang w:val="en-GB"/>
        </w:rPr>
        <w:t>’</w:t>
      </w:r>
      <w:r w:rsidRPr="005562DE">
        <w:rPr>
          <w:highlight w:val="green"/>
          <w:lang w:val="en-GB"/>
        </w:rPr>
        <w:t xml:space="preserve">Souza Dinesh </w:t>
      </w:r>
      <w:r w:rsidRPr="005562DE">
        <w:rPr>
          <w:i/>
          <w:iCs/>
          <w:highlight w:val="green"/>
          <w:lang w:val="en-GB"/>
        </w:rPr>
        <w:t>Illiberal Education</w:t>
      </w:r>
      <w:r w:rsidRPr="005562DE">
        <w:rPr>
          <w:highlight w:val="green"/>
          <w:lang w:val="en-GB"/>
        </w:rPr>
        <w:t>. NY Free Press (1991) p.43</w:t>
      </w:r>
      <w:r w:rsidRPr="005562DE">
        <w:rPr>
          <w:highlight w:val="green"/>
          <w:rtl/>
          <w:lang w:val="en-GB"/>
        </w:rPr>
        <w:t>.</w:t>
      </w:r>
    </w:p>
  </w:footnote>
  <w:footnote w:id="46">
    <w:p w14:paraId="0F479EBD" w14:textId="2FBAF8CE" w:rsidR="000D37DC" w:rsidRPr="005562DE" w:rsidRDefault="000D37DC" w:rsidP="00C2747F">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Krupa, T., Kirsh, B., Cockburn, L. &amp; Gewurtz, R. (2009). Understanding the stigma of mental illness in employment. Work: A Journal of Prevention, Assessment, and Rehabilitation, 33(4), 413-425.</w:t>
      </w:r>
    </w:p>
  </w:footnote>
  <w:footnote w:id="47">
    <w:p w14:paraId="39477EE7" w14:textId="0EADE6A6" w:rsidR="000D37DC" w:rsidRPr="005562DE" w:rsidRDefault="000D37DC" w:rsidP="00C2747F">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Reskin, Barbara F. </w:t>
      </w:r>
      <w:r>
        <w:rPr>
          <w:highlight w:val="green"/>
          <w:lang w:val="en-GB"/>
        </w:rPr>
        <w:t>“</w:t>
      </w:r>
      <w:r w:rsidRPr="005562DE">
        <w:rPr>
          <w:highlight w:val="green"/>
          <w:lang w:val="en-GB"/>
        </w:rPr>
        <w:t>The Proximate Causes of Employment Discrimination</w:t>
      </w:r>
      <w:r>
        <w:rPr>
          <w:highlight w:val="green"/>
          <w:lang w:val="en-GB"/>
        </w:rPr>
        <w:t>”</w:t>
      </w:r>
      <w:r w:rsidRPr="005562DE">
        <w:rPr>
          <w:highlight w:val="green"/>
          <w:lang w:val="en-GB"/>
        </w:rPr>
        <w:t xml:space="preserve"> </w:t>
      </w:r>
      <w:r w:rsidRPr="005562DE">
        <w:rPr>
          <w:i/>
          <w:iCs/>
          <w:highlight w:val="green"/>
          <w:lang w:val="en-GB"/>
        </w:rPr>
        <w:t>Contemporary Sociology</w:t>
      </w:r>
      <w:r w:rsidRPr="005562DE">
        <w:rPr>
          <w:highlight w:val="green"/>
          <w:lang w:val="en-GB"/>
        </w:rPr>
        <w:t xml:space="preserve"> 29(2): 319-328 (2000)</w:t>
      </w:r>
      <w:r w:rsidRPr="005562DE">
        <w:rPr>
          <w:highlight w:val="green"/>
          <w:rtl/>
          <w:lang w:val="en-GB"/>
        </w:rPr>
        <w:t>.</w:t>
      </w:r>
    </w:p>
  </w:footnote>
  <w:footnote w:id="48">
    <w:p w14:paraId="05BF58AB" w14:textId="2DB395C1" w:rsidR="000D37DC" w:rsidRPr="005562DE" w:rsidRDefault="000D37DC" w:rsidP="00C2747F">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Cassirer, Naomi and Barbara Reskin </w:t>
      </w:r>
      <w:r>
        <w:rPr>
          <w:highlight w:val="green"/>
          <w:lang w:val="en-GB"/>
        </w:rPr>
        <w:t>“</w:t>
      </w:r>
      <w:r w:rsidRPr="005562DE">
        <w:rPr>
          <w:highlight w:val="green"/>
          <w:lang w:val="en-GB"/>
        </w:rPr>
        <w:t>High Hopes: Organizational Position Employment Experiences and Women</w:t>
      </w:r>
      <w:r>
        <w:rPr>
          <w:highlight w:val="green"/>
          <w:lang w:val="en-GB"/>
        </w:rPr>
        <w:t>’</w:t>
      </w:r>
      <w:r w:rsidRPr="005562DE">
        <w:rPr>
          <w:highlight w:val="green"/>
          <w:lang w:val="en-GB"/>
        </w:rPr>
        <w:t>s and Men</w:t>
      </w:r>
      <w:r>
        <w:rPr>
          <w:highlight w:val="green"/>
          <w:lang w:val="en-GB"/>
        </w:rPr>
        <w:t>’</w:t>
      </w:r>
      <w:r w:rsidRPr="005562DE">
        <w:rPr>
          <w:highlight w:val="green"/>
          <w:lang w:val="en-GB"/>
        </w:rPr>
        <w:t>s Promotion Aspirations</w:t>
      </w:r>
      <w:r>
        <w:rPr>
          <w:highlight w:val="green"/>
          <w:lang w:val="en-GB"/>
        </w:rPr>
        <w:t>”</w:t>
      </w:r>
      <w:r w:rsidRPr="005562DE">
        <w:rPr>
          <w:highlight w:val="green"/>
          <w:lang w:val="en-GB"/>
        </w:rPr>
        <w:t xml:space="preserve"> </w:t>
      </w:r>
      <w:r w:rsidRPr="005562DE">
        <w:rPr>
          <w:i/>
          <w:iCs/>
          <w:highlight w:val="green"/>
          <w:lang w:val="en-GB"/>
        </w:rPr>
        <w:t>Work and Occupation</w:t>
      </w:r>
      <w:r w:rsidRPr="005562DE">
        <w:rPr>
          <w:highlight w:val="green"/>
          <w:lang w:val="en-GB"/>
        </w:rPr>
        <w:t xml:space="preserve"> 27(4): 438-463 (2000)</w:t>
      </w:r>
      <w:r w:rsidRPr="005562DE">
        <w:rPr>
          <w:highlight w:val="green"/>
          <w:rtl/>
          <w:lang w:val="en-GB"/>
        </w:rPr>
        <w:t>.</w:t>
      </w:r>
    </w:p>
  </w:footnote>
  <w:footnote w:id="49">
    <w:p w14:paraId="05E61452" w14:textId="2256CA92" w:rsidR="000D37DC" w:rsidRPr="005562DE" w:rsidRDefault="000D37DC" w:rsidP="00C2747F">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Mill, J.S.: Reform of the Civil Service</w:t>
      </w:r>
      <w:r>
        <w:rPr>
          <w:highlight w:val="green"/>
          <w:lang w:val="en-GB"/>
        </w:rPr>
        <w:t>”</w:t>
      </w:r>
      <w:r w:rsidRPr="005562DE">
        <w:rPr>
          <w:highlight w:val="green"/>
          <w:lang w:val="en-GB"/>
        </w:rPr>
        <w:t xml:space="preserve">, 1854, in </w:t>
      </w:r>
      <w:r w:rsidRPr="005562DE">
        <w:rPr>
          <w:i/>
          <w:iCs/>
          <w:highlight w:val="green"/>
          <w:lang w:val="en-GB"/>
        </w:rPr>
        <w:t>Essays on Politics and Society by John Stuart Mill</w:t>
      </w:r>
      <w:r w:rsidRPr="005562DE">
        <w:rPr>
          <w:highlight w:val="green"/>
          <w:lang w:val="en-GB"/>
        </w:rPr>
        <w:t>, Robson, J.M. editor, University of Toronto Press. p.210-223.</w:t>
      </w:r>
    </w:p>
  </w:footnote>
  <w:footnote w:id="50">
    <w:p w14:paraId="5DA99C45" w14:textId="2CE2C53C" w:rsidR="000D37DC" w:rsidRPr="005562DE" w:rsidRDefault="000D37DC" w:rsidP="00C2747F">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Wilson, W., </w:t>
      </w:r>
      <w:r>
        <w:rPr>
          <w:highlight w:val="green"/>
          <w:lang w:val="en-GB"/>
        </w:rPr>
        <w:t>“</w:t>
      </w:r>
      <w:r w:rsidRPr="005562DE">
        <w:rPr>
          <w:highlight w:val="green"/>
          <w:lang w:val="en-GB"/>
        </w:rPr>
        <w:t>The Study of Administration</w:t>
      </w:r>
      <w:r>
        <w:rPr>
          <w:highlight w:val="green"/>
          <w:lang w:val="en-GB"/>
        </w:rPr>
        <w:t>”</w:t>
      </w:r>
      <w:r w:rsidRPr="005562DE">
        <w:rPr>
          <w:highlight w:val="green"/>
          <w:lang w:val="en-GB"/>
        </w:rPr>
        <w:t xml:space="preserve">, </w:t>
      </w:r>
      <w:r w:rsidRPr="005562DE">
        <w:rPr>
          <w:i/>
          <w:iCs/>
          <w:highlight w:val="green"/>
          <w:lang w:val="en-GB"/>
        </w:rPr>
        <w:t>Political Science Quarterly</w:t>
      </w:r>
      <w:r w:rsidRPr="005562DE">
        <w:rPr>
          <w:highlight w:val="green"/>
          <w:lang w:val="en-GB"/>
        </w:rPr>
        <w:t xml:space="preserve">, Vol. 2, 1887, pp. 197-222, reprinted </w:t>
      </w:r>
      <w:r w:rsidRPr="005562DE">
        <w:rPr>
          <w:i/>
          <w:iCs/>
          <w:highlight w:val="green"/>
          <w:lang w:val="en-GB"/>
        </w:rPr>
        <w:t>American Political Science Quarterly</w:t>
      </w:r>
      <w:r w:rsidRPr="005562DE">
        <w:rPr>
          <w:highlight w:val="green"/>
          <w:lang w:val="en-GB"/>
        </w:rPr>
        <w:t>, Vol. 56, 1941, pp. 481-506.</w:t>
      </w:r>
    </w:p>
  </w:footnote>
  <w:footnote w:id="51">
    <w:p w14:paraId="0DD6F711" w14:textId="537F1244" w:rsidR="000D37DC" w:rsidRPr="005562DE" w:rsidRDefault="000D37DC" w:rsidP="00C2747F">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Dogan M., </w:t>
      </w:r>
      <w:r>
        <w:rPr>
          <w:highlight w:val="green"/>
          <w:lang w:val="en-GB"/>
        </w:rPr>
        <w:t>“</w:t>
      </w:r>
      <w:r w:rsidRPr="005562DE">
        <w:rPr>
          <w:highlight w:val="green"/>
          <w:lang w:val="en-GB"/>
        </w:rPr>
        <w:t xml:space="preserve">The Political Power of the Western Europe Mandarins: Introduction, in </w:t>
      </w:r>
      <w:r w:rsidRPr="005562DE">
        <w:rPr>
          <w:i/>
          <w:iCs/>
          <w:highlight w:val="green"/>
          <w:lang w:val="en-GB"/>
        </w:rPr>
        <w:t>The Mandarins of Western Europe</w:t>
      </w:r>
      <w:r w:rsidRPr="005562DE">
        <w:rPr>
          <w:highlight w:val="green"/>
          <w:lang w:val="en-GB"/>
        </w:rPr>
        <w:t>, Dogan, M. and Putnam, R.D. editors, John Wiley, N.Y. 1975, p. 85</w:t>
      </w:r>
    </w:p>
  </w:footnote>
  <w:footnote w:id="52">
    <w:p w14:paraId="41B2015C" w14:textId="5B49D371" w:rsidR="000D37DC" w:rsidRPr="005562DE" w:rsidRDefault="000D37DC" w:rsidP="00C2747F">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Kingdom, J.E., (ed) The Civil Service in Liberal Democracies, Routledge London, 1990, p. 3; Alberbach, J.D., Putnam, R.D., Rockman, B.A., and others </w:t>
      </w:r>
      <w:r w:rsidRPr="005562DE">
        <w:rPr>
          <w:i/>
          <w:iCs/>
          <w:highlight w:val="green"/>
          <w:lang w:val="en-GB"/>
        </w:rPr>
        <w:t>Bureaucrats and Politicians in Western Democracie</w:t>
      </w:r>
      <w:r w:rsidRPr="005562DE">
        <w:rPr>
          <w:highlight w:val="green"/>
          <w:lang w:val="en-GB"/>
        </w:rPr>
        <w:t>s, Harvard University Press, Cambridge, 1981, p. 4-6</w:t>
      </w:r>
    </w:p>
  </w:footnote>
  <w:footnote w:id="53">
    <w:p w14:paraId="76F69826" w14:textId="5CE3364B" w:rsidR="000D37DC" w:rsidRPr="005562DE" w:rsidRDefault="000D37DC" w:rsidP="00C2747F">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Chapman, B., </w:t>
      </w:r>
      <w:r w:rsidRPr="005562DE">
        <w:rPr>
          <w:i/>
          <w:iCs/>
          <w:highlight w:val="green"/>
          <w:lang w:val="en-GB"/>
        </w:rPr>
        <w:t>The Profession of Government</w:t>
      </w:r>
      <w:r w:rsidRPr="005562DE">
        <w:rPr>
          <w:highlight w:val="green"/>
          <w:lang w:val="en-GB"/>
        </w:rPr>
        <w:t>, Unwin, London, 1959, p. 275.</w:t>
      </w:r>
    </w:p>
  </w:footnote>
  <w:footnote w:id="54">
    <w:p w14:paraId="64D02C91" w14:textId="26213B52" w:rsidR="000D37DC" w:rsidRPr="005562DE" w:rsidRDefault="000D37DC" w:rsidP="00C2747F">
      <w:pPr>
        <w:pStyle w:val="FootnoteText"/>
        <w:bidi w:val="0"/>
        <w:jc w:val="both"/>
        <w:rPr>
          <w:highlight w:val="green"/>
          <w:lang w:val="en-GB"/>
        </w:rPr>
      </w:pPr>
      <w:r w:rsidRPr="005562DE">
        <w:rPr>
          <w:rStyle w:val="FootnoteReference"/>
          <w:highlight w:val="green"/>
          <w:lang w:val="en-GB"/>
        </w:rPr>
        <w:footnoteRef/>
      </w:r>
      <w:r w:rsidRPr="005562DE">
        <w:rPr>
          <w:highlight w:val="green"/>
          <w:lang w:val="en-GB"/>
        </w:rPr>
        <w:t xml:space="preserve"> James Filkins,</w:t>
      </w:r>
      <w:r w:rsidRPr="005562DE">
        <w:rPr>
          <w:i/>
          <w:iCs/>
          <w:highlight w:val="green"/>
          <w:lang w:val="en-GB"/>
        </w:rPr>
        <w:t xml:space="preserve"> Note and Comment: </w:t>
      </w:r>
      <w:r w:rsidRPr="005562DE">
        <w:rPr>
          <w:highlight w:val="green"/>
          <w:lang w:val="en-GB"/>
        </w:rPr>
        <w:t>Tarpley v. Keistler: Patronage, Petition ad the Noerr-Pennington Doctrine, 50 Depaul L. Rev. 265, 275 (2000)</w:t>
      </w:r>
      <w:r w:rsidRPr="005562DE">
        <w:rPr>
          <w:highlight w:val="green"/>
          <w:rtl/>
          <w:lang w:val="en-GB"/>
        </w:rPr>
        <w:t>.</w:t>
      </w:r>
    </w:p>
  </w:footnote>
  <w:footnote w:id="55">
    <w:p w14:paraId="5E7E724E" w14:textId="6268F00E" w:rsidR="000D37DC" w:rsidRPr="005562DE" w:rsidRDefault="000D37DC" w:rsidP="00C2747F">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George A. Krause, David E. Lewis &amp; James W. Douglas, </w:t>
      </w:r>
      <w:r w:rsidRPr="005562DE">
        <w:rPr>
          <w:i/>
          <w:iCs/>
          <w:highlight w:val="green"/>
          <w:lang w:val="en-GB"/>
        </w:rPr>
        <w:t xml:space="preserve">Political Appointments, Civil Service Systems, and Bureaucratic Competence: Organizational Balancing and Executive Branch Revenue Forecasts in the American States, </w:t>
      </w:r>
      <w:r w:rsidRPr="005562DE">
        <w:rPr>
          <w:highlight w:val="green"/>
          <w:lang w:val="en-GB"/>
        </w:rPr>
        <w:t xml:space="preserve">50 AM. J. POL. SCI. 770 (2006); Benjamin Akzin, </w:t>
      </w:r>
      <w:r w:rsidRPr="005562DE">
        <w:rPr>
          <w:i/>
          <w:iCs/>
          <w:highlight w:val="green"/>
          <w:lang w:val="en-GB"/>
        </w:rPr>
        <w:t>Election and Appointment</w:t>
      </w:r>
      <w:r w:rsidRPr="005562DE">
        <w:rPr>
          <w:highlight w:val="green"/>
          <w:lang w:val="en-GB"/>
        </w:rPr>
        <w:t>, 54 AM. POL. SCI. Rev. 705 (1960)</w:t>
      </w:r>
      <w:r w:rsidRPr="005562DE">
        <w:rPr>
          <w:highlight w:val="green"/>
          <w:rtl/>
          <w:lang w:val="en-GB"/>
        </w:rPr>
        <w:t>.</w:t>
      </w:r>
    </w:p>
  </w:footnote>
  <w:footnote w:id="56">
    <w:p w14:paraId="0239BA67" w14:textId="5EC62CE4" w:rsidR="000D37DC" w:rsidRPr="005562DE" w:rsidRDefault="000D37DC" w:rsidP="0083754E">
      <w:pPr>
        <w:pStyle w:val="FootnoteText"/>
        <w:bidi w:val="0"/>
        <w:jc w:val="both"/>
        <w:rPr>
          <w:lang w:val="en-GB"/>
        </w:rPr>
      </w:pPr>
      <w:r w:rsidRPr="005562DE">
        <w:rPr>
          <w:rStyle w:val="FootnoteReference"/>
          <w:lang w:val="en-GB"/>
        </w:rPr>
        <w:footnoteRef/>
      </w:r>
      <w:r w:rsidRPr="005562DE">
        <w:rPr>
          <w:rtl/>
          <w:lang w:val="en-GB"/>
        </w:rPr>
        <w:t xml:space="preserve"> </w:t>
      </w:r>
      <w:r w:rsidRPr="005562DE">
        <w:rPr>
          <w:lang w:val="en-GB"/>
        </w:rPr>
        <w:t>Dr. Rotem Bresler-Gonen shows in her research</w:t>
      </w:r>
      <w:r>
        <w:rPr>
          <w:lang w:val="en-GB"/>
        </w:rPr>
        <w:t xml:space="preserve"> </w:t>
      </w:r>
      <w:r w:rsidRPr="005562DE">
        <w:rPr>
          <w:lang w:val="en-GB"/>
        </w:rPr>
        <w:t xml:space="preserve">that without a personal, business, or ideological-partisan bias, the public system becomes paralysed, see: Rotem Bresler-Gonen, </w:t>
      </w:r>
      <w:r w:rsidRPr="005562DE">
        <w:rPr>
          <w:i/>
          <w:iCs/>
          <w:lang w:val="en-GB"/>
        </w:rPr>
        <w:t>Political Appointments in Israel Local Government</w:t>
      </w:r>
      <w:r w:rsidRPr="005562DE">
        <w:rPr>
          <w:lang w:val="en-GB"/>
        </w:rPr>
        <w:t xml:space="preserve"> (Tel Aviv University, The Harold Hartog School of Government and Policy, 2007)</w:t>
      </w:r>
      <w:r w:rsidRPr="005562DE">
        <w:rPr>
          <w:rtl/>
          <w:lang w:val="en-GB"/>
        </w:rPr>
        <w:t>.</w:t>
      </w:r>
    </w:p>
  </w:footnote>
  <w:footnote w:id="57">
    <w:p w14:paraId="28FF5533" w14:textId="73B5089B" w:rsidR="000D37DC" w:rsidRPr="005562DE" w:rsidRDefault="000D37DC" w:rsidP="00A61C8A">
      <w:pPr>
        <w:pStyle w:val="FootnoteText"/>
        <w:bidi w:val="0"/>
        <w:jc w:val="both"/>
        <w:rPr>
          <w:lang w:val="en-GB"/>
        </w:rPr>
      </w:pPr>
      <w:r w:rsidRPr="005562DE">
        <w:rPr>
          <w:rStyle w:val="FootnoteReference"/>
          <w:lang w:val="en-GB"/>
        </w:rPr>
        <w:footnoteRef/>
      </w:r>
      <w:r w:rsidRPr="005562DE">
        <w:rPr>
          <w:rtl/>
          <w:lang w:val="en-GB"/>
        </w:rPr>
        <w:t xml:space="preserve"> </w:t>
      </w:r>
      <w:r w:rsidRPr="005562DE">
        <w:rPr>
          <w:lang w:val="en-GB"/>
        </w:rPr>
        <w:t>And therefore, permits biased appointment</w:t>
      </w:r>
      <w:r>
        <w:rPr>
          <w:lang w:val="en-GB"/>
        </w:rPr>
        <w:t>s</w:t>
      </w:r>
      <w:r w:rsidRPr="005562DE">
        <w:rPr>
          <w:lang w:val="en-GB"/>
        </w:rPr>
        <w:t xml:space="preserve"> for political reasons. I do not believe that there is any model that recognises the importance of appointments influenced by extraneous and other personal considerations.</w:t>
      </w:r>
    </w:p>
  </w:footnote>
  <w:footnote w:id="58">
    <w:p w14:paraId="3B957837" w14:textId="009A637F" w:rsidR="000D37DC" w:rsidRPr="005562DE" w:rsidRDefault="000D37DC" w:rsidP="0083754E">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Michael C. Jensen, A Theory of the firm: Governance, residual claims and organizational forms, Harvard University Press, December 2000 Journal of Financial Economics (JFE), Vol. 3, No. 4, 1976.</w:t>
      </w:r>
    </w:p>
  </w:footnote>
  <w:footnote w:id="59">
    <w:p w14:paraId="7309B802" w14:textId="0D4D43CA" w:rsidR="000D37DC" w:rsidRPr="005562DE" w:rsidRDefault="000D37DC" w:rsidP="0083754E">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Max Weber, </w:t>
      </w:r>
      <w:r w:rsidRPr="005562DE">
        <w:rPr>
          <w:i/>
          <w:iCs/>
          <w:highlight w:val="green"/>
          <w:lang w:val="en-GB"/>
        </w:rPr>
        <w:t xml:space="preserve">Bureaucratic Authority, </w:t>
      </w:r>
      <w:r w:rsidRPr="005562DE">
        <w:rPr>
          <w:highlight w:val="green"/>
          <w:lang w:val="en-GB"/>
        </w:rPr>
        <w:t>in Sociological Writing 58 (1994)</w:t>
      </w:r>
      <w:r w:rsidRPr="005562DE">
        <w:rPr>
          <w:highlight w:val="green"/>
          <w:rtl/>
          <w:lang w:val="en-GB"/>
        </w:rPr>
        <w:t>.</w:t>
      </w:r>
    </w:p>
  </w:footnote>
  <w:footnote w:id="60">
    <w:p w14:paraId="689C3C42" w14:textId="76F77712" w:rsidR="000D37DC" w:rsidRPr="005562DE" w:rsidRDefault="000D37DC" w:rsidP="0083754E">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Aberson, C.L. (2007). Diversity, merit, fairness, and discrimination beliefs as predictors of support for affirmative-action policy actions. </w:t>
      </w:r>
      <w:r w:rsidRPr="005562DE">
        <w:rPr>
          <w:i/>
          <w:iCs/>
          <w:highlight w:val="green"/>
          <w:lang w:val="en-GB"/>
        </w:rPr>
        <w:t xml:space="preserve">Journal of Applied Social Psychology, 37(10), </w:t>
      </w:r>
      <w:r w:rsidRPr="005562DE">
        <w:rPr>
          <w:highlight w:val="green"/>
          <w:lang w:val="en-GB"/>
        </w:rPr>
        <w:t>2451-2474</w:t>
      </w:r>
      <w:r w:rsidRPr="005562DE">
        <w:rPr>
          <w:highlight w:val="green"/>
          <w:rtl/>
          <w:lang w:val="en-GB"/>
        </w:rPr>
        <w:t>.</w:t>
      </w:r>
    </w:p>
  </w:footnote>
  <w:footnote w:id="61">
    <w:p w14:paraId="49995B9F" w14:textId="06C88825" w:rsidR="000D37DC" w:rsidRPr="005562DE" w:rsidRDefault="000D37DC" w:rsidP="0083754E">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Pr>
          <w:highlight w:val="green"/>
          <w:lang w:val="en-GB"/>
        </w:rPr>
        <w:t>“</w:t>
      </w:r>
      <w:r w:rsidRPr="005562DE">
        <w:rPr>
          <w:highlight w:val="green"/>
          <w:lang w:val="en-GB"/>
        </w:rPr>
        <w:t>Tiebreak</w:t>
      </w:r>
      <w:r>
        <w:rPr>
          <w:highlight w:val="green"/>
          <w:lang w:val="en-GB"/>
        </w:rPr>
        <w:t>”</w:t>
      </w:r>
      <w:r w:rsidRPr="005562DE">
        <w:rPr>
          <w:highlight w:val="green"/>
          <w:lang w:val="en-GB"/>
        </w:rPr>
        <w:t>.</w:t>
      </w:r>
    </w:p>
  </w:footnote>
  <w:footnote w:id="62">
    <w:p w14:paraId="23728C35" w14:textId="5B7C41E3" w:rsidR="000D37DC" w:rsidRPr="005562DE" w:rsidRDefault="000D37DC" w:rsidP="0083754E">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Aberson, C.L. (2003). Support for race-based affirmative action: Self interest and procedural </w:t>
      </w:r>
      <w:r w:rsidRPr="005562DE">
        <w:rPr>
          <w:i/>
          <w:iCs/>
          <w:highlight w:val="green"/>
          <w:lang w:val="en-GB"/>
        </w:rPr>
        <w:t xml:space="preserve">Journal of Applied Social Psychology, 33(6), </w:t>
      </w:r>
      <w:r w:rsidRPr="005562DE">
        <w:rPr>
          <w:highlight w:val="green"/>
          <w:lang w:val="en-GB"/>
        </w:rPr>
        <w:t>1212-1225</w:t>
      </w:r>
      <w:r w:rsidRPr="005562DE">
        <w:rPr>
          <w:highlight w:val="green"/>
          <w:rtl/>
          <w:lang w:val="en-GB"/>
        </w:rPr>
        <w:t>.</w:t>
      </w:r>
    </w:p>
  </w:footnote>
  <w:footnote w:id="63">
    <w:p w14:paraId="2B4464C9" w14:textId="559862C9" w:rsidR="000D37DC" w:rsidRPr="005562DE" w:rsidRDefault="000D37DC" w:rsidP="0083754E">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Aberson, C.L. (2007). Diversity, merit, fairness, and discrimination beliefs as predictors of support for affirmative-action policy actions. </w:t>
      </w:r>
      <w:r w:rsidRPr="005562DE">
        <w:rPr>
          <w:i/>
          <w:iCs/>
          <w:highlight w:val="green"/>
          <w:lang w:val="en-GB"/>
        </w:rPr>
        <w:t xml:space="preserve">Journal of Applied Social Psychology, 37(10), </w:t>
      </w:r>
      <w:r w:rsidRPr="005562DE">
        <w:rPr>
          <w:highlight w:val="green"/>
          <w:lang w:val="en-GB"/>
        </w:rPr>
        <w:t>2451-2474</w:t>
      </w:r>
      <w:r w:rsidRPr="005562DE">
        <w:rPr>
          <w:highlight w:val="green"/>
          <w:rtl/>
          <w:lang w:val="en-GB"/>
        </w:rPr>
        <w:t>.</w:t>
      </w:r>
    </w:p>
  </w:footnote>
  <w:footnote w:id="64">
    <w:p w14:paraId="2A816BCA" w14:textId="0DC3B173" w:rsidR="000D37DC" w:rsidRPr="005562DE" w:rsidRDefault="000D37DC" w:rsidP="0083754E">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i/>
          <w:iCs/>
          <w:highlight w:val="green"/>
          <w:lang w:val="en-GB"/>
        </w:rPr>
        <w:t xml:space="preserve">Steelworker v. Weber </w:t>
      </w:r>
      <w:r w:rsidRPr="005562DE">
        <w:rPr>
          <w:highlight w:val="green"/>
          <w:lang w:val="en-GB"/>
        </w:rPr>
        <w:t>444 U.S. 193 (1979)</w:t>
      </w:r>
      <w:r w:rsidRPr="005562DE">
        <w:rPr>
          <w:highlight w:val="green"/>
          <w:rtl/>
          <w:lang w:val="en-GB"/>
        </w:rPr>
        <w:t>.</w:t>
      </w:r>
    </w:p>
  </w:footnote>
  <w:footnote w:id="65">
    <w:p w14:paraId="0DFE7B6B" w14:textId="1CECCCC6" w:rsidR="000D37DC" w:rsidRPr="005562DE" w:rsidRDefault="000D37DC" w:rsidP="00A61C8A">
      <w:pPr>
        <w:pStyle w:val="FootnoteText"/>
        <w:bidi w:val="0"/>
        <w:jc w:val="both"/>
        <w:rPr>
          <w:lang w:val="en-GB"/>
        </w:rPr>
      </w:pPr>
      <w:r w:rsidRPr="005562DE">
        <w:rPr>
          <w:rStyle w:val="FootnoteReference"/>
          <w:lang w:val="en-GB"/>
        </w:rPr>
        <w:footnoteRef/>
      </w:r>
      <w:r w:rsidRPr="005562DE">
        <w:rPr>
          <w:rtl/>
          <w:lang w:val="en-GB"/>
        </w:rPr>
        <w:t xml:space="preserve"> </w:t>
      </w:r>
      <w:r w:rsidRPr="005562DE">
        <w:rPr>
          <w:lang w:val="en-GB"/>
        </w:rPr>
        <w:t>In that case, it was private employers.</w:t>
      </w:r>
    </w:p>
  </w:footnote>
  <w:footnote w:id="66">
    <w:p w14:paraId="72812538" w14:textId="40A5F036" w:rsidR="000D37DC" w:rsidRPr="005562DE" w:rsidRDefault="000D37DC" w:rsidP="0083754E">
      <w:pPr>
        <w:pStyle w:val="FootnoteText"/>
        <w:bidi w:val="0"/>
        <w:jc w:val="both"/>
        <w:rPr>
          <w:highlight w:val="green"/>
          <w:lang w:val="en-GB"/>
        </w:rPr>
      </w:pPr>
      <w:r w:rsidRPr="005562DE">
        <w:rPr>
          <w:rStyle w:val="FootnoteReference"/>
          <w:highlight w:val="green"/>
          <w:lang w:val="en-GB"/>
        </w:rPr>
        <w:footnoteRef/>
      </w:r>
      <w:r w:rsidRPr="005562DE">
        <w:rPr>
          <w:highlight w:val="green"/>
          <w:lang w:val="en-GB"/>
        </w:rPr>
        <w:t xml:space="preserve"> Chief Justice Burger, and Justice Rehnquist.</w:t>
      </w:r>
    </w:p>
  </w:footnote>
  <w:footnote w:id="67">
    <w:p w14:paraId="76C8B9E5" w14:textId="0A453C0E" w:rsidR="000D37DC" w:rsidRPr="005562DE" w:rsidRDefault="000D37DC" w:rsidP="0083754E">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i/>
          <w:iCs/>
          <w:highlight w:val="green"/>
          <w:lang w:val="en-GB"/>
        </w:rPr>
        <w:t>City of Richmond v. JA Croson Co. 488 U.S. 469 (1989)</w:t>
      </w:r>
      <w:r w:rsidRPr="005562DE">
        <w:rPr>
          <w:i/>
          <w:iCs/>
          <w:highlight w:val="green"/>
          <w:rtl/>
          <w:lang w:val="en-GB"/>
        </w:rPr>
        <w:t>.</w:t>
      </w:r>
    </w:p>
  </w:footnote>
  <w:footnote w:id="68">
    <w:p w14:paraId="5E8AA903" w14:textId="03FFBC75" w:rsidR="000D37DC" w:rsidRPr="005562DE" w:rsidRDefault="000D37DC" w:rsidP="0083754E">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In re </w:t>
      </w:r>
      <w:r w:rsidRPr="005562DE">
        <w:rPr>
          <w:i/>
          <w:iCs/>
          <w:highlight w:val="green"/>
          <w:lang w:val="en-GB"/>
        </w:rPr>
        <w:t xml:space="preserve">Fullilove v. klutznick, Secretary of Commerce </w:t>
      </w:r>
      <w:r w:rsidRPr="005562DE">
        <w:rPr>
          <w:highlight w:val="green"/>
          <w:lang w:val="en-GB"/>
        </w:rPr>
        <w:t>448 U.S. 448 (1980)</w:t>
      </w:r>
      <w:r w:rsidRPr="005562DE">
        <w:rPr>
          <w:highlight w:val="green"/>
          <w:rtl/>
          <w:lang w:val="en-GB"/>
        </w:rPr>
        <w:t>.</w:t>
      </w:r>
    </w:p>
  </w:footnote>
  <w:footnote w:id="69">
    <w:p w14:paraId="4673FA5B" w14:textId="016CE449" w:rsidR="000D37DC" w:rsidRPr="005562DE" w:rsidRDefault="000D37DC" w:rsidP="00C77712">
      <w:pPr>
        <w:pStyle w:val="FootnoteText"/>
        <w:bidi w:val="0"/>
        <w:jc w:val="both"/>
        <w:rPr>
          <w:lang w:val="en-GB"/>
        </w:rPr>
      </w:pPr>
      <w:r w:rsidRPr="005562DE">
        <w:rPr>
          <w:rStyle w:val="FootnoteReference"/>
          <w:lang w:val="en-GB"/>
        </w:rPr>
        <w:footnoteRef/>
      </w:r>
      <w:r w:rsidRPr="005562DE">
        <w:rPr>
          <w:lang w:val="en-GB"/>
        </w:rPr>
        <w:t xml:space="preserve"> </w:t>
      </w:r>
      <w:r w:rsidRPr="005562DE">
        <w:rPr>
          <w:i/>
          <w:iCs/>
          <w:lang w:val="en-GB"/>
        </w:rPr>
        <w:t>Grutter v. Bollinger</w:t>
      </w:r>
      <w:r w:rsidRPr="005562DE">
        <w:rPr>
          <w:lang w:val="en-GB"/>
        </w:rPr>
        <w:t xml:space="preserve">, 539 U.S. 306 (2003), and </w:t>
      </w:r>
      <w:r w:rsidRPr="005562DE">
        <w:rPr>
          <w:i/>
          <w:iCs/>
          <w:lang w:val="en-GB"/>
        </w:rPr>
        <w:t>cf</w:t>
      </w:r>
      <w:r w:rsidRPr="005562DE">
        <w:rPr>
          <w:lang w:val="en-GB"/>
        </w:rPr>
        <w:t xml:space="preserve">. </w:t>
      </w:r>
      <w:r w:rsidRPr="005562DE">
        <w:rPr>
          <w:i/>
          <w:iCs/>
          <w:lang w:val="en-GB"/>
        </w:rPr>
        <w:t>Gratz v. Bollinger</w:t>
      </w:r>
      <w:r w:rsidRPr="005562DE">
        <w:rPr>
          <w:lang w:val="en-GB"/>
        </w:rPr>
        <w:t>, 539 U.S. 244 (2003)</w:t>
      </w:r>
      <w:r w:rsidRPr="005562DE">
        <w:rPr>
          <w:rtl/>
          <w:lang w:val="en-GB"/>
        </w:rPr>
        <w:t>.</w:t>
      </w:r>
      <w:r w:rsidRPr="005562DE">
        <w:rPr>
          <w:lang w:val="en-GB"/>
        </w:rPr>
        <w:t xml:space="preserve"> </w:t>
      </w:r>
      <w:r w:rsidR="006E11C8">
        <w:rPr>
          <w:lang w:val="en-GB"/>
        </w:rPr>
        <w:t>F</w:t>
      </w:r>
      <w:r w:rsidRPr="005562DE">
        <w:rPr>
          <w:lang w:val="en-GB"/>
        </w:rPr>
        <w:t>or more detail on the development of case law in the U</w:t>
      </w:r>
      <w:r>
        <w:rPr>
          <w:lang w:val="en-GB"/>
        </w:rPr>
        <w:t>nited States</w:t>
      </w:r>
      <w:r w:rsidRPr="005562DE">
        <w:rPr>
          <w:lang w:val="en-GB"/>
        </w:rPr>
        <w:t xml:space="preserve"> in this context, see: Bankston, Carl </w:t>
      </w:r>
      <w:r>
        <w:rPr>
          <w:lang w:val="en-GB"/>
        </w:rPr>
        <w:t>“</w:t>
      </w:r>
      <w:r w:rsidRPr="005562DE">
        <w:rPr>
          <w:lang w:val="en-GB"/>
        </w:rPr>
        <w:t>Grutter v. Bollinger: Weak Foundations?</w:t>
      </w:r>
      <w:r>
        <w:rPr>
          <w:lang w:val="en-GB"/>
        </w:rPr>
        <w:t>”</w:t>
      </w:r>
      <w:r w:rsidRPr="005562DE">
        <w:rPr>
          <w:lang w:val="en-GB"/>
        </w:rPr>
        <w:t xml:space="preserve"> </w:t>
      </w:r>
      <w:r w:rsidRPr="005562DE">
        <w:rPr>
          <w:i/>
          <w:iCs/>
          <w:lang w:val="en-GB"/>
        </w:rPr>
        <w:t>Ohio State Law Journal</w:t>
      </w:r>
      <w:r w:rsidRPr="005562DE">
        <w:rPr>
          <w:lang w:val="en-GB"/>
        </w:rPr>
        <w:t> 67 (1): 1–13 (2006)</w:t>
      </w:r>
      <w:r w:rsidRPr="005562DE">
        <w:rPr>
          <w:rtl/>
          <w:lang w:val="en-GB"/>
        </w:rPr>
        <w:t>.</w:t>
      </w:r>
    </w:p>
    <w:p w14:paraId="7491DDE2" w14:textId="10C6263B" w:rsidR="000D37DC" w:rsidRPr="005562DE" w:rsidRDefault="000D37DC" w:rsidP="00C77712">
      <w:pPr>
        <w:pStyle w:val="FootnoteText"/>
        <w:bidi w:val="0"/>
        <w:jc w:val="both"/>
        <w:rPr>
          <w:lang w:val="en-GB"/>
        </w:rPr>
      </w:pPr>
      <w:r w:rsidRPr="005562DE">
        <w:rPr>
          <w:lang w:val="en-GB"/>
        </w:rPr>
        <w:t xml:space="preserve">In July 1995, the White House decided that all affirmative action programs that set quotas or afford preference to candidates that lack the necessary skills are </w:t>
      </w:r>
      <w:r>
        <w:rPr>
          <w:lang w:val="en-GB"/>
        </w:rPr>
        <w:t xml:space="preserve">to be </w:t>
      </w:r>
      <w:r w:rsidRPr="005562DE">
        <w:rPr>
          <w:lang w:val="en-GB"/>
        </w:rPr>
        <w:t xml:space="preserve">rescinded. See on this point: Anne Peters </w:t>
      </w:r>
      <w:r w:rsidRPr="005562DE">
        <w:rPr>
          <w:i/>
          <w:iCs/>
          <w:lang w:val="en-GB"/>
        </w:rPr>
        <w:t xml:space="preserve">Woman, Quotas and Constitutions </w:t>
      </w:r>
      <w:r w:rsidRPr="005562DE">
        <w:rPr>
          <w:lang w:val="en-GB"/>
        </w:rPr>
        <w:t>(1992) pp. 39</w:t>
      </w:r>
      <w:r w:rsidR="006E11C8">
        <w:rPr>
          <w:lang w:val="en-GB"/>
        </w:rPr>
        <w:t>–</w:t>
      </w:r>
      <w:r w:rsidRPr="005562DE">
        <w:rPr>
          <w:lang w:val="en-GB"/>
        </w:rPr>
        <w:t>40</w:t>
      </w:r>
      <w:r w:rsidRPr="005562DE">
        <w:rPr>
          <w:rtl/>
          <w:lang w:val="en-GB"/>
        </w:rPr>
        <w:t>.</w:t>
      </w:r>
    </w:p>
  </w:footnote>
  <w:footnote w:id="70">
    <w:p w14:paraId="1EC5D4DC" w14:textId="499F37F4" w:rsidR="000D37DC" w:rsidRPr="005562DE" w:rsidRDefault="000D37DC" w:rsidP="00C77712">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i/>
          <w:iCs/>
          <w:highlight w:val="green"/>
          <w:lang w:val="en-GB"/>
        </w:rPr>
        <w:t>Kalanke v. Freie Hansestadt Bremen (450/39)</w:t>
      </w:r>
      <w:r w:rsidRPr="005562DE">
        <w:rPr>
          <w:highlight w:val="green"/>
          <w:lang w:val="en-GB"/>
        </w:rPr>
        <w:t xml:space="preserve">: [1996] ECR I-3051, as well as </w:t>
      </w:r>
      <w:r w:rsidRPr="005562DE">
        <w:rPr>
          <w:i/>
          <w:iCs/>
          <w:highlight w:val="green"/>
          <w:lang w:val="en-GB"/>
        </w:rPr>
        <w:t>Marschall v. Land Nordhein-Westfalen</w:t>
      </w:r>
      <w:r w:rsidRPr="005562DE">
        <w:rPr>
          <w:highlight w:val="green"/>
          <w:lang w:val="en-GB"/>
        </w:rPr>
        <w:t xml:space="preserve"> (</w:t>
      </w:r>
      <w:r w:rsidRPr="005562DE">
        <w:rPr>
          <w:i/>
          <w:iCs/>
          <w:highlight w:val="green"/>
          <w:lang w:val="en-GB"/>
        </w:rPr>
        <w:t>C-409/95)</w:t>
      </w:r>
      <w:r w:rsidRPr="005562DE">
        <w:rPr>
          <w:highlight w:val="green"/>
          <w:lang w:val="en-GB"/>
        </w:rPr>
        <w:t>: [1997] All E.R (EC) 865</w:t>
      </w:r>
      <w:r w:rsidRPr="005562DE">
        <w:rPr>
          <w:highlight w:val="green"/>
          <w:rtl/>
          <w:lang w:val="en-GB"/>
        </w:rPr>
        <w:t>.</w:t>
      </w:r>
    </w:p>
  </w:footnote>
  <w:footnote w:id="71">
    <w:p w14:paraId="305335CF" w14:textId="2CDC4FA7" w:rsidR="000D37DC" w:rsidRPr="005562DE" w:rsidRDefault="000D37DC" w:rsidP="00C77712">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i/>
          <w:iCs/>
          <w:highlight w:val="green"/>
          <w:lang w:val="en-GB"/>
        </w:rPr>
        <w:t xml:space="preserve">Canadian National Railway Co. v. Canada </w:t>
      </w:r>
      <w:r w:rsidRPr="005562DE">
        <w:rPr>
          <w:highlight w:val="green"/>
          <w:lang w:val="en-GB"/>
        </w:rPr>
        <w:t>[1987] 1 SCR 1114</w:t>
      </w:r>
      <w:r w:rsidRPr="005562DE">
        <w:rPr>
          <w:highlight w:val="green"/>
          <w:rtl/>
          <w:lang w:val="en-GB"/>
        </w:rPr>
        <w:t>.</w:t>
      </w:r>
    </w:p>
  </w:footnote>
  <w:footnote w:id="72">
    <w:p w14:paraId="1185C3A2" w14:textId="3B23C56F" w:rsidR="000D37DC" w:rsidRPr="005562DE" w:rsidRDefault="000D37DC" w:rsidP="00A61C8A">
      <w:pPr>
        <w:pStyle w:val="FootnoteText"/>
        <w:bidi w:val="0"/>
        <w:jc w:val="both"/>
        <w:rPr>
          <w:lang w:val="en-GB"/>
        </w:rPr>
      </w:pPr>
      <w:r w:rsidRPr="005562DE">
        <w:rPr>
          <w:rStyle w:val="FootnoteReference"/>
          <w:lang w:val="en-GB"/>
        </w:rPr>
        <w:footnoteRef/>
      </w:r>
      <w:r w:rsidRPr="005562DE">
        <w:rPr>
          <w:rtl/>
          <w:lang w:val="en-GB"/>
        </w:rPr>
        <w:t xml:space="preserve"> </w:t>
      </w:r>
      <w:r w:rsidRPr="005562DE">
        <w:rPr>
          <w:lang w:val="en-GB"/>
        </w:rPr>
        <w:t xml:space="preserve">In this regard, one should also recall S. 703 of the </w:t>
      </w:r>
      <w:r>
        <w:rPr>
          <w:lang w:val="en-GB"/>
        </w:rPr>
        <w:t>F</w:t>
      </w:r>
      <w:r w:rsidRPr="005562DE">
        <w:rPr>
          <w:lang w:val="en-GB"/>
        </w:rPr>
        <w:t>ederal Civil Rights Act, under which, all procedures for employee selection, employment, and promotion that were based on discrimination due to the candidate</w:t>
      </w:r>
      <w:r>
        <w:rPr>
          <w:lang w:val="en-GB"/>
        </w:rPr>
        <w:t>’</w:t>
      </w:r>
      <w:r w:rsidRPr="005562DE">
        <w:rPr>
          <w:lang w:val="en-GB"/>
        </w:rPr>
        <w:t>s or employee</w:t>
      </w:r>
      <w:r>
        <w:rPr>
          <w:lang w:val="en-GB"/>
        </w:rPr>
        <w:t>’</w:t>
      </w:r>
      <w:r w:rsidRPr="005562DE">
        <w:rPr>
          <w:lang w:val="en-GB"/>
        </w:rPr>
        <w:t>s race, skin colour, religion, gender, or national origin, were declared unlawful.</w:t>
      </w:r>
    </w:p>
  </w:footnote>
  <w:footnote w:id="73">
    <w:p w14:paraId="719EB5B7" w14:textId="7938D7E1" w:rsidR="000D37DC" w:rsidRPr="005562DE" w:rsidRDefault="000D37DC" w:rsidP="00C77712">
      <w:pPr>
        <w:pStyle w:val="FootnoteText"/>
        <w:bidi w:val="0"/>
        <w:jc w:val="both"/>
        <w:rPr>
          <w:highlight w:val="green"/>
          <w:lang w:val="en-GB"/>
        </w:rPr>
      </w:pPr>
      <w:r w:rsidRPr="005562DE">
        <w:rPr>
          <w:rStyle w:val="FootnoteReference"/>
          <w:highlight w:val="green"/>
          <w:lang w:val="en-GB"/>
        </w:rPr>
        <w:footnoteRef/>
      </w:r>
      <w:r w:rsidRPr="005562DE">
        <w:rPr>
          <w:highlight w:val="green"/>
          <w:lang w:val="en-GB"/>
        </w:rPr>
        <w:t xml:space="preserve"> McWhirter Darien A. 1996. The End of Affirmative Action: Where do We Go </w:t>
      </w:r>
      <w:proofErr w:type="gramStart"/>
      <w:r w:rsidRPr="005562DE">
        <w:rPr>
          <w:highlight w:val="green"/>
          <w:lang w:val="en-GB"/>
        </w:rPr>
        <w:t>From</w:t>
      </w:r>
      <w:proofErr w:type="gramEnd"/>
      <w:r w:rsidRPr="005562DE">
        <w:rPr>
          <w:highlight w:val="green"/>
          <w:lang w:val="en-GB"/>
        </w:rPr>
        <w:t xml:space="preserve"> Here? New York: Carol Publishing Group; Urofsky Melvin I. 1997. Affirmative Action on Trial: Sex Discrimination in Johnson v. Santa Clara, Kansas: University Press of Kansas.</w:t>
      </w:r>
    </w:p>
  </w:footnote>
  <w:footnote w:id="74">
    <w:p w14:paraId="0294E12A" w14:textId="14459497" w:rsidR="000D37DC" w:rsidRPr="005562DE" w:rsidRDefault="000D37DC" w:rsidP="00C77712">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Executive Order 11246</w:t>
      </w:r>
      <w:r w:rsidRPr="005562DE">
        <w:rPr>
          <w:highlight w:val="green"/>
          <w:rtl/>
          <w:lang w:val="en-GB"/>
        </w:rPr>
        <w:t>.</w:t>
      </w:r>
    </w:p>
  </w:footnote>
  <w:footnote w:id="75">
    <w:p w14:paraId="01F9A4A8" w14:textId="37DEF93C" w:rsidR="000D37DC" w:rsidRPr="005562DE" w:rsidRDefault="000D37DC" w:rsidP="00C77712">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U.N. Treaty Series, Vol. 660 (1965) 195</w:t>
      </w:r>
      <w:r w:rsidRPr="005562DE">
        <w:rPr>
          <w:highlight w:val="green"/>
          <w:rtl/>
          <w:lang w:val="en-GB"/>
        </w:rPr>
        <w:t>.</w:t>
      </w:r>
    </w:p>
  </w:footnote>
  <w:footnote w:id="76">
    <w:p w14:paraId="017F9019" w14:textId="707A577E" w:rsidR="000D37DC" w:rsidRPr="005562DE" w:rsidRDefault="000D37DC" w:rsidP="002F3B84">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hyperlink r:id="rId2" w:history="1">
        <w:r w:rsidRPr="005562DE">
          <w:rPr>
            <w:rStyle w:val="Hyperlink"/>
            <w:highlight w:val="green"/>
            <w:lang w:val="en-GB"/>
          </w:rPr>
          <w:t>The Convention on the Elimination of All Forms of Discrimination against Women (CEDAW)</w:t>
        </w:r>
      </w:hyperlink>
      <w:r w:rsidRPr="005562DE">
        <w:rPr>
          <w:highlight w:val="green"/>
          <w:lang w:val="en-GB"/>
        </w:rPr>
        <w:t>, U.N. Treaty Series, Vol. 1249 (1979) 13</w:t>
      </w:r>
      <w:r w:rsidRPr="005562DE">
        <w:rPr>
          <w:highlight w:val="green"/>
          <w:rtl/>
          <w:lang w:val="en-GB"/>
        </w:rPr>
        <w:t>,</w:t>
      </w:r>
    </w:p>
  </w:footnote>
  <w:footnote w:id="77">
    <w:p w14:paraId="1BEFDF6C" w14:textId="259378AA" w:rsidR="000D37DC" w:rsidRPr="005562DE" w:rsidRDefault="000D37DC" w:rsidP="002F3B84">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Canadian Charter of Rights and Freedoms, section 2(15)</w:t>
      </w:r>
      <w:r w:rsidRPr="005562DE">
        <w:rPr>
          <w:highlight w:val="green"/>
          <w:rtl/>
          <w:lang w:val="en-GB"/>
        </w:rPr>
        <w:t>.</w:t>
      </w:r>
    </w:p>
  </w:footnote>
  <w:footnote w:id="78">
    <w:p w14:paraId="105CB927" w14:textId="757E9F8E" w:rsidR="000D37DC" w:rsidRPr="005562DE" w:rsidRDefault="000D37DC" w:rsidP="002F3B84">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See, e.g.: Adarand Constructors v. Pena, 115 S. Ct. 2097 (1995)</w:t>
      </w:r>
      <w:r w:rsidRPr="005562DE">
        <w:rPr>
          <w:highlight w:val="green"/>
          <w:rtl/>
          <w:lang w:val="en-GB"/>
        </w:rPr>
        <w:t>.</w:t>
      </w:r>
    </w:p>
  </w:footnote>
  <w:footnote w:id="79">
    <w:p w14:paraId="48C03307" w14:textId="459BB937" w:rsidR="000D37DC" w:rsidRPr="005562DE" w:rsidRDefault="000D37DC" w:rsidP="002F3B84">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Affirmative Action (Equal Employment Opportunity for Women) Act, 1986</w:t>
      </w:r>
      <w:r w:rsidRPr="005562DE">
        <w:rPr>
          <w:highlight w:val="green"/>
          <w:rtl/>
          <w:lang w:val="en-GB"/>
        </w:rPr>
        <w:t>.</w:t>
      </w:r>
    </w:p>
  </w:footnote>
  <w:footnote w:id="80">
    <w:p w14:paraId="4DCF272D" w14:textId="7DF5AE52" w:rsidR="000D37DC" w:rsidRPr="005562DE" w:rsidRDefault="000D37DC" w:rsidP="002F3B84">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Act No. 45 (June 1978) Relating to Equal Status between the Sexes</w:t>
      </w:r>
      <w:r w:rsidRPr="005562DE">
        <w:rPr>
          <w:highlight w:val="green"/>
          <w:rtl/>
          <w:lang w:val="en-GB"/>
        </w:rPr>
        <w:t>.</w:t>
      </w:r>
    </w:p>
  </w:footnote>
  <w:footnote w:id="81">
    <w:p w14:paraId="04335971" w14:textId="4180CB5D" w:rsidR="000D37DC" w:rsidRPr="005562DE" w:rsidRDefault="000D37DC" w:rsidP="002F3B84">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Norwegian Foreign Affairs Ministry, Equal Status between Men and Women (Oslo, 1983) 9</w:t>
      </w:r>
      <w:r w:rsidRPr="005562DE">
        <w:rPr>
          <w:highlight w:val="green"/>
          <w:rtl/>
          <w:lang w:val="en-GB"/>
        </w:rPr>
        <w:t>.</w:t>
      </w:r>
    </w:p>
  </w:footnote>
  <w:footnote w:id="82">
    <w:p w14:paraId="78298055" w14:textId="11F80F51" w:rsidR="000D37DC" w:rsidRPr="006668A4" w:rsidRDefault="000D37DC" w:rsidP="00A61C8A">
      <w:pPr>
        <w:pStyle w:val="FootnoteText"/>
        <w:bidi w:val="0"/>
        <w:jc w:val="both"/>
        <w:rPr>
          <w:highlight w:val="green"/>
          <w:lang w:val="en-GB"/>
        </w:rPr>
      </w:pPr>
      <w:r w:rsidRPr="006668A4">
        <w:rPr>
          <w:rStyle w:val="FootnoteReference"/>
          <w:highlight w:val="green"/>
          <w:lang w:val="en-GB"/>
        </w:rPr>
        <w:footnoteRef/>
      </w:r>
      <w:r w:rsidRPr="006668A4">
        <w:rPr>
          <w:highlight w:val="green"/>
          <w:lang w:val="en-GB"/>
        </w:rPr>
        <w:t xml:space="preserve"> </w:t>
      </w:r>
      <w:r w:rsidRPr="006668A4">
        <w:rPr>
          <w:i/>
          <w:iCs/>
          <w:highlight w:val="green"/>
          <w:lang w:val="en-GB"/>
        </w:rPr>
        <w:t>Ibid</w:t>
      </w:r>
      <w:r w:rsidRPr="006668A4">
        <w:rPr>
          <w:highlight w:val="green"/>
          <w:lang w:val="en-GB"/>
        </w:rPr>
        <w:t>., p. 503.</w:t>
      </w:r>
    </w:p>
  </w:footnote>
  <w:footnote w:id="83">
    <w:p w14:paraId="231D7C71" w14:textId="451A7885" w:rsidR="000D37DC" w:rsidRPr="005562DE" w:rsidRDefault="000D37DC" w:rsidP="002F3B84">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For the various rationales underlying the integration within the EU, see: Paul Craig, </w:t>
      </w:r>
      <w:r>
        <w:rPr>
          <w:highlight w:val="green"/>
          <w:lang w:val="en-GB"/>
        </w:rPr>
        <w:t>“</w:t>
      </w:r>
      <w:r w:rsidRPr="005562DE">
        <w:rPr>
          <w:highlight w:val="green"/>
          <w:lang w:val="en-GB"/>
        </w:rPr>
        <w:t>Development of the EU</w:t>
      </w:r>
      <w:r>
        <w:rPr>
          <w:highlight w:val="green"/>
          <w:lang w:val="en-GB"/>
        </w:rPr>
        <w:t>”</w:t>
      </w:r>
      <w:r w:rsidRPr="005562DE">
        <w:rPr>
          <w:highlight w:val="green"/>
          <w:lang w:val="en-GB"/>
        </w:rPr>
        <w:t>,</w:t>
      </w:r>
      <w:r w:rsidRPr="005562DE">
        <w:rPr>
          <w:i/>
          <w:iCs/>
          <w:highlight w:val="green"/>
          <w:lang w:val="en-GB"/>
        </w:rPr>
        <w:t xml:space="preserve"> European Union Law</w:t>
      </w:r>
      <w:r w:rsidRPr="005562DE">
        <w:rPr>
          <w:highlight w:val="green"/>
          <w:lang w:val="en-GB"/>
        </w:rPr>
        <w:t xml:space="preserve"> (2011) 9, p. 31</w:t>
      </w:r>
      <w:r w:rsidRPr="005562DE">
        <w:rPr>
          <w:highlight w:val="green"/>
          <w:rtl/>
          <w:lang w:val="en-GB"/>
        </w:rPr>
        <w:t>.</w:t>
      </w:r>
    </w:p>
  </w:footnote>
  <w:footnote w:id="84">
    <w:p w14:paraId="31F87097" w14:textId="3041C7C3" w:rsidR="000D37DC" w:rsidRPr="005562DE" w:rsidRDefault="000D37DC" w:rsidP="002F3B84">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Case 26/62 </w:t>
      </w:r>
      <w:r w:rsidRPr="005562DE">
        <w:rPr>
          <w:i/>
          <w:iCs/>
          <w:highlight w:val="green"/>
          <w:lang w:val="en-GB"/>
        </w:rPr>
        <w:t>Van Gend en Loos v. Dutch Fiscal Administration</w:t>
      </w:r>
      <w:r w:rsidRPr="005562DE">
        <w:rPr>
          <w:highlight w:val="green"/>
          <w:lang w:val="en-GB"/>
        </w:rPr>
        <w:t xml:space="preserve"> (1963) CMLR 105.</w:t>
      </w:r>
    </w:p>
  </w:footnote>
  <w:footnote w:id="85">
    <w:p w14:paraId="26AA2791" w14:textId="291B2F2B" w:rsidR="000D37DC" w:rsidRPr="005562DE" w:rsidRDefault="000D37DC" w:rsidP="002F3B84">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Case 6/64 </w:t>
      </w:r>
      <w:r w:rsidRPr="005562DE">
        <w:rPr>
          <w:i/>
          <w:iCs/>
          <w:highlight w:val="green"/>
          <w:lang w:val="en-GB"/>
        </w:rPr>
        <w:t>Costa v. ENEL</w:t>
      </w:r>
      <w:r w:rsidRPr="005562DE">
        <w:rPr>
          <w:highlight w:val="green"/>
          <w:lang w:val="en-GB"/>
        </w:rPr>
        <w:t xml:space="preserve"> (1964) CMLR 425.</w:t>
      </w:r>
    </w:p>
  </w:footnote>
  <w:footnote w:id="86">
    <w:p w14:paraId="1EB19D38" w14:textId="42DB0FED" w:rsidR="000D37DC" w:rsidRPr="005562DE" w:rsidRDefault="000D37DC" w:rsidP="002F3B84">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For the integration within the EU and its institutions, see: Cecilia Bruzelius, </w:t>
      </w:r>
      <w:r>
        <w:rPr>
          <w:highlight w:val="green"/>
          <w:lang w:val="en-GB"/>
        </w:rPr>
        <w:t>“</w:t>
      </w:r>
      <w:r w:rsidRPr="005562DE">
        <w:rPr>
          <w:highlight w:val="green"/>
          <w:lang w:val="en-GB"/>
        </w:rPr>
        <w:t>Freedom of movement, social rights and residence-based conditionality in the European Union</w:t>
      </w:r>
      <w:r>
        <w:rPr>
          <w:highlight w:val="green"/>
          <w:lang w:val="en-GB"/>
        </w:rPr>
        <w:t>”</w:t>
      </w:r>
      <w:r w:rsidRPr="005562DE">
        <w:rPr>
          <w:highlight w:val="green"/>
          <w:lang w:val="en-GB"/>
        </w:rPr>
        <w:t xml:space="preserve">, 29(1) </w:t>
      </w:r>
      <w:r w:rsidRPr="005562DE">
        <w:rPr>
          <w:i/>
          <w:iCs/>
          <w:highlight w:val="green"/>
          <w:lang w:val="en-GB"/>
        </w:rPr>
        <w:t>J. of Eur. Soc. Pol</w:t>
      </w:r>
      <w:r>
        <w:rPr>
          <w:i/>
          <w:iCs/>
          <w:highlight w:val="green"/>
          <w:lang w:val="en-GB"/>
        </w:rPr>
        <w:t>’</w:t>
      </w:r>
      <w:r w:rsidRPr="005562DE">
        <w:rPr>
          <w:i/>
          <w:iCs/>
          <w:highlight w:val="green"/>
          <w:lang w:val="en-GB"/>
        </w:rPr>
        <w:t>y</w:t>
      </w:r>
      <w:r w:rsidRPr="005562DE">
        <w:rPr>
          <w:highlight w:val="green"/>
          <w:lang w:val="en-GB"/>
        </w:rPr>
        <w:t xml:space="preserve"> (2018) 70; R. Daniel Kelemen, </w:t>
      </w:r>
      <w:r>
        <w:rPr>
          <w:highlight w:val="green"/>
          <w:lang w:val="en-GB"/>
        </w:rPr>
        <w:t>“</w:t>
      </w:r>
      <w:r w:rsidRPr="005562DE">
        <w:rPr>
          <w:highlight w:val="green"/>
          <w:lang w:val="en-GB"/>
        </w:rPr>
        <w:t>Is differentiation possible in rule of law?</w:t>
      </w:r>
      <w:r>
        <w:rPr>
          <w:highlight w:val="green"/>
          <w:lang w:val="en-GB"/>
        </w:rPr>
        <w:t>”</w:t>
      </w:r>
      <w:r w:rsidRPr="005562DE">
        <w:rPr>
          <w:highlight w:val="green"/>
          <w:lang w:val="en-GB"/>
        </w:rPr>
        <w:t xml:space="preserve">, 17 </w:t>
      </w:r>
      <w:r w:rsidRPr="005562DE">
        <w:rPr>
          <w:i/>
          <w:iCs/>
          <w:highlight w:val="green"/>
          <w:lang w:val="en-GB"/>
        </w:rPr>
        <w:t>Comp. Eur. Pol.</w:t>
      </w:r>
      <w:r w:rsidRPr="005562DE">
        <w:rPr>
          <w:highlight w:val="green"/>
          <w:lang w:val="en-GB"/>
        </w:rPr>
        <w:t xml:space="preserve"> (2019) 246;George Argiros &amp; Athina Zerovoyianni, </w:t>
      </w:r>
      <w:r>
        <w:rPr>
          <w:highlight w:val="green"/>
          <w:lang w:val="en-GB"/>
        </w:rPr>
        <w:t>“</w:t>
      </w:r>
      <w:r w:rsidRPr="005562DE">
        <w:rPr>
          <w:highlight w:val="green"/>
          <w:lang w:val="en-GB"/>
        </w:rPr>
        <w:t>The European Union: Evolution, Institutional and Legislative Structure and Enlargement</w:t>
      </w:r>
      <w:r>
        <w:rPr>
          <w:highlight w:val="green"/>
          <w:lang w:val="en-GB"/>
        </w:rPr>
        <w:t>”</w:t>
      </w:r>
      <w:r w:rsidRPr="005562DE">
        <w:rPr>
          <w:highlight w:val="green"/>
          <w:lang w:val="en-GB"/>
        </w:rPr>
        <w:t xml:space="preserve">, European Integration (Athina Zervoyianni, George Argiros &amp; George Agiomirgianakis - eds., 2006) 12; Athina Zerovoyianni &amp; George Argiros, </w:t>
      </w:r>
      <w:r>
        <w:rPr>
          <w:highlight w:val="green"/>
          <w:lang w:val="en-GB"/>
        </w:rPr>
        <w:t>“</w:t>
      </w:r>
      <w:r w:rsidRPr="005562DE">
        <w:rPr>
          <w:highlight w:val="green"/>
          <w:lang w:val="en-GB"/>
        </w:rPr>
        <w:t>Factor and Product-Market Integration and Europe</w:t>
      </w:r>
      <w:r>
        <w:rPr>
          <w:highlight w:val="green"/>
          <w:lang w:val="en-GB"/>
        </w:rPr>
        <w:t>’</w:t>
      </w:r>
      <w:r w:rsidRPr="005562DE">
        <w:rPr>
          <w:highlight w:val="green"/>
          <w:lang w:val="en-GB"/>
        </w:rPr>
        <w:t>s Single Market</w:t>
      </w:r>
      <w:r>
        <w:rPr>
          <w:highlight w:val="green"/>
          <w:lang w:val="en-GB"/>
        </w:rPr>
        <w:t>”</w:t>
      </w:r>
      <w:r w:rsidRPr="005562DE">
        <w:rPr>
          <w:highlight w:val="green"/>
          <w:lang w:val="en-GB"/>
        </w:rPr>
        <w:t>, European Integration, Id., p. 94</w:t>
      </w:r>
      <w:r w:rsidRPr="005562DE">
        <w:rPr>
          <w:highlight w:val="green"/>
          <w:rtl/>
          <w:lang w:val="en-GB"/>
        </w:rPr>
        <w:t>.</w:t>
      </w:r>
    </w:p>
  </w:footnote>
  <w:footnote w:id="87">
    <w:p w14:paraId="4D35150C" w14:textId="512556C3" w:rsidR="000D37DC" w:rsidRPr="005562DE" w:rsidRDefault="000D37DC" w:rsidP="002F3B84">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Treaty Establishing the European Economic Community, Aug. 31, 1992, O.J. (C 224) 6</w:t>
      </w:r>
      <w:r w:rsidRPr="005562DE">
        <w:rPr>
          <w:highlight w:val="green"/>
          <w:rtl/>
          <w:lang w:val="en-GB"/>
        </w:rPr>
        <w:t>.</w:t>
      </w:r>
    </w:p>
  </w:footnote>
  <w:footnote w:id="88">
    <w:p w14:paraId="43DA1070" w14:textId="0FE4F86B" w:rsidR="000D37DC" w:rsidRPr="005562DE" w:rsidRDefault="000D37DC" w:rsidP="002F3B84">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For emphases of integration in the field, see Molle</w:t>
      </w:r>
      <w:r>
        <w:rPr>
          <w:highlight w:val="green"/>
          <w:lang w:val="en-GB"/>
        </w:rPr>
        <w:t>’</w:t>
      </w:r>
      <w:r w:rsidRPr="005562DE">
        <w:rPr>
          <w:highlight w:val="green"/>
          <w:lang w:val="en-GB"/>
        </w:rPr>
        <w:t xml:space="preserve">s book: Willem Molle, </w:t>
      </w:r>
      <w:r w:rsidRPr="005562DE">
        <w:rPr>
          <w:i/>
          <w:iCs/>
          <w:highlight w:val="green"/>
          <w:lang w:val="en-GB"/>
        </w:rPr>
        <w:t>The Economics of European Integration</w:t>
      </w:r>
      <w:r w:rsidRPr="005562DE">
        <w:rPr>
          <w:highlight w:val="green"/>
          <w:lang w:val="en-GB"/>
        </w:rPr>
        <w:t xml:space="preserve"> (2006) 101</w:t>
      </w:r>
      <w:r w:rsidRPr="005562DE">
        <w:rPr>
          <w:highlight w:val="green"/>
          <w:rtl/>
          <w:lang w:val="en-GB"/>
        </w:rPr>
        <w:t>.</w:t>
      </w:r>
      <w:r w:rsidRPr="005562DE">
        <w:rPr>
          <w:highlight w:val="green"/>
          <w:lang w:val="en-GB"/>
        </w:rPr>
        <w:t xml:space="preserve"> </w:t>
      </w:r>
    </w:p>
  </w:footnote>
  <w:footnote w:id="89">
    <w:p w14:paraId="51531F2B" w14:textId="032DE06F" w:rsidR="000D37DC" w:rsidRPr="005562DE" w:rsidRDefault="000D37DC"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Article 119.</w:t>
      </w:r>
    </w:p>
  </w:footnote>
  <w:footnote w:id="90">
    <w:p w14:paraId="5FD8C416" w14:textId="5F963053" w:rsidR="000D37DC" w:rsidRPr="005562DE" w:rsidRDefault="000D37DC" w:rsidP="002F3B84">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Council Directive (75/117/EEC) OJEC L45 (19.2.1975) 19</w:t>
      </w:r>
    </w:p>
  </w:footnote>
  <w:footnote w:id="91">
    <w:p w14:paraId="5E0F377D" w14:textId="771B36D7" w:rsidR="000D37DC" w:rsidRPr="005562DE" w:rsidRDefault="000D37DC" w:rsidP="002F3B84">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Council Directive (76/207/EEC) OJEC L39 (9.2.1976) 40</w:t>
      </w:r>
    </w:p>
  </w:footnote>
  <w:footnote w:id="92">
    <w:p w14:paraId="071EDF82" w14:textId="3B5A71BA" w:rsidR="000D37DC" w:rsidRPr="005562DE" w:rsidRDefault="000D37DC" w:rsidP="00862E51">
      <w:pPr>
        <w:pStyle w:val="FootnoteText"/>
        <w:bidi w:val="0"/>
        <w:jc w:val="both"/>
        <w:rPr>
          <w:lang w:val="en-GB"/>
        </w:rPr>
      </w:pPr>
      <w:r w:rsidRPr="005562DE">
        <w:rPr>
          <w:rStyle w:val="FootnoteReference"/>
          <w:lang w:val="en-GB"/>
        </w:rPr>
        <w:footnoteRef/>
      </w:r>
      <w:r>
        <w:rPr>
          <w:lang w:val="en-GB"/>
        </w:rPr>
        <w:t xml:space="preserve"> The </w:t>
      </w:r>
      <w:r w:rsidRPr="005562DE">
        <w:rPr>
          <w:lang w:val="en-GB"/>
        </w:rPr>
        <w:t>Treaty of Amsterdam Amending the Treaty on European Union, the Treaties Establishing the European Communities and Certain Related Acts, Oct. 2, 1997, 1997 O.J. (C 340)</w:t>
      </w:r>
      <w:r w:rsidRPr="005562DE">
        <w:rPr>
          <w:rtl/>
          <w:lang w:val="en-GB"/>
        </w:rPr>
        <w:t>.</w:t>
      </w:r>
      <w:r w:rsidRPr="005562DE">
        <w:rPr>
          <w:lang w:val="en-GB"/>
        </w:rPr>
        <w:t xml:space="preserve"> See, in particular Section 141(4). Similar elements, especially in the context of racial equality, can be seen in the Racial Equality Directive </w:t>
      </w:r>
      <w:r>
        <w:rPr>
          <w:lang w:val="en-GB"/>
        </w:rPr>
        <w:t xml:space="preserve">from </w:t>
      </w:r>
      <w:r w:rsidRPr="005562DE">
        <w:rPr>
          <w:lang w:val="en-GB"/>
        </w:rPr>
        <w:t xml:space="preserve">2000. </w:t>
      </w:r>
      <w:r w:rsidRPr="005562DE">
        <w:rPr>
          <w:i/>
          <w:iCs/>
          <w:lang w:val="en-GB"/>
        </w:rPr>
        <w:t>Cf.</w:t>
      </w:r>
      <w:r w:rsidRPr="005562DE">
        <w:rPr>
          <w:lang w:val="en-GB"/>
        </w:rPr>
        <w:t xml:space="preserve">: Elizabeth F. Defeis, </w:t>
      </w:r>
      <w:r>
        <w:rPr>
          <w:lang w:val="en-GB"/>
        </w:rPr>
        <w:t>“</w:t>
      </w:r>
      <w:r w:rsidRPr="005562DE">
        <w:rPr>
          <w:lang w:val="en-GB"/>
        </w:rPr>
        <w:t>The Treaty of Amsterdam: The Next Step Towards Gender Equality</w:t>
      </w:r>
      <w:r>
        <w:rPr>
          <w:lang w:val="en-GB"/>
        </w:rPr>
        <w:t>”</w:t>
      </w:r>
      <w:r w:rsidRPr="005562DE">
        <w:rPr>
          <w:lang w:val="en-GB"/>
        </w:rPr>
        <w:t xml:space="preserve">, 23 </w:t>
      </w:r>
      <w:r w:rsidRPr="005562DE">
        <w:rPr>
          <w:i/>
          <w:iCs/>
          <w:lang w:val="en-GB"/>
        </w:rPr>
        <w:t>B.C. Intl &amp; Comp Law Rev</w:t>
      </w:r>
      <w:r w:rsidRPr="005562DE">
        <w:rPr>
          <w:lang w:val="en-GB"/>
        </w:rPr>
        <w:t xml:space="preserve"> (1999) 1, pp.30–33</w:t>
      </w:r>
      <w:r w:rsidRPr="005562DE">
        <w:rPr>
          <w:rtl/>
          <w:lang w:val="en-GB"/>
        </w:rPr>
        <w:t>.</w:t>
      </w:r>
    </w:p>
  </w:footnote>
  <w:footnote w:id="93">
    <w:p w14:paraId="4931E795" w14:textId="18751CAF" w:rsidR="000D37DC" w:rsidRPr="005562DE" w:rsidRDefault="000D37DC" w:rsidP="00804DD5">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Directive 2002/73, of the European Parliament and of the Council of 23 September 2002 amending Council Directive 76/207/EEC on the implementation of the principle of equal treatment for men and women as regards access to employment, vocational training, and promotion, and working conditions, 2002 O.J. (L269) 15; Council Directive 2004/113, 2004 O.J. (L 373) 37; Council Directive 2006/54, 2006 O.J. (L 204) 23</w:t>
      </w:r>
      <w:r w:rsidRPr="005562DE">
        <w:rPr>
          <w:highlight w:val="green"/>
          <w:rtl/>
          <w:lang w:val="en-GB"/>
        </w:rPr>
        <w:t>.</w:t>
      </w:r>
    </w:p>
  </w:footnote>
  <w:footnote w:id="94">
    <w:p w14:paraId="54D5F1DC" w14:textId="58DD3C54" w:rsidR="000D37DC" w:rsidRPr="005562DE" w:rsidRDefault="000D37DC" w:rsidP="00862E51">
      <w:pPr>
        <w:pStyle w:val="FootnoteText"/>
        <w:bidi w:val="0"/>
        <w:jc w:val="both"/>
        <w:rPr>
          <w:lang w:val="en-GB"/>
        </w:rPr>
      </w:pPr>
      <w:r w:rsidRPr="005562DE">
        <w:rPr>
          <w:rStyle w:val="FootnoteReference"/>
          <w:lang w:val="en-GB"/>
        </w:rPr>
        <w:footnoteRef/>
      </w:r>
      <w:r w:rsidRPr="005562DE">
        <w:rPr>
          <w:rtl/>
          <w:lang w:val="en-GB"/>
        </w:rPr>
        <w:t xml:space="preserve"> </w:t>
      </w:r>
      <w:r w:rsidRPr="005562DE">
        <w:rPr>
          <w:lang w:val="en-GB"/>
        </w:rPr>
        <w:t xml:space="preserve">The Amsterdam Treaty, S. 141(4). Similar elements, especially in the context of racial equality, can be seen in the Racial Equality Directive </w:t>
      </w:r>
      <w:r>
        <w:rPr>
          <w:lang w:val="en-GB"/>
        </w:rPr>
        <w:t xml:space="preserve">from </w:t>
      </w:r>
      <w:r w:rsidRPr="005562DE">
        <w:rPr>
          <w:lang w:val="en-GB"/>
        </w:rPr>
        <w:t xml:space="preserve">2000. </w:t>
      </w:r>
      <w:r w:rsidRPr="005562DE">
        <w:rPr>
          <w:i/>
          <w:iCs/>
          <w:lang w:val="en-GB"/>
        </w:rPr>
        <w:t>Cf.</w:t>
      </w:r>
      <w:r w:rsidRPr="005562DE">
        <w:rPr>
          <w:lang w:val="en-GB"/>
        </w:rPr>
        <w:t xml:space="preserve">: Elizabeth F. Defeis, </w:t>
      </w:r>
      <w:r>
        <w:rPr>
          <w:lang w:val="en-GB"/>
        </w:rPr>
        <w:t>“</w:t>
      </w:r>
      <w:r w:rsidRPr="005562DE">
        <w:rPr>
          <w:lang w:val="en-GB"/>
        </w:rPr>
        <w:t>The Treaty of Amsterdam: The Next Step Towards Gender Equality</w:t>
      </w:r>
      <w:r>
        <w:rPr>
          <w:lang w:val="en-GB"/>
        </w:rPr>
        <w:t>”</w:t>
      </w:r>
      <w:r w:rsidRPr="005562DE">
        <w:rPr>
          <w:lang w:val="en-GB"/>
        </w:rPr>
        <w:t xml:space="preserve">, 23 </w:t>
      </w:r>
      <w:r w:rsidRPr="005562DE">
        <w:rPr>
          <w:i/>
          <w:iCs/>
          <w:lang w:val="en-GB"/>
        </w:rPr>
        <w:t>B.C. Intl &amp; Comp Law Rev</w:t>
      </w:r>
      <w:r w:rsidRPr="005562DE">
        <w:rPr>
          <w:lang w:val="en-GB"/>
        </w:rPr>
        <w:t xml:space="preserve"> (1999) 1, pp.30–33</w:t>
      </w:r>
      <w:r w:rsidRPr="005562DE">
        <w:rPr>
          <w:rtl/>
          <w:lang w:val="en-GB"/>
        </w:rPr>
        <w:t>.</w:t>
      </w:r>
    </w:p>
  </w:footnote>
  <w:footnote w:id="95">
    <w:p w14:paraId="1B1B2C9A" w14:textId="52720024" w:rsidR="000D37DC" w:rsidRPr="005562DE" w:rsidRDefault="000D37DC" w:rsidP="00862E51">
      <w:pPr>
        <w:pStyle w:val="FootnoteText"/>
        <w:bidi w:val="0"/>
        <w:jc w:val="both"/>
        <w:rPr>
          <w:lang w:val="en-GB"/>
        </w:rPr>
      </w:pPr>
      <w:r w:rsidRPr="005562DE">
        <w:rPr>
          <w:rStyle w:val="FootnoteReference"/>
          <w:lang w:val="en-GB"/>
        </w:rPr>
        <w:footnoteRef/>
      </w:r>
      <w:r w:rsidRPr="005562DE">
        <w:rPr>
          <w:rtl/>
          <w:lang w:val="en-GB"/>
        </w:rPr>
        <w:t xml:space="preserve"> </w:t>
      </w:r>
      <w:r w:rsidRPr="005562DE">
        <w:rPr>
          <w:lang w:val="en-GB"/>
        </w:rPr>
        <w:t xml:space="preserve">Council Directive 76/207, </w:t>
      </w:r>
      <w:r w:rsidRPr="005562DE">
        <w:rPr>
          <w:i/>
          <w:iCs/>
          <w:lang w:val="en-GB"/>
        </w:rPr>
        <w:t>ibid</w:t>
      </w:r>
      <w:r w:rsidRPr="005562DE">
        <w:rPr>
          <w:lang w:val="en-GB"/>
        </w:rPr>
        <w:t xml:space="preserve">., at Section 2(4). For more on equality of opportunity and discrimination in EU employment law, see: Sandra Fredman, </w:t>
      </w:r>
      <w:r>
        <w:rPr>
          <w:lang w:val="en-GB"/>
        </w:rPr>
        <w:t>“</w:t>
      </w:r>
      <w:r w:rsidRPr="005562DE">
        <w:rPr>
          <w:lang w:val="en-GB"/>
        </w:rPr>
        <w:t>Pasts and futures: EU Equality Law</w:t>
      </w:r>
      <w:r>
        <w:rPr>
          <w:lang w:val="en-GB"/>
        </w:rPr>
        <w:t>”</w:t>
      </w:r>
      <w:r w:rsidRPr="005562DE">
        <w:rPr>
          <w:lang w:val="en-GB"/>
        </w:rPr>
        <w:t>,</w:t>
      </w:r>
      <w:r w:rsidRPr="005562DE">
        <w:rPr>
          <w:i/>
          <w:iCs/>
          <w:lang w:val="en-GB"/>
        </w:rPr>
        <w:t xml:space="preserve"> Research Handbook on EU Labour Law Research Handbook on EU Labour Law</w:t>
      </w:r>
      <w:r w:rsidRPr="005562DE">
        <w:rPr>
          <w:lang w:val="en-GB"/>
        </w:rPr>
        <w:t xml:space="preserve"> (Alan Bogg, Cathryn Costello and A.C.L. Davies - eds., 2016) 391.</w:t>
      </w:r>
    </w:p>
  </w:footnote>
  <w:footnote w:id="96">
    <w:p w14:paraId="4F992C86" w14:textId="2F75FABD" w:rsidR="000D37DC" w:rsidRPr="005562DE" w:rsidRDefault="000D37DC" w:rsidP="00804DD5">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Council Directive (2000/73/EC) OJEC L269 (23.9.2002) 15.</w:t>
      </w:r>
    </w:p>
  </w:footnote>
  <w:footnote w:id="97">
    <w:p w14:paraId="005A36A7" w14:textId="5C210039" w:rsidR="000D37DC" w:rsidRPr="005562DE" w:rsidRDefault="000D37DC"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Council Directive (79/7/EEC) OJEC L6 (19.12.1978) 24.</w:t>
      </w:r>
    </w:p>
  </w:footnote>
  <w:footnote w:id="98">
    <w:p w14:paraId="363768CD" w14:textId="79126332" w:rsidR="000D37DC" w:rsidRPr="005562DE" w:rsidRDefault="000D37DC"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Recommendation of 13 December 1984 of </w:t>
      </w:r>
      <w:r w:rsidRPr="005562DE">
        <w:rPr>
          <w:i/>
          <w:iCs/>
          <w:highlight w:val="green"/>
          <w:lang w:val="en-GB"/>
        </w:rPr>
        <w:t>the Council of Ministers of the European Communities on the Promotion of Positive Action for Women</w:t>
      </w:r>
      <w:r w:rsidRPr="005562DE">
        <w:rPr>
          <w:highlight w:val="green"/>
          <w:lang w:val="en-GB"/>
        </w:rPr>
        <w:t xml:space="preserve"> (OJ of 19 December 1984), p. 51.</w:t>
      </w:r>
    </w:p>
  </w:footnote>
  <w:footnote w:id="99">
    <w:p w14:paraId="143C4B55" w14:textId="517462DC" w:rsidR="000D37DC" w:rsidRPr="005562DE" w:rsidRDefault="000D37DC"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Council Directive (92/85/EEC) OJEC L348 (19.10.1992) 1; Council Directive (96/34/EEC) OJEC L105 24.</w:t>
      </w:r>
    </w:p>
  </w:footnote>
  <w:footnote w:id="100">
    <w:p w14:paraId="16EECD5B" w14:textId="790168C3" w:rsidR="000D37DC" w:rsidRPr="005562DE" w:rsidRDefault="000D37DC" w:rsidP="00A61C8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Council Directive (97/80/EEC) OJEC L205 (15.12.1997) 66.</w:t>
      </w:r>
    </w:p>
  </w:footnote>
  <w:footnote w:id="101">
    <w:p w14:paraId="1D50DFF4" w14:textId="669AC613" w:rsidR="000D37DC" w:rsidRPr="005562DE" w:rsidRDefault="000D37DC" w:rsidP="00A61C8A">
      <w:pPr>
        <w:pStyle w:val="FootnoteText"/>
        <w:bidi w:val="0"/>
        <w:jc w:val="both"/>
        <w:rPr>
          <w:lang w:val="en-GB"/>
        </w:rPr>
      </w:pPr>
      <w:r w:rsidRPr="005562DE">
        <w:rPr>
          <w:rStyle w:val="FootnoteReference"/>
          <w:lang w:val="en-GB"/>
        </w:rPr>
        <w:footnoteRef/>
      </w:r>
      <w:r w:rsidRPr="005562DE">
        <w:rPr>
          <w:rtl/>
          <w:lang w:val="en-GB"/>
        </w:rPr>
        <w:t xml:space="preserve"> </w:t>
      </w:r>
      <w:r w:rsidRPr="005562DE">
        <w:rPr>
          <w:lang w:val="en-GB"/>
        </w:rPr>
        <w:t>S. 158 of the Equality Act 2010.</w:t>
      </w:r>
    </w:p>
  </w:footnote>
  <w:footnote w:id="102">
    <w:p w14:paraId="5B3690CF" w14:textId="067AE236" w:rsidR="000D37DC" w:rsidRPr="005562DE" w:rsidRDefault="000D37DC" w:rsidP="00804DD5">
      <w:pPr>
        <w:pStyle w:val="FootnoteText"/>
        <w:bidi w:val="0"/>
        <w:jc w:val="both"/>
        <w:rPr>
          <w:highlight w:val="green"/>
          <w:lang w:val="en-GB"/>
        </w:rPr>
      </w:pPr>
      <w:r w:rsidRPr="005562DE">
        <w:rPr>
          <w:rStyle w:val="FootnoteReference"/>
          <w:lang w:val="en-GB"/>
        </w:rPr>
        <w:footnoteRef/>
      </w:r>
      <w:r w:rsidRPr="005562DE">
        <w:rPr>
          <w:rtl/>
          <w:lang w:val="en-GB"/>
        </w:rPr>
        <w:t xml:space="preserve"> </w:t>
      </w:r>
      <w:r w:rsidRPr="005562DE">
        <w:rPr>
          <w:highlight w:val="green"/>
          <w:lang w:val="en-GB"/>
        </w:rPr>
        <w:t>Council Directive (2000/78/EC) OJEC L303 (27.12.2000) 16; Council Directive (2000/43/EC) OJEC L180 (29.6.2000) 22.</w:t>
      </w:r>
    </w:p>
  </w:footnote>
  <w:footnote w:id="103">
    <w:p w14:paraId="381F4221" w14:textId="02A56141" w:rsidR="000D37DC" w:rsidRPr="005562DE" w:rsidRDefault="000D37DC" w:rsidP="00A61C8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Council Directive (2000/73/EC) OJEC L269 (23.9.2002) 15</w:t>
      </w:r>
    </w:p>
  </w:footnote>
  <w:footnote w:id="104">
    <w:p w14:paraId="0151B3EB" w14:textId="3344E0C0" w:rsidR="000D37DC" w:rsidRPr="005562DE" w:rsidRDefault="000D37DC" w:rsidP="00A61C8A">
      <w:pPr>
        <w:pStyle w:val="FootnoteText"/>
        <w:bidi w:val="0"/>
        <w:jc w:val="both"/>
        <w:rPr>
          <w:lang w:val="en-GB"/>
        </w:rPr>
      </w:pPr>
      <w:r w:rsidRPr="005562DE">
        <w:rPr>
          <w:rStyle w:val="FootnoteReference"/>
          <w:lang w:val="en-GB"/>
        </w:rPr>
        <w:footnoteRef/>
      </w:r>
      <w:r w:rsidRPr="005562DE">
        <w:rPr>
          <w:rtl/>
          <w:lang w:val="en-GB"/>
        </w:rPr>
        <w:t xml:space="preserve"> </w:t>
      </w:r>
      <w:r w:rsidRPr="005562DE">
        <w:rPr>
          <w:highlight w:val="green"/>
          <w:lang w:val="en-GB"/>
        </w:rPr>
        <w:t>Article 2(4) of the Equal Treatment Directive 1976</w:t>
      </w:r>
      <w:r w:rsidRPr="005562DE">
        <w:rPr>
          <w:highlight w:val="green"/>
          <w:rtl/>
          <w:lang w:val="en-GB"/>
        </w:rPr>
        <w:t>.</w:t>
      </w:r>
    </w:p>
    <w:p w14:paraId="746EE2E3" w14:textId="2E83F70B" w:rsidR="000D37DC" w:rsidRPr="005562DE" w:rsidRDefault="000D37DC" w:rsidP="00804DD5">
      <w:pPr>
        <w:pStyle w:val="FootnoteText"/>
        <w:bidi w:val="0"/>
        <w:jc w:val="both"/>
        <w:rPr>
          <w:highlight w:val="green"/>
          <w:lang w:val="en-GB"/>
        </w:rPr>
      </w:pPr>
      <w:r w:rsidRPr="005562DE">
        <w:rPr>
          <w:highlight w:val="green"/>
          <w:lang w:val="en-GB"/>
        </w:rPr>
        <w:t>See, e.g., a judgement in the UK: Kalanke v Freie Hansestadt Bremen Case C-450/93 [1995] ECR I-3051</w:t>
      </w:r>
      <w:r w:rsidRPr="005562DE">
        <w:rPr>
          <w:highlight w:val="green"/>
          <w:rtl/>
          <w:lang w:val="en-GB"/>
        </w:rPr>
        <w:t>.</w:t>
      </w:r>
    </w:p>
  </w:footnote>
  <w:footnote w:id="105">
    <w:p w14:paraId="3A24D7BA" w14:textId="4EE46134" w:rsidR="000D37DC" w:rsidRPr="005562DE" w:rsidRDefault="000D37DC" w:rsidP="00804DD5">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Northern Ireland, Fair Employment Act, 1988; McCrudden, Christopher and Muttarak, Raya and Hamill, Heather and Heath, Anthony, Affirmative Action without Quotas in Northern Ireland (May 2010). The Equal Rights Review, Vol. 4, pp. 7-14, 2009, Oxford Legal Studies Research Paper No. 43/2010, Available at SSRN: https://ssrn.com/abstract=1606224</w:t>
      </w:r>
    </w:p>
  </w:footnote>
  <w:footnote w:id="106">
    <w:p w14:paraId="2ACAE3E4" w14:textId="3CEB3720" w:rsidR="000D37DC" w:rsidRPr="005562DE" w:rsidRDefault="000D37DC" w:rsidP="00804DD5">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Fair Employment (Northern Ireland) Act 1989. See articles 22-24, 27-31. This legislation was subsequently modified by the Fair Employment and Treatment (Northern Ireland) Order 1998 (FETO)</w:t>
      </w:r>
      <w:r w:rsidRPr="005562DE">
        <w:rPr>
          <w:highlight w:val="green"/>
          <w:rtl/>
          <w:lang w:val="en-GB"/>
        </w:rPr>
        <w:t>.</w:t>
      </w:r>
    </w:p>
  </w:footnote>
  <w:footnote w:id="107">
    <w:p w14:paraId="623A8D94" w14:textId="798A8827" w:rsidR="000D37DC" w:rsidRPr="005562DE" w:rsidRDefault="000D37DC" w:rsidP="00804DD5">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The Basic Law of the Federal Republic of Germany (Grundgesets), articles 3(2)-3(3)</w:t>
      </w:r>
    </w:p>
  </w:footnote>
  <w:footnote w:id="108">
    <w:p w14:paraId="31CD038B" w14:textId="7D3D837E" w:rsidR="000D37DC" w:rsidRPr="005562DE" w:rsidRDefault="000D37DC" w:rsidP="00804DD5">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Another affirmative action program was prescribed for persons with disabilities: Gesetz zur Sicherung der Eingliederung Schwerbehinderter in Arbeit, Beruf und Gesellschaft-Schwerbehindertengesetz (29 April 1974, Bundesgesetzblatt I, 1005 ff.).</w:t>
      </w:r>
    </w:p>
  </w:footnote>
  <w:footnote w:id="109">
    <w:p w14:paraId="6DBEB675" w14:textId="1D625DDA" w:rsidR="000D37DC" w:rsidRPr="005562DE" w:rsidRDefault="000D37DC" w:rsidP="00804DD5">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Eckhard Kalanke v. Freie Hansestadt Bremen, Case C-450/93, 17 October 1995.</w:t>
      </w:r>
    </w:p>
  </w:footnote>
  <w:footnote w:id="110">
    <w:p w14:paraId="7BDB5BBC" w14:textId="47765ED0" w:rsidR="000D37DC" w:rsidRPr="005562DE" w:rsidRDefault="000D37DC" w:rsidP="00804DD5">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Stock, Anke J. </w:t>
      </w:r>
      <w:r>
        <w:rPr>
          <w:highlight w:val="green"/>
          <w:lang w:val="en-GB"/>
        </w:rPr>
        <w:t>“</w:t>
      </w:r>
      <w:r w:rsidRPr="005562DE">
        <w:rPr>
          <w:highlight w:val="green"/>
          <w:lang w:val="en-GB"/>
        </w:rPr>
        <w:t>Affirmative Action: A German Perspective on the Promotion of Women</w:t>
      </w:r>
      <w:r>
        <w:rPr>
          <w:highlight w:val="green"/>
          <w:lang w:val="en-GB"/>
        </w:rPr>
        <w:t>’</w:t>
      </w:r>
      <w:r w:rsidRPr="005562DE">
        <w:rPr>
          <w:highlight w:val="green"/>
          <w:lang w:val="en-GB"/>
        </w:rPr>
        <w:t>s Rights with Regard to Employment.</w:t>
      </w:r>
      <w:r>
        <w:rPr>
          <w:highlight w:val="green"/>
          <w:lang w:val="en-GB"/>
        </w:rPr>
        <w:t>”</w:t>
      </w:r>
      <w:r w:rsidRPr="005562DE">
        <w:rPr>
          <w:highlight w:val="green"/>
          <w:lang w:val="en-GB"/>
        </w:rPr>
        <w:t> Journal of Law and Society, vol. 33, no. 1, 2006, pp. 59–73.</w:t>
      </w:r>
    </w:p>
  </w:footnote>
  <w:footnote w:id="111">
    <w:p w14:paraId="72D04D8F" w14:textId="5C6C0E5A" w:rsidR="000D37DC" w:rsidRPr="005562DE" w:rsidRDefault="000D37DC" w:rsidP="00804DD5">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Gesetz zur Gleichstellung von Frauen und Miinnern in der Bundesverwaltung und in den Gerichten des Bundes (Bundesgleichstellungsgesetz) (Article 3 of the Gleichstellungsdurchsetzungsgesetz of 30 November 2001, Bundesgesetzblatt I, 3234 ff).</w:t>
      </w:r>
    </w:p>
  </w:footnote>
  <w:footnote w:id="112">
    <w:p w14:paraId="78D7D70C" w14:textId="7BC91510" w:rsidR="000D37DC" w:rsidRPr="005562DE" w:rsidRDefault="000D37DC" w:rsidP="00804DD5">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Finland, The Equality Act, 1986.</w:t>
      </w:r>
    </w:p>
  </w:footnote>
  <w:footnote w:id="113">
    <w:p w14:paraId="2C6BA4D1" w14:textId="45598AC6" w:rsidR="000D37DC" w:rsidRPr="005562DE" w:rsidRDefault="000D37DC" w:rsidP="00804DD5">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Eckhard Kalanke v. Freie Hansestadt Bremen, Case C-450/93, 17 October 1995.</w:t>
      </w:r>
    </w:p>
  </w:footnote>
  <w:footnote w:id="114">
    <w:p w14:paraId="708CBED5" w14:textId="2C4DF26A" w:rsidR="000D37DC" w:rsidRPr="005562DE" w:rsidRDefault="000D37DC" w:rsidP="00804DD5">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C-409/95 Marschall v. Nordrhein-Westfalen (1997) ECR I-6363</w:t>
      </w:r>
      <w:r w:rsidRPr="005562DE">
        <w:rPr>
          <w:lang w:val="en-GB"/>
        </w:rPr>
        <w:t>.</w:t>
      </w:r>
    </w:p>
  </w:footnote>
  <w:footnote w:id="115">
    <w:p w14:paraId="37F92A04" w14:textId="4A522E9B" w:rsidR="000D37DC" w:rsidRPr="005562DE" w:rsidRDefault="000D37DC" w:rsidP="00804DD5">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Case C-158/97 Badeck (2000) ECR I – 1875.</w:t>
      </w:r>
    </w:p>
  </w:footnote>
  <w:footnote w:id="116">
    <w:p w14:paraId="7AE1AB55" w14:textId="1D271850" w:rsidR="000D37DC" w:rsidRPr="005562DE" w:rsidRDefault="000D37DC" w:rsidP="00804DD5">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Paul Hodapp, Thomas Trelogan &amp; Steve Mazurana </w:t>
      </w:r>
      <w:r>
        <w:rPr>
          <w:highlight w:val="green"/>
          <w:lang w:val="en-GB"/>
        </w:rPr>
        <w:t>“</w:t>
      </w:r>
      <w:r w:rsidRPr="005562DE">
        <w:rPr>
          <w:highlight w:val="green"/>
          <w:lang w:val="en-GB"/>
        </w:rPr>
        <w:t>Positive Action and European Union Law in the Year 2000</w:t>
      </w:r>
      <w:r>
        <w:rPr>
          <w:highlight w:val="green"/>
          <w:lang w:val="en-GB"/>
        </w:rPr>
        <w:t>”</w:t>
      </w:r>
      <w:r w:rsidRPr="005562DE">
        <w:rPr>
          <w:highlight w:val="green"/>
          <w:lang w:val="en-GB"/>
        </w:rPr>
        <w:t xml:space="preserve"> 8 Annual Survey of International and Comparative Law (2002) 33</w:t>
      </w:r>
      <w:r w:rsidRPr="005562DE">
        <w:rPr>
          <w:lang w:val="en-GB"/>
        </w:rPr>
        <w:t>.</w:t>
      </w:r>
    </w:p>
  </w:footnote>
  <w:footnote w:id="117">
    <w:p w14:paraId="24CFD035" w14:textId="78D2B22C" w:rsidR="000D37DC" w:rsidRPr="005562DE" w:rsidRDefault="000D37DC" w:rsidP="00804DD5">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Richards, P. </w:t>
      </w:r>
      <w:r w:rsidRPr="005562DE">
        <w:rPr>
          <w:i/>
          <w:iCs/>
          <w:highlight w:val="green"/>
          <w:lang w:val="en-GB"/>
        </w:rPr>
        <w:t>Patronage in British Government</w:t>
      </w:r>
      <w:r w:rsidRPr="005562DE">
        <w:rPr>
          <w:b/>
          <w:bCs/>
          <w:i/>
          <w:iCs/>
          <w:highlight w:val="green"/>
          <w:lang w:val="en-GB"/>
        </w:rPr>
        <w:t xml:space="preserve"> </w:t>
      </w:r>
      <w:r w:rsidRPr="005562DE">
        <w:rPr>
          <w:highlight w:val="green"/>
          <w:lang w:val="en-GB"/>
        </w:rPr>
        <w:t>(1963), pp. 19-36</w:t>
      </w:r>
      <w:r w:rsidRPr="005562DE">
        <w:rPr>
          <w:highlight w:val="green"/>
          <w:rtl/>
          <w:lang w:val="en-GB"/>
        </w:rPr>
        <w:t>.</w:t>
      </w:r>
    </w:p>
  </w:footnote>
  <w:footnote w:id="118">
    <w:p w14:paraId="4AEBC3D3" w14:textId="51177D19" w:rsidR="000D37DC" w:rsidRPr="005562DE" w:rsidRDefault="000D37DC" w:rsidP="00A61C8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Richards. pp. 41 – 48.</w:t>
      </w:r>
    </w:p>
  </w:footnote>
  <w:footnote w:id="119">
    <w:p w14:paraId="5E3EAB4A" w14:textId="5B8BF630" w:rsidR="000D37DC" w:rsidRPr="005562DE" w:rsidRDefault="000D37DC" w:rsidP="00A61C8A">
      <w:pPr>
        <w:pStyle w:val="FootnoteText"/>
        <w:bidi w:val="0"/>
        <w:jc w:val="both"/>
        <w:rPr>
          <w:lang w:val="en-GB"/>
        </w:rPr>
      </w:pPr>
      <w:r w:rsidRPr="005562DE">
        <w:rPr>
          <w:rStyle w:val="FootnoteReference"/>
          <w:lang w:val="en-GB"/>
        </w:rPr>
        <w:footnoteRef/>
      </w:r>
      <w:r w:rsidRPr="005562DE">
        <w:rPr>
          <w:rtl/>
          <w:lang w:val="en-GB"/>
        </w:rPr>
        <w:t xml:space="preserve"> </w:t>
      </w:r>
      <w:r w:rsidRPr="005562DE">
        <w:rPr>
          <w:lang w:val="en-GB"/>
        </w:rPr>
        <w:t xml:space="preserve">The Report introduced into the British model, for the first time, the following service principles: </w:t>
      </w:r>
      <w:r w:rsidR="006F09E9">
        <w:rPr>
          <w:lang w:val="en-GB"/>
        </w:rPr>
        <w:t>s</w:t>
      </w:r>
      <w:r w:rsidRPr="005562DE">
        <w:rPr>
          <w:lang w:val="en-GB"/>
        </w:rPr>
        <w:t xml:space="preserve">eparation of service for senior academics who graduated university with higher education from administrative clerks; </w:t>
      </w:r>
      <w:r w:rsidR="006F09E9">
        <w:rPr>
          <w:lang w:val="en-GB"/>
        </w:rPr>
        <w:t>e</w:t>
      </w:r>
      <w:r w:rsidRPr="005562DE">
        <w:rPr>
          <w:lang w:val="en-GB"/>
        </w:rPr>
        <w:t>ntry at a young age pursuant to competitive exams as a condition for entering the service; promotion pursuant to skill and achievement, with no personal or political affiliations, and unification of the various offices.</w:t>
      </w:r>
    </w:p>
  </w:footnote>
  <w:footnote w:id="120">
    <w:p w14:paraId="4D8B5319" w14:textId="6217C793" w:rsidR="000D37DC" w:rsidRPr="005562DE" w:rsidRDefault="000D37DC" w:rsidP="00A61C8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Richards. pp. 49 – 51.</w:t>
      </w:r>
    </w:p>
  </w:footnote>
  <w:footnote w:id="121">
    <w:p w14:paraId="5FFF75B7" w14:textId="6659F901" w:rsidR="000D37DC" w:rsidRPr="005562DE" w:rsidRDefault="000D37DC" w:rsidP="00AD0F1C">
      <w:pPr>
        <w:pStyle w:val="FootnoteText"/>
        <w:bidi w:val="0"/>
        <w:jc w:val="both"/>
        <w:rPr>
          <w:lang w:val="en-GB"/>
        </w:rPr>
      </w:pPr>
      <w:r w:rsidRPr="005562DE">
        <w:rPr>
          <w:rStyle w:val="FootnoteReference"/>
          <w:lang w:val="en-GB"/>
        </w:rPr>
        <w:footnoteRef/>
      </w:r>
      <w:r w:rsidRPr="005562DE">
        <w:rPr>
          <w:rtl/>
          <w:lang w:val="en-GB"/>
        </w:rPr>
        <w:t xml:space="preserve"> </w:t>
      </w:r>
      <w:r w:rsidRPr="005562DE">
        <w:rPr>
          <w:lang w:val="en-GB"/>
        </w:rPr>
        <w:t>For monitoring, see: Civil Service Commissioners Recruitment Code, Sect. 1.1.</w:t>
      </w:r>
      <w:r w:rsidRPr="005562DE">
        <w:rPr>
          <w:rtl/>
          <w:lang w:val="en-GB"/>
        </w:rPr>
        <w:t>;</w:t>
      </w:r>
      <w:r w:rsidRPr="005562DE">
        <w:rPr>
          <w:lang w:val="en-GB"/>
        </w:rPr>
        <w:t xml:space="preserve"> The two bodies are: OCSC – Office of the Civil Service Commissioners; and OCPA - Commissioner for Public Appointments</w:t>
      </w:r>
      <w:r w:rsidRPr="005562DE">
        <w:rPr>
          <w:rtl/>
          <w:lang w:val="en-GB"/>
        </w:rPr>
        <w:t>.</w:t>
      </w:r>
    </w:p>
  </w:footnote>
  <w:footnote w:id="122">
    <w:p w14:paraId="66066F6D" w14:textId="26AE9C45" w:rsidR="000D37DC" w:rsidRPr="005562DE" w:rsidRDefault="000D37DC" w:rsidP="00AC4C74">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Civil Service Commissioners Recruitment Code, Sect. 2.2.</w:t>
      </w:r>
    </w:p>
  </w:footnote>
  <w:footnote w:id="123">
    <w:p w14:paraId="33E4C2D2" w14:textId="6BAFF708" w:rsidR="000D37DC" w:rsidRPr="005562DE" w:rsidRDefault="000D37DC" w:rsidP="00A61C8A">
      <w:pPr>
        <w:pStyle w:val="FootnoteText"/>
        <w:bidi w:val="0"/>
        <w:jc w:val="both"/>
        <w:rPr>
          <w:lang w:val="en-GB"/>
        </w:rPr>
      </w:pPr>
      <w:r w:rsidRPr="005562DE">
        <w:rPr>
          <w:rStyle w:val="FootnoteReference"/>
          <w:lang w:val="en-GB"/>
        </w:rPr>
        <w:footnoteRef/>
      </w:r>
      <w:r w:rsidRPr="005562DE">
        <w:rPr>
          <w:rtl/>
          <w:lang w:val="en-GB"/>
        </w:rPr>
        <w:t xml:space="preserve"> </w:t>
      </w:r>
      <w:r w:rsidRPr="005562DE">
        <w:rPr>
          <w:lang w:val="en-GB"/>
        </w:rPr>
        <w:t>In the setting of positions of trust, the political factor becomes a relevant and professional one, in contrast with the personal consideration</w:t>
      </w:r>
      <w:r>
        <w:rPr>
          <w:lang w:val="en-GB"/>
        </w:rPr>
        <w:t>,</w:t>
      </w:r>
      <w:r w:rsidRPr="005562DE">
        <w:rPr>
          <w:lang w:val="en-GB"/>
        </w:rPr>
        <w:t xml:space="preserve"> which is never relevant.</w:t>
      </w:r>
    </w:p>
  </w:footnote>
  <w:footnote w:id="124">
    <w:p w14:paraId="3883266C" w14:textId="76608FDA" w:rsidR="000D37DC" w:rsidRPr="005562DE" w:rsidRDefault="000D37DC" w:rsidP="00AC4C74">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N. Jones, </w:t>
      </w:r>
      <w:r>
        <w:rPr>
          <w:highlight w:val="green"/>
          <w:lang w:val="en-GB"/>
        </w:rPr>
        <w:t>‘</w:t>
      </w:r>
      <w:r w:rsidRPr="005562DE">
        <w:rPr>
          <w:highlight w:val="green"/>
          <w:lang w:val="en-GB"/>
        </w:rPr>
        <w:t>Positive Action and the Problem of Merit: Employment policies in the National Health Service</w:t>
      </w:r>
      <w:r>
        <w:rPr>
          <w:highlight w:val="green"/>
          <w:lang w:val="en-GB"/>
        </w:rPr>
        <w:t>’</w:t>
      </w:r>
      <w:r w:rsidRPr="005562DE">
        <w:rPr>
          <w:highlight w:val="green"/>
          <w:lang w:val="en-GB"/>
        </w:rPr>
        <w:t>, Critical Social Policy (2005) Vol 25: 139, p. 153</w:t>
      </w:r>
      <w:r w:rsidRPr="005562DE">
        <w:rPr>
          <w:highlight w:val="green"/>
          <w:rtl/>
          <w:lang w:val="en-GB"/>
        </w:rPr>
        <w:t>.</w:t>
      </w:r>
    </w:p>
  </w:footnote>
  <w:footnote w:id="125">
    <w:p w14:paraId="0F8DF6C6" w14:textId="24B298B8" w:rsidR="000D37DC" w:rsidRPr="005562DE" w:rsidRDefault="000D37DC" w:rsidP="00AD0F1C">
      <w:pPr>
        <w:pStyle w:val="FootnoteText"/>
        <w:bidi w:val="0"/>
        <w:jc w:val="both"/>
        <w:rPr>
          <w:lang w:val="en-GB"/>
        </w:rPr>
      </w:pPr>
      <w:r w:rsidRPr="005562DE">
        <w:rPr>
          <w:rStyle w:val="FootnoteReference"/>
          <w:lang w:val="en-GB"/>
        </w:rPr>
        <w:footnoteRef/>
      </w:r>
      <w:r w:rsidRPr="005562DE">
        <w:rPr>
          <w:rtl/>
          <w:lang w:val="en-GB"/>
        </w:rPr>
        <w:t xml:space="preserve"> </w:t>
      </w:r>
      <w:r w:rsidRPr="005562DE">
        <w:rPr>
          <w:lang w:val="en-GB"/>
        </w:rPr>
        <w:t xml:space="preserve">See, for </w:t>
      </w:r>
      <w:r>
        <w:rPr>
          <w:lang w:val="en-GB"/>
        </w:rPr>
        <w:t>example</w:t>
      </w:r>
      <w:r w:rsidRPr="005562DE">
        <w:rPr>
          <w:lang w:val="en-GB"/>
        </w:rPr>
        <w:t>, the recruitment of personnel in Northern Ireland under the Code of Practice Fair Employment in Northern Ireland, para 5.1.1, (2003)</w:t>
      </w:r>
      <w:r w:rsidRPr="005562DE">
        <w:rPr>
          <w:rtl/>
          <w:lang w:val="en-GB"/>
        </w:rPr>
        <w:t>.</w:t>
      </w:r>
      <w:r w:rsidRPr="005562DE">
        <w:rPr>
          <w:lang w:val="en-GB"/>
        </w:rPr>
        <w:t xml:space="preserve"> For further reading, see: B. Hepple, </w:t>
      </w:r>
      <w:r>
        <w:rPr>
          <w:lang w:val="en-GB"/>
        </w:rPr>
        <w:t>‘</w:t>
      </w:r>
      <w:r w:rsidRPr="005562DE">
        <w:rPr>
          <w:lang w:val="en-GB"/>
        </w:rPr>
        <w:t>Discrimination and Equality of Opportunity – Northern Irish Lesson</w:t>
      </w:r>
      <w:r>
        <w:rPr>
          <w:lang w:val="en-GB"/>
        </w:rPr>
        <w:t>’</w:t>
      </w:r>
      <w:r w:rsidRPr="005562DE">
        <w:rPr>
          <w:lang w:val="en-GB"/>
        </w:rPr>
        <w:t>, Oxford Journal of Legal Studies 10 [1990] 408, p. 413</w:t>
      </w:r>
      <w:r w:rsidRPr="005562DE">
        <w:rPr>
          <w:rtl/>
          <w:lang w:val="en-GB"/>
        </w:rPr>
        <w:t>.</w:t>
      </w:r>
    </w:p>
  </w:footnote>
  <w:footnote w:id="126">
    <w:p w14:paraId="3B1A020B" w14:textId="0F6EB9F6" w:rsidR="000D37DC" w:rsidRPr="005562DE" w:rsidRDefault="000D37DC" w:rsidP="00AC4C74">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A. G. Mosley and N. Capaldi, Affirmative Action: Social Justice or Unfair Preference? (Rowman and Littlefield Publishers, Inc, Maryland, 1996), p. 32</w:t>
      </w:r>
      <w:r w:rsidRPr="005562DE">
        <w:rPr>
          <w:highlight w:val="green"/>
          <w:rtl/>
          <w:lang w:val="en-GB"/>
        </w:rPr>
        <w:t>.</w:t>
      </w:r>
    </w:p>
  </w:footnote>
  <w:footnote w:id="127">
    <w:p w14:paraId="421370A6" w14:textId="0E051A4C" w:rsidR="000D37DC" w:rsidRPr="005562DE" w:rsidRDefault="000D37DC" w:rsidP="00AC4C74">
      <w:pPr>
        <w:pStyle w:val="FootnoteText"/>
        <w:bidi w:val="0"/>
        <w:jc w:val="both"/>
        <w:rPr>
          <w:highlight w:val="green"/>
          <w:lang w:val="en-GB"/>
        </w:rPr>
      </w:pPr>
      <w:r w:rsidRPr="005562DE">
        <w:rPr>
          <w:rStyle w:val="FootnoteReference"/>
          <w:lang w:val="en-GB"/>
        </w:rPr>
        <w:footnoteRef/>
      </w:r>
      <w:r w:rsidRPr="005562DE">
        <w:rPr>
          <w:rtl/>
          <w:lang w:val="en-GB"/>
        </w:rPr>
        <w:t xml:space="preserve"> </w:t>
      </w:r>
      <w:r w:rsidRPr="005562DE">
        <w:rPr>
          <w:highlight w:val="green"/>
          <w:lang w:val="en-GB"/>
        </w:rPr>
        <w:t>Marschall v Land Nordhein-Westfalen Case C-490/95 [2001] ECR 45; [1998] IRLR 39</w:t>
      </w:r>
      <w:r w:rsidRPr="005562DE">
        <w:rPr>
          <w:highlight w:val="green"/>
          <w:rtl/>
          <w:lang w:val="en-GB"/>
        </w:rPr>
        <w:t>.</w:t>
      </w:r>
    </w:p>
  </w:footnote>
  <w:footnote w:id="128">
    <w:p w14:paraId="33C1644C" w14:textId="326DE2AA" w:rsidR="000D37DC" w:rsidRPr="005562DE" w:rsidRDefault="000D37DC"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lang w:val="en-GB"/>
        </w:rPr>
        <w:t xml:space="preserve"> Abrahamsson and Anderson v Fogelqvist [2000] IRLR 732 ECJ</w:t>
      </w:r>
      <w:r w:rsidRPr="005562DE">
        <w:rPr>
          <w:highlight w:val="green"/>
          <w:rtl/>
          <w:lang w:val="en-GB"/>
        </w:rPr>
        <w:t>.</w:t>
      </w:r>
    </w:p>
  </w:footnote>
  <w:footnote w:id="129">
    <w:p w14:paraId="0775D5BA" w14:textId="0FEF9D3A" w:rsidR="000D37DC" w:rsidRPr="005562DE" w:rsidRDefault="000D37DC" w:rsidP="00AC4C74">
      <w:pPr>
        <w:pStyle w:val="FootnoteText"/>
        <w:bidi w:val="0"/>
        <w:jc w:val="both"/>
        <w:rPr>
          <w:lang w:val="en-GB"/>
        </w:rPr>
      </w:pPr>
      <w:r w:rsidRPr="005562DE">
        <w:rPr>
          <w:rStyle w:val="FootnoteReference"/>
          <w:highlight w:val="green"/>
          <w:lang w:val="en-GB"/>
        </w:rPr>
        <w:footnoteRef/>
      </w:r>
      <w:r w:rsidRPr="005562DE">
        <w:rPr>
          <w:highlight w:val="green"/>
          <w:lang w:val="en-GB"/>
        </w:rPr>
        <w:t xml:space="preserve"> Government Equalities Office. </w:t>
      </w:r>
      <w:r>
        <w:rPr>
          <w:highlight w:val="green"/>
          <w:lang w:val="en-GB"/>
        </w:rPr>
        <w:t>‘</w:t>
      </w:r>
      <w:r w:rsidRPr="005562DE">
        <w:rPr>
          <w:highlight w:val="green"/>
          <w:lang w:val="en-GB"/>
        </w:rPr>
        <w:t>A Fairer Future. The Equality Bill and Other Action to Make Equality a Reality, (April 2009)</w:t>
      </w:r>
      <w:r w:rsidRPr="005562DE">
        <w:rPr>
          <w:highlight w:val="green"/>
          <w:rtl/>
          <w:lang w:val="en-GB"/>
        </w:rPr>
        <w:t>.</w:t>
      </w:r>
    </w:p>
    <w:p w14:paraId="76C9A6D9" w14:textId="3CC96B12" w:rsidR="000D37DC" w:rsidRPr="005562DE" w:rsidRDefault="000D37DC" w:rsidP="00AC4C74">
      <w:pPr>
        <w:pStyle w:val="FootnoteText"/>
        <w:bidi w:val="0"/>
        <w:jc w:val="both"/>
        <w:rPr>
          <w:lang w:val="en-GB"/>
        </w:rPr>
      </w:pPr>
      <w:r w:rsidRPr="005562DE">
        <w:rPr>
          <w:highlight w:val="green"/>
          <w:lang w:val="en-GB"/>
        </w:rPr>
        <w:t xml:space="preserve">Available at: </w:t>
      </w:r>
      <w:hyperlink r:id="rId3" w:history="1">
        <w:r w:rsidRPr="005562DE">
          <w:rPr>
            <w:rStyle w:val="Hyperlink"/>
            <w:highlight w:val="green"/>
            <w:lang w:val="en-GB"/>
          </w:rPr>
          <w:t>https://www.gov.uk/government/uploads/system/uploads/attachment_data/file/238713/7431.pdf</w:t>
        </w:r>
      </w:hyperlink>
    </w:p>
  </w:footnote>
  <w:footnote w:id="130">
    <w:p w14:paraId="5D589EFC" w14:textId="55A28F08" w:rsidR="000D37DC" w:rsidRPr="005562DE" w:rsidRDefault="000D37DC" w:rsidP="00AC4C74">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Equality Act 2010, s. 158</w:t>
      </w:r>
      <w:r w:rsidRPr="005562DE">
        <w:rPr>
          <w:highlight w:val="green"/>
          <w:rtl/>
          <w:lang w:val="en-GB"/>
        </w:rPr>
        <w:t>.</w:t>
      </w:r>
    </w:p>
  </w:footnote>
  <w:footnote w:id="131">
    <w:p w14:paraId="358C78D9" w14:textId="744183BF" w:rsidR="000D37DC" w:rsidRPr="005562DE" w:rsidRDefault="000D37DC" w:rsidP="00AC4C74">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i/>
          <w:iCs/>
          <w:highlight w:val="green"/>
          <w:lang w:val="en-GB"/>
        </w:rPr>
        <w:t>Ibid</w:t>
      </w:r>
      <w:r w:rsidRPr="005562DE">
        <w:rPr>
          <w:highlight w:val="green"/>
          <w:lang w:val="en-GB"/>
        </w:rPr>
        <w:t>, ss. 158(1)(a), (b) and (c)</w:t>
      </w:r>
      <w:r w:rsidRPr="005562DE">
        <w:rPr>
          <w:highlight w:val="green"/>
          <w:rtl/>
          <w:lang w:val="en-GB"/>
        </w:rPr>
        <w:t>.</w:t>
      </w:r>
    </w:p>
  </w:footnote>
  <w:footnote w:id="132">
    <w:p w14:paraId="2640A681" w14:textId="2D38E5A0" w:rsidR="000D37DC" w:rsidRPr="005562DE" w:rsidRDefault="000D37DC" w:rsidP="00A61C8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In the private market.</w:t>
      </w:r>
    </w:p>
  </w:footnote>
  <w:footnote w:id="133">
    <w:p w14:paraId="0696A6B3" w14:textId="2ADBD044" w:rsidR="000D37DC" w:rsidRPr="005562DE" w:rsidRDefault="000D37DC" w:rsidP="00AC4C74">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Fair Employment and Treatment (Northern Ireland) Order 1998, SI 1998/3162 (N121) 1998 (</w:t>
      </w:r>
      <w:r>
        <w:rPr>
          <w:highlight w:val="green"/>
          <w:lang w:val="en-GB"/>
        </w:rPr>
        <w:t>‘</w:t>
      </w:r>
      <w:r w:rsidRPr="005562DE">
        <w:rPr>
          <w:highlight w:val="green"/>
          <w:lang w:val="en-GB"/>
        </w:rPr>
        <w:t xml:space="preserve">FETO) </w:t>
      </w:r>
    </w:p>
    <w:p w14:paraId="5BBA833D" w14:textId="5C85C810" w:rsidR="000D37DC" w:rsidRPr="005562DE" w:rsidRDefault="000D37DC" w:rsidP="00AC4C74">
      <w:pPr>
        <w:pStyle w:val="FootnoteText"/>
        <w:bidi w:val="0"/>
        <w:jc w:val="both"/>
        <w:rPr>
          <w:lang w:val="en-GB"/>
        </w:rPr>
      </w:pPr>
      <w:r w:rsidRPr="005562DE">
        <w:rPr>
          <w:highlight w:val="green"/>
          <w:lang w:val="en-GB"/>
        </w:rPr>
        <w:t>art. 4 and See the Fair Employment (Northern Ireland) Act 1989 (c. 32); the Northern Ireland Act 1998 (c. 47)</w:t>
      </w:r>
      <w:r w:rsidRPr="005562DE">
        <w:rPr>
          <w:highlight w:val="green"/>
          <w:rtl/>
          <w:lang w:val="en-GB"/>
        </w:rPr>
        <w:t>.</w:t>
      </w:r>
    </w:p>
  </w:footnote>
  <w:footnote w:id="134">
    <w:p w14:paraId="52F4663D" w14:textId="7FB4C988" w:rsidR="000D37DC" w:rsidRPr="005562DE" w:rsidRDefault="000D37DC" w:rsidP="00B646AB">
      <w:pPr>
        <w:pStyle w:val="FootnoteText"/>
        <w:bidi w:val="0"/>
        <w:jc w:val="both"/>
        <w:rPr>
          <w:lang w:val="en-GB"/>
        </w:rPr>
      </w:pPr>
      <w:r w:rsidRPr="005562DE">
        <w:rPr>
          <w:rStyle w:val="FootnoteReference"/>
          <w:lang w:val="en-GB"/>
        </w:rPr>
        <w:footnoteRef/>
      </w:r>
      <w:r w:rsidRPr="005562DE">
        <w:rPr>
          <w:rtl/>
          <w:lang w:val="en-GB"/>
        </w:rPr>
        <w:t xml:space="preserve"> </w:t>
      </w:r>
      <w:r w:rsidRPr="005562DE">
        <w:rPr>
          <w:lang w:val="en-GB"/>
        </w:rPr>
        <w:t xml:space="preserve">EC Treaty, </w:t>
      </w:r>
      <w:r>
        <w:rPr>
          <w:lang w:val="en-GB"/>
        </w:rPr>
        <w:t>A</w:t>
      </w:r>
      <w:r w:rsidRPr="005562DE">
        <w:rPr>
          <w:lang w:val="en-GB"/>
        </w:rPr>
        <w:t>rt. 141(4)</w:t>
      </w:r>
      <w:r w:rsidRPr="005562DE">
        <w:rPr>
          <w:rtl/>
          <w:lang w:val="en-GB"/>
        </w:rPr>
        <w:t>.</w:t>
      </w:r>
      <w:r w:rsidRPr="005562DE">
        <w:rPr>
          <w:lang w:val="en-GB"/>
        </w:rPr>
        <w:t xml:space="preserve"> Similar elements, especially in the context of racial equality, can be seen in the Racial Equality Directive of 2000. </w:t>
      </w:r>
      <w:r w:rsidRPr="005562DE">
        <w:rPr>
          <w:i/>
          <w:iCs/>
          <w:lang w:val="en-GB"/>
        </w:rPr>
        <w:t>Cf.</w:t>
      </w:r>
      <w:r w:rsidRPr="005562DE">
        <w:rPr>
          <w:lang w:val="en-GB"/>
        </w:rPr>
        <w:t xml:space="preserve">: Elizabeth F. Defeis, </w:t>
      </w:r>
      <w:r>
        <w:rPr>
          <w:lang w:val="en-GB"/>
        </w:rPr>
        <w:t>“</w:t>
      </w:r>
      <w:r w:rsidRPr="005562DE">
        <w:rPr>
          <w:lang w:val="en-GB"/>
        </w:rPr>
        <w:t>The Treaty of Amsterdam: The Next Step Towards Gender Equality</w:t>
      </w:r>
      <w:r>
        <w:rPr>
          <w:lang w:val="en-GB"/>
        </w:rPr>
        <w:t>”</w:t>
      </w:r>
      <w:r w:rsidRPr="005562DE">
        <w:rPr>
          <w:lang w:val="en-GB"/>
        </w:rPr>
        <w:t xml:space="preserve">, 23 </w:t>
      </w:r>
      <w:r w:rsidRPr="005562DE">
        <w:rPr>
          <w:i/>
          <w:iCs/>
          <w:lang w:val="en-GB"/>
        </w:rPr>
        <w:t>B.C. Intl &amp; Comp Law Rev</w:t>
      </w:r>
      <w:r w:rsidRPr="005562DE">
        <w:rPr>
          <w:lang w:val="en-GB"/>
        </w:rPr>
        <w:t xml:space="preserve"> 1 (1999), pp.30–33</w:t>
      </w:r>
      <w:r w:rsidRPr="005562DE">
        <w:rPr>
          <w:rtl/>
          <w:lang w:val="en-GB"/>
        </w:rPr>
        <w:t>.</w:t>
      </w:r>
    </w:p>
  </w:footnote>
  <w:footnote w:id="135">
    <w:p w14:paraId="78482AB6" w14:textId="4636C3C1" w:rsidR="000D37DC" w:rsidRPr="005562DE" w:rsidRDefault="000D37DC" w:rsidP="00AC4C74">
      <w:pPr>
        <w:pStyle w:val="FootnoteText"/>
        <w:bidi w:val="0"/>
        <w:jc w:val="both"/>
        <w:rPr>
          <w:lang w:val="en-GB"/>
        </w:rPr>
      </w:pPr>
      <w:r w:rsidRPr="005562DE">
        <w:rPr>
          <w:rStyle w:val="FootnoteReference"/>
          <w:highlight w:val="green"/>
          <w:lang w:val="en-GB"/>
        </w:rPr>
        <w:footnoteRef/>
      </w:r>
      <w:r w:rsidRPr="005562DE">
        <w:rPr>
          <w:highlight w:val="green"/>
          <w:lang w:val="en-GB"/>
        </w:rPr>
        <w:t xml:space="preserve"> Council Directive, 2000/78/EC, art. 7(1) and Council Directive, 2004/113/EC, art. 6 and Council Directive 2006/54/EC. art. 2(8)</w:t>
      </w:r>
      <w:r w:rsidRPr="005562DE">
        <w:rPr>
          <w:highlight w:val="green"/>
          <w:rtl/>
          <w:lang w:val="en-GB"/>
        </w:rPr>
        <w:t>.</w:t>
      </w:r>
    </w:p>
  </w:footnote>
  <w:footnote w:id="136">
    <w:p w14:paraId="1A56290F" w14:textId="328EE1B5" w:rsidR="000D37DC" w:rsidRPr="005562DE" w:rsidRDefault="000D37DC" w:rsidP="00A61C8A">
      <w:pPr>
        <w:pStyle w:val="FootnoteText"/>
        <w:bidi w:val="0"/>
        <w:jc w:val="both"/>
        <w:rPr>
          <w:lang w:val="en-GB"/>
        </w:rPr>
      </w:pPr>
      <w:r w:rsidRPr="005562DE">
        <w:rPr>
          <w:rStyle w:val="FootnoteReference"/>
          <w:lang w:val="en-GB"/>
        </w:rPr>
        <w:footnoteRef/>
      </w:r>
      <w:r w:rsidRPr="005562DE">
        <w:rPr>
          <w:rtl/>
          <w:lang w:val="en-GB"/>
        </w:rPr>
        <w:t xml:space="preserve"> </w:t>
      </w:r>
      <w:r w:rsidRPr="005562DE">
        <w:rPr>
          <w:lang w:val="en-GB"/>
        </w:rPr>
        <w:t>Thus, according to S. 158 of the 2010 Act, an employer is entitled to employ certain, proportional measures, to diversify representation, but again, he is not obliged to do so. The intention is mainly for the private market.</w:t>
      </w:r>
    </w:p>
  </w:footnote>
  <w:footnote w:id="137">
    <w:p w14:paraId="7CEBC70F" w14:textId="09174D90" w:rsidR="000D37DC" w:rsidRPr="005562DE" w:rsidRDefault="000D37DC" w:rsidP="00AC4C74">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Equality Act 2010 (n 215) s 149</w:t>
      </w:r>
      <w:r w:rsidRPr="005562DE">
        <w:rPr>
          <w:highlight w:val="green"/>
          <w:rtl/>
          <w:lang w:val="en-GB"/>
        </w:rPr>
        <w:t>.</w:t>
      </w:r>
    </w:p>
  </w:footnote>
  <w:footnote w:id="138">
    <w:p w14:paraId="1DB592BD" w14:textId="4C728E29" w:rsidR="000D37DC" w:rsidRPr="005562DE" w:rsidRDefault="000D37DC" w:rsidP="00AC4C74">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Bob Hepple, Mary Coussey, Tufyal Choudhury, Equality: A New Framework: Report of the Independent Review of the Enforcement of UK Anti-Discrimination Legislation (Hart Publishing</w:t>
      </w:r>
      <w:r w:rsidRPr="005562DE">
        <w:rPr>
          <w:highlight w:val="green"/>
          <w:rtl/>
          <w:lang w:val="en-GB"/>
        </w:rPr>
        <w:t>,</w:t>
      </w:r>
      <w:r w:rsidRPr="005562DE">
        <w:rPr>
          <w:highlight w:val="green"/>
          <w:lang w:val="en-GB"/>
        </w:rPr>
        <w:t xml:space="preserve"> Oxford, 2000) 12-13; National Equality Panel, An Anatomy of Economic Inequality in the UK - Report of the National Equality Panel (Government Equalities Office 2010)</w:t>
      </w:r>
      <w:r w:rsidRPr="005562DE">
        <w:rPr>
          <w:highlight w:val="green"/>
          <w:rtl/>
          <w:lang w:val="en-GB"/>
        </w:rPr>
        <w:t>.</w:t>
      </w:r>
    </w:p>
  </w:footnote>
  <w:footnote w:id="139">
    <w:p w14:paraId="5B7E47D6" w14:textId="38E496F3" w:rsidR="000D37DC" w:rsidRPr="005562DE" w:rsidRDefault="000D37DC" w:rsidP="00BC263C">
      <w:pPr>
        <w:pStyle w:val="FootnoteText"/>
        <w:bidi w:val="0"/>
        <w:jc w:val="both"/>
        <w:rPr>
          <w:lang w:val="en-GB"/>
        </w:rPr>
      </w:pPr>
      <w:r w:rsidRPr="005562DE">
        <w:rPr>
          <w:rStyle w:val="FootnoteReference"/>
          <w:lang w:val="en-GB"/>
        </w:rPr>
        <w:footnoteRef/>
      </w:r>
      <w:r w:rsidRPr="005562DE">
        <w:rPr>
          <w:rtl/>
          <w:lang w:val="en-GB"/>
        </w:rPr>
        <w:t xml:space="preserve"> </w:t>
      </w:r>
      <w:r w:rsidRPr="005562DE">
        <w:rPr>
          <w:lang w:val="en-GB"/>
        </w:rPr>
        <w:t>And even prior to that in the Directive: Equal Treatment (Amendment) Directive 2002/73/EC OJ L268/15 and in the Treaty of Amsterdam:</w:t>
      </w:r>
      <w:r w:rsidRPr="005562DE">
        <w:rPr>
          <w:rFonts w:ascii="David" w:hAnsi="David" w:cs="David"/>
          <w:sz w:val="22"/>
          <w:szCs w:val="22"/>
          <w:lang w:val="en-GB"/>
        </w:rPr>
        <w:t xml:space="preserve"> </w:t>
      </w:r>
      <w:r w:rsidRPr="005562DE">
        <w:rPr>
          <w:lang w:val="en-GB"/>
        </w:rPr>
        <w:t xml:space="preserve">EC Treaty, </w:t>
      </w:r>
      <w:r>
        <w:rPr>
          <w:lang w:val="en-GB"/>
        </w:rPr>
        <w:t>A</w:t>
      </w:r>
      <w:r w:rsidRPr="005562DE">
        <w:rPr>
          <w:lang w:val="en-GB"/>
        </w:rPr>
        <w:t>rt. 141(4)</w:t>
      </w:r>
      <w:r w:rsidRPr="005562DE">
        <w:rPr>
          <w:rtl/>
          <w:lang w:val="en-GB"/>
        </w:rPr>
        <w:t>,</w:t>
      </w:r>
      <w:r w:rsidRPr="005562DE">
        <w:rPr>
          <w:lang w:val="en-GB"/>
        </w:rPr>
        <w:t xml:space="preserve"> in both instances in the context of affirmative action for women.</w:t>
      </w:r>
    </w:p>
  </w:footnote>
  <w:footnote w:id="140">
    <w:p w14:paraId="40B83206" w14:textId="6D4B0B92" w:rsidR="000D37DC" w:rsidRPr="005562DE" w:rsidRDefault="000D37DC" w:rsidP="00AC4C74">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Lommers v Minister van Landbouw Natuurbeheer in Visserij (Case C-476/99) [2002] ECR I – 2891</w:t>
      </w:r>
      <w:r w:rsidRPr="005562DE">
        <w:rPr>
          <w:highlight w:val="green"/>
          <w:rtl/>
          <w:lang w:val="en-GB"/>
        </w:rPr>
        <w:t>.</w:t>
      </w:r>
    </w:p>
  </w:footnote>
  <w:footnote w:id="141">
    <w:p w14:paraId="7456D293" w14:textId="0679FA13" w:rsidR="000D37DC" w:rsidRPr="005562DE" w:rsidRDefault="000D37DC" w:rsidP="00AC4C74">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S. Pager, </w:t>
      </w:r>
      <w:r>
        <w:rPr>
          <w:highlight w:val="green"/>
          <w:lang w:val="en-GB"/>
        </w:rPr>
        <w:t>‘</w:t>
      </w:r>
      <w:r w:rsidRPr="005562DE">
        <w:rPr>
          <w:highlight w:val="green"/>
          <w:lang w:val="en-GB"/>
        </w:rPr>
        <w:t>Strictness and Subsidiarity: An Institutional Perspective on Affirmative action at the European Court of Justice</w:t>
      </w:r>
      <w:r>
        <w:rPr>
          <w:highlight w:val="green"/>
          <w:lang w:val="en-GB"/>
        </w:rPr>
        <w:t>’</w:t>
      </w:r>
      <w:r w:rsidRPr="005562DE">
        <w:rPr>
          <w:highlight w:val="green"/>
          <w:lang w:val="en-GB"/>
        </w:rPr>
        <w:t>, 26 BC Int</w:t>
      </w:r>
      <w:r>
        <w:rPr>
          <w:highlight w:val="green"/>
          <w:lang w:val="en-GB"/>
        </w:rPr>
        <w:t>’</w:t>
      </w:r>
      <w:r w:rsidRPr="005562DE">
        <w:rPr>
          <w:highlight w:val="green"/>
          <w:lang w:val="en-GB"/>
        </w:rPr>
        <w:t>l 7 Comp L. Rev. 35 (2003)</w:t>
      </w:r>
      <w:r w:rsidRPr="005562DE">
        <w:rPr>
          <w:highlight w:val="green"/>
          <w:rtl/>
          <w:lang w:val="en-GB"/>
        </w:rPr>
        <w:t>.</w:t>
      </w:r>
    </w:p>
  </w:footnote>
  <w:footnote w:id="142">
    <w:p w14:paraId="023B60E9" w14:textId="0889BE45" w:rsidR="000D37DC" w:rsidRPr="005562DE" w:rsidRDefault="000D37DC" w:rsidP="00AC4C74">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Civil Service Commission</w:t>
      </w:r>
      <w:r w:rsidRPr="005562DE">
        <w:rPr>
          <w:highlight w:val="green"/>
          <w:rtl/>
          <w:lang w:val="en-GB"/>
        </w:rPr>
        <w:t>.</w:t>
      </w:r>
    </w:p>
  </w:footnote>
  <w:footnote w:id="143">
    <w:p w14:paraId="2D4A1CCA" w14:textId="07CF9A7F" w:rsidR="000D37DC" w:rsidRPr="005562DE" w:rsidRDefault="000D37DC" w:rsidP="00AC4C74">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Senior Appointments Selection Committee</w:t>
      </w:r>
      <w:r w:rsidRPr="005562DE">
        <w:rPr>
          <w:highlight w:val="green"/>
          <w:rtl/>
          <w:lang w:val="en-GB"/>
        </w:rPr>
        <w:t>.</w:t>
      </w:r>
    </w:p>
  </w:footnote>
  <w:footnote w:id="144">
    <w:p w14:paraId="13BEE87D" w14:textId="77777777" w:rsidR="000D37DC" w:rsidRPr="005562DE" w:rsidRDefault="000D37DC" w:rsidP="00AC4C74">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See: </w:t>
      </w:r>
      <w:hyperlink r:id="rId4" w:history="1">
        <w:r w:rsidRPr="005562DE">
          <w:rPr>
            <w:rStyle w:val="Hyperlink"/>
            <w:highlight w:val="green"/>
            <w:lang w:val="en-GB"/>
          </w:rPr>
          <w:t>https://www.gov.uk/government/organisations/civil-service</w:t>
        </w:r>
      </w:hyperlink>
      <w:r w:rsidRPr="005562DE">
        <w:rPr>
          <w:highlight w:val="green"/>
          <w:lang w:val="en-GB"/>
        </w:rPr>
        <w:t xml:space="preserve">; </w:t>
      </w:r>
    </w:p>
    <w:p w14:paraId="3EE123EA" w14:textId="360D1DDF" w:rsidR="000D37DC" w:rsidRPr="005562DE" w:rsidRDefault="000D37DC" w:rsidP="00AC4C74">
      <w:pPr>
        <w:pStyle w:val="FootnoteText"/>
        <w:bidi w:val="0"/>
        <w:jc w:val="both"/>
        <w:rPr>
          <w:highlight w:val="green"/>
          <w:lang w:val="en-GB"/>
        </w:rPr>
      </w:pPr>
      <w:r w:rsidRPr="005562DE">
        <w:rPr>
          <w:highlight w:val="green"/>
          <w:lang w:val="en-GB"/>
        </w:rPr>
        <w:t xml:space="preserve">And </w:t>
      </w:r>
      <w:hyperlink r:id="rId5" w:history="1">
        <w:r w:rsidRPr="005562DE">
          <w:rPr>
            <w:rStyle w:val="Hyperlink"/>
            <w:highlight w:val="green"/>
            <w:lang w:val="en-GB"/>
          </w:rPr>
          <w:t>http://www.civilservicecommission.org.uk/civil-service-reform.html</w:t>
        </w:r>
      </w:hyperlink>
      <w:r w:rsidRPr="005562DE">
        <w:rPr>
          <w:highlight w:val="green"/>
          <w:lang w:val="en-GB"/>
        </w:rPr>
        <w:t>;</w:t>
      </w:r>
    </w:p>
    <w:p w14:paraId="3A2BB496" w14:textId="6B334814" w:rsidR="000D37DC" w:rsidRPr="005562DE" w:rsidRDefault="000D37DC" w:rsidP="00AC4C74">
      <w:pPr>
        <w:pStyle w:val="FootnoteText"/>
        <w:bidi w:val="0"/>
        <w:jc w:val="both"/>
        <w:rPr>
          <w:lang w:val="en-GB"/>
        </w:rPr>
      </w:pPr>
      <w:r w:rsidRPr="005562DE">
        <w:rPr>
          <w:highlight w:val="green"/>
          <w:lang w:val="en-GB"/>
        </w:rPr>
        <w:t xml:space="preserve">And </w:t>
      </w:r>
      <w:hyperlink r:id="rId6" w:history="1">
        <w:r w:rsidRPr="005562DE">
          <w:rPr>
            <w:rStyle w:val="Hyperlink"/>
            <w:highlight w:val="green"/>
            <w:lang w:val="en-GB"/>
          </w:rPr>
          <w:t>http://www.civilservicecommission.org.uk/employment-in-the-civil-service.html</w:t>
        </w:r>
      </w:hyperlink>
    </w:p>
  </w:footnote>
  <w:footnote w:id="145">
    <w:p w14:paraId="1E550BC6" w14:textId="5E952C47" w:rsidR="000D37DC" w:rsidRPr="005562DE" w:rsidRDefault="000D37DC" w:rsidP="00A61C8A">
      <w:pPr>
        <w:pStyle w:val="FootnoteText"/>
        <w:bidi w:val="0"/>
        <w:jc w:val="both"/>
        <w:rPr>
          <w:lang w:val="en-GB"/>
        </w:rPr>
      </w:pPr>
      <w:r w:rsidRPr="005562DE">
        <w:rPr>
          <w:rStyle w:val="FootnoteReference"/>
          <w:lang w:val="en-GB"/>
        </w:rPr>
        <w:footnoteRef/>
      </w:r>
      <w:r w:rsidRPr="005562DE">
        <w:rPr>
          <w:rtl/>
          <w:lang w:val="en-GB"/>
        </w:rPr>
        <w:t xml:space="preserve"> </w:t>
      </w:r>
      <w:r w:rsidRPr="005562DE">
        <w:rPr>
          <w:lang w:val="en-GB"/>
        </w:rPr>
        <w:t>See details on website (the website contains details also with respect to junior appointments):</w:t>
      </w:r>
    </w:p>
    <w:p w14:paraId="1BD08C37" w14:textId="01302708" w:rsidR="000D37DC" w:rsidRPr="005562DE" w:rsidRDefault="000D37DC" w:rsidP="00BC263C">
      <w:pPr>
        <w:pStyle w:val="FootnoteText"/>
        <w:bidi w:val="0"/>
        <w:rPr>
          <w:lang w:val="en-GB"/>
        </w:rPr>
      </w:pPr>
      <w:hyperlink r:id="rId7" w:history="1">
        <w:r w:rsidRPr="005562DE">
          <w:rPr>
            <w:rStyle w:val="Hyperlink"/>
            <w:lang w:val="en-GB"/>
          </w:rPr>
          <w:t>http://publicappointmentscommissioner.independent.gov.uk/publications/annual-reports/</w:t>
        </w:r>
      </w:hyperlink>
      <w:r w:rsidRPr="005562DE">
        <w:rPr>
          <w:u w:val="single"/>
          <w:lang w:val="en-GB"/>
        </w:rPr>
        <w:t xml:space="preserve"> </w:t>
      </w:r>
    </w:p>
  </w:footnote>
  <w:footnote w:id="146">
    <w:p w14:paraId="08D6767E" w14:textId="5418AB9C" w:rsidR="000D37DC" w:rsidRPr="005562DE" w:rsidRDefault="000D37DC" w:rsidP="00347D21">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See on website: </w:t>
      </w:r>
      <w:hyperlink r:id="rId8" w:history="1">
        <w:r w:rsidRPr="005562DE">
          <w:rPr>
            <w:rStyle w:val="Hyperlink"/>
            <w:highlight w:val="green"/>
            <w:lang w:val="en-GB"/>
          </w:rPr>
          <w:t>www.ocpa.gov.uk/index2.htm</w:t>
        </w:r>
      </w:hyperlink>
      <w:r w:rsidRPr="005562DE">
        <w:rPr>
          <w:highlight w:val="green"/>
          <w:u w:val="single"/>
          <w:lang w:val="en-GB"/>
        </w:rPr>
        <w:t>;</w:t>
      </w:r>
    </w:p>
  </w:footnote>
  <w:footnote w:id="147">
    <w:p w14:paraId="7050D5EF" w14:textId="09758BA0" w:rsidR="000D37DC" w:rsidRPr="005562DE" w:rsidRDefault="000D37DC" w:rsidP="00347D21">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See: </w:t>
      </w:r>
      <w:hyperlink r:id="rId9" w:history="1">
        <w:r w:rsidRPr="005562DE">
          <w:rPr>
            <w:rStyle w:val="Hyperlink"/>
            <w:highlight w:val="green"/>
            <w:lang w:val="en-GB"/>
          </w:rPr>
          <w:t>www.parliament.uk/commons/lib/research/notes/snpc-03161.pdf</w:t>
        </w:r>
      </w:hyperlink>
      <w:r w:rsidRPr="005562DE">
        <w:rPr>
          <w:highlight w:val="green"/>
          <w:lang w:val="en-GB"/>
        </w:rPr>
        <w:t>;</w:t>
      </w:r>
    </w:p>
  </w:footnote>
  <w:footnote w:id="148">
    <w:p w14:paraId="0BBB12A2" w14:textId="0DE21AFD" w:rsidR="000D37DC" w:rsidRPr="005562DE" w:rsidRDefault="000D37DC" w:rsidP="00347D21">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See: Schneider, Ben Ross. 1991. </w:t>
      </w:r>
      <w:r w:rsidRPr="005562DE">
        <w:rPr>
          <w:i/>
          <w:iCs/>
          <w:highlight w:val="green"/>
          <w:lang w:val="en-GB"/>
        </w:rPr>
        <w:t xml:space="preserve">Politics within the State. </w:t>
      </w:r>
      <w:r w:rsidRPr="005562DE">
        <w:rPr>
          <w:highlight w:val="green"/>
          <w:lang w:val="en-GB"/>
        </w:rPr>
        <w:t>Pittsburgh: University of Pittsburgh Press. pp. 518.</w:t>
      </w:r>
    </w:p>
  </w:footnote>
  <w:footnote w:id="149">
    <w:p w14:paraId="5EA1B54B" w14:textId="72CD9624" w:rsidR="000D37DC" w:rsidRPr="005562DE" w:rsidRDefault="000D37DC" w:rsidP="00347D21">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See: Civil Service Reform Act, U.S.C (1883)</w:t>
      </w:r>
      <w:r w:rsidRPr="005562DE">
        <w:rPr>
          <w:highlight w:val="green"/>
          <w:rtl/>
          <w:lang w:val="en-GB"/>
        </w:rPr>
        <w:t>.</w:t>
      </w:r>
    </w:p>
  </w:footnote>
  <w:footnote w:id="150">
    <w:p w14:paraId="724E367F" w14:textId="1031D5A5" w:rsidR="000D37DC" w:rsidRPr="005562DE" w:rsidRDefault="000D37DC" w:rsidP="00347D21">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See: </w:t>
      </w:r>
      <w:r w:rsidRPr="005562DE">
        <w:rPr>
          <w:i/>
          <w:iCs/>
          <w:highlight w:val="green"/>
          <w:lang w:val="en-GB"/>
        </w:rPr>
        <w:t>Elrod v. Burns</w:t>
      </w:r>
      <w:r w:rsidRPr="005562DE">
        <w:rPr>
          <w:highlight w:val="green"/>
          <w:lang w:val="en-GB"/>
        </w:rPr>
        <w:t xml:space="preserve"> 427 US 347 (1976); </w:t>
      </w:r>
      <w:r w:rsidRPr="005562DE">
        <w:rPr>
          <w:i/>
          <w:iCs/>
          <w:highlight w:val="green"/>
          <w:lang w:val="en-GB"/>
        </w:rPr>
        <w:t>Cf</w:t>
      </w:r>
      <w:r w:rsidRPr="005562DE">
        <w:rPr>
          <w:highlight w:val="green"/>
          <w:lang w:val="en-GB"/>
        </w:rPr>
        <w:t xml:space="preserve">. </w:t>
      </w:r>
      <w:r w:rsidRPr="005562DE">
        <w:rPr>
          <w:i/>
          <w:iCs/>
          <w:highlight w:val="green"/>
          <w:lang w:val="en-GB"/>
        </w:rPr>
        <w:t>Branti v. Finkel</w:t>
      </w:r>
      <w:r w:rsidRPr="005562DE">
        <w:rPr>
          <w:highlight w:val="green"/>
          <w:lang w:val="en-GB"/>
        </w:rPr>
        <w:t>, 445 U.S. 507 (1980).</w:t>
      </w:r>
    </w:p>
  </w:footnote>
  <w:footnote w:id="151">
    <w:p w14:paraId="77E5C58D" w14:textId="5FA8B316" w:rsidR="000D37DC" w:rsidRPr="005562DE" w:rsidRDefault="000D37DC" w:rsidP="00347D21">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See: Roy L. Brooks, </w:t>
      </w:r>
      <w:r w:rsidRPr="005562DE">
        <w:rPr>
          <w:i/>
          <w:iCs/>
          <w:highlight w:val="green"/>
          <w:lang w:val="en-GB"/>
        </w:rPr>
        <w:t>The Affirmative Action Issue: Law, Policy, and Morality</w:t>
      </w:r>
      <w:r w:rsidRPr="005562DE">
        <w:rPr>
          <w:highlight w:val="green"/>
          <w:lang w:val="en-GB"/>
        </w:rPr>
        <w:t xml:space="preserve">, 22 CONN. L. REV. 323, 359-62 (1990) (arguing that affirmative action </w:t>
      </w:r>
      <w:r>
        <w:rPr>
          <w:highlight w:val="green"/>
          <w:lang w:val="en-GB"/>
        </w:rPr>
        <w:t>“</w:t>
      </w:r>
      <w:r w:rsidRPr="005562DE">
        <w:rPr>
          <w:highlight w:val="green"/>
          <w:lang w:val="en-GB"/>
        </w:rPr>
        <w:t>helps to make American society a more just society</w:t>
      </w:r>
      <w:r>
        <w:rPr>
          <w:highlight w:val="green"/>
          <w:lang w:val="en-GB"/>
        </w:rPr>
        <w:t>”</w:t>
      </w:r>
      <w:r w:rsidRPr="005562DE">
        <w:rPr>
          <w:highlight w:val="green"/>
          <w:lang w:val="en-GB"/>
        </w:rPr>
        <w:t>)</w:t>
      </w:r>
    </w:p>
  </w:footnote>
  <w:footnote w:id="152">
    <w:p w14:paraId="585E0296" w14:textId="191603BB" w:rsidR="000D37DC" w:rsidRPr="005562DE" w:rsidRDefault="000D37DC" w:rsidP="00347D21">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See: U.S. Const. art. 2, § 2, 2.2.</w:t>
      </w:r>
    </w:p>
  </w:footnote>
  <w:footnote w:id="153">
    <w:p w14:paraId="32A301DD" w14:textId="514E0D3F" w:rsidR="000D37DC" w:rsidRPr="005562DE" w:rsidRDefault="000D37DC" w:rsidP="00347D21">
      <w:pPr>
        <w:pStyle w:val="FootnoteText"/>
        <w:bidi w:val="0"/>
        <w:jc w:val="both"/>
        <w:rPr>
          <w:lang w:val="en-GB"/>
        </w:rPr>
      </w:pPr>
      <w:r w:rsidRPr="005562DE">
        <w:rPr>
          <w:rStyle w:val="FootnoteReference"/>
          <w:highlight w:val="green"/>
          <w:lang w:val="en-GB"/>
        </w:rPr>
        <w:footnoteRef/>
      </w:r>
      <w:r w:rsidRPr="005562DE">
        <w:rPr>
          <w:highlight w:val="green"/>
          <w:lang w:val="en-GB"/>
        </w:rPr>
        <w:t xml:space="preserve"> Schneider, Ben Ross. 1991. </w:t>
      </w:r>
      <w:r w:rsidRPr="005562DE">
        <w:rPr>
          <w:i/>
          <w:iCs/>
          <w:highlight w:val="green"/>
          <w:lang w:val="en-GB"/>
        </w:rPr>
        <w:t xml:space="preserve">Politics within the State. </w:t>
      </w:r>
      <w:r w:rsidRPr="005562DE">
        <w:rPr>
          <w:highlight w:val="green"/>
          <w:lang w:val="en-GB"/>
        </w:rPr>
        <w:t>Pittsburgh: University of Pittsburgh Press. pp. 518</w:t>
      </w:r>
      <w:r w:rsidRPr="005562DE">
        <w:rPr>
          <w:highlight w:val="green"/>
          <w:rtl/>
          <w:lang w:val="en-GB"/>
        </w:rPr>
        <w:t>.</w:t>
      </w:r>
    </w:p>
  </w:footnote>
  <w:footnote w:id="154">
    <w:p w14:paraId="6604066C" w14:textId="7C3160FF" w:rsidR="000D37DC" w:rsidRPr="005562DE" w:rsidRDefault="000D37DC" w:rsidP="00A556D8">
      <w:pPr>
        <w:pStyle w:val="FootnoteText"/>
        <w:bidi w:val="0"/>
        <w:jc w:val="both"/>
        <w:rPr>
          <w:lang w:val="en-GB"/>
        </w:rPr>
      </w:pPr>
      <w:r w:rsidRPr="005562DE">
        <w:rPr>
          <w:rStyle w:val="FootnoteReference"/>
          <w:lang w:val="en-GB"/>
        </w:rPr>
        <w:footnoteRef/>
      </w:r>
      <w:r w:rsidRPr="005562DE">
        <w:rPr>
          <w:rtl/>
          <w:lang w:val="en-GB"/>
        </w:rPr>
        <w:t xml:space="preserve"> </w:t>
      </w:r>
      <w:r w:rsidRPr="005562DE">
        <w:rPr>
          <w:lang w:val="en-GB"/>
        </w:rPr>
        <w:t>See: Civil Service Reform Act, U.S.C (1883)</w:t>
      </w:r>
      <w:r w:rsidRPr="005562DE">
        <w:rPr>
          <w:rtl/>
          <w:lang w:val="en-GB"/>
        </w:rPr>
        <w:t>.</w:t>
      </w:r>
      <w:r w:rsidRPr="005562DE">
        <w:rPr>
          <w:lang w:val="en-GB"/>
        </w:rPr>
        <w:t xml:space="preserve"> This move followed the proposal of Senator Charles Summer in 1864 for </w:t>
      </w:r>
      <w:r>
        <w:rPr>
          <w:lang w:val="en-GB"/>
        </w:rPr>
        <w:t>“</w:t>
      </w:r>
      <w:r w:rsidRPr="005562DE">
        <w:rPr>
          <w:lang w:val="en-GB"/>
        </w:rPr>
        <w:t>Appointment by Competitive Examinations</w:t>
      </w:r>
      <w:r>
        <w:rPr>
          <w:lang w:val="en-GB"/>
        </w:rPr>
        <w:t>”</w:t>
      </w:r>
      <w:r w:rsidRPr="005562DE">
        <w:rPr>
          <w:lang w:val="en-GB"/>
        </w:rPr>
        <w:t xml:space="preserve">. See further on this point: Robert Maranto </w:t>
      </w:r>
      <w:r w:rsidRPr="007B2FD8">
        <w:rPr>
          <w:i/>
          <w:iCs/>
          <w:lang w:val="en-GB"/>
        </w:rPr>
        <w:t>Politics and Bureaucracy in the Modern Presidency</w:t>
      </w:r>
      <w:r w:rsidRPr="005562DE">
        <w:rPr>
          <w:lang w:val="en-GB"/>
        </w:rPr>
        <w:t xml:space="preserve"> </w:t>
      </w:r>
      <w:r w:rsidR="00A627EA">
        <w:rPr>
          <w:lang w:val="en-GB"/>
        </w:rPr>
        <w:t xml:space="preserve">Westport, CT: Praeger, </w:t>
      </w:r>
      <w:r w:rsidRPr="005562DE">
        <w:rPr>
          <w:lang w:val="en-GB"/>
        </w:rPr>
        <w:t xml:space="preserve">1993 p. 12. And: Richard Rose </w:t>
      </w:r>
      <w:r w:rsidRPr="007B2FD8">
        <w:rPr>
          <w:i/>
          <w:iCs/>
          <w:lang w:val="en-GB"/>
        </w:rPr>
        <w:t>Public Employment in Western Nation</w:t>
      </w:r>
      <w:r>
        <w:rPr>
          <w:lang w:val="en-GB"/>
        </w:rPr>
        <w:t>”</w:t>
      </w:r>
      <w:r w:rsidRPr="005562DE">
        <w:rPr>
          <w:lang w:val="en-GB"/>
        </w:rPr>
        <w:t xml:space="preserve"> Cambridge: Cambridge University Press, 1985, 126 62, with Klaus Dieter Schmidt</w:t>
      </w:r>
      <w:r w:rsidRPr="005562DE">
        <w:rPr>
          <w:rtl/>
          <w:lang w:val="en-GB"/>
        </w:rPr>
        <w:t>.</w:t>
      </w:r>
    </w:p>
  </w:footnote>
  <w:footnote w:id="155">
    <w:p w14:paraId="27C56F0A" w14:textId="4D124499" w:rsidR="000D37DC" w:rsidRPr="005562DE" w:rsidRDefault="000D37DC" w:rsidP="00347D21">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See: Civil Service Reform Act. U.S.C (1978).</w:t>
      </w:r>
    </w:p>
  </w:footnote>
  <w:footnote w:id="156">
    <w:p w14:paraId="4D20C662" w14:textId="1E4155DD" w:rsidR="000D37DC" w:rsidRPr="005562DE" w:rsidRDefault="000D37DC" w:rsidP="00347D21">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See: </w:t>
      </w:r>
      <w:hyperlink r:id="rId10" w:history="1">
        <w:r w:rsidRPr="005562DE">
          <w:rPr>
            <w:rStyle w:val="Hyperlink"/>
            <w:highlight w:val="green"/>
            <w:lang w:val="en-GB"/>
          </w:rPr>
          <w:t>http://www.opm.gov/BiographyofAnIdeal/PU_CSreform.htm</w:t>
        </w:r>
      </w:hyperlink>
      <w:r w:rsidRPr="005562DE">
        <w:rPr>
          <w:highlight w:val="green"/>
          <w:lang w:val="en-GB"/>
        </w:rPr>
        <w:t>;</w:t>
      </w:r>
    </w:p>
  </w:footnote>
  <w:footnote w:id="157">
    <w:p w14:paraId="60263B8E" w14:textId="573D766C" w:rsidR="000D37DC" w:rsidRPr="005562DE" w:rsidRDefault="000D37DC" w:rsidP="00347D21">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George A. Krause </w:t>
      </w:r>
      <w:r>
        <w:rPr>
          <w:highlight w:val="green"/>
          <w:lang w:val="en-GB"/>
        </w:rPr>
        <w:t>“</w:t>
      </w:r>
      <w:r w:rsidRPr="005562DE">
        <w:rPr>
          <w:highlight w:val="green"/>
          <w:lang w:val="en-GB"/>
        </w:rPr>
        <w:t>Political Appointments, Civil Service System</w:t>
      </w:r>
      <w:r>
        <w:rPr>
          <w:highlight w:val="green"/>
          <w:lang w:val="en-GB"/>
        </w:rPr>
        <w:t>”</w:t>
      </w:r>
      <w:r w:rsidRPr="005562DE">
        <w:rPr>
          <w:highlight w:val="green"/>
          <w:lang w:val="en-GB"/>
        </w:rPr>
        <w:t xml:space="preserve">, </w:t>
      </w:r>
      <w:r w:rsidRPr="005562DE">
        <w:rPr>
          <w:i/>
          <w:iCs/>
          <w:highlight w:val="green"/>
          <w:lang w:val="en-GB"/>
        </w:rPr>
        <w:t>American Journal of Political Science</w:t>
      </w:r>
      <w:r w:rsidRPr="005562DE">
        <w:rPr>
          <w:highlight w:val="green"/>
          <w:lang w:val="en-GB"/>
        </w:rPr>
        <w:t>, V.50, Issue 3, pp.770-787, July 2006</w:t>
      </w:r>
      <w:r w:rsidRPr="005562DE">
        <w:rPr>
          <w:highlight w:val="green"/>
          <w:rtl/>
          <w:lang w:val="en-GB"/>
        </w:rPr>
        <w:t>.</w:t>
      </w:r>
    </w:p>
  </w:footnote>
  <w:footnote w:id="158">
    <w:p w14:paraId="37A8AA00" w14:textId="2717B9C3" w:rsidR="000D37DC" w:rsidRPr="005562DE" w:rsidRDefault="000D37DC" w:rsidP="00640FC4">
      <w:pPr>
        <w:pStyle w:val="FootnoteText"/>
        <w:bidi w:val="0"/>
        <w:jc w:val="both"/>
        <w:rPr>
          <w:lang w:val="en-GB"/>
        </w:rPr>
      </w:pPr>
      <w:r w:rsidRPr="005562DE">
        <w:rPr>
          <w:rStyle w:val="FootnoteReference"/>
          <w:lang w:val="en-GB"/>
        </w:rPr>
        <w:footnoteRef/>
      </w:r>
      <w:r w:rsidRPr="005562DE">
        <w:rPr>
          <w:rtl/>
          <w:lang w:val="en-GB"/>
        </w:rPr>
        <w:t xml:space="preserve"> </w:t>
      </w:r>
      <w:r w:rsidRPr="005562DE">
        <w:rPr>
          <w:lang w:val="en-GB"/>
        </w:rPr>
        <w:t xml:space="preserve">Five groups have been defined in this setting: </w:t>
      </w:r>
      <w:r>
        <w:rPr>
          <w:lang w:val="en-GB"/>
        </w:rPr>
        <w:t xml:space="preserve">African American, </w:t>
      </w:r>
      <w:r w:rsidRPr="005562DE">
        <w:rPr>
          <w:lang w:val="en-GB"/>
        </w:rPr>
        <w:t>Hispanic</w:t>
      </w:r>
      <w:r w:rsidRPr="005562DE">
        <w:rPr>
          <w:rtl/>
          <w:lang w:val="en-GB"/>
        </w:rPr>
        <w:t>,</w:t>
      </w:r>
      <w:r>
        <w:rPr>
          <w:lang w:val="en-GB"/>
        </w:rPr>
        <w:t xml:space="preserve"> </w:t>
      </w:r>
      <w:r w:rsidRPr="005562DE">
        <w:rPr>
          <w:lang w:val="en-GB"/>
        </w:rPr>
        <w:t>Asian/Pacific Islander</w:t>
      </w:r>
      <w:r>
        <w:rPr>
          <w:lang w:val="en-GB"/>
        </w:rPr>
        <w:t xml:space="preserve">, </w:t>
      </w:r>
      <w:r w:rsidRPr="005562DE">
        <w:rPr>
          <w:lang w:val="en-GB"/>
        </w:rPr>
        <w:t>Native American</w:t>
      </w:r>
      <w:r>
        <w:rPr>
          <w:lang w:val="en-GB"/>
        </w:rPr>
        <w:t xml:space="preserve">, </w:t>
      </w:r>
      <w:r w:rsidRPr="005562DE">
        <w:rPr>
          <w:lang w:val="en-GB"/>
        </w:rPr>
        <w:t>non-Hispanic</w:t>
      </w:r>
      <w:r>
        <w:rPr>
          <w:lang w:val="en-GB"/>
        </w:rPr>
        <w:t xml:space="preserve"> </w:t>
      </w:r>
      <w:r w:rsidRPr="005562DE">
        <w:rPr>
          <w:lang w:val="en-GB"/>
        </w:rPr>
        <w:t>/</w:t>
      </w:r>
      <w:r>
        <w:rPr>
          <w:lang w:val="en-GB"/>
        </w:rPr>
        <w:t xml:space="preserve"> </w:t>
      </w:r>
      <w:r w:rsidRPr="005562DE">
        <w:rPr>
          <w:lang w:val="en-GB"/>
        </w:rPr>
        <w:t>Multiracial. Women and people with disabilities are not defined as minority groups, and there are independent encouragement programs for them</w:t>
      </w:r>
      <w:r w:rsidR="00A627EA">
        <w:rPr>
          <w:lang w:val="en-GB"/>
        </w:rPr>
        <w:t>. T</w:t>
      </w:r>
      <w:r w:rsidRPr="005562DE">
        <w:rPr>
          <w:lang w:val="en-GB"/>
        </w:rPr>
        <w:t>hus, for example, in the case of people with disabilities</w:t>
      </w:r>
      <w:r w:rsidR="00A627EA">
        <w:rPr>
          <w:lang w:val="en-GB"/>
        </w:rPr>
        <w:t>,</w:t>
      </w:r>
      <w:r w:rsidRPr="005562DE">
        <w:rPr>
          <w:lang w:val="en-GB"/>
        </w:rPr>
        <w:t xml:space="preserve"> a presidential Executive Order has been signed: United States Government Accountability Office, </w:t>
      </w:r>
      <w:r>
        <w:rPr>
          <w:lang w:val="en-GB"/>
        </w:rPr>
        <w:t>“</w:t>
      </w:r>
      <w:r w:rsidRPr="005562DE">
        <w:rPr>
          <w:lang w:val="en-GB"/>
        </w:rPr>
        <w:t>Participant-Identified Leading Practices That Could Increase the Employment of Individuals with Disabilities in the Federal Workforce</w:t>
      </w:r>
      <w:r>
        <w:rPr>
          <w:lang w:val="en-GB"/>
        </w:rPr>
        <w:t>”</w:t>
      </w:r>
      <w:r w:rsidRPr="005562DE">
        <w:rPr>
          <w:lang w:val="en-GB"/>
        </w:rPr>
        <w:t>, p. 6, and in 2006 a program aim</w:t>
      </w:r>
      <w:r>
        <w:rPr>
          <w:lang w:val="en-GB"/>
        </w:rPr>
        <w:t>ed</w:t>
      </w:r>
      <w:r w:rsidRPr="005562DE">
        <w:rPr>
          <w:lang w:val="en-GB"/>
        </w:rPr>
        <w:t xml:space="preserve"> at promoting their representation in the Federal Government was declared: Leadership for the Employment of Americans with Disabilities (LEAD).</w:t>
      </w:r>
    </w:p>
  </w:footnote>
  <w:footnote w:id="159">
    <w:p w14:paraId="38262E70" w14:textId="51CB14BE" w:rsidR="000D37DC" w:rsidRPr="005562DE" w:rsidRDefault="000D37DC" w:rsidP="00A61C8A">
      <w:pPr>
        <w:pStyle w:val="FootnoteText"/>
        <w:bidi w:val="0"/>
        <w:jc w:val="both"/>
        <w:rPr>
          <w:lang w:val="en-GB"/>
        </w:rPr>
      </w:pPr>
      <w:r w:rsidRPr="005562DE">
        <w:rPr>
          <w:rStyle w:val="FootnoteReference"/>
          <w:lang w:val="en-GB"/>
        </w:rPr>
        <w:footnoteRef/>
      </w:r>
      <w:r w:rsidRPr="005562DE">
        <w:rPr>
          <w:rtl/>
          <w:lang w:val="en-GB"/>
        </w:rPr>
        <w:t xml:space="preserve"> </w:t>
      </w:r>
      <w:r w:rsidRPr="005562DE">
        <w:rPr>
          <w:highlight w:val="green"/>
          <w:lang w:val="en-GB"/>
        </w:rPr>
        <w:t xml:space="preserve">See: </w:t>
      </w:r>
      <w:r w:rsidRPr="005562DE">
        <w:rPr>
          <w:i/>
          <w:iCs/>
          <w:highlight w:val="green"/>
          <w:lang w:val="en-GB"/>
        </w:rPr>
        <w:t>Elrod v. Burns</w:t>
      </w:r>
      <w:r w:rsidRPr="005562DE">
        <w:rPr>
          <w:highlight w:val="green"/>
          <w:lang w:val="en-GB"/>
        </w:rPr>
        <w:t xml:space="preserve"> 427 US 347 (1976); </w:t>
      </w:r>
      <w:r w:rsidRPr="005562DE">
        <w:rPr>
          <w:i/>
          <w:iCs/>
          <w:highlight w:val="green"/>
          <w:lang w:val="en-GB"/>
        </w:rPr>
        <w:t>Cf</w:t>
      </w:r>
      <w:r w:rsidRPr="005562DE">
        <w:rPr>
          <w:highlight w:val="green"/>
          <w:lang w:val="en-GB"/>
        </w:rPr>
        <w:t xml:space="preserve">. </w:t>
      </w:r>
      <w:r w:rsidRPr="005562DE">
        <w:rPr>
          <w:i/>
          <w:iCs/>
          <w:highlight w:val="green"/>
          <w:lang w:val="en-GB"/>
        </w:rPr>
        <w:t>Branti v. Finkel</w:t>
      </w:r>
      <w:r w:rsidRPr="005562DE">
        <w:rPr>
          <w:highlight w:val="green"/>
          <w:lang w:val="en-GB"/>
        </w:rPr>
        <w:t>, 445 U.S. 507 (1980).</w:t>
      </w:r>
    </w:p>
  </w:footnote>
  <w:footnote w:id="160">
    <w:p w14:paraId="1D3F8046" w14:textId="4A7CB698" w:rsidR="000D37DC" w:rsidRPr="005562DE" w:rsidRDefault="000D37DC" w:rsidP="00347D21">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George A. Krause, David E. Levis, James W. Douglas </w:t>
      </w:r>
      <w:r>
        <w:rPr>
          <w:i/>
          <w:iCs/>
          <w:highlight w:val="green"/>
          <w:lang w:val="en-GB"/>
        </w:rPr>
        <w:t>“</w:t>
      </w:r>
      <w:r w:rsidRPr="005562DE">
        <w:rPr>
          <w:i/>
          <w:iCs/>
          <w:highlight w:val="green"/>
          <w:lang w:val="en-GB"/>
        </w:rPr>
        <w:t>Political Appointments, Civil Service System, and Bureaucratic Competence; Organizional Balancing and Executive Branch Revenue Forecasts in the American Stats</w:t>
      </w:r>
      <w:r>
        <w:rPr>
          <w:i/>
          <w:iCs/>
          <w:highlight w:val="green"/>
          <w:lang w:val="en-GB"/>
        </w:rPr>
        <w:t>”</w:t>
      </w:r>
      <w:r w:rsidRPr="005562DE">
        <w:rPr>
          <w:b/>
          <w:bCs/>
          <w:highlight w:val="green"/>
          <w:lang w:val="en-GB"/>
        </w:rPr>
        <w:t>.</w:t>
      </w:r>
      <w:r w:rsidRPr="005562DE">
        <w:rPr>
          <w:highlight w:val="green"/>
          <w:lang w:val="en-GB"/>
        </w:rPr>
        <w:t xml:space="preserve"> American Journal of </w:t>
      </w:r>
      <w:r w:rsidRPr="005562DE">
        <w:rPr>
          <w:vanish/>
          <w:highlight w:val="green"/>
          <w:lang w:val="en-GB"/>
        </w:rPr>
        <w:br/>
      </w:r>
      <w:r w:rsidRPr="005562DE">
        <w:rPr>
          <w:highlight w:val="green"/>
          <w:lang w:val="en-GB"/>
        </w:rPr>
        <w:t>Political Science, 50: 770-787 (2006)</w:t>
      </w:r>
      <w:r w:rsidRPr="005562DE">
        <w:rPr>
          <w:highlight w:val="green"/>
          <w:rtl/>
          <w:lang w:val="en-GB"/>
        </w:rPr>
        <w:t>.</w:t>
      </w:r>
    </w:p>
  </w:footnote>
  <w:footnote w:id="161">
    <w:p w14:paraId="1EA66BD3" w14:textId="38E72964" w:rsidR="000D37DC" w:rsidRPr="005562DE" w:rsidRDefault="000D37DC" w:rsidP="00347D21">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Article II Section 2, Clause 3</w:t>
      </w:r>
      <w:r w:rsidRPr="005562DE">
        <w:rPr>
          <w:highlight w:val="green"/>
          <w:rtl/>
          <w:lang w:val="en-GB"/>
        </w:rPr>
        <w:t>.</w:t>
      </w:r>
    </w:p>
  </w:footnote>
  <w:footnote w:id="162">
    <w:p w14:paraId="44F63B33" w14:textId="0A4F3D64" w:rsidR="000D37DC" w:rsidRPr="005562DE" w:rsidRDefault="000D37DC" w:rsidP="00640FC4">
      <w:pPr>
        <w:pStyle w:val="FootnoteText"/>
        <w:bidi w:val="0"/>
        <w:jc w:val="both"/>
        <w:rPr>
          <w:lang w:val="en-GB"/>
        </w:rPr>
      </w:pPr>
      <w:r w:rsidRPr="005562DE">
        <w:rPr>
          <w:rStyle w:val="FootnoteReference"/>
          <w:lang w:val="en-GB"/>
        </w:rPr>
        <w:footnoteRef/>
      </w:r>
      <w:r>
        <w:rPr>
          <w:lang w:val="en-GB"/>
        </w:rPr>
        <w:t xml:space="preserve"> </w:t>
      </w:r>
      <w:r w:rsidRPr="005562DE">
        <w:rPr>
          <w:lang w:val="en-GB"/>
        </w:rPr>
        <w:t>These are referred to as</w:t>
      </w:r>
      <w:r w:rsidR="00001F87">
        <w:rPr>
          <w:lang w:val="en-GB"/>
        </w:rPr>
        <w:t xml:space="preserve"> r</w:t>
      </w:r>
      <w:r w:rsidRPr="005562DE">
        <w:rPr>
          <w:lang w:val="en-GB"/>
        </w:rPr>
        <w:t xml:space="preserve">ecess </w:t>
      </w:r>
      <w:r w:rsidR="00001F87">
        <w:rPr>
          <w:lang w:val="en-GB"/>
        </w:rPr>
        <w:t>a</w:t>
      </w:r>
      <w:r w:rsidRPr="005562DE">
        <w:rPr>
          <w:lang w:val="en-GB"/>
        </w:rPr>
        <w:t>ppointments, and this appointment process is regulated by the Constitution: Article 2</w:t>
      </w:r>
      <w:r w:rsidR="00001F87">
        <w:rPr>
          <w:lang w:val="en-GB"/>
        </w:rPr>
        <w:t>,</w:t>
      </w:r>
      <w:r w:rsidRPr="005562DE">
        <w:rPr>
          <w:lang w:val="en-GB"/>
        </w:rPr>
        <w:t xml:space="preserve"> Section 2.</w:t>
      </w:r>
    </w:p>
  </w:footnote>
  <w:footnote w:id="163">
    <w:p w14:paraId="33E27F1A" w14:textId="5EA296F6" w:rsidR="000D37DC" w:rsidRPr="005562DE" w:rsidRDefault="000D37DC" w:rsidP="00347D21">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5 U.S.C. § 2301 </w:t>
      </w:r>
      <w:proofErr w:type="gramStart"/>
      <w:r w:rsidRPr="005562DE">
        <w:rPr>
          <w:highlight w:val="green"/>
          <w:lang w:val="en-GB"/>
        </w:rPr>
        <w:t>b(</w:t>
      </w:r>
      <w:proofErr w:type="gramEnd"/>
      <w:r w:rsidRPr="005562DE">
        <w:rPr>
          <w:highlight w:val="green"/>
          <w:lang w:val="en-GB"/>
        </w:rPr>
        <w:t>1) and b(2) and § 2302</w:t>
      </w:r>
      <w:r w:rsidRPr="005562DE">
        <w:rPr>
          <w:highlight w:val="green"/>
          <w:rtl/>
          <w:lang w:val="en-GB"/>
        </w:rPr>
        <w:t>.</w:t>
      </w:r>
    </w:p>
  </w:footnote>
  <w:footnote w:id="164">
    <w:p w14:paraId="07867989" w14:textId="1B811AB6" w:rsidR="000D37DC" w:rsidRPr="005562DE" w:rsidRDefault="000D37DC" w:rsidP="00347D21">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Gary Lawson, </w:t>
      </w:r>
      <w:r>
        <w:rPr>
          <w:highlight w:val="green"/>
          <w:lang w:val="en-GB"/>
        </w:rPr>
        <w:t>“</w:t>
      </w:r>
      <w:r w:rsidRPr="005562DE">
        <w:rPr>
          <w:highlight w:val="green"/>
          <w:lang w:val="en-GB"/>
        </w:rPr>
        <w:t>The rise and rise of the administrative state</w:t>
      </w:r>
      <w:r>
        <w:rPr>
          <w:highlight w:val="green"/>
          <w:lang w:val="en-GB"/>
        </w:rPr>
        <w:t>”</w:t>
      </w:r>
      <w:r w:rsidRPr="005562DE">
        <w:rPr>
          <w:highlight w:val="green"/>
          <w:lang w:val="en-GB"/>
        </w:rPr>
        <w:t xml:space="preserve"> 107 </w:t>
      </w:r>
      <w:r w:rsidRPr="005562DE">
        <w:rPr>
          <w:i/>
          <w:iCs/>
          <w:highlight w:val="green"/>
          <w:lang w:val="en-GB"/>
        </w:rPr>
        <w:t>Harv. L. Rev</w:t>
      </w:r>
      <w:r w:rsidRPr="005562DE">
        <w:rPr>
          <w:highlight w:val="green"/>
          <w:lang w:val="en-GB"/>
        </w:rPr>
        <w:t>. 1231, 1241-1245 (1994)</w:t>
      </w:r>
      <w:r w:rsidRPr="005562DE">
        <w:rPr>
          <w:highlight w:val="green"/>
          <w:rtl/>
          <w:lang w:val="en-GB"/>
        </w:rPr>
        <w:t>.</w:t>
      </w:r>
    </w:p>
  </w:footnote>
  <w:footnote w:id="165">
    <w:p w14:paraId="61F3AA8B" w14:textId="2473AD9F" w:rsidR="000D37DC" w:rsidRPr="005562DE" w:rsidRDefault="000D37DC" w:rsidP="00347D21">
      <w:pPr>
        <w:pStyle w:val="FootnoteText"/>
        <w:bidi w:val="0"/>
        <w:jc w:val="both"/>
        <w:rPr>
          <w:highlight w:val="green"/>
          <w:lang w:val="en-GB"/>
        </w:rPr>
      </w:pPr>
      <w:r w:rsidRPr="005562DE">
        <w:rPr>
          <w:rStyle w:val="FootnoteReference"/>
          <w:highlight w:val="green"/>
          <w:lang w:val="en-GB"/>
        </w:rPr>
        <w:footnoteRef/>
      </w:r>
      <w:r w:rsidRPr="005562DE">
        <w:rPr>
          <w:highlight w:val="green"/>
          <w:lang w:val="en-GB"/>
        </w:rPr>
        <w:t xml:space="preserve"> U.S. Const. art. I, § 2, Cl. 2-6; Amend. XII, XX, XXII-XXIII &amp; XXV</w:t>
      </w:r>
      <w:r w:rsidRPr="005562DE">
        <w:rPr>
          <w:highlight w:val="green"/>
          <w:rtl/>
          <w:lang w:val="en-GB"/>
        </w:rPr>
        <w:t>.</w:t>
      </w:r>
    </w:p>
  </w:footnote>
  <w:footnote w:id="166">
    <w:p w14:paraId="57803745" w14:textId="2A0A9E68" w:rsidR="000D37DC" w:rsidRPr="005562DE" w:rsidRDefault="000D37DC"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i/>
          <w:iCs/>
          <w:highlight w:val="green"/>
          <w:lang w:val="en-GB"/>
        </w:rPr>
        <w:t>Id</w:t>
      </w:r>
      <w:r w:rsidRPr="005562DE">
        <w:rPr>
          <w:highlight w:val="green"/>
          <w:lang w:val="en-GB"/>
        </w:rPr>
        <w:t xml:space="preserve">. Art. I, § 3, cl 1-3; </w:t>
      </w:r>
      <w:r w:rsidRPr="005562DE">
        <w:rPr>
          <w:i/>
          <w:iCs/>
          <w:highlight w:val="green"/>
          <w:lang w:val="en-GB"/>
        </w:rPr>
        <w:t xml:space="preserve">id. </w:t>
      </w:r>
      <w:r w:rsidRPr="005562DE">
        <w:rPr>
          <w:highlight w:val="green"/>
          <w:lang w:val="en-GB"/>
        </w:rPr>
        <w:t xml:space="preserve">Art. I §, c. 1 art. I § 5, cl. 1; </w:t>
      </w:r>
      <w:r w:rsidRPr="005562DE">
        <w:rPr>
          <w:i/>
          <w:iCs/>
          <w:highlight w:val="green"/>
          <w:lang w:val="en-GB"/>
        </w:rPr>
        <w:t>id</w:t>
      </w:r>
      <w:r w:rsidRPr="005562DE">
        <w:rPr>
          <w:highlight w:val="green"/>
          <w:lang w:val="en-GB"/>
        </w:rPr>
        <w:t xml:space="preserve">. Art. I, § 6, cl. 2; </w:t>
      </w:r>
      <w:r w:rsidRPr="005562DE">
        <w:rPr>
          <w:i/>
          <w:iCs/>
          <w:highlight w:val="green"/>
          <w:lang w:val="en-GB"/>
        </w:rPr>
        <w:t>id</w:t>
      </w:r>
      <w:r w:rsidRPr="005562DE">
        <w:rPr>
          <w:highlight w:val="green"/>
          <w:lang w:val="en-GB"/>
        </w:rPr>
        <w:t>. Amend. XVII</w:t>
      </w:r>
      <w:r w:rsidRPr="005562DE">
        <w:rPr>
          <w:highlight w:val="green"/>
          <w:rtl/>
          <w:lang w:val="en-GB"/>
        </w:rPr>
        <w:t>.</w:t>
      </w:r>
    </w:p>
  </w:footnote>
  <w:footnote w:id="167">
    <w:p w14:paraId="10B11E79" w14:textId="7D0D88E0" w:rsidR="000D37DC" w:rsidRPr="005562DE" w:rsidRDefault="000D37DC"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U.S. Const. art. II, § 2, cl. 2</w:t>
      </w:r>
      <w:r w:rsidRPr="005562DE">
        <w:rPr>
          <w:highlight w:val="green"/>
          <w:rtl/>
          <w:lang w:val="en-GB"/>
        </w:rPr>
        <w:t>.</w:t>
      </w:r>
    </w:p>
  </w:footnote>
  <w:footnote w:id="168">
    <w:p w14:paraId="0DDA6A86" w14:textId="38133799" w:rsidR="000D37DC" w:rsidRPr="005562DE" w:rsidRDefault="000D37DC"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Risa Lieberwitz, </w:t>
      </w:r>
      <w:r>
        <w:rPr>
          <w:highlight w:val="green"/>
          <w:lang w:val="en-GB"/>
        </w:rPr>
        <w:t>“</w:t>
      </w:r>
      <w:r w:rsidRPr="005562DE">
        <w:rPr>
          <w:highlight w:val="green"/>
          <w:lang w:val="en-GB"/>
        </w:rPr>
        <w:t>United States Employment Discrimination Law in the United States: On the Road to Equality?</w:t>
      </w:r>
      <w:r>
        <w:rPr>
          <w:highlight w:val="green"/>
          <w:lang w:val="en-GB"/>
        </w:rPr>
        <w:t>”</w:t>
      </w:r>
      <w:r w:rsidRPr="005562DE">
        <w:rPr>
          <w:highlight w:val="green"/>
          <w:lang w:val="en-GB"/>
        </w:rPr>
        <w:t xml:space="preserve"> in: New Developments in Employment Discrimination law JILPT Report No. 6 (2008) 1.</w:t>
      </w:r>
    </w:p>
  </w:footnote>
  <w:footnote w:id="169">
    <w:p w14:paraId="179EA3D7" w14:textId="5DE582AF" w:rsidR="000D37DC" w:rsidRPr="005562DE" w:rsidRDefault="000D37DC"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42 U.S.C 2000e-2(a)(1)</w:t>
      </w:r>
      <w:r w:rsidRPr="005562DE">
        <w:rPr>
          <w:highlight w:val="green"/>
          <w:rtl/>
          <w:lang w:val="en-GB"/>
        </w:rPr>
        <w:t>.</w:t>
      </w:r>
    </w:p>
  </w:footnote>
  <w:footnote w:id="170">
    <w:p w14:paraId="48027AC3" w14:textId="7705735A" w:rsidR="000D37DC" w:rsidRPr="005562DE" w:rsidRDefault="000D37DC" w:rsidP="00A61C8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The National Labor Relations Act of 1935 (49 Stat. 449) </w:t>
      </w:r>
      <w:hyperlink r:id="rId11" w:tooltip="Title 29 of the United States Code" w:history="1">
        <w:r w:rsidRPr="005562DE">
          <w:rPr>
            <w:rStyle w:val="Hyperlink"/>
            <w:highlight w:val="green"/>
            <w:lang w:val="en-GB"/>
          </w:rPr>
          <w:t>29 U.S.C.</w:t>
        </w:r>
      </w:hyperlink>
      <w:r w:rsidRPr="005562DE">
        <w:rPr>
          <w:highlight w:val="green"/>
          <w:lang w:val="en-GB"/>
        </w:rPr>
        <w:t> </w:t>
      </w:r>
      <w:hyperlink r:id="rId12" w:history="1">
        <w:r w:rsidRPr="005562DE">
          <w:rPr>
            <w:rStyle w:val="Hyperlink"/>
            <w:highlight w:val="green"/>
            <w:lang w:val="en-GB"/>
          </w:rPr>
          <w:t>§ 151-169</w:t>
        </w:r>
      </w:hyperlink>
      <w:r w:rsidRPr="005562DE">
        <w:rPr>
          <w:highlight w:val="green"/>
          <w:rtl/>
          <w:lang w:val="en-GB"/>
        </w:rPr>
        <w:t>.</w:t>
      </w:r>
    </w:p>
  </w:footnote>
  <w:footnote w:id="171">
    <w:p w14:paraId="6BFC34FC" w14:textId="67032ADE" w:rsidR="000D37DC" w:rsidRPr="005562DE" w:rsidRDefault="000D37DC" w:rsidP="00347D21">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President Kennedy</w:t>
      </w:r>
      <w:r>
        <w:rPr>
          <w:highlight w:val="green"/>
          <w:lang w:val="en-GB"/>
        </w:rPr>
        <w:t>’</w:t>
      </w:r>
      <w:r w:rsidRPr="005562DE">
        <w:rPr>
          <w:highlight w:val="green"/>
          <w:lang w:val="en-GB"/>
        </w:rPr>
        <w:t>s Executive Order 10,925</w:t>
      </w:r>
      <w:r w:rsidRPr="005562DE">
        <w:rPr>
          <w:highlight w:val="green"/>
          <w:rtl/>
          <w:lang w:val="en-GB"/>
        </w:rPr>
        <w:t>.</w:t>
      </w:r>
    </w:p>
  </w:footnote>
  <w:footnote w:id="172">
    <w:p w14:paraId="0887DF50" w14:textId="6250BBE1" w:rsidR="000D37DC" w:rsidRPr="005562DE" w:rsidRDefault="000D37DC"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President Johnson</w:t>
      </w:r>
      <w:r>
        <w:rPr>
          <w:highlight w:val="green"/>
          <w:lang w:val="en-GB"/>
        </w:rPr>
        <w:t>’</w:t>
      </w:r>
      <w:r w:rsidRPr="005562DE">
        <w:rPr>
          <w:highlight w:val="green"/>
          <w:lang w:val="en-GB"/>
        </w:rPr>
        <w:t>s Executive Order 11,375, 32 Fed. Reg. 14,303 (1967)</w:t>
      </w:r>
      <w:r w:rsidRPr="005562DE">
        <w:rPr>
          <w:highlight w:val="green"/>
          <w:rtl/>
          <w:lang w:val="en-GB"/>
        </w:rPr>
        <w:t>.</w:t>
      </w:r>
    </w:p>
  </w:footnote>
  <w:footnote w:id="173">
    <w:p w14:paraId="3029CE1C" w14:textId="391050E2" w:rsidR="000D37DC" w:rsidRPr="005562DE" w:rsidRDefault="000D37DC"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President Johnson</w:t>
      </w:r>
      <w:r>
        <w:rPr>
          <w:highlight w:val="green"/>
          <w:lang w:val="en-GB"/>
        </w:rPr>
        <w:t>’</w:t>
      </w:r>
      <w:r w:rsidRPr="005562DE">
        <w:rPr>
          <w:highlight w:val="green"/>
          <w:lang w:val="en-GB"/>
        </w:rPr>
        <w:t>s Executive Order 11,246, 30 Fed. Reg. 12,319 (1965)</w:t>
      </w:r>
      <w:r w:rsidRPr="005562DE">
        <w:rPr>
          <w:highlight w:val="green"/>
          <w:rtl/>
          <w:lang w:val="en-GB"/>
        </w:rPr>
        <w:t>.</w:t>
      </w:r>
    </w:p>
  </w:footnote>
  <w:footnote w:id="174">
    <w:p w14:paraId="7F8BD89B" w14:textId="6F44277C" w:rsidR="000D37DC" w:rsidRPr="005562DE" w:rsidRDefault="000D37DC"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John F. Kennedy, </w:t>
      </w:r>
      <w:r>
        <w:rPr>
          <w:highlight w:val="green"/>
          <w:lang w:val="en-GB"/>
        </w:rPr>
        <w:t>“</w:t>
      </w:r>
      <w:r w:rsidRPr="005562DE">
        <w:rPr>
          <w:highlight w:val="green"/>
          <w:lang w:val="en-GB"/>
        </w:rPr>
        <w:t>Statement by the President Upon Signing Order Establishing the President</w:t>
      </w:r>
      <w:r>
        <w:rPr>
          <w:highlight w:val="green"/>
          <w:lang w:val="en-GB"/>
        </w:rPr>
        <w:t>’</w:t>
      </w:r>
      <w:r w:rsidRPr="005562DE">
        <w:rPr>
          <w:highlight w:val="green"/>
          <w:lang w:val="en-GB"/>
        </w:rPr>
        <w:t>s Committee on Equal Opportunity Employment,</w:t>
      </w:r>
      <w:r>
        <w:rPr>
          <w:highlight w:val="green"/>
          <w:lang w:val="en-GB"/>
        </w:rPr>
        <w:t>”</w:t>
      </w:r>
      <w:r w:rsidRPr="005562DE">
        <w:rPr>
          <w:highlight w:val="green"/>
          <w:lang w:val="en-GB"/>
        </w:rPr>
        <w:t xml:space="preserve"> March 7, 1961, in John T. Woolley and Gerhard Peters, The American Presidency Project [online], Santa Barbara, CA. </w:t>
      </w:r>
      <w:hyperlink r:id="rId13" w:history="1">
        <w:r w:rsidRPr="005562DE">
          <w:rPr>
            <w:rStyle w:val="Hyperlink"/>
            <w:highlight w:val="green"/>
            <w:lang w:val="en-GB"/>
          </w:rPr>
          <w:t>http://www.presidency.ucsb.edu/ws/?pid=8520</w:t>
        </w:r>
      </w:hyperlink>
      <w:r w:rsidRPr="005562DE">
        <w:rPr>
          <w:highlight w:val="green"/>
          <w:rtl/>
          <w:lang w:val="en-GB"/>
        </w:rPr>
        <w:t>.</w:t>
      </w:r>
    </w:p>
  </w:footnote>
  <w:footnote w:id="175">
    <w:p w14:paraId="5E52B7CF" w14:textId="4487AA41" w:rsidR="000D37DC" w:rsidRPr="005562DE" w:rsidRDefault="000D37DC"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Darien A. McWhirter The End of Affirmative Action: Where Do We Go </w:t>
      </w:r>
      <w:proofErr w:type="gramStart"/>
      <w:r w:rsidRPr="005562DE">
        <w:rPr>
          <w:highlight w:val="green"/>
          <w:lang w:val="en-GB"/>
        </w:rPr>
        <w:t>From</w:t>
      </w:r>
      <w:proofErr w:type="gramEnd"/>
      <w:r w:rsidRPr="005562DE">
        <w:rPr>
          <w:highlight w:val="green"/>
          <w:lang w:val="en-GB"/>
        </w:rPr>
        <w:t xml:space="preserve"> Here? (New York, 1996) 44</w:t>
      </w:r>
    </w:p>
  </w:footnote>
  <w:footnote w:id="176">
    <w:p w14:paraId="727AD374" w14:textId="173C4416" w:rsidR="000D37DC" w:rsidRPr="005562DE" w:rsidRDefault="000D37DC" w:rsidP="002F6AE3">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See, e.g.: FDR issued EO 8802 and the Fair Employment Practice Committee (FEPC)</w:t>
      </w:r>
      <w:r w:rsidRPr="005562DE">
        <w:rPr>
          <w:highlight w:val="green"/>
          <w:rtl/>
          <w:lang w:val="en-GB"/>
        </w:rPr>
        <w:t>.</w:t>
      </w:r>
    </w:p>
  </w:footnote>
  <w:footnote w:id="177">
    <w:p w14:paraId="7640CD2F" w14:textId="336AA234" w:rsidR="000D37DC" w:rsidRPr="005562DE" w:rsidRDefault="000D37DC" w:rsidP="002F6AE3">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Anne Peters </w:t>
      </w:r>
      <w:r w:rsidRPr="005562DE">
        <w:rPr>
          <w:i/>
          <w:iCs/>
          <w:highlight w:val="green"/>
          <w:lang w:val="en-GB"/>
        </w:rPr>
        <w:t>Women, Quotas and Constitutions</w:t>
      </w:r>
      <w:r w:rsidRPr="005562DE">
        <w:rPr>
          <w:highlight w:val="green"/>
          <w:lang w:val="en-GB"/>
        </w:rPr>
        <w:t xml:space="preserve"> (1999) 32</w:t>
      </w:r>
    </w:p>
  </w:footnote>
  <w:footnote w:id="178">
    <w:p w14:paraId="34E35096" w14:textId="6999C469" w:rsidR="000D37DC" w:rsidRPr="005562DE" w:rsidRDefault="000D37DC" w:rsidP="002F6AE3">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President</w:t>
      </w:r>
      <w:r>
        <w:rPr>
          <w:highlight w:val="green"/>
          <w:lang w:val="en-GB"/>
        </w:rPr>
        <w:t>’</w:t>
      </w:r>
      <w:r w:rsidRPr="005562DE">
        <w:rPr>
          <w:highlight w:val="green"/>
          <w:lang w:val="en-GB"/>
        </w:rPr>
        <w:t>s Committee on Equal Employment Opportunity</w:t>
      </w:r>
      <w:r w:rsidRPr="005562DE">
        <w:rPr>
          <w:highlight w:val="green"/>
          <w:rtl/>
          <w:lang w:val="en-GB"/>
        </w:rPr>
        <w:t>.</w:t>
      </w:r>
    </w:p>
  </w:footnote>
  <w:footnote w:id="179">
    <w:p w14:paraId="5BF585CB" w14:textId="7B89D18A" w:rsidR="000D37DC" w:rsidRPr="005562DE" w:rsidRDefault="000D37DC" w:rsidP="002F6AE3">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Plans for Progress. For more detail, see: PCEED, </w:t>
      </w:r>
      <w:r w:rsidRPr="005562DE">
        <w:rPr>
          <w:i/>
          <w:iCs/>
          <w:highlight w:val="green"/>
          <w:lang w:val="en-GB"/>
        </w:rPr>
        <w:t xml:space="preserve">Information </w:t>
      </w:r>
      <w:r w:rsidRPr="005562DE">
        <w:rPr>
          <w:highlight w:val="green"/>
          <w:lang w:val="en-GB"/>
        </w:rPr>
        <w:t xml:space="preserve">Newsletter, June 1961; Graham, </w:t>
      </w:r>
      <w:r w:rsidRPr="005562DE">
        <w:rPr>
          <w:i/>
          <w:iCs/>
          <w:highlight w:val="green"/>
          <w:lang w:val="en-GB"/>
        </w:rPr>
        <w:t xml:space="preserve">The Civil Rights Era, </w:t>
      </w:r>
      <w:r w:rsidRPr="005562DE">
        <w:rPr>
          <w:highlight w:val="green"/>
          <w:lang w:val="en-GB"/>
        </w:rPr>
        <w:t>47-49</w:t>
      </w:r>
      <w:r w:rsidRPr="005562DE">
        <w:rPr>
          <w:i/>
          <w:iCs/>
          <w:highlight w:val="green"/>
          <w:rtl/>
          <w:lang w:val="en-GB"/>
        </w:rPr>
        <w:t>.</w:t>
      </w:r>
    </w:p>
  </w:footnote>
  <w:footnote w:id="180">
    <w:p w14:paraId="3964A711" w14:textId="5BA3CEC8" w:rsidR="000D37DC" w:rsidRPr="005562DE" w:rsidRDefault="000D37DC" w:rsidP="002F6AE3">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Moreno, </w:t>
      </w:r>
      <w:r w:rsidRPr="005562DE">
        <w:rPr>
          <w:i/>
          <w:iCs/>
          <w:highlight w:val="green"/>
          <w:lang w:val="en-GB"/>
        </w:rPr>
        <w:t>From Direct Action to Affirmative Action</w:t>
      </w:r>
      <w:r w:rsidRPr="005562DE">
        <w:rPr>
          <w:highlight w:val="green"/>
          <w:lang w:val="en-GB"/>
        </w:rPr>
        <w:t>, 191-92</w:t>
      </w:r>
      <w:r w:rsidRPr="005562DE">
        <w:rPr>
          <w:highlight w:val="green"/>
          <w:rtl/>
          <w:lang w:val="en-GB"/>
        </w:rPr>
        <w:t>.</w:t>
      </w:r>
    </w:p>
  </w:footnote>
  <w:footnote w:id="181">
    <w:p w14:paraId="36D58681" w14:textId="3640C412" w:rsidR="000D37DC" w:rsidRPr="005562DE" w:rsidRDefault="000D37DC" w:rsidP="00A61C8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Report to the President by PCEEO, Nov. 26, 1963, see: Moreno, </w:t>
      </w:r>
      <w:r w:rsidRPr="005562DE">
        <w:rPr>
          <w:i/>
          <w:iCs/>
          <w:highlight w:val="green"/>
          <w:lang w:val="en-GB"/>
        </w:rPr>
        <w:t>From Direct Action to Affirmative</w:t>
      </w:r>
      <w:r w:rsidRPr="005562DE">
        <w:rPr>
          <w:highlight w:val="green"/>
          <w:vertAlign w:val="superscript"/>
          <w:lang w:val="en-GB"/>
        </w:rPr>
        <w:footnoteRef/>
      </w:r>
      <w:r w:rsidRPr="005562DE">
        <w:rPr>
          <w:i/>
          <w:iCs/>
          <w:highlight w:val="green"/>
          <w:lang w:val="en-GB"/>
        </w:rPr>
        <w:t xml:space="preserve"> Action</w:t>
      </w:r>
      <w:r w:rsidRPr="005562DE">
        <w:rPr>
          <w:highlight w:val="green"/>
          <w:lang w:val="en-GB"/>
        </w:rPr>
        <w:t>, 193</w:t>
      </w:r>
      <w:r w:rsidRPr="005562DE">
        <w:rPr>
          <w:highlight w:val="green"/>
          <w:rtl/>
          <w:lang w:val="en-GB"/>
        </w:rPr>
        <w:t>.</w:t>
      </w:r>
    </w:p>
  </w:footnote>
  <w:footnote w:id="182">
    <w:p w14:paraId="5D360E81" w14:textId="179BD3FA" w:rsidR="000D37DC" w:rsidRPr="005562DE" w:rsidRDefault="000D37DC" w:rsidP="002F6AE3">
      <w:pPr>
        <w:pStyle w:val="FootnoteText"/>
        <w:bidi w:val="0"/>
        <w:jc w:val="both"/>
        <w:rPr>
          <w:highlight w:val="green"/>
          <w:lang w:val="en-GB"/>
        </w:rPr>
      </w:pPr>
      <w:r w:rsidRPr="005562DE">
        <w:rPr>
          <w:rStyle w:val="FootnoteReference"/>
          <w:lang w:val="en-GB"/>
        </w:rPr>
        <w:footnoteRef/>
      </w:r>
      <w:r w:rsidRPr="005562DE">
        <w:rPr>
          <w:lang w:val="en-GB"/>
        </w:rPr>
        <w:t xml:space="preserve"> </w:t>
      </w:r>
      <w:r w:rsidRPr="005562DE">
        <w:rPr>
          <w:highlight w:val="green"/>
          <w:lang w:val="en-GB"/>
        </w:rPr>
        <w:t>Gratz v. Bollinger, 539 U.S. 244 (2003). And Mitchell v Cohen 33 U.S. 411 (1948)</w:t>
      </w:r>
      <w:r w:rsidRPr="005562DE">
        <w:rPr>
          <w:highlight w:val="green"/>
          <w:rtl/>
          <w:lang w:val="en-GB"/>
        </w:rPr>
        <w:t>.</w:t>
      </w:r>
    </w:p>
  </w:footnote>
  <w:footnote w:id="183">
    <w:p w14:paraId="18050D7D" w14:textId="6EFD5F75" w:rsidR="000D37DC" w:rsidRPr="005562DE" w:rsidRDefault="000D37DC" w:rsidP="002F6AE3">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R. Post, </w:t>
      </w:r>
      <w:r>
        <w:rPr>
          <w:highlight w:val="green"/>
          <w:lang w:val="en-GB"/>
        </w:rPr>
        <w:t>‘</w:t>
      </w:r>
      <w:r w:rsidRPr="005562DE">
        <w:rPr>
          <w:highlight w:val="green"/>
          <w:lang w:val="en-GB"/>
        </w:rPr>
        <w:t>Introduction: After Bakke</w:t>
      </w:r>
      <w:r>
        <w:rPr>
          <w:highlight w:val="green"/>
          <w:lang w:val="en-GB"/>
        </w:rPr>
        <w:t>’</w:t>
      </w:r>
      <w:r w:rsidRPr="005562DE">
        <w:rPr>
          <w:highlight w:val="green"/>
          <w:lang w:val="en-GB"/>
        </w:rPr>
        <w:t>, in R. Post and M. Rogin (eds.), Race and Representation</w:t>
      </w:r>
    </w:p>
    <w:p w14:paraId="565D7ECD" w14:textId="4EEDE5F5" w:rsidR="000D37DC" w:rsidRPr="005562DE" w:rsidRDefault="000D37DC" w:rsidP="002F6AE3">
      <w:pPr>
        <w:pStyle w:val="FootnoteText"/>
        <w:bidi w:val="0"/>
        <w:rPr>
          <w:highlight w:val="green"/>
          <w:lang w:val="en-GB"/>
        </w:rPr>
      </w:pPr>
      <w:r w:rsidRPr="005562DE">
        <w:rPr>
          <w:highlight w:val="green"/>
          <w:lang w:val="en-GB"/>
        </w:rPr>
        <w:t>Affirmative Action, (Zone Books, New York, 1998), pp. 13-27</w:t>
      </w:r>
      <w:r w:rsidRPr="005562DE">
        <w:rPr>
          <w:highlight w:val="green"/>
          <w:rtl/>
          <w:lang w:val="en-GB"/>
        </w:rPr>
        <w:t>.</w:t>
      </w:r>
    </w:p>
  </w:footnote>
  <w:footnote w:id="184">
    <w:p w14:paraId="13DE67CA" w14:textId="501FEDD8" w:rsidR="000D37DC" w:rsidRPr="005562DE" w:rsidRDefault="000D37DC" w:rsidP="00A61C8A">
      <w:pPr>
        <w:pStyle w:val="FootnoteText"/>
        <w:bidi w:val="0"/>
        <w:jc w:val="both"/>
        <w:rPr>
          <w:lang w:val="en-GB"/>
        </w:rPr>
      </w:pPr>
      <w:r w:rsidRPr="005562DE">
        <w:rPr>
          <w:rStyle w:val="FootnoteReference"/>
          <w:highlight w:val="green"/>
          <w:lang w:val="en-GB"/>
        </w:rPr>
        <w:footnoteRef/>
      </w:r>
      <w:r w:rsidRPr="005562DE">
        <w:rPr>
          <w:highlight w:val="green"/>
          <w:lang w:val="en-GB"/>
        </w:rPr>
        <w:t xml:space="preserve"> Skrentny, J.D., The Ironies of Affirmative Action: Politics, Culture, and Justice in America, (The University of Chicago Press, Chicago and London, 1996)</w:t>
      </w:r>
      <w:r w:rsidRPr="005562DE">
        <w:rPr>
          <w:highlight w:val="green"/>
          <w:rtl/>
          <w:lang w:val="en-GB"/>
        </w:rPr>
        <w:t>.</w:t>
      </w:r>
      <w:r w:rsidRPr="005562DE">
        <w:rPr>
          <w:rtl/>
          <w:lang w:val="en-GB"/>
        </w:rPr>
        <w:t xml:space="preserve"> </w:t>
      </w:r>
    </w:p>
  </w:footnote>
  <w:footnote w:id="185">
    <w:p w14:paraId="1723B849" w14:textId="66663EC0" w:rsidR="000D37DC" w:rsidRPr="005562DE" w:rsidRDefault="000D37DC" w:rsidP="00A61C8A">
      <w:pPr>
        <w:pStyle w:val="FootnoteText"/>
        <w:bidi w:val="0"/>
        <w:jc w:val="both"/>
        <w:rPr>
          <w:lang w:val="en-GB"/>
        </w:rPr>
      </w:pPr>
      <w:r w:rsidRPr="005562DE">
        <w:rPr>
          <w:rStyle w:val="FootnoteReference"/>
          <w:lang w:val="en-GB"/>
        </w:rPr>
        <w:footnoteRef/>
      </w:r>
      <w:r w:rsidRPr="005562DE">
        <w:rPr>
          <w:rtl/>
          <w:lang w:val="en-GB"/>
        </w:rPr>
        <w:t xml:space="preserve"> </w:t>
      </w:r>
      <w:r w:rsidRPr="005562DE">
        <w:rPr>
          <w:lang w:val="en-GB"/>
        </w:rPr>
        <w:t>From an interview I conducted with Prof. Jack Birman and Prof. Jack Lousso at Boston University, on October 2, 2011, in the setting of my stay as a Visiting Scholar at Boston University.</w:t>
      </w:r>
    </w:p>
  </w:footnote>
  <w:footnote w:id="186">
    <w:p w14:paraId="64E199F0" w14:textId="43E4EA55" w:rsidR="000D37DC" w:rsidRPr="005562DE" w:rsidRDefault="000D37DC" w:rsidP="002F6AE3">
      <w:pPr>
        <w:pStyle w:val="FootnoteText"/>
        <w:bidi w:val="0"/>
        <w:jc w:val="both"/>
        <w:rPr>
          <w:highlight w:val="green"/>
          <w:lang w:val="en-GB"/>
        </w:rPr>
      </w:pPr>
      <w:r w:rsidRPr="005562DE">
        <w:rPr>
          <w:rStyle w:val="FootnoteReference"/>
          <w:lang w:val="en-GB"/>
        </w:rPr>
        <w:footnoteRef/>
      </w:r>
      <w:r w:rsidRPr="005562DE">
        <w:rPr>
          <w:lang w:val="en-GB"/>
        </w:rPr>
        <w:t xml:space="preserve"> </w:t>
      </w:r>
      <w:r w:rsidRPr="005562DE">
        <w:rPr>
          <w:highlight w:val="green"/>
          <w:lang w:val="en-GB"/>
        </w:rPr>
        <w:t>The Office of Personnel Management (OPM)</w:t>
      </w:r>
      <w:r w:rsidRPr="005562DE">
        <w:rPr>
          <w:highlight w:val="green"/>
          <w:rtl/>
          <w:lang w:val="en-GB"/>
        </w:rPr>
        <w:t>.</w:t>
      </w:r>
    </w:p>
  </w:footnote>
  <w:footnote w:id="187">
    <w:p w14:paraId="080CFA01" w14:textId="01162F58" w:rsidR="000D37DC" w:rsidRPr="005562DE" w:rsidRDefault="000D37DC"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lang w:val="en-GB"/>
        </w:rPr>
        <w:t xml:space="preserve"> The Office of Merit Systems Oversight and Effectiveness (MSO&amp;E)</w:t>
      </w:r>
      <w:r w:rsidRPr="005562DE">
        <w:rPr>
          <w:highlight w:val="green"/>
          <w:rtl/>
          <w:lang w:val="en-GB"/>
        </w:rPr>
        <w:t xml:space="preserve">. </w:t>
      </w:r>
      <w:r w:rsidRPr="005562DE">
        <w:rPr>
          <w:highlight w:val="green"/>
          <w:rtl/>
          <w:lang w:val="en-GB"/>
        </w:rPr>
        <w:t xml:space="preserve">ראו הרחבה לעניין זה ב: </w:t>
      </w:r>
      <w:r w:rsidRPr="005562DE">
        <w:rPr>
          <w:highlight w:val="green"/>
          <w:lang w:val="en-GB"/>
        </w:rPr>
        <w:t xml:space="preserve">Merit Systems Protection Board, </w:t>
      </w:r>
      <w:r>
        <w:rPr>
          <w:highlight w:val="green"/>
          <w:lang w:val="en-GB"/>
        </w:rPr>
        <w:t>“</w:t>
      </w:r>
      <w:r w:rsidRPr="005562DE">
        <w:rPr>
          <w:highlight w:val="green"/>
          <w:lang w:val="en-GB"/>
        </w:rPr>
        <w:t>Civil Service Evaluation: The Evolving Role of the U.S. Office of Personnel Management</w:t>
      </w:r>
      <w:r>
        <w:rPr>
          <w:highlight w:val="green"/>
          <w:lang w:val="en-GB"/>
        </w:rPr>
        <w:t>”</w:t>
      </w:r>
      <w:r w:rsidRPr="005562DE">
        <w:rPr>
          <w:highlight w:val="green"/>
          <w:lang w:val="en-GB"/>
        </w:rPr>
        <w:t xml:space="preserve"> (July 1998), p. v</w:t>
      </w:r>
      <w:r w:rsidRPr="005562DE">
        <w:rPr>
          <w:highlight w:val="green"/>
          <w:rtl/>
          <w:lang w:val="en-GB"/>
        </w:rPr>
        <w:t xml:space="preserve">. </w:t>
      </w:r>
    </w:p>
  </w:footnote>
  <w:footnote w:id="188">
    <w:p w14:paraId="6C87C342" w14:textId="02829BB9" w:rsidR="000D37DC" w:rsidRPr="005562DE" w:rsidRDefault="000D37DC" w:rsidP="00A61C8A">
      <w:pPr>
        <w:pStyle w:val="FootnoteText"/>
        <w:bidi w:val="0"/>
        <w:jc w:val="both"/>
        <w:rPr>
          <w:lang w:val="en-GB"/>
        </w:rPr>
      </w:pPr>
      <w:r w:rsidRPr="005562DE">
        <w:rPr>
          <w:rStyle w:val="FootnoteReference"/>
          <w:highlight w:val="green"/>
          <w:lang w:val="en-GB"/>
        </w:rPr>
        <w:footnoteRef/>
      </w:r>
      <w:r w:rsidRPr="005562DE">
        <w:rPr>
          <w:highlight w:val="green"/>
          <w:lang w:val="en-GB"/>
        </w:rPr>
        <w:t xml:space="preserve"> Donald Kettl, Patricia Ingraham, Ronald Sanders, Constance Horner, Civil Service Reform: Building a Government that Works (Washington: The Brookings Institution, 1996), p. 17</w:t>
      </w:r>
      <w:r w:rsidRPr="005562DE">
        <w:rPr>
          <w:highlight w:val="green"/>
          <w:rtl/>
          <w:lang w:val="en-GB"/>
        </w:rPr>
        <w:t>.</w:t>
      </w:r>
    </w:p>
  </w:footnote>
  <w:footnote w:id="189">
    <w:p w14:paraId="0BCF2EC2" w14:textId="61445F3A" w:rsidR="000D37DC" w:rsidRPr="005562DE" w:rsidRDefault="000D37DC" w:rsidP="002F6AE3">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Griggs v. Duke Power Co. (1971).</w:t>
      </w:r>
    </w:p>
  </w:footnote>
  <w:footnote w:id="190">
    <w:p w14:paraId="43FE6AF3" w14:textId="17062571" w:rsidR="000D37DC" w:rsidRPr="005562DE" w:rsidRDefault="000D37DC"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Gerald N. Rosenberg The Hollow Hope (Chicago, 1991) 39-156.</w:t>
      </w:r>
    </w:p>
  </w:footnote>
  <w:footnote w:id="191">
    <w:p w14:paraId="3C740D16" w14:textId="3FDD5E43" w:rsidR="000D37DC" w:rsidRPr="005562DE" w:rsidRDefault="000D37DC"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C. R. Sunstein, </w:t>
      </w:r>
      <w:r>
        <w:rPr>
          <w:highlight w:val="green"/>
          <w:lang w:val="en-GB"/>
        </w:rPr>
        <w:t>“</w:t>
      </w:r>
      <w:r w:rsidRPr="005562DE">
        <w:rPr>
          <w:highlight w:val="green"/>
          <w:lang w:val="en-GB"/>
        </w:rPr>
        <w:t>Three Civil Rights Fallacies</w:t>
      </w:r>
      <w:r>
        <w:rPr>
          <w:highlight w:val="green"/>
          <w:lang w:val="en-GB"/>
        </w:rPr>
        <w:t>”</w:t>
      </w:r>
      <w:r w:rsidRPr="005562DE">
        <w:rPr>
          <w:highlight w:val="green"/>
          <w:lang w:val="en-GB"/>
        </w:rPr>
        <w:t xml:space="preserve"> 79 Cal. L. Rev. (1991) 751, 757.</w:t>
      </w:r>
    </w:p>
  </w:footnote>
  <w:footnote w:id="192">
    <w:p w14:paraId="4F891D5F" w14:textId="69BD56C4" w:rsidR="000D37DC" w:rsidRPr="005562DE" w:rsidRDefault="000D37DC"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Morris B. Abram, </w:t>
      </w:r>
      <w:r>
        <w:rPr>
          <w:highlight w:val="green"/>
          <w:lang w:val="en-GB"/>
        </w:rPr>
        <w:t>“</w:t>
      </w:r>
      <w:r w:rsidRPr="005562DE">
        <w:rPr>
          <w:highlight w:val="green"/>
          <w:lang w:val="en-GB"/>
        </w:rPr>
        <w:t>Affirmative Action: Fair Shakers and Social Engineers</w:t>
      </w:r>
      <w:r>
        <w:rPr>
          <w:highlight w:val="green"/>
          <w:lang w:val="en-GB"/>
        </w:rPr>
        <w:t>”</w:t>
      </w:r>
      <w:r w:rsidRPr="005562DE">
        <w:rPr>
          <w:highlight w:val="green"/>
          <w:lang w:val="en-GB"/>
        </w:rPr>
        <w:t xml:space="preserve"> 99 Harv. L. Rev. (1985-86) 1312.</w:t>
      </w:r>
    </w:p>
  </w:footnote>
  <w:footnote w:id="193">
    <w:p w14:paraId="1E1B32F6" w14:textId="3BFA8F63" w:rsidR="000D37DC" w:rsidRPr="005562DE" w:rsidRDefault="000D37DC"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Thomas Sowell </w:t>
      </w:r>
      <w:r>
        <w:rPr>
          <w:i/>
          <w:iCs/>
          <w:highlight w:val="green"/>
          <w:lang w:val="en-GB"/>
        </w:rPr>
        <w:t>“</w:t>
      </w:r>
      <w:r w:rsidRPr="005562DE">
        <w:rPr>
          <w:i/>
          <w:iCs/>
          <w:highlight w:val="green"/>
          <w:lang w:val="en-GB"/>
        </w:rPr>
        <w:t>Affirmative Action: A Worldwide Disaster</w:t>
      </w:r>
      <w:r>
        <w:rPr>
          <w:i/>
          <w:iCs/>
          <w:highlight w:val="green"/>
          <w:lang w:val="en-GB"/>
        </w:rPr>
        <w:t>”</w:t>
      </w:r>
      <w:r w:rsidRPr="005562DE">
        <w:rPr>
          <w:highlight w:val="green"/>
          <w:lang w:val="en-GB"/>
        </w:rPr>
        <w:t>, Commentary December 1989, pp. 21-41, p. 24</w:t>
      </w:r>
      <w:r w:rsidRPr="005562DE">
        <w:rPr>
          <w:highlight w:val="green"/>
          <w:rtl/>
          <w:lang w:val="en-GB"/>
        </w:rPr>
        <w:t>.</w:t>
      </w:r>
    </w:p>
  </w:footnote>
  <w:footnote w:id="194">
    <w:p w14:paraId="0D743C92" w14:textId="5DD2ACD4" w:rsidR="000D37DC" w:rsidRPr="005562DE" w:rsidRDefault="000D37DC" w:rsidP="00A61C8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i/>
          <w:iCs/>
          <w:highlight w:val="green"/>
          <w:lang w:val="en-GB"/>
        </w:rPr>
        <w:t xml:space="preserve">Steelworker v. Weber </w:t>
      </w:r>
      <w:r w:rsidRPr="005562DE">
        <w:rPr>
          <w:highlight w:val="green"/>
          <w:lang w:val="en-GB"/>
        </w:rPr>
        <w:t>444 U.S. 193 (1979)</w:t>
      </w:r>
      <w:r w:rsidRPr="005562DE">
        <w:rPr>
          <w:highlight w:val="green"/>
          <w:rtl/>
          <w:lang w:val="en-GB"/>
        </w:rPr>
        <w:t>.</w:t>
      </w:r>
    </w:p>
  </w:footnote>
  <w:footnote w:id="195">
    <w:p w14:paraId="711B1F4E" w14:textId="2D552308" w:rsidR="000D37DC" w:rsidRPr="005562DE" w:rsidRDefault="000D37DC" w:rsidP="00A61C8A">
      <w:pPr>
        <w:pStyle w:val="FootnoteText"/>
        <w:bidi w:val="0"/>
        <w:jc w:val="both"/>
        <w:rPr>
          <w:lang w:val="en-GB"/>
        </w:rPr>
      </w:pPr>
      <w:r w:rsidRPr="005562DE">
        <w:rPr>
          <w:rStyle w:val="FootnoteReference"/>
          <w:lang w:val="en-GB"/>
        </w:rPr>
        <w:footnoteRef/>
      </w:r>
      <w:r w:rsidRPr="005562DE">
        <w:rPr>
          <w:rtl/>
          <w:lang w:val="en-GB"/>
        </w:rPr>
        <w:t xml:space="preserve"> </w:t>
      </w:r>
      <w:r w:rsidRPr="005562DE">
        <w:rPr>
          <w:lang w:val="en-GB"/>
        </w:rPr>
        <w:t>In that case it was private employers.</w:t>
      </w:r>
    </w:p>
  </w:footnote>
  <w:footnote w:id="196">
    <w:p w14:paraId="35894641" w14:textId="6F521C17" w:rsidR="000D37DC" w:rsidRPr="005562DE" w:rsidRDefault="000D37DC" w:rsidP="00A61C8A">
      <w:pPr>
        <w:pStyle w:val="FootnoteText"/>
        <w:bidi w:val="0"/>
        <w:jc w:val="both"/>
        <w:rPr>
          <w:lang w:val="en-GB"/>
        </w:rPr>
      </w:pPr>
      <w:r w:rsidRPr="005562DE">
        <w:rPr>
          <w:rStyle w:val="FootnoteReference"/>
          <w:lang w:val="en-GB"/>
        </w:rPr>
        <w:footnoteRef/>
      </w:r>
      <w:r w:rsidRPr="005562DE">
        <w:rPr>
          <w:rtl/>
          <w:lang w:val="en-GB"/>
        </w:rPr>
        <w:t xml:space="preserve"> </w:t>
      </w:r>
      <w:r w:rsidRPr="005562DE">
        <w:rPr>
          <w:highlight w:val="green"/>
          <w:lang w:val="en-GB"/>
        </w:rPr>
        <w:t>Chief Justice Burger, and Justice Rehnquist.</w:t>
      </w:r>
    </w:p>
  </w:footnote>
  <w:footnote w:id="197">
    <w:p w14:paraId="1BC7740C" w14:textId="3D3F89AD" w:rsidR="000D37DC" w:rsidRPr="005562DE" w:rsidRDefault="000D37DC" w:rsidP="00F9343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University of California. Bakke</w:t>
      </w:r>
      <w:r w:rsidRPr="005562DE">
        <w:rPr>
          <w:i/>
          <w:iCs/>
          <w:highlight w:val="green"/>
          <w:lang w:val="en-GB"/>
        </w:rPr>
        <w:t xml:space="preserve">, </w:t>
      </w:r>
      <w:r w:rsidRPr="005562DE">
        <w:rPr>
          <w:highlight w:val="green"/>
          <w:lang w:val="en-GB"/>
        </w:rPr>
        <w:t>438 U.S. 265 (1978) 407</w:t>
      </w:r>
      <w:r w:rsidRPr="005562DE">
        <w:rPr>
          <w:highlight w:val="green"/>
          <w:rtl/>
          <w:lang w:val="en-GB"/>
        </w:rPr>
        <w:t>.</w:t>
      </w:r>
    </w:p>
  </w:footnote>
  <w:footnote w:id="198">
    <w:p w14:paraId="798B1758" w14:textId="5678F221" w:rsidR="000D37DC" w:rsidRPr="005562DE" w:rsidRDefault="000D37DC" w:rsidP="00CE6B69">
      <w:pPr>
        <w:pStyle w:val="FootnoteText"/>
        <w:bidi w:val="0"/>
        <w:jc w:val="both"/>
        <w:rPr>
          <w:lang w:val="en-GB"/>
        </w:rPr>
      </w:pPr>
      <w:r w:rsidRPr="005562DE">
        <w:rPr>
          <w:rStyle w:val="FootnoteReference"/>
          <w:lang w:val="en-GB"/>
        </w:rPr>
        <w:footnoteRef/>
      </w:r>
      <w:r w:rsidRPr="005562DE">
        <w:rPr>
          <w:rtl/>
          <w:lang w:val="en-GB"/>
        </w:rPr>
        <w:t xml:space="preserve"> </w:t>
      </w:r>
      <w:r w:rsidRPr="005562DE">
        <w:rPr>
          <w:lang w:val="en-GB"/>
        </w:rPr>
        <w:t xml:space="preserve">Even before affirmative action was anchored in federal legislation in the US, local affirmative action initiatives began in academic institutions. See: Phillips Derek L. (1979) </w:t>
      </w:r>
      <w:r w:rsidRPr="005562DE">
        <w:rPr>
          <w:i/>
          <w:iCs/>
          <w:lang w:val="en-GB"/>
        </w:rPr>
        <w:t>Equality, Justice and Rectification</w:t>
      </w:r>
      <w:r w:rsidRPr="005562DE">
        <w:rPr>
          <w:lang w:val="en-GB"/>
        </w:rPr>
        <w:t xml:space="preserve">, </w:t>
      </w:r>
      <w:r w:rsidR="00157FAC" w:rsidRPr="005562DE">
        <w:rPr>
          <w:lang w:val="en-GB"/>
        </w:rPr>
        <w:t>London</w:t>
      </w:r>
      <w:r w:rsidR="00157FAC">
        <w:rPr>
          <w:lang w:val="en-GB"/>
        </w:rPr>
        <w:t>:</w:t>
      </w:r>
      <w:r w:rsidR="00157FAC" w:rsidRPr="005562DE">
        <w:rPr>
          <w:lang w:val="en-GB"/>
        </w:rPr>
        <w:t xml:space="preserve"> </w:t>
      </w:r>
      <w:r w:rsidRPr="005562DE">
        <w:rPr>
          <w:lang w:val="en-GB"/>
        </w:rPr>
        <w:t>Academic Press, p. 297</w:t>
      </w:r>
      <w:r w:rsidRPr="005562DE">
        <w:rPr>
          <w:rtl/>
          <w:lang w:val="en-GB"/>
        </w:rPr>
        <w:t>.</w:t>
      </w:r>
    </w:p>
  </w:footnote>
  <w:footnote w:id="199">
    <w:p w14:paraId="207BC821" w14:textId="4558BA5B" w:rsidR="000D37DC" w:rsidRPr="005562DE" w:rsidRDefault="000D37DC" w:rsidP="00F9343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In re </w:t>
      </w:r>
      <w:r w:rsidRPr="005562DE">
        <w:rPr>
          <w:i/>
          <w:iCs/>
          <w:highlight w:val="green"/>
          <w:lang w:val="en-GB"/>
        </w:rPr>
        <w:t xml:space="preserve">Fullilove v. klutznick, Secretary of Commerce </w:t>
      </w:r>
      <w:r w:rsidRPr="005562DE">
        <w:rPr>
          <w:highlight w:val="green"/>
          <w:lang w:val="en-GB"/>
        </w:rPr>
        <w:t>448 U.S. 448 (1980)</w:t>
      </w:r>
      <w:r w:rsidRPr="005562DE">
        <w:rPr>
          <w:highlight w:val="green"/>
          <w:rtl/>
          <w:lang w:val="en-GB"/>
        </w:rPr>
        <w:t>.</w:t>
      </w:r>
    </w:p>
  </w:footnote>
  <w:footnote w:id="200">
    <w:p w14:paraId="782BB232" w14:textId="34468A12" w:rsidR="000D37DC" w:rsidRPr="005562DE" w:rsidRDefault="000D37DC" w:rsidP="00CE6B69">
      <w:pPr>
        <w:pStyle w:val="FootnoteText"/>
        <w:bidi w:val="0"/>
        <w:jc w:val="both"/>
        <w:rPr>
          <w:lang w:val="en-GB"/>
        </w:rPr>
      </w:pPr>
      <w:r w:rsidRPr="005562DE">
        <w:rPr>
          <w:rStyle w:val="FootnoteReference"/>
          <w:lang w:val="en-GB"/>
        </w:rPr>
        <w:footnoteRef/>
      </w:r>
      <w:r w:rsidRPr="005562DE">
        <w:rPr>
          <w:rtl/>
          <w:lang w:val="en-GB"/>
        </w:rPr>
        <w:t xml:space="preserve"> </w:t>
      </w:r>
      <w:r w:rsidRPr="005562DE">
        <w:rPr>
          <w:i/>
          <w:iCs/>
          <w:lang w:val="en-GB"/>
        </w:rPr>
        <w:t>Grutter v. Bollinger</w:t>
      </w:r>
      <w:r w:rsidRPr="005562DE">
        <w:rPr>
          <w:lang w:val="en-GB"/>
        </w:rPr>
        <w:t>, </w:t>
      </w:r>
      <w:hyperlink r:id="rId14" w:tooltip="Case citation" w:history="1">
        <w:r w:rsidRPr="005562DE">
          <w:rPr>
            <w:rStyle w:val="Hyperlink"/>
            <w:lang w:val="en-GB"/>
          </w:rPr>
          <w:t>539 U.S. 306</w:t>
        </w:r>
      </w:hyperlink>
      <w:r w:rsidRPr="005562DE">
        <w:rPr>
          <w:lang w:val="en-GB"/>
        </w:rPr>
        <w:t xml:space="preserve"> (2003) and </w:t>
      </w:r>
      <w:r w:rsidRPr="005562DE">
        <w:rPr>
          <w:i/>
          <w:iCs/>
          <w:lang w:val="en-GB"/>
        </w:rPr>
        <w:t>Gratz v. Bollinger</w:t>
      </w:r>
      <w:r w:rsidRPr="005562DE">
        <w:rPr>
          <w:lang w:val="en-GB"/>
        </w:rPr>
        <w:t>, </w:t>
      </w:r>
      <w:hyperlink r:id="rId15" w:tooltip="Case citation" w:history="1">
        <w:r w:rsidRPr="005562DE">
          <w:rPr>
            <w:rStyle w:val="Hyperlink"/>
            <w:lang w:val="en-GB"/>
          </w:rPr>
          <w:t>539 U.S. 244</w:t>
        </w:r>
      </w:hyperlink>
      <w:r w:rsidRPr="005562DE">
        <w:rPr>
          <w:lang w:val="en-GB"/>
        </w:rPr>
        <w:t> (2003). And for extensive analysis of case law development in the U</w:t>
      </w:r>
      <w:r>
        <w:rPr>
          <w:lang w:val="en-GB"/>
        </w:rPr>
        <w:t>.</w:t>
      </w:r>
      <w:r w:rsidRPr="005562DE">
        <w:rPr>
          <w:lang w:val="en-GB"/>
        </w:rPr>
        <w:t>S</w:t>
      </w:r>
      <w:r>
        <w:rPr>
          <w:lang w:val="en-GB"/>
        </w:rPr>
        <w:t>.</w:t>
      </w:r>
      <w:r w:rsidRPr="005562DE">
        <w:rPr>
          <w:lang w:val="en-GB"/>
        </w:rPr>
        <w:t xml:space="preserve"> in this context see: Bankston, Carl </w:t>
      </w:r>
      <w:r w:rsidRPr="00FB7C15">
        <w:rPr>
          <w:lang w:val="en-GB"/>
        </w:rPr>
        <w:t>“Grutter v. Bollinger: Weak Foundations?”</w:t>
      </w:r>
      <w:r w:rsidRPr="005562DE">
        <w:rPr>
          <w:lang w:val="en-GB"/>
        </w:rPr>
        <w:t xml:space="preserve"> </w:t>
      </w:r>
      <w:r w:rsidRPr="005562DE">
        <w:rPr>
          <w:i/>
          <w:iCs/>
          <w:lang w:val="en-GB"/>
        </w:rPr>
        <w:t>Ohio State Law Journal</w:t>
      </w:r>
      <w:r w:rsidRPr="005562DE">
        <w:rPr>
          <w:lang w:val="en-GB"/>
        </w:rPr>
        <w:t> 67 (1): 1–13 (2006)</w:t>
      </w:r>
      <w:r w:rsidRPr="005562DE">
        <w:rPr>
          <w:rtl/>
          <w:lang w:val="en-GB"/>
        </w:rPr>
        <w:t>.</w:t>
      </w:r>
      <w:r w:rsidRPr="005562DE">
        <w:rPr>
          <w:lang w:val="en-GB"/>
        </w:rPr>
        <w:t xml:space="preserve"> In July 1995, the White House rescinded all affirmative action programs that set quotas or a preference for candidates lacking the necessary skills. See on this point: Anne Peters </w:t>
      </w:r>
      <w:r w:rsidRPr="005562DE">
        <w:rPr>
          <w:i/>
          <w:iCs/>
          <w:lang w:val="en-GB"/>
        </w:rPr>
        <w:t xml:space="preserve">Woman, Quotas and Constitutions </w:t>
      </w:r>
      <w:proofErr w:type="spellStart"/>
      <w:r w:rsidR="00157FAC">
        <w:rPr>
          <w:lang w:val="en-GB"/>
        </w:rPr>
        <w:t>Bostons</w:t>
      </w:r>
      <w:proofErr w:type="spellEnd"/>
      <w:r w:rsidR="00157FAC">
        <w:rPr>
          <w:lang w:val="en-GB"/>
        </w:rPr>
        <w:t xml:space="preserve">: Kluwer Law International </w:t>
      </w:r>
      <w:r w:rsidRPr="005562DE">
        <w:rPr>
          <w:lang w:val="en-GB"/>
        </w:rPr>
        <w:t>(1992) pp. 39-40</w:t>
      </w:r>
      <w:r w:rsidRPr="005562DE">
        <w:rPr>
          <w:rtl/>
          <w:lang w:val="en-GB"/>
        </w:rPr>
        <w:t>.</w:t>
      </w:r>
      <w:r w:rsidRPr="005562DE">
        <w:rPr>
          <w:lang w:val="en-GB"/>
        </w:rPr>
        <w:t xml:space="preserve"> This approach was also adopted in Europe with respect to women: </w:t>
      </w:r>
      <w:r w:rsidRPr="005562DE">
        <w:rPr>
          <w:i/>
          <w:iCs/>
          <w:lang w:val="en-GB"/>
        </w:rPr>
        <w:t>Kalanke v. Freie Hansestadt Bremen (450/39)</w:t>
      </w:r>
      <w:r w:rsidRPr="005562DE">
        <w:rPr>
          <w:lang w:val="en-GB"/>
        </w:rPr>
        <w:t>: [1996] ECR I-3051</w:t>
      </w:r>
      <w:r w:rsidRPr="005562DE">
        <w:rPr>
          <w:rtl/>
          <w:lang w:val="en-GB"/>
        </w:rPr>
        <w:t xml:space="preserve">, </w:t>
      </w:r>
      <w:r w:rsidRPr="005562DE">
        <w:rPr>
          <w:i/>
          <w:iCs/>
          <w:lang w:val="en-GB"/>
        </w:rPr>
        <w:t>Marschall v. Land Nordhein-Westfalen</w:t>
      </w:r>
      <w:r w:rsidRPr="005562DE">
        <w:rPr>
          <w:lang w:val="en-GB"/>
        </w:rPr>
        <w:t xml:space="preserve"> (</w:t>
      </w:r>
      <w:r w:rsidRPr="005562DE">
        <w:rPr>
          <w:i/>
          <w:iCs/>
          <w:lang w:val="en-GB"/>
        </w:rPr>
        <w:t>C-409/95)</w:t>
      </w:r>
      <w:r w:rsidRPr="005562DE">
        <w:rPr>
          <w:lang w:val="en-GB"/>
        </w:rPr>
        <w:t>: [1997] All E.R (EC) 865</w:t>
      </w:r>
      <w:r w:rsidRPr="005562DE">
        <w:rPr>
          <w:rtl/>
          <w:lang w:val="en-GB"/>
        </w:rPr>
        <w:t>.</w:t>
      </w:r>
    </w:p>
  </w:footnote>
  <w:footnote w:id="201">
    <w:p w14:paraId="6713B208" w14:textId="4333BB8B" w:rsidR="000D37DC" w:rsidRPr="005562DE" w:rsidRDefault="000D37DC" w:rsidP="00F9343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University of California. Bakke</w:t>
      </w:r>
      <w:r w:rsidRPr="005562DE">
        <w:rPr>
          <w:i/>
          <w:iCs/>
          <w:highlight w:val="green"/>
          <w:lang w:val="en-GB"/>
        </w:rPr>
        <w:t xml:space="preserve">, </w:t>
      </w:r>
      <w:r w:rsidRPr="005562DE">
        <w:rPr>
          <w:highlight w:val="green"/>
          <w:lang w:val="en-GB"/>
        </w:rPr>
        <w:t>438 U.S. 265 (1978) 407</w:t>
      </w:r>
      <w:r>
        <w:rPr>
          <w:lang w:val="en-GB"/>
        </w:rPr>
        <w:t>.</w:t>
      </w:r>
    </w:p>
  </w:footnote>
  <w:footnote w:id="202">
    <w:p w14:paraId="568760E0" w14:textId="155E8876" w:rsidR="000D37DC" w:rsidRPr="005562DE" w:rsidRDefault="000D37DC" w:rsidP="00F9343A">
      <w:pPr>
        <w:pStyle w:val="FootnoteText"/>
        <w:bidi w:val="0"/>
        <w:jc w:val="both"/>
        <w:rPr>
          <w:highlight w:val="green"/>
          <w:lang w:val="en-GB"/>
        </w:rPr>
      </w:pPr>
      <w:r w:rsidRPr="005562DE">
        <w:rPr>
          <w:rStyle w:val="FootnoteReference"/>
          <w:highlight w:val="green"/>
          <w:lang w:val="en-GB"/>
        </w:rPr>
        <w:footnoteRef/>
      </w:r>
      <w:r w:rsidRPr="005562DE">
        <w:rPr>
          <w:highlight w:val="green"/>
          <w:lang w:val="en-GB"/>
        </w:rPr>
        <w:t xml:space="preserve"> Alex M. Johnson, Jr., </w:t>
      </w:r>
      <w:r w:rsidRPr="005562DE">
        <w:rPr>
          <w:i/>
          <w:iCs/>
          <w:highlight w:val="green"/>
          <w:lang w:val="en-GB"/>
        </w:rPr>
        <w:t>Defending the Use of Quotas in Affirmative Action: Attacking Racism in the Nineties</w:t>
      </w:r>
      <w:r w:rsidRPr="005562DE">
        <w:rPr>
          <w:highlight w:val="green"/>
          <w:lang w:val="en-GB"/>
        </w:rPr>
        <w:t>, 1992 U. ILL. L. REV. 1043, 1073 (</w:t>
      </w:r>
      <w:r>
        <w:rPr>
          <w:highlight w:val="green"/>
          <w:lang w:val="en-GB"/>
        </w:rPr>
        <w:t>“</w:t>
      </w:r>
      <w:r w:rsidRPr="005562DE">
        <w:rPr>
          <w:highlight w:val="green"/>
          <w:lang w:val="en-GB"/>
        </w:rPr>
        <w:t>Considering the black experience in a historical and contextual framework that focuses not only on the past, but [also on] the future of American society, the use of quotas is the most efficacious method for achieving racial equality in contemporary American society.</w:t>
      </w:r>
      <w:r>
        <w:rPr>
          <w:highlight w:val="green"/>
          <w:lang w:val="en-GB"/>
        </w:rPr>
        <w:t>”</w:t>
      </w:r>
    </w:p>
  </w:footnote>
  <w:footnote w:id="203">
    <w:p w14:paraId="54FA4A00" w14:textId="06A86105" w:rsidR="000D37DC" w:rsidRPr="005562DE" w:rsidRDefault="000D37DC" w:rsidP="00F9343A">
      <w:pPr>
        <w:pStyle w:val="FootnoteText"/>
        <w:bidi w:val="0"/>
        <w:jc w:val="both"/>
        <w:rPr>
          <w:highlight w:val="green"/>
          <w:rtl/>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Wygant v. Jackson Board of Education, 476 U.S. 267 (1986).</w:t>
      </w:r>
    </w:p>
    <w:p w14:paraId="228132F5" w14:textId="05C598B9" w:rsidR="000D37DC" w:rsidRPr="005562DE" w:rsidRDefault="000D37DC" w:rsidP="00F9343A">
      <w:pPr>
        <w:pStyle w:val="FootnoteText"/>
        <w:bidi w:val="0"/>
        <w:jc w:val="both"/>
        <w:rPr>
          <w:highlight w:val="green"/>
          <w:lang w:val="en-GB"/>
        </w:rPr>
      </w:pPr>
      <w:r w:rsidRPr="005562DE">
        <w:rPr>
          <w:highlight w:val="green"/>
          <w:lang w:val="en-GB"/>
        </w:rPr>
        <w:t xml:space="preserve">Many of the affirmative action cases under Title VII involve public employees such as police, firefighters, and teachers. The most politicized version of the anti-affirmative action narrative is typified by the campaign strategy used by Senator Jesse Helms, the white incumbent, against Harvey Gant, the black challenger: </w:t>
      </w:r>
      <w:r>
        <w:rPr>
          <w:highlight w:val="green"/>
          <w:lang w:val="en-GB"/>
        </w:rPr>
        <w:t>“</w:t>
      </w:r>
      <w:r w:rsidRPr="005562DE">
        <w:rPr>
          <w:highlight w:val="green"/>
          <w:lang w:val="en-GB"/>
        </w:rPr>
        <w:t xml:space="preserve">The Helms campaign commercial displayed a white </w:t>
      </w:r>
      <w:proofErr w:type="gramStart"/>
      <w:r w:rsidRPr="005562DE">
        <w:rPr>
          <w:highlight w:val="green"/>
          <w:lang w:val="en-GB"/>
        </w:rPr>
        <w:t>working class</w:t>
      </w:r>
      <w:proofErr w:type="gramEnd"/>
      <w:r w:rsidRPr="005562DE">
        <w:rPr>
          <w:highlight w:val="green"/>
          <w:lang w:val="en-GB"/>
        </w:rPr>
        <w:t xml:space="preserve"> man tearing up a rejection letter while the voice-over said, </w:t>
      </w:r>
      <w:r>
        <w:rPr>
          <w:highlight w:val="green"/>
          <w:lang w:val="en-GB"/>
        </w:rPr>
        <w:t>‘</w:t>
      </w:r>
      <w:r w:rsidRPr="005562DE">
        <w:rPr>
          <w:highlight w:val="green"/>
          <w:lang w:val="en-GB"/>
        </w:rPr>
        <w:t>You needed that job, and you were the best qualified. … But it had to go to a minority because of a racial quota</w:t>
      </w:r>
      <w:proofErr w:type="gramStart"/>
      <w:r w:rsidRPr="005562DE">
        <w:rPr>
          <w:highlight w:val="green"/>
          <w:lang w:val="en-GB"/>
        </w:rPr>
        <w:t>.</w:t>
      </w:r>
      <w:r>
        <w:rPr>
          <w:highlight w:val="green"/>
          <w:lang w:val="en-GB"/>
        </w:rPr>
        <w:t>”‘</w:t>
      </w:r>
      <w:proofErr w:type="gramEnd"/>
      <w:r w:rsidRPr="005562DE">
        <w:rPr>
          <w:highlight w:val="green"/>
          <w:lang w:val="en-GB"/>
        </w:rPr>
        <w:t xml:space="preserve"> Cheryl I. Harris, </w:t>
      </w:r>
      <w:r w:rsidRPr="005562DE">
        <w:rPr>
          <w:i/>
          <w:iCs/>
          <w:highlight w:val="green"/>
          <w:lang w:val="en-GB"/>
        </w:rPr>
        <w:t>Whiteness as Property</w:t>
      </w:r>
      <w:r w:rsidRPr="005562DE">
        <w:rPr>
          <w:highlight w:val="green"/>
          <w:lang w:val="en-GB"/>
        </w:rPr>
        <w:t>, 106 HARV. L. REV. 1707, 1767 n.261 (1993).</w:t>
      </w:r>
    </w:p>
  </w:footnote>
  <w:footnote w:id="204">
    <w:p w14:paraId="3AD6463A" w14:textId="49070D15" w:rsidR="000D37DC" w:rsidRPr="005562DE" w:rsidRDefault="000D37DC" w:rsidP="00A61C8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K. M. Sullivan, </w:t>
      </w:r>
      <w:r>
        <w:rPr>
          <w:highlight w:val="green"/>
          <w:lang w:val="en-GB"/>
        </w:rPr>
        <w:t>“</w:t>
      </w:r>
      <w:r w:rsidRPr="005562DE">
        <w:rPr>
          <w:highlight w:val="green"/>
          <w:lang w:val="en-GB"/>
        </w:rPr>
        <w:t>Dins of Discrimination: Last Term</w:t>
      </w:r>
      <w:r>
        <w:rPr>
          <w:highlight w:val="green"/>
          <w:lang w:val="en-GB"/>
        </w:rPr>
        <w:t>’</w:t>
      </w:r>
      <w:r w:rsidRPr="005562DE">
        <w:rPr>
          <w:highlight w:val="green"/>
          <w:lang w:val="en-GB"/>
        </w:rPr>
        <w:t>s Affirmative Action Cases</w:t>
      </w:r>
      <w:r>
        <w:rPr>
          <w:highlight w:val="green"/>
          <w:lang w:val="en-GB"/>
        </w:rPr>
        <w:t>”</w:t>
      </w:r>
      <w:r w:rsidRPr="005562DE">
        <w:rPr>
          <w:highlight w:val="green"/>
          <w:lang w:val="en-GB"/>
        </w:rPr>
        <w:t xml:space="preserve"> 100 Harv. L. Rev. (1986-87) 78.</w:t>
      </w:r>
    </w:p>
  </w:footnote>
  <w:footnote w:id="205">
    <w:p w14:paraId="71F9EEA8" w14:textId="526158DD" w:rsidR="000D37DC" w:rsidRPr="005562DE" w:rsidRDefault="000D37DC" w:rsidP="00F9343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Steelworkers v. Weber (1979)</w:t>
      </w:r>
      <w:r w:rsidRPr="005562DE">
        <w:rPr>
          <w:highlight w:val="green"/>
          <w:rtl/>
          <w:lang w:val="en-GB"/>
        </w:rPr>
        <w:t>.</w:t>
      </w:r>
    </w:p>
  </w:footnote>
  <w:footnote w:id="206">
    <w:p w14:paraId="6B1D515B" w14:textId="7B9AECC0" w:rsidR="000D37DC" w:rsidRPr="005562DE" w:rsidRDefault="000D37DC"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Johnson v. Transportation Agency, Santa Clara County (1987).</w:t>
      </w:r>
    </w:p>
  </w:footnote>
  <w:footnote w:id="207">
    <w:p w14:paraId="478D2E8C" w14:textId="7299A042" w:rsidR="000D37DC" w:rsidRPr="005562DE" w:rsidRDefault="000D37DC"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Michael Selmi, </w:t>
      </w:r>
      <w:r w:rsidRPr="005562DE">
        <w:rPr>
          <w:i/>
          <w:iCs/>
          <w:highlight w:val="green"/>
          <w:lang w:val="en-GB"/>
        </w:rPr>
        <w:t>Testing for Equality: Merit, Efficiency, and the Affirmative Action Debate</w:t>
      </w:r>
      <w:r w:rsidRPr="005562DE">
        <w:rPr>
          <w:highlight w:val="green"/>
          <w:lang w:val="en-GB"/>
        </w:rPr>
        <w:t>, 42 UCLA L.REV. 1251, 1276-77 (1995) (challenging central assumption of affirmative action critics that test scores are closely correlated with productivity and that small test score differentials indicate meaningful performance differentials).</w:t>
      </w:r>
    </w:p>
  </w:footnote>
  <w:footnote w:id="208">
    <w:p w14:paraId="0B5BFFCA" w14:textId="215B6B2D" w:rsidR="000D37DC" w:rsidRPr="005562DE" w:rsidRDefault="000D37DC" w:rsidP="00A61C8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Executive Order 11246 (30 Fed Reg 12319) issued in 1965. In 1967 Executive Order 11375 (32 Fed Reg 14303) extended the provisions to women, Department of Labor Order of June 27, 1969; Bloch, Farrell </w:t>
      </w:r>
      <w:r w:rsidRPr="005562DE">
        <w:rPr>
          <w:i/>
          <w:iCs/>
          <w:highlight w:val="green"/>
          <w:lang w:val="en-GB"/>
        </w:rPr>
        <w:t xml:space="preserve">Antidiscrimination Law and Minority Employment. </w:t>
      </w:r>
      <w:r w:rsidRPr="005562DE">
        <w:rPr>
          <w:highlight w:val="green"/>
          <w:lang w:val="en-GB"/>
        </w:rPr>
        <w:t>Chicago U. Press (1994) p.70</w:t>
      </w:r>
      <w:r w:rsidRPr="005562DE">
        <w:rPr>
          <w:highlight w:val="green"/>
          <w:rtl/>
          <w:lang w:val="en-GB"/>
        </w:rPr>
        <w:t>.</w:t>
      </w:r>
    </w:p>
  </w:footnote>
  <w:footnote w:id="209">
    <w:p w14:paraId="1AB0CEA1" w14:textId="4ACDEE16" w:rsidR="000D37DC" w:rsidRPr="005562DE" w:rsidRDefault="000D37DC" w:rsidP="00F9343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Office of Federal Contract Compliance Programmes, U</w:t>
      </w:r>
      <w:r>
        <w:rPr>
          <w:highlight w:val="green"/>
          <w:lang w:val="en-GB"/>
        </w:rPr>
        <w:t>.</w:t>
      </w:r>
      <w:r w:rsidRPr="005562DE">
        <w:rPr>
          <w:highlight w:val="green"/>
          <w:lang w:val="en-GB"/>
        </w:rPr>
        <w:t>S</w:t>
      </w:r>
      <w:r>
        <w:rPr>
          <w:highlight w:val="green"/>
          <w:lang w:val="en-GB"/>
        </w:rPr>
        <w:t>.</w:t>
      </w:r>
      <w:r w:rsidRPr="005562DE">
        <w:rPr>
          <w:highlight w:val="green"/>
          <w:lang w:val="en-GB"/>
        </w:rPr>
        <w:t xml:space="preserve"> Department of Labor, EEO and Affirmative</w:t>
      </w:r>
    </w:p>
    <w:p w14:paraId="69F48DE2" w14:textId="517A5C11" w:rsidR="000D37DC" w:rsidRPr="005562DE" w:rsidRDefault="000D37DC" w:rsidP="00F9343A">
      <w:pPr>
        <w:pStyle w:val="FootnoteText"/>
        <w:bidi w:val="0"/>
        <w:rPr>
          <w:highlight w:val="green"/>
          <w:lang w:val="en-GB"/>
        </w:rPr>
      </w:pPr>
      <w:r w:rsidRPr="005562DE">
        <w:rPr>
          <w:highlight w:val="green"/>
          <w:lang w:val="en-GB"/>
        </w:rPr>
        <w:t>Action Guidelines for Federal Contractors Regarding Race, Color, Gender, Religion and National Origin</w:t>
      </w:r>
      <w:r w:rsidRPr="005562DE">
        <w:rPr>
          <w:highlight w:val="green"/>
          <w:rtl/>
          <w:lang w:val="en-GB"/>
        </w:rPr>
        <w:t>,</w:t>
      </w:r>
      <w:r w:rsidRPr="005562DE">
        <w:rPr>
          <w:highlight w:val="green"/>
          <w:lang w:val="en-GB"/>
        </w:rPr>
        <w:t xml:space="preserve"> </w:t>
      </w:r>
      <w:hyperlink r:id="rId16" w:history="1">
        <w:r w:rsidRPr="005562DE">
          <w:rPr>
            <w:rStyle w:val="Hyperlink"/>
            <w:highlight w:val="green"/>
            <w:lang w:val="en-GB"/>
          </w:rPr>
          <w:t>http://www.dol.gov/ofccp/regs/compliance/fs11246.htm</w:t>
        </w:r>
      </w:hyperlink>
      <w:r w:rsidRPr="005562DE">
        <w:rPr>
          <w:highlight w:val="green"/>
          <w:rtl/>
          <w:lang w:val="en-GB"/>
        </w:rPr>
        <w:t xml:space="preserve">. </w:t>
      </w:r>
    </w:p>
  </w:footnote>
  <w:footnote w:id="210">
    <w:p w14:paraId="741969CC" w14:textId="4CDBC62F" w:rsidR="000D37DC" w:rsidRPr="005562DE" w:rsidRDefault="000D37DC"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From reports by The Office of Federal Contract Compliance Programmers (OFCCP)</w:t>
      </w:r>
      <w:r w:rsidRPr="005562DE">
        <w:rPr>
          <w:highlight w:val="green"/>
          <w:rtl/>
          <w:lang w:val="en-GB"/>
        </w:rPr>
        <w:t xml:space="preserve"> </w:t>
      </w:r>
      <w:hyperlink r:id="rId17" w:history="1">
        <w:r w:rsidRPr="005562DE">
          <w:rPr>
            <w:rStyle w:val="Hyperlink"/>
            <w:highlight w:val="green"/>
            <w:lang w:val="en-GB"/>
          </w:rPr>
          <w:t>http://www.dol.gov/ofccp</w:t>
        </w:r>
        <w:r w:rsidRPr="005562DE">
          <w:rPr>
            <w:rStyle w:val="Hyperlink"/>
            <w:highlight w:val="green"/>
            <w:rtl/>
            <w:lang w:val="en-GB"/>
          </w:rPr>
          <w:t>/</w:t>
        </w:r>
      </w:hyperlink>
      <w:r w:rsidRPr="005562DE">
        <w:rPr>
          <w:highlight w:val="green"/>
          <w:rtl/>
          <w:lang w:val="en-GB"/>
        </w:rPr>
        <w:t>.</w:t>
      </w:r>
    </w:p>
  </w:footnote>
  <w:footnote w:id="211">
    <w:p w14:paraId="2121521F" w14:textId="1256FC88" w:rsidR="000D37DC" w:rsidRPr="005562DE" w:rsidRDefault="000D37DC"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Equal Employment Opportunities Act of 1972</w:t>
      </w:r>
      <w:r w:rsidRPr="005562DE">
        <w:rPr>
          <w:highlight w:val="green"/>
          <w:rtl/>
          <w:lang w:val="en-GB"/>
        </w:rPr>
        <w:t>.</w:t>
      </w:r>
    </w:p>
  </w:footnote>
  <w:footnote w:id="212">
    <w:p w14:paraId="46D952F8" w14:textId="45B129AC" w:rsidR="000D37DC" w:rsidRPr="005562DE" w:rsidRDefault="000D37DC"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Equal Opportunities Employment Act 1972, s. 4</w:t>
      </w:r>
      <w:r w:rsidRPr="005562DE">
        <w:rPr>
          <w:highlight w:val="green"/>
          <w:rtl/>
          <w:lang w:val="en-GB"/>
        </w:rPr>
        <w:t>.</w:t>
      </w:r>
    </w:p>
  </w:footnote>
  <w:footnote w:id="213">
    <w:p w14:paraId="5B63D812" w14:textId="6960E5B8" w:rsidR="000D37DC" w:rsidRPr="005562DE" w:rsidRDefault="000D37DC"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G. Stephanopoulos and P. Edley, Affirmative Action Review: Report to the President, (Government Printing Office, Washington, DC, 1995)</w:t>
      </w:r>
      <w:r w:rsidRPr="005562DE">
        <w:rPr>
          <w:highlight w:val="green"/>
          <w:rtl/>
          <w:lang w:val="en-GB"/>
        </w:rPr>
        <w:t>.</w:t>
      </w:r>
    </w:p>
  </w:footnote>
  <w:footnote w:id="214">
    <w:p w14:paraId="18162267" w14:textId="5C4BD105" w:rsidR="000D37DC" w:rsidRPr="005562DE" w:rsidRDefault="000D37DC"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Equal Opportunities Employment Act 1972, s.2000e-16.</w:t>
      </w:r>
    </w:p>
  </w:footnote>
  <w:footnote w:id="215">
    <w:p w14:paraId="283B2442" w14:textId="29B6C319" w:rsidR="000D37DC" w:rsidRPr="005562DE" w:rsidRDefault="000D37DC"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University of California v Bakke 438 US 265 (1987)</w:t>
      </w:r>
      <w:r w:rsidRPr="005562DE">
        <w:rPr>
          <w:highlight w:val="green"/>
          <w:rtl/>
          <w:lang w:val="en-GB"/>
        </w:rPr>
        <w:t>.</w:t>
      </w:r>
    </w:p>
  </w:footnote>
  <w:footnote w:id="216">
    <w:p w14:paraId="27586744" w14:textId="0D681B5D" w:rsidR="000D37DC" w:rsidRPr="005562DE" w:rsidRDefault="000D37DC" w:rsidP="00A61C8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Podberesky v Kirwan 38 F. 3d 147 (4th Cir. 1994)</w:t>
      </w:r>
      <w:r w:rsidRPr="005562DE">
        <w:rPr>
          <w:highlight w:val="green"/>
          <w:rtl/>
          <w:lang w:val="en-GB"/>
        </w:rPr>
        <w:t>.</w:t>
      </w:r>
    </w:p>
  </w:footnote>
  <w:footnote w:id="217">
    <w:p w14:paraId="22962013" w14:textId="0CA580BF" w:rsidR="000D37DC" w:rsidRPr="005562DE" w:rsidRDefault="000D37DC" w:rsidP="00F9343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University of California. Bakke</w:t>
      </w:r>
      <w:r w:rsidRPr="005562DE">
        <w:rPr>
          <w:i/>
          <w:iCs/>
          <w:highlight w:val="green"/>
          <w:lang w:val="en-GB"/>
        </w:rPr>
        <w:t xml:space="preserve">, </w:t>
      </w:r>
      <w:r w:rsidRPr="005562DE">
        <w:rPr>
          <w:highlight w:val="green"/>
          <w:lang w:val="en-GB"/>
        </w:rPr>
        <w:t>438 U.S. 265 (1978) 407</w:t>
      </w:r>
      <w:r w:rsidRPr="005562DE">
        <w:rPr>
          <w:highlight w:val="green"/>
          <w:rtl/>
          <w:lang w:val="en-GB"/>
        </w:rPr>
        <w:t>.</w:t>
      </w:r>
    </w:p>
  </w:footnote>
  <w:footnote w:id="218">
    <w:p w14:paraId="0AD43399" w14:textId="611636D8" w:rsidR="000D37DC" w:rsidRPr="005562DE" w:rsidRDefault="000D37DC" w:rsidP="00F9343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Fullilove v. Klutznick, 448 U.S. 448 (1980)</w:t>
      </w:r>
      <w:r w:rsidRPr="005562DE">
        <w:rPr>
          <w:highlight w:val="green"/>
          <w:rtl/>
          <w:lang w:val="en-GB"/>
        </w:rPr>
        <w:t>.</w:t>
      </w:r>
    </w:p>
  </w:footnote>
  <w:footnote w:id="219">
    <w:p w14:paraId="25857180" w14:textId="597A5E8C" w:rsidR="000D37DC" w:rsidRPr="005562DE" w:rsidRDefault="000D37DC" w:rsidP="00F9343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United Steelworkers v Weber 443 US 267 (1986)</w:t>
      </w:r>
      <w:r w:rsidRPr="005562DE">
        <w:rPr>
          <w:highlight w:val="green"/>
          <w:rtl/>
          <w:lang w:val="en-GB"/>
        </w:rPr>
        <w:t>.</w:t>
      </w:r>
    </w:p>
  </w:footnote>
  <w:footnote w:id="220">
    <w:p w14:paraId="055742DC" w14:textId="12B8499E" w:rsidR="000D37DC" w:rsidRPr="005562DE" w:rsidRDefault="000D37DC" w:rsidP="00F9343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L.A. Jacobs, Pursuing Equal Opportunities. The Theory and Practice of Egalitarian Justice, Cambridge University Press, Cambridge, (2004), p. 103</w:t>
      </w:r>
      <w:r w:rsidRPr="005562DE">
        <w:rPr>
          <w:highlight w:val="green"/>
          <w:rtl/>
          <w:lang w:val="en-GB"/>
        </w:rPr>
        <w:t>.</w:t>
      </w:r>
    </w:p>
  </w:footnote>
  <w:footnote w:id="221">
    <w:p w14:paraId="0D021AB0" w14:textId="6F5436B4" w:rsidR="000D37DC" w:rsidRPr="005562DE" w:rsidRDefault="000D37DC"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Watson v. Fort Worth Bank and Trust 487 US 977 (1988)</w:t>
      </w:r>
      <w:r w:rsidRPr="005562DE">
        <w:rPr>
          <w:highlight w:val="green"/>
          <w:rtl/>
          <w:lang w:val="en-GB"/>
        </w:rPr>
        <w:t>.</w:t>
      </w:r>
    </w:p>
  </w:footnote>
  <w:footnote w:id="222">
    <w:p w14:paraId="4026F14A" w14:textId="068F2140" w:rsidR="000D37DC" w:rsidRPr="005562DE" w:rsidRDefault="000D37DC" w:rsidP="00A61C8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Day, J. (2001). Retelling the Story of Affirmative Action: Reflections on a Decade of Federal Jurisprudence in the Public Workplace. California Law Review, 89(1), 59-127.</w:t>
      </w:r>
    </w:p>
  </w:footnote>
  <w:footnote w:id="223">
    <w:p w14:paraId="1634CCA0" w14:textId="10372648" w:rsidR="000D37DC" w:rsidRPr="005562DE" w:rsidRDefault="000D37DC" w:rsidP="00F9343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The Constitution of California, art. 1, 31(a)</w:t>
      </w:r>
      <w:r w:rsidRPr="005562DE">
        <w:rPr>
          <w:highlight w:val="green"/>
          <w:rtl/>
          <w:lang w:val="en-GB"/>
        </w:rPr>
        <w:t xml:space="preserve">, </w:t>
      </w:r>
      <w:hyperlink r:id="rId18" w:history="1">
        <w:r w:rsidRPr="005562DE">
          <w:rPr>
            <w:rStyle w:val="Hyperlink"/>
            <w:highlight w:val="green"/>
            <w:lang w:val="en-GB"/>
          </w:rPr>
          <w:t>http://www.leginfo.ca.gov/.const/.article_1</w:t>
        </w:r>
      </w:hyperlink>
      <w:r w:rsidRPr="005562DE">
        <w:rPr>
          <w:highlight w:val="green"/>
          <w:rtl/>
          <w:lang w:val="en-GB"/>
        </w:rPr>
        <w:t>.</w:t>
      </w:r>
    </w:p>
  </w:footnote>
  <w:footnote w:id="224">
    <w:p w14:paraId="33AC8790" w14:textId="1E3D703A" w:rsidR="000D37DC" w:rsidRPr="005562DE" w:rsidRDefault="000D37DC" w:rsidP="0051611B">
      <w:pPr>
        <w:pStyle w:val="FootnoteText"/>
        <w:bidi w:val="0"/>
        <w:rPr>
          <w:lang w:val="en-GB"/>
        </w:rPr>
      </w:pPr>
      <w:r w:rsidRPr="005562DE">
        <w:rPr>
          <w:rStyle w:val="FootnoteReference"/>
          <w:lang w:val="en-GB"/>
        </w:rPr>
        <w:footnoteRef/>
      </w:r>
      <w:r w:rsidRPr="005562DE">
        <w:rPr>
          <w:lang w:val="en-GB"/>
        </w:rPr>
        <w:t xml:space="preserve"> </w:t>
      </w:r>
      <w:r w:rsidRPr="005562DE">
        <w:rPr>
          <w:highlight w:val="green"/>
          <w:lang w:val="en-GB"/>
        </w:rPr>
        <w:t>Adarand Constructors, Inc. v. Pena, 515 U.S. 200 (1995)</w:t>
      </w:r>
      <w:r w:rsidRPr="005562DE">
        <w:rPr>
          <w:highlight w:val="green"/>
          <w:rtl/>
          <w:lang w:val="en-GB"/>
        </w:rPr>
        <w:t>.</w:t>
      </w:r>
    </w:p>
  </w:footnote>
  <w:footnote w:id="225">
    <w:p w14:paraId="717706AA" w14:textId="03E63AAA" w:rsidR="000D37DC" w:rsidRPr="005562DE" w:rsidRDefault="000D37DC" w:rsidP="00A61C8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K. Monaghan, Equality Law, (Oxford University Press, Oxford, 2007), p. 15</w:t>
      </w:r>
      <w:r w:rsidRPr="005562DE">
        <w:rPr>
          <w:highlight w:val="green"/>
          <w:rtl/>
          <w:lang w:val="en-GB"/>
        </w:rPr>
        <w:t>.</w:t>
      </w:r>
    </w:p>
  </w:footnote>
  <w:footnote w:id="226">
    <w:p w14:paraId="7A1664A4" w14:textId="0151B5AA" w:rsidR="000D37DC" w:rsidRPr="005562DE" w:rsidRDefault="000D37DC" w:rsidP="00F9343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Pr>
          <w:highlight w:val="green"/>
          <w:lang w:val="en-GB"/>
        </w:rPr>
        <w:t>“</w:t>
      </w:r>
      <w:r w:rsidRPr="005562DE">
        <w:rPr>
          <w:highlight w:val="green"/>
          <w:lang w:val="en-GB"/>
        </w:rPr>
        <w:t>Office of Personnel Management</w:t>
      </w:r>
      <w:r>
        <w:rPr>
          <w:highlight w:val="green"/>
          <w:lang w:val="en-GB"/>
        </w:rPr>
        <w:t>”</w:t>
      </w:r>
      <w:r w:rsidRPr="005562DE">
        <w:rPr>
          <w:highlight w:val="green"/>
          <w:lang w:val="en-GB"/>
        </w:rPr>
        <w:t xml:space="preserve"> – website: </w:t>
      </w:r>
      <w:hyperlink r:id="rId19" w:history="1">
        <w:r w:rsidRPr="005562DE">
          <w:rPr>
            <w:rStyle w:val="Hyperlink"/>
            <w:highlight w:val="green"/>
            <w:lang w:val="en-GB"/>
          </w:rPr>
          <w:t>https://www.opm.gov</w:t>
        </w:r>
      </w:hyperlink>
      <w:r w:rsidRPr="005562DE">
        <w:rPr>
          <w:highlight w:val="green"/>
          <w:lang w:val="en-GB"/>
        </w:rPr>
        <w:t>;</w:t>
      </w:r>
    </w:p>
  </w:footnote>
  <w:footnote w:id="227">
    <w:p w14:paraId="05964D8B" w14:textId="72EBA8DD" w:rsidR="000D37DC" w:rsidRPr="005562DE" w:rsidRDefault="000D37DC" w:rsidP="00186164">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Pr>
          <w:highlight w:val="green"/>
          <w:lang w:val="en-GB"/>
        </w:rPr>
        <w:t>“</w:t>
      </w:r>
      <w:r w:rsidRPr="005562DE">
        <w:rPr>
          <w:highlight w:val="green"/>
          <w:lang w:val="en-GB"/>
        </w:rPr>
        <w:t>Minority Recruitment Program</w:t>
      </w:r>
      <w:r>
        <w:rPr>
          <w:highlight w:val="green"/>
          <w:lang w:val="en-GB"/>
        </w:rPr>
        <w:t>”</w:t>
      </w:r>
      <w:r w:rsidRPr="005562DE">
        <w:rPr>
          <w:lang w:val="en-GB"/>
        </w:rPr>
        <w:t>.</w:t>
      </w:r>
    </w:p>
  </w:footnote>
  <w:footnote w:id="228">
    <w:p w14:paraId="484C2177" w14:textId="2A2AD75C" w:rsidR="000D37DC" w:rsidRDefault="000D37DC" w:rsidP="005562DE">
      <w:pPr>
        <w:pStyle w:val="FootnoteText"/>
        <w:bidi w:val="0"/>
        <w:jc w:val="both"/>
        <w:rPr>
          <w:lang w:val="en-GB"/>
        </w:rPr>
      </w:pPr>
      <w:r w:rsidRPr="005562DE">
        <w:rPr>
          <w:rStyle w:val="FootnoteReference"/>
          <w:lang w:val="en-GB"/>
        </w:rPr>
        <w:footnoteRef/>
      </w:r>
      <w:r w:rsidRPr="005562DE">
        <w:rPr>
          <w:lang w:val="en-GB"/>
        </w:rPr>
        <w:t xml:space="preserve"> 5 CFR §720.205(c)-(d)</w:t>
      </w:r>
      <w:r w:rsidRPr="005562DE">
        <w:rPr>
          <w:rtl/>
          <w:lang w:val="en-GB"/>
        </w:rPr>
        <w:t>.</w:t>
      </w:r>
      <w:r w:rsidRPr="005562DE">
        <w:rPr>
          <w:lang w:val="en-GB"/>
        </w:rPr>
        <w:t xml:space="preserve"> See, </w:t>
      </w:r>
      <w:r w:rsidRPr="00A51987">
        <w:rPr>
          <w:i/>
          <w:iCs/>
          <w:lang w:val="en-GB"/>
        </w:rPr>
        <w:t>e.g.</w:t>
      </w:r>
      <w:r>
        <w:rPr>
          <w:lang w:val="en-GB"/>
        </w:rPr>
        <w:t>,</w:t>
      </w:r>
      <w:r w:rsidRPr="005562DE">
        <w:rPr>
          <w:lang w:val="en-GB"/>
        </w:rPr>
        <w:t xml:space="preserve"> the report of the U</w:t>
      </w:r>
      <w:r>
        <w:rPr>
          <w:lang w:val="en-GB"/>
        </w:rPr>
        <w:t>.</w:t>
      </w:r>
      <w:r w:rsidRPr="005562DE">
        <w:rPr>
          <w:lang w:val="en-GB"/>
        </w:rPr>
        <w:t>S</w:t>
      </w:r>
      <w:r>
        <w:rPr>
          <w:lang w:val="en-GB"/>
        </w:rPr>
        <w:t>.</w:t>
      </w:r>
      <w:r w:rsidRPr="005562DE">
        <w:rPr>
          <w:lang w:val="en-GB"/>
        </w:rPr>
        <w:t xml:space="preserve"> Office of Personnel Management concerning employment patterns and representation in federal service as compared with the general civilian market:</w:t>
      </w:r>
    </w:p>
    <w:p w14:paraId="1F3122AD" w14:textId="1C09CC6D" w:rsidR="000D37DC" w:rsidRPr="005562DE" w:rsidRDefault="000D37DC" w:rsidP="00A51987">
      <w:pPr>
        <w:pStyle w:val="FootnoteText"/>
        <w:bidi w:val="0"/>
        <w:jc w:val="both"/>
        <w:rPr>
          <w:lang w:val="en-GB"/>
        </w:rPr>
      </w:pPr>
      <w:hyperlink r:id="rId20" w:history="1">
        <w:r w:rsidRPr="005562DE">
          <w:rPr>
            <w:rStyle w:val="Hyperlink"/>
            <w:lang w:val="en-GB"/>
          </w:rPr>
          <w:t>https://www.opm.gov/policy-data-oversight/diversity-and-inclusion/reports/feorp-2012.pdf</w:t>
        </w:r>
      </w:hyperlink>
      <w:r w:rsidRPr="005562DE">
        <w:rPr>
          <w:lang w:val="en-GB"/>
        </w:rPr>
        <w:t xml:space="preserve"> - the data are represented at page 11 of the report.</w:t>
      </w:r>
    </w:p>
  </w:footnote>
  <w:footnote w:id="229">
    <w:p w14:paraId="202A4ED2" w14:textId="6DBD3B78" w:rsidR="000D37DC" w:rsidRPr="005562DE" w:rsidRDefault="000D37DC" w:rsidP="00186164">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For more detail, see: Krislov, S. (1974) Representative bureaucracy; Prentice Hall: Englewood Cliffs, New Jersey</w:t>
      </w:r>
      <w:r w:rsidRPr="005562DE">
        <w:rPr>
          <w:highlight w:val="green"/>
          <w:rtl/>
          <w:lang w:val="en-GB"/>
        </w:rPr>
        <w:t xml:space="preserve">; </w:t>
      </w:r>
      <w:r w:rsidRPr="005562DE">
        <w:rPr>
          <w:highlight w:val="green"/>
          <w:lang w:val="en-GB"/>
        </w:rPr>
        <w:t>Mosher, F. C. (1982) Democracy and the public service, 2nd ed., New York: OUP</w:t>
      </w:r>
      <w:r w:rsidRPr="005562DE">
        <w:rPr>
          <w:highlight w:val="green"/>
          <w:rtl/>
          <w:lang w:val="en-GB"/>
        </w:rPr>
        <w:t xml:space="preserve">; </w:t>
      </w:r>
      <w:r w:rsidRPr="005562DE">
        <w:rPr>
          <w:highlight w:val="green"/>
          <w:lang w:val="en-GB"/>
        </w:rPr>
        <w:t xml:space="preserve">Kim, P. S. (1994) </w:t>
      </w:r>
      <w:r>
        <w:rPr>
          <w:highlight w:val="green"/>
          <w:lang w:val="en-GB"/>
        </w:rPr>
        <w:t>“</w:t>
      </w:r>
      <w:r w:rsidRPr="005562DE">
        <w:rPr>
          <w:highlight w:val="green"/>
          <w:lang w:val="en-GB"/>
        </w:rPr>
        <w:t>A theoretical overview of representative bureaucracy: synthesis,</w:t>
      </w:r>
      <w:r>
        <w:rPr>
          <w:highlight w:val="green"/>
          <w:lang w:val="en-GB"/>
        </w:rPr>
        <w:t>”</w:t>
      </w:r>
      <w:r w:rsidRPr="005562DE">
        <w:rPr>
          <w:highlight w:val="green"/>
          <w:lang w:val="en-GB"/>
        </w:rPr>
        <w:t xml:space="preserve"> International Review of Administrative Sciences, 60(3): 385-397</w:t>
      </w:r>
      <w:r w:rsidRPr="005562DE">
        <w:rPr>
          <w:highlight w:val="green"/>
          <w:rtl/>
          <w:lang w:val="en-GB"/>
        </w:rPr>
        <w:t>.</w:t>
      </w:r>
    </w:p>
  </w:footnote>
  <w:footnote w:id="230">
    <w:p w14:paraId="031F2200" w14:textId="17202094" w:rsidR="000D37DC" w:rsidRPr="005562DE" w:rsidRDefault="000D37DC" w:rsidP="00186164">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Justice O</w:t>
      </w:r>
      <w:r>
        <w:rPr>
          <w:highlight w:val="green"/>
          <w:lang w:val="en-GB"/>
        </w:rPr>
        <w:t>’</w:t>
      </w:r>
      <w:r w:rsidRPr="005562DE">
        <w:rPr>
          <w:highlight w:val="green"/>
          <w:lang w:val="en-GB"/>
        </w:rPr>
        <w:t>Connor in Adarand Constructors v Peña 515 US 200 (1995)</w:t>
      </w:r>
      <w:r w:rsidRPr="005562DE">
        <w:rPr>
          <w:highlight w:val="green"/>
          <w:rtl/>
          <w:lang w:val="en-GB"/>
        </w:rPr>
        <w:t>.</w:t>
      </w:r>
    </w:p>
  </w:footnote>
  <w:footnote w:id="231">
    <w:p w14:paraId="0532ABB5" w14:textId="3E4269FD" w:rsidR="000D37DC" w:rsidRPr="005562DE" w:rsidRDefault="000D37DC" w:rsidP="00186164">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G. Spann, </w:t>
      </w:r>
      <w:r>
        <w:rPr>
          <w:highlight w:val="green"/>
          <w:lang w:val="en-GB"/>
        </w:rPr>
        <w:t>‘</w:t>
      </w:r>
      <w:r w:rsidRPr="005562DE">
        <w:rPr>
          <w:highlight w:val="green"/>
          <w:lang w:val="en-GB"/>
        </w:rPr>
        <w:t>Pure Politics</w:t>
      </w:r>
      <w:r>
        <w:rPr>
          <w:highlight w:val="green"/>
          <w:lang w:val="en-GB"/>
        </w:rPr>
        <w:t>’</w:t>
      </w:r>
      <w:r w:rsidRPr="005562DE">
        <w:rPr>
          <w:highlight w:val="green"/>
          <w:lang w:val="en-GB"/>
        </w:rPr>
        <w:t xml:space="preserve"> 88 Michigan Law Review 1971 (1990)</w:t>
      </w:r>
      <w:r w:rsidRPr="005562DE">
        <w:rPr>
          <w:highlight w:val="green"/>
          <w:rtl/>
          <w:lang w:val="en-GB"/>
        </w:rPr>
        <w:t>.</w:t>
      </w:r>
    </w:p>
  </w:footnote>
  <w:footnote w:id="232">
    <w:p w14:paraId="43F04D26" w14:textId="6CB02435" w:rsidR="000D37DC" w:rsidRPr="005562DE" w:rsidRDefault="000D37DC" w:rsidP="00186164">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i/>
          <w:iCs/>
          <w:highlight w:val="green"/>
          <w:lang w:val="en-GB"/>
        </w:rPr>
        <w:t>United Steelworkers of America v. Weber</w:t>
      </w:r>
      <w:r w:rsidRPr="005562DE">
        <w:rPr>
          <w:highlight w:val="green"/>
          <w:lang w:val="en-GB"/>
        </w:rPr>
        <w:t xml:space="preserve">, 443 U.S. 193 (1979); and the Bakke affair, </w:t>
      </w:r>
      <w:r w:rsidRPr="005562DE">
        <w:rPr>
          <w:i/>
          <w:iCs/>
          <w:highlight w:val="green"/>
          <w:lang w:val="en-GB"/>
        </w:rPr>
        <w:t>supra</w:t>
      </w:r>
      <w:r w:rsidRPr="005562DE">
        <w:rPr>
          <w:highlight w:val="green"/>
          <w:lang w:val="en-GB"/>
        </w:rPr>
        <w:t>.</w:t>
      </w:r>
    </w:p>
  </w:footnote>
  <w:footnote w:id="233">
    <w:p w14:paraId="18D5B14F" w14:textId="6A90033E" w:rsidR="000D37DC" w:rsidRPr="005562DE" w:rsidRDefault="000D37DC" w:rsidP="00186164">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G.N. Rosenburg, The Hollow Hope: Can Court Bring About Social Change? (University of Chicago Press, Chicago, 1991)</w:t>
      </w:r>
      <w:r w:rsidRPr="005562DE">
        <w:rPr>
          <w:highlight w:val="green"/>
          <w:rtl/>
          <w:lang w:val="en-GB"/>
        </w:rPr>
        <w:t>.</w:t>
      </w:r>
    </w:p>
  </w:footnote>
  <w:footnote w:id="234">
    <w:p w14:paraId="63662EFB" w14:textId="614872EE" w:rsidR="000D37DC" w:rsidRPr="005562DE" w:rsidRDefault="000D37DC"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Susan Sturm &amp; Lani Guinier, </w:t>
      </w:r>
      <w:r w:rsidRPr="005562DE">
        <w:rPr>
          <w:i/>
          <w:iCs/>
          <w:highlight w:val="green"/>
          <w:lang w:val="en-GB"/>
        </w:rPr>
        <w:t>The Future of Affirmative Action: Reclaiming the Innovative Deal</w:t>
      </w:r>
      <w:r w:rsidRPr="005562DE">
        <w:rPr>
          <w:highlight w:val="green"/>
          <w:lang w:val="en-GB"/>
        </w:rPr>
        <w:t>, 84 Cal. L. Rev. 953 (1996).</w:t>
      </w:r>
    </w:p>
  </w:footnote>
  <w:footnote w:id="235">
    <w:p w14:paraId="42640574" w14:textId="479D2F42" w:rsidR="000D37DC" w:rsidRPr="005562DE" w:rsidRDefault="000D37DC" w:rsidP="00A61C8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K. M. Sullivan, </w:t>
      </w:r>
      <w:r>
        <w:rPr>
          <w:highlight w:val="green"/>
          <w:lang w:val="en-GB"/>
        </w:rPr>
        <w:t>“</w:t>
      </w:r>
      <w:r w:rsidRPr="005562DE">
        <w:rPr>
          <w:highlight w:val="green"/>
          <w:lang w:val="en-GB"/>
        </w:rPr>
        <w:t>Dins of Discrimination: Last Term</w:t>
      </w:r>
      <w:r>
        <w:rPr>
          <w:highlight w:val="green"/>
          <w:lang w:val="en-GB"/>
        </w:rPr>
        <w:t>’</w:t>
      </w:r>
      <w:r w:rsidRPr="005562DE">
        <w:rPr>
          <w:highlight w:val="green"/>
          <w:lang w:val="en-GB"/>
        </w:rPr>
        <w:t>s Affirmative Action Cases</w:t>
      </w:r>
      <w:r>
        <w:rPr>
          <w:highlight w:val="green"/>
          <w:lang w:val="en-GB"/>
        </w:rPr>
        <w:t>”</w:t>
      </w:r>
      <w:r w:rsidRPr="005562DE">
        <w:rPr>
          <w:highlight w:val="green"/>
          <w:lang w:val="en-GB"/>
        </w:rPr>
        <w:t xml:space="preserve"> 100 Harv. L. Rev. (1986-87) 78.</w:t>
      </w:r>
    </w:p>
  </w:footnote>
  <w:footnote w:id="236">
    <w:p w14:paraId="4D82529B" w14:textId="3CA8D36A" w:rsidR="000D37DC" w:rsidRPr="005562DE" w:rsidRDefault="000D37DC" w:rsidP="00A61C8A">
      <w:pPr>
        <w:pStyle w:val="FootnoteText"/>
        <w:bidi w:val="0"/>
        <w:jc w:val="both"/>
        <w:rPr>
          <w:lang w:val="en-GB"/>
        </w:rPr>
      </w:pPr>
      <w:r w:rsidRPr="005562DE">
        <w:rPr>
          <w:rStyle w:val="FootnoteReference"/>
          <w:lang w:val="en-GB"/>
        </w:rPr>
        <w:footnoteRef/>
      </w:r>
      <w:r w:rsidRPr="005562DE">
        <w:rPr>
          <w:rtl/>
          <w:lang w:val="en-GB"/>
        </w:rPr>
        <w:t xml:space="preserve"> </w:t>
      </w:r>
      <w:r w:rsidRPr="005562DE">
        <w:rPr>
          <w:lang w:val="en-GB"/>
        </w:rPr>
        <w:t>The issue was settled in the case of Bakke, and was confirmed again twice in 2003 in Gratz and in Grutter.</w:t>
      </w:r>
    </w:p>
  </w:footnote>
  <w:footnote w:id="237">
    <w:p w14:paraId="4D590135" w14:textId="7A8829A2" w:rsidR="000D37DC" w:rsidRPr="005562DE" w:rsidRDefault="000D37DC" w:rsidP="00186164">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Holzer, Harry and Neumark, David (2000) </w:t>
      </w:r>
      <w:r>
        <w:rPr>
          <w:i/>
          <w:iCs/>
          <w:highlight w:val="green"/>
          <w:lang w:val="en-GB"/>
        </w:rPr>
        <w:t>“</w:t>
      </w:r>
      <w:r w:rsidRPr="005562DE">
        <w:rPr>
          <w:i/>
          <w:iCs/>
          <w:highlight w:val="green"/>
          <w:lang w:val="en-GB"/>
        </w:rPr>
        <w:t>Assisting Affirmative Action</w:t>
      </w:r>
      <w:r>
        <w:rPr>
          <w:i/>
          <w:iCs/>
          <w:highlight w:val="green"/>
          <w:lang w:val="en-GB"/>
        </w:rPr>
        <w:t>”</w:t>
      </w:r>
      <w:r w:rsidRPr="005562DE">
        <w:rPr>
          <w:i/>
          <w:iCs/>
          <w:highlight w:val="green"/>
          <w:lang w:val="en-GB"/>
        </w:rPr>
        <w:t xml:space="preserve"> </w:t>
      </w:r>
      <w:r w:rsidRPr="005562DE">
        <w:rPr>
          <w:highlight w:val="green"/>
          <w:lang w:val="en-GB"/>
        </w:rPr>
        <w:t>Journal of Economic Literature, 38, 483-568.</w:t>
      </w:r>
    </w:p>
  </w:footnote>
  <w:footnote w:id="238">
    <w:p w14:paraId="33E1AB05" w14:textId="22F85F4C" w:rsidR="000D37DC" w:rsidRPr="005562DE" w:rsidRDefault="000D37DC" w:rsidP="00186164">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i/>
          <w:iCs/>
          <w:highlight w:val="green"/>
          <w:lang w:val="en-GB"/>
        </w:rPr>
        <w:t xml:space="preserve">Canadian National Railway Co. v. Canada </w:t>
      </w:r>
      <w:r w:rsidRPr="005562DE">
        <w:rPr>
          <w:highlight w:val="green"/>
          <w:lang w:val="en-GB"/>
        </w:rPr>
        <w:t>[1987] 1 SCR 1114</w:t>
      </w:r>
      <w:r w:rsidRPr="005562DE">
        <w:rPr>
          <w:highlight w:val="green"/>
          <w:rtl/>
          <w:lang w:val="en-GB"/>
        </w:rPr>
        <w:t>.</w:t>
      </w:r>
    </w:p>
  </w:footnote>
  <w:footnote w:id="239">
    <w:p w14:paraId="6DBDCD67" w14:textId="0AA606E1" w:rsidR="000D37DC" w:rsidRPr="005562DE" w:rsidRDefault="000D37DC" w:rsidP="005562DE">
      <w:pPr>
        <w:pStyle w:val="FootnoteText"/>
        <w:bidi w:val="0"/>
        <w:jc w:val="both"/>
        <w:rPr>
          <w:lang w:val="en-GB"/>
        </w:rPr>
      </w:pPr>
      <w:r w:rsidRPr="005562DE">
        <w:rPr>
          <w:rStyle w:val="FootnoteReference"/>
          <w:lang w:val="en-GB"/>
        </w:rPr>
        <w:footnoteRef/>
      </w:r>
      <w:r w:rsidRPr="005562DE">
        <w:rPr>
          <w:lang w:val="en-GB"/>
        </w:rPr>
        <w:t xml:space="preserve"> The main instrument that constitutes the basis for merit-based recruitment in the Canadian civil service is the Public Service Employment Act (1967)</w:t>
      </w:r>
      <w:r w:rsidRPr="005562DE">
        <w:rPr>
          <w:rtl/>
          <w:lang w:val="en-GB"/>
        </w:rPr>
        <w:t>,</w:t>
      </w:r>
      <w:r w:rsidRPr="005562DE">
        <w:rPr>
          <w:lang w:val="en-GB"/>
        </w:rPr>
        <w:t xml:space="preserve"> similar to Sections 2301 and 2302 of the United States Code</w:t>
      </w:r>
      <w:r w:rsidRPr="005562DE">
        <w:rPr>
          <w:rtl/>
          <w:lang w:val="en-GB"/>
        </w:rPr>
        <w:t>.</w:t>
      </w:r>
    </w:p>
  </w:footnote>
  <w:footnote w:id="240">
    <w:p w14:paraId="0CB2689A" w14:textId="5C194C44" w:rsidR="000D37DC" w:rsidRPr="005562DE" w:rsidRDefault="000D37DC" w:rsidP="00186164">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Employment Equity Act 1986</w:t>
      </w:r>
      <w:r w:rsidRPr="005562DE">
        <w:rPr>
          <w:highlight w:val="green"/>
          <w:rtl/>
          <w:lang w:val="en-GB"/>
        </w:rPr>
        <w:t>.</w:t>
      </w:r>
    </w:p>
  </w:footnote>
  <w:footnote w:id="241">
    <w:p w14:paraId="09A2139B" w14:textId="43B97F50" w:rsidR="000D37DC" w:rsidRPr="005562DE" w:rsidRDefault="000D37DC" w:rsidP="00186164">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Hiranandani, V. S. (2018). Diversity Management in the Canadian Workplace: Towards an Anti-racism Approach. In T. </w:t>
      </w:r>
      <w:proofErr w:type="gramStart"/>
      <w:r w:rsidRPr="005562DE">
        <w:rPr>
          <w:highlight w:val="green"/>
          <w:lang w:val="en-GB"/>
        </w:rPr>
        <w:t>Das</w:t>
      </w:r>
      <w:proofErr w:type="gramEnd"/>
      <w:r w:rsidRPr="005562DE">
        <w:rPr>
          <w:highlight w:val="green"/>
          <w:lang w:val="en-GB"/>
        </w:rPr>
        <w:t xml:space="preserve"> Gupta, &amp; E. A. (Eds.), </w:t>
      </w:r>
      <w:r w:rsidRPr="005562DE">
        <w:rPr>
          <w:i/>
          <w:iCs/>
          <w:highlight w:val="green"/>
          <w:lang w:val="en-GB"/>
        </w:rPr>
        <w:t>Race and Racialisation </w:t>
      </w:r>
      <w:r w:rsidRPr="005562DE">
        <w:rPr>
          <w:highlight w:val="green"/>
          <w:lang w:val="en-GB"/>
        </w:rPr>
        <w:t>(2. ed.). Canadian Scholars Press.</w:t>
      </w:r>
    </w:p>
  </w:footnote>
  <w:footnote w:id="242">
    <w:p w14:paraId="2774F88B" w14:textId="24CEB4F6" w:rsidR="000D37DC" w:rsidRPr="005562DE" w:rsidRDefault="000D37DC" w:rsidP="00186164">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Employment Equity Act (S.C. 1995, c. 44); accessible at: </w:t>
      </w:r>
      <w:hyperlink r:id="rId21" w:history="1">
        <w:r w:rsidRPr="005562DE">
          <w:rPr>
            <w:rStyle w:val="Hyperlink"/>
            <w:highlight w:val="green"/>
            <w:lang w:val="en-GB"/>
          </w:rPr>
          <w:t>http://laws-lois.justice.gc.ca/eng/acts/e-5.401/page-1.html</w:t>
        </w:r>
      </w:hyperlink>
    </w:p>
  </w:footnote>
  <w:footnote w:id="243">
    <w:p w14:paraId="41519DD3" w14:textId="67871A64" w:rsidR="000D37DC" w:rsidRPr="005562DE" w:rsidRDefault="000D37DC" w:rsidP="00186164">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Employment Equity Act (S.C. 1995, c.33(1)(e))</w:t>
      </w:r>
      <w:r w:rsidRPr="005562DE">
        <w:rPr>
          <w:highlight w:val="green"/>
          <w:rtl/>
          <w:lang w:val="en-GB"/>
        </w:rPr>
        <w:t>.</w:t>
      </w:r>
    </w:p>
  </w:footnote>
  <w:footnote w:id="244">
    <w:p w14:paraId="21EBF3D6" w14:textId="0A991654" w:rsidR="000D37DC" w:rsidRPr="005562DE" w:rsidRDefault="000D37DC" w:rsidP="005562DE">
      <w:pPr>
        <w:pStyle w:val="FootnoteText"/>
        <w:bidi w:val="0"/>
        <w:jc w:val="both"/>
        <w:rPr>
          <w:lang w:val="en-GB"/>
        </w:rPr>
      </w:pPr>
      <w:r w:rsidRPr="005562DE">
        <w:rPr>
          <w:rStyle w:val="FootnoteReference"/>
          <w:lang w:val="en-GB"/>
        </w:rPr>
        <w:footnoteRef/>
      </w:r>
      <w:r w:rsidRPr="005562DE">
        <w:rPr>
          <w:lang w:val="en-GB"/>
        </w:rPr>
        <w:t xml:space="preserve"> Both languages, English, and French, were recogni</w:t>
      </w:r>
      <w:r>
        <w:rPr>
          <w:lang w:val="en-GB"/>
        </w:rPr>
        <w:t>s</w:t>
      </w:r>
      <w:r w:rsidRPr="005562DE">
        <w:rPr>
          <w:lang w:val="en-GB"/>
        </w:rPr>
        <w:t xml:space="preserve">ed as </w:t>
      </w:r>
      <w:r>
        <w:rPr>
          <w:lang w:val="en-GB"/>
        </w:rPr>
        <w:t xml:space="preserve">official languages. </w:t>
      </w:r>
      <w:r w:rsidRPr="005562DE">
        <w:rPr>
          <w:lang w:val="en-GB"/>
        </w:rPr>
        <w:t xml:space="preserve">The Canada Charter of Rights and Freedoms, Canada Act, 1982 </w:t>
      </w:r>
      <w:r>
        <w:rPr>
          <w:lang w:val="en-GB"/>
        </w:rPr>
        <w:t>S</w:t>
      </w:r>
      <w:r w:rsidRPr="005562DE">
        <w:rPr>
          <w:lang w:val="en-GB"/>
        </w:rPr>
        <w:t>.16</w:t>
      </w:r>
      <w:r>
        <w:rPr>
          <w:lang w:val="en-GB"/>
        </w:rPr>
        <w:t xml:space="preserve">, and an Act from 1985 also set the goal of creating equal opportunities in employment at the civil service as between native English and French speakers, </w:t>
      </w:r>
      <w:r w:rsidRPr="005562DE">
        <w:rPr>
          <w:lang w:val="en-GB"/>
        </w:rPr>
        <w:t>Official Languages Act, (1985, c. 31 (4th Supp.)).</w:t>
      </w:r>
    </w:p>
  </w:footnote>
  <w:footnote w:id="245">
    <w:p w14:paraId="1FC108BC" w14:textId="66E15F44" w:rsidR="000D37DC" w:rsidRPr="005562DE" w:rsidRDefault="000D37DC" w:rsidP="00A61C8A">
      <w:pPr>
        <w:pStyle w:val="FootnoteText"/>
        <w:bidi w:val="0"/>
        <w:jc w:val="both"/>
        <w:rPr>
          <w:highlight w:val="green"/>
          <w:lang w:val="en-GB"/>
        </w:rPr>
      </w:pPr>
      <w:r w:rsidRPr="005562DE">
        <w:rPr>
          <w:rStyle w:val="FootnoteReference"/>
          <w:lang w:val="en-GB"/>
        </w:rPr>
        <w:footnoteRef/>
      </w:r>
      <w:r w:rsidRPr="005562DE">
        <w:rPr>
          <w:lang w:val="en-GB"/>
        </w:rPr>
        <w:t xml:space="preserve"> </w:t>
      </w:r>
      <w:r w:rsidRPr="005562DE">
        <w:rPr>
          <w:highlight w:val="green"/>
          <w:lang w:val="en-GB"/>
        </w:rPr>
        <w:t xml:space="preserve">L.S. Laczko </w:t>
      </w:r>
      <w:r w:rsidRPr="005562DE">
        <w:rPr>
          <w:i/>
          <w:iCs/>
          <w:highlight w:val="green"/>
          <w:lang w:val="en-GB"/>
        </w:rPr>
        <w:t>Pluralism and Inequality in Quebec</w:t>
      </w:r>
      <w:r w:rsidRPr="005562DE">
        <w:rPr>
          <w:highlight w:val="green"/>
          <w:lang w:val="en-GB"/>
        </w:rPr>
        <w:t xml:space="preserve"> (Toronto, University of Toronto Press, 1995) 15; Reitz, J. G., &amp; Verma, A. (2004). Immigration, race, and labor: Unionization and wages in the Canadian labor market. Industrial Relations: A Journal of Economy and Society, 43(4), 835-854.</w:t>
      </w:r>
      <w:r w:rsidRPr="005562DE">
        <w:rPr>
          <w:highlight w:val="green"/>
          <w:rtl/>
          <w:lang w:val="en-GB"/>
        </w:rPr>
        <w:t>‏</w:t>
      </w:r>
    </w:p>
  </w:footnote>
  <w:footnote w:id="246">
    <w:p w14:paraId="0BF07971" w14:textId="7C2E0AF6" w:rsidR="000D37DC" w:rsidRPr="005562DE" w:rsidRDefault="000D37DC"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lang w:val="en-GB"/>
        </w:rPr>
        <w:t xml:space="preserve"> R. Breton </w:t>
      </w:r>
      <w:r>
        <w:rPr>
          <w:highlight w:val="green"/>
          <w:lang w:val="en-GB"/>
        </w:rPr>
        <w:t>“</w:t>
      </w:r>
      <w:r w:rsidRPr="005562DE">
        <w:rPr>
          <w:highlight w:val="green"/>
          <w:lang w:val="en-GB"/>
        </w:rPr>
        <w:t>Multiculturalism and Canadian Nation-Building</w:t>
      </w:r>
      <w:r>
        <w:rPr>
          <w:highlight w:val="green"/>
          <w:lang w:val="en-GB"/>
        </w:rPr>
        <w:t>”</w:t>
      </w:r>
      <w:r w:rsidRPr="005562DE">
        <w:rPr>
          <w:highlight w:val="green"/>
          <w:lang w:val="en-GB"/>
        </w:rPr>
        <w:t xml:space="preserve"> </w:t>
      </w:r>
      <w:r w:rsidRPr="005562DE">
        <w:rPr>
          <w:i/>
          <w:iCs/>
          <w:highlight w:val="green"/>
          <w:lang w:val="en-GB"/>
        </w:rPr>
        <w:t>Constitutionalism, Citizenship and Society in Canada</w:t>
      </w:r>
      <w:r w:rsidRPr="005562DE">
        <w:rPr>
          <w:highlight w:val="green"/>
          <w:lang w:val="en-GB"/>
        </w:rPr>
        <w:t xml:space="preserve"> (A. Cairns &amp; C. Williams eds., Toronto, University of Toronto Press, 1985) 27, 56–59; M. Weinfeld </w:t>
      </w:r>
      <w:r>
        <w:rPr>
          <w:highlight w:val="green"/>
          <w:lang w:val="en-GB"/>
        </w:rPr>
        <w:t>“</w:t>
      </w:r>
      <w:r w:rsidRPr="005562DE">
        <w:rPr>
          <w:highlight w:val="green"/>
          <w:lang w:val="en-GB"/>
        </w:rPr>
        <w:t>Canada</w:t>
      </w:r>
      <w:r>
        <w:rPr>
          <w:highlight w:val="green"/>
          <w:lang w:val="en-GB"/>
        </w:rPr>
        <w:t>”</w:t>
      </w:r>
      <w:r w:rsidRPr="005562DE">
        <w:rPr>
          <w:highlight w:val="green"/>
          <w:lang w:val="en-GB"/>
        </w:rPr>
        <w:t xml:space="preserve"> </w:t>
      </w:r>
      <w:r w:rsidRPr="005562DE">
        <w:rPr>
          <w:i/>
          <w:iCs/>
          <w:highlight w:val="green"/>
          <w:lang w:val="en-GB"/>
        </w:rPr>
        <w:t>Protection of Ethnic Minorities: Comparative Perspectives</w:t>
      </w:r>
      <w:r w:rsidRPr="005562DE">
        <w:rPr>
          <w:highlight w:val="green"/>
          <w:lang w:val="en-GB"/>
        </w:rPr>
        <w:t xml:space="preserve"> (R. Wirsing ed., New York, Pergamon Press, 1981) 41, 65–68;</w:t>
      </w:r>
      <w:r w:rsidRPr="005562DE">
        <w:rPr>
          <w:b/>
          <w:bCs/>
          <w:highlight w:val="green"/>
          <w:lang w:val="en-GB"/>
        </w:rPr>
        <w:t xml:space="preserve"> </w:t>
      </w:r>
      <w:r w:rsidRPr="005562DE">
        <w:rPr>
          <w:highlight w:val="green"/>
          <w:lang w:val="en-GB"/>
        </w:rPr>
        <w:t xml:space="preserve">John Samuel and Kogalur Basavarajappa, </w:t>
      </w:r>
      <w:r w:rsidRPr="005562DE">
        <w:rPr>
          <w:i/>
          <w:iCs/>
          <w:highlight w:val="green"/>
          <w:lang w:val="en-GB"/>
        </w:rPr>
        <w:t>The Visible Minority Population in Canada: A Review of Numbers, Growth and Labour Force Issues</w:t>
      </w:r>
      <w:r w:rsidRPr="005562DE">
        <w:rPr>
          <w:highlight w:val="green"/>
          <w:lang w:val="en-GB"/>
        </w:rPr>
        <w:t>, Canadian Studies in Population, Vol. 33.2, 2006, pp. 241-269</w:t>
      </w:r>
    </w:p>
  </w:footnote>
  <w:footnote w:id="247">
    <w:p w14:paraId="68347967" w14:textId="63E71A5B" w:rsidR="000D37DC" w:rsidRPr="005562DE" w:rsidRDefault="000D37DC" w:rsidP="00A61C8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S.J.R Noel </w:t>
      </w:r>
      <w:r>
        <w:rPr>
          <w:highlight w:val="green"/>
          <w:lang w:val="en-GB"/>
        </w:rPr>
        <w:t>“</w:t>
      </w:r>
      <w:r w:rsidRPr="005562DE">
        <w:rPr>
          <w:highlight w:val="green"/>
          <w:lang w:val="en-GB"/>
        </w:rPr>
        <w:t xml:space="preserve">Making the Transition from Hegemonic Regime to Power-Sharing: Northern Ireland </w:t>
      </w:r>
      <w:r w:rsidRPr="005562DE">
        <w:rPr>
          <w:i/>
          <w:iCs/>
          <w:highlight w:val="green"/>
          <w:lang w:val="en-GB"/>
        </w:rPr>
        <w:t>and Canada in Historical Perspective</w:t>
      </w:r>
      <w:r>
        <w:rPr>
          <w:i/>
          <w:iCs/>
          <w:highlight w:val="green"/>
          <w:lang w:val="en-GB"/>
        </w:rPr>
        <w:t>”</w:t>
      </w:r>
      <w:r w:rsidRPr="005562DE">
        <w:rPr>
          <w:i/>
          <w:iCs/>
          <w:highlight w:val="green"/>
          <w:lang w:val="en-GB"/>
        </w:rPr>
        <w:t xml:space="preserve"> Northern Ireland and the Divided World </w:t>
      </w:r>
      <w:r w:rsidRPr="005562DE">
        <w:rPr>
          <w:highlight w:val="green"/>
          <w:lang w:val="en-GB"/>
        </w:rPr>
        <w:t xml:space="preserve">(J. McGarry ed., Oxford, Oxford University Press, 2001) 209; R.L. Watts </w:t>
      </w:r>
      <w:r>
        <w:rPr>
          <w:highlight w:val="green"/>
          <w:lang w:val="en-GB"/>
        </w:rPr>
        <w:t>“</w:t>
      </w:r>
      <w:r w:rsidRPr="005562DE">
        <w:rPr>
          <w:highlight w:val="green"/>
          <w:lang w:val="en-GB"/>
        </w:rPr>
        <w:t>Federalism and Diversity in Canada</w:t>
      </w:r>
      <w:r>
        <w:rPr>
          <w:highlight w:val="green"/>
          <w:lang w:val="en-GB"/>
        </w:rPr>
        <w:t>”</w:t>
      </w:r>
      <w:r w:rsidRPr="005562DE">
        <w:rPr>
          <w:highlight w:val="green"/>
          <w:lang w:val="en-GB"/>
        </w:rPr>
        <w:t xml:space="preserve"> </w:t>
      </w:r>
      <w:r w:rsidRPr="005562DE">
        <w:rPr>
          <w:i/>
          <w:iCs/>
          <w:highlight w:val="green"/>
          <w:lang w:val="en-GB"/>
        </w:rPr>
        <w:t>Autonomy and Ethnicity: Negotiating Competing Claims in Multi-ethnic States (Y. Ghai ed., Cambridge, Cambridge University Press, 2000) 29</w:t>
      </w:r>
    </w:p>
  </w:footnote>
  <w:footnote w:id="248">
    <w:p w14:paraId="1F611000" w14:textId="09BA9B4C" w:rsidR="000D37DC" w:rsidRPr="005562DE" w:rsidRDefault="000D37DC" w:rsidP="00186164">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A.B. Bakan &amp; A. Kobayashi </w:t>
      </w:r>
      <w:r w:rsidRPr="005562DE">
        <w:rPr>
          <w:i/>
          <w:iCs/>
          <w:highlight w:val="green"/>
          <w:lang w:val="en-GB"/>
        </w:rPr>
        <w:t>Employment Equity Policy in Canada: An Interprovincial Comparison</w:t>
      </w:r>
      <w:r w:rsidRPr="005562DE">
        <w:rPr>
          <w:highlight w:val="green"/>
          <w:lang w:val="en-GB"/>
        </w:rPr>
        <w:t xml:space="preserve"> (Ottawa, Status of Women, 2000), available at </w:t>
      </w:r>
      <w:hyperlink r:id="rId22" w:history="1">
        <w:r w:rsidRPr="005562DE">
          <w:rPr>
            <w:rStyle w:val="Hyperlink"/>
            <w:highlight w:val="green"/>
            <w:lang w:val="en-GB"/>
          </w:rPr>
          <w:t>www.swc-cfc.gc.ca</w:t>
        </w:r>
      </w:hyperlink>
      <w:r w:rsidRPr="005562DE">
        <w:rPr>
          <w:highlight w:val="green"/>
          <w:lang w:val="en-GB"/>
        </w:rPr>
        <w:t>;</w:t>
      </w:r>
    </w:p>
  </w:footnote>
  <w:footnote w:id="249">
    <w:p w14:paraId="0BBD378E" w14:textId="04F06E6F" w:rsidR="000D37DC" w:rsidRPr="005562DE" w:rsidRDefault="000D37DC"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The Canada Charter of Rights and Freedoms, Canada Act, 1982 s. 15(2)</w:t>
      </w:r>
      <w:r w:rsidRPr="005562DE">
        <w:rPr>
          <w:highlight w:val="green"/>
          <w:rtl/>
          <w:lang w:val="en-GB"/>
        </w:rPr>
        <w:t>.</w:t>
      </w:r>
    </w:p>
  </w:footnote>
  <w:footnote w:id="250">
    <w:p w14:paraId="67FBC176" w14:textId="56E47A17" w:rsidR="000D37DC" w:rsidRPr="005562DE" w:rsidRDefault="000D37DC" w:rsidP="00A61C8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Abella, Rosalie. 1984. Equality in Employment: A Royal Commission Report, Ottawa. Minister of Supply and Services.</w:t>
      </w:r>
    </w:p>
  </w:footnote>
  <w:footnote w:id="251">
    <w:p w14:paraId="1317D5A7" w14:textId="08CA6797" w:rsidR="000D37DC" w:rsidRPr="005562DE" w:rsidRDefault="000D37DC" w:rsidP="00186164">
      <w:pPr>
        <w:pStyle w:val="FootnoteText"/>
        <w:bidi w:val="0"/>
        <w:jc w:val="both"/>
        <w:rPr>
          <w:highlight w:val="green"/>
          <w:lang w:val="en-GB"/>
        </w:rPr>
      </w:pPr>
      <w:r w:rsidRPr="005562DE">
        <w:rPr>
          <w:rStyle w:val="FootnoteReference"/>
          <w:lang w:val="en-GB"/>
        </w:rPr>
        <w:footnoteRef/>
      </w:r>
      <w:r w:rsidRPr="005562DE">
        <w:rPr>
          <w:rtl/>
          <w:lang w:val="en-GB"/>
        </w:rPr>
        <w:t xml:space="preserve"> </w:t>
      </w:r>
      <w:r w:rsidRPr="005562DE">
        <w:rPr>
          <w:highlight w:val="green"/>
          <w:lang w:val="en-GB"/>
        </w:rPr>
        <w:t>Employment Equity Act 1986.</w:t>
      </w:r>
    </w:p>
  </w:footnote>
  <w:footnote w:id="252">
    <w:p w14:paraId="38E3AE27" w14:textId="6511DDE4" w:rsidR="000D37DC" w:rsidRPr="005562DE" w:rsidRDefault="000D37DC"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lang w:val="en-GB"/>
        </w:rPr>
        <w:t xml:space="preserve"> Employment Equity Act (1995, c.3)</w:t>
      </w:r>
      <w:r w:rsidRPr="005562DE">
        <w:rPr>
          <w:highlight w:val="green"/>
          <w:rtl/>
          <w:lang w:val="en-GB"/>
        </w:rPr>
        <w:t xml:space="preserve"> </w:t>
      </w:r>
    </w:p>
  </w:footnote>
  <w:footnote w:id="253">
    <w:p w14:paraId="717BE3F4" w14:textId="1059F9EF" w:rsidR="000D37DC" w:rsidRPr="005562DE" w:rsidRDefault="000D37DC" w:rsidP="00A61C8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Lois Thwaites, </w:t>
      </w:r>
      <w:r>
        <w:rPr>
          <w:highlight w:val="green"/>
          <w:lang w:val="en-GB"/>
        </w:rPr>
        <w:t>‘</w:t>
      </w:r>
      <w:r w:rsidRPr="005562DE">
        <w:rPr>
          <w:highlight w:val="green"/>
          <w:lang w:val="en-GB"/>
        </w:rPr>
        <w:t>The British Equality Framework is Incapable of Achieving Equality in the Workplace</w:t>
      </w:r>
      <w:r>
        <w:rPr>
          <w:highlight w:val="green"/>
          <w:lang w:val="en-GB"/>
        </w:rPr>
        <w:t>’</w:t>
      </w:r>
      <w:r w:rsidRPr="005562DE">
        <w:rPr>
          <w:highlight w:val="green"/>
          <w:lang w:val="en-GB"/>
        </w:rPr>
        <w:t>, 2 N.E. L. Rev. 137 2014</w:t>
      </w:r>
      <w:r w:rsidRPr="005562DE">
        <w:rPr>
          <w:highlight w:val="green"/>
          <w:rtl/>
          <w:lang w:val="en-GB"/>
        </w:rPr>
        <w:t>.</w:t>
      </w:r>
    </w:p>
  </w:footnote>
  <w:footnote w:id="254">
    <w:p w14:paraId="41104B82" w14:textId="28340A73" w:rsidR="000D37DC" w:rsidRPr="005562DE" w:rsidRDefault="000D37DC" w:rsidP="00186164">
      <w:pPr>
        <w:pStyle w:val="FootnoteText"/>
        <w:bidi w:val="0"/>
        <w:jc w:val="both"/>
        <w:rPr>
          <w:highlight w:val="green"/>
          <w:lang w:val="en-GB"/>
        </w:rPr>
      </w:pPr>
      <w:r w:rsidRPr="005562DE">
        <w:rPr>
          <w:rStyle w:val="FootnoteReference"/>
          <w:highlight w:val="green"/>
          <w:lang w:val="en-GB"/>
        </w:rPr>
        <w:footnoteRef/>
      </w:r>
      <w:r>
        <w:rPr>
          <w:highlight w:val="green"/>
          <w:lang w:val="en-GB"/>
        </w:rPr>
        <w:t xml:space="preserve"> </w:t>
      </w:r>
      <w:r w:rsidRPr="005562DE">
        <w:rPr>
          <w:i/>
          <w:iCs/>
          <w:highlight w:val="green"/>
          <w:lang w:val="en-GB"/>
        </w:rPr>
        <w:t>Canadian National Railway Co. v. Canada (Canadian Human Rights Commission)</w:t>
      </w:r>
      <w:r w:rsidRPr="005562DE">
        <w:rPr>
          <w:highlight w:val="green"/>
          <w:lang w:val="en-GB"/>
        </w:rPr>
        <w:t>, [1987] 1 S.C.R.; and see important judgements rendered thereafter which strengthened the duty imposed on employers:</w:t>
      </w:r>
    </w:p>
    <w:p w14:paraId="5181D66E" w14:textId="3AD244BF" w:rsidR="000D37DC" w:rsidRPr="005562DE" w:rsidRDefault="000D37DC" w:rsidP="00186164">
      <w:pPr>
        <w:pStyle w:val="FootnoteText"/>
        <w:bidi w:val="0"/>
        <w:jc w:val="both"/>
        <w:rPr>
          <w:lang w:val="en-GB"/>
        </w:rPr>
      </w:pPr>
      <w:r w:rsidRPr="005562DE">
        <w:rPr>
          <w:i/>
          <w:iCs/>
          <w:highlight w:val="green"/>
          <w:lang w:val="en-GB"/>
        </w:rPr>
        <w:t>British Columbia (Public Service Employee Relations Commission) v. British Columbia Government and Service Employees</w:t>
      </w:r>
      <w:r>
        <w:rPr>
          <w:i/>
          <w:iCs/>
          <w:highlight w:val="green"/>
          <w:lang w:val="en-GB"/>
        </w:rPr>
        <w:t>’</w:t>
      </w:r>
      <w:r w:rsidRPr="005562DE">
        <w:rPr>
          <w:i/>
          <w:iCs/>
          <w:highlight w:val="green"/>
          <w:lang w:val="en-GB"/>
        </w:rPr>
        <w:t xml:space="preserve"> Union (B.C.G.S.E.U.)</w:t>
      </w:r>
      <w:r w:rsidRPr="005562DE">
        <w:rPr>
          <w:highlight w:val="green"/>
          <w:lang w:val="en-GB"/>
        </w:rPr>
        <w:t xml:space="preserve">, [1999] 3 S.C.R. 3 [Meiorin case]; </w:t>
      </w:r>
      <w:r w:rsidRPr="005562DE">
        <w:rPr>
          <w:i/>
          <w:iCs/>
          <w:highlight w:val="green"/>
          <w:lang w:val="en-GB"/>
        </w:rPr>
        <w:t xml:space="preserve">British Columbia (Superintendent of Motor Vehicles) v. </w:t>
      </w:r>
      <w:r w:rsidRPr="005562DE">
        <w:rPr>
          <w:highlight w:val="green"/>
          <w:lang w:val="en-GB"/>
        </w:rPr>
        <w:t>A</w:t>
      </w:r>
      <w:r>
        <w:rPr>
          <w:highlight w:val="green"/>
          <w:lang w:val="en-GB"/>
        </w:rPr>
        <w:t xml:space="preserve"> </w:t>
      </w:r>
      <w:r w:rsidRPr="005562DE">
        <w:rPr>
          <w:i/>
          <w:iCs/>
          <w:highlight w:val="green"/>
          <w:lang w:val="en-GB"/>
        </w:rPr>
        <w:t>British Columbia (Council of Human Rights)</w:t>
      </w:r>
      <w:r w:rsidRPr="005562DE">
        <w:rPr>
          <w:highlight w:val="green"/>
          <w:lang w:val="en-GB"/>
        </w:rPr>
        <w:t>, [1999] 3 S.C.R. 868 [Grismer case]</w:t>
      </w:r>
      <w:r w:rsidRPr="005562DE">
        <w:rPr>
          <w:i/>
          <w:iCs/>
          <w:highlight w:val="green"/>
          <w:lang w:val="en-GB"/>
        </w:rPr>
        <w:t>.</w:t>
      </w:r>
    </w:p>
  </w:footnote>
  <w:footnote w:id="255">
    <w:p w14:paraId="68353D00" w14:textId="67405C77" w:rsidR="000D37DC" w:rsidRPr="005562DE" w:rsidRDefault="000D37DC" w:rsidP="00E87FDE">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Employment Equity Act (S.C. 1995, c.33(2)).</w:t>
      </w:r>
    </w:p>
  </w:footnote>
  <w:footnote w:id="256">
    <w:p w14:paraId="42773017" w14:textId="77777777" w:rsidR="000D37DC" w:rsidRPr="005562DE" w:rsidRDefault="000D37DC" w:rsidP="00A61C8A">
      <w:pPr>
        <w:pStyle w:val="FootnoteText"/>
        <w:bidi w:val="0"/>
        <w:jc w:val="both"/>
        <w:rPr>
          <w:lang w:val="en-GB"/>
        </w:rPr>
      </w:pPr>
      <w:r w:rsidRPr="005562DE">
        <w:rPr>
          <w:rStyle w:val="FootnoteReference"/>
          <w:highlight w:val="green"/>
          <w:lang w:val="en-GB"/>
        </w:rPr>
        <w:footnoteRef/>
      </w:r>
      <w:r w:rsidRPr="005562DE">
        <w:rPr>
          <w:highlight w:val="green"/>
          <w:lang w:val="en-GB"/>
        </w:rPr>
        <w:t xml:space="preserve"> </w:t>
      </w:r>
      <w:hyperlink r:id="rId23" w:history="1">
        <w:r w:rsidRPr="005562DE">
          <w:rPr>
            <w:rStyle w:val="Hyperlink"/>
            <w:highlight w:val="green"/>
            <w:lang w:val="en-GB"/>
          </w:rPr>
          <w:t>www.parl.gc.ca/InfoComDoc/37/1/HUMA/Studies/Reports/HUMARP9/07-intro-e.htm</w:t>
        </w:r>
      </w:hyperlink>
    </w:p>
    <w:p w14:paraId="61667507" w14:textId="4E48D85E" w:rsidR="000D37DC" w:rsidRPr="005562DE" w:rsidRDefault="000D37DC" w:rsidP="00E87FDE">
      <w:pPr>
        <w:pStyle w:val="FootnoteText"/>
        <w:bidi w:val="0"/>
        <w:jc w:val="both"/>
        <w:rPr>
          <w:highlight w:val="green"/>
          <w:lang w:val="en-GB"/>
        </w:rPr>
      </w:pPr>
      <w:r w:rsidRPr="005562DE">
        <w:rPr>
          <w:highlight w:val="green"/>
          <w:lang w:val="en-GB"/>
        </w:rPr>
        <w:t>And see the last report by the Canadian Human Rights Council, from 2019:</w:t>
      </w:r>
    </w:p>
    <w:p w14:paraId="5BA17579" w14:textId="1CC1500B" w:rsidR="000D37DC" w:rsidRPr="005562DE" w:rsidRDefault="000D37DC" w:rsidP="00E87FDE">
      <w:pPr>
        <w:pStyle w:val="FootnoteText"/>
        <w:bidi w:val="0"/>
        <w:jc w:val="both"/>
        <w:rPr>
          <w:lang w:val="en-GB"/>
        </w:rPr>
      </w:pPr>
      <w:hyperlink r:id="rId24" w:history="1">
        <w:r w:rsidRPr="005562DE">
          <w:rPr>
            <w:rStyle w:val="Hyperlink"/>
            <w:highlight w:val="green"/>
            <w:lang w:val="en-GB"/>
          </w:rPr>
          <w:t>https://www.canada.ca/en/employment-social-development/corporate/portfolio/labour/programs/employment-equity/reports/2019-annual.html</w:t>
        </w:r>
      </w:hyperlink>
    </w:p>
  </w:footnote>
  <w:footnote w:id="257">
    <w:p w14:paraId="54844C7A" w14:textId="490314C2" w:rsidR="000D37DC" w:rsidRPr="005562DE" w:rsidRDefault="000D37DC" w:rsidP="00E87FDE">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Stephanie Bernstein, Marie-Jos6e Dupuis, Guylaine Vall6e, </w:t>
      </w:r>
      <w:r>
        <w:rPr>
          <w:highlight w:val="green"/>
          <w:lang w:val="en-GB"/>
        </w:rPr>
        <w:t>‘</w:t>
      </w:r>
      <w:r w:rsidRPr="005562DE">
        <w:rPr>
          <w:highlight w:val="green"/>
          <w:lang w:val="en-GB"/>
        </w:rPr>
        <w:t>Beyond Formal Equality: Closing the Gender Gap in a Changing Labour Market-A Study of Legislative Solutions Adopted in Canada 15 (2009) The Journal of Legislative Studies 481</w:t>
      </w:r>
      <w:r w:rsidRPr="005562DE">
        <w:rPr>
          <w:highlight w:val="green"/>
          <w:rtl/>
          <w:lang w:val="en-GB"/>
        </w:rPr>
        <w:t>.</w:t>
      </w:r>
    </w:p>
  </w:footnote>
  <w:footnote w:id="258">
    <w:p w14:paraId="7042D0D9" w14:textId="28AB4303" w:rsidR="000D37DC" w:rsidRPr="005562DE" w:rsidRDefault="000D37DC" w:rsidP="00E87FDE">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Nicole Busby, </w:t>
      </w:r>
      <w:r>
        <w:rPr>
          <w:highlight w:val="green"/>
          <w:lang w:val="en-GB"/>
        </w:rPr>
        <w:t>‘</w:t>
      </w:r>
      <w:r w:rsidRPr="005562DE">
        <w:rPr>
          <w:highlight w:val="green"/>
          <w:lang w:val="en-GB"/>
        </w:rPr>
        <w:t>Affirmative Action in Women</w:t>
      </w:r>
      <w:r>
        <w:rPr>
          <w:highlight w:val="green"/>
          <w:lang w:val="en-GB"/>
        </w:rPr>
        <w:t>’</w:t>
      </w:r>
      <w:r w:rsidRPr="005562DE">
        <w:rPr>
          <w:highlight w:val="green"/>
          <w:lang w:val="en-GB"/>
        </w:rPr>
        <w:t>s Employment: Lessons from Canada</w:t>
      </w:r>
      <w:r>
        <w:rPr>
          <w:highlight w:val="green"/>
          <w:lang w:val="en-GB"/>
        </w:rPr>
        <w:t>’</w:t>
      </w:r>
      <w:r w:rsidRPr="005562DE">
        <w:rPr>
          <w:highlight w:val="green"/>
          <w:lang w:val="en-GB"/>
        </w:rPr>
        <w:t xml:space="preserve"> (2006) 33 Journal of Law and Society, 42</w:t>
      </w:r>
      <w:r w:rsidRPr="005562DE">
        <w:rPr>
          <w:highlight w:val="green"/>
          <w:rtl/>
          <w:lang w:val="en-GB"/>
        </w:rPr>
        <w:t>.</w:t>
      </w:r>
    </w:p>
  </w:footnote>
  <w:footnote w:id="259">
    <w:p w14:paraId="5DCB04DC" w14:textId="51E15BFC" w:rsidR="000D37DC" w:rsidRPr="005562DE" w:rsidRDefault="000D37DC" w:rsidP="00E87FDE">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Law and Administration Ordinance, 5708-1948.</w:t>
      </w:r>
    </w:p>
  </w:footnote>
  <w:footnote w:id="260">
    <w:p w14:paraId="611CB6EA" w14:textId="12026E04" w:rsidR="000D37DC" w:rsidRPr="005562DE" w:rsidRDefault="000D37DC" w:rsidP="00E87FDE">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See also: Public Enquiry Committee (1989) </w:t>
      </w:r>
      <w:r w:rsidRPr="005562DE">
        <w:rPr>
          <w:i/>
          <w:iCs/>
          <w:highlight w:val="green"/>
          <w:lang w:val="en-GB"/>
        </w:rPr>
        <w:t xml:space="preserve">A Report: General Inspection of the Civil Service and Other Bodies Supported by State Budget. (The Koberski Committee), Vol. 1. </w:t>
      </w:r>
      <w:r w:rsidRPr="005562DE">
        <w:rPr>
          <w:highlight w:val="green"/>
          <w:lang w:val="en-GB"/>
        </w:rPr>
        <w:t>Government printing office, Jerusalem [in Hebrew].</w:t>
      </w:r>
    </w:p>
  </w:footnote>
  <w:footnote w:id="261">
    <w:p w14:paraId="0CC70DDF" w14:textId="7E24B018" w:rsidR="000D37DC" w:rsidRPr="005562DE" w:rsidRDefault="000D37DC"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Civil Service Law (Appointments) 5719-1959 (hereinafter: </w:t>
      </w:r>
      <w:r w:rsidRPr="005562DE">
        <w:rPr>
          <w:i/>
          <w:iCs/>
          <w:highlight w:val="green"/>
          <w:lang w:val="en-GB"/>
        </w:rPr>
        <w:t xml:space="preserve">Appointments </w:t>
      </w:r>
      <w:proofErr w:type="gramStart"/>
      <w:r w:rsidRPr="005562DE">
        <w:rPr>
          <w:i/>
          <w:iCs/>
          <w:highlight w:val="green"/>
          <w:lang w:val="en-GB"/>
        </w:rPr>
        <w:t>Act</w:t>
      </w:r>
      <w:r w:rsidRPr="005562DE">
        <w:rPr>
          <w:highlight w:val="green"/>
          <w:rtl/>
          <w:lang w:val="en-GB"/>
        </w:rPr>
        <w:t>(</w:t>
      </w:r>
      <w:proofErr w:type="gramEnd"/>
      <w:r w:rsidRPr="005562DE">
        <w:rPr>
          <w:highlight w:val="green"/>
          <w:lang w:val="en-GB"/>
        </w:rPr>
        <w:t>.</w:t>
      </w:r>
    </w:p>
  </w:footnote>
  <w:footnote w:id="262">
    <w:p w14:paraId="2D5C33C1" w14:textId="0C34F5DF" w:rsidR="000D37DC" w:rsidRPr="005562DE" w:rsidRDefault="000D37DC"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Section 19 of the Appointments Act and the remarks of honor Strasberg-Cohen in the </w:t>
      </w:r>
      <w:r w:rsidRPr="005562DE">
        <w:rPr>
          <w:i/>
          <w:iCs/>
          <w:highlight w:val="green"/>
          <w:lang w:val="en-GB"/>
        </w:rPr>
        <w:t>Einstein</w:t>
      </w:r>
      <w:r w:rsidRPr="005562DE">
        <w:rPr>
          <w:highlight w:val="green"/>
          <w:lang w:val="en-GB"/>
        </w:rPr>
        <w:t xml:space="preserve"> case, </w:t>
      </w:r>
      <w:r w:rsidRPr="005562DE">
        <w:rPr>
          <w:i/>
          <w:iCs/>
          <w:highlight w:val="green"/>
          <w:lang w:val="en-GB"/>
        </w:rPr>
        <w:t>supra</w:t>
      </w:r>
      <w:r w:rsidRPr="005562DE">
        <w:rPr>
          <w:highlight w:val="green"/>
          <w:lang w:val="en-GB"/>
        </w:rPr>
        <w:t xml:space="preserve"> note 5.</w:t>
      </w:r>
    </w:p>
  </w:footnote>
  <w:footnote w:id="263">
    <w:p w14:paraId="3FDEAEFC" w14:textId="718496C0" w:rsidR="000D37DC" w:rsidRPr="005562DE" w:rsidRDefault="000D37DC"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Zamir I, </w:t>
      </w:r>
      <w:r w:rsidRPr="005562DE">
        <w:rPr>
          <w:i/>
          <w:iCs/>
          <w:highlight w:val="green"/>
          <w:lang w:val="en-GB"/>
        </w:rPr>
        <w:t>supra</w:t>
      </w:r>
      <w:r w:rsidRPr="005562DE">
        <w:rPr>
          <w:highlight w:val="green"/>
          <w:lang w:val="en-GB"/>
        </w:rPr>
        <w:t xml:space="preserve"> note 2; and </w:t>
      </w:r>
      <w:r w:rsidRPr="005562DE">
        <w:rPr>
          <w:i/>
          <w:iCs/>
          <w:highlight w:val="green"/>
          <w:lang w:val="en-GB"/>
        </w:rPr>
        <w:t>Einstein</w:t>
      </w:r>
      <w:r w:rsidRPr="005562DE">
        <w:rPr>
          <w:highlight w:val="green"/>
          <w:lang w:val="en-GB"/>
        </w:rPr>
        <w:t xml:space="preserve"> case, </w:t>
      </w:r>
      <w:r w:rsidRPr="005562DE">
        <w:rPr>
          <w:i/>
          <w:iCs/>
          <w:highlight w:val="green"/>
          <w:lang w:val="en-GB"/>
        </w:rPr>
        <w:t>supra</w:t>
      </w:r>
      <w:r w:rsidRPr="005562DE">
        <w:rPr>
          <w:highlight w:val="green"/>
          <w:lang w:val="en-GB"/>
        </w:rPr>
        <w:t xml:space="preserve"> note 5, pp. 120-122.</w:t>
      </w:r>
    </w:p>
  </w:footnote>
  <w:footnote w:id="264">
    <w:p w14:paraId="4005D4E7" w14:textId="1D2D1A34" w:rsidR="000D37DC" w:rsidRPr="005562DE" w:rsidRDefault="000D37DC"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HCJ 4566/90 </w:t>
      </w:r>
      <w:r w:rsidRPr="005562DE">
        <w:rPr>
          <w:i/>
          <w:iCs/>
          <w:highlight w:val="green"/>
          <w:lang w:val="en-GB"/>
        </w:rPr>
        <w:t xml:space="preserve">David Dekel v. Minister of Finance, </w:t>
      </w:r>
      <w:r w:rsidRPr="005562DE">
        <w:rPr>
          <w:highlight w:val="green"/>
          <w:lang w:val="en-GB"/>
        </w:rPr>
        <w:t>IsrSC 45(1) 028.</w:t>
      </w:r>
    </w:p>
  </w:footnote>
  <w:footnote w:id="265">
    <w:p w14:paraId="0E76B187" w14:textId="2117AC33" w:rsidR="000D37DC" w:rsidRPr="005562DE" w:rsidRDefault="000D37DC"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HCJ 313/97 </w:t>
      </w:r>
      <w:r w:rsidRPr="005562DE">
        <w:rPr>
          <w:i/>
          <w:iCs/>
          <w:highlight w:val="green"/>
          <w:lang w:val="en-GB"/>
        </w:rPr>
        <w:t xml:space="preserve">Avraham Exclrod v. Deputy Mayor of Jerusalem, </w:t>
      </w:r>
      <w:r w:rsidRPr="005562DE">
        <w:rPr>
          <w:highlight w:val="green"/>
          <w:lang w:val="en-GB"/>
        </w:rPr>
        <w:t>IsrSC 22(1) 80.</w:t>
      </w:r>
    </w:p>
  </w:footnote>
  <w:footnote w:id="266">
    <w:p w14:paraId="06E1BBE9" w14:textId="6E7F2755" w:rsidR="000D37DC" w:rsidRPr="005562DE" w:rsidRDefault="000D37DC"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At the date of the establishment of Israel in 1948.</w:t>
      </w:r>
    </w:p>
  </w:footnote>
  <w:footnote w:id="267">
    <w:p w14:paraId="0363E298" w14:textId="63183CDE" w:rsidR="000D37DC" w:rsidRPr="005562DE" w:rsidRDefault="000D37DC"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Dery D. (1993) </w:t>
      </w:r>
      <w:r w:rsidRPr="005562DE">
        <w:rPr>
          <w:i/>
          <w:iCs/>
          <w:highlight w:val="green"/>
          <w:lang w:val="en-GB"/>
        </w:rPr>
        <w:t xml:space="preserve">Political Appointments in Israel: Between Statehood and Partisanship. </w:t>
      </w:r>
      <w:r w:rsidRPr="005562DE">
        <w:rPr>
          <w:highlight w:val="green"/>
          <w:lang w:val="en-GB"/>
        </w:rPr>
        <w:t>The Israel Democracy Institute, Hakibbutz Hameuchad, Israel [in Hebrew].</w:t>
      </w:r>
    </w:p>
  </w:footnote>
  <w:footnote w:id="268">
    <w:p w14:paraId="7A858747" w14:textId="10C3E44C" w:rsidR="000D37DC" w:rsidRPr="005562DE" w:rsidRDefault="000D37DC" w:rsidP="00A61C8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i/>
          <w:iCs/>
          <w:highlight w:val="green"/>
          <w:lang w:val="en-GB"/>
        </w:rPr>
        <w:t xml:space="preserve">Einstein </w:t>
      </w:r>
      <w:r w:rsidRPr="005562DE">
        <w:rPr>
          <w:highlight w:val="green"/>
          <w:lang w:val="en-GB"/>
        </w:rPr>
        <w:t>case, supra note 5, in p.120.</w:t>
      </w:r>
    </w:p>
  </w:footnote>
  <w:footnote w:id="269">
    <w:p w14:paraId="7546B073" w14:textId="1E5D5654" w:rsidR="000D37DC" w:rsidRPr="005562DE" w:rsidRDefault="000D37DC" w:rsidP="00E87FDE">
      <w:pPr>
        <w:pStyle w:val="FootnoteText"/>
        <w:bidi w:val="0"/>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Section 24 to the Civil Service Appointment Act Bill, 365-1958.</w:t>
      </w:r>
    </w:p>
  </w:footnote>
  <w:footnote w:id="270">
    <w:p w14:paraId="2AA65F12" w14:textId="73E0532E" w:rsidR="000D37DC" w:rsidRPr="005562DE" w:rsidRDefault="000D37DC" w:rsidP="00E87FDE">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N.L.C 44/ 4-20 </w:t>
      </w:r>
      <w:r w:rsidRPr="005562DE">
        <w:rPr>
          <w:i/>
          <w:iCs/>
          <w:highlight w:val="green"/>
          <w:lang w:val="en-GB"/>
        </w:rPr>
        <w:t>Halamish v. Tel Aviv Workers Council</w:t>
      </w:r>
      <w:r w:rsidRPr="005562DE">
        <w:rPr>
          <w:highlight w:val="green"/>
          <w:lang w:val="en-GB"/>
        </w:rPr>
        <w:t>, IsrLC 15, 320.</w:t>
      </w:r>
    </w:p>
  </w:footnote>
  <w:footnote w:id="271">
    <w:p w14:paraId="5F2DE825" w14:textId="19F89293" w:rsidR="000D37DC" w:rsidRPr="005562DE" w:rsidRDefault="000D37DC" w:rsidP="00E87FDE">
      <w:pPr>
        <w:pStyle w:val="FootnoteText"/>
        <w:bidi w:val="0"/>
        <w:jc w:val="both"/>
        <w:rPr>
          <w:highlight w:val="green"/>
          <w:lang w:val="en-GB"/>
        </w:rPr>
      </w:pPr>
      <w:r w:rsidRPr="005562DE">
        <w:rPr>
          <w:rStyle w:val="FootnoteReference"/>
          <w:highlight w:val="green"/>
          <w:lang w:val="en-GB"/>
        </w:rPr>
        <w:footnoteRef/>
      </w:r>
      <w:r w:rsidRPr="005562DE">
        <w:rPr>
          <w:i/>
          <w:iCs/>
          <w:highlight w:val="green"/>
          <w:lang w:val="en-GB"/>
        </w:rPr>
        <w:t xml:space="preserve"> Ibid</w:t>
      </w:r>
      <w:r w:rsidRPr="005562DE">
        <w:rPr>
          <w:highlight w:val="green"/>
          <w:lang w:val="en-GB"/>
        </w:rPr>
        <w:t>. p. 327.</w:t>
      </w:r>
    </w:p>
  </w:footnote>
  <w:footnote w:id="272">
    <w:p w14:paraId="385AEC21" w14:textId="28BB4098" w:rsidR="000D37DC" w:rsidRPr="005562DE" w:rsidRDefault="000D37DC" w:rsidP="00E87FDE">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 xml:space="preserve">N.L.C 53/ 3-171 </w:t>
      </w:r>
      <w:r w:rsidRPr="005562DE">
        <w:rPr>
          <w:i/>
          <w:iCs/>
          <w:highlight w:val="green"/>
          <w:lang w:val="en-GB"/>
        </w:rPr>
        <w:t>Yihiya v. State of Israel</w:t>
      </w:r>
      <w:r w:rsidRPr="005562DE">
        <w:rPr>
          <w:highlight w:val="green"/>
          <w:lang w:val="en-GB"/>
        </w:rPr>
        <w:t>, IsrLC 25, 479, 485.</w:t>
      </w:r>
      <w:r w:rsidRPr="005562DE">
        <w:rPr>
          <w:i/>
          <w:iCs/>
          <w:highlight w:val="green"/>
          <w:lang w:val="en-GB"/>
        </w:rPr>
        <w:t xml:space="preserve"> </w:t>
      </w:r>
      <w:r w:rsidRPr="005562DE">
        <w:rPr>
          <w:highlight w:val="green"/>
          <w:lang w:val="en-GB"/>
        </w:rPr>
        <w:t>In the matter of state companies,</w:t>
      </w:r>
      <w:r w:rsidRPr="005562DE">
        <w:rPr>
          <w:i/>
          <w:iCs/>
          <w:highlight w:val="green"/>
          <w:lang w:val="en-GB"/>
        </w:rPr>
        <w:t xml:space="preserve"> </w:t>
      </w:r>
      <w:r w:rsidRPr="005562DE">
        <w:rPr>
          <w:highlight w:val="green"/>
          <w:lang w:val="en-GB"/>
        </w:rPr>
        <w:t>see State Comptroller</w:t>
      </w:r>
      <w:r>
        <w:rPr>
          <w:highlight w:val="green"/>
          <w:lang w:val="en-GB"/>
        </w:rPr>
        <w:t>’</w:t>
      </w:r>
      <w:r w:rsidRPr="005562DE">
        <w:rPr>
          <w:highlight w:val="green"/>
          <w:lang w:val="en-GB"/>
        </w:rPr>
        <w:t xml:space="preserve">s Office, </w:t>
      </w:r>
      <w:r w:rsidRPr="005562DE">
        <w:rPr>
          <w:i/>
          <w:iCs/>
          <w:highlight w:val="green"/>
          <w:lang w:val="en-GB"/>
        </w:rPr>
        <w:t>Report no. 39</w:t>
      </w:r>
      <w:r w:rsidRPr="005562DE">
        <w:rPr>
          <w:highlight w:val="green"/>
          <w:lang w:val="en-GB"/>
        </w:rPr>
        <w:t>, 1989 (in Hebrew) and State Comptroller</w:t>
      </w:r>
      <w:r>
        <w:rPr>
          <w:highlight w:val="green"/>
          <w:lang w:val="en-GB"/>
        </w:rPr>
        <w:t>’</w:t>
      </w:r>
      <w:r w:rsidRPr="005562DE">
        <w:rPr>
          <w:highlight w:val="green"/>
          <w:lang w:val="en-GB"/>
        </w:rPr>
        <w:t xml:space="preserve">s Office, </w:t>
      </w:r>
      <w:r w:rsidRPr="005562DE">
        <w:rPr>
          <w:i/>
          <w:iCs/>
          <w:highlight w:val="green"/>
          <w:lang w:val="en-GB"/>
        </w:rPr>
        <w:t>Report on</w:t>
      </w:r>
      <w:r w:rsidRPr="005562DE">
        <w:rPr>
          <w:highlight w:val="green"/>
          <w:lang w:val="en-GB"/>
        </w:rPr>
        <w:t xml:space="preserve"> </w:t>
      </w:r>
      <w:r w:rsidRPr="005562DE">
        <w:rPr>
          <w:i/>
          <w:iCs/>
          <w:highlight w:val="green"/>
          <w:lang w:val="en-GB"/>
        </w:rPr>
        <w:t>Appointment of directors of government companies</w:t>
      </w:r>
      <w:r w:rsidRPr="005562DE">
        <w:rPr>
          <w:highlight w:val="green"/>
          <w:lang w:val="en-GB"/>
        </w:rPr>
        <w:t>, Jerusalem: State Comptroller</w:t>
      </w:r>
      <w:r>
        <w:rPr>
          <w:highlight w:val="green"/>
          <w:lang w:val="en-GB"/>
        </w:rPr>
        <w:t>’</w:t>
      </w:r>
      <w:r w:rsidRPr="005562DE">
        <w:rPr>
          <w:highlight w:val="green"/>
          <w:lang w:val="en-GB"/>
        </w:rPr>
        <w:t>s Office, 1989 (in Hebrew).</w:t>
      </w:r>
    </w:p>
  </w:footnote>
  <w:footnote w:id="273">
    <w:p w14:paraId="77853E9C" w14:textId="055BD9B3" w:rsidR="000D37DC" w:rsidRPr="005562DE" w:rsidRDefault="000D37DC" w:rsidP="00E87FDE">
      <w:pPr>
        <w:pStyle w:val="FootnoteText"/>
        <w:bidi w:val="0"/>
        <w:jc w:val="both"/>
        <w:rPr>
          <w:lang w:val="en-GB"/>
        </w:rPr>
      </w:pPr>
      <w:r w:rsidRPr="005562DE">
        <w:rPr>
          <w:rStyle w:val="FootnoteReference"/>
          <w:highlight w:val="green"/>
          <w:lang w:val="en-GB"/>
        </w:rPr>
        <w:footnoteRef/>
      </w:r>
      <w:r>
        <w:rPr>
          <w:highlight w:val="green"/>
          <w:lang w:val="en-GB"/>
        </w:rPr>
        <w:t xml:space="preserve"> “</w:t>
      </w:r>
      <w:r w:rsidRPr="005562DE">
        <w:rPr>
          <w:highlight w:val="green"/>
          <w:lang w:val="en-GB"/>
        </w:rPr>
        <w:t>21.</w:t>
      </w:r>
      <w:r>
        <w:rPr>
          <w:highlight w:val="green"/>
          <w:lang w:val="en-GB"/>
        </w:rPr>
        <w:t xml:space="preserve"> </w:t>
      </w:r>
      <w:r w:rsidRPr="005562DE">
        <w:rPr>
          <w:highlight w:val="green"/>
          <w:lang w:val="en-GB"/>
        </w:rPr>
        <w:t xml:space="preserve">The Government may, on the basis of a proposal from the Service Committee and subject to a published notice in the </w:t>
      </w:r>
      <w:r>
        <w:rPr>
          <w:highlight w:val="green"/>
          <w:lang w:val="en-GB"/>
        </w:rPr>
        <w:t>‘</w:t>
      </w:r>
      <w:r w:rsidRPr="005562DE">
        <w:rPr>
          <w:highlight w:val="green"/>
          <w:lang w:val="en-GB"/>
        </w:rPr>
        <w:t>Reshumot</w:t>
      </w:r>
      <w:r>
        <w:rPr>
          <w:highlight w:val="green"/>
          <w:lang w:val="en-GB"/>
        </w:rPr>
        <w:t>’</w:t>
      </w:r>
      <w:r w:rsidRPr="005562DE">
        <w:rPr>
          <w:highlight w:val="green"/>
          <w:lang w:val="en-GB"/>
        </w:rPr>
        <w:t>, determine jobs and types of jobs to which the tender obligation referred to in section 19 shall not apply, and section 11 shall not apply to the Service Committee proposal; The Service Committee may, whether normally or in a particular case, permit, under conditions to be determined, or unconditionally, an appointment to a position without being declared as aforesaid, if the candidate passes to the civil service under this Act….</w:t>
      </w:r>
      <w:r>
        <w:rPr>
          <w:highlight w:val="green"/>
          <w:lang w:val="en-GB"/>
        </w:rPr>
        <w:t>”</w:t>
      </w:r>
    </w:p>
  </w:footnote>
  <w:footnote w:id="274">
    <w:p w14:paraId="0C4E3187" w14:textId="1B710901" w:rsidR="000D37DC" w:rsidRPr="005562DE" w:rsidRDefault="000D37DC" w:rsidP="00E87FDE">
      <w:pPr>
        <w:pStyle w:val="FootnoteText"/>
        <w:bidi w:val="0"/>
        <w:jc w:val="both"/>
        <w:rPr>
          <w:highlight w:val="green"/>
          <w:lang w:val="en-GB"/>
        </w:rPr>
      </w:pPr>
      <w:r w:rsidRPr="005562DE">
        <w:rPr>
          <w:rStyle w:val="FootnoteReference"/>
          <w:lang w:val="en-GB"/>
        </w:rPr>
        <w:footnoteRef/>
      </w:r>
      <w:r w:rsidRPr="005562DE">
        <w:rPr>
          <w:rtl/>
          <w:lang w:val="en-GB"/>
        </w:rPr>
        <w:t xml:space="preserve"> </w:t>
      </w:r>
      <w:r>
        <w:rPr>
          <w:highlight w:val="green"/>
          <w:lang w:val="en-GB"/>
        </w:rPr>
        <w:t>“</w:t>
      </w:r>
      <w:r w:rsidRPr="005562DE">
        <w:rPr>
          <w:highlight w:val="green"/>
          <w:lang w:val="en-GB"/>
        </w:rPr>
        <w:t>23. A person from one of the positions specified in the Second Schedule to this Law shall not be appointed except with the approval of the Government and under the conditions to be determined; The government may add to and subtract from the list of jobs in the second appendix.</w:t>
      </w:r>
      <w:r>
        <w:rPr>
          <w:highlight w:val="green"/>
          <w:lang w:val="en-GB"/>
        </w:rPr>
        <w:t>”</w:t>
      </w:r>
    </w:p>
  </w:footnote>
  <w:footnote w:id="275">
    <w:p w14:paraId="2998F68C" w14:textId="34B31993" w:rsidR="000D37DC" w:rsidRPr="005562DE" w:rsidRDefault="000D37DC" w:rsidP="00E87FDE">
      <w:pPr>
        <w:pStyle w:val="FootnoteText"/>
        <w:bidi w:val="0"/>
        <w:jc w:val="both"/>
        <w:rPr>
          <w:lang w:val="en-GB"/>
        </w:rPr>
      </w:pPr>
      <w:r w:rsidRPr="005562DE">
        <w:rPr>
          <w:rStyle w:val="FootnoteReference"/>
          <w:highlight w:val="green"/>
          <w:lang w:val="en-GB"/>
        </w:rPr>
        <w:footnoteRef/>
      </w:r>
      <w:r w:rsidRPr="005562DE">
        <w:rPr>
          <w:highlight w:val="green"/>
          <w:lang w:val="en-GB"/>
        </w:rPr>
        <w:t xml:space="preserve"> Paragraph 11.968 of the Civil Service Regulations. See also Israeli Government Resolution No. 345 dated 09.14.1999.</w:t>
      </w:r>
    </w:p>
  </w:footnote>
  <w:footnote w:id="276">
    <w:p w14:paraId="32EDE993" w14:textId="229D6D6C" w:rsidR="000D37DC" w:rsidRPr="005562DE" w:rsidRDefault="000D37DC" w:rsidP="00E87FDE">
      <w:pPr>
        <w:pStyle w:val="FootnoteText"/>
        <w:bidi w:val="0"/>
        <w:jc w:val="both"/>
        <w:rPr>
          <w:highlight w:val="green"/>
          <w:lang w:val="en-GB"/>
        </w:rPr>
      </w:pPr>
      <w:r w:rsidRPr="005562DE">
        <w:rPr>
          <w:rStyle w:val="FootnoteReference"/>
          <w:lang w:val="en-GB"/>
        </w:rPr>
        <w:footnoteRef/>
      </w:r>
      <w:r w:rsidRPr="005562DE">
        <w:rPr>
          <w:rtl/>
          <w:lang w:val="en-GB"/>
        </w:rPr>
        <w:t xml:space="preserve"> </w:t>
      </w:r>
      <w:r w:rsidRPr="005562DE">
        <w:rPr>
          <w:highlight w:val="green"/>
          <w:lang w:val="en-GB"/>
        </w:rPr>
        <w:t xml:space="preserve">HCJ 154/98 </w:t>
      </w:r>
      <w:r w:rsidRPr="005562DE">
        <w:rPr>
          <w:i/>
          <w:iCs/>
          <w:highlight w:val="green"/>
          <w:lang w:val="en-GB"/>
        </w:rPr>
        <w:t xml:space="preserve">Histadrut Haovdim Haclalit v. State of Israel, </w:t>
      </w:r>
      <w:r w:rsidRPr="005562DE">
        <w:rPr>
          <w:highlight w:val="green"/>
          <w:lang w:val="en-GB"/>
        </w:rPr>
        <w:t xml:space="preserve">IsrSC 52(5) 111 [hereinafter: </w:t>
      </w:r>
      <w:r w:rsidRPr="005562DE">
        <w:rPr>
          <w:i/>
          <w:iCs/>
          <w:highlight w:val="green"/>
          <w:lang w:val="en-GB"/>
        </w:rPr>
        <w:t>Einstein Case</w:t>
      </w:r>
      <w:r w:rsidRPr="005562DE">
        <w:rPr>
          <w:highlight w:val="green"/>
          <w:lang w:val="en-GB"/>
        </w:rPr>
        <w:t>].</w:t>
      </w:r>
    </w:p>
  </w:footnote>
  <w:footnote w:id="277">
    <w:p w14:paraId="309EB424" w14:textId="0CC2EE41" w:rsidR="000D37DC" w:rsidRPr="005562DE" w:rsidRDefault="000D37DC" w:rsidP="00E87FDE">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Israeli Government Resolution No. 345, September 1999.</w:t>
      </w:r>
    </w:p>
  </w:footnote>
  <w:footnote w:id="278">
    <w:p w14:paraId="265764F5" w14:textId="5C614469" w:rsidR="000D37DC" w:rsidRPr="005562DE" w:rsidRDefault="000D37DC" w:rsidP="00E87FDE">
      <w:pPr>
        <w:pStyle w:val="FootnoteText"/>
        <w:bidi w:val="0"/>
        <w:jc w:val="both"/>
        <w:rPr>
          <w:lang w:val="en-GB"/>
        </w:rPr>
      </w:pPr>
      <w:r w:rsidRPr="005562DE">
        <w:rPr>
          <w:rStyle w:val="FootnoteReference"/>
          <w:highlight w:val="green"/>
          <w:lang w:val="en-GB"/>
        </w:rPr>
        <w:footnoteRef/>
      </w:r>
      <w:r w:rsidRPr="005562DE">
        <w:rPr>
          <w:highlight w:val="green"/>
          <w:lang w:val="en-GB"/>
        </w:rPr>
        <w:t xml:space="preserve"> Paragraph 11.968 in the civil service regulations. Review regarding the search committees; see State Comptroller</w:t>
      </w:r>
      <w:r>
        <w:rPr>
          <w:highlight w:val="green"/>
          <w:lang w:val="en-GB"/>
        </w:rPr>
        <w:t>’</w:t>
      </w:r>
      <w:r w:rsidRPr="005562DE">
        <w:rPr>
          <w:highlight w:val="green"/>
          <w:lang w:val="en-GB"/>
        </w:rPr>
        <w:t>s Office, Annual Report 61b, 2010.</w:t>
      </w:r>
    </w:p>
  </w:footnote>
  <w:footnote w:id="279">
    <w:p w14:paraId="2886E392" w14:textId="448F985A" w:rsidR="000D37DC" w:rsidRPr="005562DE" w:rsidRDefault="000D37DC" w:rsidP="00E87FDE">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Article 21 of the Appointment Act</w:t>
      </w:r>
      <w:r w:rsidRPr="005562DE">
        <w:rPr>
          <w:highlight w:val="green"/>
          <w:rtl/>
          <w:lang w:val="en-GB"/>
        </w:rPr>
        <w:t>.</w:t>
      </w:r>
    </w:p>
  </w:footnote>
  <w:footnote w:id="280">
    <w:p w14:paraId="44EB2CAD" w14:textId="26B43B82" w:rsidR="000D37DC" w:rsidRPr="005562DE" w:rsidRDefault="000D37DC" w:rsidP="005172CD">
      <w:pPr>
        <w:pStyle w:val="FootnoteText"/>
        <w:bidi w:val="0"/>
        <w:jc w:val="both"/>
        <w:rPr>
          <w:lang w:val="en-GB"/>
        </w:rPr>
      </w:pPr>
      <w:r w:rsidRPr="005562DE">
        <w:rPr>
          <w:rStyle w:val="FootnoteReference"/>
          <w:lang w:val="en-GB"/>
        </w:rPr>
        <w:footnoteRef/>
      </w:r>
      <w:r w:rsidRPr="005562DE">
        <w:rPr>
          <w:rtl/>
          <w:lang w:val="en-GB"/>
        </w:rPr>
        <w:t xml:space="preserve"> </w:t>
      </w:r>
      <w:r w:rsidRPr="005172CD">
        <w:rPr>
          <w:lang w:val="en-GB"/>
        </w:rPr>
        <w:t>Explanatory Notes to the Civil Service (Appointments) (Amendment 11) (Appropriate Representation)</w:t>
      </w:r>
      <w:r>
        <w:rPr>
          <w:lang w:val="en-GB"/>
        </w:rPr>
        <w:t xml:space="preserve"> </w:t>
      </w:r>
      <w:r w:rsidRPr="005172CD">
        <w:rPr>
          <w:lang w:val="en-GB"/>
        </w:rPr>
        <w:t xml:space="preserve">Bill </w:t>
      </w:r>
      <w:r>
        <w:rPr>
          <w:lang w:val="en-GB"/>
        </w:rPr>
        <w:t>2000-</w:t>
      </w:r>
      <w:r w:rsidRPr="005172CD">
        <w:rPr>
          <w:lang w:val="en-GB"/>
        </w:rPr>
        <w:t xml:space="preserve">5764, </w:t>
      </w:r>
      <w:r>
        <w:rPr>
          <w:lang w:val="en-GB"/>
        </w:rPr>
        <w:t>Legislative Bills</w:t>
      </w:r>
      <w:r w:rsidRPr="005172CD">
        <w:rPr>
          <w:lang w:val="en-GB"/>
        </w:rPr>
        <w:t xml:space="preserve"> 496. And the remarks of Minister Y. </w:t>
      </w:r>
      <w:proofErr w:type="spellStart"/>
      <w:r w:rsidRPr="005172CD">
        <w:rPr>
          <w:lang w:val="en-GB"/>
        </w:rPr>
        <w:t>Beilin</w:t>
      </w:r>
      <w:proofErr w:type="spellEnd"/>
      <w:r w:rsidRPr="005172CD">
        <w:rPr>
          <w:lang w:val="en-GB"/>
        </w:rPr>
        <w:t xml:space="preserve">, who presented the reasons for the bill on behalf of the </w:t>
      </w:r>
      <w:r>
        <w:rPr>
          <w:lang w:val="en-GB"/>
        </w:rPr>
        <w:t>g</w:t>
      </w:r>
      <w:r w:rsidRPr="005172CD">
        <w:rPr>
          <w:lang w:val="en-GB"/>
        </w:rPr>
        <w:t xml:space="preserve">overnment, </w:t>
      </w:r>
      <w:r w:rsidRPr="00290168">
        <w:rPr>
          <w:i/>
          <w:iCs/>
          <w:lang w:val="en-GB"/>
        </w:rPr>
        <w:t>Knesset</w:t>
      </w:r>
      <w:r>
        <w:rPr>
          <w:lang w:val="en-GB"/>
        </w:rPr>
        <w:t xml:space="preserve"> Annals, </w:t>
      </w:r>
      <w:r w:rsidRPr="00290168">
        <w:rPr>
          <w:i/>
          <w:iCs/>
          <w:lang w:val="en-GB"/>
        </w:rPr>
        <w:t>Lamed-Zayin-Lamed-Het</w:t>
      </w:r>
      <w:r>
        <w:rPr>
          <w:lang w:val="en-GB"/>
        </w:rPr>
        <w:t xml:space="preserve"> (5760)</w:t>
      </w:r>
      <w:r w:rsidRPr="005172CD">
        <w:rPr>
          <w:lang w:val="en-GB"/>
        </w:rPr>
        <w:t>, 10367</w:t>
      </w:r>
      <w:r w:rsidRPr="005172CD">
        <w:rPr>
          <w:rFonts w:cs="Arial"/>
          <w:rtl/>
          <w:lang w:val="en-GB"/>
        </w:rPr>
        <w:t>.</w:t>
      </w:r>
    </w:p>
  </w:footnote>
  <w:footnote w:id="281">
    <w:p w14:paraId="5402E4A2" w14:textId="7462EC69" w:rsidR="000D37DC" w:rsidRPr="005562DE" w:rsidRDefault="000D37DC" w:rsidP="00A61C8A">
      <w:pPr>
        <w:pStyle w:val="FootnoteText"/>
        <w:bidi w:val="0"/>
        <w:jc w:val="both"/>
        <w:rPr>
          <w:lang w:val="en-GB"/>
        </w:rPr>
      </w:pPr>
      <w:r w:rsidRPr="005562DE">
        <w:rPr>
          <w:rStyle w:val="FootnoteReference"/>
          <w:lang w:val="en-GB"/>
        </w:rPr>
        <w:footnoteRef/>
      </w:r>
      <w:r>
        <w:rPr>
          <w:lang w:val="en-GB"/>
        </w:rPr>
        <w:t xml:space="preserve"> </w:t>
      </w:r>
      <w:r w:rsidRPr="005172CD">
        <w:rPr>
          <w:lang w:val="en-GB"/>
        </w:rPr>
        <w:t>For an extension of the doctrine to appropriate representation, see the case of the Second Women</w:t>
      </w:r>
      <w:r>
        <w:rPr>
          <w:lang w:val="en-GB"/>
        </w:rPr>
        <w:t>’</w:t>
      </w:r>
      <w:r w:rsidRPr="005172CD">
        <w:rPr>
          <w:lang w:val="en-GB"/>
        </w:rPr>
        <w:t xml:space="preserve">s Lobby: HCJ 2671/98 </w:t>
      </w:r>
      <w:r w:rsidRPr="00290168">
        <w:rPr>
          <w:b/>
          <w:bCs/>
          <w:lang w:val="en-GB"/>
        </w:rPr>
        <w:t>The Women’s Lobby in Israel v. Minister of Labor and Welfare</w:t>
      </w:r>
      <w:r w:rsidRPr="005172CD">
        <w:rPr>
          <w:lang w:val="en-GB"/>
        </w:rPr>
        <w:t xml:space="preserve"> (</w:t>
      </w:r>
      <w:r>
        <w:rPr>
          <w:lang w:val="en-GB"/>
        </w:rPr>
        <w:t>issued</w:t>
      </w:r>
      <w:r w:rsidRPr="005172CD">
        <w:rPr>
          <w:lang w:val="en-GB"/>
        </w:rPr>
        <w:t xml:space="preserve"> on </w:t>
      </w:r>
      <w:r>
        <w:rPr>
          <w:lang w:val="en-GB"/>
        </w:rPr>
        <w:t xml:space="preserve">August </w:t>
      </w:r>
      <w:r w:rsidRPr="005172CD">
        <w:rPr>
          <w:lang w:val="en-GB"/>
        </w:rPr>
        <w:t>11</w:t>
      </w:r>
      <w:r>
        <w:rPr>
          <w:lang w:val="en-GB"/>
        </w:rPr>
        <w:t>, 19</w:t>
      </w:r>
      <w:r w:rsidRPr="005172CD">
        <w:rPr>
          <w:lang w:val="en-GB"/>
        </w:rPr>
        <w:t>98)</w:t>
      </w:r>
      <w:r w:rsidRPr="005172CD">
        <w:rPr>
          <w:rFonts w:cs="Arial"/>
          <w:rtl/>
          <w:lang w:val="en-GB"/>
        </w:rPr>
        <w:t>.</w:t>
      </w:r>
    </w:p>
  </w:footnote>
  <w:footnote w:id="282">
    <w:p w14:paraId="2E9FB050" w14:textId="21EEA144" w:rsidR="000D37DC" w:rsidRPr="005562DE" w:rsidRDefault="000D37DC" w:rsidP="00A61C8A">
      <w:pPr>
        <w:pStyle w:val="FootnoteText"/>
        <w:bidi w:val="0"/>
        <w:jc w:val="both"/>
        <w:rPr>
          <w:lang w:val="en-GB"/>
        </w:rPr>
      </w:pPr>
      <w:r w:rsidRPr="005562DE">
        <w:rPr>
          <w:rStyle w:val="FootnoteReference"/>
          <w:lang w:val="en-GB"/>
        </w:rPr>
        <w:footnoteRef/>
      </w:r>
      <w:r w:rsidRPr="005562DE">
        <w:rPr>
          <w:rtl/>
          <w:lang w:val="en-GB"/>
        </w:rPr>
        <w:t xml:space="preserve"> </w:t>
      </w:r>
      <w:r w:rsidRPr="005172CD">
        <w:rPr>
          <w:lang w:val="en-GB"/>
        </w:rPr>
        <w:t xml:space="preserve">HCJ 7068/10 </w:t>
      </w:r>
      <w:r w:rsidRPr="00290168">
        <w:rPr>
          <w:b/>
          <w:bCs/>
          <w:lang w:val="en-GB"/>
        </w:rPr>
        <w:t>Hemi Doron v. Minister of Religious Affairs</w:t>
      </w:r>
      <w:r w:rsidRPr="005172CD">
        <w:rPr>
          <w:lang w:val="en-GB"/>
        </w:rPr>
        <w:t xml:space="preserve"> (</w:t>
      </w:r>
      <w:r>
        <w:rPr>
          <w:lang w:val="en-GB"/>
        </w:rPr>
        <w:t xml:space="preserve">issued </w:t>
      </w:r>
      <w:r w:rsidRPr="005172CD">
        <w:rPr>
          <w:lang w:val="en-GB"/>
        </w:rPr>
        <w:t xml:space="preserve">on </w:t>
      </w:r>
      <w:r>
        <w:rPr>
          <w:lang w:val="en-GB"/>
        </w:rPr>
        <w:t xml:space="preserve">May </w:t>
      </w:r>
      <w:r w:rsidRPr="005172CD">
        <w:rPr>
          <w:lang w:val="en-GB"/>
        </w:rPr>
        <w:t>29</w:t>
      </w:r>
      <w:r>
        <w:rPr>
          <w:lang w:val="en-GB"/>
        </w:rPr>
        <w:t xml:space="preserve">, </w:t>
      </w:r>
      <w:r w:rsidRPr="005172CD">
        <w:rPr>
          <w:lang w:val="en-GB"/>
        </w:rPr>
        <w:t>2011)</w:t>
      </w:r>
      <w:r w:rsidRPr="005172CD">
        <w:rPr>
          <w:rFonts w:cs="Arial"/>
          <w:rtl/>
          <w:lang w:val="en-GB"/>
        </w:rPr>
        <w:t>.</w:t>
      </w:r>
    </w:p>
  </w:footnote>
  <w:footnote w:id="283">
    <w:p w14:paraId="3A851200" w14:textId="1CEE62D9" w:rsidR="000D37DC" w:rsidRPr="005562DE" w:rsidRDefault="000D37DC" w:rsidP="00290168">
      <w:pPr>
        <w:pStyle w:val="FootnoteText"/>
        <w:bidi w:val="0"/>
        <w:jc w:val="both"/>
        <w:rPr>
          <w:lang w:val="en-GB"/>
        </w:rPr>
      </w:pPr>
      <w:r w:rsidRPr="005562DE">
        <w:rPr>
          <w:rStyle w:val="FootnoteReference"/>
          <w:lang w:val="en-GB"/>
        </w:rPr>
        <w:footnoteRef/>
      </w:r>
      <w:r w:rsidRPr="005562DE">
        <w:rPr>
          <w:rtl/>
          <w:lang w:val="en-GB"/>
        </w:rPr>
        <w:t xml:space="preserve"> </w:t>
      </w:r>
      <w:r w:rsidRPr="005172CD">
        <w:rPr>
          <w:lang w:val="en-GB"/>
        </w:rPr>
        <w:t xml:space="preserve">HCJ 2754/02 </w:t>
      </w:r>
      <w:r w:rsidRPr="00290168">
        <w:rPr>
          <w:b/>
          <w:bCs/>
          <w:lang w:val="en-GB"/>
        </w:rPr>
        <w:t>Women’s Lobby in Israel v. Government of Israel and Others</w:t>
      </w:r>
      <w:r w:rsidRPr="005172CD">
        <w:rPr>
          <w:lang w:val="en-GB"/>
        </w:rPr>
        <w:t xml:space="preserve">, </w:t>
      </w:r>
      <w:proofErr w:type="spellStart"/>
      <w:r w:rsidRPr="00290168">
        <w:rPr>
          <w:i/>
          <w:iCs/>
          <w:lang w:val="en-GB"/>
        </w:rPr>
        <w:t>Taf</w:t>
      </w:r>
      <w:proofErr w:type="spellEnd"/>
      <w:r w:rsidRPr="00290168">
        <w:rPr>
          <w:i/>
          <w:iCs/>
          <w:lang w:val="en-GB"/>
        </w:rPr>
        <w:t>-</w:t>
      </w:r>
      <w:proofErr w:type="spellStart"/>
      <w:r w:rsidRPr="00290168">
        <w:rPr>
          <w:i/>
          <w:iCs/>
          <w:lang w:val="en-GB"/>
        </w:rPr>
        <w:t>Kuf</w:t>
      </w:r>
      <w:proofErr w:type="spellEnd"/>
      <w:r w:rsidRPr="00290168">
        <w:rPr>
          <w:i/>
          <w:iCs/>
          <w:lang w:val="en-GB"/>
        </w:rPr>
        <w:t>-</w:t>
      </w:r>
      <w:proofErr w:type="spellStart"/>
      <w:r w:rsidRPr="00290168">
        <w:rPr>
          <w:i/>
          <w:iCs/>
          <w:lang w:val="en-GB"/>
        </w:rPr>
        <w:t>Ayin</w:t>
      </w:r>
      <w:proofErr w:type="spellEnd"/>
      <w:r w:rsidRPr="00290168">
        <w:rPr>
          <w:i/>
          <w:iCs/>
          <w:lang w:val="en-GB"/>
        </w:rPr>
        <w:t>-Lamed</w:t>
      </w:r>
      <w:r w:rsidRPr="005172CD">
        <w:rPr>
          <w:lang w:val="en-GB"/>
        </w:rPr>
        <w:t xml:space="preserve"> 2002 (3) 301</w:t>
      </w:r>
      <w:r w:rsidRPr="005172CD">
        <w:rPr>
          <w:rFonts w:cs="Arial"/>
          <w:rtl/>
          <w:lang w:val="en-GB"/>
        </w:rPr>
        <w:t>.</w:t>
      </w:r>
    </w:p>
  </w:footnote>
  <w:footnote w:id="284">
    <w:p w14:paraId="13FC2E1F" w14:textId="5268549D" w:rsidR="000D37DC" w:rsidRPr="005562DE" w:rsidRDefault="000D37DC" w:rsidP="00A61C8A">
      <w:pPr>
        <w:pStyle w:val="FootnoteText"/>
        <w:bidi w:val="0"/>
        <w:jc w:val="both"/>
        <w:rPr>
          <w:lang w:val="en-GB"/>
        </w:rPr>
      </w:pPr>
      <w:r w:rsidRPr="005562DE">
        <w:rPr>
          <w:rStyle w:val="FootnoteReference"/>
          <w:lang w:val="en-GB"/>
        </w:rPr>
        <w:footnoteRef/>
      </w:r>
      <w:r w:rsidRPr="005562DE">
        <w:rPr>
          <w:rtl/>
          <w:lang w:val="en-GB"/>
        </w:rPr>
        <w:t xml:space="preserve"> </w:t>
      </w:r>
      <w:r w:rsidRPr="005172CD">
        <w:rPr>
          <w:lang w:val="en-GB"/>
        </w:rPr>
        <w:t>Attorney General Guidelines, Appropriate Representation for Certain Sectors, Guideline 1.1503, March 2003</w:t>
      </w:r>
      <w:r w:rsidRPr="005172CD">
        <w:rPr>
          <w:rFonts w:cs="Arial"/>
          <w:rtl/>
          <w:lang w:val="en-GB"/>
        </w:rPr>
        <w:t>.</w:t>
      </w:r>
    </w:p>
  </w:footnote>
  <w:footnote w:id="285">
    <w:p w14:paraId="72A26532" w14:textId="5C4CFBCF" w:rsidR="000D37DC" w:rsidRPr="005562DE" w:rsidRDefault="000D37DC" w:rsidP="00A61C8A">
      <w:pPr>
        <w:pStyle w:val="FootnoteText"/>
        <w:bidi w:val="0"/>
        <w:jc w:val="both"/>
        <w:rPr>
          <w:lang w:val="en-GB"/>
        </w:rPr>
      </w:pPr>
      <w:r w:rsidRPr="005562DE">
        <w:rPr>
          <w:rStyle w:val="FootnoteReference"/>
          <w:lang w:val="en-GB"/>
        </w:rPr>
        <w:footnoteRef/>
      </w:r>
      <w:r w:rsidRPr="005562DE">
        <w:rPr>
          <w:rtl/>
          <w:lang w:val="en-GB"/>
        </w:rPr>
        <w:t xml:space="preserve"> </w:t>
      </w:r>
      <w:r w:rsidRPr="005172CD">
        <w:rPr>
          <w:lang w:val="en-GB"/>
        </w:rPr>
        <w:t xml:space="preserve">HCJ 5660/10 </w:t>
      </w:r>
      <w:r w:rsidRPr="00290168">
        <w:rPr>
          <w:b/>
          <w:bCs/>
          <w:lang w:val="en-GB"/>
        </w:rPr>
        <w:t>‘</w:t>
      </w:r>
      <w:proofErr w:type="spellStart"/>
      <w:r w:rsidRPr="00290168">
        <w:rPr>
          <w:b/>
          <w:bCs/>
          <w:i/>
          <w:iCs/>
          <w:lang w:val="en-GB"/>
        </w:rPr>
        <w:t>Etach</w:t>
      </w:r>
      <w:proofErr w:type="spellEnd"/>
      <w:r w:rsidRPr="00290168">
        <w:rPr>
          <w:b/>
          <w:bCs/>
          <w:lang w:val="en-GB"/>
        </w:rPr>
        <w:t>’ Society Female Jurists for Justice, Women’s Lobby and Others v. Prime Minister of Israel</w:t>
      </w:r>
      <w:r w:rsidRPr="005172CD">
        <w:rPr>
          <w:lang w:val="en-GB"/>
        </w:rPr>
        <w:t xml:space="preserve">, </w:t>
      </w:r>
      <w:r w:rsidRPr="00290168">
        <w:rPr>
          <w:i/>
          <w:iCs/>
          <w:lang w:val="en-GB"/>
        </w:rPr>
        <w:t>Pey-Daled Samech-Daled</w:t>
      </w:r>
      <w:r w:rsidRPr="005172CD">
        <w:rPr>
          <w:lang w:val="en-GB"/>
        </w:rPr>
        <w:t xml:space="preserve"> (1) 504</w:t>
      </w:r>
      <w:r>
        <w:rPr>
          <w:rFonts w:cs="Arial"/>
          <w:lang w:val="en-GB"/>
        </w:rPr>
        <w:t>.</w:t>
      </w:r>
    </w:p>
  </w:footnote>
  <w:footnote w:id="286">
    <w:p w14:paraId="3DC7CF5A" w14:textId="32D2C07D" w:rsidR="000D37DC" w:rsidRPr="005172CD" w:rsidRDefault="000D37DC" w:rsidP="005172CD">
      <w:pPr>
        <w:pStyle w:val="FootnoteText"/>
        <w:bidi w:val="0"/>
        <w:jc w:val="both"/>
        <w:rPr>
          <w:rFonts w:cstheme="minorHAnsi"/>
          <w:lang w:val="en-GB"/>
        </w:rPr>
      </w:pPr>
      <w:r w:rsidRPr="005562DE">
        <w:rPr>
          <w:rStyle w:val="FootnoteReference"/>
          <w:lang w:val="en-GB"/>
        </w:rPr>
        <w:footnoteRef/>
      </w:r>
      <w:r w:rsidRPr="005562DE">
        <w:rPr>
          <w:rtl/>
          <w:lang w:val="en-GB"/>
        </w:rPr>
        <w:t xml:space="preserve"> </w:t>
      </w:r>
      <w:r w:rsidRPr="005172CD">
        <w:rPr>
          <w:rFonts w:cstheme="minorHAnsi"/>
          <w:lang w:val="en-GB"/>
        </w:rPr>
        <w:t>State of Israel Civil Service Commission, Account</w:t>
      </w:r>
      <w:r>
        <w:rPr>
          <w:rFonts w:cstheme="minorHAnsi"/>
          <w:lang w:val="en-GB"/>
        </w:rPr>
        <w:t xml:space="preserve"> </w:t>
      </w:r>
      <w:r w:rsidRPr="005172CD">
        <w:rPr>
          <w:rFonts w:cstheme="minorHAnsi"/>
          <w:lang w:val="en-GB"/>
        </w:rPr>
        <w:t xml:space="preserve">for 2011; State of Israel Civil Service Commission </w:t>
      </w:r>
      <w:r>
        <w:rPr>
          <w:rFonts w:cstheme="minorHAnsi"/>
          <w:lang w:val="en-GB"/>
        </w:rPr>
        <w:t>–</w:t>
      </w:r>
      <w:r w:rsidRPr="005172CD">
        <w:rPr>
          <w:rFonts w:cstheme="minorHAnsi"/>
          <w:lang w:val="en-GB"/>
        </w:rPr>
        <w:t xml:space="preserve"> </w:t>
      </w:r>
      <w:r>
        <w:rPr>
          <w:rFonts w:cstheme="minorHAnsi"/>
          <w:lang w:val="en-GB"/>
        </w:rPr>
        <w:t xml:space="preserve">Department </w:t>
      </w:r>
      <w:r w:rsidRPr="005172CD">
        <w:rPr>
          <w:rFonts w:cstheme="minorHAnsi"/>
          <w:lang w:val="en-GB"/>
        </w:rPr>
        <w:t xml:space="preserve">for the Advancement of Women and </w:t>
      </w:r>
      <w:r>
        <w:rPr>
          <w:rFonts w:cstheme="minorHAnsi"/>
          <w:lang w:val="en-GB"/>
        </w:rPr>
        <w:t>t</w:t>
      </w:r>
      <w:r w:rsidRPr="005172CD">
        <w:rPr>
          <w:rFonts w:cstheme="minorHAnsi"/>
          <w:lang w:val="en-GB"/>
        </w:rPr>
        <w:t>heir Integration, Activity Report for 2011, Adv. Talila Shahal-Rosenfeld, December 2012.</w:t>
      </w:r>
    </w:p>
  </w:footnote>
  <w:footnote w:id="287">
    <w:p w14:paraId="3297E1B1" w14:textId="3139B35F" w:rsidR="000D37DC" w:rsidRPr="005172CD" w:rsidRDefault="000D37DC" w:rsidP="005172CD">
      <w:pPr>
        <w:pStyle w:val="FootnoteText"/>
        <w:bidi w:val="0"/>
        <w:jc w:val="both"/>
        <w:rPr>
          <w:rFonts w:cstheme="minorHAnsi"/>
          <w:lang w:val="en-GB"/>
        </w:rPr>
      </w:pPr>
      <w:r w:rsidRPr="005172CD">
        <w:rPr>
          <w:rStyle w:val="FootnoteReference"/>
          <w:rFonts w:cstheme="minorHAnsi"/>
          <w:lang w:val="en-GB"/>
        </w:rPr>
        <w:footnoteRef/>
      </w:r>
      <w:r>
        <w:rPr>
          <w:rFonts w:cstheme="minorHAnsi"/>
          <w:lang w:val="en-GB"/>
        </w:rPr>
        <w:t xml:space="preserve"> </w:t>
      </w:r>
      <w:r w:rsidRPr="005172CD">
        <w:rPr>
          <w:rFonts w:cstheme="minorHAnsi"/>
          <w:lang w:val="en-GB"/>
        </w:rPr>
        <w:t xml:space="preserve">And active locating in general </w:t>
      </w:r>
      <w:r>
        <w:rPr>
          <w:rFonts w:cstheme="minorHAnsi"/>
          <w:lang w:val="en-GB"/>
        </w:rPr>
        <w:t>–</w:t>
      </w:r>
      <w:r w:rsidRPr="005172CD">
        <w:rPr>
          <w:rFonts w:cstheme="minorHAnsi"/>
          <w:lang w:val="en-GB"/>
        </w:rPr>
        <w:t xml:space="preserve"> although a government decision from 2007 stipulated that active search </w:t>
      </w:r>
      <w:r>
        <w:rPr>
          <w:rFonts w:cstheme="minorHAnsi"/>
          <w:lang w:val="en-GB"/>
        </w:rPr>
        <w:t xml:space="preserve">actions </w:t>
      </w:r>
      <w:r w:rsidRPr="005172CD">
        <w:rPr>
          <w:rFonts w:cstheme="minorHAnsi"/>
          <w:lang w:val="en-GB"/>
        </w:rPr>
        <w:t>should be conducted to locate suitable candidates</w:t>
      </w:r>
      <w:r w:rsidRPr="005172CD">
        <w:rPr>
          <w:rFonts w:cstheme="minorHAnsi"/>
          <w:rtl/>
          <w:lang w:val="en-GB"/>
        </w:rPr>
        <w:t>.</w:t>
      </w:r>
    </w:p>
  </w:footnote>
  <w:footnote w:id="288">
    <w:p w14:paraId="59A5CB84" w14:textId="6CB2891B" w:rsidR="000D37DC" w:rsidRPr="005172CD" w:rsidRDefault="000D37DC" w:rsidP="005172CD">
      <w:pPr>
        <w:pStyle w:val="FootnoteText"/>
        <w:bidi w:val="0"/>
        <w:jc w:val="both"/>
        <w:rPr>
          <w:rFonts w:cstheme="minorHAnsi"/>
          <w:lang w:val="en-GB"/>
        </w:rPr>
      </w:pPr>
      <w:r w:rsidRPr="005172CD">
        <w:rPr>
          <w:rStyle w:val="FootnoteReference"/>
          <w:rFonts w:cstheme="minorHAnsi"/>
          <w:lang w:val="en-GB"/>
        </w:rPr>
        <w:footnoteRef/>
      </w:r>
      <w:r w:rsidRPr="005172CD">
        <w:rPr>
          <w:rFonts w:cstheme="minorHAnsi"/>
          <w:rtl/>
          <w:lang w:val="en-GB"/>
        </w:rPr>
        <w:t xml:space="preserve"> </w:t>
      </w:r>
      <w:proofErr w:type="spellStart"/>
      <w:r w:rsidRPr="005172CD">
        <w:rPr>
          <w:rFonts w:cstheme="minorHAnsi"/>
          <w:lang w:val="en-GB"/>
        </w:rPr>
        <w:t>Eyal</w:t>
      </w:r>
      <w:proofErr w:type="spellEnd"/>
      <w:r w:rsidRPr="005172CD">
        <w:rPr>
          <w:rFonts w:cstheme="minorHAnsi"/>
          <w:lang w:val="en-GB"/>
        </w:rPr>
        <w:t xml:space="preserve"> </w:t>
      </w:r>
      <w:proofErr w:type="spellStart"/>
      <w:r w:rsidRPr="005172CD">
        <w:rPr>
          <w:rFonts w:cstheme="minorHAnsi"/>
          <w:lang w:val="en-GB"/>
        </w:rPr>
        <w:t>Benvenisti</w:t>
      </w:r>
      <w:proofErr w:type="spellEnd"/>
      <w:r w:rsidRPr="005172CD">
        <w:rPr>
          <w:rFonts w:cstheme="minorHAnsi"/>
          <w:lang w:val="en-GB"/>
        </w:rPr>
        <w:t xml:space="preserve"> and Guy </w:t>
      </w:r>
      <w:proofErr w:type="spellStart"/>
      <w:r w:rsidRPr="005172CD">
        <w:rPr>
          <w:rFonts w:cstheme="minorHAnsi"/>
          <w:lang w:val="en-GB"/>
        </w:rPr>
        <w:t>Sagi</w:t>
      </w:r>
      <w:proofErr w:type="spellEnd"/>
      <w:r w:rsidRPr="005172CD">
        <w:rPr>
          <w:rFonts w:cstheme="minorHAnsi"/>
          <w:lang w:val="en-GB"/>
        </w:rPr>
        <w:t xml:space="preserve">, Public Participation in Administrative Procedure, </w:t>
      </w:r>
      <w:r w:rsidRPr="005172CD">
        <w:rPr>
          <w:rFonts w:cstheme="minorHAnsi"/>
          <w:b/>
          <w:bCs/>
          <w:lang w:val="en-GB"/>
        </w:rPr>
        <w:t>Yitzhak Zamir</w:t>
      </w:r>
      <w:r>
        <w:rPr>
          <w:rFonts w:cstheme="minorHAnsi"/>
          <w:b/>
          <w:bCs/>
          <w:lang w:val="en-GB"/>
        </w:rPr>
        <w:t>’</w:t>
      </w:r>
      <w:r w:rsidRPr="005172CD">
        <w:rPr>
          <w:rFonts w:cstheme="minorHAnsi"/>
          <w:b/>
          <w:bCs/>
          <w:lang w:val="en-GB"/>
        </w:rPr>
        <w:t>s Book: On Law, Government and Society</w:t>
      </w:r>
      <w:r w:rsidRPr="005172CD">
        <w:rPr>
          <w:rFonts w:cstheme="minorHAnsi"/>
          <w:lang w:val="en-GB"/>
        </w:rPr>
        <w:t xml:space="preserve"> 119, 126–127</w:t>
      </w:r>
      <w:r w:rsidRPr="005172CD">
        <w:rPr>
          <w:rFonts w:cstheme="minorHAnsi"/>
          <w:rtl/>
          <w:lang w:val="en-GB"/>
        </w:rPr>
        <w:t xml:space="preserve"> (2005).</w:t>
      </w:r>
    </w:p>
  </w:footnote>
  <w:footnote w:id="289">
    <w:p w14:paraId="2FC7FACB" w14:textId="31FD3641" w:rsidR="000D37DC" w:rsidRPr="005562DE" w:rsidRDefault="000D37DC" w:rsidP="00A61C8A">
      <w:pPr>
        <w:pStyle w:val="FootnoteText"/>
        <w:bidi w:val="0"/>
        <w:jc w:val="both"/>
        <w:rPr>
          <w:lang w:val="en-GB"/>
        </w:rPr>
      </w:pPr>
      <w:r w:rsidRPr="005562DE">
        <w:rPr>
          <w:rStyle w:val="FootnoteReference"/>
          <w:lang w:val="en-GB"/>
        </w:rPr>
        <w:footnoteRef/>
      </w:r>
      <w:r w:rsidRPr="005562DE">
        <w:rPr>
          <w:rtl/>
          <w:lang w:val="en-GB"/>
        </w:rPr>
        <w:t xml:space="preserve"> </w:t>
      </w:r>
      <w:r w:rsidRPr="005172CD">
        <w:rPr>
          <w:rFonts w:cstheme="minorHAnsi"/>
          <w:lang w:val="en-GB"/>
        </w:rPr>
        <w:t xml:space="preserve">And enacted </w:t>
      </w:r>
      <w:r>
        <w:rPr>
          <w:rFonts w:cstheme="minorHAnsi"/>
          <w:lang w:val="en-GB"/>
        </w:rPr>
        <w:t>S</w:t>
      </w:r>
      <w:r w:rsidRPr="005172CD">
        <w:rPr>
          <w:rFonts w:cstheme="minorHAnsi"/>
          <w:lang w:val="en-GB"/>
        </w:rPr>
        <w:t>ection 18 of the Government Companies Act (1993</w:t>
      </w:r>
      <w:r>
        <w:rPr>
          <w:rFonts w:cstheme="minorHAnsi"/>
          <w:lang w:val="en-GB"/>
        </w:rPr>
        <w:t xml:space="preserve"> </w:t>
      </w:r>
      <w:r w:rsidRPr="005172CD">
        <w:rPr>
          <w:rFonts w:cstheme="minorHAnsi"/>
          <w:lang w:val="en-GB"/>
        </w:rPr>
        <w:t>Amendment)</w:t>
      </w:r>
      <w:r w:rsidRPr="005172CD">
        <w:rPr>
          <w:rFonts w:cstheme="minorHAnsi"/>
          <w:rtl/>
          <w:lang w:val="en-GB"/>
        </w:rPr>
        <w:t>.</w:t>
      </w:r>
    </w:p>
  </w:footnote>
  <w:footnote w:id="290">
    <w:p w14:paraId="6CBC34E6" w14:textId="3EBA3BAF" w:rsidR="000D37DC" w:rsidRPr="005562DE" w:rsidRDefault="000D37DC" w:rsidP="00A61C8A">
      <w:pPr>
        <w:pStyle w:val="FootnoteText"/>
        <w:bidi w:val="0"/>
        <w:jc w:val="both"/>
        <w:rPr>
          <w:lang w:val="en-GB"/>
        </w:rPr>
      </w:pPr>
      <w:r w:rsidRPr="005562DE">
        <w:rPr>
          <w:rStyle w:val="FootnoteReference"/>
          <w:lang w:val="en-GB"/>
        </w:rPr>
        <w:footnoteRef/>
      </w:r>
      <w:r w:rsidRPr="005562DE">
        <w:rPr>
          <w:rtl/>
          <w:lang w:val="en-GB"/>
        </w:rPr>
        <w:t xml:space="preserve"> </w:t>
      </w:r>
      <w:r w:rsidRPr="005172CD">
        <w:rPr>
          <w:rFonts w:cstheme="minorHAnsi"/>
          <w:lang w:val="en-GB"/>
        </w:rPr>
        <w:t xml:space="preserve">HCJ 454/94 </w:t>
      </w:r>
      <w:r w:rsidRPr="005172CD">
        <w:rPr>
          <w:rFonts w:cstheme="minorHAnsi"/>
          <w:b/>
          <w:bCs/>
          <w:lang w:val="en-GB"/>
        </w:rPr>
        <w:t>The Women</w:t>
      </w:r>
      <w:r>
        <w:rPr>
          <w:rFonts w:cstheme="minorHAnsi"/>
          <w:b/>
          <w:bCs/>
          <w:lang w:val="en-GB"/>
        </w:rPr>
        <w:t>’</w:t>
      </w:r>
      <w:r w:rsidRPr="005172CD">
        <w:rPr>
          <w:rFonts w:cstheme="minorHAnsi"/>
          <w:b/>
          <w:bCs/>
          <w:lang w:val="en-GB"/>
        </w:rPr>
        <w:t>s Lobby in Israel v. The Government of Israel and Others</w:t>
      </w:r>
      <w:r w:rsidRPr="005172CD">
        <w:rPr>
          <w:rFonts w:cstheme="minorHAnsi"/>
          <w:lang w:val="en-GB"/>
        </w:rPr>
        <w:t xml:space="preserve">, </w:t>
      </w:r>
      <w:r w:rsidRPr="00931974">
        <w:rPr>
          <w:rFonts w:cstheme="minorHAnsi"/>
          <w:i/>
          <w:iCs/>
          <w:lang w:val="en-GB"/>
        </w:rPr>
        <w:t>Pey-Daled Mem-Het</w:t>
      </w:r>
      <w:r>
        <w:rPr>
          <w:rFonts w:cstheme="minorHAnsi"/>
          <w:lang w:val="en-GB"/>
        </w:rPr>
        <w:t xml:space="preserve"> </w:t>
      </w:r>
      <w:r w:rsidRPr="005172CD">
        <w:rPr>
          <w:rFonts w:cstheme="minorHAnsi"/>
          <w:lang w:val="en-GB"/>
        </w:rPr>
        <w:t>(5) 501</w:t>
      </w:r>
      <w:r w:rsidRPr="005172CD">
        <w:rPr>
          <w:rFonts w:cstheme="minorHAnsi"/>
          <w:rtl/>
          <w:lang w:val="en-GB"/>
        </w:rPr>
        <w:t>.</w:t>
      </w:r>
    </w:p>
  </w:footnote>
  <w:footnote w:id="291">
    <w:p w14:paraId="465B6EB4" w14:textId="426D4E6A" w:rsidR="000D37DC" w:rsidRPr="005562DE" w:rsidRDefault="000D37DC" w:rsidP="00A61C8A">
      <w:pPr>
        <w:pStyle w:val="FootnoteText"/>
        <w:bidi w:val="0"/>
        <w:jc w:val="both"/>
        <w:rPr>
          <w:lang w:val="en-GB"/>
        </w:rPr>
      </w:pPr>
      <w:r w:rsidRPr="005562DE">
        <w:rPr>
          <w:rStyle w:val="FootnoteReference"/>
          <w:lang w:val="en-GB"/>
        </w:rPr>
        <w:footnoteRef/>
      </w:r>
      <w:r w:rsidRPr="005562DE">
        <w:rPr>
          <w:rtl/>
          <w:lang w:val="en-GB"/>
        </w:rPr>
        <w:t xml:space="preserve"> </w:t>
      </w:r>
      <w:r w:rsidRPr="005172CD">
        <w:rPr>
          <w:rFonts w:cstheme="minorHAnsi"/>
          <w:lang w:val="en-GB"/>
        </w:rPr>
        <w:t xml:space="preserve">HCJ 2671/98 </w:t>
      </w:r>
      <w:r w:rsidRPr="005172CD">
        <w:rPr>
          <w:rFonts w:cstheme="minorHAnsi"/>
          <w:b/>
          <w:bCs/>
          <w:lang w:val="en-GB"/>
        </w:rPr>
        <w:t>The Women</w:t>
      </w:r>
      <w:r>
        <w:rPr>
          <w:rFonts w:cstheme="minorHAnsi"/>
          <w:b/>
          <w:bCs/>
          <w:lang w:val="en-GB"/>
        </w:rPr>
        <w:t>’</w:t>
      </w:r>
      <w:r w:rsidRPr="005172CD">
        <w:rPr>
          <w:rFonts w:cstheme="minorHAnsi"/>
          <w:b/>
          <w:bCs/>
          <w:lang w:val="en-GB"/>
        </w:rPr>
        <w:t>s Lobby in Israel v. Minister of Labour and Welfare</w:t>
      </w:r>
      <w:r w:rsidRPr="005172CD">
        <w:rPr>
          <w:rFonts w:cstheme="minorHAnsi"/>
          <w:lang w:val="en-GB"/>
        </w:rPr>
        <w:t xml:space="preserve">, </w:t>
      </w:r>
      <w:r w:rsidRPr="00931974">
        <w:rPr>
          <w:rFonts w:cstheme="minorHAnsi"/>
          <w:i/>
          <w:iCs/>
          <w:lang w:val="en-GB"/>
        </w:rPr>
        <w:t>Pey-Daled</w:t>
      </w:r>
      <w:r w:rsidRPr="005172CD">
        <w:rPr>
          <w:rFonts w:cstheme="minorHAnsi"/>
          <w:lang w:val="en-GB"/>
        </w:rPr>
        <w:t xml:space="preserve"> </w:t>
      </w:r>
      <w:r w:rsidRPr="00931974">
        <w:rPr>
          <w:rFonts w:cstheme="minorHAnsi"/>
          <w:i/>
          <w:iCs/>
          <w:lang w:val="en-GB"/>
        </w:rPr>
        <w:t>Nun-Bet</w:t>
      </w:r>
      <w:r w:rsidRPr="005172CD">
        <w:rPr>
          <w:rFonts w:cstheme="minorHAnsi"/>
          <w:lang w:val="en-GB"/>
        </w:rPr>
        <w:t xml:space="preserve"> (3) 630</w:t>
      </w:r>
      <w:r w:rsidRPr="005172CD">
        <w:rPr>
          <w:rFonts w:cstheme="minorHAnsi"/>
          <w:rtl/>
          <w:lang w:val="en-GB"/>
        </w:rPr>
        <w:t>.</w:t>
      </w:r>
    </w:p>
  </w:footnote>
  <w:footnote w:id="292">
    <w:p w14:paraId="7589442A" w14:textId="06D9A975" w:rsidR="000D37DC" w:rsidRPr="005562DE" w:rsidRDefault="000D37DC" w:rsidP="00A61C8A">
      <w:pPr>
        <w:pStyle w:val="FootnoteText"/>
        <w:bidi w:val="0"/>
        <w:jc w:val="both"/>
        <w:rPr>
          <w:lang w:val="en-GB"/>
        </w:rPr>
      </w:pPr>
      <w:r w:rsidRPr="005172CD">
        <w:rPr>
          <w:rStyle w:val="FootnoteReference"/>
          <w:highlight w:val="yellow"/>
          <w:lang w:val="en-GB"/>
        </w:rPr>
        <w:footnoteRef/>
      </w:r>
      <w:r w:rsidRPr="005172CD">
        <w:rPr>
          <w:highlight w:val="yellow"/>
          <w:rtl/>
          <w:lang w:val="en-GB"/>
        </w:rPr>
        <w:t xml:space="preserve"> </w:t>
      </w:r>
      <w:r w:rsidRPr="005172CD">
        <w:rPr>
          <w:rFonts w:cstheme="minorHAnsi"/>
          <w:highlight w:val="yellow"/>
          <w:lang w:val="en-GB"/>
        </w:rPr>
        <w:t xml:space="preserve">HCJ 2754/02 </w:t>
      </w:r>
      <w:r w:rsidRPr="005172CD">
        <w:rPr>
          <w:rFonts w:cstheme="minorHAnsi"/>
          <w:b/>
          <w:bCs/>
          <w:highlight w:val="yellow"/>
          <w:lang w:val="en-GB"/>
        </w:rPr>
        <w:t>Women</w:t>
      </w:r>
      <w:r>
        <w:rPr>
          <w:rFonts w:cstheme="minorHAnsi"/>
          <w:b/>
          <w:bCs/>
          <w:highlight w:val="yellow"/>
          <w:lang w:val="en-GB"/>
        </w:rPr>
        <w:t>’</w:t>
      </w:r>
      <w:r w:rsidRPr="005172CD">
        <w:rPr>
          <w:rFonts w:cstheme="minorHAnsi"/>
          <w:b/>
          <w:bCs/>
          <w:highlight w:val="yellow"/>
          <w:lang w:val="en-GB"/>
        </w:rPr>
        <w:t>s Lobby in Israel v. Government of Israel and Others</w:t>
      </w:r>
      <w:r w:rsidRPr="005172CD">
        <w:rPr>
          <w:rFonts w:cstheme="minorHAnsi"/>
          <w:highlight w:val="yellow"/>
          <w:lang w:val="en-GB"/>
        </w:rPr>
        <w:t xml:space="preserve">, Supreme Court Laws </w:t>
      </w:r>
      <w:r w:rsidRPr="00931974">
        <w:rPr>
          <w:rFonts w:cstheme="minorHAnsi"/>
          <w:i/>
          <w:iCs/>
          <w:highlight w:val="yellow"/>
          <w:lang w:val="en-GB"/>
        </w:rPr>
        <w:t>Samech-Gimel</w:t>
      </w:r>
      <w:r>
        <w:rPr>
          <w:rFonts w:cstheme="minorHAnsi"/>
          <w:highlight w:val="yellow"/>
          <w:lang w:val="en-GB"/>
        </w:rPr>
        <w:t xml:space="preserve"> </w:t>
      </w:r>
      <w:r w:rsidRPr="005172CD">
        <w:rPr>
          <w:rFonts w:cstheme="minorHAnsi"/>
          <w:highlight w:val="yellow"/>
          <w:lang w:val="en-GB"/>
        </w:rPr>
        <w:t>146.</w:t>
      </w:r>
    </w:p>
  </w:footnote>
  <w:footnote w:id="293">
    <w:p w14:paraId="6E955452" w14:textId="58816983" w:rsidR="000D37DC" w:rsidRPr="005562DE" w:rsidRDefault="000D37DC" w:rsidP="005172CD">
      <w:pPr>
        <w:pStyle w:val="FootnoteText"/>
        <w:bidi w:val="0"/>
        <w:jc w:val="both"/>
        <w:rPr>
          <w:lang w:val="en-GB"/>
        </w:rPr>
      </w:pPr>
      <w:r w:rsidRPr="005172CD">
        <w:rPr>
          <w:rStyle w:val="FootnoteReference"/>
          <w:highlight w:val="yellow"/>
          <w:lang w:val="en-GB"/>
        </w:rPr>
        <w:footnoteRef/>
      </w:r>
      <w:r w:rsidRPr="005172CD">
        <w:rPr>
          <w:highlight w:val="yellow"/>
          <w:rtl/>
          <w:lang w:val="en-GB"/>
        </w:rPr>
        <w:t xml:space="preserve"> </w:t>
      </w:r>
      <w:r w:rsidRPr="005172CD">
        <w:rPr>
          <w:highlight w:val="yellow"/>
          <w:lang w:val="en-GB"/>
        </w:rPr>
        <w:t>H. Kovarsky Report of the Public-Professional Committee for a Comprehensive Examination of the Civil Service and Supported Bodies from the State Budget (Vol</w:t>
      </w:r>
      <w:r w:rsidRPr="005172CD">
        <w:rPr>
          <w:rFonts w:cs="Arial"/>
          <w:highlight w:val="yellow"/>
          <w:rtl/>
          <w:lang w:val="en-GB"/>
        </w:rPr>
        <w:t>.</w:t>
      </w:r>
      <w:r w:rsidRPr="005172CD">
        <w:rPr>
          <w:rFonts w:cs="Arial"/>
          <w:highlight w:val="yellow"/>
          <w:lang w:val="en-GB"/>
        </w:rPr>
        <w:t xml:space="preserve"> A, 5746), hereinafter: the </w:t>
      </w:r>
      <w:r>
        <w:rPr>
          <w:rFonts w:cs="Arial"/>
          <w:highlight w:val="yellow"/>
          <w:lang w:val="en-GB"/>
        </w:rPr>
        <w:t>‘</w:t>
      </w:r>
      <w:proofErr w:type="spellStart"/>
      <w:r w:rsidRPr="005172CD">
        <w:rPr>
          <w:b/>
          <w:bCs/>
          <w:highlight w:val="yellow"/>
          <w:lang w:val="en-GB"/>
        </w:rPr>
        <w:t>Kovarsky</w:t>
      </w:r>
      <w:proofErr w:type="spellEnd"/>
      <w:r w:rsidRPr="005172CD">
        <w:rPr>
          <w:b/>
          <w:bCs/>
          <w:highlight w:val="yellow"/>
          <w:lang w:val="en-GB"/>
        </w:rPr>
        <w:t xml:space="preserve"> Commission</w:t>
      </w:r>
      <w:r>
        <w:rPr>
          <w:b/>
          <w:bCs/>
          <w:highlight w:val="yellow"/>
          <w:lang w:val="en-GB"/>
        </w:rPr>
        <w:t>’</w:t>
      </w:r>
      <w:r w:rsidRPr="005172CD">
        <w:rPr>
          <w:highlight w:val="yellow"/>
          <w:lang w:val="en-GB"/>
        </w:rPr>
        <w:t>.</w:t>
      </w:r>
    </w:p>
  </w:footnote>
  <w:footnote w:id="294">
    <w:p w14:paraId="659F663C" w14:textId="31E5069A" w:rsidR="000D37DC" w:rsidRPr="005562DE" w:rsidRDefault="000D37DC" w:rsidP="00A61C8A">
      <w:pPr>
        <w:pStyle w:val="FootnoteText"/>
        <w:bidi w:val="0"/>
        <w:jc w:val="both"/>
        <w:rPr>
          <w:lang w:val="en-GB"/>
        </w:rPr>
      </w:pPr>
      <w:r w:rsidRPr="005562DE">
        <w:rPr>
          <w:rStyle w:val="FootnoteReference"/>
          <w:lang w:val="en-GB"/>
        </w:rPr>
        <w:footnoteRef/>
      </w:r>
      <w:r w:rsidRPr="005562DE">
        <w:rPr>
          <w:rtl/>
          <w:lang w:val="en-GB"/>
        </w:rPr>
        <w:t xml:space="preserve"> </w:t>
      </w:r>
      <w:r w:rsidRPr="005172CD">
        <w:rPr>
          <w:lang w:val="en-GB"/>
        </w:rPr>
        <w:t xml:space="preserve">In </w:t>
      </w:r>
      <w:r>
        <w:rPr>
          <w:lang w:val="en-GB"/>
        </w:rPr>
        <w:t>S</w:t>
      </w:r>
      <w:r w:rsidRPr="005172CD">
        <w:rPr>
          <w:lang w:val="en-GB"/>
        </w:rPr>
        <w:t>ection 15(b)(1) of the Appointments Act</w:t>
      </w:r>
      <w:r w:rsidRPr="005172CD">
        <w:rPr>
          <w:rFonts w:cs="Arial"/>
          <w:rtl/>
          <w:lang w:val="en-GB"/>
        </w:rPr>
        <w:t>.</w:t>
      </w:r>
    </w:p>
  </w:footnote>
  <w:footnote w:id="295">
    <w:p w14:paraId="71069BF7" w14:textId="7874DC68" w:rsidR="000D37DC" w:rsidRPr="005562DE" w:rsidRDefault="000D37DC" w:rsidP="00A61C8A">
      <w:pPr>
        <w:pStyle w:val="FootnoteText"/>
        <w:bidi w:val="0"/>
        <w:jc w:val="both"/>
        <w:rPr>
          <w:lang w:val="en-GB"/>
        </w:rPr>
      </w:pPr>
      <w:r w:rsidRPr="005562DE">
        <w:rPr>
          <w:rStyle w:val="FootnoteReference"/>
          <w:lang w:val="en-GB"/>
        </w:rPr>
        <w:footnoteRef/>
      </w:r>
      <w:r w:rsidRPr="005562DE">
        <w:rPr>
          <w:rtl/>
          <w:lang w:val="en-GB"/>
        </w:rPr>
        <w:t xml:space="preserve"> </w:t>
      </w:r>
      <w:r w:rsidRPr="005172CD">
        <w:rPr>
          <w:lang w:val="en-GB"/>
        </w:rPr>
        <w:t xml:space="preserve">In </w:t>
      </w:r>
      <w:r>
        <w:rPr>
          <w:lang w:val="en-GB"/>
        </w:rPr>
        <w:t>S</w:t>
      </w:r>
      <w:r w:rsidRPr="005172CD">
        <w:rPr>
          <w:lang w:val="en-GB"/>
        </w:rPr>
        <w:t>ection 15(b)(2) of the Appointments Act</w:t>
      </w:r>
      <w:r w:rsidRPr="005172CD">
        <w:rPr>
          <w:rFonts w:cs="Arial"/>
          <w:rtl/>
          <w:lang w:val="en-GB"/>
        </w:rPr>
        <w:t>.</w:t>
      </w:r>
    </w:p>
  </w:footnote>
  <w:footnote w:id="296">
    <w:p w14:paraId="382508DF" w14:textId="29ABD35F" w:rsidR="000D37DC" w:rsidRPr="005562DE" w:rsidRDefault="000D37DC" w:rsidP="00A61C8A">
      <w:pPr>
        <w:pStyle w:val="FootnoteText"/>
        <w:bidi w:val="0"/>
        <w:jc w:val="both"/>
        <w:rPr>
          <w:lang w:val="en-GB"/>
        </w:rPr>
      </w:pPr>
      <w:r w:rsidRPr="005562DE">
        <w:rPr>
          <w:rStyle w:val="FootnoteReference"/>
          <w:lang w:val="en-GB"/>
        </w:rPr>
        <w:footnoteRef/>
      </w:r>
      <w:r w:rsidRPr="005562DE">
        <w:rPr>
          <w:rtl/>
          <w:lang w:val="en-GB"/>
        </w:rPr>
        <w:t xml:space="preserve"> </w:t>
      </w:r>
      <w:r w:rsidRPr="005172CD">
        <w:rPr>
          <w:lang w:val="en-GB"/>
        </w:rPr>
        <w:t xml:space="preserve">In </w:t>
      </w:r>
      <w:r>
        <w:rPr>
          <w:lang w:val="en-GB"/>
        </w:rPr>
        <w:t>S</w:t>
      </w:r>
      <w:r w:rsidRPr="005172CD">
        <w:rPr>
          <w:lang w:val="en-GB"/>
        </w:rPr>
        <w:t>ection 15(b)(3) of the Appointments Act</w:t>
      </w:r>
      <w:r w:rsidRPr="005172CD">
        <w:rPr>
          <w:rFonts w:cs="Arial"/>
          <w:rtl/>
          <w:lang w:val="en-GB"/>
        </w:rPr>
        <w:t>.</w:t>
      </w:r>
    </w:p>
  </w:footnote>
  <w:footnote w:id="297">
    <w:p w14:paraId="34E23431" w14:textId="569636E9" w:rsidR="000D37DC" w:rsidRPr="005562DE" w:rsidRDefault="000D37DC" w:rsidP="00A61C8A">
      <w:pPr>
        <w:pStyle w:val="FootnoteText"/>
        <w:bidi w:val="0"/>
        <w:jc w:val="both"/>
        <w:rPr>
          <w:lang w:val="en-GB"/>
        </w:rPr>
      </w:pPr>
      <w:r w:rsidRPr="005562DE">
        <w:rPr>
          <w:rStyle w:val="FootnoteReference"/>
          <w:lang w:val="en-GB"/>
        </w:rPr>
        <w:footnoteRef/>
      </w:r>
      <w:r w:rsidRPr="005562DE">
        <w:rPr>
          <w:rtl/>
          <w:lang w:val="en-GB"/>
        </w:rPr>
        <w:t xml:space="preserve"> </w:t>
      </w:r>
      <w:r w:rsidRPr="005172CD">
        <w:rPr>
          <w:lang w:val="en-GB"/>
        </w:rPr>
        <w:t xml:space="preserve">In the case of women, there is an interpretive dilemma: </w:t>
      </w:r>
      <w:r>
        <w:rPr>
          <w:lang w:val="en-GB"/>
        </w:rPr>
        <w:t>W</w:t>
      </w:r>
      <w:r w:rsidRPr="005172CD">
        <w:rPr>
          <w:lang w:val="en-GB"/>
        </w:rPr>
        <w:t xml:space="preserve">hat are </w:t>
      </w:r>
      <w:r>
        <w:rPr>
          <w:lang w:val="en-GB"/>
        </w:rPr>
        <w:t>‘</w:t>
      </w:r>
      <w:r w:rsidRPr="005172CD">
        <w:rPr>
          <w:lang w:val="en-GB"/>
        </w:rPr>
        <w:t>similar skills</w:t>
      </w:r>
      <w:r>
        <w:rPr>
          <w:lang w:val="en-GB"/>
        </w:rPr>
        <w:t>’</w:t>
      </w:r>
      <w:r w:rsidRPr="005172CD">
        <w:rPr>
          <w:rFonts w:cs="Arial"/>
          <w:rtl/>
          <w:lang w:val="en-GB"/>
        </w:rPr>
        <w:t>?</w:t>
      </w:r>
    </w:p>
  </w:footnote>
  <w:footnote w:id="298">
    <w:p w14:paraId="247AAC31" w14:textId="2402A1EE" w:rsidR="000D37DC" w:rsidRPr="005172CD" w:rsidRDefault="000D37DC" w:rsidP="00A61C8A">
      <w:pPr>
        <w:pStyle w:val="FootnoteText"/>
        <w:bidi w:val="0"/>
        <w:jc w:val="both"/>
        <w:rPr>
          <w:highlight w:val="yellow"/>
          <w:lang w:val="en-GB"/>
        </w:rPr>
      </w:pPr>
      <w:r w:rsidRPr="005562DE">
        <w:rPr>
          <w:rStyle w:val="FootnoteReference"/>
          <w:lang w:val="en-GB"/>
        </w:rPr>
        <w:footnoteRef/>
      </w:r>
      <w:r w:rsidRPr="005562DE">
        <w:rPr>
          <w:rtl/>
          <w:lang w:val="en-GB"/>
        </w:rPr>
        <w:t xml:space="preserve"> </w:t>
      </w:r>
      <w:r w:rsidRPr="005172CD">
        <w:rPr>
          <w:highlight w:val="yellow"/>
          <w:lang w:val="en-GB"/>
        </w:rPr>
        <w:t>Attorney General</w:t>
      </w:r>
      <w:r>
        <w:rPr>
          <w:highlight w:val="yellow"/>
          <w:lang w:val="en-GB"/>
        </w:rPr>
        <w:t>’</w:t>
      </w:r>
      <w:r w:rsidRPr="005172CD">
        <w:rPr>
          <w:highlight w:val="yellow"/>
          <w:lang w:val="en-GB"/>
        </w:rPr>
        <w:t>s Guideline 1.1503</w:t>
      </w:r>
      <w:r>
        <w:rPr>
          <w:highlight w:val="yellow"/>
          <w:lang w:val="en-GB"/>
        </w:rPr>
        <w:t>,</w:t>
      </w:r>
      <w:r w:rsidRPr="005172CD">
        <w:rPr>
          <w:highlight w:val="yellow"/>
          <w:lang w:val="en-GB"/>
        </w:rPr>
        <w:t xml:space="preserve"> March 2003</w:t>
      </w:r>
      <w:r>
        <w:rPr>
          <w:rFonts w:cs="Arial"/>
          <w:highlight w:val="yellow"/>
          <w:lang w:val="en-GB"/>
        </w:rPr>
        <w:t>.</w:t>
      </w:r>
    </w:p>
  </w:footnote>
  <w:footnote w:id="299">
    <w:p w14:paraId="620BF88A" w14:textId="1E62A5CE" w:rsidR="000D37DC" w:rsidRPr="005172CD" w:rsidRDefault="000D37DC" w:rsidP="00A61C8A">
      <w:pPr>
        <w:pStyle w:val="FootnoteText"/>
        <w:bidi w:val="0"/>
        <w:jc w:val="both"/>
        <w:rPr>
          <w:highlight w:val="yellow"/>
          <w:lang w:val="en-GB"/>
        </w:rPr>
      </w:pPr>
      <w:r w:rsidRPr="005172CD">
        <w:rPr>
          <w:rStyle w:val="FootnoteReference"/>
          <w:highlight w:val="yellow"/>
          <w:lang w:val="en-GB"/>
        </w:rPr>
        <w:footnoteRef/>
      </w:r>
      <w:r w:rsidRPr="005172CD">
        <w:rPr>
          <w:highlight w:val="yellow"/>
          <w:rtl/>
          <w:lang w:val="en-GB"/>
        </w:rPr>
        <w:t xml:space="preserve"> </w:t>
      </w:r>
      <w:r w:rsidRPr="005172CD">
        <w:rPr>
          <w:highlight w:val="yellow"/>
          <w:lang w:val="en-GB"/>
        </w:rPr>
        <w:t xml:space="preserve">In HCJ 6924/98, </w:t>
      </w:r>
      <w:r w:rsidRPr="00FB2F3B">
        <w:rPr>
          <w:b/>
          <w:bCs/>
          <w:highlight w:val="yellow"/>
          <w:lang w:val="en-GB"/>
        </w:rPr>
        <w:t xml:space="preserve">The Association for Civil Rights </w:t>
      </w:r>
      <w:r>
        <w:rPr>
          <w:b/>
          <w:bCs/>
          <w:highlight w:val="yellow"/>
          <w:lang w:val="en-GB"/>
        </w:rPr>
        <w:t xml:space="preserve">in Israel </w:t>
      </w:r>
      <w:r w:rsidRPr="00FB2F3B">
        <w:rPr>
          <w:b/>
          <w:bCs/>
          <w:highlight w:val="yellow"/>
          <w:lang w:val="en-GB"/>
        </w:rPr>
        <w:t xml:space="preserve">v. </w:t>
      </w:r>
      <w:r>
        <w:rPr>
          <w:b/>
          <w:bCs/>
          <w:highlight w:val="yellow"/>
          <w:lang w:val="en-GB"/>
        </w:rPr>
        <w:t xml:space="preserve">The </w:t>
      </w:r>
      <w:r w:rsidRPr="00FB2F3B">
        <w:rPr>
          <w:b/>
          <w:bCs/>
          <w:highlight w:val="yellow"/>
          <w:lang w:val="en-GB"/>
        </w:rPr>
        <w:t>Government of Israel</w:t>
      </w:r>
      <w:r w:rsidRPr="005172CD">
        <w:rPr>
          <w:highlight w:val="yellow"/>
          <w:lang w:val="en-GB"/>
        </w:rPr>
        <w:t xml:space="preserve">, </w:t>
      </w:r>
      <w:r w:rsidRPr="00FB2F3B">
        <w:rPr>
          <w:i/>
          <w:iCs/>
          <w:highlight w:val="yellow"/>
          <w:lang w:val="en-GB"/>
        </w:rPr>
        <w:t>Pey-Daled</w:t>
      </w:r>
      <w:r w:rsidRPr="005172CD">
        <w:rPr>
          <w:highlight w:val="yellow"/>
          <w:lang w:val="en-GB"/>
        </w:rPr>
        <w:t xml:space="preserve"> </w:t>
      </w:r>
      <w:r w:rsidRPr="00FB2F3B">
        <w:rPr>
          <w:i/>
          <w:iCs/>
          <w:highlight w:val="yellow"/>
          <w:lang w:val="en-GB"/>
        </w:rPr>
        <w:t>Nun-Heh</w:t>
      </w:r>
      <w:r w:rsidRPr="005172CD">
        <w:rPr>
          <w:highlight w:val="yellow"/>
          <w:lang w:val="en-GB"/>
        </w:rPr>
        <w:t xml:space="preserve"> (5) 15, 41</w:t>
      </w:r>
      <w:r w:rsidRPr="005172CD">
        <w:rPr>
          <w:rFonts w:cs="Arial"/>
          <w:highlight w:val="yellow"/>
          <w:rtl/>
          <w:lang w:val="en-GB"/>
        </w:rPr>
        <w:t>.</w:t>
      </w:r>
    </w:p>
  </w:footnote>
  <w:footnote w:id="300">
    <w:p w14:paraId="4A3C32BC" w14:textId="24C31509" w:rsidR="000D37DC" w:rsidRPr="005562DE" w:rsidRDefault="000D37DC" w:rsidP="005172CD">
      <w:pPr>
        <w:pStyle w:val="FootnoteText"/>
        <w:bidi w:val="0"/>
        <w:jc w:val="both"/>
        <w:rPr>
          <w:lang w:val="en-GB"/>
        </w:rPr>
      </w:pPr>
      <w:r w:rsidRPr="005172CD">
        <w:rPr>
          <w:rStyle w:val="FootnoteReference"/>
          <w:highlight w:val="yellow"/>
          <w:lang w:val="en-GB"/>
        </w:rPr>
        <w:footnoteRef/>
      </w:r>
      <w:r w:rsidRPr="005172CD">
        <w:rPr>
          <w:highlight w:val="yellow"/>
          <w:lang w:val="en-GB"/>
        </w:rPr>
        <w:t xml:space="preserve"> Rosenberg, see </w:t>
      </w:r>
      <w:r>
        <w:rPr>
          <w:highlight w:val="yellow"/>
          <w:lang w:val="en-GB"/>
        </w:rPr>
        <w:t>Foot</w:t>
      </w:r>
      <w:r w:rsidRPr="005172CD">
        <w:rPr>
          <w:highlight w:val="yellow"/>
          <w:lang w:val="en-GB"/>
        </w:rPr>
        <w:t xml:space="preserve">note </w:t>
      </w:r>
      <w:r w:rsidRPr="005172CD">
        <w:rPr>
          <w:b/>
          <w:bCs/>
          <w:i/>
          <w:iCs/>
          <w:highlight w:val="yellow"/>
          <w:lang w:val="en-GB"/>
        </w:rPr>
        <w:t>supra</w:t>
      </w:r>
      <w:r w:rsidRPr="005172CD">
        <w:rPr>
          <w:highlight w:val="yellow"/>
          <w:lang w:val="en-GB"/>
        </w:rPr>
        <w:t>.</w:t>
      </w:r>
    </w:p>
  </w:footnote>
  <w:footnote w:id="301">
    <w:p w14:paraId="1126E914" w14:textId="7134F38B" w:rsidR="000D37DC" w:rsidRPr="005562DE" w:rsidRDefault="000D37DC" w:rsidP="004865C6">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John Kaplan, Marijuana -The new prohibition (1970)</w:t>
      </w:r>
      <w:r w:rsidRPr="005562DE">
        <w:rPr>
          <w:highlight w:val="green"/>
          <w:rtl/>
          <w:lang w:val="en-GB"/>
        </w:rPr>
        <w:t>.</w:t>
      </w:r>
    </w:p>
  </w:footnote>
  <w:footnote w:id="302">
    <w:p w14:paraId="28CA2255" w14:textId="0C11E2B5" w:rsidR="000D37DC" w:rsidRPr="005562DE" w:rsidRDefault="000D37DC" w:rsidP="00A61C8A">
      <w:pPr>
        <w:pStyle w:val="FootnoteText"/>
        <w:bidi w:val="0"/>
        <w:jc w:val="both"/>
        <w:rPr>
          <w:lang w:val="en-GB"/>
        </w:rPr>
      </w:pPr>
      <w:r w:rsidRPr="005562DE">
        <w:rPr>
          <w:rStyle w:val="FootnoteReference"/>
          <w:lang w:val="en-GB"/>
        </w:rPr>
        <w:footnoteRef/>
      </w:r>
      <w:r w:rsidRPr="005562DE">
        <w:rPr>
          <w:rtl/>
          <w:lang w:val="en-GB"/>
        </w:rPr>
        <w:t xml:space="preserve"> </w:t>
      </w:r>
      <w:r w:rsidRPr="005172CD">
        <w:rPr>
          <w:lang w:val="en-GB"/>
        </w:rPr>
        <w:t xml:space="preserve">Rosenberg, see </w:t>
      </w:r>
      <w:r>
        <w:rPr>
          <w:lang w:val="en-GB"/>
        </w:rPr>
        <w:t>Foot</w:t>
      </w:r>
      <w:r w:rsidRPr="005172CD">
        <w:rPr>
          <w:lang w:val="en-GB"/>
        </w:rPr>
        <w:t xml:space="preserve">note </w:t>
      </w:r>
      <w:r>
        <w:rPr>
          <w:lang w:val="en-GB"/>
        </w:rPr>
        <w:t xml:space="preserve">42 </w:t>
      </w:r>
      <w:r w:rsidRPr="005172CD">
        <w:rPr>
          <w:b/>
          <w:bCs/>
          <w:i/>
          <w:iCs/>
          <w:lang w:val="en-GB"/>
        </w:rPr>
        <w:t>supra</w:t>
      </w:r>
      <w:r w:rsidRPr="005172CD">
        <w:rPr>
          <w:lang w:val="en-GB"/>
        </w:rPr>
        <w:t>, pp.</w:t>
      </w:r>
      <w:r>
        <w:rPr>
          <w:b/>
          <w:bCs/>
          <w:lang w:val="en-GB"/>
        </w:rPr>
        <w:t xml:space="preserve"> </w:t>
      </w:r>
      <w:r w:rsidRPr="005172CD">
        <w:rPr>
          <w:lang w:val="en-GB"/>
        </w:rPr>
        <w:t>269-292.</w:t>
      </w:r>
    </w:p>
  </w:footnote>
  <w:footnote w:id="303">
    <w:p w14:paraId="004C3ECB" w14:textId="1FB99A5C" w:rsidR="000D37DC" w:rsidRPr="005562DE" w:rsidRDefault="000D37DC" w:rsidP="00302693">
      <w:pPr>
        <w:pStyle w:val="FootnoteText"/>
        <w:bidi w:val="0"/>
        <w:jc w:val="both"/>
        <w:rPr>
          <w:lang w:val="en-GB"/>
        </w:rPr>
      </w:pPr>
      <w:r w:rsidRPr="005562DE">
        <w:rPr>
          <w:rStyle w:val="FootnoteReference"/>
          <w:lang w:val="en-GB"/>
        </w:rPr>
        <w:footnoteRef/>
      </w:r>
      <w:r w:rsidRPr="005562DE">
        <w:rPr>
          <w:rtl/>
          <w:lang w:val="en-GB"/>
        </w:rPr>
        <w:t xml:space="preserve"> </w:t>
      </w:r>
      <w:r>
        <w:rPr>
          <w:lang w:val="en-GB"/>
        </w:rPr>
        <w:t xml:space="preserve">See the first expression of this as ‘Representative Bureaucracy’ in 1949 – a reflection of the composition of society, in: </w:t>
      </w:r>
      <w:r w:rsidRPr="00302693">
        <w:rPr>
          <w:lang w:val="en-GB"/>
        </w:rPr>
        <w:t xml:space="preserve">Subramniam V. </w:t>
      </w:r>
      <w:r>
        <w:rPr>
          <w:lang w:val="en-GB"/>
        </w:rPr>
        <w:t>‘</w:t>
      </w:r>
      <w:r w:rsidRPr="00302693">
        <w:rPr>
          <w:lang w:val="en-GB"/>
        </w:rPr>
        <w:t>Representative Bureaucracy – A Reassessment</w:t>
      </w:r>
      <w:r>
        <w:rPr>
          <w:lang w:val="en-GB"/>
        </w:rPr>
        <w:t>’</w:t>
      </w:r>
      <w:r w:rsidRPr="00302693">
        <w:rPr>
          <w:lang w:val="en-GB"/>
        </w:rPr>
        <w:t xml:space="preserve"> </w:t>
      </w:r>
      <w:r w:rsidRPr="00302693">
        <w:rPr>
          <w:i/>
          <w:iCs/>
          <w:lang w:val="en-GB"/>
        </w:rPr>
        <w:t>The American Political S</w:t>
      </w:r>
      <w:r>
        <w:rPr>
          <w:i/>
          <w:iCs/>
          <w:lang w:val="en-GB"/>
        </w:rPr>
        <w:t>c</w:t>
      </w:r>
      <w:r w:rsidRPr="00302693">
        <w:rPr>
          <w:i/>
          <w:iCs/>
          <w:lang w:val="en-GB"/>
        </w:rPr>
        <w:t>i</w:t>
      </w:r>
      <w:r>
        <w:rPr>
          <w:i/>
          <w:iCs/>
          <w:lang w:val="en-GB"/>
        </w:rPr>
        <w:t>e</w:t>
      </w:r>
      <w:r w:rsidRPr="00302693">
        <w:rPr>
          <w:i/>
          <w:iCs/>
          <w:lang w:val="en-GB"/>
        </w:rPr>
        <w:t>nce Review</w:t>
      </w:r>
      <w:r w:rsidRPr="00302693">
        <w:rPr>
          <w:lang w:val="en-GB"/>
        </w:rPr>
        <w:t>, Vol 61, No. 4, pp. 1010-1019 (1967)</w:t>
      </w:r>
      <w:r w:rsidRPr="00302693">
        <w:rPr>
          <w:rFonts w:hint="cs"/>
          <w:rtl/>
          <w:lang w:val="en-GB"/>
        </w:rPr>
        <w:t>.</w:t>
      </w:r>
    </w:p>
  </w:footnote>
  <w:footnote w:id="304">
    <w:p w14:paraId="3F680D00" w14:textId="48D58440" w:rsidR="000D37DC" w:rsidRPr="005562DE" w:rsidRDefault="000D37DC" w:rsidP="00302693">
      <w:pPr>
        <w:pStyle w:val="FootnoteText"/>
        <w:bidi w:val="0"/>
        <w:jc w:val="both"/>
        <w:rPr>
          <w:lang w:val="en-GB"/>
        </w:rPr>
      </w:pPr>
      <w:r w:rsidRPr="005562DE">
        <w:rPr>
          <w:rStyle w:val="FootnoteReference"/>
          <w:lang w:val="en-GB"/>
        </w:rPr>
        <w:footnoteRef/>
      </w:r>
      <w:r w:rsidRPr="005562DE">
        <w:rPr>
          <w:rtl/>
          <w:lang w:val="en-GB"/>
        </w:rPr>
        <w:t xml:space="preserve"> </w:t>
      </w:r>
      <w:r>
        <w:rPr>
          <w:lang w:val="en-GB"/>
        </w:rPr>
        <w:t xml:space="preserve">And see also the duty in Canadian law, at Sections 5 – 15 of the </w:t>
      </w:r>
      <w:r w:rsidRPr="00302693">
        <w:rPr>
          <w:lang w:val="en-GB"/>
        </w:rPr>
        <w:t>Employment Equity Act (1995, c.44)</w:t>
      </w:r>
      <w:r>
        <w:rPr>
          <w:lang w:val="en-GB"/>
        </w:rPr>
        <w:t xml:space="preserve">. The background for the enactment of the law, was the publication by a </w:t>
      </w:r>
      <w:r w:rsidRPr="00DB0FCA">
        <w:rPr>
          <w:color w:val="00B0F0"/>
          <w:highlight w:val="yellow"/>
          <w:lang w:val="en-GB"/>
        </w:rPr>
        <w:t>royal commission</w:t>
      </w:r>
      <w:r w:rsidRPr="00DB0FCA">
        <w:rPr>
          <w:color w:val="00B0F0"/>
          <w:lang w:val="en-GB"/>
        </w:rPr>
        <w:t xml:space="preserve"> </w:t>
      </w:r>
      <w:r>
        <w:rPr>
          <w:lang w:val="en-GB"/>
        </w:rPr>
        <w:t>of a report in 1984 on the subject of promoting workplace equality, that emphasised the need for employment fairness.</w:t>
      </w:r>
    </w:p>
  </w:footnote>
  <w:footnote w:id="305">
    <w:p w14:paraId="64530FAF" w14:textId="4D187115" w:rsidR="000D37DC" w:rsidRPr="005562DE" w:rsidRDefault="000D37DC" w:rsidP="004865C6">
      <w:pPr>
        <w:pStyle w:val="FootnoteText"/>
        <w:bidi w:val="0"/>
        <w:jc w:val="both"/>
        <w:rPr>
          <w:highlight w:val="green"/>
          <w:lang w:val="en-GB"/>
        </w:rPr>
      </w:pPr>
      <w:r w:rsidRPr="005562DE">
        <w:rPr>
          <w:rStyle w:val="FootnoteReference"/>
          <w:highlight w:val="green"/>
          <w:lang w:val="en-GB"/>
        </w:rPr>
        <w:footnoteRef/>
      </w:r>
      <w:r w:rsidRPr="005562DE">
        <w:rPr>
          <w:highlight w:val="green"/>
          <w:lang w:val="en-GB"/>
        </w:rPr>
        <w:t xml:space="preserve"> </w:t>
      </w:r>
      <w:r>
        <w:rPr>
          <w:highlight w:val="green"/>
          <w:lang w:val="en-GB"/>
        </w:rPr>
        <w:t>“</w:t>
      </w:r>
      <w:r w:rsidRPr="005562DE">
        <w:rPr>
          <w:highlight w:val="green"/>
          <w:lang w:val="en-GB"/>
        </w:rPr>
        <w:t>Office of Personnel Management</w:t>
      </w:r>
      <w:r>
        <w:rPr>
          <w:highlight w:val="green"/>
          <w:lang w:val="en-GB"/>
        </w:rPr>
        <w:t>”</w:t>
      </w:r>
      <w:r w:rsidRPr="005562DE">
        <w:rPr>
          <w:highlight w:val="green"/>
          <w:lang w:val="en-GB"/>
        </w:rPr>
        <w:t xml:space="preserve"> – website: </w:t>
      </w:r>
      <w:hyperlink r:id="rId25" w:history="1">
        <w:r w:rsidRPr="005562DE">
          <w:rPr>
            <w:rStyle w:val="Hyperlink"/>
            <w:highlight w:val="green"/>
            <w:lang w:val="en-GB"/>
          </w:rPr>
          <w:t>https://www.opm.gov</w:t>
        </w:r>
      </w:hyperlink>
      <w:r w:rsidRPr="005562DE">
        <w:rPr>
          <w:highlight w:val="green"/>
          <w:lang w:val="en-GB"/>
        </w:rPr>
        <w:t>;</w:t>
      </w:r>
    </w:p>
  </w:footnote>
  <w:footnote w:id="306">
    <w:p w14:paraId="736B2530" w14:textId="2411470E" w:rsidR="000D37DC" w:rsidRPr="005562DE" w:rsidRDefault="000D37DC" w:rsidP="004865C6">
      <w:pPr>
        <w:pStyle w:val="FootnoteText"/>
        <w:bidi w:val="0"/>
        <w:jc w:val="both"/>
        <w:rPr>
          <w:lang w:val="en-GB"/>
        </w:rPr>
      </w:pPr>
      <w:r w:rsidRPr="005562DE">
        <w:rPr>
          <w:rStyle w:val="FootnoteReference"/>
          <w:highlight w:val="green"/>
          <w:lang w:val="en-GB"/>
        </w:rPr>
        <w:footnoteRef/>
      </w:r>
      <w:r w:rsidRPr="005562DE">
        <w:rPr>
          <w:highlight w:val="green"/>
          <w:lang w:val="en-GB"/>
        </w:rPr>
        <w:t xml:space="preserve"> </w:t>
      </w:r>
      <w:r>
        <w:rPr>
          <w:highlight w:val="green"/>
          <w:lang w:val="en-GB"/>
        </w:rPr>
        <w:t>“</w:t>
      </w:r>
      <w:r w:rsidRPr="005562DE">
        <w:rPr>
          <w:highlight w:val="green"/>
          <w:lang w:val="en-GB"/>
        </w:rPr>
        <w:t>Minority Recruitment Program</w:t>
      </w:r>
      <w:r>
        <w:rPr>
          <w:highlight w:val="green"/>
          <w:lang w:val="en-GB"/>
        </w:rPr>
        <w:t>”</w:t>
      </w:r>
    </w:p>
  </w:footnote>
  <w:footnote w:id="307">
    <w:p w14:paraId="00F040BA" w14:textId="66CAB8ED" w:rsidR="000D37DC" w:rsidRPr="005562DE" w:rsidRDefault="000D37DC" w:rsidP="00302693">
      <w:pPr>
        <w:pStyle w:val="FootnoteText"/>
        <w:bidi w:val="0"/>
        <w:jc w:val="both"/>
        <w:rPr>
          <w:lang w:val="en-GB"/>
        </w:rPr>
      </w:pPr>
      <w:r w:rsidRPr="005562DE">
        <w:rPr>
          <w:rStyle w:val="FootnoteReference"/>
          <w:lang w:val="en-GB"/>
        </w:rPr>
        <w:footnoteRef/>
      </w:r>
      <w:r w:rsidRPr="005562DE">
        <w:rPr>
          <w:rtl/>
          <w:lang w:val="en-GB"/>
        </w:rPr>
        <w:t xml:space="preserve"> </w:t>
      </w:r>
      <w:r w:rsidRPr="00302693">
        <w:rPr>
          <w:lang w:val="en-GB"/>
        </w:rPr>
        <w:t>5 CFR §720.205(c)-(d)</w:t>
      </w:r>
      <w:r w:rsidRPr="00302693">
        <w:rPr>
          <w:rtl/>
          <w:lang w:val="en-GB"/>
        </w:rPr>
        <w:t>.</w:t>
      </w:r>
      <w:r>
        <w:rPr>
          <w:lang w:val="en-GB"/>
        </w:rPr>
        <w:t xml:space="preserve"> </w:t>
      </w:r>
      <w:r w:rsidRPr="00302693">
        <w:rPr>
          <w:lang w:val="en-GB"/>
        </w:rPr>
        <w:t xml:space="preserve">For more information, see: </w:t>
      </w:r>
      <w:r w:rsidRPr="00DB0FCA">
        <w:rPr>
          <w:i/>
          <w:iCs/>
          <w:lang w:val="en-GB"/>
        </w:rPr>
        <w:t>Knesset</w:t>
      </w:r>
      <w:r w:rsidRPr="00302693">
        <w:rPr>
          <w:lang w:val="en-GB"/>
        </w:rPr>
        <w:t xml:space="preserve">, Research and Information </w:t>
      </w:r>
      <w:proofErr w:type="spellStart"/>
      <w:r w:rsidRPr="00302693">
        <w:rPr>
          <w:lang w:val="en-GB"/>
        </w:rPr>
        <w:t>Center</w:t>
      </w:r>
      <w:proofErr w:type="spellEnd"/>
      <w:r w:rsidRPr="00302693">
        <w:rPr>
          <w:lang w:val="en-GB"/>
        </w:rPr>
        <w:t xml:space="preserve"> </w:t>
      </w:r>
      <w:r>
        <w:rPr>
          <w:lang w:val="en-GB"/>
        </w:rPr>
        <w:t>‘</w:t>
      </w:r>
      <w:r w:rsidRPr="00302693">
        <w:rPr>
          <w:lang w:val="en-GB"/>
        </w:rPr>
        <w:t>Encouraging the Employment of Workers from Groups Characteri</w:t>
      </w:r>
      <w:r>
        <w:rPr>
          <w:lang w:val="en-GB"/>
        </w:rPr>
        <w:t>s</w:t>
      </w:r>
      <w:r w:rsidRPr="00302693">
        <w:rPr>
          <w:lang w:val="en-GB"/>
        </w:rPr>
        <w:t>ed by Under-Representation</w:t>
      </w:r>
      <w:r>
        <w:rPr>
          <w:lang w:val="en-GB"/>
        </w:rPr>
        <w:t>’</w:t>
      </w:r>
      <w:r w:rsidRPr="00302693">
        <w:rPr>
          <w:lang w:val="en-GB"/>
        </w:rPr>
        <w:t xml:space="preserve">, Comparative Review, Submitted to the Parliamentary Inquiry Committee on the Absorption of Arab Workers in the </w:t>
      </w:r>
      <w:r>
        <w:rPr>
          <w:lang w:val="en-GB"/>
        </w:rPr>
        <w:t xml:space="preserve">Civil </w:t>
      </w:r>
      <w:r w:rsidRPr="00302693">
        <w:rPr>
          <w:lang w:val="en-GB"/>
        </w:rPr>
        <w:t xml:space="preserve">Service, </w:t>
      </w:r>
      <w:r>
        <w:rPr>
          <w:lang w:val="en-GB"/>
        </w:rPr>
        <w:t>1</w:t>
      </w:r>
      <w:r w:rsidRPr="00302693">
        <w:rPr>
          <w:vertAlign w:val="superscript"/>
          <w:lang w:val="en-GB"/>
        </w:rPr>
        <w:t>st</w:t>
      </w:r>
      <w:r>
        <w:rPr>
          <w:lang w:val="en-GB"/>
        </w:rPr>
        <w:t xml:space="preserve"> </w:t>
      </w:r>
      <w:r w:rsidRPr="00302693">
        <w:rPr>
          <w:i/>
          <w:iCs/>
          <w:lang w:val="en-GB"/>
        </w:rPr>
        <w:t>Iyar</w:t>
      </w:r>
      <w:r>
        <w:rPr>
          <w:lang w:val="en-GB"/>
        </w:rPr>
        <w:t xml:space="preserve"> 5771, </w:t>
      </w:r>
      <w:r w:rsidRPr="00302693">
        <w:rPr>
          <w:lang w:val="en-GB"/>
        </w:rPr>
        <w:t>May 5, 2011.</w:t>
      </w:r>
      <w:r>
        <w:rPr>
          <w:lang w:val="en-GB"/>
        </w:rPr>
        <w:t xml:space="preserve"> </w:t>
      </w:r>
      <w:r w:rsidRPr="00302693">
        <w:rPr>
          <w:lang w:val="en-GB"/>
        </w:rPr>
        <w:t>See</w:t>
      </w:r>
      <w:r>
        <w:rPr>
          <w:lang w:val="en-GB"/>
        </w:rPr>
        <w:t xml:space="preserve"> last </w:t>
      </w:r>
      <w:r w:rsidRPr="00302693">
        <w:rPr>
          <w:lang w:val="en-GB"/>
        </w:rPr>
        <w:t>report of the U</w:t>
      </w:r>
      <w:r w:rsidR="00BF7328">
        <w:rPr>
          <w:lang w:val="en-GB"/>
        </w:rPr>
        <w:t>.</w:t>
      </w:r>
      <w:r w:rsidRPr="00302693">
        <w:rPr>
          <w:lang w:val="en-GB"/>
        </w:rPr>
        <w:t>S</w:t>
      </w:r>
      <w:r w:rsidR="00BF7328">
        <w:rPr>
          <w:lang w:val="en-GB"/>
        </w:rPr>
        <w:t>.</w:t>
      </w:r>
      <w:r w:rsidRPr="00302693">
        <w:rPr>
          <w:lang w:val="en-GB"/>
        </w:rPr>
        <w:t xml:space="preserve"> Office of Personnel Management </w:t>
      </w:r>
      <w:r>
        <w:rPr>
          <w:lang w:val="en-GB"/>
        </w:rPr>
        <w:t xml:space="preserve">from 2012 </w:t>
      </w:r>
      <w:r w:rsidRPr="00302693">
        <w:rPr>
          <w:lang w:val="en-GB"/>
        </w:rPr>
        <w:t xml:space="preserve">concerning employment patterns and representation in federal service as compared with the general civilian market: </w:t>
      </w:r>
      <w:hyperlink r:id="rId26" w:history="1">
        <w:r w:rsidRPr="00302693">
          <w:rPr>
            <w:rStyle w:val="Hyperlink"/>
            <w:lang w:val="en-GB"/>
          </w:rPr>
          <w:t>https://www.opm.gov/policy-data-oversight/diversity-and-inclusion/reports/feorp-2012.pdf</w:t>
        </w:r>
      </w:hyperlink>
      <w:r w:rsidRPr="00302693">
        <w:rPr>
          <w:lang w:val="en-GB"/>
        </w:rPr>
        <w:t xml:space="preserve"> - the</w:t>
      </w:r>
      <w:r>
        <w:rPr>
          <w:lang w:val="en-GB"/>
        </w:rPr>
        <w:t xml:space="preserve"> </w:t>
      </w:r>
      <w:r w:rsidRPr="00302693">
        <w:rPr>
          <w:lang w:val="en-GB"/>
        </w:rPr>
        <w:t>data are represented at page 11 of the report.</w:t>
      </w:r>
    </w:p>
  </w:footnote>
  <w:footnote w:id="308">
    <w:p w14:paraId="3654EEE0" w14:textId="6B47E70C" w:rsidR="000D37DC" w:rsidRPr="005562DE" w:rsidRDefault="000D37DC" w:rsidP="004865C6">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For more detail see: Krislov, S. (1974) Representative bureaucracy; Prentice Hall: Englewood Cliffs, New Jersey</w:t>
      </w:r>
      <w:r w:rsidRPr="005562DE">
        <w:rPr>
          <w:highlight w:val="green"/>
          <w:rtl/>
          <w:lang w:val="en-GB"/>
        </w:rPr>
        <w:t xml:space="preserve">; </w:t>
      </w:r>
      <w:r w:rsidRPr="005562DE">
        <w:rPr>
          <w:highlight w:val="green"/>
          <w:lang w:val="en-GB"/>
        </w:rPr>
        <w:t>Mosher, F. C. (1982) Democracy and the public service, 2nd ed., New York: OUP</w:t>
      </w:r>
      <w:r w:rsidRPr="005562DE">
        <w:rPr>
          <w:highlight w:val="green"/>
          <w:rtl/>
          <w:lang w:val="en-GB"/>
        </w:rPr>
        <w:t xml:space="preserve">; </w:t>
      </w:r>
      <w:r w:rsidRPr="005562DE">
        <w:rPr>
          <w:highlight w:val="green"/>
          <w:lang w:val="en-GB"/>
        </w:rPr>
        <w:t xml:space="preserve">Kim, P. S. (1994) </w:t>
      </w:r>
      <w:r>
        <w:rPr>
          <w:highlight w:val="green"/>
          <w:lang w:val="en-GB"/>
        </w:rPr>
        <w:t>“</w:t>
      </w:r>
      <w:r w:rsidRPr="005562DE">
        <w:rPr>
          <w:highlight w:val="green"/>
          <w:lang w:val="en-GB"/>
        </w:rPr>
        <w:t>A theoretical overview of representative bureaucracy: synthesis,</w:t>
      </w:r>
      <w:r>
        <w:rPr>
          <w:highlight w:val="green"/>
          <w:lang w:val="en-GB"/>
        </w:rPr>
        <w:t>”</w:t>
      </w:r>
      <w:r w:rsidRPr="005562DE">
        <w:rPr>
          <w:highlight w:val="green"/>
          <w:lang w:val="en-GB"/>
        </w:rPr>
        <w:t xml:space="preserve"> International Review of Administrative Sciences, 60(3): 385-397</w:t>
      </w:r>
      <w:r w:rsidRPr="005562DE">
        <w:rPr>
          <w:highlight w:val="green"/>
          <w:rtl/>
          <w:lang w:val="en-GB"/>
        </w:rPr>
        <w:t>.</w:t>
      </w:r>
    </w:p>
  </w:footnote>
  <w:footnote w:id="309">
    <w:p w14:paraId="0181AAFF" w14:textId="71B61B71" w:rsidR="000D37DC" w:rsidRPr="005562DE" w:rsidRDefault="000D37DC" w:rsidP="00A61C8A">
      <w:pPr>
        <w:pStyle w:val="FootnoteText"/>
        <w:bidi w:val="0"/>
        <w:jc w:val="both"/>
        <w:rPr>
          <w:lang w:val="en-GB"/>
        </w:rPr>
      </w:pPr>
      <w:r w:rsidRPr="005562DE">
        <w:rPr>
          <w:rStyle w:val="FootnoteReference"/>
          <w:lang w:val="en-GB"/>
        </w:rPr>
        <w:footnoteRef/>
      </w:r>
      <w:r w:rsidRPr="005562DE">
        <w:rPr>
          <w:rtl/>
          <w:lang w:val="en-GB"/>
        </w:rPr>
        <w:t xml:space="preserve"> </w:t>
      </w:r>
      <w:r w:rsidRPr="00302693">
        <w:rPr>
          <w:lang w:val="en-GB"/>
        </w:rPr>
        <w:t>See the Legislature</w:t>
      </w:r>
      <w:r>
        <w:rPr>
          <w:lang w:val="en-GB"/>
        </w:rPr>
        <w:t>’</w:t>
      </w:r>
      <w:r w:rsidRPr="00302693">
        <w:rPr>
          <w:lang w:val="en-GB"/>
        </w:rPr>
        <w:t xml:space="preserve">s position on the damage caused to under-represented populations due to biased tenders in the civil service: Explanatory Notes to </w:t>
      </w:r>
      <w:r>
        <w:rPr>
          <w:lang w:val="en-GB"/>
        </w:rPr>
        <w:t xml:space="preserve">Amendment </w:t>
      </w:r>
      <w:r w:rsidRPr="00302693">
        <w:rPr>
          <w:lang w:val="en-GB"/>
        </w:rPr>
        <w:t xml:space="preserve">Bill </w:t>
      </w:r>
      <w:r>
        <w:rPr>
          <w:lang w:val="en-GB"/>
        </w:rPr>
        <w:t xml:space="preserve">No. </w:t>
      </w:r>
      <w:r w:rsidRPr="00302693">
        <w:rPr>
          <w:lang w:val="en-GB"/>
        </w:rPr>
        <w:t xml:space="preserve">11 to the Appointments </w:t>
      </w:r>
      <w:r>
        <w:rPr>
          <w:lang w:val="en-GB"/>
        </w:rPr>
        <w:t>Act, Bills 5760</w:t>
      </w:r>
      <w:r w:rsidRPr="00302693">
        <w:rPr>
          <w:lang w:val="en-GB"/>
        </w:rPr>
        <w:t>, 2901, p. 496.</w:t>
      </w:r>
    </w:p>
  </w:footnote>
  <w:footnote w:id="310">
    <w:p w14:paraId="23F1D6CB" w14:textId="457FF39B" w:rsidR="000D37DC" w:rsidRPr="005562DE" w:rsidRDefault="000D37DC"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highlight w:val="green"/>
          <w:lang w:val="en-GB"/>
        </w:rPr>
        <w:t>The Commission</w:t>
      </w:r>
      <w:r>
        <w:rPr>
          <w:highlight w:val="green"/>
          <w:lang w:val="en-GB"/>
        </w:rPr>
        <w:t>’</w:t>
      </w:r>
      <w:r w:rsidRPr="005562DE">
        <w:rPr>
          <w:highlight w:val="green"/>
          <w:lang w:val="en-GB"/>
        </w:rPr>
        <w:t xml:space="preserve">s report is accessible at: </w:t>
      </w:r>
    </w:p>
    <w:p w14:paraId="634870D3" w14:textId="15C4DBC6" w:rsidR="000D37DC" w:rsidRPr="005562DE" w:rsidRDefault="000D37DC" w:rsidP="004865C6">
      <w:pPr>
        <w:pStyle w:val="FootnoteText"/>
        <w:bidi w:val="0"/>
        <w:jc w:val="both"/>
        <w:rPr>
          <w:highlight w:val="green"/>
          <w:lang w:val="en-GB"/>
        </w:rPr>
      </w:pPr>
      <w:hyperlink r:id="rId27" w:history="1">
        <w:r w:rsidRPr="005562DE">
          <w:rPr>
            <w:rStyle w:val="Hyperlink"/>
            <w:highlight w:val="green"/>
            <w:lang w:val="en-GB"/>
          </w:rPr>
          <w:t>http://hidavrut.gov.il/sites/default/files/%20%D7%A1%D7%95%D7%A4%D7%99.pdf</w:t>
        </w:r>
      </w:hyperlink>
      <w:r w:rsidRPr="005562DE">
        <w:rPr>
          <w:highlight w:val="green"/>
          <w:lang w:val="en-GB"/>
        </w:rPr>
        <w:t>;</w:t>
      </w:r>
    </w:p>
  </w:footnote>
  <w:footnote w:id="311">
    <w:p w14:paraId="3DE8D290" w14:textId="54CBD089" w:rsidR="000D37DC" w:rsidRPr="005562DE" w:rsidRDefault="000D37DC"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bookmarkStart w:id="12" w:name="_Hlk70852956"/>
      <w:r w:rsidRPr="005562DE">
        <w:rPr>
          <w:i/>
          <w:highlight w:val="green"/>
          <w:lang w:val="en-GB"/>
        </w:rPr>
        <w:t>Ibid</w:t>
      </w:r>
      <w:r w:rsidRPr="005562DE">
        <w:rPr>
          <w:highlight w:val="green"/>
          <w:lang w:val="en-GB"/>
        </w:rPr>
        <w:t>., pp. 50 – 52 of the report.</w:t>
      </w:r>
      <w:bookmarkEnd w:id="12"/>
    </w:p>
  </w:footnote>
  <w:footnote w:id="312">
    <w:p w14:paraId="4E78EBF0" w14:textId="30C6F39E" w:rsidR="000D37DC" w:rsidRPr="005562DE" w:rsidRDefault="000D37DC"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Pr="005562DE">
        <w:rPr>
          <w:i/>
          <w:highlight w:val="green"/>
          <w:lang w:val="en-GB"/>
        </w:rPr>
        <w:t>Ibid</w:t>
      </w:r>
      <w:r w:rsidRPr="005562DE">
        <w:rPr>
          <w:highlight w:val="green"/>
          <w:lang w:val="en-GB"/>
        </w:rPr>
        <w:t>., p. 130 of the report.</w:t>
      </w:r>
    </w:p>
  </w:footnote>
  <w:footnote w:id="313">
    <w:p w14:paraId="28E79AD6" w14:textId="5C1D5F51" w:rsidR="000D37DC" w:rsidRPr="005562DE" w:rsidRDefault="000D37DC" w:rsidP="004865C6">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hyperlink r:id="rId28" w:history="1">
        <w:r w:rsidRPr="005562DE">
          <w:rPr>
            <w:rStyle w:val="Hyperlink"/>
            <w:highlight w:val="green"/>
            <w:lang w:val="en-GB"/>
          </w:rPr>
          <w:t>http://hidavrut.gov.il/content/4273</w:t>
        </w:r>
      </w:hyperlink>
      <w:r w:rsidRPr="005562DE">
        <w:rPr>
          <w:highlight w:val="green"/>
          <w:lang w:val="en-GB"/>
        </w:rPr>
        <w:t>;</w:t>
      </w:r>
    </w:p>
  </w:footnote>
  <w:footnote w:id="314">
    <w:p w14:paraId="1E6AEB4B" w14:textId="1AA65CCE" w:rsidR="000D37DC" w:rsidRPr="005562DE" w:rsidRDefault="000D37DC" w:rsidP="00A61C8A">
      <w:pPr>
        <w:pStyle w:val="FootnoteText"/>
        <w:bidi w:val="0"/>
        <w:jc w:val="both"/>
        <w:rPr>
          <w:lang w:val="en-GB"/>
        </w:rPr>
      </w:pPr>
      <w:r w:rsidRPr="005562DE">
        <w:rPr>
          <w:rStyle w:val="FootnoteReference"/>
          <w:lang w:val="en-GB"/>
        </w:rPr>
        <w:footnoteRef/>
      </w:r>
      <w:r w:rsidRPr="005562DE">
        <w:rPr>
          <w:rtl/>
          <w:lang w:val="en-GB"/>
        </w:rPr>
        <w:t xml:space="preserve"> </w:t>
      </w:r>
      <w:r>
        <w:rPr>
          <w:lang w:val="en-GB"/>
        </w:rPr>
        <w:t>Decision 869, dated December 20, 2015, promoting recommendations to integrate people from the ultra-Orthodox community into the civil service.</w:t>
      </w:r>
    </w:p>
  </w:footnote>
  <w:footnote w:id="315">
    <w:p w14:paraId="313AB778" w14:textId="7B42F997" w:rsidR="000D37DC" w:rsidRPr="005562DE" w:rsidRDefault="000D37DC" w:rsidP="00A61C8A">
      <w:pPr>
        <w:pStyle w:val="FootnoteText"/>
        <w:bidi w:val="0"/>
        <w:jc w:val="both"/>
        <w:rPr>
          <w:lang w:val="en-GB"/>
        </w:rPr>
      </w:pPr>
      <w:r w:rsidRPr="005562DE">
        <w:rPr>
          <w:rStyle w:val="FootnoteReference"/>
          <w:lang w:val="en-GB"/>
        </w:rPr>
        <w:footnoteRef/>
      </w:r>
      <w:r w:rsidRPr="005562DE">
        <w:rPr>
          <w:rtl/>
          <w:lang w:val="en-GB"/>
        </w:rPr>
        <w:t xml:space="preserve"> </w:t>
      </w:r>
      <w:r>
        <w:rPr>
          <w:lang w:val="en-GB"/>
        </w:rPr>
        <w:t>Government Decision 3993, dated December 18, 2011.</w:t>
      </w:r>
    </w:p>
  </w:footnote>
  <w:footnote w:id="316">
    <w:p w14:paraId="13C664F6" w14:textId="0C804687" w:rsidR="000D37DC" w:rsidRPr="005562DE" w:rsidRDefault="000D37DC" w:rsidP="00A61C8A">
      <w:pPr>
        <w:pStyle w:val="FootnoteText"/>
        <w:bidi w:val="0"/>
        <w:jc w:val="both"/>
        <w:rPr>
          <w:lang w:val="en-GB"/>
        </w:rPr>
      </w:pPr>
      <w:r w:rsidRPr="005562DE">
        <w:rPr>
          <w:rStyle w:val="FootnoteReference"/>
          <w:lang w:val="en-GB"/>
        </w:rPr>
        <w:footnoteRef/>
      </w:r>
      <w:r>
        <w:rPr>
          <w:lang w:val="en-GB"/>
        </w:rPr>
        <w:t xml:space="preserve"> </w:t>
      </w:r>
      <w:r w:rsidRPr="00DB0FCA">
        <w:rPr>
          <w:i/>
          <w:iCs/>
          <w:lang w:val="en-GB"/>
        </w:rPr>
        <w:t>Ibid</w:t>
      </w:r>
      <w:r>
        <w:rPr>
          <w:lang w:val="en-GB"/>
        </w:rPr>
        <w:t>.</w:t>
      </w:r>
    </w:p>
  </w:footnote>
  <w:footnote w:id="317">
    <w:p w14:paraId="731ABD51" w14:textId="038F0B74" w:rsidR="000D37DC" w:rsidRDefault="000D37DC" w:rsidP="00A2616C">
      <w:pPr>
        <w:pStyle w:val="FootnoteText"/>
        <w:bidi w:val="0"/>
        <w:jc w:val="both"/>
        <w:rPr>
          <w:lang w:val="en-GB"/>
        </w:rPr>
      </w:pPr>
      <w:r w:rsidRPr="005562DE">
        <w:rPr>
          <w:rStyle w:val="FootnoteReference"/>
          <w:lang w:val="en-GB"/>
        </w:rPr>
        <w:footnoteRef/>
      </w:r>
      <w:r w:rsidRPr="005562DE">
        <w:rPr>
          <w:rtl/>
          <w:lang w:val="en-GB"/>
        </w:rPr>
        <w:t xml:space="preserve"> </w:t>
      </w:r>
      <w:r>
        <w:rPr>
          <w:lang w:val="en-GB"/>
        </w:rPr>
        <w:t>Hereinafter: the ‘Staff Team’ or the ‘Staff Team Report’, accessible at:</w:t>
      </w:r>
    </w:p>
    <w:p w14:paraId="7F40724E" w14:textId="63DDCF8C" w:rsidR="000D37DC" w:rsidRPr="005562DE" w:rsidRDefault="000D37DC" w:rsidP="00FB5CB3">
      <w:pPr>
        <w:pStyle w:val="FootnoteText"/>
        <w:bidi w:val="0"/>
        <w:jc w:val="both"/>
        <w:rPr>
          <w:lang w:val="en-GB"/>
        </w:rPr>
      </w:pPr>
      <w:hyperlink r:id="rId29" w:history="1">
        <w:r w:rsidRPr="00A2616C">
          <w:rPr>
            <w:rStyle w:val="Hyperlink"/>
            <w:lang w:val="en-GB"/>
          </w:rPr>
          <w:t>http://www.csc.gov.il/databases/articlesandpublications/documents/reformreport2013.pdf</w:t>
        </w:r>
      </w:hyperlink>
    </w:p>
  </w:footnote>
  <w:footnote w:id="318">
    <w:p w14:paraId="774351DB" w14:textId="3D8B3AA6" w:rsidR="000D37DC" w:rsidRPr="005562DE" w:rsidRDefault="000D37DC" w:rsidP="00A61C8A">
      <w:pPr>
        <w:pStyle w:val="FootnoteText"/>
        <w:bidi w:val="0"/>
        <w:jc w:val="both"/>
        <w:rPr>
          <w:lang w:val="en-GB"/>
        </w:rPr>
      </w:pPr>
      <w:r w:rsidRPr="005562DE">
        <w:rPr>
          <w:rStyle w:val="FootnoteReference"/>
          <w:lang w:val="en-GB"/>
        </w:rPr>
        <w:footnoteRef/>
      </w:r>
      <w:r w:rsidRPr="005562DE">
        <w:rPr>
          <w:rtl/>
          <w:lang w:val="en-GB"/>
        </w:rPr>
        <w:t xml:space="preserve"> </w:t>
      </w:r>
      <w:r>
        <w:rPr>
          <w:lang w:val="en-GB"/>
        </w:rPr>
        <w:t xml:space="preserve">The </w:t>
      </w:r>
      <w:proofErr w:type="spellStart"/>
      <w:r w:rsidRPr="003215C5">
        <w:t>Kovarsky</w:t>
      </w:r>
      <w:proofErr w:type="spellEnd"/>
      <w:r>
        <w:t xml:space="preserve"> Report, see Footnote, </w:t>
      </w:r>
      <w:r w:rsidRPr="00A2616C">
        <w:rPr>
          <w:b/>
          <w:bCs/>
          <w:i/>
          <w:iCs/>
        </w:rPr>
        <w:t>supra</w:t>
      </w:r>
      <w:r>
        <w:t>.</w:t>
      </w:r>
    </w:p>
  </w:footnote>
  <w:footnote w:id="319">
    <w:p w14:paraId="703B7F0D" w14:textId="4470EDF2" w:rsidR="000D37DC" w:rsidRPr="005562DE" w:rsidRDefault="000D37DC" w:rsidP="00A61C8A">
      <w:pPr>
        <w:pStyle w:val="FootnoteText"/>
        <w:bidi w:val="0"/>
        <w:jc w:val="both"/>
        <w:rPr>
          <w:lang w:val="en-GB"/>
        </w:rPr>
      </w:pPr>
      <w:r w:rsidRPr="005562DE">
        <w:rPr>
          <w:rStyle w:val="FootnoteReference"/>
          <w:lang w:val="en-GB"/>
        </w:rPr>
        <w:footnoteRef/>
      </w:r>
      <w:r w:rsidRPr="005562DE">
        <w:rPr>
          <w:rtl/>
          <w:lang w:val="en-GB"/>
        </w:rPr>
        <w:t xml:space="preserve"> </w:t>
      </w:r>
      <w:r>
        <w:rPr>
          <w:lang w:val="en-GB"/>
        </w:rPr>
        <w:t>Para. 10.232.</w:t>
      </w:r>
    </w:p>
  </w:footnote>
  <w:footnote w:id="320">
    <w:p w14:paraId="6CB8D2C3" w14:textId="030F3F16" w:rsidR="000D37DC" w:rsidRPr="005562DE" w:rsidRDefault="000D37DC" w:rsidP="00A61C8A">
      <w:pPr>
        <w:pStyle w:val="FootnoteText"/>
        <w:bidi w:val="0"/>
        <w:jc w:val="both"/>
        <w:rPr>
          <w:lang w:val="en-GB"/>
        </w:rPr>
      </w:pPr>
      <w:r w:rsidRPr="005562DE">
        <w:rPr>
          <w:rStyle w:val="FootnoteReference"/>
          <w:lang w:val="en-GB"/>
        </w:rPr>
        <w:footnoteRef/>
      </w:r>
      <w:r w:rsidRPr="005562DE">
        <w:rPr>
          <w:rtl/>
          <w:lang w:val="en-GB"/>
        </w:rPr>
        <w:t xml:space="preserve"> </w:t>
      </w:r>
      <w:r w:rsidRPr="00072E04">
        <w:rPr>
          <w:lang w:val="en-GB"/>
        </w:rPr>
        <w:t xml:space="preserve">See </w:t>
      </w:r>
      <w:r>
        <w:rPr>
          <w:lang w:val="en-GB"/>
        </w:rPr>
        <w:t>P</w:t>
      </w:r>
      <w:r w:rsidRPr="00072E04">
        <w:rPr>
          <w:lang w:val="en-GB"/>
        </w:rPr>
        <w:t>aragraph 11.401 of the Internal Revenue</w:t>
      </w:r>
      <w:r>
        <w:rPr>
          <w:lang w:val="en-GB"/>
        </w:rPr>
        <w:t xml:space="preserve"> Act</w:t>
      </w:r>
      <w:r w:rsidRPr="00072E04">
        <w:rPr>
          <w:lang w:val="en-GB"/>
        </w:rPr>
        <w:t xml:space="preserve"> regarding the internal tender to which the employees of the </w:t>
      </w:r>
      <w:r>
        <w:rPr>
          <w:lang w:val="en-GB"/>
        </w:rPr>
        <w:t>m</w:t>
      </w:r>
      <w:r w:rsidRPr="00072E04">
        <w:rPr>
          <w:lang w:val="en-GB"/>
        </w:rPr>
        <w:t>inistry and the inter-ministerial tender may apply</w:t>
      </w:r>
      <w:r>
        <w:rPr>
          <w:lang w:val="en-GB"/>
        </w:rPr>
        <w:t>. A</w:t>
      </w:r>
      <w:r w:rsidRPr="00072E04">
        <w:rPr>
          <w:lang w:val="en-GB"/>
        </w:rPr>
        <w:t xml:space="preserve">ccording to </w:t>
      </w:r>
      <w:r>
        <w:rPr>
          <w:lang w:val="en-GB"/>
        </w:rPr>
        <w:t>P</w:t>
      </w:r>
      <w:r w:rsidRPr="00072E04">
        <w:rPr>
          <w:lang w:val="en-GB"/>
        </w:rPr>
        <w:t>aragraph 10.232, employees of all government ministries may submit applications</w:t>
      </w:r>
      <w:r>
        <w:rPr>
          <w:lang w:val="en-GB"/>
        </w:rPr>
        <w:t>,</w:t>
      </w:r>
      <w:r w:rsidRPr="00072E04">
        <w:rPr>
          <w:lang w:val="en-GB"/>
        </w:rPr>
        <w:t xml:space="preserve"> and it is up to the ministry to choose whether to hold it. I</w:t>
      </w:r>
      <w:r>
        <w:rPr>
          <w:lang w:val="en-GB"/>
        </w:rPr>
        <w:t>f then,</w:t>
      </w:r>
      <w:r w:rsidRPr="00072E04">
        <w:rPr>
          <w:lang w:val="en-GB"/>
        </w:rPr>
        <w:t xml:space="preserve"> an internal tender </w:t>
      </w:r>
      <w:r>
        <w:rPr>
          <w:lang w:val="en-GB"/>
        </w:rPr>
        <w:t>is</w:t>
      </w:r>
      <w:r w:rsidRPr="00072E04">
        <w:rPr>
          <w:lang w:val="en-GB"/>
        </w:rPr>
        <w:t xml:space="preserve"> held, followed by a public one, and </w:t>
      </w:r>
      <w:r w:rsidR="00BF7328">
        <w:rPr>
          <w:lang w:val="en-GB"/>
        </w:rPr>
        <w:t xml:space="preserve">if </w:t>
      </w:r>
      <w:r w:rsidRPr="00072E04">
        <w:rPr>
          <w:lang w:val="en-GB"/>
        </w:rPr>
        <w:t xml:space="preserve">no suitable candidate </w:t>
      </w:r>
      <w:r>
        <w:rPr>
          <w:lang w:val="en-GB"/>
        </w:rPr>
        <w:t>is</w:t>
      </w:r>
      <w:r w:rsidRPr="00072E04">
        <w:rPr>
          <w:lang w:val="en-GB"/>
        </w:rPr>
        <w:t xml:space="preserve"> found, a public tender </w:t>
      </w:r>
      <w:r>
        <w:rPr>
          <w:lang w:val="en-GB"/>
        </w:rPr>
        <w:t xml:space="preserve">is held </w:t>
      </w:r>
      <w:r w:rsidRPr="00072E04">
        <w:rPr>
          <w:lang w:val="en-GB"/>
        </w:rPr>
        <w:t>only in the second round of the tender for the position, even if less than a year has passed. This is an effective time-saving mechanism.</w:t>
      </w:r>
    </w:p>
  </w:footnote>
  <w:footnote w:id="321">
    <w:p w14:paraId="612247D6" w14:textId="53ECBA7B" w:rsidR="000D37DC" w:rsidRPr="005562DE" w:rsidRDefault="000D37DC" w:rsidP="00A61C8A">
      <w:pPr>
        <w:pStyle w:val="FootnoteText"/>
        <w:bidi w:val="0"/>
        <w:jc w:val="both"/>
        <w:rPr>
          <w:lang w:val="en-GB"/>
        </w:rPr>
      </w:pPr>
      <w:r w:rsidRPr="005562DE">
        <w:rPr>
          <w:rStyle w:val="FootnoteReference"/>
          <w:lang w:val="en-GB"/>
        </w:rPr>
        <w:footnoteRef/>
      </w:r>
      <w:r w:rsidRPr="005562DE">
        <w:rPr>
          <w:rtl/>
          <w:lang w:val="en-GB"/>
        </w:rPr>
        <w:t xml:space="preserve"> </w:t>
      </w:r>
      <w:r>
        <w:rPr>
          <w:lang w:val="en-GB"/>
        </w:rPr>
        <w:t>Section 19 of the Appointments Act.</w:t>
      </w:r>
    </w:p>
  </w:footnote>
  <w:footnote w:id="322">
    <w:p w14:paraId="298CBC2E" w14:textId="2957C018" w:rsidR="000D37DC" w:rsidRPr="005562DE" w:rsidRDefault="000D37DC" w:rsidP="00A2616C">
      <w:pPr>
        <w:pStyle w:val="FootnoteText"/>
        <w:bidi w:val="0"/>
        <w:jc w:val="both"/>
        <w:rPr>
          <w:lang w:val="en-GB"/>
        </w:rPr>
      </w:pPr>
      <w:r w:rsidRPr="005562DE">
        <w:rPr>
          <w:rStyle w:val="FootnoteReference"/>
          <w:lang w:val="en-GB"/>
        </w:rPr>
        <w:footnoteRef/>
      </w:r>
      <w:r w:rsidRPr="005562DE">
        <w:rPr>
          <w:rtl/>
          <w:lang w:val="en-GB"/>
        </w:rPr>
        <w:t xml:space="preserve"> </w:t>
      </w:r>
      <w:r w:rsidRPr="00A2616C">
        <w:rPr>
          <w:lang w:val="en-GB"/>
        </w:rPr>
        <w:t>Paragraphs 10</w:t>
      </w:r>
      <w:r>
        <w:rPr>
          <w:lang w:val="en-GB"/>
        </w:rPr>
        <w:t>.</w:t>
      </w:r>
      <w:r w:rsidRPr="00A2616C">
        <w:rPr>
          <w:lang w:val="en-GB"/>
        </w:rPr>
        <w:t>232, 11</w:t>
      </w:r>
      <w:r>
        <w:rPr>
          <w:lang w:val="en-GB"/>
        </w:rPr>
        <w:t>.</w:t>
      </w:r>
      <w:r w:rsidRPr="00A2616C">
        <w:rPr>
          <w:lang w:val="en-GB"/>
        </w:rPr>
        <w:t>431, 11</w:t>
      </w:r>
      <w:r>
        <w:rPr>
          <w:lang w:val="en-GB"/>
        </w:rPr>
        <w:t>.</w:t>
      </w:r>
      <w:r w:rsidRPr="00A2616C">
        <w:rPr>
          <w:lang w:val="en-GB"/>
        </w:rPr>
        <w:t>401 and 11</w:t>
      </w:r>
      <w:r>
        <w:rPr>
          <w:lang w:val="en-GB"/>
        </w:rPr>
        <w:t>.</w:t>
      </w:r>
      <w:r w:rsidRPr="00A2616C">
        <w:rPr>
          <w:lang w:val="en-GB"/>
        </w:rPr>
        <w:t>411</w:t>
      </w:r>
      <w:r>
        <w:rPr>
          <w:lang w:val="en-GB"/>
        </w:rPr>
        <w:t xml:space="preserve"> of the </w:t>
      </w:r>
      <w:r w:rsidRPr="00A2616C">
        <w:rPr>
          <w:i/>
          <w:iCs/>
          <w:lang w:val="en-GB"/>
        </w:rPr>
        <w:t>Takshir</w:t>
      </w:r>
      <w:r>
        <w:rPr>
          <w:i/>
          <w:iCs/>
          <w:lang w:val="en-GB"/>
        </w:rPr>
        <w:t>.</w:t>
      </w:r>
    </w:p>
  </w:footnote>
  <w:footnote w:id="323">
    <w:p w14:paraId="0832E13E" w14:textId="7B27D5FE" w:rsidR="000D37DC" w:rsidRDefault="000D37DC" w:rsidP="00A2616C">
      <w:pPr>
        <w:pStyle w:val="FootnoteText"/>
        <w:bidi w:val="0"/>
        <w:jc w:val="both"/>
        <w:rPr>
          <w:lang w:val="en-GB"/>
        </w:rPr>
      </w:pPr>
      <w:r w:rsidRPr="005562DE">
        <w:rPr>
          <w:rStyle w:val="FootnoteReference"/>
          <w:lang w:val="en-GB"/>
        </w:rPr>
        <w:footnoteRef/>
      </w:r>
      <w:r>
        <w:rPr>
          <w:lang w:val="en-GB"/>
        </w:rPr>
        <w:t xml:space="preserve"> In the Commission’s publication of the Staff Team’s work in the setting of the ‘Tree of Knowledge’ Program, accessible at: </w:t>
      </w:r>
      <w:hyperlink r:id="rId30" w:history="1">
        <w:r w:rsidRPr="00A2616C">
          <w:rPr>
            <w:rStyle w:val="Hyperlink"/>
            <w:lang w:val="en-GB"/>
          </w:rPr>
          <w:t>http://www.csc.gov.il/Units/Reform/Documents/Knowledgetree/KnowledgetreeProgram.pdf</w:t>
        </w:r>
      </w:hyperlink>
      <w:r>
        <w:rPr>
          <w:lang w:val="en-GB"/>
        </w:rPr>
        <w:t>, p. 20.</w:t>
      </w:r>
    </w:p>
    <w:p w14:paraId="70AA60C0" w14:textId="5AC00BC6" w:rsidR="000D37DC" w:rsidRDefault="000D37DC" w:rsidP="00A2616C">
      <w:pPr>
        <w:pStyle w:val="FootnoteText"/>
        <w:bidi w:val="0"/>
        <w:jc w:val="both"/>
        <w:rPr>
          <w:lang w:val="en-GB"/>
        </w:rPr>
      </w:pPr>
      <w:r>
        <w:rPr>
          <w:lang w:val="en-GB"/>
        </w:rPr>
        <w:t>See also, the summary recommendations by the Civil Service Commission, Policy Paper Concerning Internal and Inter-Ministerial Tenders, Jerusalem, May 2015, p. 72, accessible at:</w:t>
      </w:r>
    </w:p>
    <w:p w14:paraId="366731AF" w14:textId="2FE9C7B0" w:rsidR="000D37DC" w:rsidRPr="005562DE" w:rsidRDefault="000D37DC" w:rsidP="00C75B88">
      <w:pPr>
        <w:pStyle w:val="FootnoteText"/>
        <w:bidi w:val="0"/>
        <w:jc w:val="both"/>
        <w:rPr>
          <w:lang w:val="en-GB"/>
        </w:rPr>
      </w:pPr>
      <w:hyperlink r:id="rId31" w:history="1">
        <w:r w:rsidRPr="00C75B88">
          <w:rPr>
            <w:rStyle w:val="Hyperlink"/>
            <w:lang w:val="en-GB"/>
          </w:rPr>
          <w:t>http://csc.gov.il/Units/Reform/Documents/Knowledgetree/Tenders2.pdf</w:t>
        </w:r>
      </w:hyperlink>
    </w:p>
  </w:footnote>
  <w:footnote w:id="324">
    <w:p w14:paraId="374C065E" w14:textId="0FFEB9C7" w:rsidR="000D37DC" w:rsidRDefault="000D37DC" w:rsidP="00C75B88">
      <w:pPr>
        <w:pStyle w:val="FootnoteText"/>
        <w:bidi w:val="0"/>
        <w:jc w:val="both"/>
        <w:rPr>
          <w:lang w:val="en-GB"/>
        </w:rPr>
      </w:pPr>
      <w:r w:rsidRPr="005562DE">
        <w:rPr>
          <w:rStyle w:val="FootnoteReference"/>
          <w:lang w:val="en-GB"/>
        </w:rPr>
        <w:footnoteRef/>
      </w:r>
      <w:r>
        <w:rPr>
          <w:lang w:val="en-GB"/>
        </w:rPr>
        <w:t xml:space="preserve"> </w:t>
      </w:r>
      <w:bookmarkStart w:id="14" w:name="_Hlk71516085"/>
      <w:r>
        <w:rPr>
          <w:lang w:val="en-GB"/>
        </w:rPr>
        <w:t>The Civil Service Commission, Policy Paper Concerning Internal and Inter-Ministerial Tenders, Jerusalem, May 2015, pp. 43 &amp; 53, accessible at:</w:t>
      </w:r>
    </w:p>
    <w:p w14:paraId="55038CBD" w14:textId="7A9D14EB" w:rsidR="000D37DC" w:rsidRPr="005562DE" w:rsidRDefault="000D37DC" w:rsidP="00C75B88">
      <w:pPr>
        <w:pStyle w:val="FootnoteText"/>
        <w:bidi w:val="0"/>
        <w:jc w:val="both"/>
        <w:rPr>
          <w:lang w:val="en-GB"/>
        </w:rPr>
      </w:pPr>
      <w:hyperlink r:id="rId32" w:history="1">
        <w:r w:rsidRPr="00C75B88">
          <w:rPr>
            <w:rStyle w:val="Hyperlink"/>
            <w:lang w:val="en-GB"/>
          </w:rPr>
          <w:t>http://csc.gov.il/Units/Reform/Documents/Knowledgetree/Tenders2.pdf</w:t>
        </w:r>
      </w:hyperlink>
      <w:bookmarkEnd w:id="14"/>
    </w:p>
  </w:footnote>
  <w:footnote w:id="325">
    <w:p w14:paraId="54074A8F" w14:textId="73EB6414" w:rsidR="000D37DC" w:rsidRPr="005562DE" w:rsidRDefault="000D37DC" w:rsidP="00C75B88">
      <w:pPr>
        <w:pStyle w:val="FootnoteText"/>
        <w:bidi w:val="0"/>
        <w:jc w:val="both"/>
        <w:rPr>
          <w:lang w:val="en-GB"/>
        </w:rPr>
      </w:pPr>
      <w:r w:rsidRPr="005562DE">
        <w:rPr>
          <w:rStyle w:val="FootnoteReference"/>
          <w:lang w:val="en-GB"/>
        </w:rPr>
        <w:footnoteRef/>
      </w:r>
      <w:r w:rsidRPr="005562DE">
        <w:rPr>
          <w:rtl/>
          <w:lang w:val="en-GB"/>
        </w:rPr>
        <w:t xml:space="preserve"> </w:t>
      </w:r>
      <w:r>
        <w:rPr>
          <w:lang w:val="en-GB"/>
        </w:rPr>
        <w:t xml:space="preserve">See at: </w:t>
      </w:r>
      <w:hyperlink r:id="rId33" w:history="1">
        <w:r w:rsidRPr="00C75B88">
          <w:rPr>
            <w:rStyle w:val="Hyperlink"/>
            <w:lang w:val="en-GB"/>
          </w:rPr>
          <w:t>http://www.oecd.org/gov/pem/acquiringcapacity.htm</w:t>
        </w:r>
      </w:hyperlink>
      <w:r>
        <w:rPr>
          <w:lang w:val="en-GB"/>
        </w:rPr>
        <w:t xml:space="preserve">  </w:t>
      </w:r>
    </w:p>
  </w:footnote>
  <w:footnote w:id="326">
    <w:p w14:paraId="2B126C88" w14:textId="296BCDB4" w:rsidR="000D37DC" w:rsidRPr="00C75B88" w:rsidRDefault="000D37DC" w:rsidP="00C75B88">
      <w:pPr>
        <w:pStyle w:val="FootnoteText"/>
        <w:bidi w:val="0"/>
        <w:jc w:val="both"/>
        <w:rPr>
          <w:lang w:val="en-GB"/>
        </w:rPr>
      </w:pPr>
      <w:r w:rsidRPr="005562DE">
        <w:rPr>
          <w:rStyle w:val="FootnoteReference"/>
          <w:lang w:val="en-GB"/>
        </w:rPr>
        <w:footnoteRef/>
      </w:r>
      <w:r w:rsidRPr="005562DE">
        <w:rPr>
          <w:rtl/>
          <w:lang w:val="en-GB"/>
        </w:rPr>
        <w:t xml:space="preserve"> </w:t>
      </w:r>
      <w:r>
        <w:rPr>
          <w:lang w:val="en-GB"/>
        </w:rPr>
        <w:t xml:space="preserve">Career-based system. </w:t>
      </w:r>
      <w:r w:rsidRPr="00C75B88">
        <w:rPr>
          <w:lang w:val="en-GB"/>
        </w:rPr>
        <w:t>This approach characteri</w:t>
      </w:r>
      <w:r>
        <w:rPr>
          <w:lang w:val="en-GB"/>
        </w:rPr>
        <w:t>s</w:t>
      </w:r>
      <w:r w:rsidRPr="00C75B88">
        <w:rPr>
          <w:lang w:val="en-GB"/>
        </w:rPr>
        <w:t>es the civil service in Canada and England whe</w:t>
      </w:r>
      <w:r>
        <w:rPr>
          <w:lang w:val="en-GB"/>
        </w:rPr>
        <w:t>re</w:t>
      </w:r>
      <w:r w:rsidRPr="00C75B88">
        <w:rPr>
          <w:lang w:val="en-GB"/>
        </w:rPr>
        <w:t xml:space="preserve"> most jobs are advertised internally.</w:t>
      </w:r>
      <w:r>
        <w:rPr>
          <w:lang w:val="en-GB"/>
        </w:rPr>
        <w:t xml:space="preserve"> </w:t>
      </w:r>
      <w:r w:rsidRPr="00C75B88">
        <w:rPr>
          <w:lang w:val="en-GB"/>
        </w:rPr>
        <w:t>The Civil Service Commission, Policy Paper Concerning Internal and Inter-Ministerial Tenders, Jerusalem, May 2015, p</w:t>
      </w:r>
      <w:r>
        <w:rPr>
          <w:lang w:val="en-GB"/>
        </w:rPr>
        <w:t>p</w:t>
      </w:r>
      <w:r w:rsidRPr="00C75B88">
        <w:rPr>
          <w:lang w:val="en-GB"/>
        </w:rPr>
        <w:t xml:space="preserve">. </w:t>
      </w:r>
      <w:r>
        <w:rPr>
          <w:lang w:val="en-GB"/>
        </w:rPr>
        <w:t>28 &amp; 29</w:t>
      </w:r>
      <w:r w:rsidRPr="00C75B88">
        <w:rPr>
          <w:lang w:val="en-GB"/>
        </w:rPr>
        <w:t>, accessible at:</w:t>
      </w:r>
      <w:r>
        <w:rPr>
          <w:lang w:val="en-GB"/>
        </w:rPr>
        <w:t xml:space="preserve"> </w:t>
      </w:r>
    </w:p>
    <w:p w14:paraId="68EFF8D8" w14:textId="39E70483" w:rsidR="000D37DC" w:rsidRPr="005562DE" w:rsidRDefault="000D37DC" w:rsidP="00C75B88">
      <w:pPr>
        <w:pStyle w:val="FootnoteText"/>
        <w:bidi w:val="0"/>
        <w:jc w:val="both"/>
        <w:rPr>
          <w:lang w:val="en-GB"/>
        </w:rPr>
      </w:pPr>
      <w:hyperlink r:id="rId34" w:history="1">
        <w:r w:rsidRPr="00C75B88">
          <w:rPr>
            <w:rStyle w:val="Hyperlink"/>
            <w:lang w:val="en-GB"/>
          </w:rPr>
          <w:t>http://csc.gov.il/Units/Reform/Documents/Knowledgetree/Tenders2.pdf</w:t>
        </w:r>
      </w:hyperlink>
      <w:r>
        <w:rPr>
          <w:lang w:val="en-GB"/>
        </w:rPr>
        <w:t xml:space="preserve">. See also: </w:t>
      </w:r>
      <w:r w:rsidRPr="00C75B88">
        <w:rPr>
          <w:lang w:val="en-GB"/>
        </w:rPr>
        <w:t xml:space="preserve">The Partnership for Public Service, </w:t>
      </w:r>
      <w:r>
        <w:rPr>
          <w:lang w:val="en-GB"/>
        </w:rPr>
        <w:t>‘</w:t>
      </w:r>
      <w:r w:rsidRPr="00C75B88">
        <w:rPr>
          <w:lang w:val="en-GB"/>
        </w:rPr>
        <w:t>Mid-Career Hiring in the Federal Government: A Strategy for Change</w:t>
      </w:r>
      <w:r>
        <w:rPr>
          <w:lang w:val="en-GB"/>
        </w:rPr>
        <w:t>’</w:t>
      </w:r>
      <w:r w:rsidRPr="00C75B88">
        <w:rPr>
          <w:lang w:val="en-GB"/>
        </w:rPr>
        <w:t xml:space="preserve"> (2002), </w:t>
      </w:r>
      <w:hyperlink r:id="rId35" w:history="1">
        <w:r w:rsidRPr="00076EEC">
          <w:rPr>
            <w:rStyle w:val="Hyperlink"/>
            <w:lang w:val="en-GB"/>
          </w:rPr>
          <w:t>http://ourpublicservice.org/OPS/publications/viewcontentdetails.php?id=54</w:t>
        </w:r>
      </w:hyperlink>
      <w:r>
        <w:rPr>
          <w:lang w:val="en-GB"/>
        </w:rPr>
        <w:t>.</w:t>
      </w:r>
    </w:p>
  </w:footnote>
  <w:footnote w:id="327">
    <w:p w14:paraId="4FFF3605" w14:textId="77B60AB0" w:rsidR="000D37DC" w:rsidRPr="00C75B88" w:rsidRDefault="000D37DC" w:rsidP="00C75B88">
      <w:pPr>
        <w:pStyle w:val="FootnoteText"/>
        <w:bidi w:val="0"/>
        <w:jc w:val="both"/>
        <w:rPr>
          <w:lang w:val="en-GB"/>
        </w:rPr>
      </w:pPr>
      <w:r w:rsidRPr="005562DE">
        <w:rPr>
          <w:rStyle w:val="FootnoteReference"/>
          <w:lang w:val="en-GB"/>
        </w:rPr>
        <w:footnoteRef/>
      </w:r>
      <w:r>
        <w:rPr>
          <w:lang w:val="en-GB"/>
        </w:rPr>
        <w:t xml:space="preserve"> Role-based system. </w:t>
      </w:r>
      <w:r w:rsidRPr="00C75B88">
        <w:rPr>
          <w:lang w:val="en-GB"/>
        </w:rPr>
        <w:t>This approach characteri</w:t>
      </w:r>
      <w:r>
        <w:rPr>
          <w:lang w:val="en-GB"/>
        </w:rPr>
        <w:t>s</w:t>
      </w:r>
      <w:r w:rsidRPr="00C75B88">
        <w:rPr>
          <w:lang w:val="en-GB"/>
        </w:rPr>
        <w:t>es the civil service in the United States whe</w:t>
      </w:r>
      <w:r>
        <w:rPr>
          <w:lang w:val="en-GB"/>
        </w:rPr>
        <w:t>re</w:t>
      </w:r>
      <w:r w:rsidRPr="00C75B88">
        <w:rPr>
          <w:lang w:val="en-GB"/>
        </w:rPr>
        <w:t xml:space="preserve"> most jobs are open to the public.</w:t>
      </w:r>
      <w:r>
        <w:rPr>
          <w:lang w:val="en-GB"/>
        </w:rPr>
        <w:t xml:space="preserve"> </w:t>
      </w:r>
      <w:r w:rsidRPr="00C75B88">
        <w:rPr>
          <w:lang w:val="en-GB"/>
        </w:rPr>
        <w:t xml:space="preserve">The Civil Service Commission, Policy Paper Concerning Internal and Inter-Ministerial Tenders, Jerusalem, May 2015, p. </w:t>
      </w:r>
      <w:r>
        <w:rPr>
          <w:lang w:val="en-GB"/>
        </w:rPr>
        <w:t>28</w:t>
      </w:r>
      <w:r w:rsidRPr="00C75B88">
        <w:rPr>
          <w:lang w:val="en-GB"/>
        </w:rPr>
        <w:t>, accessible at:</w:t>
      </w:r>
      <w:r>
        <w:rPr>
          <w:lang w:val="en-GB"/>
        </w:rPr>
        <w:t xml:space="preserve"> </w:t>
      </w:r>
    </w:p>
    <w:p w14:paraId="5EB0E191" w14:textId="506F5B39" w:rsidR="000D37DC" w:rsidRPr="005562DE" w:rsidRDefault="000D37DC" w:rsidP="00C75B88">
      <w:pPr>
        <w:pStyle w:val="FootnoteText"/>
        <w:bidi w:val="0"/>
        <w:jc w:val="both"/>
        <w:rPr>
          <w:lang w:val="en-GB"/>
        </w:rPr>
      </w:pPr>
      <w:hyperlink r:id="rId36" w:history="1">
        <w:r w:rsidRPr="00C75B88">
          <w:rPr>
            <w:rStyle w:val="Hyperlink"/>
            <w:lang w:val="en-GB"/>
          </w:rPr>
          <w:t>http://csc.gov.il/Units/Reform/Documents/Knowledgetree/Tenders2.pdf</w:t>
        </w:r>
      </w:hyperlink>
      <w:r>
        <w:rPr>
          <w:lang w:val="en-GB"/>
        </w:rPr>
        <w:t xml:space="preserve">. See also: </w:t>
      </w:r>
      <w:r w:rsidRPr="00C75B88">
        <w:rPr>
          <w:lang w:val="en-GB"/>
        </w:rPr>
        <w:t>C. Pollitt, G. Bouckaert, Public Management Reform, A Comparative Analysis, Oxford University Press 2004, p. 76</w:t>
      </w:r>
      <w:r w:rsidRPr="00C75B88">
        <w:rPr>
          <w:rFonts w:hint="cs"/>
          <w:rtl/>
          <w:lang w:val="en-GB"/>
        </w:rPr>
        <w:t>.</w:t>
      </w:r>
    </w:p>
  </w:footnote>
  <w:footnote w:id="328">
    <w:p w14:paraId="5EF112C4" w14:textId="64353523" w:rsidR="000D37DC" w:rsidRPr="00072E04" w:rsidRDefault="000D37DC" w:rsidP="00072E04">
      <w:pPr>
        <w:pStyle w:val="FootnoteText"/>
        <w:bidi w:val="0"/>
        <w:jc w:val="both"/>
      </w:pPr>
      <w:r w:rsidRPr="005562DE">
        <w:rPr>
          <w:rStyle w:val="FootnoteReference"/>
          <w:lang w:val="en-GB"/>
        </w:rPr>
        <w:footnoteRef/>
      </w:r>
      <w:r w:rsidRPr="005562DE">
        <w:rPr>
          <w:rtl/>
          <w:lang w:val="en-GB"/>
        </w:rPr>
        <w:t xml:space="preserve"> </w:t>
      </w:r>
      <w:r w:rsidRPr="00072E04">
        <w:t xml:space="preserve">U.S. Office of Personnel Management, </w:t>
      </w:r>
      <w:r>
        <w:t>“</w:t>
      </w:r>
      <w:r w:rsidRPr="00072E04">
        <w:t>Hiring Authorities: Competitive Hiring</w:t>
      </w:r>
      <w:r>
        <w:t>”</w:t>
      </w:r>
      <w:r w:rsidRPr="00072E04">
        <w:t>:</w:t>
      </w:r>
    </w:p>
    <w:p w14:paraId="67F06FF8" w14:textId="78C887C0" w:rsidR="000D37DC" w:rsidRPr="005562DE" w:rsidRDefault="000D37DC" w:rsidP="00072E04">
      <w:pPr>
        <w:pStyle w:val="FootnoteText"/>
        <w:bidi w:val="0"/>
        <w:jc w:val="both"/>
        <w:rPr>
          <w:lang w:val="en-GB"/>
        </w:rPr>
      </w:pPr>
      <w:hyperlink r:id="rId37" w:anchor="url=Types-of-Appointments" w:history="1">
        <w:r w:rsidRPr="00B75CCA">
          <w:rPr>
            <w:rStyle w:val="Hyperlink"/>
            <w:lang w:val="en-GB"/>
          </w:rPr>
          <w:t>www.opm.gov/policy-data-oversight/hiring-authorities/competitive-hiring/#url=Types-of-Appointments</w:t>
        </w:r>
      </w:hyperlink>
      <w:r w:rsidRPr="00072E04">
        <w:rPr>
          <w:rFonts w:hint="cs"/>
          <w:rtl/>
          <w:lang w:val="en-GB"/>
        </w:rPr>
        <w:t>.</w:t>
      </w:r>
      <w:r>
        <w:rPr>
          <w:lang w:val="en-GB"/>
        </w:rPr>
        <w:t xml:space="preserve"> </w:t>
      </w:r>
    </w:p>
  </w:footnote>
  <w:footnote w:id="329">
    <w:p w14:paraId="349E7F95" w14:textId="1B92201D" w:rsidR="000D37DC" w:rsidRDefault="000D37DC" w:rsidP="00C75B88">
      <w:pPr>
        <w:pStyle w:val="FootnoteText"/>
        <w:bidi w:val="0"/>
        <w:jc w:val="both"/>
        <w:rPr>
          <w:lang w:val="en-GB"/>
        </w:rPr>
      </w:pPr>
      <w:r w:rsidRPr="005562DE">
        <w:rPr>
          <w:rStyle w:val="FootnoteReference"/>
          <w:lang w:val="en-GB"/>
        </w:rPr>
        <w:footnoteRef/>
      </w:r>
      <w:r w:rsidRPr="005562DE">
        <w:rPr>
          <w:rtl/>
          <w:lang w:val="en-GB"/>
        </w:rPr>
        <w:t xml:space="preserve"> </w:t>
      </w:r>
      <w:r w:rsidRPr="00072E04">
        <w:t xml:space="preserve">U.S. Office of Personnel Management, </w:t>
      </w:r>
      <w:r>
        <w:t>“</w:t>
      </w:r>
      <w:r w:rsidRPr="00072E04">
        <w:t>Human Resources Flexibilities and Authorities in</w:t>
      </w:r>
      <w:r>
        <w:t xml:space="preserve"> </w:t>
      </w:r>
      <w:r w:rsidRPr="00072E04">
        <w:rPr>
          <w:lang w:val="en-GB"/>
        </w:rPr>
        <w:t>the Federal Government</w:t>
      </w:r>
      <w:r>
        <w:rPr>
          <w:lang w:val="en-GB"/>
        </w:rPr>
        <w:t>”</w:t>
      </w:r>
      <w:r w:rsidRPr="00072E04">
        <w:rPr>
          <w:lang w:val="en-GB"/>
        </w:rPr>
        <w:t>, p. 10:</w:t>
      </w:r>
    </w:p>
    <w:p w14:paraId="4C628450" w14:textId="28EBC23E" w:rsidR="000D37DC" w:rsidRPr="005562DE" w:rsidRDefault="000D37DC" w:rsidP="00C75B88">
      <w:pPr>
        <w:pStyle w:val="FootnoteText"/>
        <w:bidi w:val="0"/>
        <w:jc w:val="both"/>
        <w:rPr>
          <w:lang w:val="en-GB"/>
        </w:rPr>
      </w:pPr>
      <w:hyperlink r:id="rId38" w:history="1">
        <w:r w:rsidRPr="00076EEC">
          <w:rPr>
            <w:rStyle w:val="Hyperlink"/>
            <w:lang w:val="en-GB"/>
          </w:rPr>
          <w:t>www.opm.gov/policy-data-oversight/pay-leave/referencematerials/handbooks/humanresourcesflexibilitiesauthorities.pdf</w:t>
        </w:r>
      </w:hyperlink>
      <w:r w:rsidRPr="00072E04">
        <w:rPr>
          <w:rFonts w:hint="cs"/>
          <w:rtl/>
          <w:lang w:val="en-GB"/>
        </w:rPr>
        <w:t>.</w:t>
      </w:r>
    </w:p>
  </w:footnote>
  <w:footnote w:id="330">
    <w:p w14:paraId="4E5BC27B" w14:textId="69F054FC" w:rsidR="000D37DC" w:rsidRPr="005562DE" w:rsidRDefault="000D37DC" w:rsidP="00C75B88">
      <w:pPr>
        <w:pStyle w:val="FootnoteText"/>
        <w:bidi w:val="0"/>
        <w:jc w:val="both"/>
        <w:rPr>
          <w:lang w:val="en-GB"/>
        </w:rPr>
      </w:pPr>
      <w:r w:rsidRPr="005562DE">
        <w:rPr>
          <w:rStyle w:val="FootnoteReference"/>
          <w:lang w:val="en-GB"/>
        </w:rPr>
        <w:footnoteRef/>
      </w:r>
      <w:r>
        <w:rPr>
          <w:lang w:val="en-GB"/>
        </w:rPr>
        <w:t xml:space="preserve"> Further reading </w:t>
      </w:r>
      <w:r w:rsidRPr="00C75B88">
        <w:rPr>
          <w:lang w:val="en-GB"/>
        </w:rPr>
        <w:t>on the idea of preferential treatment limited to part of the proce</w:t>
      </w:r>
      <w:r>
        <w:rPr>
          <w:lang w:val="en-GB"/>
        </w:rPr>
        <w:t>ss,</w:t>
      </w:r>
      <w:r w:rsidRPr="00C75B88">
        <w:rPr>
          <w:lang w:val="en-GB"/>
        </w:rPr>
        <w:t xml:space="preserve"> and an example of this from the recruitment of candidates in institutions of higher education in India</w:t>
      </w:r>
      <w:r>
        <w:rPr>
          <w:lang w:val="en-GB"/>
        </w:rPr>
        <w:t xml:space="preserve">, see: </w:t>
      </w:r>
      <w:r w:rsidRPr="00C75B88">
        <w:rPr>
          <w:lang w:val="en-GB"/>
        </w:rPr>
        <w:t xml:space="preserve">Thomas Sowell </w:t>
      </w:r>
      <w:r>
        <w:rPr>
          <w:i/>
          <w:iCs/>
          <w:lang w:val="en-GB"/>
        </w:rPr>
        <w:t>“</w:t>
      </w:r>
      <w:r w:rsidRPr="00C75B88">
        <w:rPr>
          <w:i/>
          <w:iCs/>
          <w:lang w:val="en-GB"/>
        </w:rPr>
        <w:t>Affirmative Action: A Worldwide Disaster</w:t>
      </w:r>
      <w:r>
        <w:rPr>
          <w:i/>
          <w:iCs/>
          <w:lang w:val="en-GB"/>
        </w:rPr>
        <w:t>”</w:t>
      </w:r>
      <w:r w:rsidRPr="00C75B88">
        <w:rPr>
          <w:lang w:val="en-GB"/>
        </w:rPr>
        <w:t>, Commentary December 1989, pp. 21-41, p. 39</w:t>
      </w:r>
      <w:r w:rsidRPr="00C75B88">
        <w:rPr>
          <w:rFonts w:hint="cs"/>
          <w:rtl/>
          <w:lang w:val="en-GB"/>
        </w:rPr>
        <w:t>.</w:t>
      </w:r>
    </w:p>
  </w:footnote>
  <w:footnote w:id="331">
    <w:p w14:paraId="4025E3FA" w14:textId="7F3AE2A4" w:rsidR="000D37DC" w:rsidRDefault="000D37DC" w:rsidP="00A61C8A">
      <w:pPr>
        <w:pStyle w:val="FootnoteText"/>
        <w:bidi w:val="0"/>
        <w:jc w:val="both"/>
        <w:rPr>
          <w:lang w:val="en-GB"/>
        </w:rPr>
      </w:pPr>
      <w:r w:rsidRPr="005562DE">
        <w:rPr>
          <w:rStyle w:val="FootnoteReference"/>
          <w:lang w:val="en-GB"/>
        </w:rPr>
        <w:footnoteRef/>
      </w:r>
      <w:r w:rsidRPr="005562DE">
        <w:rPr>
          <w:rtl/>
          <w:lang w:val="en-GB"/>
        </w:rPr>
        <w:t xml:space="preserve"> </w:t>
      </w:r>
      <w:r>
        <w:rPr>
          <w:lang w:val="en-GB"/>
        </w:rPr>
        <w:t xml:space="preserve">The Civil Service Commission, the Civil Service Commissioner’s guidelines for human capital planning, working year 2016, p. 16, accessible at: </w:t>
      </w:r>
    </w:p>
    <w:p w14:paraId="74B560D1" w14:textId="6D502324" w:rsidR="000D37DC" w:rsidRPr="005562DE" w:rsidRDefault="000D37DC" w:rsidP="00C75B88">
      <w:pPr>
        <w:pStyle w:val="FootnoteText"/>
        <w:bidi w:val="0"/>
        <w:jc w:val="both"/>
        <w:rPr>
          <w:lang w:val="en-GB"/>
        </w:rPr>
      </w:pPr>
      <w:hyperlink r:id="rId39" w:history="1">
        <w:r w:rsidRPr="00C75B88">
          <w:rPr>
            <w:rStyle w:val="Hyperlink"/>
            <w:lang w:val="en-GB"/>
          </w:rPr>
          <w:t>http://www.csc.gov.il/DataBases/ArticlesAndPublications/documents/guidelineplanninghc-2016.pdf</w:t>
        </w:r>
      </w:hyperlink>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rson w15:author="Guy MalbeC">
    <w15:presenceInfo w15:providerId="Windows Live" w15:userId="d2ef4262023ca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59"/>
    <w:rsid w:val="00001285"/>
    <w:rsid w:val="00001F87"/>
    <w:rsid w:val="00001FF4"/>
    <w:rsid w:val="00002838"/>
    <w:rsid w:val="000036F7"/>
    <w:rsid w:val="000048BD"/>
    <w:rsid w:val="00005310"/>
    <w:rsid w:val="0000544F"/>
    <w:rsid w:val="00006127"/>
    <w:rsid w:val="00006538"/>
    <w:rsid w:val="00007344"/>
    <w:rsid w:val="00013F21"/>
    <w:rsid w:val="0001780F"/>
    <w:rsid w:val="00020707"/>
    <w:rsid w:val="000209B0"/>
    <w:rsid w:val="00020A2C"/>
    <w:rsid w:val="00021251"/>
    <w:rsid w:val="00021EEF"/>
    <w:rsid w:val="00021FD0"/>
    <w:rsid w:val="00022854"/>
    <w:rsid w:val="00022F01"/>
    <w:rsid w:val="000232DF"/>
    <w:rsid w:val="00024FC4"/>
    <w:rsid w:val="00026840"/>
    <w:rsid w:val="00030120"/>
    <w:rsid w:val="0003031A"/>
    <w:rsid w:val="000316E9"/>
    <w:rsid w:val="000319D1"/>
    <w:rsid w:val="00031A6C"/>
    <w:rsid w:val="0003224A"/>
    <w:rsid w:val="00032DA1"/>
    <w:rsid w:val="00036B9C"/>
    <w:rsid w:val="00037D1B"/>
    <w:rsid w:val="0004052F"/>
    <w:rsid w:val="00040B15"/>
    <w:rsid w:val="00040C18"/>
    <w:rsid w:val="00040E04"/>
    <w:rsid w:val="0004154E"/>
    <w:rsid w:val="0004265A"/>
    <w:rsid w:val="000429C6"/>
    <w:rsid w:val="00042DAB"/>
    <w:rsid w:val="00043605"/>
    <w:rsid w:val="00044E65"/>
    <w:rsid w:val="000472FE"/>
    <w:rsid w:val="00050395"/>
    <w:rsid w:val="000506A0"/>
    <w:rsid w:val="0005090C"/>
    <w:rsid w:val="00051834"/>
    <w:rsid w:val="00051908"/>
    <w:rsid w:val="000519E2"/>
    <w:rsid w:val="00053AEB"/>
    <w:rsid w:val="000550A9"/>
    <w:rsid w:val="000552CC"/>
    <w:rsid w:val="000558AB"/>
    <w:rsid w:val="00057042"/>
    <w:rsid w:val="000570E5"/>
    <w:rsid w:val="000577E3"/>
    <w:rsid w:val="00057E5E"/>
    <w:rsid w:val="000622AB"/>
    <w:rsid w:val="00063307"/>
    <w:rsid w:val="000634B4"/>
    <w:rsid w:val="00063A8B"/>
    <w:rsid w:val="0006466E"/>
    <w:rsid w:val="000653C2"/>
    <w:rsid w:val="0006558B"/>
    <w:rsid w:val="0006619C"/>
    <w:rsid w:val="0006756E"/>
    <w:rsid w:val="00067895"/>
    <w:rsid w:val="0007061B"/>
    <w:rsid w:val="0007136C"/>
    <w:rsid w:val="000719D6"/>
    <w:rsid w:val="00072E04"/>
    <w:rsid w:val="00073983"/>
    <w:rsid w:val="0007411F"/>
    <w:rsid w:val="00074CCC"/>
    <w:rsid w:val="00075841"/>
    <w:rsid w:val="00075861"/>
    <w:rsid w:val="00076F65"/>
    <w:rsid w:val="00077B7A"/>
    <w:rsid w:val="00080BC1"/>
    <w:rsid w:val="00080DF8"/>
    <w:rsid w:val="00080F4B"/>
    <w:rsid w:val="00080FCD"/>
    <w:rsid w:val="00081CC6"/>
    <w:rsid w:val="0008234F"/>
    <w:rsid w:val="000838CB"/>
    <w:rsid w:val="000839D0"/>
    <w:rsid w:val="00083D4D"/>
    <w:rsid w:val="000845DD"/>
    <w:rsid w:val="00087C1B"/>
    <w:rsid w:val="00091B40"/>
    <w:rsid w:val="000923FC"/>
    <w:rsid w:val="00093487"/>
    <w:rsid w:val="00093843"/>
    <w:rsid w:val="00093DE0"/>
    <w:rsid w:val="00093E34"/>
    <w:rsid w:val="00095AFD"/>
    <w:rsid w:val="00096555"/>
    <w:rsid w:val="00096EEB"/>
    <w:rsid w:val="00097220"/>
    <w:rsid w:val="00097264"/>
    <w:rsid w:val="00097346"/>
    <w:rsid w:val="000A03F6"/>
    <w:rsid w:val="000A15C2"/>
    <w:rsid w:val="000A2692"/>
    <w:rsid w:val="000A2E3D"/>
    <w:rsid w:val="000A336D"/>
    <w:rsid w:val="000A38AE"/>
    <w:rsid w:val="000A452A"/>
    <w:rsid w:val="000A6453"/>
    <w:rsid w:val="000B06C2"/>
    <w:rsid w:val="000B09A0"/>
    <w:rsid w:val="000B0F42"/>
    <w:rsid w:val="000B1608"/>
    <w:rsid w:val="000B1FE2"/>
    <w:rsid w:val="000B2AEE"/>
    <w:rsid w:val="000B3107"/>
    <w:rsid w:val="000B358B"/>
    <w:rsid w:val="000B36AD"/>
    <w:rsid w:val="000B3794"/>
    <w:rsid w:val="000B6649"/>
    <w:rsid w:val="000C09D3"/>
    <w:rsid w:val="000C28D6"/>
    <w:rsid w:val="000C2FAB"/>
    <w:rsid w:val="000C32F9"/>
    <w:rsid w:val="000C3C34"/>
    <w:rsid w:val="000C45C3"/>
    <w:rsid w:val="000C61D5"/>
    <w:rsid w:val="000D0BF7"/>
    <w:rsid w:val="000D139E"/>
    <w:rsid w:val="000D1804"/>
    <w:rsid w:val="000D30E9"/>
    <w:rsid w:val="000D364B"/>
    <w:rsid w:val="000D37DC"/>
    <w:rsid w:val="000D42E1"/>
    <w:rsid w:val="000D52E7"/>
    <w:rsid w:val="000D57D3"/>
    <w:rsid w:val="000D5C2A"/>
    <w:rsid w:val="000D5FBA"/>
    <w:rsid w:val="000D6595"/>
    <w:rsid w:val="000D7651"/>
    <w:rsid w:val="000E0FB0"/>
    <w:rsid w:val="000E1ECE"/>
    <w:rsid w:val="000E2832"/>
    <w:rsid w:val="000E2A87"/>
    <w:rsid w:val="000E5579"/>
    <w:rsid w:val="000E6BC9"/>
    <w:rsid w:val="000E6D6F"/>
    <w:rsid w:val="000E7C5B"/>
    <w:rsid w:val="000F2663"/>
    <w:rsid w:val="000F28A4"/>
    <w:rsid w:val="000F38C7"/>
    <w:rsid w:val="000F3D13"/>
    <w:rsid w:val="000F4B6F"/>
    <w:rsid w:val="000F5389"/>
    <w:rsid w:val="000F562E"/>
    <w:rsid w:val="000F600E"/>
    <w:rsid w:val="00102176"/>
    <w:rsid w:val="00102AF5"/>
    <w:rsid w:val="0010357F"/>
    <w:rsid w:val="001035EF"/>
    <w:rsid w:val="0010546F"/>
    <w:rsid w:val="00106693"/>
    <w:rsid w:val="00106949"/>
    <w:rsid w:val="00110469"/>
    <w:rsid w:val="00110FF8"/>
    <w:rsid w:val="001122A1"/>
    <w:rsid w:val="0011368E"/>
    <w:rsid w:val="00113773"/>
    <w:rsid w:val="001137A3"/>
    <w:rsid w:val="00113A5C"/>
    <w:rsid w:val="0011449D"/>
    <w:rsid w:val="001144FF"/>
    <w:rsid w:val="00114822"/>
    <w:rsid w:val="00115850"/>
    <w:rsid w:val="0011599E"/>
    <w:rsid w:val="00116059"/>
    <w:rsid w:val="00116336"/>
    <w:rsid w:val="001163E6"/>
    <w:rsid w:val="001167BC"/>
    <w:rsid w:val="001174DB"/>
    <w:rsid w:val="001204EF"/>
    <w:rsid w:val="0012115C"/>
    <w:rsid w:val="001212BB"/>
    <w:rsid w:val="001215B1"/>
    <w:rsid w:val="00121851"/>
    <w:rsid w:val="0012231E"/>
    <w:rsid w:val="0012276D"/>
    <w:rsid w:val="00122A6A"/>
    <w:rsid w:val="001269CE"/>
    <w:rsid w:val="0013021C"/>
    <w:rsid w:val="001311DE"/>
    <w:rsid w:val="00132793"/>
    <w:rsid w:val="00132F33"/>
    <w:rsid w:val="00134B78"/>
    <w:rsid w:val="00134E5E"/>
    <w:rsid w:val="00135160"/>
    <w:rsid w:val="00135E19"/>
    <w:rsid w:val="001363F5"/>
    <w:rsid w:val="00137591"/>
    <w:rsid w:val="0013787C"/>
    <w:rsid w:val="00137A54"/>
    <w:rsid w:val="001400B7"/>
    <w:rsid w:val="00140D6F"/>
    <w:rsid w:val="00140F11"/>
    <w:rsid w:val="001414A1"/>
    <w:rsid w:val="00141E9A"/>
    <w:rsid w:val="00142A03"/>
    <w:rsid w:val="001453EC"/>
    <w:rsid w:val="0014598D"/>
    <w:rsid w:val="00147426"/>
    <w:rsid w:val="001514CF"/>
    <w:rsid w:val="00151C73"/>
    <w:rsid w:val="00152B45"/>
    <w:rsid w:val="00152FD9"/>
    <w:rsid w:val="00153286"/>
    <w:rsid w:val="00153F5C"/>
    <w:rsid w:val="00153FE9"/>
    <w:rsid w:val="001541DE"/>
    <w:rsid w:val="0015434E"/>
    <w:rsid w:val="00154D78"/>
    <w:rsid w:val="00154DFE"/>
    <w:rsid w:val="00155B8C"/>
    <w:rsid w:val="00155E1A"/>
    <w:rsid w:val="00156055"/>
    <w:rsid w:val="00156BDA"/>
    <w:rsid w:val="00157FAC"/>
    <w:rsid w:val="001619B2"/>
    <w:rsid w:val="0016447D"/>
    <w:rsid w:val="00164937"/>
    <w:rsid w:val="00165B69"/>
    <w:rsid w:val="00165EA3"/>
    <w:rsid w:val="00165F7F"/>
    <w:rsid w:val="00166A67"/>
    <w:rsid w:val="00166FCC"/>
    <w:rsid w:val="0017232D"/>
    <w:rsid w:val="0017308B"/>
    <w:rsid w:val="00173122"/>
    <w:rsid w:val="001733FA"/>
    <w:rsid w:val="0017361E"/>
    <w:rsid w:val="00174C9F"/>
    <w:rsid w:val="0017648C"/>
    <w:rsid w:val="00176EDE"/>
    <w:rsid w:val="0017736E"/>
    <w:rsid w:val="00177374"/>
    <w:rsid w:val="00177C8A"/>
    <w:rsid w:val="00182230"/>
    <w:rsid w:val="00182A71"/>
    <w:rsid w:val="00182E8D"/>
    <w:rsid w:val="00183D07"/>
    <w:rsid w:val="00184532"/>
    <w:rsid w:val="00184929"/>
    <w:rsid w:val="00184B73"/>
    <w:rsid w:val="001850CD"/>
    <w:rsid w:val="0018549C"/>
    <w:rsid w:val="00185B09"/>
    <w:rsid w:val="00186164"/>
    <w:rsid w:val="0018705C"/>
    <w:rsid w:val="00187A22"/>
    <w:rsid w:val="00190097"/>
    <w:rsid w:val="00190A59"/>
    <w:rsid w:val="00192671"/>
    <w:rsid w:val="0019282C"/>
    <w:rsid w:val="0019342C"/>
    <w:rsid w:val="00194306"/>
    <w:rsid w:val="0019465A"/>
    <w:rsid w:val="001951EA"/>
    <w:rsid w:val="00195673"/>
    <w:rsid w:val="00196A9E"/>
    <w:rsid w:val="001A069D"/>
    <w:rsid w:val="001A10DC"/>
    <w:rsid w:val="001A309C"/>
    <w:rsid w:val="001A6896"/>
    <w:rsid w:val="001A6FAE"/>
    <w:rsid w:val="001B0254"/>
    <w:rsid w:val="001B04D8"/>
    <w:rsid w:val="001B05DA"/>
    <w:rsid w:val="001B3848"/>
    <w:rsid w:val="001B40C7"/>
    <w:rsid w:val="001B4CC2"/>
    <w:rsid w:val="001B5E9A"/>
    <w:rsid w:val="001C15B4"/>
    <w:rsid w:val="001C1817"/>
    <w:rsid w:val="001C2106"/>
    <w:rsid w:val="001C2311"/>
    <w:rsid w:val="001C3396"/>
    <w:rsid w:val="001C5291"/>
    <w:rsid w:val="001C5A09"/>
    <w:rsid w:val="001C5A48"/>
    <w:rsid w:val="001C6B83"/>
    <w:rsid w:val="001C7D1F"/>
    <w:rsid w:val="001D1AEA"/>
    <w:rsid w:val="001D33F8"/>
    <w:rsid w:val="001D5E5C"/>
    <w:rsid w:val="001D6CC1"/>
    <w:rsid w:val="001E13C4"/>
    <w:rsid w:val="001E2178"/>
    <w:rsid w:val="001E22E7"/>
    <w:rsid w:val="001E27B0"/>
    <w:rsid w:val="001E2801"/>
    <w:rsid w:val="001E2842"/>
    <w:rsid w:val="001E5671"/>
    <w:rsid w:val="001E56AA"/>
    <w:rsid w:val="001E66BB"/>
    <w:rsid w:val="001E6C2E"/>
    <w:rsid w:val="001E7D16"/>
    <w:rsid w:val="001F1EDD"/>
    <w:rsid w:val="001F2997"/>
    <w:rsid w:val="001F48D5"/>
    <w:rsid w:val="001F494E"/>
    <w:rsid w:val="001F5D2C"/>
    <w:rsid w:val="002007E9"/>
    <w:rsid w:val="00200898"/>
    <w:rsid w:val="00201AA3"/>
    <w:rsid w:val="00203B2D"/>
    <w:rsid w:val="00203C93"/>
    <w:rsid w:val="00203FF1"/>
    <w:rsid w:val="002042C7"/>
    <w:rsid w:val="00204FD1"/>
    <w:rsid w:val="00206545"/>
    <w:rsid w:val="00207931"/>
    <w:rsid w:val="00211FEB"/>
    <w:rsid w:val="00212041"/>
    <w:rsid w:val="00212FCA"/>
    <w:rsid w:val="00216966"/>
    <w:rsid w:val="002177CE"/>
    <w:rsid w:val="00217BAE"/>
    <w:rsid w:val="0022031D"/>
    <w:rsid w:val="002232A6"/>
    <w:rsid w:val="00223615"/>
    <w:rsid w:val="00224188"/>
    <w:rsid w:val="002242BE"/>
    <w:rsid w:val="00226A2C"/>
    <w:rsid w:val="0022728D"/>
    <w:rsid w:val="00227966"/>
    <w:rsid w:val="00227A80"/>
    <w:rsid w:val="002304FE"/>
    <w:rsid w:val="002305DE"/>
    <w:rsid w:val="00230FC4"/>
    <w:rsid w:val="002315CD"/>
    <w:rsid w:val="002348E0"/>
    <w:rsid w:val="00235945"/>
    <w:rsid w:val="00235F99"/>
    <w:rsid w:val="0023774B"/>
    <w:rsid w:val="0024018C"/>
    <w:rsid w:val="002407D2"/>
    <w:rsid w:val="00243D40"/>
    <w:rsid w:val="0024478A"/>
    <w:rsid w:val="00245F31"/>
    <w:rsid w:val="0024618F"/>
    <w:rsid w:val="00246FA2"/>
    <w:rsid w:val="00251323"/>
    <w:rsid w:val="00252447"/>
    <w:rsid w:val="002533D3"/>
    <w:rsid w:val="0025371C"/>
    <w:rsid w:val="00253823"/>
    <w:rsid w:val="00253A53"/>
    <w:rsid w:val="00253B3A"/>
    <w:rsid w:val="00255B31"/>
    <w:rsid w:val="00260CB4"/>
    <w:rsid w:val="002627DA"/>
    <w:rsid w:val="00262D07"/>
    <w:rsid w:val="00263B88"/>
    <w:rsid w:val="00263E73"/>
    <w:rsid w:val="002641B6"/>
    <w:rsid w:val="00264397"/>
    <w:rsid w:val="00264701"/>
    <w:rsid w:val="00264803"/>
    <w:rsid w:val="00264ADB"/>
    <w:rsid w:val="00266627"/>
    <w:rsid w:val="00272E14"/>
    <w:rsid w:val="00272FFE"/>
    <w:rsid w:val="0027448F"/>
    <w:rsid w:val="00275F27"/>
    <w:rsid w:val="00275F62"/>
    <w:rsid w:val="002763EE"/>
    <w:rsid w:val="00277618"/>
    <w:rsid w:val="0028005E"/>
    <w:rsid w:val="002805C9"/>
    <w:rsid w:val="00281BDE"/>
    <w:rsid w:val="002826DF"/>
    <w:rsid w:val="0028288D"/>
    <w:rsid w:val="002830C5"/>
    <w:rsid w:val="00283387"/>
    <w:rsid w:val="00283411"/>
    <w:rsid w:val="0028583B"/>
    <w:rsid w:val="00286484"/>
    <w:rsid w:val="002879C9"/>
    <w:rsid w:val="00290168"/>
    <w:rsid w:val="00290867"/>
    <w:rsid w:val="00293EB0"/>
    <w:rsid w:val="002946D7"/>
    <w:rsid w:val="00294B10"/>
    <w:rsid w:val="002951B5"/>
    <w:rsid w:val="00295F88"/>
    <w:rsid w:val="00296CE7"/>
    <w:rsid w:val="00297271"/>
    <w:rsid w:val="002A0555"/>
    <w:rsid w:val="002A194B"/>
    <w:rsid w:val="002A1D02"/>
    <w:rsid w:val="002A1F56"/>
    <w:rsid w:val="002A243C"/>
    <w:rsid w:val="002A3319"/>
    <w:rsid w:val="002A398B"/>
    <w:rsid w:val="002A4B97"/>
    <w:rsid w:val="002A51D6"/>
    <w:rsid w:val="002A5327"/>
    <w:rsid w:val="002A60BE"/>
    <w:rsid w:val="002B09D2"/>
    <w:rsid w:val="002B0A12"/>
    <w:rsid w:val="002B13BE"/>
    <w:rsid w:val="002B1676"/>
    <w:rsid w:val="002B2EBA"/>
    <w:rsid w:val="002B30E4"/>
    <w:rsid w:val="002B32CB"/>
    <w:rsid w:val="002B46E0"/>
    <w:rsid w:val="002B5BF6"/>
    <w:rsid w:val="002B6015"/>
    <w:rsid w:val="002B74F5"/>
    <w:rsid w:val="002C071D"/>
    <w:rsid w:val="002C0B94"/>
    <w:rsid w:val="002C1150"/>
    <w:rsid w:val="002C1452"/>
    <w:rsid w:val="002C1AAD"/>
    <w:rsid w:val="002C1B96"/>
    <w:rsid w:val="002C267D"/>
    <w:rsid w:val="002C2C4A"/>
    <w:rsid w:val="002C3277"/>
    <w:rsid w:val="002C4759"/>
    <w:rsid w:val="002C4E40"/>
    <w:rsid w:val="002C6A86"/>
    <w:rsid w:val="002C7BE5"/>
    <w:rsid w:val="002D0191"/>
    <w:rsid w:val="002D0986"/>
    <w:rsid w:val="002D0A20"/>
    <w:rsid w:val="002D17DC"/>
    <w:rsid w:val="002D2281"/>
    <w:rsid w:val="002D268D"/>
    <w:rsid w:val="002D2F1F"/>
    <w:rsid w:val="002D37E3"/>
    <w:rsid w:val="002D42C5"/>
    <w:rsid w:val="002D603B"/>
    <w:rsid w:val="002D6045"/>
    <w:rsid w:val="002D6696"/>
    <w:rsid w:val="002D6F24"/>
    <w:rsid w:val="002D7AED"/>
    <w:rsid w:val="002E0BD7"/>
    <w:rsid w:val="002E1D6A"/>
    <w:rsid w:val="002E2496"/>
    <w:rsid w:val="002E2DF2"/>
    <w:rsid w:val="002E4DD5"/>
    <w:rsid w:val="002E5052"/>
    <w:rsid w:val="002E6621"/>
    <w:rsid w:val="002E66E6"/>
    <w:rsid w:val="002F2742"/>
    <w:rsid w:val="002F33EA"/>
    <w:rsid w:val="002F3544"/>
    <w:rsid w:val="002F3B84"/>
    <w:rsid w:val="002F6AE3"/>
    <w:rsid w:val="00301F7A"/>
    <w:rsid w:val="00302693"/>
    <w:rsid w:val="00302EA2"/>
    <w:rsid w:val="0030523E"/>
    <w:rsid w:val="00305819"/>
    <w:rsid w:val="00306CA7"/>
    <w:rsid w:val="00306EF3"/>
    <w:rsid w:val="00307DAA"/>
    <w:rsid w:val="0031005C"/>
    <w:rsid w:val="00311246"/>
    <w:rsid w:val="00312EE9"/>
    <w:rsid w:val="0031518F"/>
    <w:rsid w:val="003156FD"/>
    <w:rsid w:val="003161B5"/>
    <w:rsid w:val="0031655D"/>
    <w:rsid w:val="003169B9"/>
    <w:rsid w:val="00317171"/>
    <w:rsid w:val="003209B9"/>
    <w:rsid w:val="003211D4"/>
    <w:rsid w:val="003215C5"/>
    <w:rsid w:val="00321B5E"/>
    <w:rsid w:val="00322860"/>
    <w:rsid w:val="00322DCC"/>
    <w:rsid w:val="003233E3"/>
    <w:rsid w:val="0032471C"/>
    <w:rsid w:val="003248C6"/>
    <w:rsid w:val="00325521"/>
    <w:rsid w:val="003257F7"/>
    <w:rsid w:val="00326B0A"/>
    <w:rsid w:val="00327E07"/>
    <w:rsid w:val="003304BC"/>
    <w:rsid w:val="00330978"/>
    <w:rsid w:val="00330E89"/>
    <w:rsid w:val="0033478A"/>
    <w:rsid w:val="003356CF"/>
    <w:rsid w:val="00335FC3"/>
    <w:rsid w:val="00336581"/>
    <w:rsid w:val="003405D6"/>
    <w:rsid w:val="003413A4"/>
    <w:rsid w:val="00341DC6"/>
    <w:rsid w:val="00341F51"/>
    <w:rsid w:val="00342771"/>
    <w:rsid w:val="003449E3"/>
    <w:rsid w:val="00345AD0"/>
    <w:rsid w:val="00347040"/>
    <w:rsid w:val="00347D21"/>
    <w:rsid w:val="00347D96"/>
    <w:rsid w:val="003500FD"/>
    <w:rsid w:val="00350521"/>
    <w:rsid w:val="00351845"/>
    <w:rsid w:val="0035239F"/>
    <w:rsid w:val="00352985"/>
    <w:rsid w:val="00353B00"/>
    <w:rsid w:val="003545BF"/>
    <w:rsid w:val="00355D68"/>
    <w:rsid w:val="00356E91"/>
    <w:rsid w:val="00357C02"/>
    <w:rsid w:val="00357C86"/>
    <w:rsid w:val="00361AB7"/>
    <w:rsid w:val="003626BF"/>
    <w:rsid w:val="00363492"/>
    <w:rsid w:val="003651AF"/>
    <w:rsid w:val="00365F4D"/>
    <w:rsid w:val="00366226"/>
    <w:rsid w:val="0036677C"/>
    <w:rsid w:val="003701BC"/>
    <w:rsid w:val="00371F9C"/>
    <w:rsid w:val="00372C14"/>
    <w:rsid w:val="00374775"/>
    <w:rsid w:val="00374846"/>
    <w:rsid w:val="00374D9F"/>
    <w:rsid w:val="00377EBD"/>
    <w:rsid w:val="0038073B"/>
    <w:rsid w:val="00380965"/>
    <w:rsid w:val="00380AAB"/>
    <w:rsid w:val="00381821"/>
    <w:rsid w:val="00381A67"/>
    <w:rsid w:val="00381B02"/>
    <w:rsid w:val="0038286A"/>
    <w:rsid w:val="003829B3"/>
    <w:rsid w:val="003829BB"/>
    <w:rsid w:val="003845DA"/>
    <w:rsid w:val="003850EA"/>
    <w:rsid w:val="0038636B"/>
    <w:rsid w:val="003865D0"/>
    <w:rsid w:val="0038723A"/>
    <w:rsid w:val="00390DAE"/>
    <w:rsid w:val="00391448"/>
    <w:rsid w:val="003918A2"/>
    <w:rsid w:val="00391BEA"/>
    <w:rsid w:val="003925B6"/>
    <w:rsid w:val="00392853"/>
    <w:rsid w:val="003928DA"/>
    <w:rsid w:val="003953E2"/>
    <w:rsid w:val="00395988"/>
    <w:rsid w:val="00395C33"/>
    <w:rsid w:val="00395FB8"/>
    <w:rsid w:val="00397E7C"/>
    <w:rsid w:val="003A00AA"/>
    <w:rsid w:val="003A438E"/>
    <w:rsid w:val="003A47C2"/>
    <w:rsid w:val="003A4D60"/>
    <w:rsid w:val="003A4EB3"/>
    <w:rsid w:val="003A4F28"/>
    <w:rsid w:val="003A54F3"/>
    <w:rsid w:val="003A6295"/>
    <w:rsid w:val="003A69F7"/>
    <w:rsid w:val="003A7206"/>
    <w:rsid w:val="003B1E58"/>
    <w:rsid w:val="003B36E2"/>
    <w:rsid w:val="003B42DD"/>
    <w:rsid w:val="003B4C64"/>
    <w:rsid w:val="003B4F1D"/>
    <w:rsid w:val="003B53B5"/>
    <w:rsid w:val="003B6B63"/>
    <w:rsid w:val="003C15F6"/>
    <w:rsid w:val="003C1608"/>
    <w:rsid w:val="003C2DA4"/>
    <w:rsid w:val="003C39C1"/>
    <w:rsid w:val="003C5A4F"/>
    <w:rsid w:val="003C5BDE"/>
    <w:rsid w:val="003C71D0"/>
    <w:rsid w:val="003C7882"/>
    <w:rsid w:val="003C7B3B"/>
    <w:rsid w:val="003C7BA8"/>
    <w:rsid w:val="003D0843"/>
    <w:rsid w:val="003D0ACC"/>
    <w:rsid w:val="003D0D0B"/>
    <w:rsid w:val="003D1E6F"/>
    <w:rsid w:val="003D22CD"/>
    <w:rsid w:val="003D3130"/>
    <w:rsid w:val="003D3249"/>
    <w:rsid w:val="003D3F2E"/>
    <w:rsid w:val="003D51D3"/>
    <w:rsid w:val="003D6206"/>
    <w:rsid w:val="003D768C"/>
    <w:rsid w:val="003D7B9E"/>
    <w:rsid w:val="003E0149"/>
    <w:rsid w:val="003E0B65"/>
    <w:rsid w:val="003E3097"/>
    <w:rsid w:val="003E42AE"/>
    <w:rsid w:val="003E459D"/>
    <w:rsid w:val="003E5075"/>
    <w:rsid w:val="003E5091"/>
    <w:rsid w:val="003E54D5"/>
    <w:rsid w:val="003E5A74"/>
    <w:rsid w:val="003E60F8"/>
    <w:rsid w:val="003E62CD"/>
    <w:rsid w:val="003E6B2A"/>
    <w:rsid w:val="003E71EB"/>
    <w:rsid w:val="003F1BE9"/>
    <w:rsid w:val="003F1D3D"/>
    <w:rsid w:val="003F257F"/>
    <w:rsid w:val="003F30C3"/>
    <w:rsid w:val="003F3A53"/>
    <w:rsid w:val="003F4757"/>
    <w:rsid w:val="003F583E"/>
    <w:rsid w:val="003F710E"/>
    <w:rsid w:val="003F74A7"/>
    <w:rsid w:val="00400C51"/>
    <w:rsid w:val="004017CF"/>
    <w:rsid w:val="004019D9"/>
    <w:rsid w:val="004034D3"/>
    <w:rsid w:val="00403829"/>
    <w:rsid w:val="00404DA5"/>
    <w:rsid w:val="00405522"/>
    <w:rsid w:val="00407119"/>
    <w:rsid w:val="00407904"/>
    <w:rsid w:val="0041168B"/>
    <w:rsid w:val="00411E70"/>
    <w:rsid w:val="004147CC"/>
    <w:rsid w:val="00415BE2"/>
    <w:rsid w:val="00415CF0"/>
    <w:rsid w:val="00416CF7"/>
    <w:rsid w:val="00416D80"/>
    <w:rsid w:val="00416FA2"/>
    <w:rsid w:val="00417503"/>
    <w:rsid w:val="0041752C"/>
    <w:rsid w:val="00417C9C"/>
    <w:rsid w:val="00417D9F"/>
    <w:rsid w:val="004201C4"/>
    <w:rsid w:val="00421170"/>
    <w:rsid w:val="0042127D"/>
    <w:rsid w:val="004255BF"/>
    <w:rsid w:val="0042615D"/>
    <w:rsid w:val="00426498"/>
    <w:rsid w:val="004266DD"/>
    <w:rsid w:val="004271DF"/>
    <w:rsid w:val="00427FF2"/>
    <w:rsid w:val="00431313"/>
    <w:rsid w:val="00432B90"/>
    <w:rsid w:val="0043415F"/>
    <w:rsid w:val="0043572C"/>
    <w:rsid w:val="00435E4A"/>
    <w:rsid w:val="0043792C"/>
    <w:rsid w:val="00437C9A"/>
    <w:rsid w:val="00440D5F"/>
    <w:rsid w:val="00442228"/>
    <w:rsid w:val="00445602"/>
    <w:rsid w:val="00446774"/>
    <w:rsid w:val="004567F2"/>
    <w:rsid w:val="00456F44"/>
    <w:rsid w:val="004574B0"/>
    <w:rsid w:val="004575DD"/>
    <w:rsid w:val="0045771A"/>
    <w:rsid w:val="004578A1"/>
    <w:rsid w:val="00463799"/>
    <w:rsid w:val="0046381C"/>
    <w:rsid w:val="00464847"/>
    <w:rsid w:val="004661F0"/>
    <w:rsid w:val="0046628A"/>
    <w:rsid w:val="00466579"/>
    <w:rsid w:val="004668BF"/>
    <w:rsid w:val="00466F09"/>
    <w:rsid w:val="004672C7"/>
    <w:rsid w:val="004677CF"/>
    <w:rsid w:val="00470A8D"/>
    <w:rsid w:val="00472375"/>
    <w:rsid w:val="004736A9"/>
    <w:rsid w:val="004737B8"/>
    <w:rsid w:val="00474142"/>
    <w:rsid w:val="00474AAC"/>
    <w:rsid w:val="004751B5"/>
    <w:rsid w:val="00475377"/>
    <w:rsid w:val="004757A9"/>
    <w:rsid w:val="00475900"/>
    <w:rsid w:val="00477900"/>
    <w:rsid w:val="00481044"/>
    <w:rsid w:val="0048161D"/>
    <w:rsid w:val="00481750"/>
    <w:rsid w:val="00481827"/>
    <w:rsid w:val="004818FE"/>
    <w:rsid w:val="00482090"/>
    <w:rsid w:val="0048255D"/>
    <w:rsid w:val="0048335B"/>
    <w:rsid w:val="00483615"/>
    <w:rsid w:val="00484352"/>
    <w:rsid w:val="004849D8"/>
    <w:rsid w:val="00485650"/>
    <w:rsid w:val="004865C6"/>
    <w:rsid w:val="00486B0A"/>
    <w:rsid w:val="0049012F"/>
    <w:rsid w:val="00492621"/>
    <w:rsid w:val="00494CE5"/>
    <w:rsid w:val="00495D0D"/>
    <w:rsid w:val="00496BDC"/>
    <w:rsid w:val="00496BE7"/>
    <w:rsid w:val="004A2ED7"/>
    <w:rsid w:val="004A2FB6"/>
    <w:rsid w:val="004A4D81"/>
    <w:rsid w:val="004A631F"/>
    <w:rsid w:val="004A7917"/>
    <w:rsid w:val="004B268A"/>
    <w:rsid w:val="004B2EBC"/>
    <w:rsid w:val="004B2EE5"/>
    <w:rsid w:val="004B36C0"/>
    <w:rsid w:val="004B3788"/>
    <w:rsid w:val="004B4BBE"/>
    <w:rsid w:val="004B5C3A"/>
    <w:rsid w:val="004B5C3B"/>
    <w:rsid w:val="004B6223"/>
    <w:rsid w:val="004B64E3"/>
    <w:rsid w:val="004B6507"/>
    <w:rsid w:val="004B730D"/>
    <w:rsid w:val="004C057F"/>
    <w:rsid w:val="004C1389"/>
    <w:rsid w:val="004C295E"/>
    <w:rsid w:val="004C2A5B"/>
    <w:rsid w:val="004C3519"/>
    <w:rsid w:val="004C3BFC"/>
    <w:rsid w:val="004C503C"/>
    <w:rsid w:val="004C6820"/>
    <w:rsid w:val="004D13B5"/>
    <w:rsid w:val="004D1482"/>
    <w:rsid w:val="004D1CDF"/>
    <w:rsid w:val="004D2085"/>
    <w:rsid w:val="004D2190"/>
    <w:rsid w:val="004D35AD"/>
    <w:rsid w:val="004D3B00"/>
    <w:rsid w:val="004D3C9A"/>
    <w:rsid w:val="004D51F8"/>
    <w:rsid w:val="004D59AF"/>
    <w:rsid w:val="004D700B"/>
    <w:rsid w:val="004E009E"/>
    <w:rsid w:val="004E2D52"/>
    <w:rsid w:val="004E37FE"/>
    <w:rsid w:val="004E3FA8"/>
    <w:rsid w:val="004E41D9"/>
    <w:rsid w:val="004E586C"/>
    <w:rsid w:val="004E679B"/>
    <w:rsid w:val="004E7959"/>
    <w:rsid w:val="004E79D1"/>
    <w:rsid w:val="004E7BA8"/>
    <w:rsid w:val="004E7E25"/>
    <w:rsid w:val="004E7F19"/>
    <w:rsid w:val="004F1B8C"/>
    <w:rsid w:val="004F391B"/>
    <w:rsid w:val="004F4A16"/>
    <w:rsid w:val="004F5092"/>
    <w:rsid w:val="004F7B28"/>
    <w:rsid w:val="00501210"/>
    <w:rsid w:val="0050516E"/>
    <w:rsid w:val="0050587D"/>
    <w:rsid w:val="00507200"/>
    <w:rsid w:val="0050736B"/>
    <w:rsid w:val="00510BA0"/>
    <w:rsid w:val="00510E42"/>
    <w:rsid w:val="00511C97"/>
    <w:rsid w:val="00512938"/>
    <w:rsid w:val="00513177"/>
    <w:rsid w:val="00515A1A"/>
    <w:rsid w:val="00515BE1"/>
    <w:rsid w:val="0051604F"/>
    <w:rsid w:val="0051611B"/>
    <w:rsid w:val="00516469"/>
    <w:rsid w:val="005168C4"/>
    <w:rsid w:val="00516D48"/>
    <w:rsid w:val="00516E9E"/>
    <w:rsid w:val="005172CD"/>
    <w:rsid w:val="005176F7"/>
    <w:rsid w:val="00517A9E"/>
    <w:rsid w:val="00517BA5"/>
    <w:rsid w:val="00520096"/>
    <w:rsid w:val="005213E1"/>
    <w:rsid w:val="00522465"/>
    <w:rsid w:val="00522DE3"/>
    <w:rsid w:val="0052332B"/>
    <w:rsid w:val="00523490"/>
    <w:rsid w:val="00524E8D"/>
    <w:rsid w:val="0052514F"/>
    <w:rsid w:val="00530F92"/>
    <w:rsid w:val="00531094"/>
    <w:rsid w:val="00531CAC"/>
    <w:rsid w:val="00532542"/>
    <w:rsid w:val="00535565"/>
    <w:rsid w:val="00535E90"/>
    <w:rsid w:val="00540129"/>
    <w:rsid w:val="0054019B"/>
    <w:rsid w:val="00540A74"/>
    <w:rsid w:val="00540C58"/>
    <w:rsid w:val="0054107D"/>
    <w:rsid w:val="00544E4A"/>
    <w:rsid w:val="00545D7F"/>
    <w:rsid w:val="005479B5"/>
    <w:rsid w:val="00552D9B"/>
    <w:rsid w:val="005533CD"/>
    <w:rsid w:val="00555443"/>
    <w:rsid w:val="005562DE"/>
    <w:rsid w:val="00556502"/>
    <w:rsid w:val="00556645"/>
    <w:rsid w:val="005575E8"/>
    <w:rsid w:val="00561FC9"/>
    <w:rsid w:val="00562B00"/>
    <w:rsid w:val="00562FF3"/>
    <w:rsid w:val="00563B78"/>
    <w:rsid w:val="00566627"/>
    <w:rsid w:val="00566683"/>
    <w:rsid w:val="00566EF2"/>
    <w:rsid w:val="005715CA"/>
    <w:rsid w:val="00571ADD"/>
    <w:rsid w:val="005721A7"/>
    <w:rsid w:val="00576018"/>
    <w:rsid w:val="00576BA8"/>
    <w:rsid w:val="00581417"/>
    <w:rsid w:val="0058290B"/>
    <w:rsid w:val="00582FC0"/>
    <w:rsid w:val="00583C00"/>
    <w:rsid w:val="005843FD"/>
    <w:rsid w:val="0058511E"/>
    <w:rsid w:val="0058544F"/>
    <w:rsid w:val="00585D97"/>
    <w:rsid w:val="005865A4"/>
    <w:rsid w:val="00587032"/>
    <w:rsid w:val="00587CFE"/>
    <w:rsid w:val="00592700"/>
    <w:rsid w:val="005931FE"/>
    <w:rsid w:val="005948DA"/>
    <w:rsid w:val="00595BD1"/>
    <w:rsid w:val="00596D74"/>
    <w:rsid w:val="00597488"/>
    <w:rsid w:val="005A06B4"/>
    <w:rsid w:val="005A1E0E"/>
    <w:rsid w:val="005A1E45"/>
    <w:rsid w:val="005A42A7"/>
    <w:rsid w:val="005A44DE"/>
    <w:rsid w:val="005A518B"/>
    <w:rsid w:val="005A57EC"/>
    <w:rsid w:val="005A5F74"/>
    <w:rsid w:val="005A6D07"/>
    <w:rsid w:val="005A78AE"/>
    <w:rsid w:val="005A7CC6"/>
    <w:rsid w:val="005B17D8"/>
    <w:rsid w:val="005B2856"/>
    <w:rsid w:val="005B290B"/>
    <w:rsid w:val="005B549C"/>
    <w:rsid w:val="005B640A"/>
    <w:rsid w:val="005B65B5"/>
    <w:rsid w:val="005B66BF"/>
    <w:rsid w:val="005B6883"/>
    <w:rsid w:val="005C0222"/>
    <w:rsid w:val="005C030A"/>
    <w:rsid w:val="005C0AFE"/>
    <w:rsid w:val="005C1234"/>
    <w:rsid w:val="005C375F"/>
    <w:rsid w:val="005C719D"/>
    <w:rsid w:val="005C775A"/>
    <w:rsid w:val="005D0D56"/>
    <w:rsid w:val="005D1B99"/>
    <w:rsid w:val="005D4CA7"/>
    <w:rsid w:val="005D54A7"/>
    <w:rsid w:val="005D7C19"/>
    <w:rsid w:val="005E010F"/>
    <w:rsid w:val="005E0978"/>
    <w:rsid w:val="005E1617"/>
    <w:rsid w:val="005E16EF"/>
    <w:rsid w:val="005E1B27"/>
    <w:rsid w:val="005E1C57"/>
    <w:rsid w:val="005E2D0A"/>
    <w:rsid w:val="005E364C"/>
    <w:rsid w:val="005E3F71"/>
    <w:rsid w:val="005E418C"/>
    <w:rsid w:val="005E4918"/>
    <w:rsid w:val="005E4AA8"/>
    <w:rsid w:val="005E4B3A"/>
    <w:rsid w:val="005E4D51"/>
    <w:rsid w:val="005E58FE"/>
    <w:rsid w:val="005E6166"/>
    <w:rsid w:val="005E64E5"/>
    <w:rsid w:val="005E6596"/>
    <w:rsid w:val="005E7B8D"/>
    <w:rsid w:val="005F139E"/>
    <w:rsid w:val="005F3286"/>
    <w:rsid w:val="005F3859"/>
    <w:rsid w:val="005F38E1"/>
    <w:rsid w:val="005F4588"/>
    <w:rsid w:val="005F4C82"/>
    <w:rsid w:val="005F661C"/>
    <w:rsid w:val="006009CE"/>
    <w:rsid w:val="00600FB2"/>
    <w:rsid w:val="006011E2"/>
    <w:rsid w:val="00601B1E"/>
    <w:rsid w:val="00603018"/>
    <w:rsid w:val="00603521"/>
    <w:rsid w:val="00603EDD"/>
    <w:rsid w:val="006049B6"/>
    <w:rsid w:val="0060524C"/>
    <w:rsid w:val="00605570"/>
    <w:rsid w:val="0060703B"/>
    <w:rsid w:val="0060779A"/>
    <w:rsid w:val="00607D8F"/>
    <w:rsid w:val="00612093"/>
    <w:rsid w:val="006121B5"/>
    <w:rsid w:val="00612495"/>
    <w:rsid w:val="006129B1"/>
    <w:rsid w:val="00612B93"/>
    <w:rsid w:val="00613133"/>
    <w:rsid w:val="00613C2A"/>
    <w:rsid w:val="00614068"/>
    <w:rsid w:val="006147F9"/>
    <w:rsid w:val="00615004"/>
    <w:rsid w:val="00620BCD"/>
    <w:rsid w:val="006210D4"/>
    <w:rsid w:val="006212AB"/>
    <w:rsid w:val="006223E4"/>
    <w:rsid w:val="006226FD"/>
    <w:rsid w:val="0062425F"/>
    <w:rsid w:val="00624C41"/>
    <w:rsid w:val="00625405"/>
    <w:rsid w:val="0062566B"/>
    <w:rsid w:val="006258B1"/>
    <w:rsid w:val="0063017E"/>
    <w:rsid w:val="00630448"/>
    <w:rsid w:val="00631883"/>
    <w:rsid w:val="00632630"/>
    <w:rsid w:val="006328A5"/>
    <w:rsid w:val="0063293D"/>
    <w:rsid w:val="00632D54"/>
    <w:rsid w:val="006338D0"/>
    <w:rsid w:val="00633DB5"/>
    <w:rsid w:val="0063586B"/>
    <w:rsid w:val="00640FC4"/>
    <w:rsid w:val="006417EB"/>
    <w:rsid w:val="0064360D"/>
    <w:rsid w:val="00643B59"/>
    <w:rsid w:val="0064404A"/>
    <w:rsid w:val="00644206"/>
    <w:rsid w:val="006443BE"/>
    <w:rsid w:val="00644A64"/>
    <w:rsid w:val="00646608"/>
    <w:rsid w:val="006479FC"/>
    <w:rsid w:val="00652809"/>
    <w:rsid w:val="006533AA"/>
    <w:rsid w:val="00653C61"/>
    <w:rsid w:val="00656068"/>
    <w:rsid w:val="0065656D"/>
    <w:rsid w:val="00657A74"/>
    <w:rsid w:val="006606E3"/>
    <w:rsid w:val="00660A80"/>
    <w:rsid w:val="0066106E"/>
    <w:rsid w:val="00662E9E"/>
    <w:rsid w:val="0066475F"/>
    <w:rsid w:val="00664951"/>
    <w:rsid w:val="00664BB4"/>
    <w:rsid w:val="0066655A"/>
    <w:rsid w:val="006668A4"/>
    <w:rsid w:val="0066696C"/>
    <w:rsid w:val="00666E97"/>
    <w:rsid w:val="006674F5"/>
    <w:rsid w:val="00667524"/>
    <w:rsid w:val="006676D0"/>
    <w:rsid w:val="0067056B"/>
    <w:rsid w:val="00672092"/>
    <w:rsid w:val="00673CC7"/>
    <w:rsid w:val="00674000"/>
    <w:rsid w:val="00674453"/>
    <w:rsid w:val="006749BB"/>
    <w:rsid w:val="00675083"/>
    <w:rsid w:val="00677E29"/>
    <w:rsid w:val="006808A0"/>
    <w:rsid w:val="00680EC8"/>
    <w:rsid w:val="006810B0"/>
    <w:rsid w:val="006813A9"/>
    <w:rsid w:val="00681C45"/>
    <w:rsid w:val="00682F23"/>
    <w:rsid w:val="0068303A"/>
    <w:rsid w:val="0068318C"/>
    <w:rsid w:val="00683B81"/>
    <w:rsid w:val="006840AF"/>
    <w:rsid w:val="006852A8"/>
    <w:rsid w:val="00686A41"/>
    <w:rsid w:val="00687A0D"/>
    <w:rsid w:val="00691CEB"/>
    <w:rsid w:val="0069217D"/>
    <w:rsid w:val="00692B89"/>
    <w:rsid w:val="00693F51"/>
    <w:rsid w:val="0069432A"/>
    <w:rsid w:val="00694B01"/>
    <w:rsid w:val="006958C1"/>
    <w:rsid w:val="00695941"/>
    <w:rsid w:val="00697616"/>
    <w:rsid w:val="006A082D"/>
    <w:rsid w:val="006A3173"/>
    <w:rsid w:val="006A4E08"/>
    <w:rsid w:val="006A5739"/>
    <w:rsid w:val="006A5DA0"/>
    <w:rsid w:val="006A61EA"/>
    <w:rsid w:val="006A6321"/>
    <w:rsid w:val="006A7B7E"/>
    <w:rsid w:val="006B1F13"/>
    <w:rsid w:val="006B2A68"/>
    <w:rsid w:val="006B371A"/>
    <w:rsid w:val="006B4AE0"/>
    <w:rsid w:val="006B50E6"/>
    <w:rsid w:val="006B517E"/>
    <w:rsid w:val="006B5583"/>
    <w:rsid w:val="006B6EA9"/>
    <w:rsid w:val="006C0C53"/>
    <w:rsid w:val="006C1DF7"/>
    <w:rsid w:val="006C28AA"/>
    <w:rsid w:val="006C2B04"/>
    <w:rsid w:val="006C45CD"/>
    <w:rsid w:val="006C463B"/>
    <w:rsid w:val="006C506B"/>
    <w:rsid w:val="006C575A"/>
    <w:rsid w:val="006C663C"/>
    <w:rsid w:val="006C68B3"/>
    <w:rsid w:val="006C6D10"/>
    <w:rsid w:val="006C706D"/>
    <w:rsid w:val="006C7682"/>
    <w:rsid w:val="006D0FF8"/>
    <w:rsid w:val="006D10BA"/>
    <w:rsid w:val="006D142D"/>
    <w:rsid w:val="006D19ED"/>
    <w:rsid w:val="006D1B1C"/>
    <w:rsid w:val="006D1DAB"/>
    <w:rsid w:val="006D3DE1"/>
    <w:rsid w:val="006D41C5"/>
    <w:rsid w:val="006E03D3"/>
    <w:rsid w:val="006E11C8"/>
    <w:rsid w:val="006E2848"/>
    <w:rsid w:val="006E2EA3"/>
    <w:rsid w:val="006E379A"/>
    <w:rsid w:val="006E5661"/>
    <w:rsid w:val="006E6A1C"/>
    <w:rsid w:val="006E6A46"/>
    <w:rsid w:val="006E6B79"/>
    <w:rsid w:val="006E726A"/>
    <w:rsid w:val="006E7553"/>
    <w:rsid w:val="006E7A57"/>
    <w:rsid w:val="006E7BC5"/>
    <w:rsid w:val="006F09E9"/>
    <w:rsid w:val="006F0FE4"/>
    <w:rsid w:val="006F1471"/>
    <w:rsid w:val="006F20F1"/>
    <w:rsid w:val="006F26B4"/>
    <w:rsid w:val="006F5D13"/>
    <w:rsid w:val="006F6DFC"/>
    <w:rsid w:val="006F7A81"/>
    <w:rsid w:val="006F7FF1"/>
    <w:rsid w:val="007007B3"/>
    <w:rsid w:val="00701DD9"/>
    <w:rsid w:val="007026DA"/>
    <w:rsid w:val="0070274E"/>
    <w:rsid w:val="00702EE4"/>
    <w:rsid w:val="0070412C"/>
    <w:rsid w:val="007043E5"/>
    <w:rsid w:val="00704684"/>
    <w:rsid w:val="00704D59"/>
    <w:rsid w:val="007055D6"/>
    <w:rsid w:val="00706FB1"/>
    <w:rsid w:val="007079FB"/>
    <w:rsid w:val="007101B6"/>
    <w:rsid w:val="00710E3E"/>
    <w:rsid w:val="00710F0C"/>
    <w:rsid w:val="00711189"/>
    <w:rsid w:val="00711C99"/>
    <w:rsid w:val="0071393D"/>
    <w:rsid w:val="00713FA5"/>
    <w:rsid w:val="0071469D"/>
    <w:rsid w:val="00714E93"/>
    <w:rsid w:val="00715B64"/>
    <w:rsid w:val="00717652"/>
    <w:rsid w:val="00717882"/>
    <w:rsid w:val="00720694"/>
    <w:rsid w:val="00720B8B"/>
    <w:rsid w:val="0072198F"/>
    <w:rsid w:val="00723336"/>
    <w:rsid w:val="00723849"/>
    <w:rsid w:val="0072505A"/>
    <w:rsid w:val="0072771F"/>
    <w:rsid w:val="00731367"/>
    <w:rsid w:val="0073384E"/>
    <w:rsid w:val="007344E7"/>
    <w:rsid w:val="00734E76"/>
    <w:rsid w:val="00735100"/>
    <w:rsid w:val="0073529C"/>
    <w:rsid w:val="007352A5"/>
    <w:rsid w:val="007353CC"/>
    <w:rsid w:val="00735AF0"/>
    <w:rsid w:val="00736E5B"/>
    <w:rsid w:val="00736EEB"/>
    <w:rsid w:val="0074059A"/>
    <w:rsid w:val="007410E2"/>
    <w:rsid w:val="00743BEC"/>
    <w:rsid w:val="00744EBA"/>
    <w:rsid w:val="007464FE"/>
    <w:rsid w:val="007519D8"/>
    <w:rsid w:val="00751AC5"/>
    <w:rsid w:val="00751D36"/>
    <w:rsid w:val="007530FB"/>
    <w:rsid w:val="00753545"/>
    <w:rsid w:val="00754395"/>
    <w:rsid w:val="0075472F"/>
    <w:rsid w:val="00756E74"/>
    <w:rsid w:val="007573E1"/>
    <w:rsid w:val="007604EC"/>
    <w:rsid w:val="00760B49"/>
    <w:rsid w:val="007612B1"/>
    <w:rsid w:val="007614B1"/>
    <w:rsid w:val="0076192E"/>
    <w:rsid w:val="00761B20"/>
    <w:rsid w:val="00761C52"/>
    <w:rsid w:val="007641CC"/>
    <w:rsid w:val="007645D0"/>
    <w:rsid w:val="00764A14"/>
    <w:rsid w:val="007656E6"/>
    <w:rsid w:val="00767CC7"/>
    <w:rsid w:val="00770263"/>
    <w:rsid w:val="0077099E"/>
    <w:rsid w:val="007721B0"/>
    <w:rsid w:val="0077235A"/>
    <w:rsid w:val="00773677"/>
    <w:rsid w:val="00774B76"/>
    <w:rsid w:val="00780AF8"/>
    <w:rsid w:val="007810EF"/>
    <w:rsid w:val="00783E31"/>
    <w:rsid w:val="00784C9D"/>
    <w:rsid w:val="00784F62"/>
    <w:rsid w:val="0078562E"/>
    <w:rsid w:val="0078641C"/>
    <w:rsid w:val="0078700E"/>
    <w:rsid w:val="007870A1"/>
    <w:rsid w:val="007876EC"/>
    <w:rsid w:val="0079001C"/>
    <w:rsid w:val="00791538"/>
    <w:rsid w:val="00791838"/>
    <w:rsid w:val="00792914"/>
    <w:rsid w:val="00794161"/>
    <w:rsid w:val="007943E3"/>
    <w:rsid w:val="00796347"/>
    <w:rsid w:val="00797F1E"/>
    <w:rsid w:val="007A08CE"/>
    <w:rsid w:val="007A0ACD"/>
    <w:rsid w:val="007A1F15"/>
    <w:rsid w:val="007A2E4C"/>
    <w:rsid w:val="007A37FC"/>
    <w:rsid w:val="007A502B"/>
    <w:rsid w:val="007A5991"/>
    <w:rsid w:val="007A5D61"/>
    <w:rsid w:val="007A7183"/>
    <w:rsid w:val="007A79F6"/>
    <w:rsid w:val="007B076F"/>
    <w:rsid w:val="007B0A80"/>
    <w:rsid w:val="007B2C5E"/>
    <w:rsid w:val="007B2FD8"/>
    <w:rsid w:val="007B3735"/>
    <w:rsid w:val="007B377C"/>
    <w:rsid w:val="007B42B1"/>
    <w:rsid w:val="007B5E12"/>
    <w:rsid w:val="007B6601"/>
    <w:rsid w:val="007B729B"/>
    <w:rsid w:val="007B7672"/>
    <w:rsid w:val="007B7C4F"/>
    <w:rsid w:val="007C011B"/>
    <w:rsid w:val="007C092F"/>
    <w:rsid w:val="007C0ADB"/>
    <w:rsid w:val="007C125E"/>
    <w:rsid w:val="007C15B8"/>
    <w:rsid w:val="007C1753"/>
    <w:rsid w:val="007C1775"/>
    <w:rsid w:val="007C34BD"/>
    <w:rsid w:val="007C3CBA"/>
    <w:rsid w:val="007C4626"/>
    <w:rsid w:val="007C5025"/>
    <w:rsid w:val="007C6725"/>
    <w:rsid w:val="007D03FC"/>
    <w:rsid w:val="007D06B9"/>
    <w:rsid w:val="007D0D37"/>
    <w:rsid w:val="007D396D"/>
    <w:rsid w:val="007D3E98"/>
    <w:rsid w:val="007D3FD0"/>
    <w:rsid w:val="007D4170"/>
    <w:rsid w:val="007D519E"/>
    <w:rsid w:val="007D61DA"/>
    <w:rsid w:val="007D665E"/>
    <w:rsid w:val="007D6873"/>
    <w:rsid w:val="007E266C"/>
    <w:rsid w:val="007E3479"/>
    <w:rsid w:val="007E3888"/>
    <w:rsid w:val="007E479F"/>
    <w:rsid w:val="007E47AA"/>
    <w:rsid w:val="007E72C1"/>
    <w:rsid w:val="007E76C4"/>
    <w:rsid w:val="007F0670"/>
    <w:rsid w:val="007F1B7B"/>
    <w:rsid w:val="007F1C0E"/>
    <w:rsid w:val="007F2DA6"/>
    <w:rsid w:val="007F311E"/>
    <w:rsid w:val="007F34A7"/>
    <w:rsid w:val="007F4A08"/>
    <w:rsid w:val="007F4E8D"/>
    <w:rsid w:val="007F655A"/>
    <w:rsid w:val="008004F2"/>
    <w:rsid w:val="008038AD"/>
    <w:rsid w:val="00803AD8"/>
    <w:rsid w:val="00804526"/>
    <w:rsid w:val="00804DD5"/>
    <w:rsid w:val="008051B9"/>
    <w:rsid w:val="008065EF"/>
    <w:rsid w:val="00811E42"/>
    <w:rsid w:val="008134B2"/>
    <w:rsid w:val="008139E4"/>
    <w:rsid w:val="00814093"/>
    <w:rsid w:val="00815643"/>
    <w:rsid w:val="00816098"/>
    <w:rsid w:val="00817140"/>
    <w:rsid w:val="00817655"/>
    <w:rsid w:val="00817F93"/>
    <w:rsid w:val="008205AC"/>
    <w:rsid w:val="00821309"/>
    <w:rsid w:val="008230F7"/>
    <w:rsid w:val="0082325A"/>
    <w:rsid w:val="00823C1F"/>
    <w:rsid w:val="008244FD"/>
    <w:rsid w:val="008249CF"/>
    <w:rsid w:val="00825D8E"/>
    <w:rsid w:val="00830147"/>
    <w:rsid w:val="0083126D"/>
    <w:rsid w:val="008319E7"/>
    <w:rsid w:val="00831B2A"/>
    <w:rsid w:val="008323E5"/>
    <w:rsid w:val="008324E0"/>
    <w:rsid w:val="00833B61"/>
    <w:rsid w:val="00833D6F"/>
    <w:rsid w:val="0083754E"/>
    <w:rsid w:val="00837DC7"/>
    <w:rsid w:val="00842721"/>
    <w:rsid w:val="00844677"/>
    <w:rsid w:val="00846B6D"/>
    <w:rsid w:val="00847326"/>
    <w:rsid w:val="008479D7"/>
    <w:rsid w:val="0085065F"/>
    <w:rsid w:val="00850F10"/>
    <w:rsid w:val="00851ADF"/>
    <w:rsid w:val="00852933"/>
    <w:rsid w:val="00853646"/>
    <w:rsid w:val="0085391E"/>
    <w:rsid w:val="008547BA"/>
    <w:rsid w:val="0085504F"/>
    <w:rsid w:val="00855E88"/>
    <w:rsid w:val="0085661A"/>
    <w:rsid w:val="00856A32"/>
    <w:rsid w:val="008578D4"/>
    <w:rsid w:val="00857A4A"/>
    <w:rsid w:val="00857A6E"/>
    <w:rsid w:val="008603F2"/>
    <w:rsid w:val="0086063E"/>
    <w:rsid w:val="00861F42"/>
    <w:rsid w:val="00862E47"/>
    <w:rsid w:val="00862E51"/>
    <w:rsid w:val="00862F69"/>
    <w:rsid w:val="00862F8E"/>
    <w:rsid w:val="00864565"/>
    <w:rsid w:val="00864A26"/>
    <w:rsid w:val="00865D37"/>
    <w:rsid w:val="00865D52"/>
    <w:rsid w:val="00867E01"/>
    <w:rsid w:val="00870116"/>
    <w:rsid w:val="008715BE"/>
    <w:rsid w:val="008725EC"/>
    <w:rsid w:val="00872F1F"/>
    <w:rsid w:val="00873121"/>
    <w:rsid w:val="008747AE"/>
    <w:rsid w:val="00875D5C"/>
    <w:rsid w:val="008768DD"/>
    <w:rsid w:val="008772CF"/>
    <w:rsid w:val="00881392"/>
    <w:rsid w:val="008826B0"/>
    <w:rsid w:val="0088297C"/>
    <w:rsid w:val="00882E8D"/>
    <w:rsid w:val="00884043"/>
    <w:rsid w:val="00884182"/>
    <w:rsid w:val="00884683"/>
    <w:rsid w:val="0088496B"/>
    <w:rsid w:val="00885A66"/>
    <w:rsid w:val="0088688F"/>
    <w:rsid w:val="00886A58"/>
    <w:rsid w:val="00887338"/>
    <w:rsid w:val="0088759B"/>
    <w:rsid w:val="00887ADD"/>
    <w:rsid w:val="00890AEE"/>
    <w:rsid w:val="0089103A"/>
    <w:rsid w:val="00892376"/>
    <w:rsid w:val="00893A1F"/>
    <w:rsid w:val="00895BDC"/>
    <w:rsid w:val="008961B0"/>
    <w:rsid w:val="008A0C37"/>
    <w:rsid w:val="008A2180"/>
    <w:rsid w:val="008A2751"/>
    <w:rsid w:val="008A40D8"/>
    <w:rsid w:val="008A53CE"/>
    <w:rsid w:val="008A5D72"/>
    <w:rsid w:val="008A63B6"/>
    <w:rsid w:val="008A71E1"/>
    <w:rsid w:val="008B1A11"/>
    <w:rsid w:val="008B35EE"/>
    <w:rsid w:val="008B37D0"/>
    <w:rsid w:val="008B43E7"/>
    <w:rsid w:val="008B4DFE"/>
    <w:rsid w:val="008B5403"/>
    <w:rsid w:val="008B589A"/>
    <w:rsid w:val="008B59FA"/>
    <w:rsid w:val="008B634F"/>
    <w:rsid w:val="008B6C00"/>
    <w:rsid w:val="008B7D65"/>
    <w:rsid w:val="008C01D9"/>
    <w:rsid w:val="008C3F4C"/>
    <w:rsid w:val="008C40C8"/>
    <w:rsid w:val="008C4B65"/>
    <w:rsid w:val="008C54FA"/>
    <w:rsid w:val="008C5C4B"/>
    <w:rsid w:val="008C6BDE"/>
    <w:rsid w:val="008D05B9"/>
    <w:rsid w:val="008D1A84"/>
    <w:rsid w:val="008D1F2F"/>
    <w:rsid w:val="008D2629"/>
    <w:rsid w:val="008D2FD0"/>
    <w:rsid w:val="008D3A26"/>
    <w:rsid w:val="008D411F"/>
    <w:rsid w:val="008D5730"/>
    <w:rsid w:val="008D5BD5"/>
    <w:rsid w:val="008D6071"/>
    <w:rsid w:val="008D766B"/>
    <w:rsid w:val="008E0427"/>
    <w:rsid w:val="008E0889"/>
    <w:rsid w:val="008E1647"/>
    <w:rsid w:val="008E383B"/>
    <w:rsid w:val="008E4480"/>
    <w:rsid w:val="008E456B"/>
    <w:rsid w:val="008E46AC"/>
    <w:rsid w:val="008E5073"/>
    <w:rsid w:val="008E6B7A"/>
    <w:rsid w:val="008E6F0F"/>
    <w:rsid w:val="008E6F36"/>
    <w:rsid w:val="008E74EF"/>
    <w:rsid w:val="008E754B"/>
    <w:rsid w:val="008E767F"/>
    <w:rsid w:val="008F2611"/>
    <w:rsid w:val="008F2756"/>
    <w:rsid w:val="008F329F"/>
    <w:rsid w:val="008F3703"/>
    <w:rsid w:val="008F46E9"/>
    <w:rsid w:val="008F525B"/>
    <w:rsid w:val="008F5DE6"/>
    <w:rsid w:val="008F7426"/>
    <w:rsid w:val="0090123D"/>
    <w:rsid w:val="009013A1"/>
    <w:rsid w:val="00901493"/>
    <w:rsid w:val="00901A89"/>
    <w:rsid w:val="00901C76"/>
    <w:rsid w:val="009029B9"/>
    <w:rsid w:val="00903C4C"/>
    <w:rsid w:val="00903FC3"/>
    <w:rsid w:val="009046E1"/>
    <w:rsid w:val="00905C68"/>
    <w:rsid w:val="00906CAA"/>
    <w:rsid w:val="009077E0"/>
    <w:rsid w:val="009102BE"/>
    <w:rsid w:val="009111A5"/>
    <w:rsid w:val="00911814"/>
    <w:rsid w:val="009167B9"/>
    <w:rsid w:val="009208E8"/>
    <w:rsid w:val="009231D4"/>
    <w:rsid w:val="00923D09"/>
    <w:rsid w:val="00924443"/>
    <w:rsid w:val="009262DC"/>
    <w:rsid w:val="0092647B"/>
    <w:rsid w:val="00926A41"/>
    <w:rsid w:val="00926B4F"/>
    <w:rsid w:val="00927A58"/>
    <w:rsid w:val="00927E7C"/>
    <w:rsid w:val="009304E2"/>
    <w:rsid w:val="00930E17"/>
    <w:rsid w:val="00931974"/>
    <w:rsid w:val="009322BE"/>
    <w:rsid w:val="00932C1F"/>
    <w:rsid w:val="0093330E"/>
    <w:rsid w:val="00933C88"/>
    <w:rsid w:val="00934DF0"/>
    <w:rsid w:val="009376EC"/>
    <w:rsid w:val="00940823"/>
    <w:rsid w:val="0094088B"/>
    <w:rsid w:val="00940F8E"/>
    <w:rsid w:val="009442BC"/>
    <w:rsid w:val="00945D0A"/>
    <w:rsid w:val="009461E9"/>
    <w:rsid w:val="009465DA"/>
    <w:rsid w:val="00950259"/>
    <w:rsid w:val="009505CB"/>
    <w:rsid w:val="00951500"/>
    <w:rsid w:val="009519F4"/>
    <w:rsid w:val="009524A3"/>
    <w:rsid w:val="00952FE1"/>
    <w:rsid w:val="00953338"/>
    <w:rsid w:val="00954EF8"/>
    <w:rsid w:val="0095568B"/>
    <w:rsid w:val="009556B4"/>
    <w:rsid w:val="00956529"/>
    <w:rsid w:val="00956D18"/>
    <w:rsid w:val="00962A6F"/>
    <w:rsid w:val="00963863"/>
    <w:rsid w:val="00964052"/>
    <w:rsid w:val="00964616"/>
    <w:rsid w:val="00964B29"/>
    <w:rsid w:val="0096554A"/>
    <w:rsid w:val="00965848"/>
    <w:rsid w:val="00972DC6"/>
    <w:rsid w:val="009738B4"/>
    <w:rsid w:val="009757B4"/>
    <w:rsid w:val="009768AA"/>
    <w:rsid w:val="009770FF"/>
    <w:rsid w:val="00981ECD"/>
    <w:rsid w:val="00982B33"/>
    <w:rsid w:val="0098388C"/>
    <w:rsid w:val="009839A0"/>
    <w:rsid w:val="00985A9C"/>
    <w:rsid w:val="009868A5"/>
    <w:rsid w:val="00987B11"/>
    <w:rsid w:val="00990608"/>
    <w:rsid w:val="0099061B"/>
    <w:rsid w:val="00990819"/>
    <w:rsid w:val="009927D2"/>
    <w:rsid w:val="009942B3"/>
    <w:rsid w:val="00994B98"/>
    <w:rsid w:val="009951FC"/>
    <w:rsid w:val="00995E86"/>
    <w:rsid w:val="009A0BD3"/>
    <w:rsid w:val="009A185C"/>
    <w:rsid w:val="009A2468"/>
    <w:rsid w:val="009A275C"/>
    <w:rsid w:val="009A2F36"/>
    <w:rsid w:val="009A4262"/>
    <w:rsid w:val="009A5103"/>
    <w:rsid w:val="009A671E"/>
    <w:rsid w:val="009A676E"/>
    <w:rsid w:val="009A684E"/>
    <w:rsid w:val="009B0723"/>
    <w:rsid w:val="009B1CE7"/>
    <w:rsid w:val="009B292D"/>
    <w:rsid w:val="009B2A12"/>
    <w:rsid w:val="009B3DBA"/>
    <w:rsid w:val="009B3E11"/>
    <w:rsid w:val="009B4190"/>
    <w:rsid w:val="009B57B7"/>
    <w:rsid w:val="009B59E6"/>
    <w:rsid w:val="009B6825"/>
    <w:rsid w:val="009B6EEF"/>
    <w:rsid w:val="009B7321"/>
    <w:rsid w:val="009C1ED8"/>
    <w:rsid w:val="009C5562"/>
    <w:rsid w:val="009C642D"/>
    <w:rsid w:val="009C74D6"/>
    <w:rsid w:val="009D0154"/>
    <w:rsid w:val="009D0462"/>
    <w:rsid w:val="009D06A6"/>
    <w:rsid w:val="009D140F"/>
    <w:rsid w:val="009D1E0E"/>
    <w:rsid w:val="009D2D5A"/>
    <w:rsid w:val="009D2FED"/>
    <w:rsid w:val="009D34D2"/>
    <w:rsid w:val="009D52F4"/>
    <w:rsid w:val="009D5A50"/>
    <w:rsid w:val="009E00CA"/>
    <w:rsid w:val="009E0205"/>
    <w:rsid w:val="009E0D54"/>
    <w:rsid w:val="009E10A5"/>
    <w:rsid w:val="009E152B"/>
    <w:rsid w:val="009E2061"/>
    <w:rsid w:val="009E2C3A"/>
    <w:rsid w:val="009E422A"/>
    <w:rsid w:val="009E5091"/>
    <w:rsid w:val="009E5590"/>
    <w:rsid w:val="009E559F"/>
    <w:rsid w:val="009E5DAE"/>
    <w:rsid w:val="009E5E85"/>
    <w:rsid w:val="009E5F0D"/>
    <w:rsid w:val="009E6CF7"/>
    <w:rsid w:val="009E72E2"/>
    <w:rsid w:val="009E7AA1"/>
    <w:rsid w:val="009F05D8"/>
    <w:rsid w:val="009F05FF"/>
    <w:rsid w:val="009F1235"/>
    <w:rsid w:val="009F1491"/>
    <w:rsid w:val="009F3D7C"/>
    <w:rsid w:val="009F459B"/>
    <w:rsid w:val="009F6479"/>
    <w:rsid w:val="009F66B7"/>
    <w:rsid w:val="009F68D8"/>
    <w:rsid w:val="009F7280"/>
    <w:rsid w:val="009F7793"/>
    <w:rsid w:val="009F780D"/>
    <w:rsid w:val="00A00082"/>
    <w:rsid w:val="00A00503"/>
    <w:rsid w:val="00A007A7"/>
    <w:rsid w:val="00A007F6"/>
    <w:rsid w:val="00A011E7"/>
    <w:rsid w:val="00A01834"/>
    <w:rsid w:val="00A03BB0"/>
    <w:rsid w:val="00A03CA5"/>
    <w:rsid w:val="00A048BB"/>
    <w:rsid w:val="00A04DF1"/>
    <w:rsid w:val="00A0572A"/>
    <w:rsid w:val="00A0621C"/>
    <w:rsid w:val="00A07C1E"/>
    <w:rsid w:val="00A11FB6"/>
    <w:rsid w:val="00A1269B"/>
    <w:rsid w:val="00A12786"/>
    <w:rsid w:val="00A13AD3"/>
    <w:rsid w:val="00A13CEF"/>
    <w:rsid w:val="00A14F28"/>
    <w:rsid w:val="00A162F2"/>
    <w:rsid w:val="00A174BC"/>
    <w:rsid w:val="00A179BE"/>
    <w:rsid w:val="00A20206"/>
    <w:rsid w:val="00A2025A"/>
    <w:rsid w:val="00A20564"/>
    <w:rsid w:val="00A2056F"/>
    <w:rsid w:val="00A206AB"/>
    <w:rsid w:val="00A21236"/>
    <w:rsid w:val="00A21A98"/>
    <w:rsid w:val="00A23021"/>
    <w:rsid w:val="00A24204"/>
    <w:rsid w:val="00A24238"/>
    <w:rsid w:val="00A24526"/>
    <w:rsid w:val="00A2616C"/>
    <w:rsid w:val="00A27427"/>
    <w:rsid w:val="00A27822"/>
    <w:rsid w:val="00A30EEE"/>
    <w:rsid w:val="00A31850"/>
    <w:rsid w:val="00A35000"/>
    <w:rsid w:val="00A362AA"/>
    <w:rsid w:val="00A3704D"/>
    <w:rsid w:val="00A37AA9"/>
    <w:rsid w:val="00A37E24"/>
    <w:rsid w:val="00A37EA3"/>
    <w:rsid w:val="00A40DB1"/>
    <w:rsid w:val="00A42533"/>
    <w:rsid w:val="00A42833"/>
    <w:rsid w:val="00A42F4D"/>
    <w:rsid w:val="00A44262"/>
    <w:rsid w:val="00A44D53"/>
    <w:rsid w:val="00A452B6"/>
    <w:rsid w:val="00A462AC"/>
    <w:rsid w:val="00A464F7"/>
    <w:rsid w:val="00A50213"/>
    <w:rsid w:val="00A5065C"/>
    <w:rsid w:val="00A50E18"/>
    <w:rsid w:val="00A5151B"/>
    <w:rsid w:val="00A51786"/>
    <w:rsid w:val="00A51987"/>
    <w:rsid w:val="00A51B67"/>
    <w:rsid w:val="00A52A5E"/>
    <w:rsid w:val="00A53B01"/>
    <w:rsid w:val="00A5436C"/>
    <w:rsid w:val="00A549FB"/>
    <w:rsid w:val="00A556D8"/>
    <w:rsid w:val="00A558C7"/>
    <w:rsid w:val="00A55A95"/>
    <w:rsid w:val="00A55E01"/>
    <w:rsid w:val="00A5628F"/>
    <w:rsid w:val="00A570FB"/>
    <w:rsid w:val="00A61C8A"/>
    <w:rsid w:val="00A627EA"/>
    <w:rsid w:val="00A66F86"/>
    <w:rsid w:val="00A66FC6"/>
    <w:rsid w:val="00A70972"/>
    <w:rsid w:val="00A72297"/>
    <w:rsid w:val="00A729F3"/>
    <w:rsid w:val="00A72D6D"/>
    <w:rsid w:val="00A73C23"/>
    <w:rsid w:val="00A75482"/>
    <w:rsid w:val="00A75D29"/>
    <w:rsid w:val="00A7612D"/>
    <w:rsid w:val="00A766D1"/>
    <w:rsid w:val="00A8279A"/>
    <w:rsid w:val="00A82C86"/>
    <w:rsid w:val="00A83077"/>
    <w:rsid w:val="00A8697B"/>
    <w:rsid w:val="00A86DCB"/>
    <w:rsid w:val="00A8703A"/>
    <w:rsid w:val="00A90B28"/>
    <w:rsid w:val="00A91D9D"/>
    <w:rsid w:val="00A93008"/>
    <w:rsid w:val="00A93151"/>
    <w:rsid w:val="00A932CD"/>
    <w:rsid w:val="00A9372B"/>
    <w:rsid w:val="00A9471C"/>
    <w:rsid w:val="00A95672"/>
    <w:rsid w:val="00AA0886"/>
    <w:rsid w:val="00AA08B6"/>
    <w:rsid w:val="00AA0D9D"/>
    <w:rsid w:val="00AA1E1E"/>
    <w:rsid w:val="00AA26FF"/>
    <w:rsid w:val="00AA2AEB"/>
    <w:rsid w:val="00AA3488"/>
    <w:rsid w:val="00AA392C"/>
    <w:rsid w:val="00AA3B7E"/>
    <w:rsid w:val="00AA3EC1"/>
    <w:rsid w:val="00AA45B3"/>
    <w:rsid w:val="00AA4612"/>
    <w:rsid w:val="00AA4AAB"/>
    <w:rsid w:val="00AA4D3E"/>
    <w:rsid w:val="00AA4E7B"/>
    <w:rsid w:val="00AA51D8"/>
    <w:rsid w:val="00AA543A"/>
    <w:rsid w:val="00AA6C2B"/>
    <w:rsid w:val="00AB0217"/>
    <w:rsid w:val="00AB08F5"/>
    <w:rsid w:val="00AB3644"/>
    <w:rsid w:val="00AB3E01"/>
    <w:rsid w:val="00AB7E07"/>
    <w:rsid w:val="00AC0416"/>
    <w:rsid w:val="00AC144D"/>
    <w:rsid w:val="00AC380C"/>
    <w:rsid w:val="00AC4C74"/>
    <w:rsid w:val="00AC4F41"/>
    <w:rsid w:val="00AC5B2B"/>
    <w:rsid w:val="00AC7BBC"/>
    <w:rsid w:val="00AD0185"/>
    <w:rsid w:val="00AD0F1C"/>
    <w:rsid w:val="00AD2D33"/>
    <w:rsid w:val="00AD2E43"/>
    <w:rsid w:val="00AD365C"/>
    <w:rsid w:val="00AD3D75"/>
    <w:rsid w:val="00AD4395"/>
    <w:rsid w:val="00AD5459"/>
    <w:rsid w:val="00AD5E2F"/>
    <w:rsid w:val="00AD60A6"/>
    <w:rsid w:val="00AE0708"/>
    <w:rsid w:val="00AE094C"/>
    <w:rsid w:val="00AE1577"/>
    <w:rsid w:val="00AE1704"/>
    <w:rsid w:val="00AE252D"/>
    <w:rsid w:val="00AE256A"/>
    <w:rsid w:val="00AE2657"/>
    <w:rsid w:val="00AE3081"/>
    <w:rsid w:val="00AE358F"/>
    <w:rsid w:val="00AE398E"/>
    <w:rsid w:val="00AE495B"/>
    <w:rsid w:val="00AE4FF7"/>
    <w:rsid w:val="00AE54DB"/>
    <w:rsid w:val="00AE576E"/>
    <w:rsid w:val="00AE6D3A"/>
    <w:rsid w:val="00AE7C77"/>
    <w:rsid w:val="00AF1702"/>
    <w:rsid w:val="00AF22B0"/>
    <w:rsid w:val="00AF3568"/>
    <w:rsid w:val="00AF3DE1"/>
    <w:rsid w:val="00AF41DF"/>
    <w:rsid w:val="00AF4870"/>
    <w:rsid w:val="00AF4901"/>
    <w:rsid w:val="00AF55B7"/>
    <w:rsid w:val="00AF5A59"/>
    <w:rsid w:val="00B00D71"/>
    <w:rsid w:val="00B00DB7"/>
    <w:rsid w:val="00B01D2E"/>
    <w:rsid w:val="00B027C2"/>
    <w:rsid w:val="00B03A77"/>
    <w:rsid w:val="00B0453F"/>
    <w:rsid w:val="00B06F5D"/>
    <w:rsid w:val="00B07240"/>
    <w:rsid w:val="00B07473"/>
    <w:rsid w:val="00B07E19"/>
    <w:rsid w:val="00B12929"/>
    <w:rsid w:val="00B133C2"/>
    <w:rsid w:val="00B14497"/>
    <w:rsid w:val="00B14F68"/>
    <w:rsid w:val="00B16AD5"/>
    <w:rsid w:val="00B16E9A"/>
    <w:rsid w:val="00B16FA5"/>
    <w:rsid w:val="00B2148B"/>
    <w:rsid w:val="00B24060"/>
    <w:rsid w:val="00B24C72"/>
    <w:rsid w:val="00B25402"/>
    <w:rsid w:val="00B258FB"/>
    <w:rsid w:val="00B26333"/>
    <w:rsid w:val="00B2697A"/>
    <w:rsid w:val="00B2733A"/>
    <w:rsid w:val="00B27B85"/>
    <w:rsid w:val="00B3010B"/>
    <w:rsid w:val="00B304B9"/>
    <w:rsid w:val="00B30DA6"/>
    <w:rsid w:val="00B310C9"/>
    <w:rsid w:val="00B3126E"/>
    <w:rsid w:val="00B32911"/>
    <w:rsid w:val="00B33961"/>
    <w:rsid w:val="00B33B47"/>
    <w:rsid w:val="00B34458"/>
    <w:rsid w:val="00B3517E"/>
    <w:rsid w:val="00B35262"/>
    <w:rsid w:val="00B355A8"/>
    <w:rsid w:val="00B35990"/>
    <w:rsid w:val="00B36977"/>
    <w:rsid w:val="00B36C36"/>
    <w:rsid w:val="00B400E2"/>
    <w:rsid w:val="00B412D1"/>
    <w:rsid w:val="00B41ABB"/>
    <w:rsid w:val="00B41B8F"/>
    <w:rsid w:val="00B4235A"/>
    <w:rsid w:val="00B43388"/>
    <w:rsid w:val="00B43D48"/>
    <w:rsid w:val="00B440A1"/>
    <w:rsid w:val="00B4506D"/>
    <w:rsid w:val="00B466D4"/>
    <w:rsid w:val="00B46775"/>
    <w:rsid w:val="00B5093A"/>
    <w:rsid w:val="00B50BA3"/>
    <w:rsid w:val="00B50FA3"/>
    <w:rsid w:val="00B517FB"/>
    <w:rsid w:val="00B51902"/>
    <w:rsid w:val="00B523A1"/>
    <w:rsid w:val="00B52774"/>
    <w:rsid w:val="00B540E2"/>
    <w:rsid w:val="00B5448F"/>
    <w:rsid w:val="00B55BB9"/>
    <w:rsid w:val="00B603E3"/>
    <w:rsid w:val="00B613D1"/>
    <w:rsid w:val="00B61493"/>
    <w:rsid w:val="00B61E24"/>
    <w:rsid w:val="00B63394"/>
    <w:rsid w:val="00B646AB"/>
    <w:rsid w:val="00B64A6A"/>
    <w:rsid w:val="00B669A7"/>
    <w:rsid w:val="00B67F63"/>
    <w:rsid w:val="00B72083"/>
    <w:rsid w:val="00B73DC9"/>
    <w:rsid w:val="00B752D2"/>
    <w:rsid w:val="00B7571D"/>
    <w:rsid w:val="00B75F7C"/>
    <w:rsid w:val="00B77F3C"/>
    <w:rsid w:val="00B81276"/>
    <w:rsid w:val="00B8151B"/>
    <w:rsid w:val="00B83A5F"/>
    <w:rsid w:val="00B84644"/>
    <w:rsid w:val="00B850AE"/>
    <w:rsid w:val="00B85875"/>
    <w:rsid w:val="00B85C5A"/>
    <w:rsid w:val="00B8609B"/>
    <w:rsid w:val="00B86369"/>
    <w:rsid w:val="00B870F9"/>
    <w:rsid w:val="00B90825"/>
    <w:rsid w:val="00B90D9F"/>
    <w:rsid w:val="00B91353"/>
    <w:rsid w:val="00B94337"/>
    <w:rsid w:val="00B94849"/>
    <w:rsid w:val="00B94A96"/>
    <w:rsid w:val="00B96B0C"/>
    <w:rsid w:val="00B96C32"/>
    <w:rsid w:val="00BA01BF"/>
    <w:rsid w:val="00BA028A"/>
    <w:rsid w:val="00BA281C"/>
    <w:rsid w:val="00BA4385"/>
    <w:rsid w:val="00BA6CDC"/>
    <w:rsid w:val="00BA7AE9"/>
    <w:rsid w:val="00BB0562"/>
    <w:rsid w:val="00BB090A"/>
    <w:rsid w:val="00BB17E9"/>
    <w:rsid w:val="00BB2339"/>
    <w:rsid w:val="00BB265B"/>
    <w:rsid w:val="00BB2A99"/>
    <w:rsid w:val="00BB3817"/>
    <w:rsid w:val="00BB3E9F"/>
    <w:rsid w:val="00BB42DA"/>
    <w:rsid w:val="00BB4A58"/>
    <w:rsid w:val="00BB4AC7"/>
    <w:rsid w:val="00BB648F"/>
    <w:rsid w:val="00BB71BB"/>
    <w:rsid w:val="00BB73CB"/>
    <w:rsid w:val="00BC006C"/>
    <w:rsid w:val="00BC02B9"/>
    <w:rsid w:val="00BC044D"/>
    <w:rsid w:val="00BC179D"/>
    <w:rsid w:val="00BC25B2"/>
    <w:rsid w:val="00BC263C"/>
    <w:rsid w:val="00BC2E8B"/>
    <w:rsid w:val="00BC42CA"/>
    <w:rsid w:val="00BC4B94"/>
    <w:rsid w:val="00BC54FA"/>
    <w:rsid w:val="00BC5A3C"/>
    <w:rsid w:val="00BC6438"/>
    <w:rsid w:val="00BC65CF"/>
    <w:rsid w:val="00BC688A"/>
    <w:rsid w:val="00BC700E"/>
    <w:rsid w:val="00BC71AD"/>
    <w:rsid w:val="00BC725F"/>
    <w:rsid w:val="00BC7E6B"/>
    <w:rsid w:val="00BD02D9"/>
    <w:rsid w:val="00BD1F6E"/>
    <w:rsid w:val="00BD27F5"/>
    <w:rsid w:val="00BD2B68"/>
    <w:rsid w:val="00BD40B5"/>
    <w:rsid w:val="00BD48BB"/>
    <w:rsid w:val="00BD48E3"/>
    <w:rsid w:val="00BD662F"/>
    <w:rsid w:val="00BD7EC7"/>
    <w:rsid w:val="00BE0C55"/>
    <w:rsid w:val="00BE0CC3"/>
    <w:rsid w:val="00BE11D4"/>
    <w:rsid w:val="00BE1300"/>
    <w:rsid w:val="00BE180D"/>
    <w:rsid w:val="00BE23A6"/>
    <w:rsid w:val="00BE242C"/>
    <w:rsid w:val="00BE2E45"/>
    <w:rsid w:val="00BE2F30"/>
    <w:rsid w:val="00BE3A66"/>
    <w:rsid w:val="00BE40D5"/>
    <w:rsid w:val="00BE4128"/>
    <w:rsid w:val="00BE4486"/>
    <w:rsid w:val="00BE5958"/>
    <w:rsid w:val="00BE5B4A"/>
    <w:rsid w:val="00BE64EB"/>
    <w:rsid w:val="00BE661E"/>
    <w:rsid w:val="00BE7C1B"/>
    <w:rsid w:val="00BF0589"/>
    <w:rsid w:val="00BF1017"/>
    <w:rsid w:val="00BF1174"/>
    <w:rsid w:val="00BF2425"/>
    <w:rsid w:val="00BF398F"/>
    <w:rsid w:val="00BF540B"/>
    <w:rsid w:val="00BF5C9B"/>
    <w:rsid w:val="00BF5CB4"/>
    <w:rsid w:val="00BF6359"/>
    <w:rsid w:val="00BF672E"/>
    <w:rsid w:val="00BF6A26"/>
    <w:rsid w:val="00BF7328"/>
    <w:rsid w:val="00BF73E9"/>
    <w:rsid w:val="00C00275"/>
    <w:rsid w:val="00C00D1D"/>
    <w:rsid w:val="00C03EC1"/>
    <w:rsid w:val="00C03F3E"/>
    <w:rsid w:val="00C047B7"/>
    <w:rsid w:val="00C06293"/>
    <w:rsid w:val="00C063D9"/>
    <w:rsid w:val="00C078FC"/>
    <w:rsid w:val="00C07B97"/>
    <w:rsid w:val="00C07CD0"/>
    <w:rsid w:val="00C10353"/>
    <w:rsid w:val="00C10A5A"/>
    <w:rsid w:val="00C10C36"/>
    <w:rsid w:val="00C10D11"/>
    <w:rsid w:val="00C11D7C"/>
    <w:rsid w:val="00C12028"/>
    <w:rsid w:val="00C122FB"/>
    <w:rsid w:val="00C1428B"/>
    <w:rsid w:val="00C146A0"/>
    <w:rsid w:val="00C17095"/>
    <w:rsid w:val="00C20838"/>
    <w:rsid w:val="00C2280B"/>
    <w:rsid w:val="00C22A34"/>
    <w:rsid w:val="00C25F23"/>
    <w:rsid w:val="00C263EE"/>
    <w:rsid w:val="00C272BA"/>
    <w:rsid w:val="00C2747F"/>
    <w:rsid w:val="00C34058"/>
    <w:rsid w:val="00C366D5"/>
    <w:rsid w:val="00C369C3"/>
    <w:rsid w:val="00C36D5D"/>
    <w:rsid w:val="00C37B9E"/>
    <w:rsid w:val="00C407FD"/>
    <w:rsid w:val="00C40C11"/>
    <w:rsid w:val="00C41B04"/>
    <w:rsid w:val="00C431F1"/>
    <w:rsid w:val="00C434B6"/>
    <w:rsid w:val="00C43A29"/>
    <w:rsid w:val="00C4581B"/>
    <w:rsid w:val="00C46800"/>
    <w:rsid w:val="00C46CBC"/>
    <w:rsid w:val="00C4789D"/>
    <w:rsid w:val="00C47BA7"/>
    <w:rsid w:val="00C47D7E"/>
    <w:rsid w:val="00C5028F"/>
    <w:rsid w:val="00C505C0"/>
    <w:rsid w:val="00C51D78"/>
    <w:rsid w:val="00C52276"/>
    <w:rsid w:val="00C53436"/>
    <w:rsid w:val="00C54034"/>
    <w:rsid w:val="00C55F8B"/>
    <w:rsid w:val="00C56164"/>
    <w:rsid w:val="00C57CD5"/>
    <w:rsid w:val="00C60B11"/>
    <w:rsid w:val="00C60B78"/>
    <w:rsid w:val="00C6150C"/>
    <w:rsid w:val="00C61B72"/>
    <w:rsid w:val="00C62586"/>
    <w:rsid w:val="00C6270E"/>
    <w:rsid w:val="00C63604"/>
    <w:rsid w:val="00C63787"/>
    <w:rsid w:val="00C63B28"/>
    <w:rsid w:val="00C63C19"/>
    <w:rsid w:val="00C662DB"/>
    <w:rsid w:val="00C67EF9"/>
    <w:rsid w:val="00C707FF"/>
    <w:rsid w:val="00C70E5B"/>
    <w:rsid w:val="00C712F9"/>
    <w:rsid w:val="00C717AE"/>
    <w:rsid w:val="00C71FD2"/>
    <w:rsid w:val="00C73EB0"/>
    <w:rsid w:val="00C7413D"/>
    <w:rsid w:val="00C74264"/>
    <w:rsid w:val="00C74740"/>
    <w:rsid w:val="00C74AF5"/>
    <w:rsid w:val="00C74E2F"/>
    <w:rsid w:val="00C7509E"/>
    <w:rsid w:val="00C7578A"/>
    <w:rsid w:val="00C757E8"/>
    <w:rsid w:val="00C75866"/>
    <w:rsid w:val="00C75B88"/>
    <w:rsid w:val="00C76346"/>
    <w:rsid w:val="00C77206"/>
    <w:rsid w:val="00C77712"/>
    <w:rsid w:val="00C77AB1"/>
    <w:rsid w:val="00C805D3"/>
    <w:rsid w:val="00C806FC"/>
    <w:rsid w:val="00C83ACF"/>
    <w:rsid w:val="00C83E8B"/>
    <w:rsid w:val="00C84763"/>
    <w:rsid w:val="00C87290"/>
    <w:rsid w:val="00C90A46"/>
    <w:rsid w:val="00C92A43"/>
    <w:rsid w:val="00C93FB4"/>
    <w:rsid w:val="00C95092"/>
    <w:rsid w:val="00C96661"/>
    <w:rsid w:val="00C9782D"/>
    <w:rsid w:val="00CA1845"/>
    <w:rsid w:val="00CA3549"/>
    <w:rsid w:val="00CA3FCA"/>
    <w:rsid w:val="00CA3FE3"/>
    <w:rsid w:val="00CA4198"/>
    <w:rsid w:val="00CA549B"/>
    <w:rsid w:val="00CA6B50"/>
    <w:rsid w:val="00CA71DF"/>
    <w:rsid w:val="00CA7545"/>
    <w:rsid w:val="00CB0BED"/>
    <w:rsid w:val="00CB0E93"/>
    <w:rsid w:val="00CB2B67"/>
    <w:rsid w:val="00CB5E7D"/>
    <w:rsid w:val="00CB60EA"/>
    <w:rsid w:val="00CB69C3"/>
    <w:rsid w:val="00CB6F2D"/>
    <w:rsid w:val="00CB707F"/>
    <w:rsid w:val="00CC02A8"/>
    <w:rsid w:val="00CC0724"/>
    <w:rsid w:val="00CC2450"/>
    <w:rsid w:val="00CC611D"/>
    <w:rsid w:val="00CC675D"/>
    <w:rsid w:val="00CC6A4F"/>
    <w:rsid w:val="00CC7989"/>
    <w:rsid w:val="00CD05E4"/>
    <w:rsid w:val="00CD153A"/>
    <w:rsid w:val="00CD325E"/>
    <w:rsid w:val="00CD3618"/>
    <w:rsid w:val="00CD420F"/>
    <w:rsid w:val="00CD5B44"/>
    <w:rsid w:val="00CD656C"/>
    <w:rsid w:val="00CE0009"/>
    <w:rsid w:val="00CE048F"/>
    <w:rsid w:val="00CE1751"/>
    <w:rsid w:val="00CE2729"/>
    <w:rsid w:val="00CE2E04"/>
    <w:rsid w:val="00CE30A5"/>
    <w:rsid w:val="00CE40C8"/>
    <w:rsid w:val="00CE6B69"/>
    <w:rsid w:val="00CE6D50"/>
    <w:rsid w:val="00CF0281"/>
    <w:rsid w:val="00CF1048"/>
    <w:rsid w:val="00CF345C"/>
    <w:rsid w:val="00CF3869"/>
    <w:rsid w:val="00CF3EA4"/>
    <w:rsid w:val="00CF403D"/>
    <w:rsid w:val="00CF5941"/>
    <w:rsid w:val="00CF60BB"/>
    <w:rsid w:val="00CF6384"/>
    <w:rsid w:val="00CF6EB5"/>
    <w:rsid w:val="00D002EA"/>
    <w:rsid w:val="00D01C55"/>
    <w:rsid w:val="00D01E93"/>
    <w:rsid w:val="00D02BDE"/>
    <w:rsid w:val="00D02C48"/>
    <w:rsid w:val="00D0313A"/>
    <w:rsid w:val="00D03501"/>
    <w:rsid w:val="00D04293"/>
    <w:rsid w:val="00D04C1D"/>
    <w:rsid w:val="00D0528A"/>
    <w:rsid w:val="00D0687B"/>
    <w:rsid w:val="00D07B4D"/>
    <w:rsid w:val="00D07F3E"/>
    <w:rsid w:val="00D10B47"/>
    <w:rsid w:val="00D10C28"/>
    <w:rsid w:val="00D124BF"/>
    <w:rsid w:val="00D12F2A"/>
    <w:rsid w:val="00D161D5"/>
    <w:rsid w:val="00D17962"/>
    <w:rsid w:val="00D17E9B"/>
    <w:rsid w:val="00D2086C"/>
    <w:rsid w:val="00D23149"/>
    <w:rsid w:val="00D2419D"/>
    <w:rsid w:val="00D248E8"/>
    <w:rsid w:val="00D24CF4"/>
    <w:rsid w:val="00D24EAD"/>
    <w:rsid w:val="00D25BED"/>
    <w:rsid w:val="00D25E49"/>
    <w:rsid w:val="00D26698"/>
    <w:rsid w:val="00D270A9"/>
    <w:rsid w:val="00D278AB"/>
    <w:rsid w:val="00D27BA9"/>
    <w:rsid w:val="00D31773"/>
    <w:rsid w:val="00D31BFC"/>
    <w:rsid w:val="00D321C9"/>
    <w:rsid w:val="00D32930"/>
    <w:rsid w:val="00D32AE6"/>
    <w:rsid w:val="00D32C8A"/>
    <w:rsid w:val="00D33C68"/>
    <w:rsid w:val="00D34F1D"/>
    <w:rsid w:val="00D355DD"/>
    <w:rsid w:val="00D3606D"/>
    <w:rsid w:val="00D3685D"/>
    <w:rsid w:val="00D368D6"/>
    <w:rsid w:val="00D40228"/>
    <w:rsid w:val="00D40655"/>
    <w:rsid w:val="00D4092D"/>
    <w:rsid w:val="00D430E7"/>
    <w:rsid w:val="00D43CDB"/>
    <w:rsid w:val="00D4463F"/>
    <w:rsid w:val="00D45732"/>
    <w:rsid w:val="00D46DBD"/>
    <w:rsid w:val="00D47D9A"/>
    <w:rsid w:val="00D50209"/>
    <w:rsid w:val="00D51142"/>
    <w:rsid w:val="00D5128D"/>
    <w:rsid w:val="00D516EF"/>
    <w:rsid w:val="00D51B87"/>
    <w:rsid w:val="00D5339C"/>
    <w:rsid w:val="00D547E5"/>
    <w:rsid w:val="00D5508A"/>
    <w:rsid w:val="00D551FC"/>
    <w:rsid w:val="00D57AD2"/>
    <w:rsid w:val="00D62479"/>
    <w:rsid w:val="00D64154"/>
    <w:rsid w:val="00D65E1D"/>
    <w:rsid w:val="00D67027"/>
    <w:rsid w:val="00D6773A"/>
    <w:rsid w:val="00D703C2"/>
    <w:rsid w:val="00D7092B"/>
    <w:rsid w:val="00D7230A"/>
    <w:rsid w:val="00D72395"/>
    <w:rsid w:val="00D724A5"/>
    <w:rsid w:val="00D73214"/>
    <w:rsid w:val="00D73227"/>
    <w:rsid w:val="00D740D7"/>
    <w:rsid w:val="00D80EBA"/>
    <w:rsid w:val="00D8210F"/>
    <w:rsid w:val="00D8232E"/>
    <w:rsid w:val="00D83394"/>
    <w:rsid w:val="00D83B83"/>
    <w:rsid w:val="00D83BB0"/>
    <w:rsid w:val="00D84FD9"/>
    <w:rsid w:val="00D8545C"/>
    <w:rsid w:val="00D85954"/>
    <w:rsid w:val="00D860CF"/>
    <w:rsid w:val="00D86E8B"/>
    <w:rsid w:val="00D8725A"/>
    <w:rsid w:val="00D90B62"/>
    <w:rsid w:val="00D910F1"/>
    <w:rsid w:val="00D91E1D"/>
    <w:rsid w:val="00D91F2C"/>
    <w:rsid w:val="00D9238E"/>
    <w:rsid w:val="00D925A8"/>
    <w:rsid w:val="00D93E71"/>
    <w:rsid w:val="00D94A18"/>
    <w:rsid w:val="00D9667B"/>
    <w:rsid w:val="00D974FD"/>
    <w:rsid w:val="00DA001E"/>
    <w:rsid w:val="00DA096A"/>
    <w:rsid w:val="00DA1643"/>
    <w:rsid w:val="00DA1F48"/>
    <w:rsid w:val="00DA2A44"/>
    <w:rsid w:val="00DA52D8"/>
    <w:rsid w:val="00DA5EE0"/>
    <w:rsid w:val="00DA63F9"/>
    <w:rsid w:val="00DB0106"/>
    <w:rsid w:val="00DB03E9"/>
    <w:rsid w:val="00DB0FCA"/>
    <w:rsid w:val="00DB10C8"/>
    <w:rsid w:val="00DB1DA6"/>
    <w:rsid w:val="00DB3A08"/>
    <w:rsid w:val="00DB4095"/>
    <w:rsid w:val="00DB55BC"/>
    <w:rsid w:val="00DB5C8B"/>
    <w:rsid w:val="00DB6DC8"/>
    <w:rsid w:val="00DB71F1"/>
    <w:rsid w:val="00DB7478"/>
    <w:rsid w:val="00DB7687"/>
    <w:rsid w:val="00DC281E"/>
    <w:rsid w:val="00DC30CC"/>
    <w:rsid w:val="00DC333A"/>
    <w:rsid w:val="00DC3F21"/>
    <w:rsid w:val="00DC4309"/>
    <w:rsid w:val="00DC43F2"/>
    <w:rsid w:val="00DC5FD6"/>
    <w:rsid w:val="00DC6DC4"/>
    <w:rsid w:val="00DC74D2"/>
    <w:rsid w:val="00DC7D6C"/>
    <w:rsid w:val="00DD0756"/>
    <w:rsid w:val="00DD10DE"/>
    <w:rsid w:val="00DD488C"/>
    <w:rsid w:val="00DD4B75"/>
    <w:rsid w:val="00DD5483"/>
    <w:rsid w:val="00DD5AF4"/>
    <w:rsid w:val="00DD704D"/>
    <w:rsid w:val="00DD7313"/>
    <w:rsid w:val="00DE01FC"/>
    <w:rsid w:val="00DE20C3"/>
    <w:rsid w:val="00DE2311"/>
    <w:rsid w:val="00DE2E90"/>
    <w:rsid w:val="00DE3FC9"/>
    <w:rsid w:val="00DE5322"/>
    <w:rsid w:val="00DE5754"/>
    <w:rsid w:val="00DE6423"/>
    <w:rsid w:val="00DE762A"/>
    <w:rsid w:val="00DF3C21"/>
    <w:rsid w:val="00DF41AC"/>
    <w:rsid w:val="00DF42D0"/>
    <w:rsid w:val="00DF5AD4"/>
    <w:rsid w:val="00DF70C0"/>
    <w:rsid w:val="00DF76E3"/>
    <w:rsid w:val="00DF7CAE"/>
    <w:rsid w:val="00E00D35"/>
    <w:rsid w:val="00E026CF"/>
    <w:rsid w:val="00E03F36"/>
    <w:rsid w:val="00E10ABB"/>
    <w:rsid w:val="00E11E94"/>
    <w:rsid w:val="00E13F89"/>
    <w:rsid w:val="00E152B0"/>
    <w:rsid w:val="00E154A5"/>
    <w:rsid w:val="00E15521"/>
    <w:rsid w:val="00E155AE"/>
    <w:rsid w:val="00E15797"/>
    <w:rsid w:val="00E16E66"/>
    <w:rsid w:val="00E17AAB"/>
    <w:rsid w:val="00E17FC9"/>
    <w:rsid w:val="00E2586B"/>
    <w:rsid w:val="00E259CC"/>
    <w:rsid w:val="00E25CC9"/>
    <w:rsid w:val="00E268AE"/>
    <w:rsid w:val="00E26F9D"/>
    <w:rsid w:val="00E272CF"/>
    <w:rsid w:val="00E27BD5"/>
    <w:rsid w:val="00E3250F"/>
    <w:rsid w:val="00E32FBE"/>
    <w:rsid w:val="00E335E1"/>
    <w:rsid w:val="00E35603"/>
    <w:rsid w:val="00E36B26"/>
    <w:rsid w:val="00E3733D"/>
    <w:rsid w:val="00E37A1A"/>
    <w:rsid w:val="00E40462"/>
    <w:rsid w:val="00E4232B"/>
    <w:rsid w:val="00E42521"/>
    <w:rsid w:val="00E42E51"/>
    <w:rsid w:val="00E434C2"/>
    <w:rsid w:val="00E44F86"/>
    <w:rsid w:val="00E4527B"/>
    <w:rsid w:val="00E462B8"/>
    <w:rsid w:val="00E465C5"/>
    <w:rsid w:val="00E50D77"/>
    <w:rsid w:val="00E529A4"/>
    <w:rsid w:val="00E529E9"/>
    <w:rsid w:val="00E54434"/>
    <w:rsid w:val="00E55B42"/>
    <w:rsid w:val="00E561D7"/>
    <w:rsid w:val="00E61CC8"/>
    <w:rsid w:val="00E62F6C"/>
    <w:rsid w:val="00E636B3"/>
    <w:rsid w:val="00E63A3D"/>
    <w:rsid w:val="00E63BC4"/>
    <w:rsid w:val="00E6560D"/>
    <w:rsid w:val="00E66C60"/>
    <w:rsid w:val="00E66FBD"/>
    <w:rsid w:val="00E676B0"/>
    <w:rsid w:val="00E70E87"/>
    <w:rsid w:val="00E7407A"/>
    <w:rsid w:val="00E7641C"/>
    <w:rsid w:val="00E7665B"/>
    <w:rsid w:val="00E76CA9"/>
    <w:rsid w:val="00E76EBA"/>
    <w:rsid w:val="00E77917"/>
    <w:rsid w:val="00E8193B"/>
    <w:rsid w:val="00E81D1A"/>
    <w:rsid w:val="00E8206C"/>
    <w:rsid w:val="00E8229B"/>
    <w:rsid w:val="00E83E28"/>
    <w:rsid w:val="00E84046"/>
    <w:rsid w:val="00E85172"/>
    <w:rsid w:val="00E8610C"/>
    <w:rsid w:val="00E8611C"/>
    <w:rsid w:val="00E87FDE"/>
    <w:rsid w:val="00E908C8"/>
    <w:rsid w:val="00E90A43"/>
    <w:rsid w:val="00E91451"/>
    <w:rsid w:val="00E92226"/>
    <w:rsid w:val="00E9224C"/>
    <w:rsid w:val="00E92471"/>
    <w:rsid w:val="00E9316D"/>
    <w:rsid w:val="00E9360E"/>
    <w:rsid w:val="00E9462D"/>
    <w:rsid w:val="00E949DC"/>
    <w:rsid w:val="00E95690"/>
    <w:rsid w:val="00E95ED4"/>
    <w:rsid w:val="00E96ABD"/>
    <w:rsid w:val="00EA128F"/>
    <w:rsid w:val="00EA2477"/>
    <w:rsid w:val="00EA3A19"/>
    <w:rsid w:val="00EA4283"/>
    <w:rsid w:val="00EA5B17"/>
    <w:rsid w:val="00EA6AA8"/>
    <w:rsid w:val="00EA6BD4"/>
    <w:rsid w:val="00EA7AF6"/>
    <w:rsid w:val="00EB021F"/>
    <w:rsid w:val="00EB080E"/>
    <w:rsid w:val="00EB21A9"/>
    <w:rsid w:val="00EB27C6"/>
    <w:rsid w:val="00EB2F32"/>
    <w:rsid w:val="00EB313F"/>
    <w:rsid w:val="00EB3856"/>
    <w:rsid w:val="00EB3F39"/>
    <w:rsid w:val="00EB4F6A"/>
    <w:rsid w:val="00EB5877"/>
    <w:rsid w:val="00EB6943"/>
    <w:rsid w:val="00EB77F0"/>
    <w:rsid w:val="00EB77F5"/>
    <w:rsid w:val="00EB7931"/>
    <w:rsid w:val="00EC0C09"/>
    <w:rsid w:val="00EC12C6"/>
    <w:rsid w:val="00EC3C61"/>
    <w:rsid w:val="00EC461C"/>
    <w:rsid w:val="00EC57F2"/>
    <w:rsid w:val="00EC6089"/>
    <w:rsid w:val="00EC65A2"/>
    <w:rsid w:val="00EC7226"/>
    <w:rsid w:val="00EC7365"/>
    <w:rsid w:val="00ED086A"/>
    <w:rsid w:val="00ED3CF9"/>
    <w:rsid w:val="00ED4276"/>
    <w:rsid w:val="00ED4308"/>
    <w:rsid w:val="00ED43D8"/>
    <w:rsid w:val="00ED63F1"/>
    <w:rsid w:val="00ED6711"/>
    <w:rsid w:val="00ED6F46"/>
    <w:rsid w:val="00ED740C"/>
    <w:rsid w:val="00ED78DE"/>
    <w:rsid w:val="00EE0F63"/>
    <w:rsid w:val="00EE2236"/>
    <w:rsid w:val="00EE259D"/>
    <w:rsid w:val="00EE4306"/>
    <w:rsid w:val="00EE4B20"/>
    <w:rsid w:val="00EE4C6F"/>
    <w:rsid w:val="00EE6B79"/>
    <w:rsid w:val="00EE6C77"/>
    <w:rsid w:val="00EE6E34"/>
    <w:rsid w:val="00EE7D1F"/>
    <w:rsid w:val="00EF0220"/>
    <w:rsid w:val="00EF0DAC"/>
    <w:rsid w:val="00EF104D"/>
    <w:rsid w:val="00EF147F"/>
    <w:rsid w:val="00EF1FA0"/>
    <w:rsid w:val="00EF3B1B"/>
    <w:rsid w:val="00EF3C8F"/>
    <w:rsid w:val="00EF410B"/>
    <w:rsid w:val="00EF4F1F"/>
    <w:rsid w:val="00EF534F"/>
    <w:rsid w:val="00EF5D05"/>
    <w:rsid w:val="00EF6AC8"/>
    <w:rsid w:val="00EF6C8C"/>
    <w:rsid w:val="00F002E8"/>
    <w:rsid w:val="00F00E51"/>
    <w:rsid w:val="00F02043"/>
    <w:rsid w:val="00F055DF"/>
    <w:rsid w:val="00F06698"/>
    <w:rsid w:val="00F07524"/>
    <w:rsid w:val="00F110DB"/>
    <w:rsid w:val="00F120BB"/>
    <w:rsid w:val="00F127F8"/>
    <w:rsid w:val="00F12F47"/>
    <w:rsid w:val="00F155DC"/>
    <w:rsid w:val="00F1567E"/>
    <w:rsid w:val="00F15C21"/>
    <w:rsid w:val="00F161BF"/>
    <w:rsid w:val="00F16F89"/>
    <w:rsid w:val="00F17BFB"/>
    <w:rsid w:val="00F21522"/>
    <w:rsid w:val="00F22AC7"/>
    <w:rsid w:val="00F23FC8"/>
    <w:rsid w:val="00F24059"/>
    <w:rsid w:val="00F244BA"/>
    <w:rsid w:val="00F24615"/>
    <w:rsid w:val="00F255EE"/>
    <w:rsid w:val="00F26CEA"/>
    <w:rsid w:val="00F27A8D"/>
    <w:rsid w:val="00F30039"/>
    <w:rsid w:val="00F31D34"/>
    <w:rsid w:val="00F32B61"/>
    <w:rsid w:val="00F33EAF"/>
    <w:rsid w:val="00F34765"/>
    <w:rsid w:val="00F35BCD"/>
    <w:rsid w:val="00F35CFF"/>
    <w:rsid w:val="00F367B3"/>
    <w:rsid w:val="00F4137C"/>
    <w:rsid w:val="00F43890"/>
    <w:rsid w:val="00F4469D"/>
    <w:rsid w:val="00F447FC"/>
    <w:rsid w:val="00F44D87"/>
    <w:rsid w:val="00F45631"/>
    <w:rsid w:val="00F45BA9"/>
    <w:rsid w:val="00F473D8"/>
    <w:rsid w:val="00F47B2C"/>
    <w:rsid w:val="00F50A11"/>
    <w:rsid w:val="00F517A6"/>
    <w:rsid w:val="00F52B69"/>
    <w:rsid w:val="00F53C57"/>
    <w:rsid w:val="00F55F69"/>
    <w:rsid w:val="00F56215"/>
    <w:rsid w:val="00F56E31"/>
    <w:rsid w:val="00F56FD2"/>
    <w:rsid w:val="00F57C10"/>
    <w:rsid w:val="00F61249"/>
    <w:rsid w:val="00F61B5D"/>
    <w:rsid w:val="00F63520"/>
    <w:rsid w:val="00F6358F"/>
    <w:rsid w:val="00F63BCF"/>
    <w:rsid w:val="00F64A4B"/>
    <w:rsid w:val="00F65A06"/>
    <w:rsid w:val="00F65E95"/>
    <w:rsid w:val="00F662ED"/>
    <w:rsid w:val="00F66E60"/>
    <w:rsid w:val="00F67B93"/>
    <w:rsid w:val="00F67C32"/>
    <w:rsid w:val="00F67D3B"/>
    <w:rsid w:val="00F67FC8"/>
    <w:rsid w:val="00F7090D"/>
    <w:rsid w:val="00F70BD7"/>
    <w:rsid w:val="00F71DD5"/>
    <w:rsid w:val="00F7315A"/>
    <w:rsid w:val="00F74288"/>
    <w:rsid w:val="00F74487"/>
    <w:rsid w:val="00F747B7"/>
    <w:rsid w:val="00F74BF2"/>
    <w:rsid w:val="00F76177"/>
    <w:rsid w:val="00F7651F"/>
    <w:rsid w:val="00F77081"/>
    <w:rsid w:val="00F7778A"/>
    <w:rsid w:val="00F80229"/>
    <w:rsid w:val="00F80E7B"/>
    <w:rsid w:val="00F8122F"/>
    <w:rsid w:val="00F821A5"/>
    <w:rsid w:val="00F82B36"/>
    <w:rsid w:val="00F82EF0"/>
    <w:rsid w:val="00F83FFF"/>
    <w:rsid w:val="00F84AA4"/>
    <w:rsid w:val="00F84BFA"/>
    <w:rsid w:val="00F8502D"/>
    <w:rsid w:val="00F85F35"/>
    <w:rsid w:val="00F8717C"/>
    <w:rsid w:val="00F90772"/>
    <w:rsid w:val="00F907C5"/>
    <w:rsid w:val="00F90A0D"/>
    <w:rsid w:val="00F91682"/>
    <w:rsid w:val="00F916D4"/>
    <w:rsid w:val="00F91A27"/>
    <w:rsid w:val="00F92729"/>
    <w:rsid w:val="00F927DE"/>
    <w:rsid w:val="00F9343A"/>
    <w:rsid w:val="00F940B8"/>
    <w:rsid w:val="00F9585E"/>
    <w:rsid w:val="00F96A58"/>
    <w:rsid w:val="00FA2599"/>
    <w:rsid w:val="00FA28F5"/>
    <w:rsid w:val="00FA3DB4"/>
    <w:rsid w:val="00FA3F9B"/>
    <w:rsid w:val="00FA43E7"/>
    <w:rsid w:val="00FA4EC9"/>
    <w:rsid w:val="00FA526B"/>
    <w:rsid w:val="00FA68C6"/>
    <w:rsid w:val="00FB03CD"/>
    <w:rsid w:val="00FB24B5"/>
    <w:rsid w:val="00FB2AE7"/>
    <w:rsid w:val="00FB2E3A"/>
    <w:rsid w:val="00FB2F3B"/>
    <w:rsid w:val="00FB4168"/>
    <w:rsid w:val="00FB4E97"/>
    <w:rsid w:val="00FB5CB3"/>
    <w:rsid w:val="00FB7C15"/>
    <w:rsid w:val="00FC1701"/>
    <w:rsid w:val="00FC2DA4"/>
    <w:rsid w:val="00FC3966"/>
    <w:rsid w:val="00FC45AB"/>
    <w:rsid w:val="00FC6B21"/>
    <w:rsid w:val="00FC739C"/>
    <w:rsid w:val="00FC7641"/>
    <w:rsid w:val="00FC786D"/>
    <w:rsid w:val="00FD2470"/>
    <w:rsid w:val="00FD2B10"/>
    <w:rsid w:val="00FD30D8"/>
    <w:rsid w:val="00FD3745"/>
    <w:rsid w:val="00FD3A97"/>
    <w:rsid w:val="00FD3BC9"/>
    <w:rsid w:val="00FD558F"/>
    <w:rsid w:val="00FD6E48"/>
    <w:rsid w:val="00FD7B60"/>
    <w:rsid w:val="00FE0D2D"/>
    <w:rsid w:val="00FE24BD"/>
    <w:rsid w:val="00FE271C"/>
    <w:rsid w:val="00FE4494"/>
    <w:rsid w:val="00FE46EE"/>
    <w:rsid w:val="00FE5523"/>
    <w:rsid w:val="00FE55D0"/>
    <w:rsid w:val="00FE6D6D"/>
    <w:rsid w:val="00FE740A"/>
    <w:rsid w:val="00FE75A7"/>
    <w:rsid w:val="00FE7FDA"/>
    <w:rsid w:val="00FF06AF"/>
    <w:rsid w:val="00FF0D6D"/>
    <w:rsid w:val="00FF5CC0"/>
    <w:rsid w:val="00FF5FAB"/>
    <w:rsid w:val="00FF79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82014"/>
  <w15:chartTrackingRefBased/>
  <w15:docId w15:val="{41E26F4E-0984-48E2-8F85-B60A585AF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
    <w:basedOn w:val="Normal"/>
    <w:link w:val="FootnoteTextChar"/>
    <w:unhideWhenUsed/>
    <w:rsid w:val="004E586C"/>
    <w:pPr>
      <w:bidi/>
      <w:spacing w:after="0" w:line="240" w:lineRule="auto"/>
    </w:pPr>
    <w:rPr>
      <w:sz w:val="20"/>
      <w:szCs w:val="20"/>
      <w:lang w:val="en-US"/>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
    <w:basedOn w:val="DefaultParagraphFont"/>
    <w:link w:val="FootnoteText"/>
    <w:rsid w:val="004E586C"/>
    <w:rPr>
      <w:sz w:val="20"/>
      <w:szCs w:val="20"/>
    </w:rPr>
  </w:style>
  <w:style w:type="character" w:styleId="FootnoteReference">
    <w:name w:val="footnote reference"/>
    <w:basedOn w:val="DefaultParagraphFont"/>
    <w:uiPriority w:val="99"/>
    <w:semiHidden/>
    <w:unhideWhenUsed/>
    <w:rsid w:val="00E00D35"/>
    <w:rPr>
      <w:vertAlign w:val="superscript"/>
    </w:rPr>
  </w:style>
  <w:style w:type="character" w:styleId="CommentReference">
    <w:name w:val="annotation reference"/>
    <w:basedOn w:val="DefaultParagraphFont"/>
    <w:unhideWhenUsed/>
    <w:rsid w:val="00535E90"/>
    <w:rPr>
      <w:sz w:val="16"/>
      <w:szCs w:val="16"/>
    </w:rPr>
  </w:style>
  <w:style w:type="paragraph" w:styleId="CommentText">
    <w:name w:val="annotation text"/>
    <w:basedOn w:val="Normal"/>
    <w:link w:val="CommentTextChar"/>
    <w:uiPriority w:val="99"/>
    <w:semiHidden/>
    <w:unhideWhenUsed/>
    <w:rsid w:val="00535E90"/>
    <w:pPr>
      <w:spacing w:line="240" w:lineRule="auto"/>
    </w:pPr>
    <w:rPr>
      <w:sz w:val="20"/>
      <w:szCs w:val="20"/>
    </w:rPr>
  </w:style>
  <w:style w:type="character" w:customStyle="1" w:styleId="CommentTextChar">
    <w:name w:val="Comment Text Char"/>
    <w:basedOn w:val="DefaultParagraphFont"/>
    <w:link w:val="CommentText"/>
    <w:uiPriority w:val="99"/>
    <w:semiHidden/>
    <w:rsid w:val="00535E90"/>
    <w:rPr>
      <w:sz w:val="20"/>
      <w:szCs w:val="20"/>
      <w:lang w:val="en-GB"/>
    </w:rPr>
  </w:style>
  <w:style w:type="paragraph" w:styleId="CommentSubject">
    <w:name w:val="annotation subject"/>
    <w:basedOn w:val="CommentText"/>
    <w:next w:val="CommentText"/>
    <w:link w:val="CommentSubjectChar"/>
    <w:uiPriority w:val="99"/>
    <w:semiHidden/>
    <w:unhideWhenUsed/>
    <w:rsid w:val="00535E90"/>
    <w:rPr>
      <w:b/>
      <w:bCs/>
    </w:rPr>
  </w:style>
  <w:style w:type="character" w:customStyle="1" w:styleId="CommentSubjectChar">
    <w:name w:val="Comment Subject Char"/>
    <w:basedOn w:val="CommentTextChar"/>
    <w:link w:val="CommentSubject"/>
    <w:uiPriority w:val="99"/>
    <w:semiHidden/>
    <w:rsid w:val="00535E90"/>
    <w:rPr>
      <w:b/>
      <w:bCs/>
      <w:sz w:val="20"/>
      <w:szCs w:val="20"/>
      <w:lang w:val="en-GB"/>
    </w:rPr>
  </w:style>
  <w:style w:type="character" w:styleId="Hyperlink">
    <w:name w:val="Hyperlink"/>
    <w:basedOn w:val="DefaultParagraphFont"/>
    <w:uiPriority w:val="99"/>
    <w:unhideWhenUsed/>
    <w:rsid w:val="004574B0"/>
    <w:rPr>
      <w:color w:val="0563C1" w:themeColor="hyperlink"/>
      <w:u w:val="single"/>
    </w:rPr>
  </w:style>
  <w:style w:type="character" w:styleId="UnresolvedMention">
    <w:name w:val="Unresolved Mention"/>
    <w:basedOn w:val="DefaultParagraphFont"/>
    <w:uiPriority w:val="99"/>
    <w:semiHidden/>
    <w:unhideWhenUsed/>
    <w:rsid w:val="004574B0"/>
    <w:rPr>
      <w:color w:val="605E5C"/>
      <w:shd w:val="clear" w:color="auto" w:fill="E1DFDD"/>
    </w:rPr>
  </w:style>
  <w:style w:type="character" w:styleId="FollowedHyperlink">
    <w:name w:val="FollowedHyperlink"/>
    <w:basedOn w:val="DefaultParagraphFont"/>
    <w:uiPriority w:val="99"/>
    <w:semiHidden/>
    <w:unhideWhenUsed/>
    <w:rsid w:val="004574B0"/>
    <w:rPr>
      <w:color w:val="954F72" w:themeColor="followedHyperlink"/>
      <w:u w:val="single"/>
    </w:rPr>
  </w:style>
  <w:style w:type="paragraph" w:styleId="BalloonText">
    <w:name w:val="Balloon Text"/>
    <w:basedOn w:val="Normal"/>
    <w:link w:val="BalloonTextChar"/>
    <w:uiPriority w:val="99"/>
    <w:semiHidden/>
    <w:unhideWhenUsed/>
    <w:rsid w:val="002E0B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BD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13" Type="http://schemas.openxmlformats.org/officeDocument/2006/relationships/hyperlink" Target="http://www.presidency.ucsb.edu/ws/?pid=8520" TargetMode="External"/><Relationship Id="rId18" Type="http://schemas.openxmlformats.org/officeDocument/2006/relationships/hyperlink" Target="http://www.leginfo.ca.gov/.const/.article_1" TargetMode="External"/><Relationship Id="rId26" Type="http://schemas.openxmlformats.org/officeDocument/2006/relationships/hyperlink" Target="https://www.opm.gov/policy-data-oversight/diversity-and-inclusion/reports/feorp-2012.pdf" TargetMode="External"/><Relationship Id="rId39" Type="http://schemas.openxmlformats.org/officeDocument/2006/relationships/hyperlink" Target="http://www.csc.gov.il/DataBases/ArticlesAndPublications/documents/guidelineplanninghc-2016.pdf" TargetMode="External"/><Relationship Id="rId21" Type="http://schemas.openxmlformats.org/officeDocument/2006/relationships/hyperlink" Target="http://laws-lois.justice.gc.ca/eng/acts/e-5.401/page-1.html" TargetMode="External"/><Relationship Id="rId34" Type="http://schemas.openxmlformats.org/officeDocument/2006/relationships/hyperlink" Target="http://csc.gov.il/Units/Reform/Documents/Knowledgetree/Tenders2.pdf" TargetMode="External"/><Relationship Id="rId7" Type="http://schemas.openxmlformats.org/officeDocument/2006/relationships/hyperlink" Target="http://publicappointmentscommissioner.independent.gov.uk/publications/annual-reports/" TargetMode="External"/><Relationship Id="rId12" Type="http://schemas.openxmlformats.org/officeDocument/2006/relationships/hyperlink" Target="http://www.law.cornell.edu/uscode/text/29/151%E2%80%93169" TargetMode="External"/><Relationship Id="rId17" Type="http://schemas.openxmlformats.org/officeDocument/2006/relationships/hyperlink" Target="http://www.dol.gov/ofccp/" TargetMode="External"/><Relationship Id="rId25" Type="http://schemas.openxmlformats.org/officeDocument/2006/relationships/hyperlink" Target="https://www.opm.gov" TargetMode="External"/><Relationship Id="rId33" Type="http://schemas.openxmlformats.org/officeDocument/2006/relationships/hyperlink" Target="http://www.oecd.org/gov/pem/acquiringcapacity.htm" TargetMode="External"/><Relationship Id="rId38" Type="http://schemas.openxmlformats.org/officeDocument/2006/relationships/hyperlink" Target="http://www.opm.gov/policy-data-oversight/pay-leave/referencematerials/handbooks/humanresourcesflexibilitiesauthorities.pdf" TargetMode="External"/><Relationship Id="rId2" Type="http://schemas.openxmlformats.org/officeDocument/2006/relationships/hyperlink" Target="https://www.un.org/womenwatch/daw/cedaw/cedaw.htm" TargetMode="External"/><Relationship Id="rId16" Type="http://schemas.openxmlformats.org/officeDocument/2006/relationships/hyperlink" Target="http://www.dol.gov/ofccp/regs/compliance/fs11246.htm" TargetMode="External"/><Relationship Id="rId20" Type="http://schemas.openxmlformats.org/officeDocument/2006/relationships/hyperlink" Target="https://www.opm.gov/policy-data-oversight/diversity-and-inclusion/reports/feorp-2012.pdf" TargetMode="External"/><Relationship Id="rId29" Type="http://schemas.openxmlformats.org/officeDocument/2006/relationships/hyperlink" Target="http://www.csc.gov.il/databases/articlesandpublications/documents/reformreport2013.pdf" TargetMode="External"/><Relationship Id="rId1" Type="http://schemas.openxmlformats.org/officeDocument/2006/relationships/hyperlink" Target="http://www.uniformguidelines.com/uniformguidelines.html" TargetMode="External"/><Relationship Id="rId6" Type="http://schemas.openxmlformats.org/officeDocument/2006/relationships/hyperlink" Target="http://www.civilservicecommission.org.uk/employment-in-the-civil-service.html" TargetMode="External"/><Relationship Id="rId11" Type="http://schemas.openxmlformats.org/officeDocument/2006/relationships/hyperlink" Target="https://en.wikipedia.org/wiki/Title_29_of_the_United_States_Code" TargetMode="External"/><Relationship Id="rId24" Type="http://schemas.openxmlformats.org/officeDocument/2006/relationships/hyperlink" Target="https://www.canada.ca/en/employment-social-development/corporate/portfolio/labour/programs/employment-equity/reports/2019-annual.html" TargetMode="External"/><Relationship Id="rId32" Type="http://schemas.openxmlformats.org/officeDocument/2006/relationships/hyperlink" Target="http://csc.gov.il/Units/Reform/Documents/Knowledgetree/Tenders2.pdf" TargetMode="External"/><Relationship Id="rId37" Type="http://schemas.openxmlformats.org/officeDocument/2006/relationships/hyperlink" Target="http://www.opm.gov/policy-data-oversight/hiring-authorities/competitive-hiring/" TargetMode="External"/><Relationship Id="rId5" Type="http://schemas.openxmlformats.org/officeDocument/2006/relationships/hyperlink" Target="http://www.civilservicecommission.org.uk/civil-service-reform.html" TargetMode="External"/><Relationship Id="rId15" Type="http://schemas.openxmlformats.org/officeDocument/2006/relationships/hyperlink" Target="https://en.wikipedia.org/wiki/Case_citation" TargetMode="External"/><Relationship Id="rId23" Type="http://schemas.openxmlformats.org/officeDocument/2006/relationships/hyperlink" Target="http://www.parl.gc.ca/InfoComDoc/37/1/HUMA/Studies/Reports/HUMARP9/07-intro-e.htm" TargetMode="External"/><Relationship Id="rId28" Type="http://schemas.openxmlformats.org/officeDocument/2006/relationships/hyperlink" Target="http://hidavrut.gov.il/content/4273" TargetMode="External"/><Relationship Id="rId36" Type="http://schemas.openxmlformats.org/officeDocument/2006/relationships/hyperlink" Target="http://csc.gov.il/Units/Reform/Documents/Knowledgetree/Tenders2.pdf" TargetMode="External"/><Relationship Id="rId10" Type="http://schemas.openxmlformats.org/officeDocument/2006/relationships/hyperlink" Target="http://www.opm.gov/BiographyofAnIdeal/PU_CSreform.htm" TargetMode="External"/><Relationship Id="rId19" Type="http://schemas.openxmlformats.org/officeDocument/2006/relationships/hyperlink" Target="https://www.opm.gov" TargetMode="External"/><Relationship Id="rId31" Type="http://schemas.openxmlformats.org/officeDocument/2006/relationships/hyperlink" Target="http://csc.gov.il/Units/Reform/Documents/Knowledgetree/Tenders2.pdf" TargetMode="External"/><Relationship Id="rId4" Type="http://schemas.openxmlformats.org/officeDocument/2006/relationships/hyperlink" Target="https://www.gov.uk/government/organisations/civil-service" TargetMode="External"/><Relationship Id="rId9" Type="http://schemas.openxmlformats.org/officeDocument/2006/relationships/hyperlink" Target="http://www.parliament.uk/commons/lib/research/notes/snpc-03161.pdf" TargetMode="External"/><Relationship Id="rId14" Type="http://schemas.openxmlformats.org/officeDocument/2006/relationships/hyperlink" Target="https://en.wikipedia.org/wiki/Case_citation" TargetMode="External"/><Relationship Id="rId22" Type="http://schemas.openxmlformats.org/officeDocument/2006/relationships/hyperlink" Target="http://www.swc-cfc.gc.ca" TargetMode="External"/><Relationship Id="rId27" Type="http://schemas.openxmlformats.org/officeDocument/2006/relationships/hyperlink" Target="http://hidavrut.gov.il/sites/default/files/%20%D7%A1%D7%95%D7%A4%D7%99.pdf" TargetMode="External"/><Relationship Id="rId30" Type="http://schemas.openxmlformats.org/officeDocument/2006/relationships/hyperlink" Target="http://www.csc.gov.il/Units/Reform/Documents/Knowledgetree/KnowledgetreeProgram.pdf" TargetMode="External"/><Relationship Id="rId35" Type="http://schemas.openxmlformats.org/officeDocument/2006/relationships/hyperlink" Target="http://ourpublicservice.org/OPS/publications/viewcontentdetails.php?id=54" TargetMode="External"/><Relationship Id="rId8" Type="http://schemas.openxmlformats.org/officeDocument/2006/relationships/hyperlink" Target="http://www.ocpa.gov.uk/index2.htm" TargetMode="External"/><Relationship Id="rId3" Type="http://schemas.openxmlformats.org/officeDocument/2006/relationships/hyperlink" Target="https://www.gov.uk/government/uploads/system/uploads/attachment_data/file/238713/74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C4C5B-20D2-45F3-88AA-A279181E1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22511</Words>
  <Characters>122999</Characters>
  <Application>Microsoft Office Word</Application>
  <DocSecurity>0</DocSecurity>
  <Lines>2049</Lines>
  <Paragraphs>1031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MalbeC</dc:creator>
  <cp:keywords/>
  <dc:description/>
  <cp:lastModifiedBy>Susan</cp:lastModifiedBy>
  <cp:revision>2</cp:revision>
  <dcterms:created xsi:type="dcterms:W3CDTF">2021-05-15T22:11:00Z</dcterms:created>
  <dcterms:modified xsi:type="dcterms:W3CDTF">2021-05-15T22:11:00Z</dcterms:modified>
</cp:coreProperties>
</file>