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3AF53" w14:textId="137FE8E4" w:rsidR="00E67E67" w:rsidRPr="00471E15" w:rsidRDefault="00BC3314" w:rsidP="00D913F0">
      <w:pPr>
        <w:pStyle w:val="ArticleTitle"/>
        <w:rPr>
          <w:sz w:val="28"/>
          <w:szCs w:val="28"/>
        </w:rPr>
      </w:pPr>
      <w:bookmarkStart w:id="0" w:name="_GoBack"/>
      <w:bookmarkEnd w:id="0"/>
      <w:r>
        <w:rPr>
          <w:sz w:val="28"/>
          <w:szCs w:val="28"/>
        </w:rPr>
        <w:t xml:space="preserve">The “Paper Deal—Real Deal” Gap in </w:t>
      </w:r>
      <w:r w:rsidR="00D913F0">
        <w:rPr>
          <w:sz w:val="28"/>
          <w:szCs w:val="28"/>
        </w:rPr>
        <w:t>the Retail Market</w:t>
      </w:r>
      <w:r>
        <w:rPr>
          <w:sz w:val="28"/>
          <w:szCs w:val="28"/>
        </w:rPr>
        <w:t>: A Field Experiment</w:t>
      </w:r>
      <w:r w:rsidR="00BF35DC">
        <w:rPr>
          <w:sz w:val="28"/>
          <w:szCs w:val="28"/>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1"/>
        <w:t>*</w:t>
      </w:r>
    </w:p>
    <w:p w14:paraId="508C00F5" w14:textId="77777777" w:rsidR="001865E6" w:rsidRPr="00531479" w:rsidRDefault="001865E6" w:rsidP="00531479">
      <w:pPr>
        <w:pStyle w:val="YourName"/>
        <w:rPr>
          <w:i w:val="0"/>
          <w:sz w:val="26"/>
          <w:szCs w:val="26"/>
        </w:rPr>
      </w:pPr>
    </w:p>
    <w:p w14:paraId="3D7AA40E" w14:textId="18FB4EAA" w:rsidR="007F0CD1" w:rsidRPr="001865E6" w:rsidRDefault="00CF1DD1" w:rsidP="00F6370A">
      <w:pPr>
        <w:ind w:firstLine="720"/>
        <w:rPr>
          <w:i/>
          <w:sz w:val="20"/>
          <w:szCs w:val="24"/>
        </w:rPr>
      </w:pPr>
      <w:r>
        <w:rPr>
          <w:i/>
          <w:sz w:val="20"/>
          <w:szCs w:val="24"/>
        </w:rPr>
        <w:t>The Gap Theory suggests that</w:t>
      </w:r>
      <w:r w:rsidR="000231C0">
        <w:rPr>
          <w:i/>
          <w:sz w:val="20"/>
          <w:szCs w:val="24"/>
        </w:rPr>
        <w:t>, in competitive markets,</w:t>
      </w:r>
      <w:r>
        <w:rPr>
          <w:i/>
          <w:sz w:val="20"/>
          <w:szCs w:val="24"/>
        </w:rPr>
        <w:t xml:space="preserve"> sellers </w:t>
      </w:r>
      <w:r w:rsidR="000231C0">
        <w:rPr>
          <w:i/>
          <w:sz w:val="20"/>
          <w:szCs w:val="24"/>
        </w:rPr>
        <w:t xml:space="preserve">will </w:t>
      </w:r>
      <w:r>
        <w:rPr>
          <w:i/>
          <w:sz w:val="20"/>
          <w:szCs w:val="24"/>
        </w:rPr>
        <w:t xml:space="preserve">often deviate from clear and unconditional contractual requirements to please consumers. </w:t>
      </w:r>
      <w:r w:rsidR="001865E6">
        <w:rPr>
          <w:i/>
          <w:sz w:val="20"/>
          <w:szCs w:val="24"/>
        </w:rPr>
        <w:t xml:space="preserve">This Article investigates </w:t>
      </w:r>
      <w:r>
        <w:rPr>
          <w:i/>
          <w:sz w:val="20"/>
          <w:szCs w:val="24"/>
        </w:rPr>
        <w:t>this theory through the case study of product returns</w:t>
      </w:r>
      <w:r w:rsidR="001865E6">
        <w:rPr>
          <w:i/>
          <w:sz w:val="20"/>
          <w:szCs w:val="24"/>
        </w:rPr>
        <w:t>. In a wide-scale field experiment, testers (auditors) were sent to return items without receipts (despite a formal receipt requirement) to more than a hundred stores in Chicago. The results show that a</w:t>
      </w:r>
      <w:r w:rsidR="001865E6" w:rsidRPr="001865E6">
        <w:rPr>
          <w:i/>
          <w:sz w:val="20"/>
          <w:szCs w:val="24"/>
        </w:rPr>
        <w:t xml:space="preserve">cross a wide range of stores, a significant minority of retailers strategically departs from the </w:t>
      </w:r>
      <w:r>
        <w:rPr>
          <w:i/>
          <w:sz w:val="20"/>
          <w:szCs w:val="24"/>
        </w:rPr>
        <w:t>formal policy</w:t>
      </w:r>
      <w:r w:rsidR="001865E6" w:rsidRPr="001865E6">
        <w:rPr>
          <w:i/>
          <w:sz w:val="20"/>
          <w:szCs w:val="24"/>
        </w:rPr>
        <w:t xml:space="preserve"> in favor of consumers</w:t>
      </w:r>
      <w:r>
        <w:rPr>
          <w:i/>
          <w:sz w:val="20"/>
          <w:szCs w:val="24"/>
        </w:rPr>
        <w:t>, and that sellers are</w:t>
      </w:r>
      <w:r w:rsidR="000231C0">
        <w:rPr>
          <w:i/>
          <w:sz w:val="20"/>
          <w:szCs w:val="24"/>
        </w:rPr>
        <w:t xml:space="preserve"> about</w:t>
      </w:r>
      <w:r>
        <w:rPr>
          <w:i/>
          <w:sz w:val="20"/>
          <w:szCs w:val="24"/>
        </w:rPr>
        <w:t xml:space="preserve"> twice as likely to exercise leniency once consumers complain</w:t>
      </w:r>
      <w:r w:rsidR="001865E6" w:rsidRPr="001865E6">
        <w:rPr>
          <w:i/>
          <w:sz w:val="20"/>
          <w:szCs w:val="24"/>
        </w:rPr>
        <w:t xml:space="preserve">. These results are consistent with the Gap Theory in suggesting that sellers may deliberately adopt </w:t>
      </w:r>
      <w:r>
        <w:rPr>
          <w:i/>
          <w:sz w:val="20"/>
          <w:szCs w:val="24"/>
        </w:rPr>
        <w:t>rigid</w:t>
      </w:r>
      <w:r w:rsidR="001865E6" w:rsidRPr="001865E6">
        <w:rPr>
          <w:i/>
          <w:sz w:val="20"/>
          <w:szCs w:val="24"/>
        </w:rPr>
        <w:t xml:space="preserve"> policies on paper, with the aim of screening out certain consumers, while departing from the agreement </w:t>
      </w:r>
      <w:r>
        <w:rPr>
          <w:i/>
          <w:sz w:val="20"/>
          <w:szCs w:val="24"/>
        </w:rPr>
        <w:t>in favor of</w:t>
      </w:r>
      <w:r w:rsidR="001865E6" w:rsidRPr="001865E6">
        <w:rPr>
          <w:i/>
          <w:sz w:val="20"/>
          <w:szCs w:val="24"/>
        </w:rPr>
        <w:t xml:space="preserve"> others. Yet, </w:t>
      </w:r>
      <w:r w:rsidR="000231C0">
        <w:rPr>
          <w:i/>
          <w:sz w:val="20"/>
          <w:szCs w:val="24"/>
        </w:rPr>
        <w:t xml:space="preserve">at the same time </w:t>
      </w:r>
      <w:r w:rsidR="001865E6" w:rsidRPr="001865E6">
        <w:rPr>
          <w:i/>
          <w:sz w:val="20"/>
          <w:szCs w:val="24"/>
        </w:rPr>
        <w:t xml:space="preserve">the results qualify the Gap Theory by showing that most sellers insist on enforcing their policy requirements, and </w:t>
      </w:r>
      <w:r w:rsidR="000231C0">
        <w:rPr>
          <w:i/>
          <w:sz w:val="20"/>
          <w:szCs w:val="24"/>
        </w:rPr>
        <w:t xml:space="preserve">that </w:t>
      </w:r>
      <w:r w:rsidR="001865E6" w:rsidRPr="001865E6">
        <w:rPr>
          <w:i/>
          <w:sz w:val="20"/>
          <w:szCs w:val="24"/>
        </w:rPr>
        <w:t>this insistence</w:t>
      </w:r>
      <w:r w:rsidR="000409B6">
        <w:rPr>
          <w:i/>
          <w:sz w:val="20"/>
          <w:szCs w:val="24"/>
        </w:rPr>
        <w:t xml:space="preserve"> largely</w:t>
      </w:r>
      <w:r w:rsidR="001865E6" w:rsidRPr="001865E6">
        <w:rPr>
          <w:i/>
          <w:sz w:val="20"/>
          <w:szCs w:val="24"/>
        </w:rPr>
        <w:t xml:space="preserve"> persists even after consumers complain.</w:t>
      </w:r>
      <w:r>
        <w:rPr>
          <w:i/>
          <w:sz w:val="20"/>
          <w:szCs w:val="24"/>
        </w:rPr>
        <w:t xml:space="preserve"> </w:t>
      </w:r>
      <w:r w:rsidR="000231C0">
        <w:rPr>
          <w:i/>
          <w:sz w:val="20"/>
          <w:szCs w:val="24"/>
        </w:rPr>
        <w:t xml:space="preserve">These findings, </w:t>
      </w:r>
      <w:r w:rsidR="00B155B8">
        <w:rPr>
          <w:i/>
          <w:sz w:val="20"/>
          <w:szCs w:val="24"/>
        </w:rPr>
        <w:t>I argue</w:t>
      </w:r>
      <w:r w:rsidR="000231C0">
        <w:rPr>
          <w:i/>
          <w:sz w:val="20"/>
          <w:szCs w:val="24"/>
        </w:rPr>
        <w:t xml:space="preserve">, have important policy implications. While Gap Theory proponents have suggested that regulators </w:t>
      </w:r>
      <w:r w:rsidR="000409B6">
        <w:rPr>
          <w:i/>
          <w:sz w:val="20"/>
          <w:szCs w:val="24"/>
        </w:rPr>
        <w:t>should not intervene</w:t>
      </w:r>
      <w:r w:rsidR="000231C0">
        <w:rPr>
          <w:i/>
          <w:sz w:val="20"/>
          <w:szCs w:val="24"/>
        </w:rPr>
        <w:t xml:space="preserve"> in consumer transactions</w:t>
      </w:r>
      <w:r w:rsidR="000409B6">
        <w:rPr>
          <w:i/>
          <w:sz w:val="20"/>
          <w:szCs w:val="24"/>
        </w:rPr>
        <w:t xml:space="preserve"> (absent evidence of fraud)</w:t>
      </w:r>
      <w:r w:rsidR="000231C0">
        <w:rPr>
          <w:i/>
          <w:sz w:val="20"/>
          <w:szCs w:val="24"/>
        </w:rPr>
        <w:t xml:space="preserve">, </w:t>
      </w:r>
      <w:r w:rsidR="00B155B8">
        <w:rPr>
          <w:i/>
          <w:sz w:val="20"/>
          <w:szCs w:val="24"/>
        </w:rPr>
        <w:t>these</w:t>
      </w:r>
      <w:r>
        <w:rPr>
          <w:i/>
          <w:sz w:val="20"/>
          <w:szCs w:val="24"/>
        </w:rPr>
        <w:t xml:space="preserve"> findings</w:t>
      </w:r>
      <w:r w:rsidR="00B155B8">
        <w:rPr>
          <w:i/>
          <w:sz w:val="20"/>
          <w:szCs w:val="24"/>
        </w:rPr>
        <w:t xml:space="preserve"> </w:t>
      </w:r>
      <w:r w:rsidR="000231C0">
        <w:rPr>
          <w:i/>
          <w:sz w:val="20"/>
          <w:szCs w:val="24"/>
        </w:rPr>
        <w:t xml:space="preserve">suggest that regulation may be </w:t>
      </w:r>
      <w:r w:rsidR="000409B6">
        <w:rPr>
          <w:i/>
          <w:sz w:val="20"/>
          <w:szCs w:val="24"/>
        </w:rPr>
        <w:t>needed when reputation does not sufficiently discourage sellers from adhering to excessively strict contractual arrangements</w:t>
      </w:r>
      <w:r>
        <w:rPr>
          <w:i/>
          <w:sz w:val="20"/>
          <w:szCs w:val="24"/>
        </w:rPr>
        <w:t xml:space="preserve">. </w:t>
      </w:r>
      <w:r w:rsidR="00B155B8">
        <w:rPr>
          <w:i/>
          <w:sz w:val="20"/>
          <w:szCs w:val="24"/>
        </w:rPr>
        <w:t>Moreover</w:t>
      </w:r>
      <w:r>
        <w:rPr>
          <w:i/>
          <w:sz w:val="20"/>
          <w:szCs w:val="24"/>
        </w:rPr>
        <w:t xml:space="preserve">, </w:t>
      </w:r>
      <w:r w:rsidR="000409B6">
        <w:rPr>
          <w:i/>
          <w:sz w:val="20"/>
          <w:szCs w:val="24"/>
        </w:rPr>
        <w:t>building on new evidence and on insights from the social sciences, this Article proposes that</w:t>
      </w:r>
      <w:r>
        <w:rPr>
          <w:i/>
          <w:sz w:val="20"/>
          <w:szCs w:val="24"/>
        </w:rPr>
        <w:t xml:space="preserve"> even when gaps persist, they might harm consumers and lead to regressive distributive outcomes.</w:t>
      </w:r>
      <w:r w:rsidR="000409B6">
        <w:rPr>
          <w:i/>
          <w:sz w:val="20"/>
          <w:szCs w:val="24"/>
        </w:rPr>
        <w:t xml:space="preserve"> </w:t>
      </w:r>
    </w:p>
    <w:p w14:paraId="5B501DCF" w14:textId="1B90313E" w:rsidR="001865E6" w:rsidRDefault="001865E6" w:rsidP="001865E6">
      <w:pPr>
        <w:ind w:firstLine="720"/>
        <w:rPr>
          <w:i/>
          <w:sz w:val="20"/>
          <w:szCs w:val="24"/>
        </w:rPr>
      </w:pPr>
    </w:p>
    <w:sdt>
      <w:sdtPr>
        <w:rPr>
          <w:rFonts w:ascii="CG Times" w:eastAsia="Times New Roman" w:hAnsi="CG Times" w:cs="Times New Roman"/>
          <w:b w:val="0"/>
          <w:bCs w:val="0"/>
          <w:color w:val="auto"/>
          <w:sz w:val="24"/>
          <w:szCs w:val="20"/>
          <w:lang w:eastAsia="en-US"/>
        </w:rPr>
        <w:id w:val="1068701352"/>
        <w:docPartObj>
          <w:docPartGallery w:val="Table of Contents"/>
          <w:docPartUnique/>
        </w:docPartObj>
      </w:sdtPr>
      <w:sdtEndPr>
        <w:rPr>
          <w:noProof/>
        </w:rPr>
      </w:sdtEndPr>
      <w:sdtContent>
        <w:p w14:paraId="74D388EE" w14:textId="4090300D" w:rsidR="00F6370A" w:rsidRDefault="00F6370A" w:rsidP="00F6370A">
          <w:pPr>
            <w:pStyle w:val="TOCHeading"/>
          </w:pPr>
        </w:p>
        <w:p w14:paraId="681AA2D6" w14:textId="77777777" w:rsidR="004E4C99" w:rsidRDefault="00F6370A">
          <w:pPr>
            <w:pStyle w:val="TOC1"/>
            <w:rPr>
              <w:rFonts w:asciiTheme="minorHAnsi" w:eastAsiaTheme="minorEastAsia" w:hAnsiTheme="minorHAnsi" w:cstheme="minorBidi"/>
              <w:noProof/>
              <w:sz w:val="22"/>
              <w:szCs w:val="22"/>
              <w:lang w:bidi="he-IL"/>
            </w:rPr>
          </w:pPr>
          <w:r>
            <w:fldChar w:fldCharType="begin"/>
          </w:r>
          <w:r>
            <w:instrText xml:space="preserve"> TOC \o "1-3" \h \z \u </w:instrText>
          </w:r>
          <w:r>
            <w:fldChar w:fldCharType="separate"/>
          </w:r>
          <w:hyperlink w:anchor="_Toc18539934" w:history="1">
            <w:r w:rsidR="004E4C99" w:rsidRPr="00F77EF1">
              <w:rPr>
                <w:rStyle w:val="Hyperlink"/>
                <w:noProof/>
              </w:rPr>
              <w:t>Introduction</w:t>
            </w:r>
            <w:r w:rsidR="004E4C99">
              <w:rPr>
                <w:noProof/>
                <w:webHidden/>
              </w:rPr>
              <w:tab/>
            </w:r>
            <w:r w:rsidR="004E4C99">
              <w:rPr>
                <w:noProof/>
                <w:webHidden/>
              </w:rPr>
              <w:fldChar w:fldCharType="begin"/>
            </w:r>
            <w:r w:rsidR="004E4C99">
              <w:rPr>
                <w:noProof/>
                <w:webHidden/>
              </w:rPr>
              <w:instrText xml:space="preserve"> PAGEREF _Toc18539934 \h </w:instrText>
            </w:r>
            <w:r w:rsidR="004E4C99">
              <w:rPr>
                <w:noProof/>
                <w:webHidden/>
              </w:rPr>
            </w:r>
            <w:r w:rsidR="004E4C99">
              <w:rPr>
                <w:noProof/>
                <w:webHidden/>
              </w:rPr>
              <w:fldChar w:fldCharType="separate"/>
            </w:r>
            <w:r w:rsidR="004E4C99">
              <w:rPr>
                <w:noProof/>
                <w:webHidden/>
              </w:rPr>
              <w:t>1</w:t>
            </w:r>
            <w:r w:rsidR="004E4C99">
              <w:rPr>
                <w:noProof/>
                <w:webHidden/>
              </w:rPr>
              <w:fldChar w:fldCharType="end"/>
            </w:r>
          </w:hyperlink>
        </w:p>
        <w:p w14:paraId="60E5DFA8" w14:textId="77777777" w:rsidR="004E4C99" w:rsidRDefault="00A345D6">
          <w:pPr>
            <w:pStyle w:val="TOC1"/>
            <w:rPr>
              <w:rFonts w:asciiTheme="minorHAnsi" w:eastAsiaTheme="minorEastAsia" w:hAnsiTheme="minorHAnsi" w:cstheme="minorBidi"/>
              <w:noProof/>
              <w:sz w:val="22"/>
              <w:szCs w:val="22"/>
              <w:lang w:bidi="he-IL"/>
            </w:rPr>
          </w:pPr>
          <w:hyperlink w:anchor="_Toc18539935" w:history="1">
            <w:r w:rsidR="004E4C99" w:rsidRPr="00F77EF1">
              <w:rPr>
                <w:rStyle w:val="Hyperlink"/>
                <w:noProof/>
              </w:rPr>
              <w:t>I. Background and Motivation</w:t>
            </w:r>
            <w:r w:rsidR="004E4C99">
              <w:rPr>
                <w:noProof/>
                <w:webHidden/>
              </w:rPr>
              <w:tab/>
            </w:r>
            <w:r w:rsidR="004E4C99">
              <w:rPr>
                <w:noProof/>
                <w:webHidden/>
              </w:rPr>
              <w:fldChar w:fldCharType="begin"/>
            </w:r>
            <w:r w:rsidR="004E4C99">
              <w:rPr>
                <w:noProof/>
                <w:webHidden/>
              </w:rPr>
              <w:instrText xml:space="preserve"> PAGEREF _Toc18539935 \h </w:instrText>
            </w:r>
            <w:r w:rsidR="004E4C99">
              <w:rPr>
                <w:noProof/>
                <w:webHidden/>
              </w:rPr>
            </w:r>
            <w:r w:rsidR="004E4C99">
              <w:rPr>
                <w:noProof/>
                <w:webHidden/>
              </w:rPr>
              <w:fldChar w:fldCharType="separate"/>
            </w:r>
            <w:r w:rsidR="004E4C99">
              <w:rPr>
                <w:noProof/>
                <w:webHidden/>
              </w:rPr>
              <w:t>7</w:t>
            </w:r>
            <w:r w:rsidR="004E4C99">
              <w:rPr>
                <w:noProof/>
                <w:webHidden/>
              </w:rPr>
              <w:fldChar w:fldCharType="end"/>
            </w:r>
          </w:hyperlink>
        </w:p>
        <w:p w14:paraId="6DC209CB" w14:textId="77777777" w:rsidR="004E4C99" w:rsidRDefault="00A345D6">
          <w:pPr>
            <w:pStyle w:val="TOC2"/>
            <w:rPr>
              <w:rFonts w:asciiTheme="minorHAnsi" w:eastAsiaTheme="minorEastAsia" w:hAnsiTheme="minorHAnsi" w:cstheme="minorBidi"/>
              <w:sz w:val="22"/>
              <w:szCs w:val="22"/>
              <w:lang w:bidi="he-IL"/>
            </w:rPr>
          </w:pPr>
          <w:hyperlink w:anchor="_Toc18539936" w:history="1">
            <w:r w:rsidR="004E4C99" w:rsidRPr="00F77EF1">
              <w:rPr>
                <w:rStyle w:val="Hyperlink"/>
              </w:rPr>
              <w:t>A. The Gap Theory and Gap Skepticism</w:t>
            </w:r>
            <w:r w:rsidR="004E4C99">
              <w:rPr>
                <w:webHidden/>
              </w:rPr>
              <w:tab/>
            </w:r>
            <w:r w:rsidR="004E4C99">
              <w:rPr>
                <w:webHidden/>
              </w:rPr>
              <w:fldChar w:fldCharType="begin"/>
            </w:r>
            <w:r w:rsidR="004E4C99">
              <w:rPr>
                <w:webHidden/>
              </w:rPr>
              <w:instrText xml:space="preserve"> PAGEREF _Toc18539936 \h </w:instrText>
            </w:r>
            <w:r w:rsidR="004E4C99">
              <w:rPr>
                <w:webHidden/>
              </w:rPr>
            </w:r>
            <w:r w:rsidR="004E4C99">
              <w:rPr>
                <w:webHidden/>
              </w:rPr>
              <w:fldChar w:fldCharType="separate"/>
            </w:r>
            <w:r w:rsidR="004E4C99">
              <w:rPr>
                <w:webHidden/>
              </w:rPr>
              <w:t>7</w:t>
            </w:r>
            <w:r w:rsidR="004E4C99">
              <w:rPr>
                <w:webHidden/>
              </w:rPr>
              <w:fldChar w:fldCharType="end"/>
            </w:r>
          </w:hyperlink>
        </w:p>
        <w:p w14:paraId="47FEA1D0" w14:textId="77777777" w:rsidR="004E4C99" w:rsidRDefault="00A345D6">
          <w:pPr>
            <w:pStyle w:val="TOC2"/>
            <w:rPr>
              <w:rFonts w:asciiTheme="minorHAnsi" w:eastAsiaTheme="minorEastAsia" w:hAnsiTheme="minorHAnsi" w:cstheme="minorBidi"/>
              <w:sz w:val="22"/>
              <w:szCs w:val="22"/>
              <w:lang w:bidi="he-IL"/>
            </w:rPr>
          </w:pPr>
          <w:hyperlink w:anchor="_Toc18539937" w:history="1">
            <w:r w:rsidR="004E4C99" w:rsidRPr="00F77EF1">
              <w:rPr>
                <w:rStyle w:val="Hyperlink"/>
              </w:rPr>
              <w:t>B. The Case Study: Retail Stores’ Return Policies</w:t>
            </w:r>
            <w:r w:rsidR="004E4C99">
              <w:rPr>
                <w:webHidden/>
              </w:rPr>
              <w:tab/>
            </w:r>
            <w:r w:rsidR="004E4C99">
              <w:rPr>
                <w:webHidden/>
              </w:rPr>
              <w:lastRenderedPageBreak/>
              <w:fldChar w:fldCharType="begin"/>
            </w:r>
            <w:r w:rsidR="004E4C99">
              <w:rPr>
                <w:webHidden/>
              </w:rPr>
              <w:instrText xml:space="preserve"> PAGEREF _Toc18539937 \h </w:instrText>
            </w:r>
            <w:r w:rsidR="004E4C99">
              <w:rPr>
                <w:webHidden/>
              </w:rPr>
            </w:r>
            <w:r w:rsidR="004E4C99">
              <w:rPr>
                <w:webHidden/>
              </w:rPr>
              <w:fldChar w:fldCharType="separate"/>
            </w:r>
            <w:r w:rsidR="004E4C99">
              <w:rPr>
                <w:webHidden/>
              </w:rPr>
              <w:t>10</w:t>
            </w:r>
            <w:r w:rsidR="004E4C99">
              <w:rPr>
                <w:webHidden/>
              </w:rPr>
              <w:fldChar w:fldCharType="end"/>
            </w:r>
          </w:hyperlink>
        </w:p>
        <w:p w14:paraId="0E928627" w14:textId="77777777" w:rsidR="004E4C99" w:rsidRDefault="00A345D6">
          <w:pPr>
            <w:pStyle w:val="TOC1"/>
            <w:rPr>
              <w:rFonts w:asciiTheme="minorHAnsi" w:eastAsiaTheme="minorEastAsia" w:hAnsiTheme="minorHAnsi" w:cstheme="minorBidi"/>
              <w:noProof/>
              <w:sz w:val="22"/>
              <w:szCs w:val="22"/>
              <w:lang w:bidi="he-IL"/>
            </w:rPr>
          </w:pPr>
          <w:hyperlink w:anchor="_Toc18539938" w:history="1">
            <w:r w:rsidR="004E4C99" w:rsidRPr="00F77EF1">
              <w:rPr>
                <w:rStyle w:val="Hyperlink"/>
                <w:noProof/>
              </w:rPr>
              <w:t>II. Sample &amp; Design</w:t>
            </w:r>
            <w:r w:rsidR="004E4C99">
              <w:rPr>
                <w:noProof/>
                <w:webHidden/>
              </w:rPr>
              <w:tab/>
            </w:r>
            <w:r w:rsidR="004E4C99">
              <w:rPr>
                <w:noProof/>
                <w:webHidden/>
              </w:rPr>
              <w:fldChar w:fldCharType="begin"/>
            </w:r>
            <w:r w:rsidR="004E4C99">
              <w:rPr>
                <w:noProof/>
                <w:webHidden/>
              </w:rPr>
              <w:instrText xml:space="preserve"> PAGEREF _Toc18539938 \h </w:instrText>
            </w:r>
            <w:r w:rsidR="004E4C99">
              <w:rPr>
                <w:noProof/>
                <w:webHidden/>
              </w:rPr>
            </w:r>
            <w:r w:rsidR="004E4C99">
              <w:rPr>
                <w:noProof/>
                <w:webHidden/>
              </w:rPr>
              <w:fldChar w:fldCharType="separate"/>
            </w:r>
            <w:r w:rsidR="004E4C99">
              <w:rPr>
                <w:noProof/>
                <w:webHidden/>
              </w:rPr>
              <w:t>12</w:t>
            </w:r>
            <w:r w:rsidR="004E4C99">
              <w:rPr>
                <w:noProof/>
                <w:webHidden/>
              </w:rPr>
              <w:fldChar w:fldCharType="end"/>
            </w:r>
          </w:hyperlink>
        </w:p>
        <w:p w14:paraId="263134A0" w14:textId="77777777" w:rsidR="004E4C99" w:rsidRDefault="00A345D6">
          <w:pPr>
            <w:pStyle w:val="TOC1"/>
            <w:rPr>
              <w:rFonts w:asciiTheme="minorHAnsi" w:eastAsiaTheme="minorEastAsia" w:hAnsiTheme="minorHAnsi" w:cstheme="minorBidi"/>
              <w:noProof/>
              <w:sz w:val="22"/>
              <w:szCs w:val="22"/>
              <w:lang w:bidi="he-IL"/>
            </w:rPr>
          </w:pPr>
          <w:hyperlink w:anchor="_Toc18539939" w:history="1">
            <w:r w:rsidR="004E4C99" w:rsidRPr="00F77EF1">
              <w:rPr>
                <w:rStyle w:val="Hyperlink"/>
                <w:noProof/>
              </w:rPr>
              <w:t>III. Results</w:t>
            </w:r>
            <w:r w:rsidR="004E4C99">
              <w:rPr>
                <w:noProof/>
                <w:webHidden/>
              </w:rPr>
              <w:tab/>
            </w:r>
            <w:r w:rsidR="004E4C99">
              <w:rPr>
                <w:noProof/>
                <w:webHidden/>
              </w:rPr>
              <w:fldChar w:fldCharType="begin"/>
            </w:r>
            <w:r w:rsidR="004E4C99">
              <w:rPr>
                <w:noProof/>
                <w:webHidden/>
              </w:rPr>
              <w:instrText xml:space="preserve"> PAGEREF _Toc18539939 \h </w:instrText>
            </w:r>
            <w:r w:rsidR="004E4C99">
              <w:rPr>
                <w:noProof/>
                <w:webHidden/>
              </w:rPr>
            </w:r>
            <w:r w:rsidR="004E4C99">
              <w:rPr>
                <w:noProof/>
                <w:webHidden/>
              </w:rPr>
              <w:fldChar w:fldCharType="separate"/>
            </w:r>
            <w:r w:rsidR="004E4C99">
              <w:rPr>
                <w:noProof/>
                <w:webHidden/>
              </w:rPr>
              <w:t>19</w:t>
            </w:r>
            <w:r w:rsidR="004E4C99">
              <w:rPr>
                <w:noProof/>
                <w:webHidden/>
              </w:rPr>
              <w:fldChar w:fldCharType="end"/>
            </w:r>
          </w:hyperlink>
        </w:p>
        <w:p w14:paraId="48BCA947"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0" w:history="1">
            <w:r w:rsidR="004E4C99" w:rsidRPr="00F77EF1">
              <w:rPr>
                <w:rStyle w:val="Hyperlink"/>
              </w:rPr>
              <w:t>1.</w:t>
            </w:r>
            <w:r w:rsidR="004E4C99">
              <w:rPr>
                <w:rFonts w:asciiTheme="minorHAnsi" w:eastAsiaTheme="minorEastAsia" w:hAnsiTheme="minorHAnsi" w:cstheme="minorBidi"/>
                <w:i w:val="0"/>
                <w:iCs w:val="0"/>
                <w:sz w:val="22"/>
                <w:szCs w:val="22"/>
                <w:lang w:bidi="he-IL"/>
              </w:rPr>
              <w:tab/>
            </w:r>
            <w:r w:rsidR="004E4C99" w:rsidRPr="00F77EF1">
              <w:rPr>
                <w:rStyle w:val="Hyperlink"/>
              </w:rPr>
              <w:t>The Prevalence of Pro-Consumer Gaps</w:t>
            </w:r>
            <w:r w:rsidR="004E4C99">
              <w:rPr>
                <w:webHidden/>
              </w:rPr>
              <w:tab/>
            </w:r>
            <w:r w:rsidR="004E4C99">
              <w:rPr>
                <w:webHidden/>
              </w:rPr>
              <w:fldChar w:fldCharType="begin"/>
            </w:r>
            <w:r w:rsidR="004E4C99">
              <w:rPr>
                <w:webHidden/>
              </w:rPr>
              <w:instrText xml:space="preserve"> PAGEREF _Toc18539940 \h </w:instrText>
            </w:r>
            <w:r w:rsidR="004E4C99">
              <w:rPr>
                <w:webHidden/>
              </w:rPr>
            </w:r>
            <w:r w:rsidR="004E4C99">
              <w:rPr>
                <w:webHidden/>
              </w:rPr>
              <w:fldChar w:fldCharType="separate"/>
            </w:r>
            <w:r w:rsidR="004E4C99">
              <w:rPr>
                <w:webHidden/>
              </w:rPr>
              <w:t>19</w:t>
            </w:r>
            <w:r w:rsidR="004E4C99">
              <w:rPr>
                <w:webHidden/>
              </w:rPr>
              <w:fldChar w:fldCharType="end"/>
            </w:r>
          </w:hyperlink>
        </w:p>
        <w:p w14:paraId="08B6E9C1"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1" w:history="1">
            <w:r w:rsidR="004E4C99" w:rsidRPr="00F77EF1">
              <w:rPr>
                <w:rStyle w:val="Hyperlink"/>
              </w:rPr>
              <w:t>2.</w:t>
            </w:r>
            <w:r w:rsidR="004E4C99">
              <w:rPr>
                <w:rFonts w:asciiTheme="minorHAnsi" w:eastAsiaTheme="minorEastAsia" w:hAnsiTheme="minorHAnsi" w:cstheme="minorBidi"/>
                <w:i w:val="0"/>
                <w:iCs w:val="0"/>
                <w:sz w:val="22"/>
                <w:szCs w:val="22"/>
                <w:lang w:bidi="he-IL"/>
              </w:rPr>
              <w:tab/>
            </w:r>
            <w:r w:rsidR="004E4C99" w:rsidRPr="00F77EF1">
              <w:rPr>
                <w:rStyle w:val="Hyperlink"/>
              </w:rPr>
              <w:t>The Effect of Complaining on the Gap</w:t>
            </w:r>
            <w:r w:rsidR="004E4C99">
              <w:rPr>
                <w:webHidden/>
              </w:rPr>
              <w:tab/>
            </w:r>
            <w:r w:rsidR="004E4C99">
              <w:rPr>
                <w:webHidden/>
              </w:rPr>
              <w:fldChar w:fldCharType="begin"/>
            </w:r>
            <w:r w:rsidR="004E4C99">
              <w:rPr>
                <w:webHidden/>
              </w:rPr>
              <w:instrText xml:space="preserve"> PAGEREF _Toc18539941 \h </w:instrText>
            </w:r>
            <w:r w:rsidR="004E4C99">
              <w:rPr>
                <w:webHidden/>
              </w:rPr>
            </w:r>
            <w:r w:rsidR="004E4C99">
              <w:rPr>
                <w:webHidden/>
              </w:rPr>
              <w:fldChar w:fldCharType="separate"/>
            </w:r>
            <w:r w:rsidR="004E4C99">
              <w:rPr>
                <w:webHidden/>
              </w:rPr>
              <w:t>23</w:t>
            </w:r>
            <w:r w:rsidR="004E4C99">
              <w:rPr>
                <w:webHidden/>
              </w:rPr>
              <w:fldChar w:fldCharType="end"/>
            </w:r>
          </w:hyperlink>
        </w:p>
        <w:p w14:paraId="6C32463C"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2" w:history="1">
            <w:r w:rsidR="004E4C99" w:rsidRPr="00F77EF1">
              <w:rPr>
                <w:rStyle w:val="Hyperlink"/>
              </w:rPr>
              <w:t>3.</w:t>
            </w:r>
            <w:r w:rsidR="004E4C99">
              <w:rPr>
                <w:rFonts w:asciiTheme="minorHAnsi" w:eastAsiaTheme="minorEastAsia" w:hAnsiTheme="minorHAnsi" w:cstheme="minorBidi"/>
                <w:i w:val="0"/>
                <w:iCs w:val="0"/>
                <w:sz w:val="22"/>
                <w:szCs w:val="22"/>
                <w:lang w:bidi="he-IL"/>
              </w:rPr>
              <w:tab/>
            </w:r>
            <w:r w:rsidR="004E4C99" w:rsidRPr="00F77EF1">
              <w:rPr>
                <w:rStyle w:val="Hyperlink"/>
              </w:rPr>
              <w:t>Store Characteristics and the Gap</w:t>
            </w:r>
            <w:r w:rsidR="004E4C99">
              <w:rPr>
                <w:webHidden/>
              </w:rPr>
              <w:tab/>
            </w:r>
            <w:r w:rsidR="004E4C99">
              <w:rPr>
                <w:webHidden/>
              </w:rPr>
              <w:fldChar w:fldCharType="begin"/>
            </w:r>
            <w:r w:rsidR="004E4C99">
              <w:rPr>
                <w:webHidden/>
              </w:rPr>
              <w:instrText xml:space="preserve"> PAGEREF _Toc18539942 \h </w:instrText>
            </w:r>
            <w:r w:rsidR="004E4C99">
              <w:rPr>
                <w:webHidden/>
              </w:rPr>
            </w:r>
            <w:r w:rsidR="004E4C99">
              <w:rPr>
                <w:webHidden/>
              </w:rPr>
              <w:fldChar w:fldCharType="separate"/>
            </w:r>
            <w:r w:rsidR="004E4C99">
              <w:rPr>
                <w:webHidden/>
              </w:rPr>
              <w:t>28</w:t>
            </w:r>
            <w:r w:rsidR="004E4C99">
              <w:rPr>
                <w:webHidden/>
              </w:rPr>
              <w:fldChar w:fldCharType="end"/>
            </w:r>
          </w:hyperlink>
        </w:p>
        <w:p w14:paraId="5FBD63AE" w14:textId="77777777" w:rsidR="004E4C99" w:rsidRDefault="00A345D6">
          <w:pPr>
            <w:pStyle w:val="TOC1"/>
            <w:rPr>
              <w:rFonts w:asciiTheme="minorHAnsi" w:eastAsiaTheme="minorEastAsia" w:hAnsiTheme="minorHAnsi" w:cstheme="minorBidi"/>
              <w:noProof/>
              <w:sz w:val="22"/>
              <w:szCs w:val="22"/>
              <w:lang w:bidi="he-IL"/>
            </w:rPr>
          </w:pPr>
          <w:hyperlink w:anchor="_Toc18539943" w:history="1">
            <w:r w:rsidR="004E4C99" w:rsidRPr="00F77EF1">
              <w:rPr>
                <w:rStyle w:val="Hyperlink"/>
                <w:noProof/>
              </w:rPr>
              <w:t>IV. Discussion &amp; Implications</w:t>
            </w:r>
            <w:r w:rsidR="004E4C99">
              <w:rPr>
                <w:noProof/>
                <w:webHidden/>
              </w:rPr>
              <w:tab/>
            </w:r>
            <w:r w:rsidR="004E4C99">
              <w:rPr>
                <w:noProof/>
                <w:webHidden/>
              </w:rPr>
              <w:fldChar w:fldCharType="begin"/>
            </w:r>
            <w:r w:rsidR="004E4C99">
              <w:rPr>
                <w:noProof/>
                <w:webHidden/>
              </w:rPr>
              <w:instrText xml:space="preserve"> PAGEREF _Toc18539943 \h </w:instrText>
            </w:r>
            <w:r w:rsidR="004E4C99">
              <w:rPr>
                <w:noProof/>
                <w:webHidden/>
              </w:rPr>
            </w:r>
            <w:r w:rsidR="004E4C99">
              <w:rPr>
                <w:noProof/>
                <w:webHidden/>
              </w:rPr>
              <w:fldChar w:fldCharType="separate"/>
            </w:r>
            <w:r w:rsidR="004E4C99">
              <w:rPr>
                <w:noProof/>
                <w:webHidden/>
              </w:rPr>
              <w:t>32</w:t>
            </w:r>
            <w:r w:rsidR="004E4C99">
              <w:rPr>
                <w:noProof/>
                <w:webHidden/>
              </w:rPr>
              <w:fldChar w:fldCharType="end"/>
            </w:r>
          </w:hyperlink>
        </w:p>
        <w:p w14:paraId="7FA5FC06" w14:textId="77777777" w:rsidR="004E4C99" w:rsidRDefault="00A345D6">
          <w:pPr>
            <w:pStyle w:val="TOC2"/>
            <w:rPr>
              <w:rFonts w:asciiTheme="minorHAnsi" w:eastAsiaTheme="minorEastAsia" w:hAnsiTheme="minorHAnsi" w:cstheme="minorBidi"/>
              <w:sz w:val="22"/>
              <w:szCs w:val="22"/>
              <w:lang w:bidi="he-IL"/>
            </w:rPr>
          </w:pPr>
          <w:hyperlink w:anchor="_Toc18539944" w:history="1">
            <w:r w:rsidR="004E4C99" w:rsidRPr="00F77EF1">
              <w:rPr>
                <w:rStyle w:val="Hyperlink"/>
              </w:rPr>
              <w:t>A. Pro-Consumer Gaps Persist, but only in a Minority of Stores</w:t>
            </w:r>
            <w:r w:rsidR="004E4C99">
              <w:rPr>
                <w:webHidden/>
              </w:rPr>
              <w:tab/>
            </w:r>
            <w:r w:rsidR="004E4C99">
              <w:rPr>
                <w:webHidden/>
              </w:rPr>
              <w:fldChar w:fldCharType="begin"/>
            </w:r>
            <w:r w:rsidR="004E4C99">
              <w:rPr>
                <w:webHidden/>
              </w:rPr>
              <w:instrText xml:space="preserve"> PAGEREF _Toc18539944 \h </w:instrText>
            </w:r>
            <w:r w:rsidR="004E4C99">
              <w:rPr>
                <w:webHidden/>
              </w:rPr>
            </w:r>
            <w:r w:rsidR="004E4C99">
              <w:rPr>
                <w:webHidden/>
              </w:rPr>
              <w:fldChar w:fldCharType="separate"/>
            </w:r>
            <w:r w:rsidR="004E4C99">
              <w:rPr>
                <w:webHidden/>
              </w:rPr>
              <w:t>32</w:t>
            </w:r>
            <w:r w:rsidR="004E4C99">
              <w:rPr>
                <w:webHidden/>
              </w:rPr>
              <w:fldChar w:fldCharType="end"/>
            </w:r>
          </w:hyperlink>
        </w:p>
        <w:p w14:paraId="1DC26F03" w14:textId="77777777" w:rsidR="004E4C99" w:rsidRDefault="00A345D6">
          <w:pPr>
            <w:pStyle w:val="TOC2"/>
            <w:rPr>
              <w:rFonts w:asciiTheme="minorHAnsi" w:eastAsiaTheme="minorEastAsia" w:hAnsiTheme="minorHAnsi" w:cstheme="minorBidi"/>
              <w:sz w:val="22"/>
              <w:szCs w:val="22"/>
              <w:lang w:bidi="he-IL"/>
            </w:rPr>
          </w:pPr>
          <w:hyperlink w:anchor="_Toc18539945" w:history="1">
            <w:r w:rsidR="004E4C99" w:rsidRPr="00F77EF1">
              <w:rPr>
                <w:rStyle w:val="Hyperlink"/>
              </w:rPr>
              <w:t>B. Gaps Might Generate Distortions</w:t>
            </w:r>
            <w:r w:rsidR="004E4C99">
              <w:rPr>
                <w:webHidden/>
              </w:rPr>
              <w:tab/>
            </w:r>
            <w:r w:rsidR="004E4C99">
              <w:rPr>
                <w:webHidden/>
              </w:rPr>
              <w:fldChar w:fldCharType="begin"/>
            </w:r>
            <w:r w:rsidR="004E4C99">
              <w:rPr>
                <w:webHidden/>
              </w:rPr>
              <w:instrText xml:space="preserve"> PAGEREF _Toc18539945 \h </w:instrText>
            </w:r>
            <w:r w:rsidR="004E4C99">
              <w:rPr>
                <w:webHidden/>
              </w:rPr>
            </w:r>
            <w:r w:rsidR="004E4C99">
              <w:rPr>
                <w:webHidden/>
              </w:rPr>
              <w:fldChar w:fldCharType="separate"/>
            </w:r>
            <w:r w:rsidR="004E4C99">
              <w:rPr>
                <w:webHidden/>
              </w:rPr>
              <w:t>37</w:t>
            </w:r>
            <w:r w:rsidR="004E4C99">
              <w:rPr>
                <w:webHidden/>
              </w:rPr>
              <w:fldChar w:fldCharType="end"/>
            </w:r>
          </w:hyperlink>
        </w:p>
        <w:p w14:paraId="47299118"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6" w:history="1">
            <w:r w:rsidR="004E4C99" w:rsidRPr="00F77EF1">
              <w:rPr>
                <w:rStyle w:val="Hyperlink"/>
              </w:rPr>
              <w:t>1.</w:t>
            </w:r>
            <w:r w:rsidR="004E4C99">
              <w:rPr>
                <w:rFonts w:asciiTheme="minorHAnsi" w:eastAsiaTheme="minorEastAsia" w:hAnsiTheme="minorHAnsi" w:cstheme="minorBidi"/>
                <w:i w:val="0"/>
                <w:iCs w:val="0"/>
                <w:sz w:val="22"/>
                <w:szCs w:val="22"/>
                <w:lang w:bidi="he-IL"/>
              </w:rPr>
              <w:tab/>
            </w:r>
            <w:r w:rsidR="004E4C99" w:rsidRPr="00F77EF1">
              <w:rPr>
                <w:rStyle w:val="Hyperlink"/>
              </w:rPr>
              <w:t>Ex Ante Distortions of Consumers’ Decisions</w:t>
            </w:r>
            <w:r w:rsidR="004E4C99">
              <w:rPr>
                <w:webHidden/>
              </w:rPr>
              <w:tab/>
            </w:r>
            <w:r w:rsidR="004E4C99">
              <w:rPr>
                <w:webHidden/>
              </w:rPr>
              <w:fldChar w:fldCharType="begin"/>
            </w:r>
            <w:r w:rsidR="004E4C99">
              <w:rPr>
                <w:webHidden/>
              </w:rPr>
              <w:instrText xml:space="preserve"> PAGEREF _Toc18539946 \h </w:instrText>
            </w:r>
            <w:r w:rsidR="004E4C99">
              <w:rPr>
                <w:webHidden/>
              </w:rPr>
            </w:r>
            <w:r w:rsidR="004E4C99">
              <w:rPr>
                <w:webHidden/>
              </w:rPr>
              <w:fldChar w:fldCharType="separate"/>
            </w:r>
            <w:r w:rsidR="004E4C99">
              <w:rPr>
                <w:webHidden/>
              </w:rPr>
              <w:t>38</w:t>
            </w:r>
            <w:r w:rsidR="004E4C99">
              <w:rPr>
                <w:webHidden/>
              </w:rPr>
              <w:fldChar w:fldCharType="end"/>
            </w:r>
          </w:hyperlink>
        </w:p>
        <w:p w14:paraId="20B018BE"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7" w:history="1">
            <w:r w:rsidR="004E4C99" w:rsidRPr="00F77EF1">
              <w:rPr>
                <w:rStyle w:val="Hyperlink"/>
              </w:rPr>
              <w:t>2.</w:t>
            </w:r>
            <w:r w:rsidR="004E4C99">
              <w:rPr>
                <w:rFonts w:asciiTheme="minorHAnsi" w:eastAsiaTheme="minorEastAsia" w:hAnsiTheme="minorHAnsi" w:cstheme="minorBidi"/>
                <w:i w:val="0"/>
                <w:iCs w:val="0"/>
                <w:sz w:val="22"/>
                <w:szCs w:val="22"/>
                <w:lang w:bidi="he-IL"/>
              </w:rPr>
              <w:tab/>
            </w:r>
            <w:r w:rsidR="004E4C99" w:rsidRPr="00F77EF1">
              <w:rPr>
                <w:rStyle w:val="Hyperlink"/>
              </w:rPr>
              <w:t>Ex Post Distortions of Consumers’ Decisions</w:t>
            </w:r>
            <w:r w:rsidR="004E4C99">
              <w:rPr>
                <w:webHidden/>
              </w:rPr>
              <w:tab/>
            </w:r>
            <w:r w:rsidR="004E4C99">
              <w:rPr>
                <w:webHidden/>
              </w:rPr>
              <w:fldChar w:fldCharType="begin"/>
            </w:r>
            <w:r w:rsidR="004E4C99">
              <w:rPr>
                <w:webHidden/>
              </w:rPr>
              <w:instrText xml:space="preserve"> PAGEREF _Toc18539947 \h </w:instrText>
            </w:r>
            <w:r w:rsidR="004E4C99">
              <w:rPr>
                <w:webHidden/>
              </w:rPr>
            </w:r>
            <w:r w:rsidR="004E4C99">
              <w:rPr>
                <w:webHidden/>
              </w:rPr>
              <w:fldChar w:fldCharType="separate"/>
            </w:r>
            <w:r w:rsidR="004E4C99">
              <w:rPr>
                <w:webHidden/>
              </w:rPr>
              <w:t>38</w:t>
            </w:r>
            <w:r w:rsidR="004E4C99">
              <w:rPr>
                <w:webHidden/>
              </w:rPr>
              <w:fldChar w:fldCharType="end"/>
            </w:r>
          </w:hyperlink>
        </w:p>
        <w:p w14:paraId="1EB1EE64"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8" w:history="1">
            <w:r w:rsidR="004E4C99" w:rsidRPr="00F77EF1">
              <w:rPr>
                <w:rStyle w:val="Hyperlink"/>
              </w:rPr>
              <w:t>3.</w:t>
            </w:r>
            <w:r w:rsidR="004E4C99">
              <w:rPr>
                <w:rFonts w:asciiTheme="minorHAnsi" w:eastAsiaTheme="minorEastAsia" w:hAnsiTheme="minorHAnsi" w:cstheme="minorBidi"/>
                <w:i w:val="0"/>
                <w:iCs w:val="0"/>
                <w:sz w:val="22"/>
                <w:szCs w:val="22"/>
                <w:lang w:bidi="he-IL"/>
              </w:rPr>
              <w:tab/>
            </w:r>
            <w:r w:rsidR="004E4C99" w:rsidRPr="00F77EF1">
              <w:rPr>
                <w:rStyle w:val="Hyperlink"/>
              </w:rPr>
              <w:t>Ex Ante Distortions of Sellers’ Decisions</w:t>
            </w:r>
            <w:r w:rsidR="004E4C99">
              <w:rPr>
                <w:webHidden/>
              </w:rPr>
              <w:tab/>
            </w:r>
            <w:r w:rsidR="004E4C99">
              <w:rPr>
                <w:webHidden/>
              </w:rPr>
              <w:fldChar w:fldCharType="begin"/>
            </w:r>
            <w:r w:rsidR="004E4C99">
              <w:rPr>
                <w:webHidden/>
              </w:rPr>
              <w:instrText xml:space="preserve"> PAGEREF _Toc18539948 \h </w:instrText>
            </w:r>
            <w:r w:rsidR="004E4C99">
              <w:rPr>
                <w:webHidden/>
              </w:rPr>
            </w:r>
            <w:r w:rsidR="004E4C99">
              <w:rPr>
                <w:webHidden/>
              </w:rPr>
              <w:fldChar w:fldCharType="separate"/>
            </w:r>
            <w:r w:rsidR="004E4C99">
              <w:rPr>
                <w:webHidden/>
              </w:rPr>
              <w:t>41</w:t>
            </w:r>
            <w:r w:rsidR="004E4C99">
              <w:rPr>
                <w:webHidden/>
              </w:rPr>
              <w:fldChar w:fldCharType="end"/>
            </w:r>
          </w:hyperlink>
        </w:p>
        <w:p w14:paraId="2B13431A" w14:textId="77777777" w:rsidR="004E4C99" w:rsidRDefault="00A345D6">
          <w:pPr>
            <w:pStyle w:val="TOC3"/>
            <w:rPr>
              <w:rFonts w:asciiTheme="minorHAnsi" w:eastAsiaTheme="minorEastAsia" w:hAnsiTheme="minorHAnsi" w:cstheme="minorBidi"/>
              <w:i w:val="0"/>
              <w:iCs w:val="0"/>
              <w:sz w:val="22"/>
              <w:szCs w:val="22"/>
              <w:lang w:bidi="he-IL"/>
            </w:rPr>
          </w:pPr>
          <w:hyperlink w:anchor="_Toc18539949" w:history="1">
            <w:r w:rsidR="004E4C99" w:rsidRPr="00F77EF1">
              <w:rPr>
                <w:rStyle w:val="Hyperlink"/>
              </w:rPr>
              <w:t>4.</w:t>
            </w:r>
            <w:r w:rsidR="004E4C99">
              <w:rPr>
                <w:rFonts w:asciiTheme="minorHAnsi" w:eastAsiaTheme="minorEastAsia" w:hAnsiTheme="minorHAnsi" w:cstheme="minorBidi"/>
                <w:i w:val="0"/>
                <w:iCs w:val="0"/>
                <w:sz w:val="22"/>
                <w:szCs w:val="22"/>
                <w:lang w:bidi="he-IL"/>
              </w:rPr>
              <w:tab/>
            </w:r>
            <w:r w:rsidR="004E4C99" w:rsidRPr="00F77EF1">
              <w:rPr>
                <w:rStyle w:val="Hyperlink"/>
              </w:rPr>
              <w:t>Distributional Concerns</w:t>
            </w:r>
            <w:r w:rsidR="004E4C99">
              <w:rPr>
                <w:webHidden/>
              </w:rPr>
              <w:tab/>
            </w:r>
            <w:r w:rsidR="004E4C99">
              <w:rPr>
                <w:webHidden/>
              </w:rPr>
              <w:fldChar w:fldCharType="begin"/>
            </w:r>
            <w:r w:rsidR="004E4C99">
              <w:rPr>
                <w:webHidden/>
              </w:rPr>
              <w:instrText xml:space="preserve"> PAGEREF _Toc18539949 \h </w:instrText>
            </w:r>
            <w:r w:rsidR="004E4C99">
              <w:rPr>
                <w:webHidden/>
              </w:rPr>
            </w:r>
            <w:r w:rsidR="004E4C99">
              <w:rPr>
                <w:webHidden/>
              </w:rPr>
              <w:fldChar w:fldCharType="separate"/>
            </w:r>
            <w:r w:rsidR="004E4C99">
              <w:rPr>
                <w:webHidden/>
              </w:rPr>
              <w:t>42</w:t>
            </w:r>
            <w:r w:rsidR="004E4C99">
              <w:rPr>
                <w:webHidden/>
              </w:rPr>
              <w:fldChar w:fldCharType="end"/>
            </w:r>
          </w:hyperlink>
        </w:p>
        <w:p w14:paraId="1D020EF2" w14:textId="77777777" w:rsidR="004E4C99" w:rsidRDefault="00A345D6">
          <w:pPr>
            <w:pStyle w:val="TOC1"/>
            <w:rPr>
              <w:rFonts w:asciiTheme="minorHAnsi" w:eastAsiaTheme="minorEastAsia" w:hAnsiTheme="minorHAnsi" w:cstheme="minorBidi"/>
              <w:noProof/>
              <w:sz w:val="22"/>
              <w:szCs w:val="22"/>
              <w:lang w:bidi="he-IL"/>
            </w:rPr>
          </w:pPr>
          <w:hyperlink w:anchor="_Toc18539950" w:history="1">
            <w:r w:rsidR="004E4C99" w:rsidRPr="00F77EF1">
              <w:rPr>
                <w:rStyle w:val="Hyperlink"/>
                <w:noProof/>
              </w:rPr>
              <w:t>Conclusion</w:t>
            </w:r>
            <w:r w:rsidR="004E4C99">
              <w:rPr>
                <w:noProof/>
                <w:webHidden/>
              </w:rPr>
              <w:tab/>
            </w:r>
            <w:r w:rsidR="004E4C99">
              <w:rPr>
                <w:noProof/>
                <w:webHidden/>
              </w:rPr>
              <w:fldChar w:fldCharType="begin"/>
            </w:r>
            <w:r w:rsidR="004E4C99">
              <w:rPr>
                <w:noProof/>
                <w:webHidden/>
              </w:rPr>
              <w:instrText xml:space="preserve"> PAGEREF _Toc18539950 \h </w:instrText>
            </w:r>
            <w:r w:rsidR="004E4C99">
              <w:rPr>
                <w:noProof/>
                <w:webHidden/>
              </w:rPr>
            </w:r>
            <w:r w:rsidR="004E4C99">
              <w:rPr>
                <w:noProof/>
                <w:webHidden/>
              </w:rPr>
              <w:fldChar w:fldCharType="separate"/>
            </w:r>
            <w:r w:rsidR="004E4C99">
              <w:rPr>
                <w:noProof/>
                <w:webHidden/>
              </w:rPr>
              <w:t>45</w:t>
            </w:r>
            <w:r w:rsidR="004E4C99">
              <w:rPr>
                <w:noProof/>
                <w:webHidden/>
              </w:rPr>
              <w:fldChar w:fldCharType="end"/>
            </w:r>
          </w:hyperlink>
        </w:p>
        <w:p w14:paraId="7238FC42" w14:textId="1C86CA61" w:rsidR="00F6370A" w:rsidRDefault="00F6370A">
          <w:r>
            <w:rPr>
              <w:b/>
              <w:bCs/>
              <w:noProof/>
            </w:rPr>
            <w:fldChar w:fldCharType="end"/>
          </w:r>
        </w:p>
      </w:sdtContent>
    </w:sdt>
    <w:p w14:paraId="7C058002" w14:textId="77777777" w:rsidR="00F6370A" w:rsidRPr="001865E6" w:rsidRDefault="00F6370A" w:rsidP="001865E6">
      <w:pPr>
        <w:ind w:firstLine="720"/>
        <w:rPr>
          <w:i/>
          <w:sz w:val="20"/>
          <w:szCs w:val="24"/>
        </w:rPr>
      </w:pPr>
    </w:p>
    <w:p w14:paraId="05BDCA8E" w14:textId="77777777" w:rsidR="001865E6" w:rsidRPr="007F0CD1" w:rsidRDefault="001865E6" w:rsidP="00E65B5F">
      <w:pPr>
        <w:ind w:firstLine="0"/>
      </w:pPr>
    </w:p>
    <w:p w14:paraId="2A66E232" w14:textId="5F2CDBB3" w:rsidR="00643492" w:rsidRDefault="00136481" w:rsidP="00136481">
      <w:pPr>
        <w:pStyle w:val="Heading1"/>
      </w:pPr>
      <w:bookmarkStart w:id="1" w:name="_Toc18539934"/>
      <w:r>
        <w:t>Introduction</w:t>
      </w:r>
      <w:bookmarkEnd w:id="1"/>
    </w:p>
    <w:p w14:paraId="5E2FEFE1" w14:textId="77777777" w:rsidR="00AC1EA1" w:rsidRDefault="00AC1EA1" w:rsidP="00136481"/>
    <w:p w14:paraId="55B07C63" w14:textId="5C1915D3" w:rsidR="00E65B5F" w:rsidRDefault="001C663E" w:rsidP="00BC2C61">
      <w:ins w:id="2" w:author="Susan" w:date="2019-09-05T22:26:00Z">
        <w:r>
          <w:t xml:space="preserve">Most of our </w:t>
        </w:r>
      </w:ins>
      <w:ins w:id="3" w:author="Susan" w:date="2019-09-05T23:52:00Z">
        <w:r w:rsidR="00BC2C61">
          <w:t>everyday</w:t>
        </w:r>
      </w:ins>
      <w:ins w:id="4" w:author="Susan" w:date="2019-09-05T22:28:00Z">
        <w:r>
          <w:t xml:space="preserve"> transactions are governed by s</w:t>
        </w:r>
      </w:ins>
      <w:del w:id="5" w:author="Susan" w:date="2019-09-05T22:28:00Z">
        <w:r w:rsidR="001165E1" w:rsidDel="001C663E">
          <w:delText>S</w:delText>
        </w:r>
      </w:del>
      <w:r w:rsidR="001165E1">
        <w:t>tandard form contracts</w:t>
      </w:r>
      <w:ins w:id="6" w:author="Susan" w:date="2019-09-05T22:28:00Z">
        <w:r>
          <w:t>.</w:t>
        </w:r>
      </w:ins>
      <w:del w:id="7" w:author="Susan" w:date="2019-09-05T22:28:00Z">
        <w:r w:rsidR="001165E1" w:rsidDel="001C663E">
          <w:delText xml:space="preserve"> govern our everyday transactions.</w:delText>
        </w:r>
      </w:del>
      <w:r w:rsidR="001165E1">
        <w:t xml:space="preserve"> </w:t>
      </w:r>
      <w:r w:rsidR="00926081">
        <w:t xml:space="preserve">Virtually every firm </w:t>
      </w:r>
      <w:ins w:id="8" w:author="Susan" w:date="2019-09-05T22:28:00Z">
        <w:r>
          <w:t>selling</w:t>
        </w:r>
      </w:ins>
      <w:del w:id="9" w:author="Susan" w:date="2019-09-05T22:28:00Z">
        <w:r w:rsidR="00926081" w:rsidDel="001C663E">
          <w:delText>that sells</w:delText>
        </w:r>
      </w:del>
      <w:r w:rsidR="00926081">
        <w:t xml:space="preserve"> goods or services includes in its sale contracts certain standard provisions that dictate whether and when a good can be returned, when and how to make payments, whether charges are </w:t>
      </w:r>
      <w:ins w:id="10" w:author="Susan" w:date="2019-09-05T22:25:00Z">
        <w:r>
          <w:t>imposed</w:t>
        </w:r>
      </w:ins>
      <w:del w:id="11" w:author="Susan" w:date="2019-09-05T22:25:00Z">
        <w:r w:rsidR="00926081" w:rsidDel="001C663E">
          <w:delText>made</w:delText>
        </w:r>
      </w:del>
      <w:r w:rsidR="00926081">
        <w:t xml:space="preserve"> for services beyond those originally contracted for, and various other </w:t>
      </w:r>
      <w:ins w:id="12" w:author="Susan" w:date="2019-09-05T22:29:00Z">
        <w:r>
          <w:t>elements</w:t>
        </w:r>
      </w:ins>
      <w:del w:id="13" w:author="Susan" w:date="2019-09-05T22:29:00Z">
        <w:r w:rsidR="00926081" w:rsidDel="001C663E">
          <w:delText>features</w:delText>
        </w:r>
      </w:del>
      <w:r w:rsidR="00926081">
        <w:t xml:space="preserve"> of the sales relationship. </w:t>
      </w:r>
      <w:r w:rsidR="00AC1EA1">
        <w:t>Although these clear and unconditional boilerplate provisions considerably facilitate transactions,</w:t>
      </w:r>
      <w:r w:rsidR="00D4713E">
        <w:rPr>
          <w:rStyle w:val="FootnoteReference"/>
        </w:rPr>
        <w:footnoteReference w:id="2"/>
      </w:r>
      <w:r w:rsidR="00AC1EA1">
        <w:t xml:space="preserve"> scholars and commentators </w:t>
      </w:r>
      <w:r w:rsidR="00926081">
        <w:t xml:space="preserve">have </w:t>
      </w:r>
      <w:r w:rsidR="00AC1EA1">
        <w:t>express</w:t>
      </w:r>
      <w:r w:rsidR="00926081">
        <w:t>ed</w:t>
      </w:r>
      <w:r w:rsidR="00AC1EA1">
        <w:t xml:space="preserve"> concern that </w:t>
      </w:r>
      <w:r w:rsidR="001165E1">
        <w:t>such</w:t>
      </w:r>
      <w:r w:rsidR="00AC1EA1">
        <w:t xml:space="preserve"> terms might be </w:t>
      </w:r>
      <w:r w:rsidR="00926081">
        <w:t xml:space="preserve">excessively </w:t>
      </w:r>
      <w:r w:rsidR="002F7E39">
        <w:t>rigid</w:t>
      </w:r>
      <w:r w:rsidR="00E65B5F">
        <w:t xml:space="preserve"> and even harmful to consumers</w:t>
      </w:r>
      <w:r w:rsidR="00AC1EA1">
        <w:t>.</w:t>
      </w:r>
      <w:bookmarkStart w:id="14" w:name="_Ref428735849"/>
      <w:r w:rsidR="00D4713E">
        <w:rPr>
          <w:rStyle w:val="FootnoteReference"/>
        </w:rPr>
        <w:footnoteReference w:id="3"/>
      </w:r>
      <w:bookmarkEnd w:id="14"/>
      <w:r w:rsidR="00AC1EA1">
        <w:t xml:space="preserve"> </w:t>
      </w:r>
    </w:p>
    <w:p w14:paraId="3BB18BE5" w14:textId="77777777" w:rsidR="00B155B8" w:rsidRDefault="00B155B8" w:rsidP="00E65B5F"/>
    <w:p w14:paraId="7439F138" w14:textId="61B3CAE4" w:rsidR="00546640" w:rsidRPr="00D4713E" w:rsidRDefault="00AC1EA1">
      <w:r>
        <w:t xml:space="preserve">In response to these concerns, several scholars have suggested that, at least in competitive markets, </w:t>
      </w:r>
      <w:bookmarkStart w:id="15" w:name="_Ref18412677"/>
      <w:r w:rsidR="002F7E39">
        <w:t>sellers</w:t>
      </w:r>
      <w:ins w:id="16" w:author="Susan" w:date="2019-09-05T22:30:00Z">
        <w:r w:rsidR="001C663E">
          <w:t>’ implementation of ostensibly</w:t>
        </w:r>
      </w:ins>
      <w:del w:id="17" w:author="Susan" w:date="2019-09-05T22:30:00Z">
        <w:r w:rsidR="002F7E39" w:rsidDel="001C663E">
          <w:delText xml:space="preserve"> may implement seemingly</w:delText>
        </w:r>
      </w:del>
      <w:r w:rsidR="002F7E39">
        <w:t xml:space="preserve"> rigid and unconditional terms </w:t>
      </w:r>
      <w:bookmarkEnd w:id="15"/>
      <w:ins w:id="18" w:author="Susan" w:date="2019-09-05T22:30:00Z">
        <w:r w:rsidR="001C663E">
          <w:t>may be more lenient and flexible</w:t>
        </w:r>
      </w:ins>
      <w:ins w:id="19" w:author="Susan" w:date="2019-09-05T23:54:00Z">
        <w:r w:rsidR="00BC2C61">
          <w:t xml:space="preserve"> in practice</w:t>
        </w:r>
      </w:ins>
      <w:ins w:id="20" w:author="Susan" w:date="2019-09-05T22:30:00Z">
        <w:r w:rsidR="001C663E">
          <w:t>.</w:t>
        </w:r>
      </w:ins>
      <w:del w:id="21" w:author="Susan" w:date="2019-09-05T22:31:00Z">
        <w:r w:rsidR="00005A37" w:rsidDel="001C663E">
          <w:delText>more leniently and flexibly</w:delText>
        </w:r>
        <w:r w:rsidR="00D4713E" w:rsidDel="001C663E">
          <w:delText>.</w:delText>
        </w:r>
      </w:del>
      <w:r w:rsidR="00546640">
        <w:t xml:space="preserve"> </w:t>
      </w:r>
      <w:r w:rsidR="00733E1B">
        <w:t xml:space="preserve">As </w:t>
      </w:r>
      <w:r w:rsidR="0006357C">
        <w:t xml:space="preserve">these </w:t>
      </w:r>
      <w:r w:rsidR="00733E1B">
        <w:t>scholars argue</w:t>
      </w:r>
      <w:r w:rsidR="00546640">
        <w:t>,</w:t>
      </w:r>
      <w:r w:rsidR="00546640">
        <w:rPr>
          <w:rFonts w:ascii="Times New Roman" w:eastAsiaTheme="minorHAnsi" w:hAnsi="Times New Roman"/>
          <w:szCs w:val="24"/>
          <w:lang w:bidi="he-IL"/>
        </w:rPr>
        <w:t xml:space="preserve"> </w:t>
      </w:r>
      <w:del w:id="22" w:author="Susan" w:date="2019-09-05T22:32:00Z">
        <w:r w:rsidR="00546640" w:rsidDel="001C663E">
          <w:delText xml:space="preserve">reputational considerations will constrain sellers from enforcing </w:delText>
        </w:r>
        <w:r w:rsidR="00722B92" w:rsidDel="001C663E">
          <w:delText xml:space="preserve">their </w:delText>
        </w:r>
        <w:r w:rsidR="002F7E39" w:rsidDel="001C663E">
          <w:delText>contracts</w:delText>
        </w:r>
        <w:r w:rsidR="00546640" w:rsidDel="001C663E">
          <w:delText xml:space="preserve"> to the letter, </w:delText>
        </w:r>
      </w:del>
      <w:r w:rsidR="00546640">
        <w:t xml:space="preserve">while the existence of </w:t>
      </w:r>
      <w:r w:rsidR="002F7E39">
        <w:t>clear, seemingly rigid</w:t>
      </w:r>
      <w:r w:rsidR="00546640">
        <w:t xml:space="preserve"> terms </w:t>
      </w:r>
      <w:r w:rsidR="00005A37">
        <w:t xml:space="preserve">on paper </w:t>
      </w:r>
      <w:ins w:id="23" w:author="Susan" w:date="2019-09-05T23:54:00Z">
        <w:r w:rsidR="00BC2C61">
          <w:t>enable</w:t>
        </w:r>
      </w:ins>
      <w:del w:id="24" w:author="Susan" w:date="2019-09-05T23:54:00Z">
        <w:r w:rsidR="00546640" w:rsidDel="00BC2C61">
          <w:delText>will allow</w:delText>
        </w:r>
      </w:del>
      <w:r w:rsidR="00546640">
        <w:t xml:space="preserve"> </w:t>
      </w:r>
      <w:ins w:id="25" w:author="Susan" w:date="2019-09-05T22:32:00Z">
        <w:r w:rsidR="001C663E">
          <w:t>sellers</w:t>
        </w:r>
      </w:ins>
      <w:del w:id="26" w:author="Susan" w:date="2019-09-05T22:32:00Z">
        <w:r w:rsidR="00546640" w:rsidDel="001C663E">
          <w:delText>them</w:delText>
        </w:r>
      </w:del>
      <w:r w:rsidR="00546640">
        <w:t xml:space="preserve"> to fend off b</w:t>
      </w:r>
      <w:r w:rsidR="00D4713E">
        <w:t>uyers</w:t>
      </w:r>
      <w:r w:rsidR="00546640">
        <w:t xml:space="preserve"> </w:t>
      </w:r>
      <w:ins w:id="27" w:author="Susan" w:date="2019-09-05T22:32:00Z">
        <w:r w:rsidR="001C663E">
          <w:t>likely to</w:t>
        </w:r>
      </w:ins>
      <w:del w:id="28" w:author="Susan" w:date="2019-09-05T22:32:00Z">
        <w:r w:rsidR="00546640" w:rsidDel="001C663E">
          <w:delText>who wou</w:delText>
        </w:r>
      </w:del>
      <w:del w:id="29" w:author="Susan" w:date="2019-09-05T22:33:00Z">
        <w:r w:rsidR="00546640" w:rsidDel="001C663E">
          <w:delText>ld</w:delText>
        </w:r>
      </w:del>
      <w:r w:rsidR="00546640">
        <w:t xml:space="preserve"> take advantage of a more </w:t>
      </w:r>
      <w:r>
        <w:t>lenient</w:t>
      </w:r>
      <w:r w:rsidR="00546640">
        <w:t xml:space="preserve"> </w:t>
      </w:r>
      <w:r w:rsidR="002F7E39">
        <w:t xml:space="preserve">or flexible </w:t>
      </w:r>
      <w:r w:rsidR="00733E1B">
        <w:t xml:space="preserve">written </w:t>
      </w:r>
      <w:r w:rsidR="00546640">
        <w:t>policy</w:t>
      </w:r>
      <w:r w:rsidR="00D4713E">
        <w:t xml:space="preserve"> </w:t>
      </w:r>
      <w:r w:rsidR="00546640">
        <w:t>to extract benefits that the seller did not intend to offer</w:t>
      </w:r>
      <w:ins w:id="30" w:author="Susan" w:date="2019-09-05T22:32:00Z">
        <w:r w:rsidR="001C663E">
          <w:t>,</w:t>
        </w:r>
        <w:r w:rsidR="001C663E" w:rsidRPr="001C663E">
          <w:t xml:space="preserve"> </w:t>
        </w:r>
        <w:r w:rsidR="001C663E">
          <w:t>reputational considerations will constrain sellers from enforcing their contracts to the letter</w:t>
        </w:r>
      </w:ins>
      <w:ins w:id="31" w:author="Susan" w:date="2019-09-05T22:33:00Z">
        <w:r w:rsidR="001C663E">
          <w:t xml:space="preserve"> vis-à-vis </w:t>
        </w:r>
      </w:ins>
      <w:ins w:id="32" w:author="Susan" w:date="2019-09-05T22:35:00Z">
        <w:r w:rsidR="00701A04">
          <w:t>reasonable</w:t>
        </w:r>
      </w:ins>
      <w:ins w:id="33" w:author="Susan" w:date="2019-09-05T22:33:00Z">
        <w:r w:rsidR="001C663E">
          <w:t xml:space="preserve"> customers</w:t>
        </w:r>
      </w:ins>
      <w:r w:rsidR="00546640">
        <w:t>.</w:t>
      </w:r>
      <w:bookmarkStart w:id="34" w:name="_Ref18535838"/>
      <w:r w:rsidR="00546640">
        <w:rPr>
          <w:rStyle w:val="FootnoteReference"/>
        </w:rPr>
        <w:footnoteReference w:id="4"/>
      </w:r>
      <w:bookmarkEnd w:id="34"/>
      <w:r w:rsidR="00546640">
        <w:t xml:space="preserve"> I refer to this a</w:t>
      </w:r>
      <w:ins w:id="35" w:author="Susan" w:date="2019-09-05T22:36:00Z">
        <w:r w:rsidR="00701A04">
          <w:t>pproach</w:t>
        </w:r>
      </w:ins>
      <w:del w:id="36" w:author="Susan" w:date="2019-09-05T22:36:00Z">
        <w:r w:rsidR="00546640" w:rsidDel="00701A04">
          <w:delText>ccount</w:delText>
        </w:r>
      </w:del>
      <w:r w:rsidR="00546640">
        <w:t xml:space="preserve"> as the Gap Theory</w:t>
      </w:r>
      <w:ins w:id="37" w:author="Susan" w:date="2019-09-05T22:36:00Z">
        <w:r w:rsidR="00701A04">
          <w:t>,</w:t>
        </w:r>
      </w:ins>
      <w:r w:rsidR="00546640">
        <w:t xml:space="preserve"> </w:t>
      </w:r>
      <w:r w:rsidR="00546640">
        <w:lastRenderedPageBreak/>
        <w:t xml:space="preserve">because it </w:t>
      </w:r>
      <w:r w:rsidR="00513C14">
        <w:t>suggests</w:t>
      </w:r>
      <w:r w:rsidR="00546640">
        <w:t xml:space="preserve"> that sellers </w:t>
      </w:r>
      <w:ins w:id="38" w:author="Susan" w:date="2019-09-05T22:36:00Z">
        <w:r w:rsidR="00701A04">
          <w:t>sensitive to</w:t>
        </w:r>
      </w:ins>
      <w:del w:id="39" w:author="Susan" w:date="2019-09-05T22:36:00Z">
        <w:r w:rsidR="00546640" w:rsidDel="00701A04">
          <w:delText>considering</w:delText>
        </w:r>
      </w:del>
      <w:r w:rsidR="00546640">
        <w:t xml:space="preserve"> reputational consequences will depart from their formal policies in favor of consumers</w:t>
      </w:r>
      <w:r w:rsidR="00D4713E">
        <w:t>, thereby generating</w:t>
      </w:r>
      <w:r w:rsidR="00546640">
        <w:t xml:space="preserve"> </w:t>
      </w:r>
      <w:r w:rsidR="00D4713E">
        <w:t>a gap between the “paper deal”—the written contract governing sellers’ relations with buyers, and the “real deal”—the contract in action</w:t>
      </w:r>
      <w:r w:rsidR="00546640">
        <w:t>.</w:t>
      </w:r>
      <w:r w:rsidR="00546640">
        <w:rPr>
          <w:rStyle w:val="FootnoteReference"/>
        </w:rPr>
        <w:footnoteReference w:id="5"/>
      </w:r>
      <w:r w:rsidR="00546640">
        <w:t xml:space="preserve"> </w:t>
      </w:r>
    </w:p>
    <w:p w14:paraId="30D71E07" w14:textId="77777777" w:rsidR="00BC5DF9" w:rsidRDefault="00BC5DF9" w:rsidP="00BC5DF9">
      <w:pPr>
        <w:ind w:firstLine="720"/>
      </w:pPr>
    </w:p>
    <w:p w14:paraId="47A7B946" w14:textId="35676778" w:rsidR="00BC5DF9" w:rsidRDefault="00BC5DF9">
      <w:pPr>
        <w:widowControl/>
      </w:pPr>
      <w:r>
        <w:t xml:space="preserve">While the Gap Theory has attracted significant scholarly attention, academics </w:t>
      </w:r>
      <w:r w:rsidR="00751379">
        <w:t xml:space="preserve">continue to </w:t>
      </w:r>
      <w:r>
        <w:t xml:space="preserve">debate </w:t>
      </w:r>
      <w:r w:rsidR="000F73F1">
        <w:t xml:space="preserve">both </w:t>
      </w:r>
      <w:r>
        <w:t xml:space="preserve">its </w:t>
      </w:r>
      <w:r w:rsidR="00CE48DB">
        <w:t xml:space="preserve">descriptive </w:t>
      </w:r>
      <w:r>
        <w:t xml:space="preserve">accuracy and </w:t>
      </w:r>
      <w:r w:rsidR="00CE48DB">
        <w:t>normative consequences</w:t>
      </w:r>
      <w:r>
        <w:t xml:space="preserve">. </w:t>
      </w:r>
      <w:r w:rsidR="004A317A">
        <w:t>In particular</w:t>
      </w:r>
      <w:r>
        <w:t xml:space="preserve">, some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40" w:name="_Ref428734604"/>
      <w:r>
        <w:rPr>
          <w:rStyle w:val="FootnoteReference"/>
        </w:rPr>
        <w:footnoteReference w:id="6"/>
      </w:r>
      <w:bookmarkEnd w:id="40"/>
      <w:r>
        <w:t xml:space="preserve"> </w:t>
      </w:r>
    </w:p>
    <w:p w14:paraId="087B9E41" w14:textId="77777777" w:rsidR="00BC5DF9" w:rsidRDefault="00BC5DF9" w:rsidP="00BC5DF9">
      <w:pPr>
        <w:widowControl/>
        <w:ind w:firstLine="720"/>
      </w:pPr>
    </w:p>
    <w:p w14:paraId="484096CA" w14:textId="3FFA7FF1" w:rsidR="00334047" w:rsidRDefault="00BC5DF9" w:rsidP="00A74DDB">
      <w:r w:rsidRPr="00E30314">
        <w:t xml:space="preserve">This debate has </w:t>
      </w:r>
      <w:r>
        <w:t xml:space="preserve">significant policy implications. </w:t>
      </w:r>
      <w:r w:rsidR="00334CEE">
        <w:t xml:space="preserve">If reputational constraints </w:t>
      </w:r>
      <w:ins w:id="41" w:author="Susan" w:date="2019-09-05T22:45:00Z">
        <w:r w:rsidR="00A74DDB">
          <w:t xml:space="preserve">are sufficient to </w:t>
        </w:r>
      </w:ins>
      <w:r w:rsidR="00334CEE">
        <w:t xml:space="preserve">discipline sellers and prevent them from </w:t>
      </w:r>
      <w:r w:rsidR="00DE19DA">
        <w:t xml:space="preserve">enforcing their contracts to the </w:t>
      </w:r>
      <w:ins w:id="42" w:author="Susan" w:date="2019-09-05T22:51:00Z">
        <w:r w:rsidR="00A74DDB">
          <w:t>letter</w:t>
        </w:r>
      </w:ins>
      <w:del w:id="43" w:author="Susan" w:date="2019-09-05T22:51:00Z">
        <w:r w:rsidR="00DE19DA" w:rsidDel="00A74DDB">
          <w:delText>hilt</w:delText>
        </w:r>
      </w:del>
      <w:ins w:id="44" w:author="Susan" w:date="2019-09-05T22:46:00Z">
        <w:r w:rsidR="00A74DDB">
          <w:t xml:space="preserve"> when such enforcement is </w:t>
        </w:r>
      </w:ins>
      <w:ins w:id="45" w:author="Susan" w:date="2019-09-05T22:49:00Z">
        <w:r w:rsidR="00A74DDB">
          <w:t>burdensome</w:t>
        </w:r>
      </w:ins>
      <w:ins w:id="46" w:author="Susan" w:date="2019-09-05T22:46:00Z">
        <w:r w:rsidR="00A74DDB">
          <w:t xml:space="preserve"> </w:t>
        </w:r>
      </w:ins>
      <w:ins w:id="47" w:author="Susan" w:date="2019-09-05T22:48:00Z">
        <w:r w:rsidR="00A74DDB">
          <w:t>for</w:t>
        </w:r>
      </w:ins>
      <w:ins w:id="48" w:author="Susan" w:date="2019-09-05T22:46:00Z">
        <w:r w:rsidR="00A74DDB">
          <w:t xml:space="preserve"> consumers</w:t>
        </w:r>
      </w:ins>
      <w:r w:rsidR="00334CEE">
        <w:t xml:space="preserve">, policymakers and courts </w:t>
      </w:r>
      <w:r w:rsidR="00DE19DA">
        <w:t>may</w:t>
      </w:r>
      <w:r w:rsidR="00334CEE">
        <w:t xml:space="preserve"> not need to intervene</w:t>
      </w:r>
      <w:r w:rsidR="00DE19DA">
        <w:t xml:space="preserve"> in the contents of these agreements</w:t>
      </w:r>
      <w:r w:rsidR="00334CEE">
        <w:t xml:space="preserve"> </w:t>
      </w:r>
      <w:ins w:id="49" w:author="Susan" w:date="2019-09-05T23:55:00Z">
        <w:r w:rsidR="00BC2C61">
          <w:t xml:space="preserve">in order </w:t>
        </w:r>
      </w:ins>
      <w:r w:rsidR="00334CEE">
        <w:t>to protect consumers.</w:t>
      </w:r>
      <w:r w:rsidRPr="00E30314">
        <w:rPr>
          <w:rStyle w:val="FootnoteReference"/>
        </w:rPr>
        <w:footnoteReference w:id="7"/>
      </w:r>
      <w:r w:rsidRPr="00E30314">
        <w:t xml:space="preserve"> </w:t>
      </w:r>
      <w:ins w:id="50" w:author="Susan" w:date="2019-09-05T22:47:00Z">
        <w:r w:rsidR="00A74DDB">
          <w:t xml:space="preserve">However, if such reputational constraints </w:t>
        </w:r>
      </w:ins>
      <w:ins w:id="51" w:author="Susan" w:date="2019-09-05T22:54:00Z">
        <w:r w:rsidR="00A74DDB">
          <w:t>do not effectively regulate</w:t>
        </w:r>
      </w:ins>
      <w:ins w:id="52" w:author="Susan" w:date="2019-09-05T22:47:00Z">
        <w:r w:rsidR="00A74DDB">
          <w:t xml:space="preserve"> sellers’ </w:t>
        </w:r>
      </w:ins>
      <w:ins w:id="53" w:author="Susan" w:date="2019-09-05T22:54:00Z">
        <w:r w:rsidR="00A74DDB">
          <w:t>decisions</w:t>
        </w:r>
      </w:ins>
      <w:ins w:id="54" w:author="Susan" w:date="2019-09-05T22:47:00Z">
        <w:r w:rsidR="00A74DDB">
          <w:t>,</w:t>
        </w:r>
      </w:ins>
      <w:del w:id="55" w:author="Susan" w:date="2019-09-05T22:47:00Z">
        <w:r w:rsidR="00334CEE" w:rsidDel="00A74DDB">
          <w:delText>If they do not, however,</w:delText>
        </w:r>
      </w:del>
      <w:r w:rsidR="00334CEE">
        <w:t xml:space="preserve"> then regulators and courts may need to </w:t>
      </w:r>
      <w:r w:rsidR="00334CEE">
        <w:lastRenderedPageBreak/>
        <w:t xml:space="preserve">intervene </w:t>
      </w:r>
      <w:r w:rsidR="00DE19DA">
        <w:t>in consumer transactions to ensure th</w:t>
      </w:r>
      <w:ins w:id="56" w:author="Susan" w:date="2019-09-05T22:54:00Z">
        <w:r w:rsidR="00A74DDB">
          <w:t>at</w:t>
        </w:r>
      </w:ins>
      <w:del w:id="57" w:author="Susan" w:date="2019-09-05T22:54:00Z">
        <w:r w:rsidR="00DE19DA" w:rsidDel="00A74DDB">
          <w:delText>e</w:delText>
        </w:r>
      </w:del>
      <w:r w:rsidR="00DE19DA">
        <w:t xml:space="preserve"> consumers are adequately protected</w:t>
      </w:r>
      <w:r>
        <w:t>.</w:t>
      </w:r>
      <w:bookmarkStart w:id="58" w:name="_Ref429219518"/>
      <w:r>
        <w:rPr>
          <w:rStyle w:val="FootnoteReference"/>
        </w:rPr>
        <w:footnoteReference w:id="8"/>
      </w:r>
      <w:bookmarkEnd w:id="58"/>
      <w:r w:rsidR="004A317A">
        <w:t xml:space="preserve"> </w:t>
      </w:r>
      <w:ins w:id="59" w:author="Susan" w:date="2019-09-05T22:55:00Z">
        <w:r w:rsidR="00A74DDB">
          <w:t>D</w:t>
        </w:r>
      </w:ins>
      <w:del w:id="60" w:author="Susan" w:date="2019-09-05T22:55:00Z">
        <w:r w:rsidR="00334CEE" w:rsidDel="00A74DDB">
          <w:delText>Yet, d</w:delText>
        </w:r>
      </w:del>
      <w:r w:rsidR="00334CEE">
        <w:t xml:space="preserve">espite the significant practical implications of the debate, there has </w:t>
      </w:r>
      <w:ins w:id="61" w:author="Susan" w:date="2019-09-05T22:55:00Z">
        <w:r w:rsidR="006256AA">
          <w:t xml:space="preserve">nonetheless </w:t>
        </w:r>
      </w:ins>
      <w:r w:rsidR="00334CEE">
        <w:t>been little systematic empirical research on how sellers actually enforce rigid contractual provisions.</w:t>
      </w:r>
      <w:r>
        <w:rPr>
          <w:rStyle w:val="FootnoteReference"/>
        </w:rPr>
        <w:footnoteReference w:id="9"/>
      </w:r>
      <w:r w:rsidRPr="00E30314">
        <w:t xml:space="preserve"> </w:t>
      </w:r>
    </w:p>
    <w:p w14:paraId="24E76BFD" w14:textId="77777777" w:rsidR="00334047" w:rsidRDefault="00334047" w:rsidP="004A317A">
      <w:pPr>
        <w:ind w:firstLine="720"/>
      </w:pPr>
    </w:p>
    <w:p w14:paraId="7C7449BA" w14:textId="7BF0DD98" w:rsidR="005332AE" w:rsidRDefault="00334CEE" w:rsidP="006256AA">
      <w:r w:rsidRPr="00E30314">
        <w:t xml:space="preserve">This Article represents </w:t>
      </w:r>
      <w:r>
        <w:t>an important step towards mitigating this deficiency. It reports the results</w:t>
      </w:r>
      <w:r w:rsidR="00F979D8">
        <w:t xml:space="preserve"> </w:t>
      </w:r>
      <w:r>
        <w:t xml:space="preserve">of a large-scale </w:t>
      </w:r>
      <w:r>
        <w:rPr>
          <w:rFonts w:ascii="Times New Roman" w:hAnsi="Times New Roman"/>
          <w:color w:val="000000"/>
        </w:rPr>
        <w:t xml:space="preserve">field experiment in which auditors attempted </w:t>
      </w:r>
      <w:r>
        <w:t>to return clothing items without receipts</w:t>
      </w:r>
      <w:ins w:id="62" w:author="Susan" w:date="2019-09-05T22:55:00Z">
        <w:r w:rsidR="006256AA">
          <w:t>,</w:t>
        </w:r>
      </w:ins>
      <w:del w:id="63" w:author="Susan" w:date="2019-09-05T22:55:00Z">
        <w:r w:rsidR="00DE19DA" w:rsidDel="006256AA">
          <w:delText xml:space="preserve"> </w:delText>
        </w:r>
      </w:del>
      <w:del w:id="64" w:author="Susan" w:date="2019-09-05T22:56:00Z">
        <w:r w:rsidR="00DE19DA" w:rsidDel="006256AA">
          <w:delText>(</w:delText>
        </w:r>
      </w:del>
      <w:ins w:id="65" w:author="Susan" w:date="2019-09-05T22:56:00Z">
        <w:r w:rsidR="006256AA">
          <w:t xml:space="preserve"> </w:t>
        </w:r>
      </w:ins>
      <w:r w:rsidR="00DE19DA">
        <w:t xml:space="preserve">despite </w:t>
      </w:r>
      <w:del w:id="66" w:author="Susan" w:date="2019-09-05T22:56:00Z">
        <w:r w:rsidR="00DE19DA" w:rsidDel="006256AA">
          <w:delText xml:space="preserve">a </w:delText>
        </w:r>
      </w:del>
      <w:r w:rsidR="00DE19DA">
        <w:t>clear receipt requirement</w:t>
      </w:r>
      <w:ins w:id="67" w:author="Susan" w:date="2019-09-05T22:56:00Z">
        <w:r w:rsidR="006256AA">
          <w:t>s in the sales terms,</w:t>
        </w:r>
      </w:ins>
      <w:del w:id="68" w:author="Susan" w:date="2019-09-05T22:56:00Z">
        <w:r w:rsidR="00DE19DA" w:rsidDel="006256AA">
          <w:delText>)</w:delText>
        </w:r>
      </w:del>
      <w:r>
        <w:t xml:space="preserve"> to over one</w:t>
      </w:r>
      <w:del w:id="69" w:author="Susan" w:date="2019-09-05T22:56:00Z">
        <w:r w:rsidDel="006256AA">
          <w:delText>-</w:delText>
        </w:r>
      </w:del>
      <w:ins w:id="70" w:author="Susan" w:date="2019-09-05T22:56:00Z">
        <w:r w:rsidR="006256AA">
          <w:t xml:space="preserve"> </w:t>
        </w:r>
      </w:ins>
      <w:r>
        <w:t xml:space="preserve">hundred retail stores in Chicago. The study explored whether and when sellers depart from </w:t>
      </w:r>
      <w:r w:rsidR="00864D65">
        <w:t>this</w:t>
      </w:r>
      <w:r w:rsidR="00DE19DA">
        <w:t xml:space="preserve"> formal </w:t>
      </w:r>
      <w:r w:rsidR="00864D65">
        <w:t xml:space="preserve">policy </w:t>
      </w:r>
      <w:r w:rsidR="00DE19DA">
        <w:t>requirement</w:t>
      </w:r>
      <w:r>
        <w:t xml:space="preserve"> in favor of consumers</w:t>
      </w:r>
      <w:r w:rsidR="00DE19DA">
        <w:t xml:space="preserve">. </w:t>
      </w:r>
    </w:p>
    <w:p w14:paraId="4BF6BACD" w14:textId="77777777" w:rsidR="00144213" w:rsidRPr="00E30314" w:rsidRDefault="00144213" w:rsidP="00D81301">
      <w:pPr>
        <w:ind w:firstLine="0"/>
      </w:pPr>
    </w:p>
    <w:p w14:paraId="040F3707" w14:textId="730D6755" w:rsidR="005B397F" w:rsidRDefault="00864D65">
      <w:r>
        <w:t>W</w:t>
      </w:r>
      <w:r w:rsidR="00530CE3">
        <w:t>hile</w:t>
      </w:r>
      <w:r w:rsidR="00B719DC">
        <w:t xml:space="preserve"> </w:t>
      </w:r>
      <w:r w:rsidR="00DE7113">
        <w:t>a</w:t>
      </w:r>
      <w:r w:rsidR="002173E8">
        <w:t xml:space="preserve"> significant minority of </w:t>
      </w:r>
      <w:r w:rsidR="00DE7113">
        <w:t xml:space="preserve">sellers </w:t>
      </w:r>
      <w:r w:rsidR="002173E8">
        <w:t>(</w:t>
      </w:r>
      <w:r w:rsidR="005B397F">
        <w:t>about</w:t>
      </w:r>
      <w:r w:rsidR="00DE7113">
        <w:t xml:space="preserve"> </w:t>
      </w:r>
      <w:ins w:id="71" w:author="Susan" w:date="2019-09-05T22:56:00Z">
        <w:r w:rsidR="006256AA">
          <w:t>20%</w:t>
        </w:r>
      </w:ins>
      <w:del w:id="72" w:author="Susan" w:date="2019-09-05T22:56:00Z">
        <w:r w:rsidR="00DE7113" w:rsidDel="006256AA">
          <w:delText>twenty percent</w:delText>
        </w:r>
      </w:del>
      <w:r w:rsidR="002173E8">
        <w:t>) depart</w:t>
      </w:r>
      <w:r>
        <w:t>ed</w:t>
      </w:r>
      <w:r w:rsidR="002173E8">
        <w:t xml:space="preserve"> from </w:t>
      </w:r>
      <w:r>
        <w:t>this</w:t>
      </w:r>
      <w:r w:rsidR="002173E8">
        <w:t xml:space="preserve"> formal </w:t>
      </w:r>
      <w:r>
        <w:t>requirement</w:t>
      </w:r>
      <w:r w:rsidR="00530CE3">
        <w:t xml:space="preserve"> in favor of consumers, </w:t>
      </w:r>
      <w:r w:rsidR="003F2858">
        <w:t>the vast majority of</w:t>
      </w:r>
      <w:r w:rsidR="00DE7113">
        <w:t xml:space="preserve"> sellers (almost </w:t>
      </w:r>
      <w:ins w:id="73" w:author="Susan" w:date="2019-09-05T22:56:00Z">
        <w:r w:rsidR="006256AA">
          <w:t>80%</w:t>
        </w:r>
      </w:ins>
      <w:del w:id="74" w:author="Susan" w:date="2019-09-05T22:56:00Z">
        <w:r w:rsidR="00DE7113" w:rsidDel="006256AA">
          <w:delText>eighty percent</w:delText>
        </w:r>
      </w:del>
      <w:r w:rsidR="00DE7113">
        <w:t xml:space="preserve">) </w:t>
      </w:r>
      <w:r>
        <w:t>strictly adhered to it, refusing to offer any concession</w:t>
      </w:r>
      <w:ins w:id="75" w:author="Susan" w:date="2019-09-05T23:57:00Z">
        <w:r w:rsidR="009F6724">
          <w:t>s</w:t>
        </w:r>
      </w:ins>
      <w:r>
        <w:t xml:space="preserve"> to consumers</w:t>
      </w:r>
      <w:r w:rsidR="00DE7113">
        <w:t xml:space="preserve">. This </w:t>
      </w:r>
      <w:r w:rsidR="0047703B">
        <w:t>held</w:t>
      </w:r>
      <w:r w:rsidR="00DE7113">
        <w:t xml:space="preserve"> true whether the store </w:t>
      </w:r>
      <w:r w:rsidR="0047703B">
        <w:t>was</w:t>
      </w:r>
      <w:r w:rsidR="00DE7113">
        <w:t xml:space="preserve"> local or </w:t>
      </w:r>
      <w:del w:id="76" w:author="Susan" w:date="2019-09-05T23:57:00Z">
        <w:r w:rsidR="00DE7113" w:rsidDel="009F6724">
          <w:delText xml:space="preserve">a </w:delText>
        </w:r>
      </w:del>
      <w:r w:rsidR="00DE7113">
        <w:t xml:space="preserve">part of a chain, and regardless of how </w:t>
      </w:r>
      <w:r w:rsidR="003F2858">
        <w:t>luxurious</w:t>
      </w:r>
      <w:r w:rsidR="00DE7113">
        <w:t xml:space="preserve"> or established the store </w:t>
      </w:r>
      <w:r w:rsidR="0047703B">
        <w:t>was</w:t>
      </w:r>
      <w:r w:rsidR="00DE7113">
        <w:t xml:space="preserve">. </w:t>
      </w:r>
      <w:r w:rsidR="005B397F">
        <w:t xml:space="preserve">Even after consumers </w:t>
      </w:r>
      <w:r w:rsidR="0026310F">
        <w:t>negotiate</w:t>
      </w:r>
      <w:r w:rsidR="0047703B">
        <w:t>d</w:t>
      </w:r>
      <w:r w:rsidR="0026310F">
        <w:t xml:space="preserve"> and complain</w:t>
      </w:r>
      <w:r w:rsidR="0047703B">
        <w:t>ed</w:t>
      </w:r>
      <w:r w:rsidR="0026310F">
        <w:t xml:space="preserve"> to the management</w:t>
      </w:r>
      <w:r w:rsidR="005B397F">
        <w:t>, most stores (63%</w:t>
      </w:r>
      <w:r w:rsidR="0026310F">
        <w:t xml:space="preserve">) </w:t>
      </w:r>
      <w:r w:rsidR="0047703B">
        <w:t>were</w:t>
      </w:r>
      <w:r w:rsidR="0026310F">
        <w:t xml:space="preserve"> unwilling to </w:t>
      </w:r>
      <w:r w:rsidR="00733E1B">
        <w:t>accommodate them.</w:t>
      </w:r>
      <w:r w:rsidR="0026310F">
        <w:t xml:space="preserve"> </w:t>
      </w:r>
      <w:ins w:id="77" w:author="Susan" w:date="2019-09-05T22:57:00Z">
        <w:r w:rsidR="006256AA">
          <w:t>These find</w:t>
        </w:r>
      </w:ins>
      <w:ins w:id="78" w:author="Susan" w:date="2019-09-05T22:58:00Z">
        <w:r w:rsidR="006256AA">
          <w:t>ing</w:t>
        </w:r>
      </w:ins>
      <w:ins w:id="79" w:author="Susan" w:date="2019-09-05T22:57:00Z">
        <w:r w:rsidR="006256AA">
          <w:t xml:space="preserve">s qualify the </w:t>
        </w:r>
      </w:ins>
      <w:ins w:id="80" w:author="Susan" w:date="2019-09-05T23:57:00Z">
        <w:r w:rsidR="009F6724">
          <w:t>plausible</w:t>
        </w:r>
      </w:ins>
      <w:ins w:id="81" w:author="Susan" w:date="2019-09-05T22:59:00Z">
        <w:r w:rsidR="006256AA">
          <w:t xml:space="preserve"> </w:t>
        </w:r>
      </w:ins>
      <w:ins w:id="82" w:author="Susan" w:date="2019-09-05T22:57:00Z">
        <w:r w:rsidR="006256AA">
          <w:t>Gap Theory prediction</w:t>
        </w:r>
      </w:ins>
      <w:del w:id="83" w:author="Susan" w:date="2019-09-05T22:58:00Z">
        <w:r w:rsidR="00726958" w:rsidDel="006256AA">
          <w:delText>To the extent that Gap theorists predict</w:delText>
        </w:r>
      </w:del>
      <w:r w:rsidR="00726958">
        <w:t xml:space="preserve"> that a majority of sellers will depart from their rigid, formal requirements in favor of consumers</w:t>
      </w:r>
      <w:ins w:id="84" w:author="Susan" w:date="2019-09-05T22:58:00Z">
        <w:r w:rsidR="006256AA">
          <w:t>,</w:t>
        </w:r>
      </w:ins>
      <w:del w:id="85" w:author="Susan" w:date="2019-09-05T22:58:00Z">
        <w:r w:rsidR="00726958" w:rsidDel="006256AA">
          <w:delText>,</w:delText>
        </w:r>
      </w:del>
      <w:ins w:id="86" w:author="Susan" w:date="2019-09-05T22:58:00Z">
        <w:r w:rsidR="006256AA">
          <w:t xml:space="preserve"> </w:t>
        </w:r>
      </w:ins>
      <w:ins w:id="87" w:author="Susan" w:date="2019-09-05T23:57:00Z">
        <w:r w:rsidR="009F6724">
          <w:t>suggesting</w:t>
        </w:r>
      </w:ins>
      <w:del w:id="88" w:author="Susan" w:date="2019-09-05T22:58:00Z">
        <w:r w:rsidR="00726958" w:rsidDel="006256AA">
          <w:delText xml:space="preserve"> these findings qualify that prediction, suggesting</w:delText>
        </w:r>
      </w:del>
      <w:r w:rsidR="00726958">
        <w:t xml:space="preserve"> that</w:t>
      </w:r>
      <w:ins w:id="89" w:author="Susan" w:date="2019-09-05T22:58:00Z">
        <w:r w:rsidR="006256AA">
          <w:t>,</w:t>
        </w:r>
      </w:ins>
      <w:r w:rsidR="00726958">
        <w:t xml:space="preserve"> at least in the context</w:t>
      </w:r>
      <w:r w:rsidR="002B74B2">
        <w:t xml:space="preserve"> studied here</w:t>
      </w:r>
      <w:r w:rsidR="00726958">
        <w:t xml:space="preserve">, most sellers are not flexible.  </w:t>
      </w:r>
    </w:p>
    <w:p w14:paraId="6DA685A9" w14:textId="77777777" w:rsidR="005B397F" w:rsidRDefault="005B397F" w:rsidP="005B397F"/>
    <w:p w14:paraId="52F5DF58" w14:textId="6A37E4B1" w:rsidR="002B045B" w:rsidRDefault="003F2858">
      <w:r>
        <w:t xml:space="preserve">Second, the results show that some terms are stickier than others, </w:t>
      </w:r>
      <w:ins w:id="90" w:author="Susan" w:date="2019-09-05T23:02:00Z">
        <w:r w:rsidR="006256AA">
          <w:t>with</w:t>
        </w:r>
      </w:ins>
      <w:del w:id="91" w:author="Susan" w:date="2019-09-05T23:02:00Z">
        <w:r w:rsidDel="006256AA">
          <w:delText>such that</w:delText>
        </w:r>
      </w:del>
      <w:r>
        <w:t xml:space="preserve"> sellers </w:t>
      </w:r>
      <w:ins w:id="92" w:author="Susan" w:date="2019-09-05T23:03:00Z">
        <w:r w:rsidR="006256AA">
          <w:t>very rarely</w:t>
        </w:r>
      </w:ins>
      <w:del w:id="93" w:author="Susan" w:date="2019-09-05T23:00:00Z">
        <w:r w:rsidDel="006256AA">
          <w:delText>hardly ever</w:delText>
        </w:r>
      </w:del>
      <w:r>
        <w:t xml:space="preserve"> depart</w:t>
      </w:r>
      <w:ins w:id="94" w:author="Susan" w:date="2019-09-05T23:03:00Z">
        <w:r w:rsidR="006256AA">
          <w:t>ing</w:t>
        </w:r>
      </w:ins>
      <w:r>
        <w:t xml:space="preserve"> from </w:t>
      </w:r>
      <w:ins w:id="95" w:author="Susan" w:date="2019-09-05T23:59:00Z">
        <w:r w:rsidR="009F6724">
          <w:t>stickier</w:t>
        </w:r>
      </w:ins>
      <w:ins w:id="96" w:author="Susan" w:date="2019-09-05T23:58:00Z">
        <w:r w:rsidR="009F6724">
          <w:t xml:space="preserve"> terms</w:t>
        </w:r>
      </w:ins>
      <w:del w:id="97" w:author="Susan" w:date="2019-09-05T23:58:00Z">
        <w:r w:rsidDel="009F6724">
          <w:delText>them</w:delText>
        </w:r>
      </w:del>
      <w:r>
        <w:t xml:space="preserve"> to the consumers’ advantage.</w:t>
      </w:r>
      <w:r w:rsidR="008333F0">
        <w:t xml:space="preserve"> </w:t>
      </w:r>
      <w:r w:rsidR="00726958">
        <w:t>S</w:t>
      </w:r>
      <w:r>
        <w:t xml:space="preserve">ellers were reluctant to apply pro-consumer gaps in </w:t>
      </w:r>
      <w:del w:id="98" w:author="Susan" w:date="2019-09-05T23:03:00Z">
        <w:r w:rsidDel="006256AA">
          <w:delText xml:space="preserve">the </w:delText>
        </w:r>
      </w:del>
      <w:r>
        <w:t xml:space="preserve">contexts where </w:t>
      </w:r>
      <w:ins w:id="99" w:author="Susan" w:date="2019-09-05T23:04:00Z">
        <w:r w:rsidR="006256AA">
          <w:t xml:space="preserve">the Gap Theory would expect </w:t>
        </w:r>
      </w:ins>
      <w:r>
        <w:t xml:space="preserve">gaps </w:t>
      </w:r>
      <w:del w:id="100" w:author="Susan" w:date="2019-09-05T23:04:00Z">
        <w:r w:rsidR="00726958" w:rsidDel="006256AA">
          <w:delText>were</w:delText>
        </w:r>
        <w:r w:rsidDel="006256AA">
          <w:delText xml:space="preserve"> </w:delText>
        </w:r>
        <w:r w:rsidR="00726958" w:rsidDel="006256AA">
          <w:delText xml:space="preserve">expected </w:delText>
        </w:r>
      </w:del>
      <w:r w:rsidR="00726958">
        <w:t>to be</w:t>
      </w:r>
      <w:r>
        <w:t xml:space="preserve"> </w:t>
      </w:r>
      <w:ins w:id="101" w:author="Susan" w:date="2019-09-05T23:04:00Z">
        <w:r w:rsidR="006256AA">
          <w:t xml:space="preserve">the </w:t>
        </w:r>
      </w:ins>
      <w:r>
        <w:t>most</w:t>
      </w:r>
      <w:r w:rsidR="00726958">
        <w:t xml:space="preserve"> prevalent</w:t>
      </w:r>
      <w:del w:id="102" w:author="Susan" w:date="2019-09-05T23:59:00Z">
        <w:r w:rsidR="00726958" w:rsidDel="009F6724">
          <w:delText xml:space="preserve"> </w:delText>
        </w:r>
      </w:del>
      <w:del w:id="103" w:author="Susan" w:date="2019-09-05T23:04:00Z">
        <w:r w:rsidR="00726958" w:rsidDel="006256AA">
          <w:delText>according to the Gap Theory</w:delText>
        </w:r>
      </w:del>
      <w:ins w:id="104" w:author="Susan" w:date="2019-09-05T23:03:00Z">
        <w:r w:rsidR="006256AA">
          <w:t>:</w:t>
        </w:r>
      </w:ins>
      <w:del w:id="105" w:author="Susan" w:date="2019-09-05T23:03:00Z">
        <w:r w:rsidDel="006256AA">
          <w:delText>—</w:delText>
        </w:r>
      </w:del>
      <w:ins w:id="106" w:author="Susan" w:date="2019-09-05T23:03:00Z">
        <w:r w:rsidR="006256AA">
          <w:t xml:space="preserve"> </w:t>
        </w:r>
      </w:ins>
      <w:r>
        <w:t xml:space="preserve">the </w:t>
      </w:r>
      <w:r>
        <w:lastRenderedPageBreak/>
        <w:t>cases of unequivocally rigid terms completely denying refunds.</w:t>
      </w:r>
      <w:r w:rsidR="008333F0">
        <w:rPr>
          <w:rStyle w:val="FootnoteReference"/>
        </w:rPr>
        <w:footnoteReference w:id="10"/>
      </w:r>
      <w:r w:rsidR="00726958">
        <w:t xml:space="preserve"> </w:t>
      </w:r>
      <w:r w:rsidR="00565DC4">
        <w:t>Importantly, t</w:t>
      </w:r>
      <w:r w:rsidR="00726958">
        <w:t xml:space="preserve">hese are also the contexts </w:t>
      </w:r>
      <w:r w:rsidR="00565DC4">
        <w:t>where gaps are plausibly needed the most.</w:t>
      </w:r>
    </w:p>
    <w:p w14:paraId="5F22209C" w14:textId="77777777" w:rsidR="008A5B6F" w:rsidRDefault="008A5B6F" w:rsidP="009C5927"/>
    <w:p w14:paraId="3B49F5EF" w14:textId="196217D7" w:rsidR="008A5B6F" w:rsidRDefault="008A5B6F" w:rsidP="00715DD3">
      <w:r>
        <w:t xml:space="preserve">These </w:t>
      </w:r>
      <w:r w:rsidR="0047703B">
        <w:t>findings</w:t>
      </w:r>
      <w:r>
        <w:t xml:space="preserve">, </w:t>
      </w:r>
      <w:r w:rsidR="0047703B">
        <w:t>I argue</w:t>
      </w:r>
      <w:r>
        <w:t>, carry significant legal ramifications. Many scholars have argued that sellers’ depart</w:t>
      </w:r>
      <w:ins w:id="107" w:author="Susan" w:date="2019-09-05T23:07:00Z">
        <w:r w:rsidR="00715DD3">
          <w:t>ing</w:t>
        </w:r>
      </w:ins>
      <w:del w:id="108" w:author="Susan" w:date="2019-09-05T23:07:00Z">
        <w:r w:rsidDel="00715DD3">
          <w:delText>ure</w:delText>
        </w:r>
      </w:del>
      <w:r>
        <w:t xml:space="preserve"> from their formal contracts “renders legal intervention less necessary.”</w:t>
      </w:r>
      <w:r>
        <w:rPr>
          <w:rStyle w:val="FootnoteReference"/>
        </w:rPr>
        <w:footnoteReference w:id="11"/>
      </w:r>
      <w:r>
        <w:t xml:space="preserve"> </w:t>
      </w:r>
      <w:ins w:id="109" w:author="Susan" w:date="2019-09-05T23:06:00Z">
        <w:r w:rsidR="00715DD3">
          <w:t>According to</w:t>
        </w:r>
      </w:ins>
      <w:del w:id="110" w:author="Susan" w:date="2019-09-05T23:06:00Z">
        <w:r w:rsidDel="00715DD3">
          <w:delText>To</w:delText>
        </w:r>
      </w:del>
      <w:r>
        <w:t xml:space="preserve"> Gap Theory supporters, “courts would do well to take a hard line in enforcing the terms” of consumer contracts (in the absence of evidence of fraud).</w:t>
      </w:r>
      <w:r>
        <w:rPr>
          <w:rStyle w:val="FootnoteReference"/>
        </w:rPr>
        <w:footnoteReference w:id="12"/>
      </w:r>
      <w:r>
        <w:t xml:space="preserve"> Yet, </w:t>
      </w:r>
      <w:r w:rsidR="00F979D8">
        <w:t xml:space="preserve">the findings reveal that </w:t>
      </w:r>
      <w:r>
        <w:t xml:space="preserve">reputational constraints on businesses are not always </w:t>
      </w:r>
      <w:ins w:id="111" w:author="Susan" w:date="2019-09-05T23:06:00Z">
        <w:r w:rsidR="00715DD3">
          <w:t>sufficient</w:t>
        </w:r>
      </w:ins>
      <w:del w:id="112" w:author="Susan" w:date="2019-09-05T23:06:00Z">
        <w:r w:rsidDel="00715DD3">
          <w:delText>enough</w:delText>
        </w:r>
      </w:del>
      <w:r>
        <w:t xml:space="preserve"> to prevent </w:t>
      </w:r>
      <w:ins w:id="113" w:author="Susan" w:date="2019-09-05T23:06:00Z">
        <w:r w:rsidR="00715DD3">
          <w:t>sellers’</w:t>
        </w:r>
      </w:ins>
      <w:del w:id="114" w:author="Susan" w:date="2019-09-05T23:06:00Z">
        <w:r w:rsidDel="00715DD3">
          <w:delText>the</w:delText>
        </w:r>
      </w:del>
      <w:r>
        <w:t xml:space="preserve"> enforcement of </w:t>
      </w:r>
      <w:r w:rsidR="00E43BF1">
        <w:t>strict and unconditional</w:t>
      </w:r>
      <w:r>
        <w:t xml:space="preserve"> contract terms. </w:t>
      </w:r>
      <w:r w:rsidR="00E43BF1">
        <w:t>Consequently, t</w:t>
      </w:r>
      <w:r>
        <w:t xml:space="preserve">he gap between the </w:t>
      </w:r>
      <w:r w:rsidR="00E43BF1">
        <w:t>“</w:t>
      </w:r>
      <w:r>
        <w:t>paper deal</w:t>
      </w:r>
      <w:r w:rsidR="00E43BF1">
        <w:t>”</w:t>
      </w:r>
      <w:r>
        <w:t xml:space="preserve"> and the </w:t>
      </w:r>
      <w:r w:rsidR="00E43BF1">
        <w:t>“</w:t>
      </w:r>
      <w:r>
        <w:t>real deal</w:t>
      </w:r>
      <w:r w:rsidR="00E43BF1">
        <w:t>”</w:t>
      </w:r>
      <w:r>
        <w:t xml:space="preserve"> </w:t>
      </w:r>
      <w:r w:rsidR="00F979D8">
        <w:t xml:space="preserve">does not necessarily </w:t>
      </w:r>
      <w:r>
        <w:t xml:space="preserve">obviate the need for regulation of contract terms. </w:t>
      </w:r>
    </w:p>
    <w:p w14:paraId="45DF8D4B" w14:textId="77777777" w:rsidR="00DA19CF" w:rsidRDefault="00DA19CF" w:rsidP="00964DE5">
      <w:pPr>
        <w:ind w:firstLine="720"/>
      </w:pPr>
    </w:p>
    <w:p w14:paraId="64347CB4" w14:textId="05E7A448" w:rsidR="00DE7113" w:rsidRDefault="00964DE5" w:rsidP="00715DD3">
      <w:r>
        <w:t xml:space="preserve">Yet, this Article also makes a more </w:t>
      </w:r>
      <w:ins w:id="115" w:author="Susan" w:date="2019-09-05T23:36:00Z">
        <w:r w:rsidR="004E293B">
          <w:t xml:space="preserve">nuanced, even </w:t>
        </w:r>
      </w:ins>
      <w:commentRangeStart w:id="116"/>
      <w:r>
        <w:t>subversive</w:t>
      </w:r>
      <w:commentRangeEnd w:id="116"/>
      <w:r w:rsidR="009F6724">
        <w:rPr>
          <w:rStyle w:val="CommentReference"/>
        </w:rPr>
        <w:commentReference w:id="116"/>
      </w:r>
      <w:r>
        <w:t xml:space="preserve"> argument against the notion that </w:t>
      </w:r>
      <w:r w:rsidR="00E43BF1">
        <w:t>the gap</w:t>
      </w:r>
      <w:r>
        <w:t xml:space="preserve"> can be relied </w:t>
      </w:r>
      <w:r w:rsidR="008366E7">
        <w:t>on</w:t>
      </w:r>
      <w:r>
        <w:t xml:space="preserve"> to discipline sellers. It suggests that</w:t>
      </w:r>
      <w:r w:rsidR="00610F3B">
        <w:t xml:space="preserve"> even when</w:t>
      </w:r>
      <w:r w:rsidR="007F0B3B">
        <w:t xml:space="preserve"> pro-consumer</w:t>
      </w:r>
      <w:r w:rsidR="00610F3B">
        <w:t xml:space="preserve"> gaps are prevalent, they might generate distortions and regressive distributive effects. </w:t>
      </w:r>
      <w:r w:rsidR="00FF51D7">
        <w:t>This is because</w:t>
      </w:r>
      <w:r w:rsidR="0030385C">
        <w:t xml:space="preserve"> </w:t>
      </w:r>
      <w:r w:rsidR="00FF51D7">
        <w:t>sellers engage in complaint-based segmentation of consumers</w:t>
      </w:r>
      <w:ins w:id="117" w:author="Susan" w:date="2019-09-05T23:08:00Z">
        <w:r w:rsidR="00715DD3">
          <w:t>.</w:t>
        </w:r>
      </w:ins>
      <w:del w:id="118" w:author="Susan" w:date="2019-09-05T23:08:00Z">
        <w:r w:rsidR="0030385C" w:rsidDel="00715DD3">
          <w:delText>:</w:delText>
        </w:r>
      </w:del>
      <w:r w:rsidR="00224FD0">
        <w:t xml:space="preserve"> </w:t>
      </w:r>
      <w:r w:rsidR="004967E1">
        <w:t>S</w:t>
      </w:r>
      <w:r w:rsidR="00FF51D7">
        <w:t xml:space="preserve">tore employees </w:t>
      </w:r>
      <w:r w:rsidR="008C38BF">
        <w:t xml:space="preserve">are significantly more </w:t>
      </w:r>
      <w:r w:rsidR="00FF51D7">
        <w:t>likely to depart from the store’s seemingly unconditional, stringent return polic</w:t>
      </w:r>
      <w:r w:rsidR="00F84F73">
        <w:t>y</w:t>
      </w:r>
      <w:r w:rsidR="00FF51D7">
        <w:t xml:space="preserve"> </w:t>
      </w:r>
      <w:r w:rsidR="00224FD0">
        <w:t xml:space="preserve">once </w:t>
      </w:r>
      <w:r w:rsidR="00FF51D7">
        <w:t>consumers complain.</w:t>
      </w:r>
      <w:r w:rsidR="00E43BF1">
        <w:rPr>
          <w:rStyle w:val="FootnoteReference"/>
        </w:rPr>
        <w:footnoteReference w:id="13"/>
      </w:r>
      <w:r w:rsidR="00FF51D7">
        <w:t xml:space="preserve"> </w:t>
      </w:r>
    </w:p>
    <w:p w14:paraId="34D9E15A" w14:textId="77777777" w:rsidR="00FF51D7" w:rsidRDefault="00FF51D7" w:rsidP="00733E1B">
      <w:pPr>
        <w:ind w:firstLine="0"/>
      </w:pPr>
    </w:p>
    <w:p w14:paraId="42C6926F" w14:textId="79B2264B" w:rsidR="007F0B3B" w:rsidRDefault="00CD023F">
      <w:r>
        <w:t>Of course,</w:t>
      </w:r>
      <w:r w:rsidR="006B36D1">
        <w:t xml:space="preserve"> </w:t>
      </w:r>
      <w:r w:rsidR="00B3669D">
        <w:t>s</w:t>
      </w:r>
      <w:r w:rsidR="00FF51D7">
        <w:t>ellers may apply complaint-based screening benevolently, using consumer assertiveness as a proxy for the merits of the claim</w:t>
      </w:r>
      <w:ins w:id="119" w:author="Susan" w:date="2019-09-05T23:08:00Z">
        <w:r w:rsidR="00715DD3">
          <w:t>,</w:t>
        </w:r>
      </w:ins>
      <w:del w:id="120" w:author="Susan" w:date="2019-09-05T23:08:00Z">
        <w:r w:rsidR="00FF51D7" w:rsidDel="00715DD3">
          <w:delText xml:space="preserve"> (</w:delText>
        </w:r>
      </w:del>
      <w:ins w:id="121" w:author="Susan" w:date="2019-09-05T23:08:00Z">
        <w:r w:rsidR="00715DD3">
          <w:t xml:space="preserve"> </w:t>
        </w:r>
      </w:ins>
      <w:r w:rsidR="00FF51D7">
        <w:t>or the value of the concession to the consumer</w:t>
      </w:r>
      <w:del w:id="122" w:author="Susan" w:date="2019-09-05T23:08:00Z">
        <w:r w:rsidR="00FF51D7" w:rsidDel="00715DD3">
          <w:delText>)</w:delText>
        </w:r>
      </w:del>
      <w:r w:rsidR="00FF51D7">
        <w:t xml:space="preserve">. Yet, based on accumulating empirical evidence, </w:t>
      </w:r>
      <w:r w:rsidR="006B36D1">
        <w:t>th</w:t>
      </w:r>
      <w:r w:rsidR="00733E1B">
        <w:t>is</w:t>
      </w:r>
      <w:r w:rsidR="006B36D1">
        <w:t xml:space="preserve"> Article suggests</w:t>
      </w:r>
      <w:r w:rsidR="00F84F73">
        <w:t xml:space="preserve"> </w:t>
      </w:r>
      <w:r w:rsidR="00FF51D7">
        <w:t xml:space="preserve">that </w:t>
      </w:r>
      <w:r w:rsidR="00F84F73">
        <w:t xml:space="preserve">such </w:t>
      </w:r>
      <w:r w:rsidR="007F0B3B">
        <w:t>complaint-based segmentation might be harmful to consumers</w:t>
      </w:r>
      <w:r w:rsidR="00FF51D7">
        <w:t xml:space="preserve">. </w:t>
      </w:r>
      <w:r w:rsidR="00733E1B">
        <w:t>Such potential for harm exists because</w:t>
      </w:r>
      <w:r w:rsidR="00FF51D7">
        <w:t xml:space="preserve"> co</w:t>
      </w:r>
      <w:r w:rsidR="007C284B">
        <w:t xml:space="preserve">nsumers </w:t>
      </w:r>
      <w:r>
        <w:t xml:space="preserve">tend to be </w:t>
      </w:r>
      <w:r w:rsidR="007C284B">
        <w:t>contract formalists</w:t>
      </w:r>
      <w:ins w:id="123" w:author="Susan" w:date="2019-09-05T23:08:00Z">
        <w:r w:rsidR="00715DD3">
          <w:t>, with m</w:t>
        </w:r>
      </w:ins>
      <w:del w:id="124" w:author="Susan" w:date="2019-09-05T23:08:00Z">
        <w:r w:rsidR="007C284B" w:rsidDel="00715DD3">
          <w:delText xml:space="preserve">: </w:delText>
        </w:r>
        <w:r w:rsidDel="00715DD3">
          <w:delText>M</w:delText>
        </w:r>
      </w:del>
      <w:r>
        <w:t xml:space="preserve">ost </w:t>
      </w:r>
      <w:r w:rsidR="007C284B">
        <w:t>believ</w:t>
      </w:r>
      <w:ins w:id="125" w:author="Susan" w:date="2019-09-05T23:08:00Z">
        <w:r w:rsidR="00715DD3">
          <w:t>ing</w:t>
        </w:r>
      </w:ins>
      <w:del w:id="126" w:author="Susan" w:date="2019-09-05T23:08:00Z">
        <w:r w:rsidR="007C284B" w:rsidDel="00715DD3">
          <w:delText>e</w:delText>
        </w:r>
      </w:del>
      <w:r w:rsidR="007C284B">
        <w:t xml:space="preserve"> </w:t>
      </w:r>
      <w:r w:rsidR="007C284B">
        <w:lastRenderedPageBreak/>
        <w:t>that whatever the contract says is the final word.</w:t>
      </w:r>
      <w:r w:rsidR="007C284B">
        <w:rPr>
          <w:rStyle w:val="FootnoteReference"/>
        </w:rPr>
        <w:footnoteReference w:id="14"/>
      </w:r>
      <w:r w:rsidR="007C284B">
        <w:t xml:space="preserve"> They are</w:t>
      </w:r>
      <w:r w:rsidR="00FF51D7">
        <w:t xml:space="preserve"> thus unlikely to complain when the seller refers them to the policy’s clear and unconditional language, even if </w:t>
      </w:r>
      <w:r w:rsidR="007F0B3B">
        <w:t>they</w:t>
      </w:r>
      <w:r w:rsidR="00FF51D7">
        <w:t xml:space="preserve"> have a </w:t>
      </w:r>
      <w:r w:rsidR="007F0B3B">
        <w:t>meritorious</w:t>
      </w:r>
      <w:r w:rsidR="00FF51D7">
        <w:t xml:space="preserve"> claim, and </w:t>
      </w:r>
      <w:ins w:id="127" w:author="Susan" w:date="2019-09-06T00:02:00Z">
        <w:r w:rsidR="009F6724">
          <w:t>possibily</w:t>
        </w:r>
      </w:ins>
      <w:del w:id="128" w:author="Susan" w:date="2019-09-06T00:02:00Z">
        <w:r w:rsidR="008A44A9" w:rsidDel="009F6724">
          <w:delText>plausibly</w:delText>
        </w:r>
      </w:del>
      <w:r w:rsidR="008A44A9">
        <w:t xml:space="preserve"> </w:t>
      </w:r>
      <w:r w:rsidR="00FF51D7">
        <w:t xml:space="preserve">even </w:t>
      </w:r>
      <w:r w:rsidR="008A44A9">
        <w:t>when</w:t>
      </w:r>
      <w:r w:rsidR="00FF51D7">
        <w:t xml:space="preserve"> </w:t>
      </w:r>
      <w:r w:rsidR="007F0B3B">
        <w:t>their</w:t>
      </w:r>
      <w:r w:rsidR="00FF51D7">
        <w:t xml:space="preserve"> benefit</w:t>
      </w:r>
      <w:r w:rsidR="007F0B3B">
        <w:t>s</w:t>
      </w:r>
      <w:r w:rsidR="00FF51D7">
        <w:t xml:space="preserve"> from the </w:t>
      </w:r>
      <w:r w:rsidR="007F0B3B">
        <w:t>seller’s more lenient accommodation exceed</w:t>
      </w:r>
      <w:r w:rsidR="00FF51D7">
        <w:t xml:space="preserve"> the cost</w:t>
      </w:r>
      <w:r w:rsidR="007F0B3B">
        <w:t>s to the seller of granting it.</w:t>
      </w:r>
    </w:p>
    <w:p w14:paraId="49A1D96A" w14:textId="77777777" w:rsidR="007F0B3B" w:rsidRDefault="007F0B3B" w:rsidP="007F0B3B">
      <w:pPr>
        <w:ind w:firstLine="720"/>
      </w:pPr>
    </w:p>
    <w:p w14:paraId="41A02FBB" w14:textId="4F8E9763" w:rsidR="00751C12" w:rsidRDefault="000D21EC" w:rsidP="00715DD3">
      <w:r>
        <w:t>In addition to harming consumers as a group,</w:t>
      </w:r>
      <w:r w:rsidR="007F0B3B">
        <w:t xml:space="preserv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(including work conducted by this author) and </w:t>
      </w:r>
      <w:r w:rsidR="008D10DF">
        <w:t xml:space="preserve">interviews with store clerks </w:t>
      </w:r>
      <w:r w:rsidR="000E26F3">
        <w:t xml:space="preserve">indicate </w:t>
      </w:r>
      <w:r w:rsidR="007F0B3B">
        <w:t>that lower</w:t>
      </w:r>
      <w:ins w:id="129" w:author="Susan" w:date="2019-09-05T23:10:00Z">
        <w:r w:rsidR="00715DD3">
          <w:t>-</w:t>
        </w:r>
      </w:ins>
      <w:del w:id="130" w:author="Susan" w:date="2019-09-05T23:10:00Z">
        <w:r w:rsidR="007F0B3B" w:rsidDel="00715DD3">
          <w:delText xml:space="preserve"> </w:delText>
        </w:r>
      </w:del>
      <w:r w:rsidR="007F0B3B">
        <w:t xml:space="preserve">income consumers and minority group members </w:t>
      </w:r>
      <w:r w:rsidR="00F84F73">
        <w:t>are</w:t>
      </w:r>
      <w:r w:rsidR="007F0B3B">
        <w:t xml:space="preserve"> less likely to complain than are higher</w:t>
      </w:r>
      <w:ins w:id="131" w:author="Susan" w:date="2019-09-05T23:10:00Z">
        <w:r w:rsidR="00715DD3">
          <w:t>-</w:t>
        </w:r>
      </w:ins>
      <w:del w:id="132" w:author="Susan" w:date="2019-09-05T23:10:00Z">
        <w:r w:rsidR="007F0B3B" w:rsidDel="00715DD3">
          <w:delText xml:space="preserve"> </w:delText>
        </w:r>
      </w:del>
      <w:r w:rsidR="007F0B3B">
        <w:t>income consumers or those</w:t>
      </w:r>
      <w:r w:rsidR="008D10DF">
        <w:t xml:space="preserve"> belonging to majority </w:t>
      </w:r>
      <w:commentRangeStart w:id="133"/>
      <w:r w:rsidR="008D10DF">
        <w:t>groups</w:t>
      </w:r>
      <w:commentRangeEnd w:id="133"/>
      <w:r w:rsidR="009F6724">
        <w:rPr>
          <w:rStyle w:val="CommentReference"/>
        </w:rPr>
        <w:commentReference w:id="133"/>
      </w:r>
      <w:r w:rsidR="008D10DF">
        <w:t>. The</w:t>
      </w:r>
      <w:r w:rsidR="00FC6424">
        <w:t xml:space="preserve"> former</w:t>
      </w:r>
      <w:r w:rsidR="008D10DF">
        <w:t xml:space="preserve"> will consequently cross-subsidize the insistent complainers who benefit from the gap. </w:t>
      </w:r>
      <w:r w:rsidR="00751C12">
        <w:t>Furthermore, store clerks with discretion to deviate from the formal policy on the ground may apply their discretion inconsistently and to the disadvantage of lower</w:t>
      </w:r>
      <w:ins w:id="134" w:author="Susan" w:date="2019-09-05T23:10:00Z">
        <w:r w:rsidR="00715DD3">
          <w:t>-</w:t>
        </w:r>
      </w:ins>
      <w:r w:rsidR="00751C12">
        <w:t xml:space="preserve"> income consumers and minorities. In particular, preliminary evidence</w:t>
      </w:r>
      <w:r w:rsidR="001865E6">
        <w:t xml:space="preserve"> from a field experiment that I have recently administered</w:t>
      </w:r>
      <w:r w:rsidR="00751C12">
        <w:t xml:space="preserve"> indicates that sellers treat white consumers more leniently than the </w:t>
      </w:r>
      <w:ins w:id="135" w:author="Susan" w:date="2019-09-06T00:03:00Z">
        <w:r w:rsidR="009F6724">
          <w:t xml:space="preserve">policy </w:t>
        </w:r>
      </w:ins>
      <w:del w:id="136" w:author="Susan" w:date="2019-09-06T00:03:00Z">
        <w:r w:rsidR="00751C12" w:rsidDel="009F6724">
          <w:delText xml:space="preserve">paper </w:delText>
        </w:r>
      </w:del>
      <w:r w:rsidR="00751C12">
        <w:t xml:space="preserve">requires while adhering to the policy significantly more frequently when facing black consumers.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54D04CF4" w14:textId="5D4C3448" w:rsidR="00792D4E" w:rsidRDefault="00792D4E" w:rsidP="00715DD3">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Pr>
          <w:rFonts w:ascii="Times New Roman" w:hAnsi="Times New Roman"/>
          <w:color w:val="000000"/>
        </w:rPr>
        <w:t>. It introduces the Gap Theory and the debate surrounding its descriptive validity and welfare implications</w:t>
      </w:r>
      <w:ins w:id="137" w:author="Susan" w:date="2019-09-05T23:12:00Z">
        <w:r w:rsidR="00715DD3">
          <w:rPr>
            <w:rFonts w:ascii="Times New Roman" w:hAnsi="Times New Roman"/>
            <w:color w:val="000000"/>
          </w:rPr>
          <w:t>, clarifying</w:t>
        </w:r>
      </w:ins>
      <w:del w:id="138" w:author="Susan" w:date="2019-09-05T23:12:00Z">
        <w:r w:rsidDel="00715DD3">
          <w:rPr>
            <w:rFonts w:ascii="Times New Roman" w:hAnsi="Times New Roman"/>
            <w:color w:val="000000"/>
          </w:rPr>
          <w:delText>. It reveals</w:delText>
        </w:r>
      </w:del>
      <w:r>
        <w:rPr>
          <w:rFonts w:ascii="Times New Roman" w:hAnsi="Times New Roman"/>
          <w:color w:val="000000"/>
        </w:rPr>
        <w:t xml:space="preserve"> the importance of shedding empirical light on the debate in view of the opposing policy prescriptions that </w:t>
      </w:r>
      <w:r w:rsidR="00CD023F">
        <w:rPr>
          <w:rFonts w:ascii="Times New Roman" w:hAnsi="Times New Roman"/>
          <w:color w:val="000000"/>
        </w:rPr>
        <w:t xml:space="preserve">emanate </w:t>
      </w:r>
      <w:r>
        <w:rPr>
          <w:rFonts w:ascii="Times New Roman" w:hAnsi="Times New Roman"/>
          <w:color w:val="000000"/>
        </w:rPr>
        <w:t xml:space="preserve">from each side.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1865E6">
        <w:rPr>
          <w:rFonts w:ascii="Times New Roman" w:hAnsi="Times New Roman"/>
        </w:rPr>
        <w:t>, raising</w:t>
      </w:r>
      <w:r w:rsidR="004073DD" w:rsidRPr="00462FC3">
        <w:rPr>
          <w:rFonts w:ascii="Times New Roman" w:hAnsi="Times New Roman"/>
        </w:rPr>
        <w:t xml:space="preserve"> </w:t>
      </w:r>
      <w:r w:rsidR="002B045B" w:rsidRPr="00462FC3">
        <w:rPr>
          <w:rFonts w:ascii="Times New Roman" w:hAnsi="Times New Roman"/>
        </w:rPr>
        <w:t>some serious concerns as to the interaction between the paper deal, sellers’ on-the-ground practices, and consumer psychology</w:t>
      </w:r>
      <w:r w:rsidR="002B045B" w:rsidRPr="00462FC3">
        <w:t>.</w:t>
      </w:r>
      <w:r w:rsidR="002B045B">
        <w:t xml:space="preserve"> </w:t>
      </w:r>
    </w:p>
    <w:p w14:paraId="55344A45" w14:textId="45473DAF" w:rsidR="00792D4E" w:rsidRDefault="00792D4E" w:rsidP="00872C61">
      <w:pPr>
        <w:ind w:firstLine="0"/>
      </w:pPr>
    </w:p>
    <w:p w14:paraId="45D395F6" w14:textId="5E6033AD" w:rsidR="00BC5DF9" w:rsidRDefault="00CF642A" w:rsidP="00CF642A">
      <w:pPr>
        <w:pStyle w:val="Heading1"/>
        <w:numPr>
          <w:ilvl w:val="0"/>
          <w:numId w:val="0"/>
        </w:numPr>
        <w:jc w:val="both"/>
      </w:pPr>
      <w:bookmarkStart w:id="139" w:name="_Toc17562615"/>
      <w:r>
        <w:t xml:space="preserve">                                     </w:t>
      </w:r>
      <w:bookmarkStart w:id="140" w:name="_Toc17757409"/>
      <w:bookmarkStart w:id="141" w:name="_Toc18539935"/>
      <w:r w:rsidR="00BC5DF9">
        <w:t xml:space="preserve">I. </w:t>
      </w:r>
      <w:bookmarkEnd w:id="139"/>
      <w:r w:rsidR="00BC5DF9">
        <w:t>Background and Motivation</w:t>
      </w:r>
      <w:bookmarkEnd w:id="140"/>
      <w:bookmarkEnd w:id="141"/>
    </w:p>
    <w:p w14:paraId="612CD701" w14:textId="77777777" w:rsidR="00BC5DF9" w:rsidRPr="002D1B7B" w:rsidRDefault="00BC5DF9" w:rsidP="00BC5DF9"/>
    <w:p w14:paraId="10413D00" w14:textId="0CAF2165" w:rsidR="00BC5DF9" w:rsidRDefault="00BC5DF9" w:rsidP="00BC5DF9">
      <w:pPr>
        <w:pStyle w:val="Heading2"/>
        <w:jc w:val="left"/>
      </w:pPr>
      <w:bookmarkStart w:id="142" w:name="_Toc17562616"/>
      <w:bookmarkStart w:id="143" w:name="_Toc17757410"/>
      <w:bookmarkStart w:id="144" w:name="_Toc18539936"/>
      <w:r>
        <w:t>The Gap Theory</w:t>
      </w:r>
      <w:bookmarkEnd w:id="142"/>
      <w:r>
        <w:t xml:space="preserve"> </w:t>
      </w:r>
      <w:r w:rsidR="00F633FC">
        <w:t>and Gap Skepticism</w:t>
      </w:r>
      <w:bookmarkEnd w:id="143"/>
      <w:bookmarkEnd w:id="144"/>
    </w:p>
    <w:p w14:paraId="31CDD13D" w14:textId="77777777" w:rsidR="00BC5DF9" w:rsidRDefault="00BC5DF9" w:rsidP="00BC5DF9">
      <w:pPr>
        <w:ind w:firstLine="0"/>
      </w:pPr>
    </w:p>
    <w:p w14:paraId="3FE0D964" w14:textId="20AAE9F2" w:rsidR="00BC5DF9" w:rsidRDefault="00BC5DF9">
      <w:pPr>
        <w:ind w:firstLine="720"/>
      </w:pPr>
      <w:r>
        <w:t xml:space="preserve">The Gap Theory </w:t>
      </w:r>
      <w:r w:rsidR="003952FC">
        <w:t xml:space="preserve">argues </w:t>
      </w:r>
      <w:r>
        <w:t xml:space="preserve">that </w:t>
      </w:r>
      <w:r w:rsidR="00757D56">
        <w:t>seemingly</w:t>
      </w:r>
      <w:r w:rsidR="00996FE0">
        <w:t xml:space="preserve"> one-sided</w:t>
      </w:r>
      <w:r>
        <w:t xml:space="preserve"> contract terms may persist in competitive consumer markets even in the absence of a </w:t>
      </w:r>
      <w:r>
        <w:lastRenderedPageBreak/>
        <w:t>market failure, because reputational forces will constrain sellers from enforcing these terms against most consumers, while the existence of these terms will protect sellers from opportunistic buyers.</w:t>
      </w:r>
      <w:r>
        <w:rPr>
          <w:rStyle w:val="FootnoteReference"/>
        </w:rPr>
        <w:footnoteReference w:id="15"/>
      </w:r>
      <w:r>
        <w:t xml:space="preserve">  </w:t>
      </w:r>
    </w:p>
    <w:p w14:paraId="3000AF11" w14:textId="77777777" w:rsidR="00BC5DF9" w:rsidRDefault="00BC5DF9" w:rsidP="00BC5DF9">
      <w:pPr>
        <w:ind w:firstLine="720"/>
      </w:pPr>
    </w:p>
    <w:p w14:paraId="2548DB92" w14:textId="23ABF788" w:rsidR="00BC5DF9" w:rsidRPr="00E30314" w:rsidRDefault="00BC5DF9" w:rsidP="00BC5DF9">
      <w:pPr>
        <w:ind w:firstLine="720"/>
      </w:pPr>
      <w:r w:rsidRPr="00E30314">
        <w:t xml:space="preserve">Under this theory, sellers adopt one-sided terms in </w:t>
      </w:r>
      <w:r>
        <w:t>light</w:t>
      </w:r>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16"/>
      </w:r>
    </w:p>
    <w:p w14:paraId="771C32F2" w14:textId="77777777" w:rsidR="00BC5DF9" w:rsidRPr="00E30314" w:rsidRDefault="00BC5DF9" w:rsidP="00BC5DF9">
      <w:pPr>
        <w:ind w:firstLine="720"/>
      </w:pPr>
    </w:p>
    <w:p w14:paraId="6E718778" w14:textId="397B92F6" w:rsidR="003952FC" w:rsidRDefault="00BC5DF9">
      <w:pPr>
        <w:ind w:firstLine="720"/>
      </w:pPr>
      <w:r w:rsidRPr="00E30314">
        <w:t xml:space="preserve">The </w:t>
      </w:r>
      <w:r>
        <w:t>G</w:t>
      </w:r>
      <w:r w:rsidRPr="00E30314">
        <w:t xml:space="preserve">ap </w:t>
      </w:r>
      <w:r>
        <w:t>T</w:t>
      </w:r>
      <w:r w:rsidRPr="00E30314">
        <w:t xml:space="preserve">heory reflects </w:t>
      </w:r>
      <w:r w:rsidR="003952FC">
        <w:t>a</w:t>
      </w:r>
      <w:r w:rsidRPr="00E30314">
        <w:t xml:space="preserve"> belief in the ability of competitive market forces, and reputation in particular, to discipline sellers. </w:t>
      </w:r>
      <w:r w:rsidR="003952FC">
        <w:t xml:space="preserve">According to its proponents, reputational constraints will ensure that sellers selectively enforce harsh terms </w:t>
      </w:r>
      <w:r w:rsidR="003952FC">
        <w:rPr>
          <w:i/>
          <w:iCs/>
        </w:rPr>
        <w:t>only</w:t>
      </w:r>
      <w:r w:rsidR="003952FC">
        <w:t xml:space="preserve"> against opportunistic consumers, while departing from the formal agreement to the benefit of the remaining, non-opportunistic consumers.</w:t>
      </w:r>
      <w:r w:rsidR="003952FC">
        <w:rPr>
          <w:rStyle w:val="FootnoteReference"/>
        </w:rPr>
        <w:footnoteReference w:id="17"/>
      </w:r>
    </w:p>
    <w:p w14:paraId="1466FBEF" w14:textId="77777777" w:rsidR="003952FC" w:rsidRDefault="003952FC" w:rsidP="003952FC">
      <w:pPr>
        <w:ind w:firstLine="720"/>
      </w:pPr>
    </w:p>
    <w:p w14:paraId="4DDBC488" w14:textId="77777777" w:rsidR="003952FC" w:rsidRDefault="003952FC" w:rsidP="003952FC">
      <w:pPr>
        <w:ind w:firstLine="720"/>
      </w:pPr>
      <w:r>
        <w:t>Sellers’ ability to adopt harsh terms on paper is important under this view, as courts are ill-equipped to distinguish between opportunistic and non-opportunistic buyers.</w:t>
      </w:r>
      <w:r>
        <w:rPr>
          <w:rStyle w:val="FootnoteReference"/>
        </w:rPr>
        <w:footnoteReference w:id="18"/>
      </w:r>
      <w:r>
        <w:t xml:space="preserve"> Given the courts’ limited ability to identify the exact circumstances in a given case, it can be expected that sellers will offer contracts lacking terms benefiting the buyer. However, sellers will concurrently have an informal policy of allowing concessions not required by the contract. This descriptive theory therefore also has a normative prong: when consumer misbehavior is observable to sellers but non-verifiable, or verifiable only at a high cost to courts, the argument is that sellers should be allowed to use seemingly one-sided terms, since these terms will allow them to behave efficiently.</w:t>
      </w:r>
      <w:r>
        <w:rPr>
          <w:rStyle w:val="FootnoteReference"/>
        </w:rPr>
        <w:footnoteReference w:id="19"/>
      </w:r>
      <w:r>
        <w:t xml:space="preserve">  </w:t>
      </w:r>
    </w:p>
    <w:p w14:paraId="3F730D09" w14:textId="77777777" w:rsidR="003952FC" w:rsidRDefault="003952FC" w:rsidP="00624ED4">
      <w:pPr>
        <w:ind w:firstLine="720"/>
      </w:pPr>
    </w:p>
    <w:p w14:paraId="42AD96F3" w14:textId="3477D7A1" w:rsidR="00BC5DF9" w:rsidRPr="00E30314" w:rsidRDefault="00BC5DF9" w:rsidP="00624ED4">
      <w:pPr>
        <w:ind w:firstLine="720"/>
      </w:pPr>
      <w:r w:rsidRPr="00E30314">
        <w:t xml:space="preserve">Sellers’ ability to adopt </w:t>
      </w:r>
      <w:r w:rsidR="007D3F11">
        <w:t>clear and unconditional</w:t>
      </w:r>
      <w:r w:rsidRPr="00E30314">
        <w:t xml:space="preserve"> terms on paper is </w:t>
      </w:r>
      <w:r w:rsidRPr="00E30314">
        <w:lastRenderedPageBreak/>
        <w:t xml:space="preserve">important under this view, as courts are ill-equipped to </w:t>
      </w:r>
      <w:r w:rsidR="005278CA" w:rsidRPr="00E30314">
        <w:t xml:space="preserve">identify the exact circumstances </w:t>
      </w:r>
      <w:r w:rsidR="005278CA">
        <w:t>in</w:t>
      </w:r>
      <w:r w:rsidR="005278CA" w:rsidRPr="00E30314">
        <w:t xml:space="preserve"> a given case</w:t>
      </w:r>
      <w:r w:rsidRPr="00E30314">
        <w:t>.</w:t>
      </w:r>
      <w:r w:rsidR="00771546">
        <w:rPr>
          <w:rStyle w:val="FootnoteReference"/>
        </w:rPr>
        <w:footnoteReference w:id="20"/>
      </w:r>
      <w:r w:rsidRPr="00E30314">
        <w:t xml:space="preserve"> </w:t>
      </w:r>
      <w:r w:rsidR="005278CA">
        <w:t>S</w:t>
      </w:r>
      <w:r w:rsidR="00C80C98">
        <w:t>ellers are</w:t>
      </w:r>
      <w:r w:rsidR="005278CA">
        <w:t xml:space="preserve"> therefore</w:t>
      </w:r>
      <w:r w:rsidR="00C80C98">
        <w:t xml:space="preserve"> expected to </w:t>
      </w:r>
      <w:r w:rsidR="00020A6F">
        <w:t xml:space="preserve">include </w:t>
      </w:r>
      <w:r w:rsidR="005278CA">
        <w:t>rigid, rule-like</w:t>
      </w:r>
      <w:r w:rsidR="00020A6F">
        <w:t xml:space="preserve"> terms in their</w:t>
      </w:r>
      <w:r w:rsidRPr="00E30314">
        <w:t xml:space="preserve"> contracts. However, sellers will concurrently have an </w:t>
      </w:r>
      <w:r w:rsidR="00D82BDA">
        <w:t>on-the-ground</w:t>
      </w:r>
      <w:r w:rsidRPr="00E30314">
        <w:t xml:space="preserve"> policy of allowing concessions not required by the contract. This descriptive theory therefo</w:t>
      </w:r>
      <w:r w:rsidR="00D82BDA">
        <w:t>re also has a normative prong: W</w:t>
      </w:r>
      <w:r w:rsidRPr="00E30314">
        <w:t xml:space="preserve">hen consumer misbehavior is observable to sellers but non-verifiable, or verifiable only at a high cost to courts, </w:t>
      </w:r>
      <w:r w:rsidR="00624ED4">
        <w:t>strict bright-line</w:t>
      </w:r>
      <w:r w:rsidRPr="00E30314">
        <w:t xml:space="preserve"> terms</w:t>
      </w:r>
      <w:r w:rsidR="00AC78F3">
        <w:t xml:space="preserve"> are both efficient and good for (the non-opportunistic) consumers</w:t>
      </w:r>
      <w:r w:rsidRPr="00E30314">
        <w:t>.</w:t>
      </w:r>
      <w:r w:rsidRPr="00E30314">
        <w:rPr>
          <w:rStyle w:val="FootnoteReference"/>
        </w:rPr>
        <w:footnoteReference w:id="21"/>
      </w:r>
      <w:r w:rsidRPr="00E30314">
        <w:t xml:space="preserve">  </w:t>
      </w:r>
    </w:p>
    <w:p w14:paraId="1884B7A1" w14:textId="77777777" w:rsidR="00BC5DF9" w:rsidRPr="00E30314" w:rsidRDefault="00BC5DF9" w:rsidP="00BC5DF9">
      <w:pPr>
        <w:ind w:firstLine="720"/>
      </w:pPr>
    </w:p>
    <w:p w14:paraId="36855CAD" w14:textId="789C78BC" w:rsidR="00BC5DF9" w:rsidRPr="00E30314" w:rsidRDefault="00BC5DF9" w:rsidP="00945809">
      <w:pPr>
        <w:ind w:firstLine="720"/>
      </w:pPr>
      <w:r w:rsidRPr="00E30314">
        <w:t xml:space="preserve">Importantly, according to the </w:t>
      </w:r>
      <w:r>
        <w:t>G</w:t>
      </w:r>
      <w:r w:rsidRPr="00E30314">
        <w:t xml:space="preserve">ap </w:t>
      </w:r>
      <w:r>
        <w:t>T</w:t>
      </w:r>
      <w:r w:rsidRPr="00E30314">
        <w:t xml:space="preserve">heory, sellers’ willingness to depart from </w:t>
      </w:r>
      <w:r w:rsidR="00624ED4">
        <w:t>their</w:t>
      </w:r>
      <w:r w:rsidRPr="00E30314">
        <w:t xml:space="preserve"> contract</w:t>
      </w:r>
      <w:r>
        <w:t>s</w:t>
      </w:r>
      <w:r w:rsidRPr="00E30314">
        <w:t xml:space="preserve"> is not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2"/>
      </w:r>
    </w:p>
    <w:p w14:paraId="354133BD" w14:textId="77777777" w:rsidR="00BC5DF9" w:rsidRPr="00E30314" w:rsidRDefault="00BC5DF9" w:rsidP="00BC5DF9">
      <w:pPr>
        <w:ind w:firstLine="720"/>
      </w:pPr>
    </w:p>
    <w:p w14:paraId="28F27D99" w14:textId="2DA6489D" w:rsidR="00BC5DF9" w:rsidRDefault="00BC5DF9" w:rsidP="003D080B">
      <w:pPr>
        <w:ind w:firstLine="720"/>
      </w:pPr>
      <w:r w:rsidRPr="00E30314">
        <w:t xml:space="preserve">Although the </w:t>
      </w:r>
      <w:r>
        <w:t>G</w:t>
      </w:r>
      <w:r w:rsidRPr="00E30314">
        <w:t xml:space="preserve">ap </w:t>
      </w:r>
      <w:r>
        <w:t>T</w:t>
      </w:r>
      <w:r w:rsidRPr="00E30314">
        <w:t xml:space="preserve">heory has gained considerable traction, </w:t>
      </w:r>
      <w:del w:id="145" w:author="Susan" w:date="2019-09-06T00:27:00Z">
        <w:r w:rsidR="0056054E" w:rsidDel="003A4E70">
          <w:delText xml:space="preserve">some </w:delText>
        </w:r>
        <w:r w:rsidR="003952FC" w:rsidDel="003A4E70">
          <w:delText xml:space="preserve"> scholars</w:delText>
        </w:r>
      </w:del>
      <w:ins w:id="146" w:author="Susan" w:date="2019-09-06T00:27:00Z">
        <w:r w:rsidR="003A4E70">
          <w:t>some scholars</w:t>
        </w:r>
      </w:ins>
      <w:r w:rsidR="003952FC">
        <w:t xml:space="preserve"> </w:t>
      </w:r>
      <w:r w:rsidR="0056054E">
        <w:t>have raised concerns</w:t>
      </w:r>
      <w:r w:rsidRPr="00E30314">
        <w:t xml:space="preserve"> that competitive forces might not adequately deter sellers from enforcing </w:t>
      </w:r>
      <w:r w:rsidR="0056054E">
        <w:t>their strict pro-seller terms</w:t>
      </w:r>
      <w:r w:rsidRPr="00E30314">
        <w:t xml:space="preserve">. These scholars rely mainly on the </w:t>
      </w:r>
      <w:r>
        <w:t>manifold</w:t>
      </w:r>
      <w:r w:rsidRPr="00E30314">
        <w:t xml:space="preserve"> evidence that informational flows in consumer markets are far from perfect</w:t>
      </w:r>
      <w:bookmarkStart w:id="147" w:name="_Ref428735355"/>
      <w:r w:rsidR="00CA7A7B">
        <w:t>,</w:t>
      </w:r>
      <w:bookmarkEnd w:id="147"/>
      <w:r w:rsidRPr="00E30314">
        <w:t xml:space="preserve"> because reputational information is neither reliable nor accurate.</w:t>
      </w:r>
      <w:r w:rsidRPr="00E30314">
        <w:rPr>
          <w:rStyle w:val="FootnoteReference"/>
        </w:rPr>
        <w:footnoteReference w:id="23"/>
      </w:r>
      <w:r w:rsidRPr="00E30314">
        <w:t xml:space="preserve"> </w:t>
      </w:r>
    </w:p>
    <w:p w14:paraId="2A104C67" w14:textId="77777777" w:rsidR="0056054E" w:rsidRPr="00E30314" w:rsidRDefault="0056054E" w:rsidP="0056054E">
      <w:pPr>
        <w:ind w:firstLine="720"/>
      </w:pPr>
    </w:p>
    <w:p w14:paraId="79C91AC3" w14:textId="1141D449" w:rsidR="00BC5DF9" w:rsidRPr="0027074F" w:rsidRDefault="00BC5DF9" w:rsidP="005332AE">
      <w:pPr>
        <w:ind w:firstLine="720"/>
      </w:pPr>
      <w:r w:rsidRPr="0027074F">
        <w:t>This debate has</w:t>
      </w:r>
      <w:r w:rsidR="00A00693">
        <w:t xml:space="preserve"> important policy implications. </w:t>
      </w:r>
      <w:r>
        <w:t>G</w:t>
      </w:r>
      <w:r w:rsidRPr="0027074F">
        <w:t xml:space="preserve">ap </w:t>
      </w:r>
      <w:r>
        <w:t>T</w:t>
      </w:r>
      <w:r w:rsidRPr="0027074F">
        <w:t xml:space="preserve">heory </w:t>
      </w:r>
      <w:r>
        <w:t xml:space="preserve">proponents </w:t>
      </w:r>
      <w:r w:rsidRPr="0027074F">
        <w:t>Lucian Be</w:t>
      </w:r>
      <w:r>
        <w:t>b</w:t>
      </w:r>
      <w:r w:rsidRPr="0027074F">
        <w:t xml:space="preserve">chuk and </w:t>
      </w:r>
      <w:r w:rsidR="00AC78F3">
        <w:t>Richard</w:t>
      </w:r>
      <w:r w:rsidR="00AC78F3" w:rsidRPr="0027074F">
        <w:t xml:space="preserve"> </w:t>
      </w:r>
      <w:r w:rsidRPr="0027074F">
        <w:t>Posner have suggested that “courts would do well to take a hard line in enforcing the terms of one-sided consumer contracts in the absence of evidence of fraud.”</w:t>
      </w:r>
      <w:r w:rsidRPr="0027074F">
        <w:rPr>
          <w:rStyle w:val="FootnoteReference"/>
        </w:rPr>
        <w:footnoteReference w:id="24"/>
      </w:r>
      <w:r w:rsidRPr="0027074F">
        <w:t xml:space="preserve"> At the same time, those who point to reputational failure highlight “the centrality of the </w:t>
      </w:r>
      <w:r w:rsidRPr="0027074F">
        <w:lastRenderedPageBreak/>
        <w:t>law to the future of the marketplace.”</w:t>
      </w:r>
      <w:r w:rsidRPr="0027074F">
        <w:rPr>
          <w:rStyle w:val="FootnoteReference"/>
        </w:rPr>
        <w:footnoteReference w:id="25"/>
      </w:r>
      <w:r w:rsidRPr="0027074F">
        <w:t xml:space="preserve"> Indeed, if sellers insist on adhering to the contract even when it is not socially desirable to do so, regulation of the contents of standardized agreements may be warranted after all.</w:t>
      </w:r>
    </w:p>
    <w:p w14:paraId="3314B648" w14:textId="77777777" w:rsidR="00BC5DF9" w:rsidRPr="00024384" w:rsidRDefault="00BC5DF9" w:rsidP="00BC5DF9">
      <w:pPr>
        <w:ind w:firstLine="720"/>
        <w:rPr>
          <w:highlight w:val="yellow"/>
        </w:rPr>
      </w:pPr>
    </w:p>
    <w:p w14:paraId="3CA1C358" w14:textId="41A53DFC" w:rsidR="00BC5DF9" w:rsidRPr="0027074F" w:rsidRDefault="00BC5DF9">
      <w:pPr>
        <w:ind w:firstLine="720"/>
      </w:pPr>
      <w:r>
        <w:t xml:space="preserve">In view of the conflicting policy prescriptions stemming from these theories, </w:t>
      </w:r>
      <w:r w:rsidRPr="0027074F">
        <w:t xml:space="preserve">exploring </w:t>
      </w:r>
      <w:r>
        <w:t>them</w:t>
      </w:r>
      <w:r w:rsidRPr="0027074F">
        <w:t xml:space="preserve"> in the field</w:t>
      </w:r>
      <w:r>
        <w:t xml:space="preserve"> is of </w:t>
      </w:r>
      <w:r w:rsidR="00B549DE">
        <w:t xml:space="preserve">the </w:t>
      </w:r>
      <w:r>
        <w:t>utmost importance. Yet, notwithstanding the practical implications of this debate,</w:t>
      </w:r>
      <w:r w:rsidRPr="0027074F">
        <w:t xml:space="preserve"> empirical investigation into the gap is surprisingly </w:t>
      </w:r>
      <w:r>
        <w:t>lacking</w:t>
      </w:r>
      <w:r w:rsidRPr="0027074F">
        <w:t xml:space="preserve">. This Article </w:t>
      </w:r>
      <w:r w:rsidR="00171EC6">
        <w:t>uses</w:t>
      </w:r>
      <w:r>
        <w:t xml:space="preserve"> the test case of product returns</w:t>
      </w:r>
      <w:r w:rsidR="00171EC6">
        <w:t xml:space="preserve"> to shed light on the gap theory</w:t>
      </w:r>
      <w:r>
        <w:t xml:space="preserve">. </w:t>
      </w:r>
    </w:p>
    <w:p w14:paraId="24CFE2FC" w14:textId="77777777" w:rsidR="00BC5DF9" w:rsidRPr="00024384" w:rsidRDefault="00BC5DF9" w:rsidP="00BC5DF9">
      <w:pPr>
        <w:ind w:firstLine="720"/>
        <w:rPr>
          <w:highlight w:val="yellow"/>
        </w:rPr>
      </w:pPr>
    </w:p>
    <w:p w14:paraId="5643931F" w14:textId="68AFC519" w:rsidR="00BC5DF9" w:rsidRDefault="00171EC6">
      <w:r>
        <w:t>The case study of product returns is particularly suitable for scrutiny because the gap literature has used r</w:t>
      </w:r>
      <w:r w:rsidRPr="00E30314">
        <w:t xml:space="preserve">eturn policies as the </w:t>
      </w:r>
      <w:r>
        <w:t>poster child</w:t>
      </w:r>
      <w:r w:rsidRPr="00E30314">
        <w:t xml:space="preserve"> example</w:t>
      </w:r>
      <w:r>
        <w:t xml:space="preserve"> for its hypothesis</w:t>
      </w:r>
      <w:r w:rsidRPr="00E30314">
        <w:rPr>
          <w:rStyle w:val="FootnoteReference"/>
        </w:rPr>
        <w:footnoteReference w:id="26"/>
      </w:r>
      <w:r>
        <w:t xml:space="preserve"> without any meaningful empirical investigation into sellers’ return practices on the ground.</w:t>
      </w:r>
      <w:r>
        <w:rPr>
          <w:rStyle w:val="FootnoteReference"/>
        </w:rPr>
        <w:footnoteReference w:id="27"/>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r w:rsidRPr="00005A37">
        <w:t xml:space="preserve"> </w:t>
      </w:r>
      <w:r w:rsidR="00BC5DF9" w:rsidRPr="00E30314">
        <w:t xml:space="preserve">The next section </w:t>
      </w:r>
      <w:r>
        <w:t>provides</w:t>
      </w:r>
      <w:r w:rsidR="00BC5DF9" w:rsidRPr="00E30314">
        <w:t xml:space="preserve"> background to the study by briefly presenting the legal framework governing </w:t>
      </w:r>
      <w:r>
        <w:t>product returns</w:t>
      </w:r>
      <w:r w:rsidR="00BC5DF9" w:rsidRPr="00E30314">
        <w:t>.</w:t>
      </w:r>
    </w:p>
    <w:p w14:paraId="42A9939E" w14:textId="77777777" w:rsidR="00B44FD4" w:rsidRPr="002D1B7B" w:rsidRDefault="00B44FD4" w:rsidP="006F20FB"/>
    <w:p w14:paraId="7E90E17F" w14:textId="73561BAC" w:rsidR="00B44FD4" w:rsidRPr="002D1B7B" w:rsidRDefault="008C211A" w:rsidP="00837555">
      <w:pPr>
        <w:pStyle w:val="Heading2"/>
        <w:ind w:left="1944"/>
      </w:pPr>
      <w:bookmarkStart w:id="148" w:name="_Toc17757411"/>
      <w:bookmarkStart w:id="149" w:name="_Toc18539937"/>
      <w:r>
        <w:t xml:space="preserve">The Case Study: </w:t>
      </w:r>
      <w:r w:rsidR="00B44FD4">
        <w:t>Retail Stores’ Return Policies</w:t>
      </w:r>
      <w:bookmarkEnd w:id="148"/>
      <w:bookmarkEnd w:id="149"/>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28"/>
      </w:r>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r>
        <w:rPr>
          <w:rStyle w:val="FootnoteReference"/>
        </w:rPr>
        <w:footnoteReference w:id="29"/>
      </w:r>
      <w:r w:rsidRPr="00110AC5">
        <w:t xml:space="preserve"> </w:t>
      </w:r>
      <w:r>
        <w:t>In 2016, for example, Americans returned $260 billion in merchandise (or eight percent of all purchases made in the United States) to retailers</w:t>
      </w:r>
      <w:r w:rsidRPr="00110AC5">
        <w:t>.</w:t>
      </w:r>
      <w:r>
        <w:rPr>
          <w:rStyle w:val="FootnoteReference"/>
        </w:rPr>
        <w:footnoteReference w:id="30"/>
      </w:r>
      <w:r w:rsidRPr="00110AC5">
        <w:t xml:space="preserve"> </w:t>
      </w:r>
    </w:p>
    <w:p w14:paraId="3C4B6ED8" w14:textId="77777777" w:rsidR="002B3BB4" w:rsidRDefault="002B3BB4" w:rsidP="002B3BB4">
      <w:pPr>
        <w:ind w:firstLine="720"/>
      </w:pPr>
    </w:p>
    <w:p w14:paraId="34E81B0D" w14:textId="77777777" w:rsidR="002B3BB4" w:rsidRDefault="002B3BB4" w:rsidP="002B3BB4">
      <w:r w:rsidRPr="00110AC5">
        <w:t>The ri</w:t>
      </w:r>
      <w:r>
        <w:t>ght to withdraw from consumer transactions is therefore an important consumer right.</w:t>
      </w:r>
      <w:r>
        <w:rPr>
          <w:rStyle w:val="FootnoteReference"/>
        </w:rPr>
        <w:footnoteReference w:id="31"/>
      </w:r>
      <w:r>
        <w:t xml:space="preserve"> It enables consumers to inspect the product and gain information that they are unable to obtain before the purchase, and allows them to cancel the transaction if they realize that it is no longer desirable or necessary. Yet, despite the enormous economic significance of the right to withdraw from consumer transactions, consumers are not in most cases</w:t>
      </w:r>
      <w:r>
        <w:rPr>
          <w:rStyle w:val="FootnoteReference"/>
        </w:rPr>
        <w:footnoteReference w:id="32"/>
      </w:r>
      <w:r>
        <w:t xml:space="preserve"> entitled to return non-defective goods to the seller under current U.S. law.</w:t>
      </w:r>
      <w:r>
        <w:rPr>
          <w:rStyle w:val="FootnoteReference"/>
        </w:rPr>
        <w:footnoteReference w:id="33"/>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r>
        <w:rPr>
          <w:rStyle w:val="FootnoteReference"/>
        </w:rPr>
        <w:footnoteReference w:id="34"/>
      </w:r>
      <w:r>
        <w:t xml:space="preserve"> others</w:t>
      </w:r>
      <w:r w:rsidRPr="00110AC5">
        <w:t xml:space="preserve"> believe that </w:t>
      </w:r>
      <w:r>
        <w:t xml:space="preserve">statutory intervention may </w:t>
      </w:r>
      <w:r>
        <w:lastRenderedPageBreak/>
        <w:t>not be warranted due to market incentives already in place.</w:t>
      </w:r>
      <w:r>
        <w:rPr>
          <w:rStyle w:val="FootnoteReference"/>
        </w:rPr>
        <w:footnoteReference w:id="35"/>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77777777" w:rsidR="002B3BB4" w:rsidRDefault="002B3BB4" w:rsidP="002B3BB4">
      <w:r>
        <w:t>Supporters of minimal intervention rely on the liberal return policies adopted by many sellers as standard commercial practice.</w:t>
      </w:r>
      <w:r>
        <w:rPr>
          <w:rStyle w:val="FootnoteReference"/>
        </w:rPr>
        <w:footnoteReference w:id="36"/>
      </w:r>
      <w:r>
        <w:t xml:space="preserve"> Yet, in recent years, </w:t>
      </w:r>
      <w:r>
        <w:rPr>
          <w:lang w:bidi="he-IL"/>
        </w:rPr>
        <w:t xml:space="preserve">stores have begun imposing more and more </w:t>
      </w:r>
      <w:r>
        <w:t>restrictions on consumer returns, to prevent consumers from being able to take advantage of retailers’ generous policies to obtain free product rentals.</w:t>
      </w:r>
      <w:r>
        <w:rPr>
          <w:rStyle w:val="FootnoteReference"/>
        </w:rPr>
        <w:footnoteReference w:id="37"/>
      </w:r>
      <w:r>
        <w:t xml:space="preserve"> These shifts in firms’ policies have spurred consumer outrage,</w:t>
      </w:r>
      <w:r>
        <w:rPr>
          <w:rStyle w:val="FootnoteReference"/>
        </w:rPr>
        <w:footnoteReference w:id="38"/>
      </w:r>
      <w:r>
        <w:t xml:space="preserve"> reviving the debate over the need to regulate consumers’ withdrawal rights.</w:t>
      </w:r>
      <w:r>
        <w:rPr>
          <w:rStyle w:val="FootnoteReference"/>
        </w:rPr>
        <w:footnoteReference w:id="39"/>
      </w:r>
      <w:r>
        <w:t xml:space="preserve"> </w:t>
      </w:r>
    </w:p>
    <w:p w14:paraId="3459AD30" w14:textId="77777777" w:rsidR="002B3BB4" w:rsidRDefault="002B3BB4" w:rsidP="002B3BB4">
      <w:pPr>
        <w:ind w:firstLine="0"/>
      </w:pPr>
    </w:p>
    <w:p w14:paraId="0552FE86" w14:textId="6BB1C57B" w:rsidR="005948CE" w:rsidRDefault="002B3BB4" w:rsidP="004073DD">
      <w:pPr>
        <w:pStyle w:val="FootnoteText"/>
      </w:pPr>
      <w:r>
        <w:lastRenderedPageBreak/>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51" w:name="_Ref429219882"/>
      <w:r w:rsidRPr="00D81301">
        <w:rPr>
          <w:rStyle w:val="FootnoteReference"/>
          <w:sz w:val="24"/>
          <w:szCs w:val="24"/>
        </w:rPr>
        <w:footnoteReference w:id="40"/>
      </w:r>
      <w:bookmarkEnd w:id="151"/>
      <w:r w:rsidRPr="00D81301">
        <w:rPr>
          <w:sz w:val="24"/>
          <w:szCs w:val="24"/>
        </w:rPr>
        <w:t xml:space="preserve"> This Article </w:t>
      </w:r>
      <w:r w:rsidR="004073DD">
        <w:rPr>
          <w:sz w:val="24"/>
          <w:szCs w:val="24"/>
        </w:rPr>
        <w:t>presents</w:t>
      </w:r>
      <w:r w:rsidR="00E90A5A" w:rsidRPr="00D81301">
        <w:rPr>
          <w:sz w:val="24"/>
          <w:szCs w:val="24"/>
        </w:rPr>
        <w:t xml:space="preserve"> the first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52" w:name="_Toc17757425"/>
      <w:bookmarkStart w:id="153" w:name="_Toc18539938"/>
      <w:r>
        <w:t>I</w:t>
      </w:r>
      <w:r w:rsidR="00FD0A6B">
        <w:t xml:space="preserve">I. </w:t>
      </w:r>
      <w:r w:rsidR="00227142">
        <w:t>Sample &amp;</w:t>
      </w:r>
      <w:r w:rsidR="00CC4D86">
        <w:t xml:space="preserve"> Design</w:t>
      </w:r>
      <w:bookmarkEnd w:id="152"/>
      <w:bookmarkEnd w:id="153"/>
    </w:p>
    <w:p w14:paraId="10315EB7" w14:textId="77777777" w:rsidR="005948CE" w:rsidRPr="005948CE" w:rsidRDefault="005948CE"/>
    <w:p w14:paraId="6BF47712" w14:textId="1EFF75CF" w:rsidR="00227142" w:rsidRPr="004E4C99" w:rsidRDefault="005948CE" w:rsidP="00715DD3">
      <w:pPr>
        <w:rPr>
          <w:highlight w:val="yellow"/>
        </w:rPr>
      </w:pPr>
      <w:r w:rsidRPr="004E4C99">
        <w:rPr>
          <w:szCs w:val="24"/>
          <w:highlight w:val="yellow"/>
        </w:rPr>
        <w:t xml:space="preserve">To test whether there is a gap between retailers’ return policy terms and their actual enforcement vis-à-vis consumers, </w:t>
      </w:r>
      <w:r w:rsidR="00F7706A" w:rsidRPr="004E4C99">
        <w:rPr>
          <w:szCs w:val="24"/>
          <w:highlight w:val="yellow"/>
        </w:rPr>
        <w:t>I conducted a field experiment</w:t>
      </w:r>
      <w:r w:rsidR="00227142" w:rsidRPr="004E4C99">
        <w:rPr>
          <w:szCs w:val="24"/>
          <w:highlight w:val="yellow"/>
        </w:rPr>
        <w:t xml:space="preserve"> using</w:t>
      </w:r>
      <w:r w:rsidR="00F7706A" w:rsidRPr="004E4C99">
        <w:rPr>
          <w:szCs w:val="24"/>
          <w:highlight w:val="yellow"/>
        </w:rPr>
        <w:t xml:space="preserve"> an audit technique</w:t>
      </w:r>
      <w:r w:rsidR="00227142" w:rsidRPr="004E4C99">
        <w:rPr>
          <w:szCs w:val="24"/>
          <w:highlight w:val="yellow"/>
        </w:rPr>
        <w:t>.</w:t>
      </w:r>
      <w:r w:rsidR="00F7706A" w:rsidRPr="004E4C99">
        <w:rPr>
          <w:szCs w:val="24"/>
          <w:highlight w:val="yellow"/>
        </w:rPr>
        <w:t xml:space="preserve"> </w:t>
      </w:r>
      <w:r w:rsidR="005271AF" w:rsidRPr="004E4C99">
        <w:rPr>
          <w:highlight w:val="yellow"/>
        </w:rPr>
        <w:t>Although legal scholars have only recently begun to conduct field studies, such studies are increasingly used in legal scholarship, and are considered as “one of the most powerful empirical tools for identifying causal relationships.”</w:t>
      </w:r>
      <w:bookmarkStart w:id="154" w:name="_Ref429220055"/>
      <w:r w:rsidR="005271AF" w:rsidRPr="004E4C99">
        <w:rPr>
          <w:rStyle w:val="FootnoteReference"/>
          <w:highlight w:val="yellow"/>
        </w:rPr>
        <w:footnoteReference w:id="41"/>
      </w:r>
      <w:bookmarkEnd w:id="154"/>
      <w:r w:rsidR="005271AF" w:rsidRPr="004E4C99">
        <w:rPr>
          <w:rFonts w:asciiTheme="majorBidi" w:hAnsiTheme="majorBidi" w:cstheme="majorBidi"/>
          <w:highlight w:val="yellow"/>
        </w:rPr>
        <w:t xml:space="preserve"> The audit technique used in this study is similar to audit techniques used in discrimination </w:t>
      </w:r>
      <w:r w:rsidR="005271AF" w:rsidRPr="004E4C99">
        <w:rPr>
          <w:rFonts w:asciiTheme="majorBidi" w:hAnsiTheme="majorBidi" w:cstheme="majorBidi"/>
          <w:highlight w:val="yellow"/>
        </w:rPr>
        <w:lastRenderedPageBreak/>
        <w:t>studies</w:t>
      </w:r>
      <w:ins w:id="157" w:author="Susan" w:date="2019-09-05T23:14:00Z">
        <w:r w:rsidR="00715DD3">
          <w:rPr>
            <w:rFonts w:asciiTheme="majorBidi" w:hAnsiTheme="majorBidi" w:cstheme="majorBidi"/>
            <w:highlight w:val="yellow"/>
          </w:rPr>
          <w:t>.</w:t>
        </w:r>
      </w:ins>
      <w:del w:id="158" w:author="Susan" w:date="2019-09-05T23:14:00Z">
        <w:r w:rsidR="005271AF" w:rsidRPr="004E4C99" w:rsidDel="00715DD3">
          <w:rPr>
            <w:rFonts w:asciiTheme="majorBidi" w:hAnsiTheme="majorBidi" w:cstheme="majorBidi"/>
            <w:highlight w:val="yellow"/>
          </w:rPr>
          <w:delText>:</w:delText>
        </w:r>
      </w:del>
      <w:r w:rsidR="005271AF" w:rsidRPr="004E4C99">
        <w:rPr>
          <w:rStyle w:val="FootnoteReference"/>
          <w:rFonts w:asciiTheme="majorBidi" w:hAnsiTheme="majorBidi" w:cstheme="majorBidi"/>
          <w:highlight w:val="yellow"/>
        </w:rPr>
        <w:footnoteReference w:id="42"/>
      </w:r>
      <w:r w:rsidR="005271AF" w:rsidRPr="004E4C99">
        <w:rPr>
          <w:highlight w:val="yellow"/>
        </w:rPr>
        <w:t xml:space="preserve"> </w:t>
      </w:r>
      <w:r w:rsidR="00F7706A" w:rsidRPr="004E4C99">
        <w:rPr>
          <w:szCs w:val="24"/>
          <w:highlight w:val="yellow"/>
        </w:rPr>
        <w:t>T</w:t>
      </w:r>
      <w:r w:rsidRPr="004E4C99">
        <w:rPr>
          <w:szCs w:val="24"/>
          <w:highlight w:val="yellow"/>
        </w:rPr>
        <w:t>esters (white American female</w:t>
      </w:r>
      <w:r w:rsidR="007C6933" w:rsidRPr="004E4C99">
        <w:rPr>
          <w:szCs w:val="24"/>
          <w:highlight w:val="yellow"/>
        </w:rPr>
        <w:t>s</w:t>
      </w:r>
      <w:r w:rsidR="005271AF" w:rsidRPr="004E4C99">
        <w:rPr>
          <w:szCs w:val="24"/>
          <w:highlight w:val="yellow"/>
        </w:rPr>
        <w:t xml:space="preserve"> </w:t>
      </w:r>
      <w:ins w:id="167" w:author="Susan" w:date="2019-09-05T23:14:00Z">
        <w:r w:rsidR="00715DD3">
          <w:rPr>
            <w:szCs w:val="24"/>
            <w:highlight w:val="yellow"/>
          </w:rPr>
          <w:t>of approximately</w:t>
        </w:r>
      </w:ins>
      <w:del w:id="168" w:author="Susan" w:date="2019-09-05T23:14:00Z">
        <w:r w:rsidR="005271AF" w:rsidRPr="004E4C99" w:rsidDel="00715DD3">
          <w:rPr>
            <w:szCs w:val="24"/>
            <w:highlight w:val="yellow"/>
          </w:rPr>
          <w:delText>roughly</w:delText>
        </w:r>
        <w:r w:rsidRPr="004E4C99" w:rsidDel="00715DD3">
          <w:rPr>
            <w:szCs w:val="24"/>
            <w:highlight w:val="yellow"/>
          </w:rPr>
          <w:delText xml:space="preserve"> around</w:delText>
        </w:r>
      </w:del>
      <w:r w:rsidRPr="004E4C99">
        <w:rPr>
          <w:szCs w:val="24"/>
          <w:highlight w:val="yellow"/>
        </w:rPr>
        <w:t xml:space="preserve"> the same age) were sent to return clothing items to 132 retail stores located in Chicago</w:t>
      </w:r>
      <w:r w:rsidRPr="004E4C99">
        <w:rPr>
          <w:highlight w:val="yellow"/>
        </w:rPr>
        <w:t>.</w:t>
      </w:r>
      <w:r w:rsidR="005271AF" w:rsidRPr="004E4C99">
        <w:rPr>
          <w:szCs w:val="24"/>
          <w:highlight w:val="yellow"/>
        </w:rPr>
        <w:t xml:space="preserve"> The testers all wore casual clothing and</w:t>
      </w:r>
      <w:ins w:id="169" w:author="Susan" w:date="2019-09-05T23:15:00Z">
        <w:r w:rsidR="00715DD3">
          <w:rPr>
            <w:szCs w:val="24"/>
            <w:highlight w:val="yellow"/>
          </w:rPr>
          <w:t xml:space="preserve"> followed a memorized script</w:t>
        </w:r>
      </w:ins>
      <w:r w:rsidR="005271AF" w:rsidRPr="004E4C99">
        <w:rPr>
          <w:szCs w:val="24"/>
          <w:highlight w:val="yellow"/>
        </w:rPr>
        <w:t xml:space="preserve"> in their interactions with store clerks</w:t>
      </w:r>
      <w:ins w:id="170" w:author="Susan" w:date="2019-09-05T23:15:00Z">
        <w:r w:rsidR="00715DD3">
          <w:rPr>
            <w:szCs w:val="24"/>
            <w:highlight w:val="yellow"/>
          </w:rPr>
          <w:t>.</w:t>
        </w:r>
      </w:ins>
      <w:del w:id="171" w:author="Susan" w:date="2019-09-05T23:15:00Z">
        <w:r w:rsidR="005271AF" w:rsidRPr="004E4C99" w:rsidDel="00715DD3">
          <w:rPr>
            <w:szCs w:val="24"/>
            <w:highlight w:val="yellow"/>
          </w:rPr>
          <w:delText xml:space="preserve"> followed a memorized script</w:delText>
        </w:r>
        <w:r w:rsidR="00100990" w:rsidRPr="004E4C99" w:rsidDel="00715DD3">
          <w:rPr>
            <w:highlight w:val="yellow"/>
          </w:rPr>
          <w:delText>.</w:delText>
        </w:r>
      </w:del>
    </w:p>
    <w:p w14:paraId="5A17986C" w14:textId="77777777" w:rsidR="00B35E28" w:rsidRPr="004E4C99" w:rsidRDefault="00B35E28" w:rsidP="00D81301">
      <w:pPr>
        <w:ind w:firstLine="0"/>
        <w:rPr>
          <w:highlight w:val="yellow"/>
        </w:rPr>
      </w:pPr>
    </w:p>
    <w:p w14:paraId="2346861A" w14:textId="4648163D" w:rsidR="005271AF" w:rsidRDefault="005271AF">
      <w:r w:rsidRPr="004E4C99">
        <w:rPr>
          <w:highlight w:val="yellow"/>
        </w:rPr>
        <w:t xml:space="preserve">The stores were selected from </w:t>
      </w:r>
      <w:r w:rsidR="009E3DDE" w:rsidRPr="004E4C99">
        <w:rPr>
          <w:highlight w:val="yellow"/>
        </w:rPr>
        <w:t>the ReferenceUSA</w:t>
      </w:r>
      <w:r w:rsidRPr="004E4C99">
        <w:rPr>
          <w:highlight w:val="yellow"/>
        </w:rPr>
        <w:t xml:space="preserve"> and Hoover’s Company Directories’ databases </w:t>
      </w:r>
      <w:ins w:id="172" w:author="Susan" w:date="2019-09-06T00:08:00Z">
        <w:r w:rsidR="00B738F0">
          <w:rPr>
            <w:highlight w:val="yellow"/>
          </w:rPr>
          <w:t xml:space="preserve">according to </w:t>
        </w:r>
      </w:ins>
      <w:del w:id="173" w:author="Susan" w:date="2019-09-06T00:08:00Z">
        <w:r w:rsidRPr="004E4C99" w:rsidDel="00B738F0">
          <w:rPr>
            <w:highlight w:val="yellow"/>
          </w:rPr>
          <w:delText xml:space="preserve">based on </w:delText>
        </w:r>
      </w:del>
      <w:r w:rsidRPr="004E4C99">
        <w:rPr>
          <w:highlight w:val="yellow"/>
        </w:rPr>
        <w:t xml:space="preserve">the following selection criteria: </w:t>
      </w:r>
      <w:ins w:id="174" w:author="Susan" w:date="2019-09-05T23:16:00Z">
        <w:r w:rsidR="00225FF5">
          <w:rPr>
            <w:highlight w:val="yellow"/>
          </w:rPr>
          <w:t>t</w:t>
        </w:r>
      </w:ins>
      <w:del w:id="175" w:author="Susan" w:date="2019-09-05T23:16:00Z">
        <w:r w:rsidRPr="004E4C99" w:rsidDel="00225FF5">
          <w:rPr>
            <w:highlight w:val="yellow"/>
          </w:rPr>
          <w:delText>T</w:delText>
        </w:r>
      </w:del>
      <w:r w:rsidRPr="004E4C99">
        <w:rPr>
          <w:highlight w:val="yellow"/>
        </w:rPr>
        <w:t>hey all had a Chicago location</w:t>
      </w:r>
      <w:ins w:id="176" w:author="Susan" w:date="2019-09-05T23:16:00Z">
        <w:r w:rsidR="00225FF5">
          <w:rPr>
            <w:highlight w:val="yellow"/>
          </w:rPr>
          <w:t>;</w:t>
        </w:r>
      </w:ins>
      <w:del w:id="177" w:author="Susan" w:date="2019-09-05T23:16:00Z">
        <w:r w:rsidRPr="004E4C99" w:rsidDel="00225FF5">
          <w:rPr>
            <w:highlight w:val="yellow"/>
          </w:rPr>
          <w:delText>,</w:delText>
        </w:r>
      </w:del>
      <w:r w:rsidRPr="004E4C99">
        <w:rPr>
          <w:highlight w:val="yellow"/>
        </w:rPr>
        <w:t xml:space="preserve"> and they all required a receipt</w:t>
      </w:r>
      <w:ins w:id="178" w:author="Susan" w:date="2019-09-05T23:16:00Z">
        <w:r w:rsidR="00225FF5">
          <w:rPr>
            <w:highlight w:val="yellow"/>
          </w:rPr>
          <w:t>,</w:t>
        </w:r>
      </w:ins>
      <w:del w:id="179" w:author="Susan" w:date="2019-09-05T23:16:00Z">
        <w:r w:rsidRPr="004E4C99" w:rsidDel="00225FF5">
          <w:rPr>
            <w:highlight w:val="yellow"/>
          </w:rPr>
          <w:delText>—</w:delText>
        </w:r>
      </w:del>
      <w:ins w:id="180" w:author="Susan" w:date="2019-09-05T23:16:00Z">
        <w:r w:rsidR="00225FF5">
          <w:rPr>
            <w:highlight w:val="yellow"/>
          </w:rPr>
          <w:t xml:space="preserve"> </w:t>
        </w:r>
      </w:ins>
      <w:r w:rsidRPr="004E4C99">
        <w:rPr>
          <w:highlight w:val="yellow"/>
        </w:rPr>
        <w:t xml:space="preserve">either for any return or exchange or for a refund. </w:t>
      </w:r>
      <w:r w:rsidR="00B40733" w:rsidRPr="004E4C99">
        <w:rPr>
          <w:highlight w:val="yellow"/>
        </w:rPr>
        <w:t>In addition, dollar stores were deliberately excluded from the sample in order to make the analysis more tractable.</w:t>
      </w:r>
      <w:r w:rsidR="008C58C1" w:rsidRPr="004E4C99">
        <w:rPr>
          <w:highlight w:val="yellow"/>
        </w:rPr>
        <w:t xml:space="preserve"> To keep the items’ prices fixed across stores </w:t>
      </w:r>
      <w:del w:id="181" w:author="Susan" w:date="2019-09-05T23:16:00Z">
        <w:r w:rsidR="008C58C1" w:rsidRPr="004E4C99" w:rsidDel="00225FF5">
          <w:rPr>
            <w:highlight w:val="yellow"/>
          </w:rPr>
          <w:delText>(</w:delText>
        </w:r>
      </w:del>
      <w:r w:rsidR="008C58C1" w:rsidRPr="004E4C99">
        <w:rPr>
          <w:highlight w:val="yellow"/>
        </w:rPr>
        <w:t>at between $20 to $30</w:t>
      </w:r>
      <w:del w:id="182" w:author="Susan" w:date="2019-09-05T23:16:00Z">
        <w:r w:rsidR="008C58C1" w:rsidRPr="004E4C99" w:rsidDel="00225FF5">
          <w:rPr>
            <w:highlight w:val="yellow"/>
          </w:rPr>
          <w:delText>)</w:delText>
        </w:r>
      </w:del>
      <w:r w:rsidR="008C58C1" w:rsidRPr="004E4C99">
        <w:rPr>
          <w:highlight w:val="yellow"/>
        </w:rPr>
        <w:t>, designer stores that did not offer items for $30 or less were also excluded from the sample</w:t>
      </w:r>
      <w:r w:rsidR="00E717CB" w:rsidRPr="004E4C99">
        <w:rPr>
          <w:highlight w:val="yellow"/>
        </w:rPr>
        <w:t>.</w:t>
      </w:r>
      <w:r w:rsidR="008D0306" w:rsidRPr="004E4C99">
        <w:rPr>
          <w:rStyle w:val="FootnoteReference"/>
          <w:highlight w:val="yellow"/>
        </w:rPr>
        <w:footnoteReference w:id="43"/>
      </w:r>
      <w:r w:rsidR="008C58C1" w:rsidRPr="004E4C99">
        <w:rPr>
          <w:highlight w:val="yellow"/>
        </w:rPr>
        <w:t xml:space="preserve"> </w:t>
      </w:r>
      <w:r w:rsidRPr="004E4C99">
        <w:rPr>
          <w:highlight w:val="yellow"/>
        </w:rPr>
        <w:t xml:space="preserve">I chose to explore the enforcement of “receipt required” return policies because they are both very common and strongly disliked by many consumers, who perceive the receipt requirement as an unnecessary </w:t>
      </w:r>
      <w:ins w:id="187" w:author="Susan" w:date="2019-09-06T00:09:00Z">
        <w:r w:rsidR="00B738F0">
          <w:rPr>
            <w:highlight w:val="yellow"/>
          </w:rPr>
          <w:t>burden</w:t>
        </w:r>
      </w:ins>
      <w:del w:id="188" w:author="Susan" w:date="2019-09-06T00:09:00Z">
        <w:r w:rsidRPr="004E4C99" w:rsidDel="00B738F0">
          <w:rPr>
            <w:highlight w:val="yellow"/>
          </w:rPr>
          <w:delText>hassle</w:delText>
        </w:r>
      </w:del>
      <w:r w:rsidRPr="004E4C99">
        <w:rPr>
          <w:highlight w:val="yellow"/>
        </w:rPr>
        <w:t>.</w:t>
      </w:r>
      <w:r w:rsidRPr="004E4C99">
        <w:rPr>
          <w:rStyle w:val="FootnoteReference"/>
          <w:highlight w:val="yellow"/>
        </w:rPr>
        <w:footnoteReference w:id="44"/>
      </w:r>
    </w:p>
    <w:p w14:paraId="7BF1C712" w14:textId="77777777" w:rsidR="00F444EB" w:rsidRDefault="00F444EB" w:rsidP="00D81301">
      <w:pPr>
        <w:ind w:firstLine="0"/>
        <w:rPr>
          <w:rFonts w:asciiTheme="majorBidi" w:hAnsiTheme="majorBidi" w:cstheme="majorBidi"/>
          <w:szCs w:val="24"/>
        </w:rPr>
      </w:pPr>
    </w:p>
    <w:p w14:paraId="0F46A06B" w14:textId="1D956EB7" w:rsidR="009131CF" w:rsidRPr="004E4C99" w:rsidRDefault="00EE2087">
      <w:pPr>
        <w:rPr>
          <w:rFonts w:asciiTheme="majorBidi" w:hAnsiTheme="majorBidi" w:cstheme="majorBidi"/>
          <w:szCs w:val="24"/>
          <w:highlight w:val="yellow"/>
        </w:rPr>
      </w:pPr>
      <w:r w:rsidRPr="004E4C99">
        <w:rPr>
          <w:highlight w:val="yellow"/>
        </w:rPr>
        <w:t>In each store, testers</w:t>
      </w:r>
      <w:r w:rsidRPr="004E4C99">
        <w:rPr>
          <w:rFonts w:asciiTheme="majorBidi" w:hAnsiTheme="majorBidi" w:cstheme="majorBidi"/>
          <w:szCs w:val="24"/>
          <w:highlight w:val="yellow"/>
        </w:rPr>
        <w:t xml:space="preserve"> attempted to return a clothing item</w:t>
      </w:r>
      <w:r w:rsidR="00CF63B7" w:rsidRPr="004E4C99">
        <w:rPr>
          <w:rFonts w:asciiTheme="majorBidi" w:hAnsiTheme="majorBidi" w:cstheme="majorBidi"/>
          <w:szCs w:val="24"/>
          <w:highlight w:val="yellow"/>
        </w:rPr>
        <w:t xml:space="preserve"> </w:t>
      </w:r>
      <w:del w:id="189" w:author="Susan" w:date="2019-09-05T23:17:00Z">
        <w:r w:rsidR="00CF63B7" w:rsidRPr="004E4C99" w:rsidDel="00225FF5">
          <w:rPr>
            <w:rFonts w:asciiTheme="majorBidi" w:hAnsiTheme="majorBidi" w:cstheme="majorBidi"/>
            <w:szCs w:val="24"/>
            <w:highlight w:val="yellow"/>
          </w:rPr>
          <w:delText>(</w:delText>
        </w:r>
      </w:del>
      <w:r w:rsidR="00CF63B7" w:rsidRPr="004E4C99">
        <w:rPr>
          <w:rFonts w:asciiTheme="majorBidi" w:hAnsiTheme="majorBidi" w:cstheme="majorBidi"/>
          <w:szCs w:val="24"/>
          <w:highlight w:val="yellow"/>
        </w:rPr>
        <w:t>that had been purchased in advance</w:t>
      </w:r>
      <w:del w:id="190" w:author="Susan" w:date="2019-09-05T23:17:00Z">
        <w:r w:rsidR="00CF63B7" w:rsidRPr="004E4C99" w:rsidDel="00225FF5">
          <w:rPr>
            <w:rFonts w:asciiTheme="majorBidi" w:hAnsiTheme="majorBidi" w:cstheme="majorBidi"/>
            <w:szCs w:val="24"/>
            <w:highlight w:val="yellow"/>
          </w:rPr>
          <w:delText>)</w:delText>
        </w:r>
      </w:del>
      <w:r w:rsidR="002756B7" w:rsidRPr="004E4C99">
        <w:rPr>
          <w:rStyle w:val="FootnoteReference"/>
          <w:rFonts w:asciiTheme="majorBidi" w:hAnsiTheme="majorBidi" w:cstheme="majorBidi"/>
          <w:szCs w:val="24"/>
          <w:highlight w:val="yellow"/>
        </w:rPr>
        <w:footnoteReference w:id="45"/>
      </w:r>
      <w:r w:rsidR="004C7207" w:rsidRPr="004E4C99">
        <w:rPr>
          <w:rFonts w:asciiTheme="majorBidi" w:hAnsiTheme="majorBidi" w:cstheme="majorBidi"/>
          <w:szCs w:val="24"/>
          <w:highlight w:val="yellow"/>
        </w:rPr>
        <w:t xml:space="preserve"> </w:t>
      </w:r>
      <w:r w:rsidRPr="004E4C99">
        <w:rPr>
          <w:rFonts w:asciiTheme="majorBidi" w:hAnsiTheme="majorBidi" w:cstheme="majorBidi"/>
          <w:szCs w:val="24"/>
          <w:highlight w:val="yellow"/>
        </w:rPr>
        <w:t xml:space="preserve">in its original packaging and condition, with tags </w:t>
      </w:r>
      <w:r w:rsidRPr="004E4C99">
        <w:rPr>
          <w:rFonts w:asciiTheme="majorBidi" w:hAnsiTheme="majorBidi" w:cstheme="majorBidi"/>
          <w:szCs w:val="24"/>
          <w:highlight w:val="yellow"/>
        </w:rPr>
        <w:lastRenderedPageBreak/>
        <w:t xml:space="preserve">attached, but </w:t>
      </w:r>
      <w:r w:rsidRPr="004E4C99">
        <w:rPr>
          <w:rFonts w:asciiTheme="majorBidi" w:hAnsiTheme="majorBidi" w:cstheme="majorBidi"/>
          <w:i/>
          <w:iCs/>
          <w:szCs w:val="24"/>
          <w:highlight w:val="yellow"/>
        </w:rPr>
        <w:t>without the receipt</w:t>
      </w:r>
      <w:r w:rsidRPr="004E4C99">
        <w:rPr>
          <w:rFonts w:asciiTheme="majorBidi" w:hAnsiTheme="majorBidi" w:cstheme="majorBidi"/>
          <w:szCs w:val="24"/>
          <w:highlight w:val="yellow"/>
        </w:rPr>
        <w:t>.</w:t>
      </w:r>
      <w:r w:rsidR="00CF63B7" w:rsidRPr="004E4C99">
        <w:rPr>
          <w:rStyle w:val="FootnoteReference"/>
          <w:rFonts w:asciiTheme="majorBidi" w:hAnsiTheme="majorBidi" w:cstheme="majorBidi"/>
          <w:szCs w:val="24"/>
          <w:highlight w:val="yellow"/>
        </w:rPr>
        <w:footnoteReference w:id="46"/>
      </w:r>
      <w:r w:rsidRPr="004E4C99">
        <w:rPr>
          <w:rFonts w:asciiTheme="majorBidi" w:hAnsiTheme="majorBidi" w:cstheme="majorBidi"/>
          <w:szCs w:val="24"/>
          <w:highlight w:val="yellow"/>
        </w:rPr>
        <w:t xml:space="preserve"> </w:t>
      </w:r>
      <w:r w:rsidR="00DC2734" w:rsidRPr="004E4C99">
        <w:rPr>
          <w:rFonts w:asciiTheme="majorBidi" w:hAnsiTheme="majorBidi" w:cstheme="majorBidi"/>
          <w:szCs w:val="24"/>
          <w:highlight w:val="yellow"/>
        </w:rPr>
        <w:t xml:space="preserve">They were instructed to wait in line until a store clerk </w:t>
      </w:r>
      <w:r w:rsidR="00E717CB" w:rsidRPr="004E4C99">
        <w:rPr>
          <w:rFonts w:asciiTheme="majorBidi" w:hAnsiTheme="majorBidi" w:cstheme="majorBidi"/>
          <w:szCs w:val="24"/>
          <w:highlight w:val="yellow"/>
        </w:rPr>
        <w:t>became</w:t>
      </w:r>
      <w:r w:rsidR="00DC2734" w:rsidRPr="004E4C99">
        <w:rPr>
          <w:rFonts w:asciiTheme="majorBidi" w:hAnsiTheme="majorBidi" w:cstheme="majorBidi"/>
          <w:szCs w:val="24"/>
          <w:highlight w:val="yellow"/>
        </w:rPr>
        <w:t xml:space="preserve"> available and ask</w:t>
      </w:r>
      <w:r w:rsidR="00E717CB" w:rsidRPr="004E4C99">
        <w:rPr>
          <w:rFonts w:asciiTheme="majorBidi" w:hAnsiTheme="majorBidi" w:cstheme="majorBidi"/>
          <w:szCs w:val="24"/>
          <w:highlight w:val="yellow"/>
        </w:rPr>
        <w:t>ed</w:t>
      </w:r>
      <w:r w:rsidR="00DC2734" w:rsidRPr="004E4C99">
        <w:rPr>
          <w:rFonts w:asciiTheme="majorBidi" w:hAnsiTheme="majorBidi" w:cstheme="majorBidi"/>
          <w:szCs w:val="24"/>
          <w:highlight w:val="yellow"/>
        </w:rPr>
        <w:t xml:space="preserve"> them what he or she </w:t>
      </w:r>
      <w:ins w:id="207" w:author="Susan" w:date="2019-09-05T23:17:00Z">
        <w:r w:rsidR="00225FF5">
          <w:rPr>
            <w:rFonts w:asciiTheme="majorBidi" w:hAnsiTheme="majorBidi" w:cstheme="majorBidi"/>
            <w:szCs w:val="24"/>
            <w:highlight w:val="yellow"/>
          </w:rPr>
          <w:t>could</w:t>
        </w:r>
      </w:ins>
      <w:del w:id="208" w:author="Susan" w:date="2019-09-05T23:17:00Z">
        <w:r w:rsidR="00DC2734" w:rsidRPr="004E4C99" w:rsidDel="00225FF5">
          <w:rPr>
            <w:rFonts w:asciiTheme="majorBidi" w:hAnsiTheme="majorBidi" w:cstheme="majorBidi"/>
            <w:szCs w:val="24"/>
            <w:highlight w:val="yellow"/>
          </w:rPr>
          <w:delText>can</w:delText>
        </w:r>
      </w:del>
      <w:r w:rsidR="00DC2734" w:rsidRPr="004E4C99">
        <w:rPr>
          <w:rFonts w:asciiTheme="majorBidi" w:hAnsiTheme="majorBidi" w:cstheme="majorBidi"/>
          <w:szCs w:val="24"/>
          <w:highlight w:val="yellow"/>
        </w:rPr>
        <w:t xml:space="preserve"> do for them. The</w:t>
      </w:r>
      <w:ins w:id="209" w:author="Susan" w:date="2019-09-05T23:17:00Z">
        <w:r w:rsidR="00225FF5">
          <w:rPr>
            <w:rFonts w:asciiTheme="majorBidi" w:hAnsiTheme="majorBidi" w:cstheme="majorBidi"/>
            <w:szCs w:val="24"/>
            <w:highlight w:val="yellow"/>
          </w:rPr>
          <w:t xml:space="preserve"> testers</w:t>
        </w:r>
      </w:ins>
      <w:del w:id="210" w:author="Susan" w:date="2019-09-05T23:17:00Z">
        <w:r w:rsidR="00DC2734" w:rsidRPr="004E4C99" w:rsidDel="00225FF5">
          <w:rPr>
            <w:rFonts w:asciiTheme="majorBidi" w:hAnsiTheme="majorBidi" w:cstheme="majorBidi"/>
            <w:szCs w:val="24"/>
            <w:highlight w:val="yellow"/>
          </w:rPr>
          <w:delText>y</w:delText>
        </w:r>
      </w:del>
      <w:r w:rsidR="00DC2734" w:rsidRPr="004E4C99">
        <w:rPr>
          <w:rFonts w:asciiTheme="majorBidi" w:hAnsiTheme="majorBidi" w:cstheme="majorBidi"/>
          <w:szCs w:val="24"/>
          <w:highlight w:val="yellow"/>
        </w:rPr>
        <w:t xml:space="preserve"> were then instructed to say that they wanted to return the item, and to put the item in its original packaging on the counter. If the store clerk asked them why they wanted to return the item, testers would say that </w:t>
      </w:r>
      <w:r w:rsidR="00B40733" w:rsidRPr="004E4C99">
        <w:rPr>
          <w:rFonts w:asciiTheme="majorBidi" w:hAnsiTheme="majorBidi" w:cstheme="majorBidi"/>
          <w:szCs w:val="24"/>
          <w:highlight w:val="yellow"/>
        </w:rPr>
        <w:t xml:space="preserve">they </w:t>
      </w:r>
      <w:r w:rsidR="00DC2734" w:rsidRPr="004E4C99">
        <w:rPr>
          <w:rFonts w:asciiTheme="majorBidi" w:hAnsiTheme="majorBidi" w:cstheme="majorBidi"/>
          <w:szCs w:val="24"/>
          <w:highlight w:val="yellow"/>
        </w:rPr>
        <w:t>realized they did not need it.</w:t>
      </w:r>
      <w:r w:rsidR="008955E7" w:rsidRPr="004E4C99">
        <w:rPr>
          <w:rStyle w:val="FootnoteReference"/>
          <w:rFonts w:asciiTheme="majorBidi" w:hAnsiTheme="majorBidi" w:cstheme="majorBidi"/>
          <w:szCs w:val="24"/>
          <w:highlight w:val="yellow"/>
        </w:rPr>
        <w:footnoteReference w:id="47"/>
      </w:r>
      <w:r w:rsidR="00DC2734" w:rsidRPr="004E4C99">
        <w:rPr>
          <w:rFonts w:asciiTheme="majorBidi" w:hAnsiTheme="majorBidi" w:cstheme="majorBidi"/>
          <w:szCs w:val="24"/>
          <w:highlight w:val="yellow"/>
        </w:rPr>
        <w:t xml:space="preserve"> </w:t>
      </w:r>
      <w:del w:id="219" w:author="Susan" w:date="2019-09-06T00:27:00Z">
        <w:r w:rsidR="00DC2734" w:rsidRPr="004E4C99" w:rsidDel="003A4E70">
          <w:rPr>
            <w:rFonts w:asciiTheme="majorBidi" w:hAnsiTheme="majorBidi" w:cstheme="majorBidi"/>
            <w:szCs w:val="24"/>
            <w:highlight w:val="yellow"/>
          </w:rPr>
          <w:delText xml:space="preserve"> </w:delText>
        </w:r>
      </w:del>
      <w:r w:rsidRPr="004E4C99">
        <w:rPr>
          <w:rFonts w:asciiTheme="majorBidi" w:hAnsiTheme="majorBidi" w:cstheme="majorBidi"/>
          <w:szCs w:val="24"/>
          <w:highlight w:val="yellow"/>
        </w:rPr>
        <w:t xml:space="preserve">If asked for the receipt, testers </w:t>
      </w:r>
      <w:r w:rsidR="00DC2734" w:rsidRPr="004E4C99">
        <w:rPr>
          <w:rFonts w:asciiTheme="majorBidi" w:hAnsiTheme="majorBidi" w:cstheme="majorBidi"/>
          <w:szCs w:val="24"/>
          <w:highlight w:val="yellow"/>
        </w:rPr>
        <w:t>would answer</w:t>
      </w:r>
      <w:r w:rsidRPr="004E4C99">
        <w:rPr>
          <w:rFonts w:asciiTheme="majorBidi" w:hAnsiTheme="majorBidi" w:cstheme="majorBidi"/>
          <w:szCs w:val="24"/>
          <w:highlight w:val="yellow"/>
        </w:rPr>
        <w:t xml:space="preserve"> that they thought they had the receipt with them, but</w:t>
      </w:r>
      <w:ins w:id="220" w:author="Susan" w:date="2019-09-05T23:18:00Z">
        <w:r w:rsidR="00225FF5">
          <w:rPr>
            <w:rFonts w:asciiTheme="majorBidi" w:hAnsiTheme="majorBidi" w:cstheme="majorBidi"/>
            <w:szCs w:val="24"/>
            <w:highlight w:val="yellow"/>
          </w:rPr>
          <w:t xml:space="preserve">, after looking for it, </w:t>
        </w:r>
      </w:ins>
      <w:ins w:id="221" w:author="Susan" w:date="2019-09-05T23:19:00Z">
        <w:r w:rsidR="00225FF5">
          <w:rPr>
            <w:rFonts w:asciiTheme="majorBidi" w:hAnsiTheme="majorBidi" w:cstheme="majorBidi"/>
            <w:szCs w:val="24"/>
            <w:highlight w:val="yellow"/>
          </w:rPr>
          <w:t>they appeared to have lost it</w:t>
        </w:r>
      </w:ins>
      <w:ins w:id="222" w:author="Susan" w:date="2019-09-05T23:18:00Z">
        <w:r w:rsidR="00225FF5">
          <w:rPr>
            <w:rFonts w:asciiTheme="majorBidi" w:hAnsiTheme="majorBidi" w:cstheme="majorBidi"/>
            <w:szCs w:val="24"/>
            <w:highlight w:val="yellow"/>
          </w:rPr>
          <w:t>.</w:t>
        </w:r>
      </w:ins>
      <w:del w:id="223" w:author="Susan" w:date="2019-09-05T23:18:00Z">
        <w:r w:rsidRPr="004E4C99" w:rsidDel="00225FF5">
          <w:rPr>
            <w:rFonts w:asciiTheme="majorBidi" w:hAnsiTheme="majorBidi" w:cstheme="majorBidi"/>
            <w:szCs w:val="24"/>
            <w:highlight w:val="yellow"/>
          </w:rPr>
          <w:delText xml:space="preserve"> they had looked for it an</w:delText>
        </w:r>
      </w:del>
      <w:del w:id="224" w:author="Susan" w:date="2019-09-05T23:19:00Z">
        <w:r w:rsidRPr="004E4C99" w:rsidDel="00225FF5">
          <w:rPr>
            <w:rFonts w:asciiTheme="majorBidi" w:hAnsiTheme="majorBidi" w:cstheme="majorBidi"/>
            <w:szCs w:val="24"/>
            <w:highlight w:val="yellow"/>
          </w:rPr>
          <w:delText xml:space="preserve">d </w:delText>
        </w:r>
        <w:r w:rsidR="00DC2734" w:rsidRPr="004E4C99" w:rsidDel="00225FF5">
          <w:rPr>
            <w:rFonts w:asciiTheme="majorBidi" w:hAnsiTheme="majorBidi" w:cstheme="majorBidi"/>
            <w:szCs w:val="24"/>
            <w:highlight w:val="yellow"/>
          </w:rPr>
          <w:delText>it seems they lost it</w:delText>
        </w:r>
      </w:del>
      <w:del w:id="225" w:author="Susan" w:date="2019-09-06T00:09:00Z">
        <w:r w:rsidRPr="004E4C99" w:rsidDel="00B738F0">
          <w:rPr>
            <w:rFonts w:asciiTheme="majorBidi" w:hAnsiTheme="majorBidi" w:cstheme="majorBidi"/>
            <w:szCs w:val="24"/>
            <w:highlight w:val="yellow"/>
          </w:rPr>
          <w:delText>.</w:delText>
        </w:r>
      </w:del>
      <w:r w:rsidR="004E4C99" w:rsidRPr="004E4C99">
        <w:rPr>
          <w:rFonts w:asciiTheme="majorBidi" w:hAnsiTheme="majorBidi" w:cstheme="majorBidi"/>
          <w:szCs w:val="24"/>
          <w:highlight w:val="yellow"/>
        </w:rPr>
        <w:t xml:space="preserve"> </w:t>
      </w:r>
      <w:r w:rsidRPr="004E4C99">
        <w:rPr>
          <w:rFonts w:asciiTheme="majorBidi" w:hAnsiTheme="majorBidi" w:cstheme="majorBidi"/>
          <w:szCs w:val="24"/>
          <w:highlight w:val="yellow"/>
        </w:rPr>
        <w:t xml:space="preserve">They were then instructed to await the store clerk’s response. If the store clerk agreed to provide a refund, testers were instructed to </w:t>
      </w:r>
      <w:r w:rsidR="004C7207" w:rsidRPr="004E4C99">
        <w:rPr>
          <w:rFonts w:asciiTheme="majorBidi" w:hAnsiTheme="majorBidi" w:cstheme="majorBidi"/>
          <w:szCs w:val="24"/>
          <w:highlight w:val="yellow"/>
        </w:rPr>
        <w:t xml:space="preserve">accept the refund, </w:t>
      </w:r>
      <w:r w:rsidRPr="004E4C99">
        <w:rPr>
          <w:rFonts w:asciiTheme="majorBidi" w:hAnsiTheme="majorBidi" w:cstheme="majorBidi"/>
          <w:szCs w:val="24"/>
          <w:highlight w:val="yellow"/>
        </w:rPr>
        <w:t>thank the clerk</w:t>
      </w:r>
      <w:r w:rsidR="005271AF" w:rsidRPr="004E4C99">
        <w:rPr>
          <w:rFonts w:asciiTheme="majorBidi" w:hAnsiTheme="majorBidi" w:cstheme="majorBidi"/>
          <w:szCs w:val="24"/>
          <w:highlight w:val="yellow"/>
        </w:rPr>
        <w:t>,</w:t>
      </w:r>
      <w:r w:rsidRPr="004E4C99">
        <w:rPr>
          <w:rFonts w:asciiTheme="majorBidi" w:hAnsiTheme="majorBidi" w:cstheme="majorBidi"/>
          <w:szCs w:val="24"/>
          <w:highlight w:val="yellow"/>
        </w:rPr>
        <w:t xml:space="preserve"> and leave the store.</w:t>
      </w:r>
    </w:p>
    <w:p w14:paraId="28A19227" w14:textId="77777777" w:rsidR="009131CF" w:rsidRPr="004E4C99" w:rsidRDefault="009131CF" w:rsidP="00EB5935">
      <w:pPr>
        <w:rPr>
          <w:rFonts w:asciiTheme="majorBidi" w:hAnsiTheme="majorBidi" w:cstheme="majorBidi"/>
          <w:szCs w:val="24"/>
          <w:highlight w:val="yellow"/>
        </w:rPr>
      </w:pPr>
    </w:p>
    <w:p w14:paraId="37257536" w14:textId="76D1D7D5" w:rsidR="00EE2087" w:rsidRDefault="00EE2087" w:rsidP="00225FF5">
      <w:pPr>
        <w:rPr>
          <w:rFonts w:asciiTheme="majorBidi" w:hAnsiTheme="majorBidi" w:cstheme="majorBidi"/>
          <w:szCs w:val="24"/>
        </w:rPr>
      </w:pPr>
      <w:r w:rsidRPr="004E4C99">
        <w:rPr>
          <w:rFonts w:asciiTheme="majorBidi" w:hAnsiTheme="majorBidi" w:cstheme="majorBidi"/>
          <w:szCs w:val="24"/>
          <w:highlight w:val="yellow"/>
        </w:rPr>
        <w:t>If, however, they were denied the return or were offered anything other than a refund</w:t>
      </w:r>
      <w:r w:rsidR="00244958" w:rsidRPr="004E4C99">
        <w:rPr>
          <w:rFonts w:asciiTheme="majorBidi" w:hAnsiTheme="majorBidi" w:cstheme="majorBidi"/>
          <w:szCs w:val="24"/>
          <w:highlight w:val="yellow"/>
        </w:rPr>
        <w:t xml:space="preserve"> (e.g., exchange or store credit)</w:t>
      </w:r>
      <w:r w:rsidRPr="004E4C99">
        <w:rPr>
          <w:rFonts w:asciiTheme="majorBidi" w:hAnsiTheme="majorBidi" w:cstheme="majorBidi"/>
          <w:szCs w:val="24"/>
          <w:highlight w:val="yellow"/>
        </w:rPr>
        <w:t>, testers were instructed to ask to speak to a manager</w:t>
      </w:r>
      <w:ins w:id="226" w:author="Susan" w:date="2019-09-06T00:10:00Z">
        <w:r w:rsidR="00B738F0">
          <w:rPr>
            <w:rFonts w:asciiTheme="majorBidi" w:hAnsiTheme="majorBidi" w:cstheme="majorBidi"/>
            <w:szCs w:val="24"/>
            <w:highlight w:val="yellow"/>
          </w:rPr>
          <w:t>, thereby complaining</w:t>
        </w:r>
      </w:ins>
      <w:r w:rsidRPr="004E4C99">
        <w:rPr>
          <w:rFonts w:asciiTheme="majorBidi" w:hAnsiTheme="majorBidi" w:cstheme="majorBidi"/>
          <w:szCs w:val="24"/>
          <w:highlight w:val="yellow"/>
        </w:rPr>
        <w:t>. If the store clerk refused to call a manager or identified as the manager, or if a manager came to see them, testers asked once again for a refund. If still denied a refund</w:t>
      </w:r>
      <w:ins w:id="227" w:author="Susan" w:date="2019-09-05T23:20:00Z">
        <w:r w:rsidR="00225FF5">
          <w:rPr>
            <w:rFonts w:asciiTheme="majorBidi" w:hAnsiTheme="majorBidi" w:cstheme="majorBidi"/>
            <w:szCs w:val="24"/>
            <w:highlight w:val="yellow"/>
          </w:rPr>
          <w:t>,</w:t>
        </w:r>
      </w:ins>
      <w:del w:id="228" w:author="Susan" w:date="2019-09-05T23:20:00Z">
        <w:r w:rsidRPr="004E4C99" w:rsidDel="00225FF5">
          <w:rPr>
            <w:rFonts w:asciiTheme="majorBidi" w:hAnsiTheme="majorBidi" w:cstheme="majorBidi"/>
            <w:szCs w:val="24"/>
            <w:highlight w:val="yellow"/>
          </w:rPr>
          <w:delText>—</w:delText>
        </w:r>
      </w:del>
      <w:ins w:id="229" w:author="Susan" w:date="2019-09-05T23:20:00Z">
        <w:r w:rsidR="00225FF5">
          <w:rPr>
            <w:rFonts w:asciiTheme="majorBidi" w:hAnsiTheme="majorBidi" w:cstheme="majorBidi"/>
            <w:szCs w:val="24"/>
            <w:highlight w:val="yellow"/>
          </w:rPr>
          <w:t xml:space="preserve"> </w:t>
        </w:r>
      </w:ins>
      <w:r w:rsidRPr="004E4C99">
        <w:rPr>
          <w:rFonts w:asciiTheme="majorBidi" w:hAnsiTheme="majorBidi" w:cstheme="majorBidi"/>
          <w:szCs w:val="24"/>
          <w:highlight w:val="yellow"/>
        </w:rPr>
        <w:t>testers would thank the clerk or manager and leave the store.</w:t>
      </w:r>
    </w:p>
    <w:p w14:paraId="330E62B9" w14:textId="77777777" w:rsidR="00EE2087" w:rsidRDefault="00EE2087" w:rsidP="00EE2087">
      <w:pPr>
        <w:rPr>
          <w:rFonts w:asciiTheme="majorBidi" w:hAnsiTheme="majorBidi" w:cstheme="majorBidi"/>
          <w:szCs w:val="24"/>
        </w:rPr>
      </w:pPr>
      <w:r>
        <w:rPr>
          <w:rFonts w:asciiTheme="majorBidi" w:hAnsiTheme="majorBidi" w:cstheme="majorBidi"/>
          <w:szCs w:val="24"/>
        </w:rPr>
        <w:t xml:space="preserve"> </w:t>
      </w:r>
    </w:p>
    <w:p w14:paraId="49EE1F55" w14:textId="000ABB95" w:rsidR="00EE2087" w:rsidRPr="004E4C99" w:rsidRDefault="007C6933">
      <w:pPr>
        <w:rPr>
          <w:rFonts w:asciiTheme="majorBidi" w:hAnsiTheme="majorBidi" w:cstheme="majorBidi"/>
          <w:szCs w:val="24"/>
          <w:highlight w:val="yellow"/>
        </w:rPr>
      </w:pPr>
      <w:r w:rsidRPr="004E4C99">
        <w:rPr>
          <w:rFonts w:asciiTheme="majorBidi" w:hAnsiTheme="majorBidi" w:cstheme="majorBidi"/>
          <w:szCs w:val="24"/>
          <w:highlight w:val="yellow"/>
        </w:rPr>
        <w:t>The t</w:t>
      </w:r>
      <w:r w:rsidR="00EE2087" w:rsidRPr="004E4C99">
        <w:rPr>
          <w:rFonts w:asciiTheme="majorBidi" w:hAnsiTheme="majorBidi" w:cstheme="majorBidi"/>
          <w:szCs w:val="24"/>
          <w:highlight w:val="yellow"/>
        </w:rPr>
        <w:t xml:space="preserve">esters’ bargaining script </w:t>
      </w:r>
      <w:r w:rsidR="002B5B36" w:rsidRPr="004E4C99">
        <w:rPr>
          <w:rFonts w:asciiTheme="majorBidi" w:hAnsiTheme="majorBidi" w:cstheme="majorBidi"/>
          <w:szCs w:val="24"/>
          <w:highlight w:val="yellow"/>
        </w:rPr>
        <w:t>was designed to test</w:t>
      </w:r>
      <w:r w:rsidR="00EE2087" w:rsidRPr="004E4C99">
        <w:rPr>
          <w:rFonts w:asciiTheme="majorBidi" w:hAnsiTheme="majorBidi" w:cstheme="majorBidi"/>
          <w:szCs w:val="24"/>
          <w:highlight w:val="yellow"/>
        </w:rPr>
        <w:t xml:space="preserve"> the interaction between consumer assertiveness and the gap. </w:t>
      </w:r>
      <w:r w:rsidR="00165703" w:rsidRPr="004E4C99">
        <w:rPr>
          <w:rFonts w:asciiTheme="majorBidi" w:hAnsiTheme="majorBidi" w:cstheme="majorBidi"/>
          <w:szCs w:val="24"/>
          <w:highlight w:val="yellow"/>
        </w:rPr>
        <w:t>The study</w:t>
      </w:r>
      <w:r w:rsidR="009131CF" w:rsidRPr="004E4C99">
        <w:rPr>
          <w:rFonts w:asciiTheme="majorBidi" w:hAnsiTheme="majorBidi" w:cstheme="majorBidi"/>
          <w:szCs w:val="24"/>
          <w:highlight w:val="yellow"/>
        </w:rPr>
        <w:t xml:space="preserve"> predicted that sellers would be more likely to exercise leniency </w:t>
      </w:r>
      <w:r w:rsidR="00871BC6" w:rsidRPr="004E4C99">
        <w:rPr>
          <w:rFonts w:asciiTheme="majorBidi" w:hAnsiTheme="majorBidi" w:cstheme="majorBidi"/>
          <w:szCs w:val="24"/>
          <w:highlight w:val="yellow"/>
        </w:rPr>
        <w:t>once consumers insist</w:t>
      </w:r>
      <w:r w:rsidR="002B5B36" w:rsidRPr="004E4C99">
        <w:rPr>
          <w:rFonts w:asciiTheme="majorBidi" w:hAnsiTheme="majorBidi" w:cstheme="majorBidi"/>
          <w:szCs w:val="24"/>
          <w:highlight w:val="yellow"/>
        </w:rPr>
        <w:t>ed</w:t>
      </w:r>
      <w:r w:rsidR="00871BC6" w:rsidRPr="004E4C99">
        <w:rPr>
          <w:rFonts w:asciiTheme="majorBidi" w:hAnsiTheme="majorBidi" w:cstheme="majorBidi"/>
          <w:szCs w:val="24"/>
          <w:highlight w:val="yellow"/>
        </w:rPr>
        <w:t xml:space="preserve"> and complain</w:t>
      </w:r>
      <w:r w:rsidR="002B5B36" w:rsidRPr="004E4C99">
        <w:rPr>
          <w:rFonts w:asciiTheme="majorBidi" w:hAnsiTheme="majorBidi" w:cstheme="majorBidi"/>
          <w:szCs w:val="24"/>
          <w:highlight w:val="yellow"/>
        </w:rPr>
        <w:t>ed</w:t>
      </w:r>
      <w:r w:rsidR="00165703" w:rsidRPr="004E4C99">
        <w:rPr>
          <w:rFonts w:asciiTheme="majorBidi" w:hAnsiTheme="majorBidi" w:cstheme="majorBidi"/>
          <w:szCs w:val="24"/>
          <w:highlight w:val="yellow"/>
        </w:rPr>
        <w:t xml:space="preserve">, because sellers may use </w:t>
      </w:r>
      <w:ins w:id="230" w:author="Susan" w:date="2019-09-06T00:10:00Z">
        <w:r w:rsidR="00B738F0">
          <w:rPr>
            <w:rFonts w:asciiTheme="majorBidi" w:hAnsiTheme="majorBidi" w:cstheme="majorBidi"/>
            <w:szCs w:val="24"/>
            <w:highlight w:val="yellow"/>
          </w:rPr>
          <w:t>consumers</w:t>
        </w:r>
      </w:ins>
      <w:ins w:id="231" w:author="Susan" w:date="2019-09-06T00:11:00Z">
        <w:r w:rsidR="00B738F0">
          <w:rPr>
            <w:rFonts w:asciiTheme="majorBidi" w:hAnsiTheme="majorBidi" w:cstheme="majorBidi"/>
            <w:szCs w:val="24"/>
            <w:highlight w:val="yellow"/>
          </w:rPr>
          <w:t>’</w:t>
        </w:r>
      </w:ins>
      <w:ins w:id="232" w:author="Susan" w:date="2019-09-06T00:10:00Z">
        <w:r w:rsidR="00B738F0">
          <w:rPr>
            <w:rFonts w:asciiTheme="majorBidi" w:hAnsiTheme="majorBidi" w:cstheme="majorBidi"/>
            <w:szCs w:val="24"/>
            <w:highlight w:val="yellow"/>
          </w:rPr>
          <w:t xml:space="preserve"> compl</w:t>
        </w:r>
      </w:ins>
      <w:ins w:id="233" w:author="Susan" w:date="2019-09-06T00:11:00Z">
        <w:r w:rsidR="00B738F0">
          <w:rPr>
            <w:rFonts w:asciiTheme="majorBidi" w:hAnsiTheme="majorBidi" w:cstheme="majorBidi"/>
            <w:szCs w:val="24"/>
            <w:highlight w:val="yellow"/>
          </w:rPr>
          <w:t>ai</w:t>
        </w:r>
      </w:ins>
      <w:ins w:id="234" w:author="Susan" w:date="2019-09-06T00:10:00Z">
        <w:r w:rsidR="00B738F0">
          <w:rPr>
            <w:rFonts w:asciiTheme="majorBidi" w:hAnsiTheme="majorBidi" w:cstheme="majorBidi"/>
            <w:szCs w:val="24"/>
            <w:highlight w:val="yellow"/>
          </w:rPr>
          <w:t>nts</w:t>
        </w:r>
      </w:ins>
      <w:del w:id="235" w:author="Susan" w:date="2019-09-06T00:10:00Z">
        <w:r w:rsidR="00165703" w:rsidRPr="004E4C99" w:rsidDel="00B738F0">
          <w:rPr>
            <w:rFonts w:asciiTheme="majorBidi" w:hAnsiTheme="majorBidi" w:cstheme="majorBidi"/>
            <w:szCs w:val="24"/>
            <w:highlight w:val="yellow"/>
          </w:rPr>
          <w:delText>complaining</w:delText>
        </w:r>
      </w:del>
      <w:r w:rsidR="00165703" w:rsidRPr="004E4C99">
        <w:rPr>
          <w:rFonts w:asciiTheme="majorBidi" w:hAnsiTheme="majorBidi" w:cstheme="majorBidi"/>
          <w:szCs w:val="24"/>
          <w:highlight w:val="yellow"/>
        </w:rPr>
        <w:t xml:space="preserve"> or assertiveness as a proxy for the value </w:t>
      </w:r>
      <w:r w:rsidR="00871BC6" w:rsidRPr="004E4C99">
        <w:rPr>
          <w:rFonts w:asciiTheme="majorBidi" w:hAnsiTheme="majorBidi" w:cstheme="majorBidi"/>
          <w:szCs w:val="24"/>
          <w:highlight w:val="yellow"/>
        </w:rPr>
        <w:t xml:space="preserve">that </w:t>
      </w:r>
      <w:r w:rsidR="00165703" w:rsidRPr="004E4C99">
        <w:rPr>
          <w:rFonts w:asciiTheme="majorBidi" w:hAnsiTheme="majorBidi" w:cstheme="majorBidi"/>
          <w:szCs w:val="24"/>
          <w:highlight w:val="yellow"/>
        </w:rPr>
        <w:t xml:space="preserve">consumers attach to the particular concession. </w:t>
      </w:r>
    </w:p>
    <w:p w14:paraId="3E462180" w14:textId="77777777" w:rsidR="005271AF" w:rsidRPr="004E4C99" w:rsidRDefault="005271AF" w:rsidP="00871BC6">
      <w:pPr>
        <w:rPr>
          <w:rFonts w:asciiTheme="majorBidi" w:hAnsiTheme="majorBidi" w:cstheme="majorBidi"/>
          <w:szCs w:val="24"/>
          <w:highlight w:val="yellow"/>
        </w:rPr>
      </w:pPr>
    </w:p>
    <w:p w14:paraId="60CFD8BD" w14:textId="35D9F879" w:rsidR="005271AF" w:rsidRDefault="005271AF">
      <w:r w:rsidRPr="004E4C99">
        <w:rPr>
          <w:highlight w:val="yellow"/>
        </w:rPr>
        <w:t xml:space="preserve">The purpose of the study was to identify </w:t>
      </w:r>
      <w:r w:rsidRPr="004E4C99">
        <w:rPr>
          <w:i/>
          <w:iCs/>
          <w:highlight w:val="yellow"/>
        </w:rPr>
        <w:t>systematic</w:t>
      </w:r>
      <w:r w:rsidRPr="004E4C99">
        <w:rPr>
          <w:highlight w:val="yellow"/>
        </w:rPr>
        <w:t xml:space="preserve">, rather than sporadic deviations from the paper policy. Yet, it </w:t>
      </w:r>
      <w:ins w:id="236" w:author="Susan" w:date="2019-09-06T00:12:00Z">
        <w:r w:rsidR="00B738F0">
          <w:rPr>
            <w:highlight w:val="yellow"/>
          </w:rPr>
          <w:t>is possible</w:t>
        </w:r>
      </w:ins>
      <w:del w:id="237" w:author="Susan" w:date="2019-09-06T00:12:00Z">
        <w:r w:rsidRPr="004E4C99" w:rsidDel="00B738F0">
          <w:rPr>
            <w:highlight w:val="yellow"/>
          </w:rPr>
          <w:delText>might be the case</w:delText>
        </w:r>
      </w:del>
      <w:r w:rsidRPr="004E4C99">
        <w:rPr>
          <w:highlight w:val="yellow"/>
        </w:rPr>
        <w:t xml:space="preserve"> that in some of the stores, store clerks </w:t>
      </w:r>
      <w:ins w:id="238" w:author="Susan" w:date="2019-09-06T00:12:00Z">
        <w:r w:rsidR="00B738F0">
          <w:rPr>
            <w:highlight w:val="yellow"/>
          </w:rPr>
          <w:t xml:space="preserve">mistakenly </w:t>
        </w:r>
      </w:ins>
      <w:r w:rsidRPr="004E4C99">
        <w:rPr>
          <w:highlight w:val="yellow"/>
        </w:rPr>
        <w:t>deviated from the formal policy</w:t>
      </w:r>
      <w:del w:id="239" w:author="Susan" w:date="2019-09-06T00:13:00Z">
        <w:r w:rsidRPr="004E4C99" w:rsidDel="00B738F0">
          <w:rPr>
            <w:highlight w:val="yellow"/>
          </w:rPr>
          <w:delText xml:space="preserve"> by mistake</w:delText>
        </w:r>
      </w:del>
      <w:r w:rsidRPr="004E4C99">
        <w:rPr>
          <w:highlight w:val="yellow"/>
        </w:rPr>
        <w:t xml:space="preserve">, and not as a result of a systematic store policy allowing for store clerk discretion on the ground. To address the concern about random divergences from the paper contract, each store was audited by </w:t>
      </w:r>
      <w:r w:rsidRPr="004E4C99">
        <w:rPr>
          <w:i/>
          <w:iCs/>
          <w:highlight w:val="yellow"/>
        </w:rPr>
        <w:t>two</w:t>
      </w:r>
      <w:r w:rsidRPr="004E4C99">
        <w:rPr>
          <w:highlight w:val="yellow"/>
        </w:rPr>
        <w:t xml:space="preserve"> testers, and the analysis includes only th</w:t>
      </w:r>
      <w:ins w:id="240" w:author="Susan" w:date="2019-09-05T23:20:00Z">
        <w:r w:rsidR="00225FF5">
          <w:rPr>
            <w:highlight w:val="yellow"/>
          </w:rPr>
          <w:t>os</w:t>
        </w:r>
      </w:ins>
      <w:r w:rsidRPr="004E4C99">
        <w:rPr>
          <w:highlight w:val="yellow"/>
        </w:rPr>
        <w:t>e stores in which both testers obtained identical return outcomes.</w:t>
      </w:r>
      <w:r w:rsidRPr="004E4C99">
        <w:rPr>
          <w:rStyle w:val="FootnoteReference"/>
          <w:highlight w:val="yellow"/>
        </w:rPr>
        <w:footnoteReference w:id="48"/>
      </w:r>
      <w:r>
        <w:t xml:space="preserve"> </w:t>
      </w:r>
    </w:p>
    <w:p w14:paraId="20BAA1F4" w14:textId="77777777" w:rsidR="005271AF" w:rsidRDefault="005271AF" w:rsidP="005271AF"/>
    <w:p w14:paraId="32E3E409" w14:textId="2717A156" w:rsidR="005271AF" w:rsidRDefault="005271AF" w:rsidP="00225FF5">
      <w:r w:rsidRPr="004E4C99">
        <w:rPr>
          <w:highlight w:val="yellow"/>
        </w:rPr>
        <w:t>Admittedly, it could be the case that even when the two testers obtained identical</w:t>
      </w:r>
      <w:r w:rsidR="002B5B36" w:rsidRPr="004E4C99">
        <w:rPr>
          <w:highlight w:val="yellow"/>
        </w:rPr>
        <w:t xml:space="preserve"> return</w:t>
      </w:r>
      <w:r w:rsidRPr="004E4C99">
        <w:rPr>
          <w:highlight w:val="yellow"/>
        </w:rPr>
        <w:t xml:space="preserve"> outcome</w:t>
      </w:r>
      <w:r w:rsidR="002B5B36" w:rsidRPr="004E4C99">
        <w:rPr>
          <w:highlight w:val="yellow"/>
        </w:rPr>
        <w:t>s</w:t>
      </w:r>
      <w:r w:rsidRPr="004E4C99">
        <w:rPr>
          <w:highlight w:val="yellow"/>
        </w:rPr>
        <w:t xml:space="preserve">, </w:t>
      </w:r>
      <w:r w:rsidR="002B5B36" w:rsidRPr="004E4C99">
        <w:rPr>
          <w:highlight w:val="yellow"/>
        </w:rPr>
        <w:t xml:space="preserve">these outcomes were the result of store clerk error. </w:t>
      </w:r>
      <w:ins w:id="247" w:author="Susan" w:date="2019-09-05T23:21:00Z">
        <w:r w:rsidR="00225FF5">
          <w:rPr>
            <w:highlight w:val="yellow"/>
          </w:rPr>
          <w:t>However,</w:t>
        </w:r>
      </w:ins>
      <w:del w:id="248" w:author="Susan" w:date="2019-09-05T23:21:00Z">
        <w:r w:rsidR="002B5B36" w:rsidRPr="004E4C99" w:rsidDel="00225FF5">
          <w:rPr>
            <w:highlight w:val="yellow"/>
          </w:rPr>
          <w:delText>Yet,</w:delText>
        </w:r>
      </w:del>
      <w:r w:rsidR="002B5B36" w:rsidRPr="004E4C99">
        <w:rPr>
          <w:highlight w:val="yellow"/>
        </w:rPr>
        <w:t xml:space="preserve"> this design </w:t>
      </w:r>
      <w:ins w:id="249" w:author="Susan" w:date="2019-09-05T23:22:00Z">
        <w:r w:rsidR="00225FF5">
          <w:rPr>
            <w:highlight w:val="yellow"/>
          </w:rPr>
          <w:t>appears to ensure</w:t>
        </w:r>
      </w:ins>
      <w:del w:id="250" w:author="Susan" w:date="2019-09-05T23:22:00Z">
        <w:r w:rsidR="002B5B36" w:rsidRPr="004E4C99" w:rsidDel="00225FF5">
          <w:rPr>
            <w:highlight w:val="yellow"/>
          </w:rPr>
          <w:delText>gives me confidence</w:delText>
        </w:r>
      </w:del>
      <w:r w:rsidR="002B5B36" w:rsidRPr="004E4C99">
        <w:rPr>
          <w:highlight w:val="yellow"/>
        </w:rPr>
        <w:t xml:space="preserve"> that most of the observed deviations were the result of managerial policy </w:t>
      </w:r>
      <w:ins w:id="251" w:author="Susan" w:date="2019-09-05T23:21:00Z">
        <w:r w:rsidR="00225FF5">
          <w:rPr>
            <w:highlight w:val="yellow"/>
          </w:rPr>
          <w:t>allowing</w:t>
        </w:r>
      </w:ins>
      <w:del w:id="252" w:author="Susan" w:date="2019-09-05T23:21:00Z">
        <w:r w:rsidR="002B5B36" w:rsidRPr="004E4C99" w:rsidDel="00225FF5">
          <w:rPr>
            <w:highlight w:val="yellow"/>
          </w:rPr>
          <w:delText>to allow</w:delText>
        </w:r>
      </w:del>
      <w:r w:rsidR="002B5B36" w:rsidRPr="004E4C99">
        <w:rPr>
          <w:highlight w:val="yellow"/>
        </w:rPr>
        <w:t xml:space="preserve"> clerks to depart from the formal policy in favor of consumers. </w:t>
      </w:r>
      <w:r w:rsidRPr="004E4C99">
        <w:rPr>
          <w:highlight w:val="yellow"/>
        </w:rPr>
        <w:t xml:space="preserve">This methodological approach also mitigates the concern that, despite attempts to control for uniform tester performance and demographics (as described </w:t>
      </w:r>
      <w:r w:rsidR="002B5B36" w:rsidRPr="004E4C99">
        <w:rPr>
          <w:highlight w:val="yellow"/>
        </w:rPr>
        <w:t>below</w:t>
      </w:r>
      <w:r w:rsidRPr="004E4C99">
        <w:rPr>
          <w:highlight w:val="yellow"/>
        </w:rPr>
        <w:t xml:space="preserve">), differences in testers’ bargaining behavior or other characteristics </w:t>
      </w:r>
      <w:del w:id="253" w:author="Susan" w:date="2019-09-05T23:22:00Z">
        <w:r w:rsidRPr="004E4C99" w:rsidDel="00225FF5">
          <w:rPr>
            <w:highlight w:val="yellow"/>
          </w:rPr>
          <w:delText xml:space="preserve">have </w:delText>
        </w:r>
      </w:del>
      <w:r w:rsidRPr="004E4C99">
        <w:rPr>
          <w:highlight w:val="yellow"/>
        </w:rPr>
        <w:t>meaningfully influenced the results.</w:t>
      </w:r>
      <w:r>
        <w:t xml:space="preserve"> </w:t>
      </w:r>
    </w:p>
    <w:p w14:paraId="6BAFF14D" w14:textId="77777777" w:rsidR="005271AF" w:rsidRDefault="005271AF" w:rsidP="005271AF">
      <w:pPr>
        <w:pStyle w:val="FootnoteText"/>
        <w:ind w:firstLine="0"/>
      </w:pPr>
    </w:p>
    <w:p w14:paraId="57C9147A" w14:textId="77777777" w:rsidR="005271AF" w:rsidRDefault="005271AF" w:rsidP="005271AF">
      <w:pPr>
        <w:rPr>
          <w:rFonts w:asciiTheme="majorBidi" w:hAnsiTheme="majorBidi" w:cstheme="majorBidi"/>
          <w:szCs w:val="24"/>
        </w:rPr>
      </w:pPr>
      <w:r>
        <w:t>Overall, the stores</w:t>
      </w:r>
      <w:r w:rsidRPr="000A4AE6">
        <w:t xml:space="preserve"> </w:t>
      </w:r>
      <w:r>
        <w:t xml:space="preserve">were audited by six testers, and </w:t>
      </w:r>
      <w:r w:rsidRPr="00203D57">
        <w:t>the composition of pairs varied from audit to audit</w:t>
      </w:r>
      <w:r>
        <w:t>.</w:t>
      </w:r>
      <w:r>
        <w:rPr>
          <w:rStyle w:val="FootnoteReference"/>
        </w:rPr>
        <w:footnoteReference w:id="49"/>
      </w:r>
      <w:r w:rsidRPr="00203D57">
        <w:t xml:space="preserve"> </w:t>
      </w:r>
      <w:r>
        <w:t>Data collection took place between March and April 2019, well after the holiday season, so as to avoid potential changes in stores’ return policies that typically occur during that season.</w:t>
      </w:r>
      <w:r w:rsidRPr="00203D57">
        <w:rPr>
          <w:rStyle w:val="FootnoteReference"/>
        </w:rPr>
        <w:footnoteReference w:id="50"/>
      </w:r>
      <w:r>
        <w:t xml:space="preserve"> </w:t>
      </w:r>
      <w:r w:rsidRPr="00203D57">
        <w:t xml:space="preserve">Both testers in a pair visited the same store, usually within a few days of </w:t>
      </w:r>
      <w:r>
        <w:t>one</w:t>
      </w:r>
      <w:r w:rsidRPr="00203D57">
        <w:t xml:space="preserve"> </w:t>
      </w:r>
      <w:r>
        <w:t>an</w:t>
      </w:r>
      <w:r w:rsidRPr="00203D57">
        <w:t xml:space="preserve">other. </w:t>
      </w:r>
      <w:r>
        <w:rPr>
          <w:rFonts w:asciiTheme="majorBidi" w:hAnsiTheme="majorBidi" w:cstheme="majorBidi"/>
          <w:szCs w:val="24"/>
        </w:rPr>
        <w:t>After leaving each store, all testers filled out a detailed report, in which they described the outcomes of the attempted returns.</w:t>
      </w:r>
    </w:p>
    <w:p w14:paraId="41BAFB31" w14:textId="753F7032" w:rsidR="005271AF" w:rsidRDefault="005271AF" w:rsidP="00EB5935">
      <w:pPr>
        <w:ind w:firstLine="0"/>
        <w:rPr>
          <w:rFonts w:asciiTheme="majorBidi" w:hAnsiTheme="majorBidi" w:cstheme="majorBidi"/>
          <w:szCs w:val="24"/>
        </w:rPr>
      </w:pPr>
    </w:p>
    <w:p w14:paraId="5A6CF4F8" w14:textId="77777777" w:rsidR="0086713A" w:rsidRDefault="0086713A" w:rsidP="0086713A">
      <w:r>
        <w:t xml:space="preserve">In order to minimize the possibility of non-uniform bargaining, particular attention was paid to issues of experimental control. A major goal </w:t>
      </w:r>
      <w:r>
        <w:lastRenderedPageBreak/>
        <w:t xml:space="preserve">of the study was to choose uniform testers and to train them to behave in a standardized manner. Testers were chosen to satisfy the following criteria for uniformity: </w:t>
      </w:r>
    </w:p>
    <w:p w14:paraId="20FEA53D" w14:textId="77777777" w:rsidR="0086713A" w:rsidRDefault="0086713A" w:rsidP="0086713A"/>
    <w:p w14:paraId="6415D226" w14:textId="3EDCCBEC" w:rsidR="0086713A" w:rsidRDefault="0086713A" w:rsidP="005F05EA">
      <w:pPr>
        <w:pStyle w:val="ListParagraph"/>
        <w:numPr>
          <w:ilvl w:val="0"/>
          <w:numId w:val="5"/>
        </w:numPr>
      </w:pPr>
      <w:r>
        <w:rPr>
          <w:i/>
          <w:iCs/>
        </w:rPr>
        <w:t xml:space="preserve">Race: </w:t>
      </w:r>
      <w:r>
        <w:t xml:space="preserve">All testers were </w:t>
      </w:r>
      <w:r w:rsidR="002B5B36">
        <w:t>w</w:t>
      </w:r>
      <w:r>
        <w:t>hite</w:t>
      </w:r>
      <w:r w:rsidR="0093094E">
        <w:t>;</w:t>
      </w:r>
    </w:p>
    <w:p w14:paraId="342BF677" w14:textId="65007F71" w:rsidR="0086713A" w:rsidRPr="00070D60" w:rsidRDefault="0086713A" w:rsidP="005F05EA">
      <w:pPr>
        <w:pStyle w:val="ListParagraph"/>
        <w:numPr>
          <w:ilvl w:val="0"/>
          <w:numId w:val="5"/>
        </w:numPr>
      </w:pPr>
      <w:r>
        <w:rPr>
          <w:i/>
          <w:iCs/>
        </w:rPr>
        <w:t>Gender:</w:t>
      </w:r>
      <w:r>
        <w:t xml:space="preserve"> All testers were female</w:t>
      </w:r>
      <w:r w:rsidR="0093094E">
        <w:t>;</w:t>
      </w:r>
    </w:p>
    <w:p w14:paraId="159AF3F9" w14:textId="057EA71F" w:rsidR="0086713A" w:rsidRDefault="0086713A" w:rsidP="005F05EA">
      <w:pPr>
        <w:pStyle w:val="ListParagraph"/>
        <w:numPr>
          <w:ilvl w:val="0"/>
          <w:numId w:val="5"/>
        </w:numPr>
      </w:pPr>
      <w:r>
        <w:rPr>
          <w:i/>
          <w:iCs/>
        </w:rPr>
        <w:t>Age</w:t>
      </w:r>
      <w:r>
        <w:t>: All testers were twenty-two to thirty</w:t>
      </w:r>
      <w:r w:rsidR="0093094E">
        <w:t>-</w:t>
      </w:r>
      <w:r>
        <w:t>years</w:t>
      </w:r>
      <w:r w:rsidR="0093094E">
        <w:t>-</w:t>
      </w:r>
      <w:r>
        <w:t xml:space="preserve">old; </w:t>
      </w:r>
    </w:p>
    <w:p w14:paraId="748E4888" w14:textId="77777777" w:rsidR="0086713A" w:rsidRDefault="0086713A" w:rsidP="005F05EA">
      <w:pPr>
        <w:pStyle w:val="ListParagraph"/>
        <w:numPr>
          <w:ilvl w:val="0"/>
          <w:numId w:val="5"/>
        </w:numPr>
      </w:pPr>
      <w:r>
        <w:rPr>
          <w:i/>
          <w:iCs/>
        </w:rPr>
        <w:t>Education</w:t>
      </w:r>
      <w:r w:rsidRPr="00070D60">
        <w:t>:</w:t>
      </w:r>
      <w:r>
        <w:t xml:space="preserve"> All testers had between one and four years of college education;</w:t>
      </w:r>
    </w:p>
    <w:p w14:paraId="118188A3" w14:textId="66DDF2F4" w:rsidR="0086713A" w:rsidRDefault="0086713A" w:rsidP="005F05EA">
      <w:pPr>
        <w:pStyle w:val="ListParagraph"/>
        <w:numPr>
          <w:ilvl w:val="0"/>
          <w:numId w:val="5"/>
        </w:numPr>
      </w:pPr>
      <w:r>
        <w:rPr>
          <w:i/>
          <w:iCs/>
        </w:rPr>
        <w:t>Dress</w:t>
      </w:r>
      <w:r w:rsidRPr="00070D60">
        <w:t>:</w:t>
      </w:r>
      <w:r>
        <w:t xml:space="preserve"> All testers wore casual attire during the audits: jeans, t-shirt, and minimal make-up</w:t>
      </w:r>
      <w:r w:rsidR="00B46C38">
        <w:t>;</w:t>
      </w:r>
      <w:r>
        <w:t xml:space="preserve"> </w:t>
      </w:r>
    </w:p>
    <w:p w14:paraId="5724396E" w14:textId="6F7E93FC" w:rsidR="00387BEA" w:rsidRDefault="0086713A" w:rsidP="00337028">
      <w:pPr>
        <w:pStyle w:val="ListParagraph"/>
        <w:numPr>
          <w:ilvl w:val="0"/>
          <w:numId w:val="5"/>
        </w:numPr>
      </w:pPr>
      <w:r>
        <w:rPr>
          <w:i/>
          <w:iCs/>
        </w:rPr>
        <w:t xml:space="preserve">Contact Information: </w:t>
      </w:r>
      <w:r w:rsidR="00DC2734">
        <w:t>If asked for their names when returning the item, testers would use one of two fake names</w:t>
      </w:r>
      <w:r w:rsidR="00BF3953">
        <w:t>.</w:t>
      </w:r>
      <w:r w:rsidR="00BF3953">
        <w:rPr>
          <w:rStyle w:val="FootnoteReference"/>
        </w:rPr>
        <w:footnoteReference w:id="51"/>
      </w:r>
    </w:p>
    <w:p w14:paraId="54F82385" w14:textId="77777777" w:rsidR="0086713A" w:rsidRDefault="0086713A" w:rsidP="0086713A"/>
    <w:p w14:paraId="4E778CCB" w14:textId="1CF59AF4" w:rsidR="0086713A" w:rsidRDefault="0086713A" w:rsidP="00A62759">
      <w:r>
        <w:t xml:space="preserve">All testers attended a training session with the </w:t>
      </w:r>
      <w:r w:rsidR="002B5B36">
        <w:t xml:space="preserve">author and </w:t>
      </w:r>
      <w:r>
        <w:t>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 Testers were accompanied by project coordinators</w:t>
      </w:r>
      <w:r w:rsidR="003C70FB">
        <w:t xml:space="preserve"> </w:t>
      </w:r>
      <w:r w:rsidR="00A62759">
        <w:t xml:space="preserve">the </w:t>
      </w:r>
      <w:r>
        <w:t xml:space="preserve">stores. The coordinators ensured that testers were following the script and accurately reporting the results. </w:t>
      </w:r>
      <w:r w:rsidR="00387BEA">
        <w:t xml:space="preserve">In addition to ensuring bargaining uniformity, the returned items’ prices were also kept constant, at between $20 to $30. </w:t>
      </w:r>
    </w:p>
    <w:p w14:paraId="6548951E" w14:textId="64D3CBA3" w:rsidR="0007399A" w:rsidRDefault="0007399A" w:rsidP="004D2E53">
      <w:pPr>
        <w:ind w:firstLine="0"/>
      </w:pPr>
    </w:p>
    <w:p w14:paraId="180C0BCF" w14:textId="63C27A8B" w:rsidR="0007399A" w:rsidRPr="00371E4A" w:rsidRDefault="0007399A" w:rsidP="006B5E78">
      <w:r>
        <w:t xml:space="preserve">After discarding tests (due to inconsistent outcomes, 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r>
        <w:rPr>
          <w:rFonts w:asciiTheme="majorBidi" w:hAnsiTheme="majorBidi" w:cstheme="majorBidi"/>
          <w:szCs w:val="24"/>
        </w:rPr>
        <w:t>These retailers’ m</w:t>
      </w:r>
      <w:r w:rsidRPr="00102FAA">
        <w:rPr>
          <w:rFonts w:asciiTheme="majorBidi" w:hAnsiTheme="majorBidi" w:cstheme="majorBidi"/>
          <w:szCs w:val="24"/>
        </w:rPr>
        <w:t xml:space="preserve">ean annual revenues </w:t>
      </w:r>
      <w:r>
        <w:rPr>
          <w:rFonts w:asciiTheme="majorBidi" w:hAnsiTheme="majorBidi" w:cstheme="majorBidi"/>
          <w:szCs w:val="24"/>
        </w:rPr>
        <w:t>is</w:t>
      </w:r>
      <w:r w:rsidRPr="00102FAA">
        <w:rPr>
          <w:rFonts w:asciiTheme="majorBidi" w:hAnsiTheme="majorBidi" w:cstheme="majorBidi"/>
          <w:szCs w:val="24"/>
        </w:rPr>
        <w:t xml:space="preserve"> $</w:t>
      </w:r>
      <w:r w:rsidR="006B5E78">
        <w:rPr>
          <w:rFonts w:asciiTheme="majorBidi" w:hAnsiTheme="majorBidi" w:cstheme="majorBidi"/>
          <w:szCs w:val="24"/>
        </w:rPr>
        <w:t>434</w:t>
      </w:r>
      <w:r w:rsidRPr="00102FAA">
        <w:rPr>
          <w:rFonts w:asciiTheme="majorBidi" w:hAnsiTheme="majorBidi" w:cstheme="majorBidi"/>
          <w:szCs w:val="24"/>
        </w:rPr>
        <w:t xml:space="preserve"> million</w:t>
      </w:r>
      <w:r>
        <w:rPr>
          <w:rFonts w:asciiTheme="majorBidi" w:hAnsiTheme="majorBidi" w:cstheme="majorBidi"/>
          <w:szCs w:val="24"/>
        </w:rPr>
        <w:t xml:space="preserve"> (SD = </w:t>
      </w:r>
      <w:r w:rsidR="006B5E78">
        <w:rPr>
          <w:rFonts w:asciiTheme="majorBidi" w:hAnsiTheme="majorBidi" w:cstheme="majorBidi"/>
          <w:szCs w:val="24"/>
        </w:rPr>
        <w:t>2311</w:t>
      </w:r>
      <w:r>
        <w:rPr>
          <w:rFonts w:asciiTheme="majorBidi" w:hAnsiTheme="majorBidi" w:cstheme="majorBidi"/>
          <w:szCs w:val="24"/>
        </w:rPr>
        <w:t>)</w:t>
      </w:r>
      <w:r w:rsidRPr="00102FAA">
        <w:rPr>
          <w:rFonts w:asciiTheme="majorBidi" w:hAnsiTheme="majorBidi" w:cstheme="majorBidi"/>
          <w:szCs w:val="24"/>
        </w:rPr>
        <w:t xml:space="preserve">. The </w:t>
      </w:r>
      <w:r>
        <w:rPr>
          <w:rFonts w:asciiTheme="majorBidi" w:hAnsiTheme="majorBidi" w:cstheme="majorBidi"/>
          <w:szCs w:val="24"/>
        </w:rPr>
        <w:t>average company age is 52 years (SD = 42)</w:t>
      </w:r>
      <w:r w:rsidRPr="00102FAA">
        <w:rPr>
          <w:rFonts w:asciiTheme="majorBidi" w:hAnsiTheme="majorBidi" w:cstheme="majorBidi"/>
          <w:szCs w:val="24"/>
        </w:rPr>
        <w:t>.</w:t>
      </w:r>
      <w:r>
        <w:rPr>
          <w:rStyle w:val="FootnoteReference"/>
          <w:rFonts w:asciiTheme="majorBidi" w:hAnsiTheme="majorBidi" w:cstheme="majorBidi"/>
          <w:szCs w:val="24"/>
        </w:rPr>
        <w:footnoteReference w:id="52"/>
      </w:r>
      <w:r w:rsidRPr="00102FAA">
        <w:rPr>
          <w:rFonts w:asciiTheme="majorBidi" w:hAnsiTheme="majorBidi" w:cstheme="majorBidi"/>
          <w:szCs w:val="24"/>
        </w:rPr>
        <w:t xml:space="preserve"> Publicly traded firms comprise 41% of the sample.</w:t>
      </w:r>
      <w:r>
        <w:rPr>
          <w:sz w:val="28"/>
          <w:szCs w:val="24"/>
        </w:rPr>
        <w:t xml:space="preserve"> </w:t>
      </w:r>
      <w:r>
        <w:t>Seventy-one</w:t>
      </w:r>
      <w:r w:rsidRPr="00A57D45">
        <w:t xml:space="preserve"> percent of the stores in the sample are national retail chains and </w:t>
      </w:r>
      <w:r>
        <w:t>29</w:t>
      </w:r>
      <w:r w:rsidRPr="00A57D45">
        <w:t>%</w:t>
      </w:r>
      <w:r>
        <w:t xml:space="preserve"> are local stores</w:t>
      </w:r>
      <w:r w:rsidR="00B40733">
        <w:t xml:space="preserve">, defined as stores with </w:t>
      </w:r>
      <w:r w:rsidR="006547E6">
        <w:t xml:space="preserve">only one or two locations, both in </w:t>
      </w:r>
      <w:r w:rsidR="006547E6">
        <w:lastRenderedPageBreak/>
        <w:t>Illinois</w:t>
      </w:r>
      <w:r>
        <w:t>.</w:t>
      </w:r>
      <w:r>
        <w:rPr>
          <w:rStyle w:val="FootnoteReference"/>
        </w:rPr>
        <w:footnoteReference w:id="53"/>
      </w:r>
      <w:r>
        <w:t xml:space="preserve"> </w:t>
      </w:r>
    </w:p>
    <w:p w14:paraId="2A761A5B" w14:textId="77777777" w:rsidR="008333F0" w:rsidRDefault="008333F0" w:rsidP="004D2E53">
      <w:pPr>
        <w:ind w:firstLine="0"/>
      </w:pPr>
    </w:p>
    <w:p w14:paraId="47CD606E" w14:textId="25C8F8D5" w:rsidR="00227142" w:rsidRDefault="00227142" w:rsidP="008333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54"/>
      </w:r>
      <w:r>
        <w:t xml:space="preserve"> </w:t>
      </w:r>
      <w:r w:rsidR="008333F0">
        <w:rPr>
          <w:rFonts w:asciiTheme="majorBidi" w:hAnsiTheme="majorBidi" w:cstheme="majorBidi"/>
          <w:szCs w:val="24"/>
        </w:rPr>
        <w:t xml:space="preserve">Stores were subsequently </w:t>
      </w:r>
      <w:r w:rsidRPr="003E6752">
        <w:t xml:space="preserve">classified </w:t>
      </w:r>
      <w:r w:rsidR="00EA4D03">
        <w:t xml:space="preserve">by two independent research assistants </w:t>
      </w:r>
      <w:r w:rsidRPr="003E6752">
        <w:t>as having harsh, mod</w:t>
      </w:r>
      <w:r>
        <w:t xml:space="preserve">erate or lenient paper policies as follows: </w:t>
      </w:r>
    </w:p>
    <w:p w14:paraId="2CF93653" w14:textId="77777777" w:rsidR="00227142" w:rsidRDefault="00227142" w:rsidP="00227142"/>
    <w:p w14:paraId="6FA5EA3D" w14:textId="77777777" w:rsidR="00227142" w:rsidRDefault="00227142" w:rsidP="00227142">
      <w:r>
        <w:t xml:space="preserve">(1) </w:t>
      </w:r>
      <w:r w:rsidRPr="00D77C1D">
        <w:rPr>
          <w:i/>
          <w:iCs/>
        </w:rPr>
        <w:t>Harsh paper policies</w:t>
      </w:r>
      <w:r>
        <w:t xml:space="preserve"> do not allow consumers to return items for a refund, and require receipts for any exchange or return; </w:t>
      </w:r>
    </w:p>
    <w:p w14:paraId="4B180911" w14:textId="77777777" w:rsidR="00227142" w:rsidRDefault="00227142" w:rsidP="00227142">
      <w:r>
        <w:rPr>
          <w:rFonts w:asciiTheme="majorBidi" w:hAnsiTheme="majorBidi" w:cstheme="majorBidi"/>
          <w:szCs w:val="24"/>
        </w:rPr>
        <w:t xml:space="preserve">(2) </w:t>
      </w:r>
      <w:r w:rsidRPr="00D77C1D">
        <w:rPr>
          <w:i/>
          <w:iCs/>
        </w:rPr>
        <w:t>Moderate paper policies</w:t>
      </w:r>
      <w:r>
        <w:t xml:space="preserve"> allow consumers to return items for a refund conditional on showing receipts, and require receipts also for any exchange or return; </w:t>
      </w:r>
    </w:p>
    <w:p w14:paraId="7420A205" w14:textId="77777777" w:rsidR="00227142" w:rsidRPr="00D77C1D" w:rsidRDefault="00227142" w:rsidP="00227142">
      <w:pPr>
        <w:rPr>
          <w:rFonts w:asciiTheme="majorBidi" w:hAnsiTheme="majorBidi" w:cstheme="majorBidi"/>
          <w:szCs w:val="24"/>
        </w:rPr>
      </w:pPr>
      <w:r>
        <w:t xml:space="preserve">(3) </w:t>
      </w:r>
      <w:r w:rsidRPr="00D77C1D">
        <w:rPr>
          <w:i/>
          <w:iCs/>
        </w:rPr>
        <w:t xml:space="preserve">Lenient paper policies </w:t>
      </w:r>
      <w:r>
        <w:t xml:space="preserve">allow consumers to return items for a refund conditional on showing receipts, while allowing consumers to return items </w:t>
      </w:r>
      <w:r w:rsidRPr="003E6752">
        <w:t>for exchange</w:t>
      </w:r>
      <w:r>
        <w:t>s</w:t>
      </w:r>
      <w:r w:rsidRPr="003E6752">
        <w:t xml:space="preserve"> or store credit</w:t>
      </w:r>
      <w:r>
        <w:t xml:space="preserve">s </w:t>
      </w:r>
      <w:r w:rsidRPr="00D77C1D">
        <w:t>without</w:t>
      </w:r>
      <w:r>
        <w:t xml:space="preserve"> </w:t>
      </w:r>
      <w:r w:rsidRPr="003E6752">
        <w:t>receipt</w:t>
      </w:r>
      <w:r>
        <w:t>s</w:t>
      </w:r>
      <w:r w:rsidRPr="003E6752">
        <w:t>.</w:t>
      </w:r>
      <w:r>
        <w:rPr>
          <w:rStyle w:val="FootnoteReference"/>
        </w:rPr>
        <w:footnoteReference w:id="55"/>
      </w:r>
      <w:r>
        <w:t xml:space="preserve"> </w:t>
      </w:r>
    </w:p>
    <w:p w14:paraId="22F499A5" w14:textId="77777777" w:rsidR="00227142" w:rsidRDefault="00227142" w:rsidP="00227142"/>
    <w:p w14:paraId="1CB7244A" w14:textId="77777777" w:rsidR="00227142" w:rsidRPr="00D77C1D" w:rsidRDefault="00227142" w:rsidP="00227142">
      <w:pPr>
        <w:ind w:firstLine="0"/>
      </w:pPr>
      <w:r>
        <w:rPr>
          <w:i/>
          <w:iCs/>
        </w:rPr>
        <w:t>Table 4. Paper Policy Types (n = 95)</w:t>
      </w:r>
    </w:p>
    <w:tbl>
      <w:tblPr>
        <w:tblStyle w:val="GridTable1Light1"/>
        <w:tblW w:w="0" w:type="auto"/>
        <w:tblLook w:val="04A0" w:firstRow="1" w:lastRow="0" w:firstColumn="1" w:lastColumn="0" w:noHBand="0" w:noVBand="1"/>
      </w:tblPr>
      <w:tblGrid>
        <w:gridCol w:w="2444"/>
        <w:gridCol w:w="2445"/>
        <w:gridCol w:w="2445"/>
      </w:tblGrid>
      <w:tr w:rsidR="00227142" w14:paraId="729297D6" w14:textId="77777777" w:rsidTr="0039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8F7DA17" w14:textId="77777777" w:rsidR="00227142" w:rsidRDefault="00227142" w:rsidP="00397FB0">
            <w:pPr>
              <w:ind w:firstLine="0"/>
            </w:pPr>
          </w:p>
        </w:tc>
        <w:tc>
          <w:tcPr>
            <w:tcW w:w="2445" w:type="dxa"/>
          </w:tcPr>
          <w:p w14:paraId="17766878"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34927B57"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227142" w14:paraId="5FB7331B"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7CD7E7C5" w14:textId="77777777" w:rsidR="00227142" w:rsidRDefault="00227142" w:rsidP="00397FB0">
            <w:pPr>
              <w:ind w:firstLine="0"/>
              <w:rPr>
                <w:b w:val="0"/>
                <w:bCs w:val="0"/>
              </w:rPr>
            </w:pPr>
            <w:r w:rsidRPr="00A312BD">
              <w:rPr>
                <w:b w:val="0"/>
                <w:bCs w:val="0"/>
              </w:rPr>
              <w:t>Harsh Policy Stores</w:t>
            </w:r>
          </w:p>
          <w:p w14:paraId="01E37AAA" w14:textId="77777777" w:rsidR="00227142" w:rsidRPr="00A312BD" w:rsidRDefault="00227142" w:rsidP="00397FB0">
            <w:pPr>
              <w:ind w:firstLine="0"/>
              <w:rPr>
                <w:b w:val="0"/>
                <w:bCs w:val="0"/>
              </w:rPr>
            </w:pPr>
            <w:r>
              <w:rPr>
                <w:b w:val="0"/>
                <w:bCs w:val="0"/>
              </w:rPr>
              <w:t xml:space="preserve"> (n =23)</w:t>
            </w:r>
          </w:p>
        </w:tc>
        <w:tc>
          <w:tcPr>
            <w:tcW w:w="2445" w:type="dxa"/>
          </w:tcPr>
          <w:p w14:paraId="0EE5763F"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13F601FE"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42504ED5"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23077BD" w14:textId="77777777" w:rsidR="00227142" w:rsidRDefault="00227142" w:rsidP="00397FB0">
            <w:pPr>
              <w:ind w:firstLine="0"/>
              <w:rPr>
                <w:b w:val="0"/>
                <w:bCs w:val="0"/>
              </w:rPr>
            </w:pPr>
            <w:r w:rsidRPr="00A312BD">
              <w:rPr>
                <w:b w:val="0"/>
                <w:bCs w:val="0"/>
              </w:rPr>
              <w:t>Moderate Policy Stores</w:t>
            </w:r>
          </w:p>
          <w:p w14:paraId="686E5AD6" w14:textId="77777777" w:rsidR="00227142" w:rsidRPr="00A312BD" w:rsidRDefault="00227142" w:rsidP="00397FB0">
            <w:pPr>
              <w:ind w:firstLine="0"/>
              <w:rPr>
                <w:b w:val="0"/>
                <w:bCs w:val="0"/>
              </w:rPr>
            </w:pPr>
            <w:r>
              <w:rPr>
                <w:b w:val="0"/>
                <w:bCs w:val="0"/>
              </w:rPr>
              <w:t>(n = 33)</w:t>
            </w:r>
          </w:p>
        </w:tc>
        <w:tc>
          <w:tcPr>
            <w:tcW w:w="2445" w:type="dxa"/>
          </w:tcPr>
          <w:p w14:paraId="6C9FA10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42F168DA"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28FA2818"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DED20D7" w14:textId="77777777" w:rsidR="00227142" w:rsidRDefault="00227142" w:rsidP="00397FB0">
            <w:pPr>
              <w:ind w:firstLine="0"/>
              <w:rPr>
                <w:b w:val="0"/>
                <w:bCs w:val="0"/>
              </w:rPr>
            </w:pPr>
            <w:r w:rsidRPr="00A312BD">
              <w:rPr>
                <w:b w:val="0"/>
                <w:bCs w:val="0"/>
              </w:rPr>
              <w:t>Lenient Policy Stores</w:t>
            </w:r>
          </w:p>
          <w:p w14:paraId="2D119B51" w14:textId="77777777" w:rsidR="00227142" w:rsidRPr="00A312BD" w:rsidRDefault="00227142" w:rsidP="00397FB0">
            <w:pPr>
              <w:ind w:firstLine="0"/>
              <w:rPr>
                <w:b w:val="0"/>
                <w:bCs w:val="0"/>
              </w:rPr>
            </w:pPr>
            <w:r>
              <w:rPr>
                <w:b w:val="0"/>
                <w:bCs w:val="0"/>
              </w:rPr>
              <w:t>(n = 39)</w:t>
            </w:r>
          </w:p>
        </w:tc>
        <w:tc>
          <w:tcPr>
            <w:tcW w:w="2445" w:type="dxa"/>
          </w:tcPr>
          <w:p w14:paraId="178049A5"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2F9602E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1FE0E1D5" w14:textId="0431CE44" w:rsidR="00227142" w:rsidRDefault="00227142" w:rsidP="00227142">
      <w:pPr>
        <w:ind w:firstLine="0"/>
      </w:pPr>
    </w:p>
    <w:p w14:paraId="3C2C6834" w14:textId="712E8209" w:rsidR="000A20AE" w:rsidRDefault="000A20AE" w:rsidP="00D81301">
      <w:r>
        <w:t>Here are the summary statistics for each store type:</w:t>
      </w:r>
    </w:p>
    <w:p w14:paraId="7A969714" w14:textId="14445B1F" w:rsidR="000A20AE" w:rsidRDefault="000A20AE" w:rsidP="00227142"/>
    <w:tbl>
      <w:tblPr>
        <w:tblStyle w:val="GridTable1Light1"/>
        <w:tblW w:w="0" w:type="auto"/>
        <w:tblLook w:val="04A0" w:firstRow="1" w:lastRow="0" w:firstColumn="1" w:lastColumn="0" w:noHBand="0" w:noVBand="1"/>
      </w:tblPr>
      <w:tblGrid>
        <w:gridCol w:w="1659"/>
        <w:gridCol w:w="1667"/>
        <w:gridCol w:w="1110"/>
        <w:gridCol w:w="1359"/>
      </w:tblGrid>
      <w:tr w:rsidR="007C4999" w14:paraId="158ABDAC" w14:textId="77777777" w:rsidTr="000A2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9CB7C02" w14:textId="77777777" w:rsidR="007C4999" w:rsidRDefault="007C4999" w:rsidP="00397FB0">
            <w:pPr>
              <w:ind w:firstLine="0"/>
            </w:pPr>
          </w:p>
        </w:tc>
        <w:tc>
          <w:tcPr>
            <w:tcW w:w="1667" w:type="dxa"/>
          </w:tcPr>
          <w:p w14:paraId="48546AF3" w14:textId="4CA2911D"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Revenues (in millions of dollars)</w:t>
            </w:r>
          </w:p>
          <w:p w14:paraId="7E61174A" w14:textId="297B8A69" w:rsidR="007C4999" w:rsidRPr="00A312BD"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110" w:type="dxa"/>
          </w:tcPr>
          <w:p w14:paraId="1E57CE9A" w14:textId="77777777"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61A09CBD" w14:textId="30D6C2EC"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023E2024" w14:textId="7432F2FC"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 Chain</w:t>
            </w:r>
          </w:p>
        </w:tc>
      </w:tr>
      <w:tr w:rsidR="007C4999" w14:paraId="15278F7A"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069B3672" w14:textId="77777777" w:rsidR="007C4999" w:rsidRDefault="007C4999" w:rsidP="00397FB0">
            <w:pPr>
              <w:ind w:firstLine="0"/>
              <w:rPr>
                <w:b w:val="0"/>
                <w:bCs w:val="0"/>
              </w:rPr>
            </w:pPr>
            <w:r w:rsidRPr="00A312BD">
              <w:rPr>
                <w:b w:val="0"/>
                <w:bCs w:val="0"/>
              </w:rPr>
              <w:t>Harsh Policy Stores</w:t>
            </w:r>
          </w:p>
          <w:p w14:paraId="0B84676B" w14:textId="77777777" w:rsidR="007C4999" w:rsidRPr="00A312BD" w:rsidRDefault="007C4999" w:rsidP="00397FB0">
            <w:pPr>
              <w:ind w:firstLine="0"/>
              <w:rPr>
                <w:b w:val="0"/>
                <w:bCs w:val="0"/>
              </w:rPr>
            </w:pPr>
            <w:r>
              <w:rPr>
                <w:b w:val="0"/>
                <w:bCs w:val="0"/>
              </w:rPr>
              <w:t xml:space="preserve"> (n =23)</w:t>
            </w:r>
          </w:p>
        </w:tc>
        <w:tc>
          <w:tcPr>
            <w:tcW w:w="1667" w:type="dxa"/>
          </w:tcPr>
          <w:p w14:paraId="17D95EEF" w14:textId="0E3F5CB6"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0.</w:t>
            </w:r>
            <w:r w:rsidR="006B5E78">
              <w:t>26</w:t>
            </w:r>
          </w:p>
          <w:p w14:paraId="71802998" w14:textId="436AAE2D"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0.</w:t>
            </w:r>
            <w:r w:rsidR="006B5E78">
              <w:t>38</w:t>
            </w:r>
            <w:r>
              <w:t>)</w:t>
            </w:r>
          </w:p>
        </w:tc>
        <w:tc>
          <w:tcPr>
            <w:tcW w:w="1110" w:type="dxa"/>
          </w:tcPr>
          <w:p w14:paraId="26B36CCA"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21</w:t>
            </w:r>
          </w:p>
          <w:p w14:paraId="3713D372" w14:textId="3C733A9A"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1359" w:type="dxa"/>
          </w:tcPr>
          <w:p w14:paraId="21B4655D" w14:textId="22A724C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w:t>
            </w:r>
          </w:p>
        </w:tc>
      </w:tr>
      <w:tr w:rsidR="007C4999" w14:paraId="6EEE2266"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29B7EE6C" w14:textId="77777777" w:rsidR="007C4999" w:rsidRDefault="007C4999" w:rsidP="00397FB0">
            <w:pPr>
              <w:ind w:firstLine="0"/>
              <w:rPr>
                <w:b w:val="0"/>
                <w:bCs w:val="0"/>
              </w:rPr>
            </w:pPr>
            <w:r w:rsidRPr="00A312BD">
              <w:rPr>
                <w:b w:val="0"/>
                <w:bCs w:val="0"/>
              </w:rPr>
              <w:t>Moderate Policy Stores</w:t>
            </w:r>
          </w:p>
          <w:p w14:paraId="10427A6E" w14:textId="77777777" w:rsidR="007C4999" w:rsidRPr="00A312BD" w:rsidRDefault="007C4999" w:rsidP="00397FB0">
            <w:pPr>
              <w:ind w:firstLine="0"/>
              <w:rPr>
                <w:b w:val="0"/>
                <w:bCs w:val="0"/>
              </w:rPr>
            </w:pPr>
            <w:r>
              <w:rPr>
                <w:b w:val="0"/>
                <w:bCs w:val="0"/>
              </w:rPr>
              <w:t>(n = 33)</w:t>
            </w:r>
          </w:p>
        </w:tc>
        <w:tc>
          <w:tcPr>
            <w:tcW w:w="1667" w:type="dxa"/>
          </w:tcPr>
          <w:p w14:paraId="055CBDD6" w14:textId="77777777" w:rsidR="006B5E78"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751</w:t>
            </w:r>
          </w:p>
          <w:p w14:paraId="14566065" w14:textId="01B484F1" w:rsidR="007C4999" w:rsidRPr="00D81301"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 xml:space="preserve"> </w:t>
            </w:r>
            <w:r w:rsidR="007C4999">
              <w:t xml:space="preserve">(SD = </w:t>
            </w:r>
            <w:r>
              <w:t>3285)</w:t>
            </w:r>
          </w:p>
        </w:tc>
        <w:tc>
          <w:tcPr>
            <w:tcW w:w="1110" w:type="dxa"/>
          </w:tcPr>
          <w:p w14:paraId="41E47F2E"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46</w:t>
            </w:r>
          </w:p>
          <w:p w14:paraId="31CB6FB0" w14:textId="12130ABB"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(32)</w:t>
            </w:r>
          </w:p>
        </w:tc>
        <w:tc>
          <w:tcPr>
            <w:tcW w:w="1359" w:type="dxa"/>
          </w:tcPr>
          <w:p w14:paraId="20D97216"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p>
          <w:p w14:paraId="6C381153" w14:textId="12A8BF61" w:rsidR="007C4999" w:rsidRDefault="007C4999" w:rsidP="00D81301">
            <w:pPr>
              <w:ind w:firstLine="0"/>
              <w:jc w:val="center"/>
              <w:cnfStyle w:val="000000000000" w:firstRow="0" w:lastRow="0" w:firstColumn="0" w:lastColumn="0" w:oddVBand="0" w:evenVBand="0" w:oddHBand="0" w:evenHBand="0" w:firstRowFirstColumn="0" w:firstRowLastColumn="0" w:lastRowFirstColumn="0" w:lastRowLastColumn="0"/>
            </w:pPr>
            <w:r>
              <w:t>85%</w:t>
            </w:r>
          </w:p>
        </w:tc>
      </w:tr>
      <w:tr w:rsidR="007C4999" w14:paraId="5A7C601C"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40AA8955" w14:textId="77777777" w:rsidR="007C4999" w:rsidRDefault="007C4999" w:rsidP="00397FB0">
            <w:pPr>
              <w:ind w:firstLine="0"/>
              <w:rPr>
                <w:b w:val="0"/>
                <w:bCs w:val="0"/>
              </w:rPr>
            </w:pPr>
            <w:r w:rsidRPr="00A312BD">
              <w:rPr>
                <w:b w:val="0"/>
                <w:bCs w:val="0"/>
              </w:rPr>
              <w:t>Lenient Policy Stores</w:t>
            </w:r>
          </w:p>
          <w:p w14:paraId="69635978" w14:textId="77777777" w:rsidR="007C4999" w:rsidRPr="00A312BD" w:rsidRDefault="007C4999" w:rsidP="00397FB0">
            <w:pPr>
              <w:ind w:firstLine="0"/>
              <w:rPr>
                <w:b w:val="0"/>
                <w:bCs w:val="0"/>
              </w:rPr>
            </w:pPr>
            <w:r>
              <w:rPr>
                <w:b w:val="0"/>
                <w:bCs w:val="0"/>
              </w:rPr>
              <w:t>(n = 39)</w:t>
            </w:r>
          </w:p>
        </w:tc>
        <w:tc>
          <w:tcPr>
            <w:tcW w:w="1667" w:type="dxa"/>
          </w:tcPr>
          <w:p w14:paraId="4E82C42F" w14:textId="2AB487C7"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19</w:t>
            </w:r>
            <w:r w:rsidR="006B5E78">
              <w:t>9</w:t>
            </w:r>
            <w:r>
              <w:t xml:space="preserve"> </w:t>
            </w:r>
          </w:p>
          <w:p w14:paraId="236C3766" w14:textId="03D5C5A9"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10</w:t>
            </w:r>
            <w:r w:rsidR="006B5E78">
              <w:t>24</w:t>
            </w:r>
            <w:r>
              <w:t>)</w:t>
            </w:r>
          </w:p>
        </w:tc>
        <w:tc>
          <w:tcPr>
            <w:tcW w:w="1110" w:type="dxa"/>
          </w:tcPr>
          <w:p w14:paraId="1F092910"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71</w:t>
            </w:r>
          </w:p>
          <w:p w14:paraId="63099CEF" w14:textId="5014AC58"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(48)</w:t>
            </w:r>
          </w:p>
        </w:tc>
        <w:tc>
          <w:tcPr>
            <w:tcW w:w="1359" w:type="dxa"/>
          </w:tcPr>
          <w:p w14:paraId="0B2F1B48" w14:textId="77777777" w:rsidR="007C4999" w:rsidRDefault="007C4999" w:rsidP="00D81301">
            <w:pPr>
              <w:ind w:firstLine="0"/>
              <w:cnfStyle w:val="000000000000" w:firstRow="0" w:lastRow="0" w:firstColumn="0" w:lastColumn="0" w:oddVBand="0" w:evenVBand="0" w:oddHBand="0" w:evenHBand="0" w:firstRowFirstColumn="0" w:firstRowLastColumn="0" w:lastRowFirstColumn="0" w:lastRowLastColumn="0"/>
            </w:pPr>
          </w:p>
          <w:p w14:paraId="40FE5242" w14:textId="597EE94F" w:rsidR="007C4999" w:rsidRDefault="007C4999" w:rsidP="00D81301">
            <w:pPr>
              <w:ind w:firstLine="0"/>
              <w:jc w:val="center"/>
              <w:cnfStyle w:val="000000000000" w:firstRow="0" w:lastRow="0" w:firstColumn="0" w:lastColumn="0" w:oddVBand="0" w:evenVBand="0" w:oddHBand="0" w:evenHBand="0" w:firstRowFirstColumn="0" w:firstRowLastColumn="0" w:lastRowFirstColumn="0" w:lastRowLastColumn="0"/>
            </w:pPr>
            <w:r>
              <w:t>97%</w:t>
            </w:r>
          </w:p>
        </w:tc>
      </w:tr>
    </w:tbl>
    <w:p w14:paraId="1D687FF1" w14:textId="77777777" w:rsidR="000A20AE" w:rsidRDefault="000A20AE" w:rsidP="00227142">
      <w:pPr>
        <w:rPr>
          <w:rtl/>
          <w:lang w:bidi="he-IL"/>
        </w:rPr>
      </w:pPr>
    </w:p>
    <w:p w14:paraId="56D9C1BB" w14:textId="77777777" w:rsidR="000A20AE" w:rsidRDefault="000A20AE" w:rsidP="00227142"/>
    <w:p w14:paraId="11447C4D" w14:textId="0A0AAE9F" w:rsidR="00227142" w:rsidRDefault="00227142" w:rsidP="00227142">
      <w:r>
        <w:t xml:space="preserve">The study explores the prevalence of the following deviations from the paper policy: </w:t>
      </w:r>
    </w:p>
    <w:p w14:paraId="0B615A3C" w14:textId="77777777" w:rsidR="00227142" w:rsidRDefault="00227142" w:rsidP="00227142">
      <w:pPr>
        <w:ind w:firstLine="0"/>
        <w:rPr>
          <w:i/>
          <w:iCs/>
        </w:rPr>
      </w:pPr>
    </w:p>
    <w:p w14:paraId="30CF757B" w14:textId="77777777" w:rsidR="00227142" w:rsidRDefault="00227142" w:rsidP="00227142">
      <w:pPr>
        <w:rPr>
          <w:i/>
          <w:iCs/>
        </w:rPr>
      </w:pPr>
      <w:r>
        <w:rPr>
          <w:i/>
          <w:iCs/>
        </w:rPr>
        <w:t>Table 5: Operationalization of Gaps</w:t>
      </w:r>
    </w:p>
    <w:p w14:paraId="21DAC6AD" w14:textId="77777777" w:rsidR="00227142" w:rsidRPr="00953F5D" w:rsidRDefault="00227142" w:rsidP="00227142">
      <w:pPr>
        <w:rPr>
          <w:i/>
          <w:iCs/>
        </w:rPr>
      </w:pPr>
    </w:p>
    <w:tbl>
      <w:tblPr>
        <w:tblStyle w:val="GridTable1Light1"/>
        <w:tblW w:w="8287" w:type="dxa"/>
        <w:tblLayout w:type="fixed"/>
        <w:tblLook w:val="04A0" w:firstRow="1" w:lastRow="0" w:firstColumn="1" w:lastColumn="0" w:noHBand="0" w:noVBand="1"/>
      </w:tblPr>
      <w:tblGrid>
        <w:gridCol w:w="1526"/>
        <w:gridCol w:w="1264"/>
        <w:gridCol w:w="1691"/>
        <w:gridCol w:w="2377"/>
        <w:gridCol w:w="1420"/>
        <w:gridCol w:w="9"/>
      </w:tblGrid>
      <w:tr w:rsidR="00227142" w:rsidRPr="00FD6FA2" w14:paraId="52E7C713" w14:textId="77777777" w:rsidTr="00397F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397FB0">
        <w:trPr>
          <w:gridAfter w:val="1"/>
          <w:wAfter w:w="9" w:type="dxa"/>
          <w:trHeight w:val="1338"/>
        </w:trPr>
        <w:tc>
          <w:tcPr>
            <w:cnfStyle w:val="001000000000" w:firstRow="0" w:lastRow="0" w:firstColumn="1" w:lastColumn="0" w:oddVBand="0" w:evenVBand="0" w:oddHBand="0" w:evenHBand="0" w:firstRowFirstColumn="0" w:firstRowLastColumn="0" w:lastRowFirstColumn="0" w:lastRowLastColumn="0"/>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shd w:val="clear" w:color="auto" w:fill="auto"/>
            <w:noWrap/>
          </w:tcPr>
          <w:p w14:paraId="61F31FF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71D79A1"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0CFF2D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4A4551C"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val="restart"/>
            <w:shd w:val="clear" w:color="auto" w:fill="auto"/>
            <w:noWrap/>
          </w:tcPr>
          <w:p w14:paraId="6F69089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2B7C7E6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6208EEC8"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BBD5A8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val="restart"/>
            <w:shd w:val="clear" w:color="auto" w:fill="auto"/>
            <w:noWrap/>
          </w:tcPr>
          <w:p w14:paraId="41075F1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2D8170D"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6F926D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F52D247"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759CA0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r>
      <w:tr w:rsidR="00227142" w:rsidRPr="00FD6FA2" w14:paraId="58DC62AE"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val="0"/>
                <w:bCs w:val="0"/>
                <w:color w:val="000000"/>
                <w:sz w:val="22"/>
                <w:szCs w:val="22"/>
              </w:rPr>
            </w:pPr>
          </w:p>
        </w:tc>
        <w:tc>
          <w:tcPr>
            <w:tcW w:w="1264" w:type="dxa"/>
          </w:tcPr>
          <w:p w14:paraId="078D2C03" w14:textId="77777777" w:rsidR="00227142" w:rsidRPr="005D53C2" w:rsidRDefault="00227142" w:rsidP="00397FB0">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shd w:val="clear" w:color="auto" w:fill="auto"/>
            <w:noWrap/>
            <w:hideMark/>
          </w:tcPr>
          <w:p w14:paraId="4DDE294F"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shd w:val="clear" w:color="auto" w:fill="auto"/>
            <w:noWrap/>
            <w:hideMark/>
          </w:tcPr>
          <w:p w14:paraId="5EE39AB5"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c>
          <w:tcPr>
            <w:tcW w:w="1420" w:type="dxa"/>
            <w:vMerge/>
            <w:shd w:val="clear" w:color="auto" w:fill="auto"/>
            <w:noWrap/>
            <w:hideMark/>
          </w:tcPr>
          <w:p w14:paraId="5CB2F7E1"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r w:rsidR="00227142" w:rsidRPr="00FD6FA2" w14:paraId="5BBAC05A"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shd w:val="clear" w:color="auto" w:fill="auto"/>
            <w:noWrap/>
            <w:hideMark/>
          </w:tcPr>
          <w:p w14:paraId="655C3043"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shd w:val="clear" w:color="auto" w:fill="auto"/>
            <w:noWrap/>
            <w:hideMark/>
          </w:tcPr>
          <w:p w14:paraId="5ECC393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numPr>
          <w:ilvl w:val="0"/>
          <w:numId w:val="0"/>
        </w:numPr>
        <w:jc w:val="left"/>
      </w:pPr>
    </w:p>
    <w:p w14:paraId="0D23932B" w14:textId="1BF11949" w:rsidR="002D10CA" w:rsidRDefault="008333F0" w:rsidP="00D81301">
      <w:pPr>
        <w:pStyle w:val="Heading1"/>
      </w:pPr>
      <w:bookmarkStart w:id="254" w:name="_Toc18539939"/>
      <w:r>
        <w:t>III</w:t>
      </w:r>
      <w:r w:rsidR="007C4999">
        <w:t xml:space="preserve">. </w:t>
      </w:r>
      <w:r w:rsidR="00837555">
        <w:t>Results</w:t>
      </w:r>
      <w:bookmarkEnd w:id="254"/>
    </w:p>
    <w:p w14:paraId="7B9E4734" w14:textId="77777777" w:rsidR="00102FAA" w:rsidRDefault="00102FAA" w:rsidP="00102FAA"/>
    <w:p w14:paraId="0AD2FF2D" w14:textId="66456A70" w:rsidR="00DC5DF3" w:rsidRDefault="00102FAA">
      <w:r>
        <w:t>The results as reported by the testers in their post-audit surveys provide a rich database for investigating the “paper deal—real deal” gap.</w:t>
      </w:r>
      <w:del w:id="255" w:author="Susan" w:date="2019-09-06T00:27:00Z">
        <w:r w:rsidDel="003A4E70">
          <w:delText xml:space="preserve"> </w:delText>
        </w:r>
      </w:del>
      <w:r>
        <w:t xml:space="preserve"> This section presents the results of the field experiment. </w:t>
      </w:r>
    </w:p>
    <w:p w14:paraId="547D25C0" w14:textId="77777777" w:rsidR="00DC5DF3" w:rsidRDefault="00DC5DF3" w:rsidP="00244958"/>
    <w:p w14:paraId="7166C813" w14:textId="77777777" w:rsidR="00DC5DF3" w:rsidRDefault="00102FAA" w:rsidP="00244958">
      <w:r>
        <w:t xml:space="preserve">Part 1 reports on the prevalence of pro-consumer gaps, defined as any deviations from the clear and unconditional policy terms denying refunds or requiring receipts for returns. </w:t>
      </w:r>
      <w:r w:rsidR="000F1056">
        <w:t>This study</w:t>
      </w:r>
      <w:r>
        <w:t xml:space="preserve"> reports the prevalence of pro-consumer gaps across the sampled stores. </w:t>
      </w:r>
    </w:p>
    <w:p w14:paraId="127163DA" w14:textId="77777777" w:rsidR="00DC5DF3" w:rsidRDefault="00DC5DF3" w:rsidP="00244958"/>
    <w:p w14:paraId="02DABC00" w14:textId="505F79F8" w:rsidR="00DC5DF3" w:rsidRDefault="000F1056" w:rsidP="00D81301">
      <w:r>
        <w:t>Part 2</w:t>
      </w:r>
      <w:r w:rsidR="00102FAA">
        <w:t xml:space="preserve"> turns to explore the effect of complaining on the gap. Each audit produced two return outcomes: One is the return outcome that testers had achieved before complaining and one is the return outcome after complaining. </w:t>
      </w:r>
      <w:r w:rsidR="007C4999">
        <w:t>Importantly, the design allows a comparison of the rates of pro-consumer gaps at the initial stage, before testers asked to speak to a manager, and after testers complained.</w:t>
      </w:r>
    </w:p>
    <w:p w14:paraId="4A28B0BD" w14:textId="77777777" w:rsidR="00DC5DF3" w:rsidRDefault="00DC5DF3" w:rsidP="00244958"/>
    <w:p w14:paraId="472F330B" w14:textId="64BD3860" w:rsidR="00102FAA" w:rsidRDefault="00102FAA" w:rsidP="00244958">
      <w:r>
        <w:t xml:space="preserve">Finally, </w:t>
      </w:r>
      <w:r w:rsidR="000F1056">
        <w:t>Part 3</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45009AF0" w:rsidR="004F74B2" w:rsidRPr="00F6370A" w:rsidRDefault="00F6370A" w:rsidP="004F74B2">
      <w:pPr>
        <w:pStyle w:val="Heading3"/>
      </w:pPr>
      <w:bookmarkStart w:id="256" w:name="_Toc17757429"/>
      <w:bookmarkStart w:id="257" w:name="_Toc18539940"/>
      <w:r w:rsidRPr="00F6370A">
        <w:t>The</w:t>
      </w:r>
      <w:r w:rsidR="004F74B2" w:rsidRPr="00F6370A">
        <w:t xml:space="preserve"> Prevalence of Pro-Consumer Gaps</w:t>
      </w:r>
      <w:bookmarkEnd w:id="256"/>
      <w:bookmarkEnd w:id="257"/>
    </w:p>
    <w:p w14:paraId="5C6F84F8" w14:textId="09C8DB68" w:rsidR="004D59D1" w:rsidRDefault="004D59D1" w:rsidP="00D81301">
      <w:pPr>
        <w:ind w:firstLine="0"/>
      </w:pPr>
    </w:p>
    <w:p w14:paraId="1B243870" w14:textId="784145CC" w:rsidR="004D59D1" w:rsidRDefault="004D59D1">
      <w:r>
        <w:t xml:space="preserve">Table </w:t>
      </w:r>
      <w:r w:rsidR="007F730E">
        <w:t>6</w:t>
      </w:r>
      <w:r>
        <w:t xml:space="preserve"> </w:t>
      </w:r>
      <w:r w:rsidR="007C4999">
        <w:t>describes what happened when testers initially asked for a refund</w:t>
      </w:r>
      <w:r>
        <w:t xml:space="preserve"> across the different types of stores. </w:t>
      </w:r>
      <w:del w:id="258" w:author="Susan" w:date="2019-09-06T00:27:00Z">
        <w:r w:rsidDel="003A4E70">
          <w:delText xml:space="preserve"> </w:delText>
        </w:r>
      </w:del>
      <w:r>
        <w:t>Pro-consumer gaps are highlighted in bold, and pro-seller gaps are underlined.</w:t>
      </w:r>
      <w:r w:rsidR="000E6E2F">
        <w:rPr>
          <w:rStyle w:val="FootnoteReference"/>
        </w:rPr>
        <w:footnoteReference w:id="56"/>
      </w:r>
      <w:r>
        <w:t xml:space="preserve"> </w:t>
      </w:r>
    </w:p>
    <w:p w14:paraId="5795D3A3" w14:textId="77777777" w:rsidR="004D59D1" w:rsidRDefault="004D59D1" w:rsidP="004D59D1"/>
    <w:p w14:paraId="29E501D6" w14:textId="7441F618" w:rsidR="004D59D1" w:rsidRPr="0033528A" w:rsidRDefault="004D59D1" w:rsidP="007F730E">
      <w:pPr>
        <w:rPr>
          <w:i/>
          <w:iCs/>
        </w:rPr>
      </w:pPr>
      <w:r>
        <w:rPr>
          <w:i/>
          <w:iCs/>
        </w:rPr>
        <w:t xml:space="preserve">Table </w:t>
      </w:r>
      <w:r w:rsidR="007F730E">
        <w:rPr>
          <w:i/>
          <w:iCs/>
        </w:rPr>
        <w:t>6</w:t>
      </w:r>
      <w:r>
        <w:rPr>
          <w:i/>
          <w:iCs/>
        </w:rPr>
        <w:t>. Return Outcomes at the Initial Stage.</w:t>
      </w: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4D59D1" w:rsidRPr="00FD6FA2" w14:paraId="0745D065" w14:textId="77777777" w:rsidTr="00420E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51843E9D" w14:textId="77777777" w:rsidR="004D59D1" w:rsidRPr="00B93E5F" w:rsidRDefault="004D59D1" w:rsidP="00420E22">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5962FF00"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57"/>
            </w:r>
          </w:p>
        </w:tc>
        <w:tc>
          <w:tcPr>
            <w:tcW w:w="1504" w:type="dxa"/>
            <w:noWrap/>
            <w:hideMark/>
          </w:tcPr>
          <w:p w14:paraId="45DD8767"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5EA0638A"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4A179F44"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4D59D1" w:rsidRPr="00FD6FA2" w14:paraId="51C7BD70"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1C585A42"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048B45DC" w14:textId="77777777" w:rsidR="004D59D1" w:rsidRDefault="004D59D1" w:rsidP="00420E22">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E03BF05" w14:textId="77777777" w:rsidR="004D59D1" w:rsidRPr="00B93E5F" w:rsidRDefault="004D59D1" w:rsidP="00420E22">
            <w:pPr>
              <w:widowControl/>
              <w:ind w:firstLine="0"/>
              <w:jc w:val="left"/>
              <w:rPr>
                <w:rFonts w:asciiTheme="majorBidi" w:hAnsiTheme="majorBidi" w:cstheme="majorBidi"/>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tc>
        <w:tc>
          <w:tcPr>
            <w:tcW w:w="1135" w:type="dxa"/>
            <w:noWrap/>
          </w:tcPr>
          <w:p w14:paraId="20C40234"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p>
        </w:tc>
        <w:tc>
          <w:tcPr>
            <w:tcW w:w="1504" w:type="dxa"/>
            <w:noWrap/>
          </w:tcPr>
          <w:p w14:paraId="1A954136"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p>
        </w:tc>
        <w:tc>
          <w:tcPr>
            <w:tcW w:w="1110" w:type="dxa"/>
            <w:noWrap/>
          </w:tcPr>
          <w:p w14:paraId="6AF3708F" w14:textId="77777777" w:rsidR="004D59D1" w:rsidRPr="00FD75F3"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FD75F3">
              <w:rPr>
                <w:rFonts w:asciiTheme="majorBidi" w:hAnsiTheme="majorBidi" w:cstheme="majorBidi"/>
                <w:color w:val="000000"/>
                <w:sz w:val="22"/>
                <w:szCs w:val="22"/>
              </w:rPr>
              <w:t>0%</w:t>
            </w:r>
          </w:p>
        </w:tc>
        <w:tc>
          <w:tcPr>
            <w:tcW w:w="1346" w:type="dxa"/>
          </w:tcPr>
          <w:p w14:paraId="183203C8" w14:textId="77777777" w:rsidR="004D59D1" w:rsidRPr="00F23E05"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p>
        </w:tc>
      </w:tr>
      <w:tr w:rsidR="004D59D1" w:rsidRPr="00FD6FA2" w14:paraId="593E80D7"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76BB4AD9"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A336CE2" w14:textId="77777777" w:rsidR="004D59D1" w:rsidRDefault="004D59D1"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71E4CBED" w14:textId="77777777" w:rsidR="004D59D1" w:rsidRPr="00587395" w:rsidRDefault="004D59D1"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35" w:type="dxa"/>
            <w:noWrap/>
            <w:hideMark/>
          </w:tcPr>
          <w:p w14:paraId="71703B48"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p>
        </w:tc>
        <w:tc>
          <w:tcPr>
            <w:tcW w:w="1504" w:type="dxa"/>
            <w:noWrap/>
            <w:hideMark/>
          </w:tcPr>
          <w:p w14:paraId="799F207B"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p>
        </w:tc>
        <w:tc>
          <w:tcPr>
            <w:tcW w:w="1110" w:type="dxa"/>
            <w:noWrap/>
            <w:hideMark/>
          </w:tcPr>
          <w:p w14:paraId="68ADFB1A"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p>
        </w:tc>
        <w:tc>
          <w:tcPr>
            <w:tcW w:w="1346" w:type="dxa"/>
          </w:tcPr>
          <w:p w14:paraId="75870E5A" w14:textId="0B97F563"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36%**</w:t>
            </w:r>
          </w:p>
        </w:tc>
      </w:tr>
      <w:tr w:rsidR="004D59D1" w:rsidRPr="00FD6FA2" w14:paraId="10CEEA1E"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DE1928B"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61BFC18D" w14:textId="77777777" w:rsidR="004D59D1" w:rsidRPr="00C74606" w:rsidRDefault="004D59D1"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14711D03" w14:textId="77777777" w:rsidR="004D59D1" w:rsidRPr="004C77E0"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p>
        </w:tc>
        <w:tc>
          <w:tcPr>
            <w:tcW w:w="1504" w:type="dxa"/>
            <w:noWrap/>
            <w:hideMark/>
          </w:tcPr>
          <w:p w14:paraId="5272A6F3"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p>
        </w:tc>
        <w:tc>
          <w:tcPr>
            <w:tcW w:w="1110" w:type="dxa"/>
            <w:noWrap/>
            <w:hideMark/>
          </w:tcPr>
          <w:p w14:paraId="137B8E39"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p>
        </w:tc>
        <w:tc>
          <w:tcPr>
            <w:tcW w:w="1346" w:type="dxa"/>
          </w:tcPr>
          <w:p w14:paraId="060BE14D" w14:textId="12081A81" w:rsidR="004D59D1" w:rsidRPr="00B93E5F" w:rsidRDefault="004D59D1" w:rsidP="0085680F">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18%</w:t>
            </w:r>
            <w:r w:rsidR="0085680F">
              <w:rPr>
                <w:rFonts w:asciiTheme="majorBidi" w:hAnsiTheme="majorBidi" w:cstheme="majorBidi"/>
                <w:b/>
                <w:bCs/>
                <w:color w:val="000000"/>
                <w:sz w:val="22"/>
                <w:szCs w:val="22"/>
              </w:rPr>
              <w:t>*</w:t>
            </w:r>
          </w:p>
        </w:tc>
      </w:tr>
    </w:tbl>
    <w:p w14:paraId="7995EC7C" w14:textId="1D7AEFB3" w:rsidR="004D59D1" w:rsidRPr="004D59D1" w:rsidRDefault="004D59D1" w:rsidP="00D81301">
      <w:pPr>
        <w:rPr>
          <w:sz w:val="20"/>
          <w:szCs w:val="16"/>
        </w:rPr>
      </w:pPr>
      <w:r>
        <w:rPr>
          <w:i/>
          <w:iCs/>
          <w:sz w:val="20"/>
          <w:szCs w:val="16"/>
        </w:rPr>
        <w:t>Not</w:t>
      </w:r>
      <w:r w:rsidR="00531D5C">
        <w:rPr>
          <w:i/>
          <w:iCs/>
          <w:sz w:val="20"/>
          <w:szCs w:val="16"/>
        </w:rPr>
        <w:t>e:</w:t>
      </w:r>
      <w:r>
        <w:rPr>
          <w:i/>
          <w:iCs/>
          <w:sz w:val="20"/>
          <w:szCs w:val="16"/>
        </w:rPr>
        <w:t xml:space="preserve"> </w:t>
      </w:r>
      <w:r>
        <w:rPr>
          <w:sz w:val="20"/>
          <w:szCs w:val="16"/>
        </w:rPr>
        <w:t>When the difference</w:t>
      </w:r>
      <w:r w:rsidR="00617A4D">
        <w:rPr>
          <w:sz w:val="20"/>
          <w:szCs w:val="16"/>
        </w:rPr>
        <w:t>s in return outcomes</w:t>
      </w:r>
      <w:r>
        <w:rPr>
          <w:sz w:val="20"/>
          <w:szCs w:val="16"/>
        </w:rPr>
        <w:t xml:space="preserve"> between two policy type categories are significant at the 1% level, they are marked as ***, when they are significant at the 5% level they are marked as **, and when they are significant at the 10% level, they are marked as </w:t>
      </w:r>
      <w:r w:rsidR="00377758">
        <w:rPr>
          <w:sz w:val="20"/>
          <w:szCs w:val="16"/>
        </w:rPr>
        <w:t>*</w:t>
      </w:r>
      <w:r>
        <w:rPr>
          <w:sz w:val="20"/>
          <w:szCs w:val="16"/>
        </w:rPr>
        <w:t xml:space="preserve">. </w:t>
      </w:r>
    </w:p>
    <w:p w14:paraId="669999EA" w14:textId="3665802D" w:rsidR="006A272A" w:rsidRDefault="006A272A" w:rsidP="00E10788">
      <w:pPr>
        <w:ind w:firstLine="0"/>
      </w:pPr>
    </w:p>
    <w:p w14:paraId="2D78A2EE" w14:textId="7DAF2F71" w:rsidR="004D59D1" w:rsidRDefault="00F56644" w:rsidP="00D81301">
      <w:pPr>
        <w:ind w:firstLine="720"/>
      </w:pPr>
      <w:r>
        <w:rPr>
          <w:rFonts w:asciiTheme="majorBidi" w:hAnsiTheme="majorBidi" w:cstheme="majorBidi"/>
        </w:rPr>
        <w:t>A</w:t>
      </w:r>
      <w:r w:rsidRPr="00BF35DC">
        <w:rPr>
          <w:rFonts w:asciiTheme="majorBidi" w:hAnsiTheme="majorBidi" w:cstheme="majorBidi"/>
        </w:rPr>
        <w:t xml:space="preserve">s expected, the </w:t>
      </w:r>
      <w:r>
        <w:rPr>
          <w:rFonts w:asciiTheme="majorBidi" w:hAnsiTheme="majorBidi" w:cstheme="majorBidi"/>
        </w:rPr>
        <w:t>results reveal that the formal terms of the contract</w:t>
      </w:r>
      <w:r w:rsidRPr="00BF35DC">
        <w:rPr>
          <w:rFonts w:asciiTheme="majorBidi" w:hAnsiTheme="majorBidi" w:cstheme="majorBidi"/>
        </w:rPr>
        <w:t xml:space="preserve"> had a strong and significant effect on testers’ initial return outcomes</w:t>
      </w:r>
      <w:r>
        <w:rPr>
          <w:rFonts w:asciiTheme="majorBidi" w:hAnsiTheme="majorBidi" w:cstheme="majorBidi"/>
        </w:rPr>
        <w:t>: Stores with lenient return policies were significantly more likely to accept non-receipted returns (for a refund, exchange or store credit) than stores with moderate return policies, and the latter were significantly more likely to accept such returns than were stores with harsh return policies</w:t>
      </w:r>
      <w:r w:rsidRPr="00BF35DC">
        <w:rPr>
          <w:rFonts w:asciiTheme="majorBidi" w:hAnsiTheme="majorBidi" w:cstheme="majorBidi"/>
        </w:rPr>
        <w:t>.</w:t>
      </w:r>
      <w:r>
        <w:rPr>
          <w:rStyle w:val="FootnoteReference"/>
        </w:rPr>
        <w:footnoteReference w:id="58"/>
      </w:r>
      <w:r>
        <w:t xml:space="preserve"> </w:t>
      </w:r>
      <w:r w:rsidR="00E10788">
        <w:t xml:space="preserve"> </w:t>
      </w:r>
    </w:p>
    <w:p w14:paraId="3F0C3407" w14:textId="77777777" w:rsidR="00F56644" w:rsidRDefault="00F56644" w:rsidP="004D59D1">
      <w:pPr>
        <w:ind w:firstLine="720"/>
      </w:pPr>
    </w:p>
    <w:p w14:paraId="7571D303" w14:textId="2DFDA4B7" w:rsidR="00D81301" w:rsidRDefault="00752E8A">
      <w:pPr>
        <w:ind w:firstLine="720"/>
      </w:pPr>
      <w:r>
        <w:t xml:space="preserve">That said, across all stores, testers received more favorable treatment than the official policy required in a significant minority of cases. </w:t>
      </w:r>
      <w:del w:id="286" w:author="Susan" w:date="2019-09-06T00:27:00Z">
        <w:r w:rsidDel="003A4E70">
          <w:delText xml:space="preserve"> </w:delText>
        </w:r>
      </w:del>
      <w:r>
        <w:t xml:space="preserve">Overall, the audited stores exhibited a pro-consumer gap in 22% of the cases. </w:t>
      </w:r>
      <w:r w:rsidR="00D81301">
        <w:t xml:space="preserve">Figure </w:t>
      </w:r>
      <w:r w:rsidR="00D81301">
        <w:lastRenderedPageBreak/>
        <w:t>3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5C20EE63" w14:textId="77777777" w:rsidR="00752E8A" w:rsidRPr="00EA1F74" w:rsidRDefault="00752E8A" w:rsidP="00752E8A">
      <w:pPr>
        <w:ind w:firstLine="720"/>
        <w:rPr>
          <w:i/>
          <w:iCs/>
        </w:rPr>
      </w:pPr>
      <w:r>
        <w:rPr>
          <w:i/>
          <w:iCs/>
        </w:rPr>
        <w:t>Figure 3: Pro-Consumer Gaps across Stores</w:t>
      </w:r>
    </w:p>
    <w:p w14:paraId="766626ED" w14:textId="0B63C97C" w:rsidR="00752E8A" w:rsidRDefault="008333F0" w:rsidP="00752E8A">
      <w:pPr>
        <w:ind w:firstLine="720"/>
      </w:pPr>
      <w:r>
        <w:rPr>
          <w:noProof/>
          <w:lang w:bidi="he-IL"/>
        </w:rPr>
        <w:drawing>
          <wp:inline distT="0" distB="0" distL="0" distR="0" wp14:anchorId="69EECEC4" wp14:editId="6CAC674B">
            <wp:extent cx="2704081" cy="2058622"/>
            <wp:effectExtent l="0" t="0" r="2032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CA6E2" w14:textId="77777777" w:rsidR="00EA1F74" w:rsidRDefault="00EA1F74" w:rsidP="008955DE">
      <w:pPr>
        <w:ind w:firstLine="720"/>
      </w:pPr>
    </w:p>
    <w:p w14:paraId="75739E5F" w14:textId="2D038695" w:rsidR="003F6B1F" w:rsidRPr="00873EAF" w:rsidRDefault="00D81301" w:rsidP="00870921">
      <w:pPr>
        <w:ind w:firstLine="720"/>
        <w:rPr>
          <w:rFonts w:asciiTheme="majorBidi" w:hAnsiTheme="majorBidi" w:cstheme="majorBidi"/>
        </w:rPr>
      </w:pPr>
      <w:r>
        <w:t>As figure 3 shows, stores with moderate return policies were much more likely than stores with harsh return policies to exhibit a pro-consumer gap (moderate stores applied pro-consumer gaps in 36% of the audits, while harsh policy stores applied such gaps in only 9% of the audits).</w:t>
      </w:r>
      <w:r>
        <w:rPr>
          <w:rStyle w:val="FootnoteReference"/>
        </w:rPr>
        <w:footnoteReference w:id="59"/>
      </w:r>
      <w:r>
        <w:t xml:space="preserve"> </w:t>
      </w:r>
      <w:r w:rsidR="00AE2A1C">
        <w:t>One explanation</w:t>
      </w:r>
      <w:r>
        <w:t xml:space="preserve"> for this finding</w:t>
      </w:r>
      <w:r w:rsidR="00AE2A1C">
        <w:t xml:space="preserve"> is 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only one or two shops in Illinois.</w:t>
      </w:r>
      <w:r w:rsidR="00D2072D">
        <w:t xml:space="preserve"> In </w:t>
      </w:r>
      <w:r w:rsidR="008F7A18">
        <w:t>this study</w:t>
      </w:r>
      <w:r w:rsidR="00D2072D">
        <w:t xml:space="preserve">, only </w:t>
      </w:r>
      <w:r w:rsidR="008F7A18">
        <w:t>one</w:t>
      </w:r>
      <w:r w:rsidR="003C70FB">
        <w:t xml:space="preserve"> of </w:t>
      </w:r>
      <w:r w:rsidR="008F7A18">
        <w:t>the harsh policy</w:t>
      </w:r>
      <w:r w:rsidR="003C70FB">
        <w:t xml:space="preserve"> stores</w:t>
      </w:r>
      <w:r w:rsidR="008F7A18">
        <w:t xml:space="preserve"> (4%)</w:t>
      </w:r>
      <w:r w:rsidR="003C70FB">
        <w:t xml:space="preserve"> belong</w:t>
      </w:r>
      <w:r w:rsidR="008F7A18">
        <w:t>s</w:t>
      </w:r>
      <w:r w:rsidR="00D2072D">
        <w:t xml:space="preserve"> to a chain, while the remaining </w:t>
      </w:r>
      <w:r w:rsidR="003C70FB">
        <w:t>96%</w:t>
      </w:r>
      <w:r w:rsidR="00D2072D">
        <w:t xml:space="preserve"> belong to independent retailers.</w:t>
      </w:r>
      <w:r w:rsidR="00AE2A1C" w:rsidRPr="00F14DED">
        <w:rPr>
          <w:rStyle w:val="FootnoteReference"/>
        </w:rPr>
        <w:footnoteReference w:id="60"/>
      </w:r>
      <w:r w:rsidR="00AE2A1C">
        <w:t xml:space="preserve"> These </w:t>
      </w:r>
      <w:r w:rsidR="00D2072D">
        <w:t xml:space="preserve">local </w:t>
      </w:r>
      <w:r w:rsidR="00AE2A1C">
        <w:t xml:space="preserve">stores typically incur higher depreciations costs from accepting returns, in view of their lower ability to resell items or to return them to the supplier. </w:t>
      </w:r>
    </w:p>
    <w:p w14:paraId="2805B8D8" w14:textId="36469217" w:rsidR="00837555" w:rsidRDefault="00837555" w:rsidP="00EE44EE">
      <w:pPr>
        <w:ind w:firstLine="0"/>
      </w:pPr>
    </w:p>
    <w:p w14:paraId="6C666F18" w14:textId="16074079" w:rsidR="00147E60" w:rsidRDefault="00147E60" w:rsidP="006D5D9F">
      <w:pPr>
        <w:pStyle w:val="Heading4"/>
        <w:numPr>
          <w:ilvl w:val="0"/>
          <w:numId w:val="0"/>
        </w:numPr>
        <w:rPr>
          <w:i/>
          <w:iCs/>
        </w:rPr>
      </w:pPr>
    </w:p>
    <w:p w14:paraId="3850E647" w14:textId="3E03ABD9" w:rsidR="00672DE5" w:rsidRDefault="00F6370A" w:rsidP="005039B2">
      <w:pPr>
        <w:pStyle w:val="Heading3"/>
      </w:pPr>
      <w:bookmarkStart w:id="289" w:name="_Toc17757430"/>
      <w:bookmarkStart w:id="290" w:name="_Toc18539941"/>
      <w:r>
        <w:t>The</w:t>
      </w:r>
      <w:r w:rsidR="007044A2">
        <w:t xml:space="preserve"> Effect of Complaining on the Gap</w:t>
      </w:r>
      <w:bookmarkEnd w:id="289"/>
      <w:bookmarkEnd w:id="290"/>
      <w:r w:rsidR="00314C91">
        <w:t xml:space="preserve"> </w:t>
      </w:r>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 xml:space="preserve">be significantly more likely to </w:t>
      </w:r>
      <w:r w:rsidR="00EE44EE">
        <w:lastRenderedPageBreak/>
        <w:t>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1"/>
      </w:r>
      <w:r w:rsidR="002D63C6">
        <w:t xml:space="preserve"> Sellers may consequently use consumer assertiveness to determine whether to depart from the paper policy in favor of consumers.</w:t>
      </w:r>
    </w:p>
    <w:p w14:paraId="2E0A6657" w14:textId="2AA84602" w:rsidR="00672DE5" w:rsidRDefault="00912319" w:rsidP="00EE44EE">
      <w:r>
        <w:t xml:space="preserve">. </w:t>
      </w:r>
    </w:p>
    <w:p w14:paraId="708BB14F" w14:textId="3FE62436" w:rsidR="004D3D97" w:rsidRDefault="002D63C6" w:rsidP="002D63C6">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p>
    <w:p w14:paraId="6B28C3F1" w14:textId="3283E6C8" w:rsidR="00D63ADD" w:rsidRDefault="00D63ADD" w:rsidP="00D63ADD"/>
    <w:p w14:paraId="62F19246" w14:textId="603E4C14" w:rsidR="004D3D97" w:rsidRDefault="00D63ADD" w:rsidP="00AA6A91">
      <w:r>
        <w:t>The results reveal that consumer assertiveness plays a major role in determining sellers’ leniency in practice. As expected, complaining significantly affected the on the ground behavior of stores. Yet, the magnitude of the effect is striking. While only 2</w:t>
      </w:r>
      <w:r w:rsidR="004D3D97">
        <w:t>2</w:t>
      </w:r>
      <w:r>
        <w:t xml:space="preserve">% of the stores treated testers more leniently than the policy required before testers </w:t>
      </w:r>
      <w:r w:rsidR="00912319">
        <w:t>complained</w:t>
      </w:r>
      <w:r>
        <w:t xml:space="preserve">, as many as 37% of the stores treated testers more favorably after testers had </w:t>
      </w:r>
      <w:r w:rsidR="008333F0">
        <w:t>complained</w:t>
      </w:r>
      <w:r>
        <w:t>.</w:t>
      </w:r>
      <w:bookmarkStart w:id="291" w:name="_Ref17741369"/>
      <w:r>
        <w:rPr>
          <w:rStyle w:val="FootnoteReference"/>
        </w:rPr>
        <w:footnoteReference w:id="62"/>
      </w:r>
      <w:bookmarkEnd w:id="291"/>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3"/>
      </w:r>
      <w:r w:rsidR="004D3D97">
        <w:t xml:space="preserve"> </w:t>
      </w:r>
    </w:p>
    <w:p w14:paraId="73DC92B8" w14:textId="0F177879" w:rsidR="00EC419E" w:rsidRDefault="00EC419E" w:rsidP="00EC419E">
      <w:pPr>
        <w:ind w:firstLine="0"/>
      </w:pPr>
    </w:p>
    <w:p w14:paraId="5D5830C8" w14:textId="07DBAE4B" w:rsidR="00423922" w:rsidRDefault="008E57DF" w:rsidP="00837555">
      <w:r>
        <w:t xml:space="preserve">Figure </w:t>
      </w:r>
      <w:r w:rsidR="00837555">
        <w:t>3</w:t>
      </w:r>
      <w:r>
        <w:t xml:space="preserve"> shows the effect of complaining on the gap across policy types, by reporting the return outcomes, at both the initial and final stages, across policy types. </w:t>
      </w:r>
    </w:p>
    <w:p w14:paraId="650E8A20" w14:textId="26211DD7" w:rsidR="008E57DF" w:rsidRDefault="008E57DF" w:rsidP="00B330CC">
      <w:pPr>
        <w:ind w:firstLine="0"/>
      </w:pPr>
    </w:p>
    <w:p w14:paraId="6CB788EC" w14:textId="7B080A79" w:rsidR="008E57DF" w:rsidRPr="008E57DF" w:rsidRDefault="008E57DF" w:rsidP="00837555">
      <w:pPr>
        <w:ind w:firstLine="0"/>
        <w:rPr>
          <w:i/>
          <w:iCs/>
        </w:rPr>
      </w:pPr>
      <w:r>
        <w:rPr>
          <w:i/>
          <w:iCs/>
        </w:rPr>
        <w:t xml:space="preserve">Figure </w:t>
      </w:r>
      <w:r w:rsidR="00837555">
        <w:rPr>
          <w:i/>
          <w:iCs/>
        </w:rPr>
        <w:t>3</w:t>
      </w:r>
      <w:r>
        <w:rPr>
          <w:i/>
          <w:iCs/>
        </w:rPr>
        <w:t xml:space="preserve">. Pro-Consumer Gaps: </w:t>
      </w:r>
      <w:r w:rsidR="00EA1F74">
        <w:rPr>
          <w:i/>
          <w:iCs/>
        </w:rPr>
        <w:t xml:space="preserve">Before and </w:t>
      </w:r>
      <w:r w:rsidR="00D72965">
        <w:rPr>
          <w:i/>
          <w:iCs/>
        </w:rPr>
        <w:t>A</w:t>
      </w:r>
      <w:r w:rsidR="00EA1F74">
        <w:rPr>
          <w:i/>
          <w:iCs/>
        </w:rPr>
        <w:t>fter Complaining</w:t>
      </w:r>
    </w:p>
    <w:p w14:paraId="616F791D" w14:textId="50F98F7B" w:rsidR="008E57DF" w:rsidRDefault="008E57DF" w:rsidP="00B330CC">
      <w:pPr>
        <w:ind w:firstLine="0"/>
      </w:pPr>
    </w:p>
    <w:p w14:paraId="65C506D5" w14:textId="52A411CA" w:rsidR="008333F0" w:rsidRDefault="008333F0" w:rsidP="00B330CC">
      <w:pPr>
        <w:ind w:firstLine="0"/>
      </w:pPr>
      <w:r>
        <w:rPr>
          <w:noProof/>
          <w:lang w:bidi="he-IL"/>
        </w:rPr>
        <w:drawing>
          <wp:inline distT="0" distB="0" distL="0" distR="0" wp14:anchorId="7B4B483F" wp14:editId="121F9F3C">
            <wp:extent cx="4406900" cy="3454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B04D59" w14:textId="5787598D" w:rsidR="00EC1B23" w:rsidRDefault="00EC1B23" w:rsidP="00EA1F74">
      <w:pPr>
        <w:ind w:firstLine="0"/>
        <w:rPr>
          <w:i/>
          <w:iCs/>
          <w:sz w:val="20"/>
          <w:szCs w:val="16"/>
        </w:rPr>
      </w:pPr>
    </w:p>
    <w:p w14:paraId="09A553AE" w14:textId="36616243" w:rsidR="00EC419E" w:rsidRDefault="00EC419E" w:rsidP="00A04427">
      <w:r>
        <w:t xml:space="preserve">As </w:t>
      </w:r>
      <w:r w:rsidR="00A014D9">
        <w:t>F</w:t>
      </w:r>
      <w:r>
        <w:t xml:space="preserve">igure </w:t>
      </w:r>
      <w:r w:rsidR="00837555">
        <w:t>3</w:t>
      </w:r>
      <w:r>
        <w:t xml:space="preserve"> shows, complaining significantly improved testers’ return outcomes among both the harsh and moderate policy stores.</w:t>
      </w:r>
      <w:r>
        <w:rPr>
          <w:rStyle w:val="FootnoteReference"/>
        </w:rPr>
        <w:footnoteReference w:id="64"/>
      </w:r>
      <w:r>
        <w:t xml:space="preserve"> Complaining also operated in the expected direction of improving consumers’ outcomes among the lenient policy stores, yet the effect was not </w:t>
      </w:r>
      <w:r w:rsidR="00A04427">
        <w:t>significant.</w:t>
      </w:r>
      <w:r>
        <w:rPr>
          <w:rStyle w:val="FootnoteReference"/>
        </w:rPr>
        <w:footnoteReference w:id="65"/>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69019FF9" w14:textId="7647CCF4" w:rsidR="007F0CD1" w:rsidRDefault="00EC419E" w:rsidP="00A04427">
      <w:r>
        <w:t xml:space="preserve">Figure </w:t>
      </w:r>
      <w:r w:rsidR="00837555">
        <w:t>4</w:t>
      </w:r>
      <w:r>
        <w:t xml:space="preserve"> reports testers’ initial and final return outcomes across the different policy stores. </w:t>
      </w:r>
      <w:r w:rsidR="00817434">
        <w:t xml:space="preserve">Importantly, as the figure shows, even after testers complained, the paper policy had a significant and strong effect on return </w:t>
      </w:r>
      <w:r w:rsidR="00817434">
        <w:lastRenderedPageBreak/>
        <w:t>outcomes, such that lenient stores were significantly more likely to accept non-receipted returns (for exchange, store credit or refund) than moderate policy stores,</w:t>
      </w:r>
      <w:r w:rsidR="00817434">
        <w:rPr>
          <w:rStyle w:val="FootnoteReference"/>
        </w:rPr>
        <w:footnoteReference w:id="66"/>
      </w:r>
      <w:r w:rsidR="00817434">
        <w:t xml:space="preserve"> and moderate stores were significantly more likely to accept such returns than harsh policy stores.</w:t>
      </w:r>
      <w:r w:rsidR="00817434">
        <w:rPr>
          <w:rStyle w:val="FootnoteReference"/>
        </w:rPr>
        <w:footnoteReference w:id="67"/>
      </w:r>
    </w:p>
    <w:p w14:paraId="04D1A62F" w14:textId="7980E85D" w:rsidR="00EC419E" w:rsidRDefault="00EC419E" w:rsidP="00817434">
      <w:pPr>
        <w:ind w:firstLine="0"/>
      </w:pPr>
    </w:p>
    <w:p w14:paraId="79E0FBEA" w14:textId="1E10E1A9" w:rsidR="00EC419E" w:rsidRDefault="00EC419E" w:rsidP="00837555">
      <w:pPr>
        <w:ind w:firstLine="0"/>
        <w:rPr>
          <w:i/>
          <w:iCs/>
        </w:rPr>
      </w:pPr>
      <w:r>
        <w:rPr>
          <w:i/>
          <w:iCs/>
        </w:rPr>
        <w:t xml:space="preserve">Figure </w:t>
      </w:r>
      <w:r w:rsidR="00837555">
        <w:rPr>
          <w:i/>
          <w:iCs/>
        </w:rPr>
        <w:t>4</w:t>
      </w:r>
      <w:r>
        <w:rPr>
          <w:i/>
          <w:iCs/>
        </w:rPr>
        <w:t>: Initial and Final Return Outcomes by Policy Type</w:t>
      </w:r>
    </w:p>
    <w:p w14:paraId="57FAA94F" w14:textId="463E26D9" w:rsidR="0033189A" w:rsidRDefault="0033189A" w:rsidP="00837555">
      <w:pPr>
        <w:ind w:firstLine="0"/>
        <w:rPr>
          <w:i/>
          <w:iCs/>
        </w:rPr>
      </w:pPr>
      <w:r>
        <w:rPr>
          <w:noProof/>
          <w:lang w:bidi="he-IL"/>
        </w:rPr>
        <w:drawing>
          <wp:inline distT="0" distB="0" distL="0" distR="0" wp14:anchorId="596522EE" wp14:editId="31CEA667">
            <wp:extent cx="4663440" cy="2718435"/>
            <wp:effectExtent l="0" t="0" r="3556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D993D" w14:textId="77777777" w:rsidR="00837555" w:rsidRPr="00423922" w:rsidRDefault="00837555" w:rsidP="00EC419E">
      <w:pPr>
        <w:ind w:firstLine="0"/>
        <w:rPr>
          <w:i/>
          <w:iCs/>
        </w:rPr>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817434" w:rsidRPr="00FD6FA2" w14:paraId="46A059FB" w14:textId="5842E58C" w:rsidTr="008174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216A1558" w14:textId="77777777" w:rsidR="00817434" w:rsidRPr="00B93E5F" w:rsidRDefault="00817434" w:rsidP="00420E22">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7DC184E4"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4141A50"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68"/>
            </w:r>
          </w:p>
        </w:tc>
        <w:tc>
          <w:tcPr>
            <w:tcW w:w="1774" w:type="dxa"/>
            <w:noWrap/>
            <w:hideMark/>
          </w:tcPr>
          <w:p w14:paraId="12422FBB"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102DC30C"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087" w:type="dxa"/>
          </w:tcPr>
          <w:p w14:paraId="196D0866" w14:textId="1153F40B"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817434" w:rsidRPr="00FD6FA2" w14:paraId="3BC9A485" w14:textId="06E7F10C"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10A8DBFC"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390C184E" w14:textId="77777777" w:rsidR="00817434" w:rsidRDefault="00817434"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200D464C" w14:textId="77777777" w:rsidR="00817434" w:rsidRPr="00B93E5F" w:rsidRDefault="00817434" w:rsidP="00420E22">
            <w:pPr>
              <w:widowControl/>
              <w:ind w:firstLine="0"/>
              <w:jc w:val="left"/>
              <w:rPr>
                <w:rFonts w:asciiTheme="majorBidi" w:hAnsiTheme="majorBidi" w:cstheme="majorBidi"/>
                <w:color w:val="000000"/>
                <w:sz w:val="22"/>
                <w:szCs w:val="22"/>
              </w:rPr>
            </w:pPr>
            <w:r>
              <w:rPr>
                <w:rFonts w:asciiTheme="majorBidi" w:hAnsiTheme="majorBidi" w:cstheme="majorBidi"/>
                <w:b w:val="0"/>
                <w:bCs w:val="0"/>
                <w:color w:val="000000"/>
                <w:sz w:val="22"/>
                <w:szCs w:val="22"/>
              </w:rPr>
              <w:t>(n = 23)</w:t>
            </w:r>
          </w:p>
        </w:tc>
        <w:tc>
          <w:tcPr>
            <w:tcW w:w="1112" w:type="dxa"/>
          </w:tcPr>
          <w:p w14:paraId="384EA2E8"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tcPr>
          <w:p w14:paraId="3BCC7B3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p>
        </w:tc>
        <w:tc>
          <w:tcPr>
            <w:tcW w:w="1774" w:type="dxa"/>
            <w:noWrap/>
          </w:tcPr>
          <w:p w14:paraId="2E9EE9A2"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p>
        </w:tc>
        <w:tc>
          <w:tcPr>
            <w:tcW w:w="1087" w:type="dxa"/>
            <w:noWrap/>
          </w:tcPr>
          <w:p w14:paraId="2175B5BC"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087" w:type="dxa"/>
          </w:tcPr>
          <w:p w14:paraId="0B17117C" w14:textId="0B2A6DAB" w:rsidR="00817434"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9%*</w:t>
            </w:r>
          </w:p>
        </w:tc>
      </w:tr>
      <w:tr w:rsidR="00817434" w:rsidRPr="00FD6FA2" w14:paraId="0A9FD6F6" w14:textId="0F0677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41B95723" w14:textId="77777777" w:rsidR="00817434" w:rsidRPr="00B93E5F" w:rsidRDefault="00817434" w:rsidP="00420E22">
            <w:pPr>
              <w:widowControl/>
              <w:ind w:firstLine="0"/>
              <w:jc w:val="left"/>
              <w:rPr>
                <w:rFonts w:asciiTheme="majorBidi" w:hAnsiTheme="majorBidi" w:cstheme="majorBidi"/>
                <w:color w:val="000000"/>
                <w:sz w:val="22"/>
                <w:szCs w:val="22"/>
              </w:rPr>
            </w:pPr>
          </w:p>
        </w:tc>
        <w:tc>
          <w:tcPr>
            <w:tcW w:w="1112" w:type="dxa"/>
          </w:tcPr>
          <w:p w14:paraId="7E50A4DD"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tcPr>
          <w:p w14:paraId="76D1B99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p>
        </w:tc>
        <w:tc>
          <w:tcPr>
            <w:tcW w:w="1774" w:type="dxa"/>
            <w:noWrap/>
          </w:tcPr>
          <w:p w14:paraId="66CA4AF2" w14:textId="17E473D3"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30%</w:t>
            </w:r>
          </w:p>
        </w:tc>
        <w:tc>
          <w:tcPr>
            <w:tcW w:w="1087" w:type="dxa"/>
            <w:noWrap/>
          </w:tcPr>
          <w:p w14:paraId="79AA0572"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330CC">
              <w:rPr>
                <w:rFonts w:asciiTheme="majorBidi" w:hAnsiTheme="majorBidi" w:cstheme="majorBidi"/>
                <w:color w:val="000000"/>
                <w:sz w:val="22"/>
                <w:szCs w:val="22"/>
              </w:rPr>
              <w:t>0%</w:t>
            </w:r>
          </w:p>
        </w:tc>
        <w:tc>
          <w:tcPr>
            <w:tcW w:w="1087" w:type="dxa"/>
          </w:tcPr>
          <w:p w14:paraId="061F441F" w14:textId="107D624D" w:rsidR="00817434" w:rsidRPr="00B330CC"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30%*</w:t>
            </w:r>
          </w:p>
        </w:tc>
      </w:tr>
      <w:tr w:rsidR="00817434" w:rsidRPr="00FD6FA2" w14:paraId="086B9BB6" w14:textId="78851859"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31064840"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590E9185" w14:textId="77777777" w:rsidR="00817434" w:rsidRDefault="00817434"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1EF18617" w14:textId="77777777" w:rsidR="00817434" w:rsidRPr="00587395" w:rsidRDefault="00817434"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12" w:type="dxa"/>
          </w:tcPr>
          <w:p w14:paraId="32B1F3F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Initial </w:t>
            </w:r>
          </w:p>
        </w:tc>
        <w:tc>
          <w:tcPr>
            <w:tcW w:w="1112" w:type="dxa"/>
            <w:noWrap/>
            <w:hideMark/>
          </w:tcPr>
          <w:p w14:paraId="6FE98C9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p>
        </w:tc>
        <w:tc>
          <w:tcPr>
            <w:tcW w:w="1774" w:type="dxa"/>
            <w:noWrap/>
            <w:hideMark/>
          </w:tcPr>
          <w:p w14:paraId="6DC2933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p>
        </w:tc>
        <w:tc>
          <w:tcPr>
            <w:tcW w:w="1087" w:type="dxa"/>
            <w:noWrap/>
            <w:hideMark/>
          </w:tcPr>
          <w:p w14:paraId="5C962DE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p>
        </w:tc>
        <w:tc>
          <w:tcPr>
            <w:tcW w:w="1087" w:type="dxa"/>
          </w:tcPr>
          <w:p w14:paraId="25040C4A" w14:textId="5D19D6E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p>
        </w:tc>
      </w:tr>
      <w:tr w:rsidR="00817434" w:rsidRPr="00FD6FA2" w14:paraId="3F5E9DD6" w14:textId="275833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3414FB7" w14:textId="77777777" w:rsidR="00817434" w:rsidRPr="00B93E5F" w:rsidRDefault="00817434" w:rsidP="00420E22">
            <w:pPr>
              <w:widowControl/>
              <w:ind w:firstLine="0"/>
              <w:jc w:val="right"/>
              <w:rPr>
                <w:rFonts w:asciiTheme="majorBidi" w:hAnsiTheme="majorBidi" w:cstheme="majorBidi"/>
                <w:color w:val="000000"/>
                <w:sz w:val="22"/>
                <w:szCs w:val="22"/>
              </w:rPr>
            </w:pPr>
          </w:p>
        </w:tc>
        <w:tc>
          <w:tcPr>
            <w:tcW w:w="1112" w:type="dxa"/>
          </w:tcPr>
          <w:p w14:paraId="1B9BD49B"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44380FD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p>
        </w:tc>
        <w:tc>
          <w:tcPr>
            <w:tcW w:w="1774" w:type="dxa"/>
            <w:noWrap/>
            <w:hideMark/>
          </w:tcPr>
          <w:p w14:paraId="35C429D5" w14:textId="197B5FDA"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45%</w:t>
            </w:r>
          </w:p>
        </w:tc>
        <w:tc>
          <w:tcPr>
            <w:tcW w:w="1087" w:type="dxa"/>
            <w:noWrap/>
            <w:hideMark/>
          </w:tcPr>
          <w:p w14:paraId="4185A6D9"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12%</w:t>
            </w:r>
          </w:p>
        </w:tc>
        <w:tc>
          <w:tcPr>
            <w:tcW w:w="1087" w:type="dxa"/>
          </w:tcPr>
          <w:p w14:paraId="7DB89296" w14:textId="6EE1B306"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p>
        </w:tc>
      </w:tr>
      <w:tr w:rsidR="00817434" w:rsidRPr="00FD6FA2" w14:paraId="17DDACBE" w14:textId="2CDC901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2BD9EDC4"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62833591" w14:textId="77777777" w:rsidR="00817434" w:rsidRPr="00423922" w:rsidRDefault="00817434"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5EAAF2CF" w14:textId="77777777" w:rsidR="00817434" w:rsidRPr="00451876"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hideMark/>
          </w:tcPr>
          <w:p w14:paraId="5F31E80F"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93E5F">
              <w:rPr>
                <w:rFonts w:asciiTheme="majorBidi" w:hAnsiTheme="majorBidi" w:cstheme="majorBidi"/>
                <w:color w:val="000000"/>
                <w:sz w:val="22"/>
                <w:szCs w:val="22"/>
                <w:u w:val="single"/>
              </w:rPr>
              <w:t>8%</w:t>
            </w:r>
          </w:p>
        </w:tc>
        <w:tc>
          <w:tcPr>
            <w:tcW w:w="1774" w:type="dxa"/>
            <w:noWrap/>
            <w:hideMark/>
          </w:tcPr>
          <w:p w14:paraId="18A060C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p>
        </w:tc>
        <w:tc>
          <w:tcPr>
            <w:tcW w:w="1087" w:type="dxa"/>
            <w:noWrap/>
            <w:hideMark/>
          </w:tcPr>
          <w:p w14:paraId="5BAD067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p>
        </w:tc>
        <w:tc>
          <w:tcPr>
            <w:tcW w:w="1087" w:type="dxa"/>
          </w:tcPr>
          <w:p w14:paraId="24905EC1" w14:textId="4820C7E3"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18%</w:t>
            </w:r>
          </w:p>
        </w:tc>
      </w:tr>
      <w:tr w:rsidR="00817434" w:rsidRPr="00FD6FA2" w14:paraId="5B2E1B61" w14:textId="518FE5E2"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E38C0A1" w14:textId="77777777" w:rsidR="00817434" w:rsidRPr="00B93E5F" w:rsidRDefault="00817434" w:rsidP="00420E22">
            <w:pPr>
              <w:widowControl/>
              <w:ind w:firstLine="0"/>
              <w:jc w:val="right"/>
              <w:rPr>
                <w:rFonts w:asciiTheme="majorBidi" w:hAnsiTheme="majorBidi" w:cstheme="majorBidi"/>
                <w:color w:val="000000"/>
                <w:sz w:val="22"/>
                <w:szCs w:val="22"/>
              </w:rPr>
            </w:pPr>
          </w:p>
        </w:tc>
        <w:tc>
          <w:tcPr>
            <w:tcW w:w="1112" w:type="dxa"/>
          </w:tcPr>
          <w:p w14:paraId="52429E87"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60C88A2A"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330CC">
              <w:rPr>
                <w:rFonts w:asciiTheme="majorBidi" w:hAnsiTheme="majorBidi" w:cstheme="majorBidi"/>
                <w:color w:val="000000"/>
                <w:sz w:val="22"/>
                <w:szCs w:val="22"/>
                <w:u w:val="single"/>
              </w:rPr>
              <w:t>8%</w:t>
            </w:r>
          </w:p>
        </w:tc>
        <w:tc>
          <w:tcPr>
            <w:tcW w:w="1774" w:type="dxa"/>
            <w:noWrap/>
            <w:hideMark/>
          </w:tcPr>
          <w:p w14:paraId="08696765" w14:textId="40B00B36"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72%</w:t>
            </w:r>
          </w:p>
        </w:tc>
        <w:tc>
          <w:tcPr>
            <w:tcW w:w="1087" w:type="dxa"/>
            <w:noWrap/>
            <w:hideMark/>
          </w:tcPr>
          <w:p w14:paraId="4EB04404" w14:textId="77777777" w:rsidR="00817434" w:rsidRPr="00711043"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p>
        </w:tc>
        <w:tc>
          <w:tcPr>
            <w:tcW w:w="1087" w:type="dxa"/>
          </w:tcPr>
          <w:p w14:paraId="1872EBCA" w14:textId="0D121A4C"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21%</w:t>
            </w:r>
          </w:p>
        </w:tc>
      </w:tr>
    </w:tbl>
    <w:p w14:paraId="7E834E8F" w14:textId="0CA7BA8B" w:rsidR="00EC1B23" w:rsidRDefault="00C5296F" w:rsidP="00837555">
      <w:pPr>
        <w:ind w:firstLine="0"/>
        <w:rPr>
          <w:sz w:val="20"/>
          <w:szCs w:val="16"/>
        </w:rPr>
      </w:pPr>
      <w:r>
        <w:rPr>
          <w:sz w:val="20"/>
          <w:szCs w:val="16"/>
        </w:rPr>
        <w:t xml:space="preserve">Figure </w:t>
      </w:r>
      <w:r w:rsidR="00837555">
        <w:rPr>
          <w:sz w:val="20"/>
          <w:szCs w:val="16"/>
        </w:rPr>
        <w:t>4</w:t>
      </w:r>
      <w:r>
        <w:rPr>
          <w:sz w:val="20"/>
          <w:szCs w:val="16"/>
        </w:rPr>
        <w:t xml:space="preserve">. Pro-Consumer gaps are highlighted in bold, anti-consumer gaps are underlined. In the last column, significant differences in outcomes before and after complaints are marked in asterisks (* for </w:t>
      </w:r>
      <w:r>
        <w:rPr>
          <w:i/>
          <w:iCs/>
          <w:sz w:val="20"/>
          <w:szCs w:val="16"/>
        </w:rPr>
        <w:t xml:space="preserve">p </w:t>
      </w:r>
      <w:r>
        <w:rPr>
          <w:sz w:val="20"/>
          <w:szCs w:val="16"/>
        </w:rPr>
        <w:t xml:space="preserve">&lt; 0.1, ** for </w:t>
      </w:r>
      <w:r>
        <w:rPr>
          <w:i/>
          <w:iCs/>
          <w:sz w:val="20"/>
          <w:szCs w:val="16"/>
        </w:rPr>
        <w:t xml:space="preserve">p </w:t>
      </w:r>
      <w:r>
        <w:rPr>
          <w:sz w:val="20"/>
          <w:szCs w:val="16"/>
        </w:rPr>
        <w:t xml:space="preserve"> &lt; 0.05, *** for </w:t>
      </w:r>
      <w:r>
        <w:rPr>
          <w:i/>
          <w:iCs/>
          <w:sz w:val="20"/>
          <w:szCs w:val="16"/>
        </w:rPr>
        <w:t xml:space="preserve">p </w:t>
      </w:r>
      <w:r>
        <w:rPr>
          <w:sz w:val="20"/>
          <w:szCs w:val="16"/>
        </w:rPr>
        <w:t xml:space="preserve"> &lt; 0.01).  </w:t>
      </w:r>
    </w:p>
    <w:p w14:paraId="578C541A" w14:textId="77777777" w:rsidR="00C5296F" w:rsidRPr="00C5296F" w:rsidRDefault="00C5296F" w:rsidP="00EA1F74">
      <w:pPr>
        <w:ind w:firstLine="0"/>
        <w:rPr>
          <w:sz w:val="20"/>
          <w:szCs w:val="16"/>
        </w:rPr>
      </w:pPr>
    </w:p>
    <w:p w14:paraId="2F5EFA29" w14:textId="2EE369B5" w:rsidR="00EC1B23" w:rsidRDefault="00F17793" w:rsidP="00EC11CA">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5D17EB">
        <w:t>“</w:t>
      </w:r>
      <w:r w:rsidR="00EC419E">
        <w:t>no refund</w:t>
      </w:r>
      <w:r w:rsidR="005D17EB">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(in stores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 stores that required receipts for refunds, from 10%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4D5CD2C1" w:rsidR="009A082A" w:rsidRPr="004C1B99" w:rsidRDefault="005039B2" w:rsidP="009A082A">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r w:rsidR="009A082A">
        <w:rPr>
          <w:rStyle w:val="FootnoteReference"/>
        </w:rPr>
        <w:footnoteReference w:id="69"/>
      </w:r>
      <w:r w:rsidR="00EC1B14">
        <w:t xml:space="preserve"> </w:t>
      </w:r>
    </w:p>
    <w:p w14:paraId="5B3C7C96" w14:textId="77777777" w:rsidR="00EC1B14" w:rsidRDefault="00EC1B14" w:rsidP="00EC1B14"/>
    <w:p w14:paraId="3A846B6C" w14:textId="12E0ED7D" w:rsidR="00EC1B14" w:rsidRDefault="00EC1B14" w:rsidP="00EC1B14">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might refrain from entering into future transactions with the seller. </w:t>
      </w:r>
    </w:p>
    <w:p w14:paraId="0672229F" w14:textId="19413F44" w:rsidR="00F17793" w:rsidRDefault="00F17793" w:rsidP="00EC1B14"/>
    <w:p w14:paraId="7724C77A" w14:textId="30AE827C" w:rsidR="00F17793" w:rsidRDefault="00F17793" w:rsidP="0008314E">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p>
    <w:p w14:paraId="6F129AFA" w14:textId="77777777" w:rsidR="00D84253" w:rsidRDefault="00D84253" w:rsidP="00EC1B14"/>
    <w:p w14:paraId="263A5E35" w14:textId="5A039C6A" w:rsidR="006231A2" w:rsidRPr="003601F6" w:rsidRDefault="006231A2" w:rsidP="0056054E">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In particular, it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B93CFD" w:rsidRDefault="00FF06A9" w:rsidP="00CF642A">
      <w:pPr>
        <w:pStyle w:val="Heading3"/>
      </w:pPr>
      <w:bookmarkStart w:id="293" w:name="_Toc17757431"/>
      <w:bookmarkStart w:id="294" w:name="_Toc18539942"/>
      <w:r>
        <w:t>Store Characteristics and the G</w:t>
      </w:r>
      <w:r w:rsidR="00812816" w:rsidRPr="00B93CFD">
        <w:t>ap</w:t>
      </w:r>
      <w:bookmarkEnd w:id="293"/>
      <w:bookmarkEnd w:id="294"/>
    </w:p>
    <w:p w14:paraId="682F2084" w14:textId="77777777" w:rsidR="00812816" w:rsidRDefault="00812816" w:rsidP="00812816">
      <w:pPr>
        <w:pStyle w:val="Heading2"/>
        <w:numPr>
          <w:ilvl w:val="0"/>
          <w:numId w:val="0"/>
        </w:numPr>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w:t>
      </w:r>
      <w:r>
        <w:rPr>
          <w:lang w:bidi="he-IL"/>
        </w:rPr>
        <w:lastRenderedPageBreak/>
        <w:t xml:space="preserve">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5241D511" w:rsidR="00E5233B" w:rsidRDefault="0008314E" w:rsidP="00A04427">
      <w:pPr>
        <w:rPr>
          <w:lang w:bidi="he-IL"/>
        </w:rPr>
      </w:pPr>
      <w:r>
        <w:rPr>
          <w:lang w:bidi="he-IL"/>
        </w:rPr>
        <w:t xml:space="preserve">This prediction was </w:t>
      </w:r>
      <w:r w:rsidR="00E5233B">
        <w:rPr>
          <w:lang w:bidi="he-IL"/>
        </w:rPr>
        <w:t xml:space="preserve">supported by a series of qualitative interviews </w:t>
      </w:r>
      <w:r w:rsidR="005C5F3E">
        <w:rPr>
          <w:lang w:bidi="he-IL"/>
        </w:rPr>
        <w:t xml:space="preserve">I </w:t>
      </w:r>
      <w:r w:rsidR="00E5233B">
        <w:rPr>
          <w:lang w:bidi="he-IL"/>
        </w:rPr>
        <w:t xml:space="preserve">conducted in preparation for the field experiment. For example, a former store clerk at Saks Fifth Avenue mentioned, in response to </w:t>
      </w:r>
      <w:r w:rsidR="00A04427">
        <w:rPr>
          <w:lang w:bidi="he-IL"/>
        </w:rPr>
        <w:t>the author’s</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0"/>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7D09155C" w:rsidR="00E5233B" w:rsidRDefault="00E5233B" w:rsidP="0008314E">
      <w:pPr>
        <w:ind w:left="360" w:firstLine="0"/>
        <w:rPr>
          <w:lang w:bidi="he-IL"/>
        </w:rPr>
      </w:pPr>
      <w:r>
        <w:rPr>
          <w:lang w:bidi="he-IL"/>
        </w:rPr>
        <w:t>I</w:t>
      </w:r>
      <w:r w:rsidRPr="009E77DD">
        <w:t>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1"/>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2"/>
      </w:r>
      <w:r>
        <w:rPr>
          <w:lang w:bidi="he-IL"/>
        </w:rPr>
        <w:t xml:space="preserve"> </w:t>
      </w:r>
    </w:p>
    <w:p w14:paraId="6C24525F" w14:textId="77777777" w:rsidR="009A082A" w:rsidRDefault="009A082A" w:rsidP="0008314E">
      <w:pPr>
        <w:ind w:firstLine="0"/>
        <w:rPr>
          <w:lang w:bidi="he-IL"/>
        </w:rPr>
      </w:pPr>
    </w:p>
    <w:p w14:paraId="620D808F" w14:textId="126C9F34" w:rsidR="00812816" w:rsidRDefault="00E5233B" w:rsidP="009A082A">
      <w:pPr>
        <w:rPr>
          <w:lang w:bidi="he-IL"/>
        </w:rPr>
      </w:pPr>
      <w:r>
        <w:rPr>
          <w:lang w:bidi="he-IL"/>
        </w:rPr>
        <w:t>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w:t>
      </w:r>
      <w:r>
        <w:rPr>
          <w:lang w:bidi="he-IL"/>
        </w:rPr>
        <w:lastRenderedPageBreak/>
        <w:t xml:space="preserv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4788F1F8" w14:textId="0C737E75" w:rsidR="00A347ED" w:rsidRDefault="00A347ED" w:rsidP="0008314E">
      <w:pPr>
        <w:pStyle w:val="ListParagraph"/>
        <w:numPr>
          <w:ilvl w:val="0"/>
          <w:numId w:val="6"/>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$26). Mainstream stores were defined as all stores withe median prices between the 25</w:t>
      </w:r>
      <w:r w:rsidRPr="004F32C7">
        <w:rPr>
          <w:vertAlign w:val="superscript"/>
        </w:rPr>
        <w:t>th</w:t>
      </w:r>
      <w:r>
        <w:t xml:space="preserve"> and 75</w:t>
      </w:r>
      <w:r w:rsidRPr="004F32C7">
        <w:rPr>
          <w:vertAlign w:val="superscript"/>
        </w:rPr>
        <w:t>th</w:t>
      </w:r>
      <w:r>
        <w:t xml:space="preserve"> percentiles (i.e., between $26 and $70), and luxury stores were defined as all stores with median prices in the upper 25</w:t>
      </w:r>
      <w:r w:rsidRPr="004F32C7">
        <w:rPr>
          <w:vertAlign w:val="superscript"/>
        </w:rPr>
        <w:t>th</w:t>
      </w:r>
      <w:r>
        <w:t xml:space="preserve"> percentile (i.e., </w:t>
      </w:r>
      <w:r w:rsidR="0008314E">
        <w:t>between</w:t>
      </w:r>
      <w:r>
        <w:t xml:space="preserve"> $70</w:t>
      </w:r>
      <w:r w:rsidR="0008314E">
        <w:t xml:space="preserve"> and $350</w:t>
      </w:r>
      <w:r>
        <w:t xml:space="preserve">); </w:t>
      </w:r>
    </w:p>
    <w:p w14:paraId="6BB78EFC" w14:textId="77777777" w:rsidR="00A347ED" w:rsidRDefault="00A347ED" w:rsidP="005F05EA">
      <w:pPr>
        <w:pStyle w:val="ListParagraph"/>
        <w:numPr>
          <w:ilvl w:val="0"/>
          <w:numId w:val="6"/>
        </w:numPr>
      </w:pPr>
      <w:r w:rsidRPr="00A347ED">
        <w:rPr>
          <w:i/>
          <w:iCs/>
        </w:rPr>
        <w:t>Store Type</w:t>
      </w:r>
      <w:r>
        <w:rPr>
          <w:i/>
          <w:iCs/>
        </w:rPr>
        <w:t>:</w:t>
      </w:r>
      <w:r>
        <w:t xml:space="preserve"> Whether the store is local (0) or part of a chain (1); </w:t>
      </w:r>
    </w:p>
    <w:p w14:paraId="7BF54CDC" w14:textId="77777777" w:rsidR="00A347ED" w:rsidRDefault="00A347ED" w:rsidP="005F05EA">
      <w:pPr>
        <w:pStyle w:val="ListParagraph"/>
        <w:numPr>
          <w:ilvl w:val="0"/>
          <w:numId w:val="6"/>
        </w:numPr>
      </w:pPr>
      <w:r>
        <w:rPr>
          <w:i/>
          <w:iCs/>
        </w:rPr>
        <w:t xml:space="preserve">Experience: </w:t>
      </w:r>
      <w:r>
        <w:t xml:space="preserve">As calculated as years of operation since establishment; </w:t>
      </w:r>
    </w:p>
    <w:p w14:paraId="0C9282BF" w14:textId="77777777" w:rsidR="00A347ED" w:rsidRDefault="00A347ED" w:rsidP="005F05EA">
      <w:pPr>
        <w:pStyle w:val="ListParagraph"/>
        <w:numPr>
          <w:ilvl w:val="0"/>
          <w:numId w:val="6"/>
        </w:numPr>
      </w:pPr>
      <w:r>
        <w:rPr>
          <w:i/>
          <w:iCs/>
        </w:rPr>
        <w:t>Size</w:t>
      </w:r>
      <w:r>
        <w:t>: As calculated by annual revenues (included as control);</w:t>
      </w:r>
    </w:p>
    <w:p w14:paraId="6BAE7F5F" w14:textId="2793386B" w:rsidR="00A347ED" w:rsidRDefault="00A347ED" w:rsidP="005F05EA">
      <w:pPr>
        <w:pStyle w:val="ListParagraph"/>
        <w:numPr>
          <w:ilvl w:val="0"/>
          <w:numId w:val="6"/>
        </w:numPr>
      </w:pPr>
      <w:r>
        <w:rPr>
          <w:i/>
          <w:iCs/>
        </w:rPr>
        <w:t>Policy Type</w:t>
      </w:r>
      <w:r>
        <w:t>: Harsh, moderate</w:t>
      </w:r>
      <w:r w:rsidR="00033A36">
        <w:t>,</w:t>
      </w:r>
      <w:r>
        <w:t xml:space="preserve"> or lenient (included as control). </w:t>
      </w:r>
    </w:p>
    <w:p w14:paraId="05910824" w14:textId="6406DE37" w:rsidR="00812816" w:rsidRPr="00AE6DB3" w:rsidRDefault="00812816" w:rsidP="006A2643">
      <w:pPr>
        <w:ind w:firstLine="0"/>
      </w:pPr>
    </w:p>
    <w:p w14:paraId="7E960DB7" w14:textId="65A1878A" w:rsidR="00837555" w:rsidRDefault="00A347ED" w:rsidP="00A04427">
      <w:r>
        <w:t xml:space="preserve">Table </w:t>
      </w:r>
      <w:r w:rsidR="007F730E">
        <w:t>7</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whether non-receipted returns were accepted </w:t>
      </w:r>
      <w:r>
        <w:lastRenderedPageBreak/>
        <w:t xml:space="preserve">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0B39EBAF" w14:textId="77777777" w:rsidR="00812816" w:rsidRDefault="00812816" w:rsidP="00812816"/>
    <w:p w14:paraId="481340E3" w14:textId="195892E4" w:rsidR="00812816" w:rsidRPr="00A347ED" w:rsidRDefault="00A347ED" w:rsidP="007F730E">
      <w:pPr>
        <w:rPr>
          <w:i/>
          <w:iCs/>
        </w:rPr>
      </w:pPr>
      <w:r>
        <w:rPr>
          <w:i/>
          <w:iCs/>
        </w:rPr>
        <w:t xml:space="preserve">Table </w:t>
      </w:r>
      <w:r w:rsidR="007F730E">
        <w:rPr>
          <w:i/>
          <w:iCs/>
        </w:rPr>
        <w:t>7</w:t>
      </w:r>
      <w:r>
        <w:rPr>
          <w:i/>
          <w:iCs/>
        </w:rPr>
        <w:t>: The Effects of Store Characteristics on the Gap</w:t>
      </w:r>
    </w:p>
    <w:tbl>
      <w:tblPr>
        <w:tblStyle w:val="GridTable1Light1"/>
        <w:tblW w:w="8189" w:type="dxa"/>
        <w:jc w:val="center"/>
        <w:tblLook w:val="04A0" w:firstRow="1" w:lastRow="0" w:firstColumn="1" w:lastColumn="0" w:noHBand="0" w:noVBand="1"/>
      </w:tblPr>
      <w:tblGrid>
        <w:gridCol w:w="1535"/>
        <w:gridCol w:w="1235"/>
        <w:gridCol w:w="1105"/>
        <w:gridCol w:w="1151"/>
        <w:gridCol w:w="1041"/>
        <w:gridCol w:w="1061"/>
        <w:gridCol w:w="1061"/>
      </w:tblGrid>
      <w:tr w:rsidR="002A08F8" w:rsidRPr="00D571F8" w14:paraId="224C3C17" w14:textId="77777777" w:rsidTr="00C05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D571F8"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(1)</w:t>
            </w:r>
            <w:r w:rsidR="00A347ED">
              <w:rPr>
                <w:rFonts w:asciiTheme="majorBidi" w:hAnsiTheme="majorBidi" w:cstheme="majorBidi"/>
                <w:sz w:val="20"/>
              </w:rPr>
              <w:t xml:space="preserve"> </w:t>
            </w:r>
          </w:p>
          <w:p w14:paraId="564D9CE0" w14:textId="074A768C" w:rsidR="001C16B9"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033609A5" w14:textId="0242C35E" w:rsidR="002A08F8"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Gaps at Initial Stage as DV</w:t>
            </w:r>
          </w:p>
        </w:tc>
        <w:tc>
          <w:tcPr>
            <w:tcW w:w="1105" w:type="dxa"/>
            <w:noWrap/>
            <w:hideMark/>
          </w:tcPr>
          <w:p w14:paraId="19CF313C" w14:textId="7F539A71"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(2)</w:t>
            </w:r>
            <w:r w:rsidR="00A347ED">
              <w:rPr>
                <w:rFonts w:asciiTheme="majorBidi" w:hAnsiTheme="majorBidi" w:cstheme="majorBidi"/>
                <w:sz w:val="20"/>
              </w:rPr>
              <w:t xml:space="preserve"> </w:t>
            </w:r>
          </w:p>
          <w:p w14:paraId="17E66FA1" w14:textId="77777777" w:rsidR="001C16B9"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4B1CA42E" w14:textId="36A2A025"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at Final Stage as DV</w:t>
            </w:r>
          </w:p>
        </w:tc>
        <w:tc>
          <w:tcPr>
            <w:tcW w:w="1151" w:type="dxa"/>
            <w:noWrap/>
            <w:hideMark/>
          </w:tcPr>
          <w:p w14:paraId="44C0BE8A" w14:textId="77777777"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(3)</w:t>
            </w:r>
            <w:r w:rsidR="00A347ED">
              <w:rPr>
                <w:rFonts w:asciiTheme="majorBidi" w:hAnsiTheme="majorBidi" w:cstheme="majorBidi"/>
                <w:sz w:val="20"/>
              </w:rPr>
              <w:t xml:space="preserve"> </w:t>
            </w:r>
          </w:p>
          <w:p w14:paraId="24D35D1F" w14:textId="11AD704A"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Initial Stage as DV</w:t>
            </w:r>
          </w:p>
        </w:tc>
        <w:tc>
          <w:tcPr>
            <w:tcW w:w="1041" w:type="dxa"/>
            <w:noWrap/>
            <w:hideMark/>
          </w:tcPr>
          <w:p w14:paraId="7F7A0171"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(4)</w:t>
            </w:r>
          </w:p>
          <w:p w14:paraId="5BA821A9" w14:textId="1991AF8A"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Final Stage as DV</w:t>
            </w:r>
          </w:p>
        </w:tc>
        <w:tc>
          <w:tcPr>
            <w:tcW w:w="1061" w:type="dxa"/>
            <w:noWrap/>
            <w:hideMark/>
          </w:tcPr>
          <w:p w14:paraId="5B4C6EB3"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(5)</w:t>
            </w:r>
          </w:p>
          <w:p w14:paraId="5C204176" w14:textId="6069E3C5"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Non-Receipted Returns  at Initial Stage as DV</w:t>
            </w:r>
          </w:p>
        </w:tc>
        <w:tc>
          <w:tcPr>
            <w:tcW w:w="1061" w:type="dxa"/>
            <w:noWrap/>
            <w:hideMark/>
          </w:tcPr>
          <w:p w14:paraId="265EE1BA"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(6)</w:t>
            </w:r>
          </w:p>
          <w:p w14:paraId="5C7C2960" w14:textId="37BFE1FC"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Non-Receipted Returns  at Final Stage as DV</w:t>
            </w:r>
          </w:p>
        </w:tc>
      </w:tr>
      <w:tr w:rsidR="002A08F8" w:rsidRPr="00D571F8" w14:paraId="1DBC39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Moderate Policy</w:t>
            </w:r>
          </w:p>
        </w:tc>
        <w:tc>
          <w:tcPr>
            <w:tcW w:w="1235" w:type="dxa"/>
            <w:noWrap/>
            <w:hideMark/>
          </w:tcPr>
          <w:p w14:paraId="53D9BA1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0.355</w:t>
            </w:r>
          </w:p>
        </w:tc>
        <w:tc>
          <w:tcPr>
            <w:tcW w:w="1105" w:type="dxa"/>
            <w:noWrap/>
            <w:hideMark/>
          </w:tcPr>
          <w:p w14:paraId="62C423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0.257</w:t>
            </w:r>
          </w:p>
        </w:tc>
        <w:tc>
          <w:tcPr>
            <w:tcW w:w="1151" w:type="dxa"/>
            <w:noWrap/>
            <w:hideMark/>
          </w:tcPr>
          <w:p w14:paraId="199497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0.220</w:t>
            </w:r>
          </w:p>
        </w:tc>
        <w:tc>
          <w:tcPr>
            <w:tcW w:w="1041" w:type="dxa"/>
            <w:noWrap/>
            <w:hideMark/>
          </w:tcPr>
          <w:p w14:paraId="74978E7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0.181</w:t>
            </w:r>
          </w:p>
        </w:tc>
        <w:tc>
          <w:tcPr>
            <w:tcW w:w="1061" w:type="dxa"/>
            <w:noWrap/>
            <w:hideMark/>
          </w:tcPr>
          <w:p w14:paraId="754239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0.182</w:t>
            </w:r>
          </w:p>
        </w:tc>
        <w:tc>
          <w:tcPr>
            <w:tcW w:w="1061" w:type="dxa"/>
            <w:noWrap/>
            <w:hideMark/>
          </w:tcPr>
          <w:p w14:paraId="08A42F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0.0241</w:t>
            </w:r>
          </w:p>
        </w:tc>
      </w:tr>
      <w:tr w:rsidR="002A08F8" w:rsidRPr="00D571F8" w14:paraId="0CE8520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(0.433)</w:t>
            </w:r>
          </w:p>
        </w:tc>
        <w:tc>
          <w:tcPr>
            <w:tcW w:w="1105" w:type="dxa"/>
            <w:noWrap/>
            <w:hideMark/>
          </w:tcPr>
          <w:p w14:paraId="6EB3CF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(0.584)</w:t>
            </w:r>
          </w:p>
        </w:tc>
        <w:tc>
          <w:tcPr>
            <w:tcW w:w="1151" w:type="dxa"/>
            <w:noWrap/>
            <w:hideMark/>
          </w:tcPr>
          <w:p w14:paraId="031AF91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(0.511)</w:t>
            </w:r>
          </w:p>
        </w:tc>
        <w:tc>
          <w:tcPr>
            <w:tcW w:w="1041" w:type="dxa"/>
            <w:noWrap/>
            <w:hideMark/>
          </w:tcPr>
          <w:p w14:paraId="3CD3D42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(0.641)</w:t>
            </w:r>
          </w:p>
        </w:tc>
        <w:tc>
          <w:tcPr>
            <w:tcW w:w="1061" w:type="dxa"/>
            <w:noWrap/>
            <w:hideMark/>
          </w:tcPr>
          <w:p w14:paraId="257FD2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(0.737)</w:t>
            </w:r>
          </w:p>
        </w:tc>
        <w:tc>
          <w:tcPr>
            <w:tcW w:w="1061" w:type="dxa"/>
            <w:noWrap/>
            <w:hideMark/>
          </w:tcPr>
          <w:p w14:paraId="33B048D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(0.966)</w:t>
            </w:r>
          </w:p>
        </w:tc>
      </w:tr>
      <w:tr w:rsidR="002A08F8" w:rsidRPr="00D571F8" w14:paraId="573C1E2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7888FF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D571F8" w:rsidRDefault="00E1546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r w:rsidR="00D571F8" w:rsidRPr="00D571F8">
              <w:rPr>
                <w:rFonts w:asciiTheme="majorBidi" w:hAnsiTheme="majorBidi" w:cstheme="majorBidi"/>
                <w:color w:val="000000"/>
                <w:sz w:val="22"/>
                <w:szCs w:val="22"/>
              </w:rPr>
              <w:t xml:space="preserve"> Policy</w:t>
            </w:r>
          </w:p>
        </w:tc>
        <w:tc>
          <w:tcPr>
            <w:tcW w:w="1235" w:type="dxa"/>
            <w:noWrap/>
            <w:hideMark/>
          </w:tcPr>
          <w:p w14:paraId="239BF2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30BB5F8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151" w:type="dxa"/>
            <w:noWrap/>
            <w:hideMark/>
          </w:tcPr>
          <w:p w14:paraId="1F4C79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0.301</w:t>
            </w:r>
          </w:p>
        </w:tc>
        <w:tc>
          <w:tcPr>
            <w:tcW w:w="1041" w:type="dxa"/>
            <w:noWrap/>
            <w:hideMark/>
          </w:tcPr>
          <w:p w14:paraId="53F09E6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0.224</w:t>
            </w:r>
          </w:p>
        </w:tc>
        <w:tc>
          <w:tcPr>
            <w:tcW w:w="1061" w:type="dxa"/>
            <w:noWrap/>
            <w:hideMark/>
          </w:tcPr>
          <w:p w14:paraId="50F89CF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68E615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(0.793)</w:t>
            </w:r>
          </w:p>
        </w:tc>
        <w:tc>
          <w:tcPr>
            <w:tcW w:w="1105" w:type="dxa"/>
            <w:noWrap/>
            <w:hideMark/>
          </w:tcPr>
          <w:p w14:paraId="33A8DCA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(0.627)</w:t>
            </w:r>
          </w:p>
        </w:tc>
        <w:tc>
          <w:tcPr>
            <w:tcW w:w="1151" w:type="dxa"/>
            <w:noWrap/>
            <w:hideMark/>
          </w:tcPr>
          <w:p w14:paraId="7024D0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(0.386)</w:t>
            </w:r>
          </w:p>
        </w:tc>
        <w:tc>
          <w:tcPr>
            <w:tcW w:w="1041" w:type="dxa"/>
            <w:noWrap/>
            <w:hideMark/>
          </w:tcPr>
          <w:p w14:paraId="4F54FC5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(0.579)</w:t>
            </w:r>
          </w:p>
        </w:tc>
        <w:tc>
          <w:tcPr>
            <w:tcW w:w="1061" w:type="dxa"/>
            <w:noWrap/>
            <w:hideMark/>
          </w:tcPr>
          <w:p w14:paraId="0A61632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82E3197"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64F3E67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Mainstream</w:t>
            </w:r>
          </w:p>
        </w:tc>
        <w:tc>
          <w:tcPr>
            <w:tcW w:w="1235" w:type="dxa"/>
            <w:noWrap/>
            <w:hideMark/>
          </w:tcPr>
          <w:p w14:paraId="6C9057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105" w:type="dxa"/>
            <w:noWrap/>
            <w:hideMark/>
          </w:tcPr>
          <w:p w14:paraId="7883C2E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51" w:type="dxa"/>
            <w:noWrap/>
            <w:hideMark/>
          </w:tcPr>
          <w:p w14:paraId="71D839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-0.0492</w:t>
            </w:r>
          </w:p>
        </w:tc>
        <w:tc>
          <w:tcPr>
            <w:tcW w:w="1041" w:type="dxa"/>
            <w:noWrap/>
            <w:hideMark/>
          </w:tcPr>
          <w:p w14:paraId="0F202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0.0419</w:t>
            </w:r>
          </w:p>
        </w:tc>
        <w:tc>
          <w:tcPr>
            <w:tcW w:w="1061" w:type="dxa"/>
            <w:noWrap/>
            <w:hideMark/>
          </w:tcPr>
          <w:p w14:paraId="60C5ED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0.371*</w:t>
            </w:r>
          </w:p>
        </w:tc>
        <w:tc>
          <w:tcPr>
            <w:tcW w:w="1061" w:type="dxa"/>
            <w:noWrap/>
            <w:hideMark/>
          </w:tcPr>
          <w:p w14:paraId="24261B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0.447*</w:t>
            </w:r>
          </w:p>
        </w:tc>
      </w:tr>
      <w:tr w:rsidR="002A08F8" w:rsidRPr="00D571F8" w14:paraId="35BD68B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(0.413)</w:t>
            </w:r>
          </w:p>
        </w:tc>
        <w:tc>
          <w:tcPr>
            <w:tcW w:w="1105" w:type="dxa"/>
            <w:noWrap/>
            <w:hideMark/>
          </w:tcPr>
          <w:p w14:paraId="0F3034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(0.216)</w:t>
            </w:r>
          </w:p>
        </w:tc>
        <w:tc>
          <w:tcPr>
            <w:tcW w:w="1151" w:type="dxa"/>
            <w:noWrap/>
            <w:hideMark/>
          </w:tcPr>
          <w:p w14:paraId="475F95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(0.595)</w:t>
            </w:r>
          </w:p>
        </w:tc>
        <w:tc>
          <w:tcPr>
            <w:tcW w:w="1041" w:type="dxa"/>
            <w:noWrap/>
            <w:hideMark/>
          </w:tcPr>
          <w:p w14:paraId="38FFAB8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(0.689)</w:t>
            </w:r>
          </w:p>
        </w:tc>
        <w:tc>
          <w:tcPr>
            <w:tcW w:w="1061" w:type="dxa"/>
            <w:noWrap/>
            <w:hideMark/>
          </w:tcPr>
          <w:p w14:paraId="436350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(0.088)</w:t>
            </w:r>
          </w:p>
        </w:tc>
        <w:tc>
          <w:tcPr>
            <w:tcW w:w="1061" w:type="dxa"/>
            <w:noWrap/>
            <w:hideMark/>
          </w:tcPr>
          <w:p w14:paraId="541E9EC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(0.053)</w:t>
            </w:r>
          </w:p>
        </w:tc>
      </w:tr>
      <w:tr w:rsidR="002A08F8" w:rsidRPr="00D571F8" w14:paraId="477FB0C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55698D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Luxury</w:t>
            </w:r>
          </w:p>
        </w:tc>
        <w:tc>
          <w:tcPr>
            <w:tcW w:w="1235" w:type="dxa"/>
            <w:noWrap/>
            <w:hideMark/>
          </w:tcPr>
          <w:p w14:paraId="33219D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0.593***</w:t>
            </w:r>
          </w:p>
        </w:tc>
        <w:tc>
          <w:tcPr>
            <w:tcW w:w="1105" w:type="dxa"/>
            <w:noWrap/>
            <w:hideMark/>
          </w:tcPr>
          <w:p w14:paraId="2B9612B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0.470***</w:t>
            </w:r>
          </w:p>
        </w:tc>
        <w:tc>
          <w:tcPr>
            <w:tcW w:w="1151" w:type="dxa"/>
            <w:noWrap/>
            <w:hideMark/>
          </w:tcPr>
          <w:p w14:paraId="3758EFD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0.193</w:t>
            </w:r>
          </w:p>
        </w:tc>
        <w:tc>
          <w:tcPr>
            <w:tcW w:w="1041" w:type="dxa"/>
            <w:noWrap/>
            <w:hideMark/>
          </w:tcPr>
          <w:p w14:paraId="69F6D50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061" w:type="dxa"/>
            <w:noWrap/>
            <w:hideMark/>
          </w:tcPr>
          <w:p w14:paraId="3D56CB3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0.678**</w:t>
            </w:r>
          </w:p>
        </w:tc>
        <w:tc>
          <w:tcPr>
            <w:tcW w:w="1061" w:type="dxa"/>
            <w:noWrap/>
            <w:hideMark/>
          </w:tcPr>
          <w:p w14:paraId="45BF429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0.476*</w:t>
            </w:r>
          </w:p>
        </w:tc>
      </w:tr>
      <w:tr w:rsidR="002A08F8" w:rsidRPr="00D571F8" w14:paraId="13067CD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w:t>
            </w:r>
          </w:p>
        </w:tc>
        <w:tc>
          <w:tcPr>
            <w:tcW w:w="1105" w:type="dxa"/>
            <w:noWrap/>
            <w:hideMark/>
          </w:tcPr>
          <w:p w14:paraId="0849F2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(0.005)</w:t>
            </w:r>
          </w:p>
        </w:tc>
        <w:tc>
          <w:tcPr>
            <w:tcW w:w="1151" w:type="dxa"/>
            <w:noWrap/>
            <w:hideMark/>
          </w:tcPr>
          <w:p w14:paraId="17F2E0E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041" w:type="dxa"/>
            <w:noWrap/>
            <w:hideMark/>
          </w:tcPr>
          <w:p w14:paraId="5BAA00D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c>
          <w:tcPr>
            <w:tcW w:w="1061" w:type="dxa"/>
            <w:noWrap/>
            <w:hideMark/>
          </w:tcPr>
          <w:p w14:paraId="23EFF20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(0.011)</w:t>
            </w:r>
          </w:p>
        </w:tc>
        <w:tc>
          <w:tcPr>
            <w:tcW w:w="1061" w:type="dxa"/>
            <w:noWrap/>
            <w:hideMark/>
          </w:tcPr>
          <w:p w14:paraId="4725DF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r>
      <w:tr w:rsidR="002A08F8" w:rsidRPr="00D571F8" w14:paraId="45C4A3A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360724B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Chain</w:t>
            </w:r>
          </w:p>
        </w:tc>
        <w:tc>
          <w:tcPr>
            <w:tcW w:w="1235" w:type="dxa"/>
            <w:noWrap/>
            <w:hideMark/>
          </w:tcPr>
          <w:p w14:paraId="1E6C34A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0.448</w:t>
            </w:r>
          </w:p>
        </w:tc>
        <w:tc>
          <w:tcPr>
            <w:tcW w:w="1105" w:type="dxa"/>
            <w:noWrap/>
            <w:hideMark/>
          </w:tcPr>
          <w:p w14:paraId="382D1DE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0.688**</w:t>
            </w:r>
          </w:p>
        </w:tc>
        <w:tc>
          <w:tcPr>
            <w:tcW w:w="1151" w:type="dxa"/>
            <w:noWrap/>
            <w:hideMark/>
          </w:tcPr>
          <w:p w14:paraId="35E0C6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0.0785</w:t>
            </w:r>
          </w:p>
        </w:tc>
        <w:tc>
          <w:tcPr>
            <w:tcW w:w="1041" w:type="dxa"/>
            <w:noWrap/>
            <w:hideMark/>
          </w:tcPr>
          <w:p w14:paraId="0B30488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0.173</w:t>
            </w:r>
          </w:p>
        </w:tc>
        <w:tc>
          <w:tcPr>
            <w:tcW w:w="1061" w:type="dxa"/>
            <w:noWrap/>
            <w:hideMark/>
          </w:tcPr>
          <w:p w14:paraId="565A64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0.455</w:t>
            </w:r>
          </w:p>
        </w:tc>
        <w:tc>
          <w:tcPr>
            <w:tcW w:w="1061" w:type="dxa"/>
            <w:noWrap/>
            <w:hideMark/>
          </w:tcPr>
          <w:p w14:paraId="64BCB2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r>
      <w:tr w:rsidR="002A08F8" w:rsidRPr="00D571F8" w14:paraId="709199C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201CEEF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w:t>
            </w:r>
          </w:p>
        </w:tc>
        <w:tc>
          <w:tcPr>
            <w:tcW w:w="1151" w:type="dxa"/>
            <w:noWrap/>
            <w:hideMark/>
          </w:tcPr>
          <w:p w14:paraId="11095B5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c>
          <w:tcPr>
            <w:tcW w:w="1041" w:type="dxa"/>
            <w:noWrap/>
            <w:hideMark/>
          </w:tcPr>
          <w:p w14:paraId="2F0112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(0.483)</w:t>
            </w:r>
          </w:p>
        </w:tc>
        <w:tc>
          <w:tcPr>
            <w:tcW w:w="1061" w:type="dxa"/>
            <w:noWrap/>
            <w:hideMark/>
          </w:tcPr>
          <w:p w14:paraId="572EF3A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061" w:type="dxa"/>
            <w:noWrap/>
            <w:hideMark/>
          </w:tcPr>
          <w:p w14:paraId="3F45B7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(0.084)</w:t>
            </w:r>
          </w:p>
        </w:tc>
      </w:tr>
      <w:tr w:rsidR="002A08F8" w:rsidRPr="00D571F8" w14:paraId="7F0E02D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F5D794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Age</w:t>
            </w:r>
          </w:p>
        </w:tc>
        <w:tc>
          <w:tcPr>
            <w:tcW w:w="1235" w:type="dxa"/>
            <w:noWrap/>
            <w:hideMark/>
          </w:tcPr>
          <w:p w14:paraId="26D0F4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05" w:type="dxa"/>
            <w:noWrap/>
            <w:hideMark/>
          </w:tcPr>
          <w:p w14:paraId="3933400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151" w:type="dxa"/>
            <w:noWrap/>
            <w:hideMark/>
          </w:tcPr>
          <w:p w14:paraId="7E2D224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0.260***</w:t>
            </w:r>
          </w:p>
        </w:tc>
        <w:tc>
          <w:tcPr>
            <w:tcW w:w="1041" w:type="dxa"/>
            <w:noWrap/>
            <w:hideMark/>
          </w:tcPr>
          <w:p w14:paraId="24895C7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0.211**</w:t>
            </w:r>
          </w:p>
        </w:tc>
        <w:tc>
          <w:tcPr>
            <w:tcW w:w="1061" w:type="dxa"/>
            <w:noWrap/>
            <w:hideMark/>
          </w:tcPr>
          <w:p w14:paraId="44ADAE3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-0.0422</w:t>
            </w:r>
          </w:p>
        </w:tc>
        <w:tc>
          <w:tcPr>
            <w:tcW w:w="1061" w:type="dxa"/>
            <w:noWrap/>
            <w:hideMark/>
          </w:tcPr>
          <w:p w14:paraId="5601D5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0.0669</w:t>
            </w:r>
          </w:p>
        </w:tc>
      </w:tr>
      <w:tr w:rsidR="002A08F8" w:rsidRPr="00D571F8" w14:paraId="0A40A37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(0.122)</w:t>
            </w:r>
          </w:p>
        </w:tc>
        <w:tc>
          <w:tcPr>
            <w:tcW w:w="1105" w:type="dxa"/>
            <w:noWrap/>
            <w:hideMark/>
          </w:tcPr>
          <w:p w14:paraId="7A4488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(0.025)</w:t>
            </w:r>
          </w:p>
        </w:tc>
        <w:tc>
          <w:tcPr>
            <w:tcW w:w="1151" w:type="dxa"/>
            <w:noWrap/>
            <w:hideMark/>
          </w:tcPr>
          <w:p w14:paraId="32457C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(0.001)</w:t>
            </w:r>
          </w:p>
        </w:tc>
        <w:tc>
          <w:tcPr>
            <w:tcW w:w="1041" w:type="dxa"/>
            <w:noWrap/>
            <w:hideMark/>
          </w:tcPr>
          <w:p w14:paraId="2EC098E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061" w:type="dxa"/>
            <w:noWrap/>
            <w:hideMark/>
          </w:tcPr>
          <w:p w14:paraId="2DB7D58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(0.801)</w:t>
            </w:r>
          </w:p>
        </w:tc>
        <w:tc>
          <w:tcPr>
            <w:tcW w:w="1061" w:type="dxa"/>
            <w:noWrap/>
            <w:hideMark/>
          </w:tcPr>
          <w:p w14:paraId="00885C1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(0.703)</w:t>
            </w:r>
          </w:p>
        </w:tc>
      </w:tr>
      <w:tr w:rsidR="002A08F8" w:rsidRPr="00D571F8" w14:paraId="6101A01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1E3ABF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Revenues</w:t>
            </w:r>
          </w:p>
        </w:tc>
        <w:tc>
          <w:tcPr>
            <w:tcW w:w="1235" w:type="dxa"/>
            <w:noWrap/>
            <w:hideMark/>
          </w:tcPr>
          <w:p w14:paraId="2BA871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-0.0204</w:t>
            </w:r>
          </w:p>
        </w:tc>
        <w:tc>
          <w:tcPr>
            <w:tcW w:w="1105" w:type="dxa"/>
            <w:noWrap/>
            <w:hideMark/>
          </w:tcPr>
          <w:p w14:paraId="780E75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-0.0365</w:t>
            </w:r>
          </w:p>
        </w:tc>
        <w:tc>
          <w:tcPr>
            <w:tcW w:w="1151" w:type="dxa"/>
            <w:noWrap/>
            <w:hideMark/>
          </w:tcPr>
          <w:p w14:paraId="5DB8DF40" w14:textId="59BB04D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-0.046</w:t>
            </w:r>
            <w:r w:rsidR="002A08F8" w:rsidRPr="00D571F8">
              <w:rPr>
                <w:rFonts w:asciiTheme="majorBidi" w:hAnsiTheme="majorBidi" w:cstheme="majorBidi"/>
                <w:color w:val="000000"/>
                <w:sz w:val="22"/>
                <w:szCs w:val="22"/>
              </w:rPr>
              <w:t>***</w:t>
            </w:r>
          </w:p>
        </w:tc>
        <w:tc>
          <w:tcPr>
            <w:tcW w:w="1041" w:type="dxa"/>
            <w:noWrap/>
            <w:hideMark/>
          </w:tcPr>
          <w:p w14:paraId="18598746" w14:textId="2A48647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-0.041</w:t>
            </w:r>
            <w:r w:rsidR="002A08F8" w:rsidRPr="00D571F8">
              <w:rPr>
                <w:rFonts w:asciiTheme="majorBidi" w:hAnsiTheme="majorBidi" w:cstheme="majorBidi"/>
                <w:color w:val="000000"/>
                <w:sz w:val="22"/>
                <w:szCs w:val="22"/>
              </w:rPr>
              <w:t>**</w:t>
            </w:r>
          </w:p>
        </w:tc>
        <w:tc>
          <w:tcPr>
            <w:tcW w:w="1061" w:type="dxa"/>
            <w:noWrap/>
            <w:hideMark/>
          </w:tcPr>
          <w:p w14:paraId="3DA746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0.0225</w:t>
            </w:r>
          </w:p>
        </w:tc>
        <w:tc>
          <w:tcPr>
            <w:tcW w:w="1061" w:type="dxa"/>
            <w:noWrap/>
            <w:hideMark/>
          </w:tcPr>
          <w:p w14:paraId="555891F1" w14:textId="3642D53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-0.00088</w:t>
            </w:r>
          </w:p>
        </w:tc>
      </w:tr>
      <w:tr w:rsidR="002A08F8" w:rsidRPr="00D571F8" w14:paraId="505430E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(0.384)</w:t>
            </w:r>
          </w:p>
        </w:tc>
        <w:tc>
          <w:tcPr>
            <w:tcW w:w="1105" w:type="dxa"/>
            <w:noWrap/>
            <w:hideMark/>
          </w:tcPr>
          <w:p w14:paraId="7395360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(0.134)</w:t>
            </w:r>
          </w:p>
        </w:tc>
        <w:tc>
          <w:tcPr>
            <w:tcW w:w="1151" w:type="dxa"/>
            <w:noWrap/>
            <w:hideMark/>
          </w:tcPr>
          <w:p w14:paraId="3E46B89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(0.010)</w:t>
            </w:r>
          </w:p>
        </w:tc>
        <w:tc>
          <w:tcPr>
            <w:tcW w:w="1041" w:type="dxa"/>
            <w:noWrap/>
            <w:hideMark/>
          </w:tcPr>
          <w:p w14:paraId="3A24FB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(0.044)</w:t>
            </w:r>
          </w:p>
        </w:tc>
        <w:tc>
          <w:tcPr>
            <w:tcW w:w="1061" w:type="dxa"/>
            <w:noWrap/>
            <w:hideMark/>
          </w:tcPr>
          <w:p w14:paraId="37C325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(0.555)</w:t>
            </w:r>
          </w:p>
        </w:tc>
        <w:tc>
          <w:tcPr>
            <w:tcW w:w="1061" w:type="dxa"/>
            <w:noWrap/>
            <w:hideMark/>
          </w:tcPr>
          <w:p w14:paraId="5486BED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(0.982)</w:t>
            </w:r>
          </w:p>
        </w:tc>
      </w:tr>
      <w:tr w:rsidR="002A08F8" w:rsidRPr="00D571F8" w14:paraId="391AEE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ABAF3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Constant</w:t>
            </w:r>
          </w:p>
        </w:tc>
        <w:tc>
          <w:tcPr>
            <w:tcW w:w="1235" w:type="dxa"/>
            <w:noWrap/>
            <w:hideMark/>
          </w:tcPr>
          <w:p w14:paraId="55569A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-1.148**</w:t>
            </w:r>
          </w:p>
        </w:tc>
        <w:tc>
          <w:tcPr>
            <w:tcW w:w="1105" w:type="dxa"/>
            <w:noWrap/>
            <w:hideMark/>
          </w:tcPr>
          <w:p w14:paraId="766425F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-1.348**</w:t>
            </w:r>
          </w:p>
        </w:tc>
        <w:tc>
          <w:tcPr>
            <w:tcW w:w="1151" w:type="dxa"/>
            <w:noWrap/>
            <w:hideMark/>
          </w:tcPr>
          <w:p w14:paraId="7B11CB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-1.200***</w:t>
            </w:r>
          </w:p>
        </w:tc>
        <w:tc>
          <w:tcPr>
            <w:tcW w:w="1041" w:type="dxa"/>
            <w:noWrap/>
            <w:hideMark/>
          </w:tcPr>
          <w:p w14:paraId="74C910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-1.079**</w:t>
            </w:r>
          </w:p>
        </w:tc>
        <w:tc>
          <w:tcPr>
            <w:tcW w:w="1061" w:type="dxa"/>
            <w:noWrap/>
            <w:hideMark/>
          </w:tcPr>
          <w:p w14:paraId="60850AA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-0.411</w:t>
            </w:r>
          </w:p>
        </w:tc>
        <w:tc>
          <w:tcPr>
            <w:tcW w:w="1061" w:type="dxa"/>
            <w:noWrap/>
            <w:hideMark/>
          </w:tcPr>
          <w:p w14:paraId="6AF6D7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-0.658</w:t>
            </w:r>
          </w:p>
        </w:tc>
      </w:tr>
      <w:tr w:rsidR="002A08F8" w:rsidRPr="00D571F8" w14:paraId="58D05E1B" w14:textId="77777777" w:rsidTr="00412106">
        <w:trPr>
          <w:trHeight w:val="440"/>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(0.033)</w:t>
            </w:r>
          </w:p>
        </w:tc>
        <w:tc>
          <w:tcPr>
            <w:tcW w:w="1105" w:type="dxa"/>
            <w:noWrap/>
            <w:hideMark/>
          </w:tcPr>
          <w:p w14:paraId="299FAFC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151" w:type="dxa"/>
            <w:noWrap/>
            <w:hideMark/>
          </w:tcPr>
          <w:p w14:paraId="6E27C5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(0.003)</w:t>
            </w:r>
          </w:p>
        </w:tc>
        <w:tc>
          <w:tcPr>
            <w:tcW w:w="1041" w:type="dxa"/>
            <w:noWrap/>
            <w:hideMark/>
          </w:tcPr>
          <w:p w14:paraId="06CFC5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(0.021)</w:t>
            </w:r>
          </w:p>
        </w:tc>
        <w:tc>
          <w:tcPr>
            <w:tcW w:w="1061" w:type="dxa"/>
            <w:noWrap/>
            <w:hideMark/>
          </w:tcPr>
          <w:p w14:paraId="6BCADE9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(0.600)</w:t>
            </w:r>
          </w:p>
        </w:tc>
        <w:tc>
          <w:tcPr>
            <w:tcW w:w="1061" w:type="dxa"/>
            <w:noWrap/>
            <w:hideMark/>
          </w:tcPr>
          <w:p w14:paraId="60CAA2B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(0.427)</w:t>
            </w:r>
          </w:p>
        </w:tc>
      </w:tr>
      <w:tr w:rsidR="00412106" w:rsidRPr="00D571F8" w14:paraId="3AC09406"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D571F8" w:rsidRDefault="00412106" w:rsidP="00412106">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Observations</w:t>
            </w:r>
          </w:p>
        </w:tc>
        <w:tc>
          <w:tcPr>
            <w:tcW w:w="1235" w:type="dxa"/>
            <w:noWrap/>
            <w:hideMark/>
          </w:tcPr>
          <w:p w14:paraId="252152A9" w14:textId="6F8432EA"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105" w:type="dxa"/>
            <w:noWrap/>
            <w:hideMark/>
          </w:tcPr>
          <w:p w14:paraId="0A6CDFA2" w14:textId="529EE4DF"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151" w:type="dxa"/>
            <w:noWrap/>
            <w:hideMark/>
          </w:tcPr>
          <w:p w14:paraId="0DCC1336" w14:textId="5B92B50D"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041" w:type="dxa"/>
            <w:noWrap/>
            <w:hideMark/>
          </w:tcPr>
          <w:p w14:paraId="6909AB6C" w14:textId="53710FC4"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061" w:type="dxa"/>
            <w:noWrap/>
            <w:hideMark/>
          </w:tcPr>
          <w:p w14:paraId="33023FE7" w14:textId="7134B704"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51</w:t>
            </w:r>
          </w:p>
        </w:tc>
        <w:tc>
          <w:tcPr>
            <w:tcW w:w="1061" w:type="dxa"/>
            <w:noWrap/>
            <w:hideMark/>
          </w:tcPr>
          <w:p w14:paraId="785A4972" w14:textId="108AC250"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51</w:t>
            </w:r>
          </w:p>
        </w:tc>
      </w:tr>
      <w:tr w:rsidR="002A08F8" w:rsidRPr="00D571F8" w14:paraId="49A9506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R-squared</w:t>
            </w:r>
          </w:p>
        </w:tc>
        <w:tc>
          <w:tcPr>
            <w:tcW w:w="1235" w:type="dxa"/>
            <w:noWrap/>
            <w:hideMark/>
          </w:tcPr>
          <w:p w14:paraId="326BE39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0.373</w:t>
            </w:r>
          </w:p>
        </w:tc>
        <w:tc>
          <w:tcPr>
            <w:tcW w:w="1105" w:type="dxa"/>
            <w:noWrap/>
            <w:hideMark/>
          </w:tcPr>
          <w:p w14:paraId="70066B4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0.426</w:t>
            </w:r>
          </w:p>
        </w:tc>
        <w:tc>
          <w:tcPr>
            <w:tcW w:w="1151" w:type="dxa"/>
            <w:noWrap/>
            <w:hideMark/>
          </w:tcPr>
          <w:p w14:paraId="414E33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0.390</w:t>
            </w:r>
          </w:p>
        </w:tc>
        <w:tc>
          <w:tcPr>
            <w:tcW w:w="1041" w:type="dxa"/>
            <w:noWrap/>
            <w:hideMark/>
          </w:tcPr>
          <w:p w14:paraId="7014AB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0.265</w:t>
            </w:r>
          </w:p>
        </w:tc>
        <w:tc>
          <w:tcPr>
            <w:tcW w:w="1061" w:type="dxa"/>
            <w:noWrap/>
            <w:hideMark/>
          </w:tcPr>
          <w:p w14:paraId="640EF8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0.348</w:t>
            </w:r>
          </w:p>
        </w:tc>
        <w:tc>
          <w:tcPr>
            <w:tcW w:w="1061" w:type="dxa"/>
            <w:noWrap/>
            <w:hideMark/>
          </w:tcPr>
          <w:p w14:paraId="2D58FB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0.360</w:t>
            </w:r>
          </w:p>
        </w:tc>
      </w:tr>
      <w:tr w:rsidR="002A08F8" w:rsidRPr="00D571F8" w14:paraId="7960216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2712F54C" w:rsidR="00812816" w:rsidRPr="007F730E" w:rsidRDefault="00C05D11">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“discount”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pro-consumer gaps at the final stage on policy type and store characteristics.</w:t>
      </w:r>
      <w:del w:id="295" w:author="Susan" w:date="2019-09-06T00:28:00Z">
        <w:r w:rsidR="00914F18" w:rsidDel="003A4E70">
          <w:rPr>
            <w:sz w:val="20"/>
            <w:szCs w:val="16"/>
          </w:rPr>
          <w:delText xml:space="preserve"> </w:delText>
        </w:r>
      </w:del>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type and store characteristics.</w:t>
      </w:r>
      <w:del w:id="296" w:author="Susan" w:date="2019-09-06T00:28:00Z">
        <w:r w:rsidR="00914F18" w:rsidDel="003A4E70">
          <w:rPr>
            <w:sz w:val="20"/>
            <w:szCs w:val="16"/>
          </w:rPr>
          <w:delText xml:space="preserve"> </w:delText>
        </w:r>
      </w:del>
      <w:r w:rsidR="00914F18">
        <w:rPr>
          <w:sz w:val="20"/>
          <w:szCs w:val="16"/>
        </w:rPr>
        <w:t xml:space="preserve"> 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003C0C33">
        <w:rPr>
          <w:rFonts w:asciiTheme="majorBidi" w:hAnsiTheme="majorBidi" w:cstheme="majorBidi"/>
          <w:color w:val="000000"/>
          <w:sz w:val="20"/>
        </w:rPr>
        <w:t>P</w:t>
      </w:r>
      <w:r w:rsidRPr="0056054E">
        <w:rPr>
          <w:rFonts w:asciiTheme="majorBidi" w:hAnsiTheme="majorBidi" w:cstheme="majorBidi"/>
          <w:color w:val="000000"/>
          <w:sz w:val="20"/>
        </w:rPr>
        <w:t>-values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r w:rsidRPr="0056054E">
        <w:rPr>
          <w:sz w:val="20"/>
        </w:rPr>
        <w:t xml:space="preserve"> </w:t>
      </w:r>
      <w:r w:rsidRPr="00033A36">
        <w:rPr>
          <w:sz w:val="20"/>
        </w:rPr>
        <w:t>The</w:t>
      </w:r>
      <w:r>
        <w:rPr>
          <w:sz w:val="20"/>
          <w:szCs w:val="16"/>
        </w:rPr>
        <w:t xml:space="preserve"> reference category for policy type is “harsh.” The reference category for prestige is “discount.” </w:t>
      </w:r>
    </w:p>
    <w:p w14:paraId="6B21147E" w14:textId="77777777" w:rsidR="00C05D11" w:rsidRPr="00C05D11" w:rsidRDefault="00C05D11" w:rsidP="00812816"/>
    <w:p w14:paraId="357872C5" w14:textId="11EA4AF4" w:rsidR="006A2643" w:rsidRDefault="00812816" w:rsidP="001C16B9">
      <w:r>
        <w:t>The results reveal that, consistent with the study’s predictions, luxury stores were significantly more likely to depart from their formal policies than both mainstream and discount stores</w:t>
      </w:r>
      <w:r w:rsidR="00314C91" w:rsidRPr="00314C91">
        <w:rPr>
          <w:szCs w:val="24"/>
        </w:rPr>
        <w:t>, at both the initial (pre-complaining) and final (post-complaining) stages</w:t>
      </w:r>
      <w:r>
        <w:t>.</w:t>
      </w:r>
      <w:r>
        <w:rPr>
          <w:rStyle w:val="FootnoteReference"/>
        </w:rPr>
        <w:footnoteReference w:id="73"/>
      </w:r>
      <w:r>
        <w:t xml:space="preserve"> </w:t>
      </w:r>
    </w:p>
    <w:p w14:paraId="035F3408" w14:textId="77777777" w:rsidR="006A2643" w:rsidRDefault="006A2643" w:rsidP="006A2643"/>
    <w:p w14:paraId="49EA1B8E" w14:textId="0520D6F0" w:rsidR="00124BF6" w:rsidRDefault="00812816" w:rsidP="00733E1B">
      <w:r>
        <w:t xml:space="preserve">In addition, and as expected, </w:t>
      </w:r>
      <w:r w:rsidR="006A2643">
        <w:t>chain stores were significantly more likely to apply pro-consumer gaps than local stores.</w:t>
      </w:r>
      <w:r w:rsidR="006A2643">
        <w:rPr>
          <w:rStyle w:val="FootnoteReference"/>
        </w:rPr>
        <w:footnoteReference w:id="74"/>
      </w:r>
      <w:r w:rsidR="006A2643">
        <w:t xml:space="preserve"> The results also show a significant relationship between a store’s age (as proxied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75"/>
      </w:r>
      <w:r>
        <w:t xml:space="preserve"> </w:t>
      </w:r>
      <w:r w:rsidRPr="000443E2">
        <w:t>Surprisingly, controlling for all other determinants, smaller stores were more likely to provide refunds despite testers’ failure to meet the policy requirements than larger stores. It is possible that</w:t>
      </w:r>
      <w:r>
        <w:t xml:space="preserve">, </w:t>
      </w:r>
      <w:r w:rsidR="00033A36" w:rsidRPr="00011EB1">
        <w:rPr>
          <w:i/>
        </w:rPr>
        <w:t>ceteris paribus</w:t>
      </w:r>
      <w:r>
        <w:t>,</w:t>
      </w:r>
      <w:r w:rsidRPr="000443E2">
        <w:t xml:space="preserve"> smaller stores need to behave more forgivingly in order to be able to compete with the larger stores, yet this relationship should be further explored in future studies.</w:t>
      </w:r>
    </w:p>
    <w:p w14:paraId="4C601D7B" w14:textId="057CBD32" w:rsidR="00000812" w:rsidRDefault="00000812" w:rsidP="00A04427">
      <w:pPr>
        <w:pStyle w:val="Heading1"/>
        <w:numPr>
          <w:ilvl w:val="0"/>
          <w:numId w:val="0"/>
        </w:numPr>
        <w:jc w:val="both"/>
      </w:pPr>
    </w:p>
    <w:p w14:paraId="4C434D96" w14:textId="2FE913B6" w:rsidR="00AF0ABA" w:rsidRDefault="00AF0ABA" w:rsidP="001A174F">
      <w:pPr>
        <w:pStyle w:val="Heading1"/>
      </w:pPr>
      <w:bookmarkStart w:id="297" w:name="_Toc17757432"/>
      <w:bookmarkStart w:id="298" w:name="_Toc18539943"/>
      <w:r>
        <w:t xml:space="preserve">IV. Discussion </w:t>
      </w:r>
      <w:r w:rsidR="001A174F">
        <w:t>&amp; Implications</w:t>
      </w:r>
      <w:bookmarkEnd w:id="297"/>
      <w:bookmarkEnd w:id="298"/>
    </w:p>
    <w:p w14:paraId="13B8CFCE" w14:textId="77777777" w:rsidR="006D4E50" w:rsidRPr="006D4E50" w:rsidRDefault="006D4E50" w:rsidP="006D4E50"/>
    <w:p w14:paraId="33796538" w14:textId="6BC7BDA9" w:rsidR="001A174F" w:rsidRDefault="006D4E50" w:rsidP="00616AE7">
      <w:pPr>
        <w:pStyle w:val="Heading2"/>
        <w:numPr>
          <w:ilvl w:val="1"/>
          <w:numId w:val="9"/>
        </w:numPr>
        <w:jc w:val="left"/>
      </w:pPr>
      <w:bookmarkStart w:id="299" w:name="_Toc18539944"/>
      <w:r>
        <w:t>Pro-Consumer Gaps Persist</w:t>
      </w:r>
      <w:r w:rsidR="00616AE7">
        <w:t>, but only in a Minority of Stores</w:t>
      </w:r>
      <w:bookmarkEnd w:id="299"/>
    </w:p>
    <w:p w14:paraId="230B536B" w14:textId="77777777" w:rsidR="006D4E50" w:rsidRPr="006D4E50" w:rsidRDefault="006D4E50" w:rsidP="006D4E50"/>
    <w:p w14:paraId="65536311" w14:textId="3A35698B" w:rsidR="00ED0A83" w:rsidRDefault="00ED0A83" w:rsidP="006D4E50">
      <w:r>
        <w:lastRenderedPageBreak/>
        <w:t xml:space="preserve">The results show that pro-consumer gaps persist across various types of retail stores, including chain and local, large and small, luxury and casual. While gaps are more prevalent in some contexts and stores than in others, a significant </w:t>
      </w:r>
      <w:r w:rsidR="006D4E50">
        <w:t>minority</w:t>
      </w:r>
      <w:r>
        <w:t xml:space="preserve"> of retailers behaves more leniently towards consumers than </w:t>
      </w:r>
      <w:r w:rsidR="006D4E50">
        <w:t>their formal policies require. T</w:t>
      </w:r>
      <w:r>
        <w:t xml:space="preserve">hese results lend support to the theory that sellers </w:t>
      </w:r>
      <w:r w:rsidR="006D4E50">
        <w:t>may</w:t>
      </w:r>
      <w:r>
        <w:t xml:space="preserve"> intentionally use ostensibly </w:t>
      </w:r>
      <w:r w:rsidR="008F79AB">
        <w:t>rigid, unconditional</w:t>
      </w:r>
      <w:r>
        <w:t xml:space="preserve"> terms in their standardized agreements, </w:t>
      </w:r>
      <w:r w:rsidR="00A62F93">
        <w:t>but selectively enforce</w:t>
      </w:r>
      <w:r>
        <w:t xml:space="preserve"> these terms in order to distinguish between different types of consumers. As a result, clear, bright-line terms may operate as standards in practice, </w:t>
      </w:r>
      <w:r w:rsidR="00A62F93">
        <w:t xml:space="preserve">while </w:t>
      </w:r>
      <w:r>
        <w:t xml:space="preserve">store clerks exercise discretion on the ground. </w:t>
      </w:r>
    </w:p>
    <w:p w14:paraId="4B0C8267" w14:textId="77777777" w:rsidR="00ED0A83" w:rsidRDefault="00ED0A83" w:rsidP="00ED0A83">
      <w:pPr>
        <w:ind w:firstLine="0"/>
      </w:pPr>
    </w:p>
    <w:p w14:paraId="39F39398" w14:textId="2E1ED31D" w:rsidR="00ED0A83" w:rsidRDefault="00ED0A83" w:rsidP="006D4E50">
      <w:r>
        <w:t xml:space="preserve">Why do some stores rather than others deviate from their formal policies in favor of consumers? The results show that several store characteristics are strongly associated with a higher likelihood of applying pro-consumer gaps. In particular, more luxurious, established, and chain stores were more likely to depart from their policies when facing one-time consumers than were less luxurious, less established, and local stores. </w:t>
      </w:r>
    </w:p>
    <w:p w14:paraId="5071F074" w14:textId="77777777" w:rsidR="00ED0A83" w:rsidRDefault="00ED0A83" w:rsidP="00ED0A83"/>
    <w:p w14:paraId="3E2281DC" w14:textId="21552823" w:rsidR="00ED0A83" w:rsidRDefault="00ED0A83" w:rsidP="00EA0A48">
      <w:r>
        <w:t xml:space="preserve">Indeed, these </w:t>
      </w:r>
      <w:r w:rsidR="00A62F93">
        <w:t xml:space="preserve">sophisticated </w:t>
      </w:r>
      <w:r>
        <w:t xml:space="preserve">stores </w:t>
      </w:r>
      <w:r w:rsidR="006D4E50">
        <w:t>are</w:t>
      </w:r>
      <w:r>
        <w:t xml:space="preserve"> </w:t>
      </w:r>
      <w:r w:rsidR="006D4E50">
        <w:t>typically</w:t>
      </w:r>
      <w:r>
        <w:t xml:space="preserve"> significantly associated with more generous return policies on paper. </w:t>
      </w:r>
      <w:r w:rsidR="00EA0A48">
        <w:t>However</w:t>
      </w:r>
      <w:r>
        <w:t xml:space="preserve">,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w:t>
      </w:r>
      <w:r w:rsidR="00F61CD2">
        <w:t xml:space="preserve">These findings also imply that “real deal” leniency and “paper deal” leniency are both </w:t>
      </w:r>
      <w:r w:rsidR="00244958">
        <w:t>correlated with product quality</w:t>
      </w:r>
      <w:r w:rsidR="00F61CD2">
        <w:t xml:space="preserve">. </w:t>
      </w:r>
    </w:p>
    <w:p w14:paraId="4CDCA818" w14:textId="77777777" w:rsidR="00ED0A83" w:rsidRDefault="00ED0A83" w:rsidP="00ED0A83">
      <w:pPr>
        <w:ind w:firstLine="0"/>
      </w:pPr>
    </w:p>
    <w:p w14:paraId="5459FAE7" w14:textId="77777777"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 </w:t>
      </w:r>
    </w:p>
    <w:p w14:paraId="358006B1" w14:textId="77777777" w:rsidR="006D4E50" w:rsidRDefault="006D4E50" w:rsidP="00ED0A83"/>
    <w:p w14:paraId="360090BB" w14:textId="622031A3" w:rsidR="00ED0A83" w:rsidRDefault="00ED0A83" w:rsidP="00EA0A48">
      <w:r>
        <w:t xml:space="preserve">Yet, </w:t>
      </w:r>
      <w:r w:rsidR="006D4E50">
        <w:t xml:space="preserve">importantly, </w:t>
      </w:r>
      <w:r>
        <w:t xml:space="preserve">most stores do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r w:rsidR="00616AE7">
        <w:t xml:space="preserve">To the extent that </w:t>
      </w:r>
      <w:r w:rsidR="00616AE7" w:rsidRPr="00616AE7">
        <w:t>gap theorists predict that all, or even a majority, of sellers will depart from the paper deal</w:t>
      </w:r>
      <w:r w:rsidR="00616AE7">
        <w:t xml:space="preserve"> </w:t>
      </w:r>
      <w:r w:rsidR="00EA0A48">
        <w:t>(at least when facing non-opportunistic consumers)</w:t>
      </w:r>
      <w:r w:rsidR="00616AE7" w:rsidRPr="00616AE7">
        <w:t>, these findings are inconsistent with such predictions.</w:t>
      </w:r>
    </w:p>
    <w:p w14:paraId="4EBD256F" w14:textId="77777777" w:rsidR="00ED0A83" w:rsidRDefault="00ED0A83" w:rsidP="00ED0A83"/>
    <w:p w14:paraId="4951E273" w14:textId="081D248B" w:rsidR="00ED0A83" w:rsidRDefault="00ED0A83" w:rsidP="00ED0A83">
      <w:r>
        <w:lastRenderedPageBreak/>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7E1C654E" w:rsidR="00ED0A83" w:rsidRDefault="00ED0A83" w:rsidP="00EA0A48">
      <w:r>
        <w:t xml:space="preserve">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w:t>
      </w:r>
      <w:r w:rsidR="00F8375E">
        <w:t xml:space="preserve">their rigid, rule-like </w:t>
      </w:r>
      <w:r>
        <w:t>terms to the letter at the risk of driving away customers unless these terms reflect an efficient risk allocation between sellers and consumers.</w:t>
      </w:r>
      <w:r w:rsidR="00EA0A48">
        <w:rPr>
          <w:rStyle w:val="FootnoteReference"/>
        </w:rPr>
        <w:footnoteReference w:id="76"/>
      </w:r>
      <w:r>
        <w:t xml:space="preserve"> </w:t>
      </w:r>
    </w:p>
    <w:p w14:paraId="600CE06C" w14:textId="77777777" w:rsidR="00ED0A83" w:rsidRDefault="00ED0A83" w:rsidP="00ED0A83">
      <w:pPr>
        <w:ind w:firstLine="0"/>
      </w:pPr>
    </w:p>
    <w:p w14:paraId="11829E55" w14:textId="40FB092C" w:rsidR="00930262" w:rsidRDefault="00ED0A83" w:rsidP="00EA0A48">
      <w:r>
        <w:t xml:space="preserve">Admittedly, sellers’ insistence on following the contract to the letter may be efficient, even if the particular contract term </w:t>
      </w:r>
      <w:r>
        <w:rPr>
          <w:i/>
          <w:iCs/>
        </w:rPr>
        <w:t>seems</w:t>
      </w:r>
      <w:r>
        <w:t xml:space="preserve"> </w:t>
      </w:r>
      <w:r w:rsidR="00EA0A48">
        <w:t xml:space="preserve">excessively rigid or </w:t>
      </w:r>
      <w:r>
        <w:t xml:space="preserve">unfavorable to the consumer. Yet, the results suggest that policymakers should be cautious of inferring that </w:t>
      </w:r>
      <w:r w:rsidR="00EA0A48">
        <w:t xml:space="preserve">seemingly one-sided terms in </w:t>
      </w:r>
      <w:r w:rsidR="00F8375E">
        <w:t>standard form contracts generally</w:t>
      </w:r>
      <w:r>
        <w:t xml:space="preserve"> do not warrant regulatory scrutiny based solely on the premise that sellers will depart from </w:t>
      </w:r>
      <w:r w:rsidR="00EA0A48">
        <w:t>these</w:t>
      </w:r>
      <w:r w:rsidR="00F8375E">
        <w:t xml:space="preserve"> </w:t>
      </w:r>
      <w:r>
        <w:t xml:space="preserve">terms in practice. </w:t>
      </w:r>
    </w:p>
    <w:p w14:paraId="4B45E60E" w14:textId="77777777" w:rsidR="00930262" w:rsidRDefault="00930262" w:rsidP="00ED0A83"/>
    <w:p w14:paraId="3E8D449F" w14:textId="26E3DE16" w:rsidR="00C12F0E" w:rsidRDefault="00382DF2" w:rsidP="00066485">
      <w:r>
        <w:t>Indeed, t</w:t>
      </w:r>
      <w:r w:rsidR="0011126B">
        <w:t xml:space="preserve">he question of whether a certain contractual </w:t>
      </w:r>
      <w:r w:rsidR="00F8375E">
        <w:t>arrangement is desirable or welfare-enhancing</w:t>
      </w:r>
      <w:r w:rsidR="0011126B">
        <w:t xml:space="preserve"> is undoubtedly </w:t>
      </w:r>
      <w:r w:rsidR="00E37C38">
        <w:t xml:space="preserve">a </w:t>
      </w:r>
      <w:r w:rsidR="0011126B">
        <w:t>difficult</w:t>
      </w:r>
      <w:r w:rsidR="00E37C38">
        <w:t xml:space="preserve"> one</w:t>
      </w:r>
      <w:r>
        <w:t xml:space="preserve">, and there may be reasons </w:t>
      </w:r>
      <w:r w:rsidR="00C12F0E">
        <w:t xml:space="preserve">other than the predictions of the Gap Theory </w:t>
      </w:r>
      <w:r>
        <w:t xml:space="preserve">to </w:t>
      </w:r>
      <w:r w:rsidR="00C12F0E">
        <w:t>refrain from intervening</w:t>
      </w:r>
      <w:r>
        <w:t xml:space="preserve"> in the contents of standardized agreements. In particular,</w:t>
      </w:r>
      <w:r w:rsidR="0011126B">
        <w:t xml:space="preserve"> in competitive markets</w:t>
      </w:r>
      <w:r w:rsidR="00E37C38">
        <w:t xml:space="preserve"> </w:t>
      </w:r>
      <w:r w:rsidR="00E37C38" w:rsidRPr="00733E1B">
        <w:rPr>
          <w:i/>
          <w:iCs/>
        </w:rPr>
        <w:t>without informational asymmetries</w:t>
      </w:r>
      <w:r w:rsidR="0011126B">
        <w:t>, firms</w:t>
      </w:r>
      <w:r w:rsidR="00C12F0E">
        <w:rPr>
          <w:szCs w:val="24"/>
        </w:rPr>
        <w:t>—</w:t>
      </w:r>
      <w:r w:rsidR="0011126B">
        <w:t>rather than policymakers or courts</w:t>
      </w:r>
      <w:r w:rsidR="00C12F0E">
        <w:rPr>
          <w:szCs w:val="24"/>
        </w:rPr>
        <w:t>—</w:t>
      </w:r>
      <w:r>
        <w:t xml:space="preserve">may be </w:t>
      </w:r>
      <w:r w:rsidR="0011126B">
        <w:t xml:space="preserve">better equipped to determine whether specific terms are socially optimal, </w:t>
      </w:r>
      <w:r w:rsidR="00CE54BE">
        <w:t>because they are better able to estimate both</w:t>
      </w:r>
      <w:r w:rsidR="0011126B">
        <w:t xml:space="preserve"> the benefits of these terms to consumers </w:t>
      </w:r>
      <w:r w:rsidR="00CE54BE">
        <w:t xml:space="preserve">and </w:t>
      </w:r>
      <w:r w:rsidR="0011126B">
        <w:t xml:space="preserve">the costs </w:t>
      </w:r>
      <w:r w:rsidR="00CE54BE">
        <w:t>of offering them</w:t>
      </w:r>
      <w:r w:rsidR="0011126B">
        <w:t xml:space="preserve">. </w:t>
      </w:r>
    </w:p>
    <w:p w14:paraId="0D1524B1" w14:textId="77777777" w:rsidR="00C12F0E" w:rsidRDefault="00C12F0E"/>
    <w:p w14:paraId="05541A65" w14:textId="75101565" w:rsidR="00C12F0E" w:rsidRDefault="0011126B" w:rsidP="00AA67E6">
      <w:pPr>
        <w:rPr>
          <w:szCs w:val="24"/>
        </w:rPr>
      </w:pPr>
      <w:r>
        <w:t>Yet</w:t>
      </w:r>
      <w:r w:rsidR="00BB47EA">
        <w:t xml:space="preserve"> in reality</w:t>
      </w:r>
      <w:r>
        <w:t xml:space="preserve">, </w:t>
      </w:r>
      <w:r w:rsidR="00AD06C7">
        <w:t>in most consumer transactions, substantial informational asymmetries</w:t>
      </w:r>
      <w:r w:rsidR="00CE54BE">
        <w:t xml:space="preserve"> </w:t>
      </w:r>
      <w:r w:rsidR="00C12F0E">
        <w:t>often</w:t>
      </w:r>
      <w:r w:rsidR="00CE54BE">
        <w:t xml:space="preserve"> persist</w:t>
      </w:r>
      <w:r w:rsidR="00AD06C7">
        <w:t>.</w:t>
      </w:r>
      <w:r w:rsidR="00C12F0E">
        <w:t xml:space="preserve"> Consumers face </w:t>
      </w:r>
      <w:r w:rsidR="00BB47EA">
        <w:t xml:space="preserve">an </w:t>
      </w:r>
      <w:r w:rsidR="00AD06C7" w:rsidRPr="00AA7A73">
        <w:rPr>
          <w:szCs w:val="24"/>
        </w:rPr>
        <w:t xml:space="preserve">incredible amount of fine print in their daily lives, </w:t>
      </w:r>
      <w:r w:rsidR="00C12F0E">
        <w:rPr>
          <w:szCs w:val="24"/>
        </w:rPr>
        <w:t xml:space="preserve">and </w:t>
      </w:r>
      <w:r w:rsidR="00AD06C7" w:rsidRPr="00AA7A73">
        <w:rPr>
          <w:szCs w:val="24"/>
        </w:rPr>
        <w:t xml:space="preserve">it is neither practical nor efficient for </w:t>
      </w:r>
      <w:r w:rsidR="00C12F0E">
        <w:rPr>
          <w:szCs w:val="24"/>
        </w:rPr>
        <w:t>them</w:t>
      </w:r>
      <w:r w:rsidR="00AD06C7" w:rsidRPr="00AA7A73">
        <w:rPr>
          <w:szCs w:val="24"/>
        </w:rPr>
        <w:t xml:space="preserve"> to read all of their contracts </w:t>
      </w:r>
      <w:r w:rsidR="00CE54BE">
        <w:rPr>
          <w:szCs w:val="24"/>
        </w:rPr>
        <w:t>thoroughly</w:t>
      </w:r>
      <w:r w:rsidR="00AD06C7" w:rsidRPr="00AA7A73">
        <w:rPr>
          <w:szCs w:val="24"/>
        </w:rPr>
        <w:t>.</w:t>
      </w:r>
      <w:r w:rsidR="00AD06C7">
        <w:rPr>
          <w:rStyle w:val="FootnoteReference"/>
          <w:szCs w:val="24"/>
        </w:rPr>
        <w:footnoteReference w:id="77"/>
      </w:r>
      <w:r w:rsidR="00AD06C7" w:rsidRPr="00AA7A73">
        <w:rPr>
          <w:szCs w:val="24"/>
        </w:rPr>
        <w:t xml:space="preserve"> </w:t>
      </w:r>
    </w:p>
    <w:p w14:paraId="4137366A" w14:textId="77777777" w:rsidR="00C12F0E" w:rsidRDefault="00C12F0E">
      <w:pPr>
        <w:rPr>
          <w:szCs w:val="24"/>
        </w:rPr>
      </w:pPr>
    </w:p>
    <w:p w14:paraId="41699EBE" w14:textId="32C0C823" w:rsidR="00AD06C7" w:rsidRPr="00733E1B" w:rsidRDefault="00AD06C7" w:rsidP="00775331">
      <w:r w:rsidRPr="00AA7A73">
        <w:rPr>
          <w:szCs w:val="24"/>
        </w:rPr>
        <w:t xml:space="preserve">Sellers often make it even harder for consumers to read </w:t>
      </w:r>
      <w:r w:rsidR="00CE54BE">
        <w:rPr>
          <w:szCs w:val="24"/>
        </w:rPr>
        <w:t xml:space="preserve">standardized </w:t>
      </w:r>
      <w:r w:rsidRPr="00AA7A73">
        <w:rPr>
          <w:szCs w:val="24"/>
        </w:rPr>
        <w:t>contracts by using long forms, small fonts, and complex legal jargon.</w:t>
      </w:r>
      <w:bookmarkStart w:id="300" w:name="_Ref504838981"/>
      <w:r w:rsidRPr="00AA7A73">
        <w:rPr>
          <w:rStyle w:val="FootnoteReference"/>
          <w:szCs w:val="24"/>
        </w:rPr>
        <w:footnoteReference w:id="78"/>
      </w:r>
      <w:bookmarkEnd w:id="300"/>
      <w:r w:rsidRPr="00AA7A73">
        <w:rPr>
          <w:szCs w:val="24"/>
        </w:rPr>
        <w:t xml:space="preserve"> All of these drafting practices </w:t>
      </w:r>
      <w:r w:rsidR="004E1112">
        <w:rPr>
          <w:szCs w:val="24"/>
        </w:rPr>
        <w:t>discourage</w:t>
      </w:r>
      <w:r w:rsidRPr="00AA7A73">
        <w:rPr>
          <w:szCs w:val="24"/>
        </w:rPr>
        <w:t xml:space="preserve"> consumers </w:t>
      </w:r>
      <w:r w:rsidR="004E1112">
        <w:rPr>
          <w:szCs w:val="24"/>
        </w:rPr>
        <w:t>from</w:t>
      </w:r>
      <w:r w:rsidR="004E1112" w:rsidRPr="00AA7A73">
        <w:rPr>
          <w:szCs w:val="24"/>
        </w:rPr>
        <w:t xml:space="preserve"> </w:t>
      </w:r>
      <w:r w:rsidRPr="00AA7A73">
        <w:rPr>
          <w:szCs w:val="24"/>
        </w:rPr>
        <w:t>attempting to read the fine print.</w:t>
      </w:r>
      <w:bookmarkStart w:id="301" w:name="_Ref429219618"/>
      <w:r w:rsidRPr="00AA7A73">
        <w:rPr>
          <w:rStyle w:val="FootnoteReference"/>
          <w:szCs w:val="24"/>
        </w:rPr>
        <w:footnoteReference w:id="79"/>
      </w:r>
      <w:bookmarkEnd w:id="301"/>
      <w:r w:rsidRPr="00AA7A73">
        <w:rPr>
          <w:szCs w:val="24"/>
        </w:rPr>
        <w:t xml:space="preserve"> It is therefore not surprising that there is ample empirical evidence that consumers rarely read </w:t>
      </w:r>
      <w:r>
        <w:rPr>
          <w:szCs w:val="24"/>
        </w:rPr>
        <w:t>standard form</w:t>
      </w:r>
      <w:r w:rsidRPr="00AA7A73">
        <w:rPr>
          <w:szCs w:val="24"/>
        </w:rPr>
        <w:t xml:space="preserve"> contracts before signing </w:t>
      </w:r>
      <w:r>
        <w:rPr>
          <w:szCs w:val="24"/>
        </w:rPr>
        <w:t xml:space="preserve">or clicking through </w:t>
      </w:r>
      <w:r w:rsidRPr="00AA7A73">
        <w:rPr>
          <w:szCs w:val="24"/>
        </w:rPr>
        <w:t>them.</w:t>
      </w:r>
      <w:bookmarkStart w:id="302" w:name="_Ref429219214"/>
      <w:r w:rsidRPr="00AA7A73">
        <w:rPr>
          <w:rStyle w:val="FootnoteReference"/>
          <w:szCs w:val="24"/>
        </w:rPr>
        <w:footnoteReference w:id="80"/>
      </w:r>
      <w:bookmarkEnd w:id="302"/>
      <w:r w:rsidRPr="00AA7A73">
        <w:rPr>
          <w:szCs w:val="24"/>
        </w:rPr>
        <w:t xml:space="preserve"> </w:t>
      </w:r>
      <w:r w:rsidR="00AA67E6">
        <w:rPr>
          <w:szCs w:val="24"/>
        </w:rPr>
        <w:t xml:space="preserve">In the context of return policies, many consumers may fail to notice the terms governing their withdrawal rights. </w:t>
      </w:r>
      <w:r w:rsidR="00775331">
        <w:rPr>
          <w:szCs w:val="24"/>
        </w:rPr>
        <w:t>Sellers often hide these terms</w:t>
      </w:r>
      <w:r w:rsidR="00AA67E6">
        <w:rPr>
          <w:szCs w:val="24"/>
        </w:rPr>
        <w:t xml:space="preserve"> </w:t>
      </w:r>
      <w:r w:rsidR="00775331">
        <w:t>in the fine print on the back of the receipt, on a small sign placed behind the counter, or by directing consumers to go online to read their full return policy.</w:t>
      </w:r>
    </w:p>
    <w:p w14:paraId="0BFBA8FB" w14:textId="77777777" w:rsidR="00AD06C7" w:rsidRPr="00AA7A73" w:rsidRDefault="00AD06C7" w:rsidP="00AD06C7">
      <w:pPr>
        <w:rPr>
          <w:szCs w:val="24"/>
        </w:rPr>
      </w:pPr>
    </w:p>
    <w:p w14:paraId="508E6360" w14:textId="3FF3CC0C" w:rsidR="00AD06C7" w:rsidRPr="00AA7A73" w:rsidRDefault="00AA67E6" w:rsidP="00775331">
      <w:pPr>
        <w:rPr>
          <w:szCs w:val="24"/>
        </w:rPr>
      </w:pPr>
      <w:r>
        <w:rPr>
          <w:szCs w:val="24"/>
        </w:rPr>
        <w:t>S</w:t>
      </w:r>
      <w:r w:rsidR="00AD06C7" w:rsidRPr="00AA7A73">
        <w:rPr>
          <w:szCs w:val="24"/>
        </w:rPr>
        <w:t xml:space="preserve">ellers can exploit consumers’ failure to read by </w:t>
      </w:r>
      <w:r>
        <w:rPr>
          <w:szCs w:val="24"/>
        </w:rPr>
        <w:t>introducing</w:t>
      </w:r>
      <w:r w:rsidR="00AD06C7" w:rsidRPr="00AA7A73">
        <w:rPr>
          <w:szCs w:val="24"/>
        </w:rPr>
        <w:t xml:space="preserve"> </w:t>
      </w:r>
      <w:r>
        <w:rPr>
          <w:szCs w:val="24"/>
        </w:rPr>
        <w:t xml:space="preserve">excessively </w:t>
      </w:r>
      <w:r>
        <w:rPr>
          <w:szCs w:val="24"/>
        </w:rPr>
        <w:lastRenderedPageBreak/>
        <w:t>strict</w:t>
      </w:r>
      <w:r w:rsidR="00AD06C7" w:rsidRPr="00AA7A73">
        <w:rPr>
          <w:szCs w:val="24"/>
        </w:rPr>
        <w:t xml:space="preserve"> terms in</w:t>
      </w:r>
      <w:r>
        <w:rPr>
          <w:szCs w:val="24"/>
        </w:rPr>
        <w:t>to</w:t>
      </w:r>
      <w:r w:rsidR="00AD06C7" w:rsidRPr="00AA7A73">
        <w:rPr>
          <w:szCs w:val="24"/>
        </w:rPr>
        <w:t xml:space="preserve"> the fine print.</w:t>
      </w:r>
      <w:r w:rsidR="00AD06C7" w:rsidRPr="00AA7A73">
        <w:rPr>
          <w:rStyle w:val="FootnoteReference"/>
          <w:szCs w:val="24"/>
        </w:rPr>
        <w:footnoteReference w:id="81"/>
      </w:r>
      <w:r w:rsidR="00AD06C7" w:rsidRPr="00AA7A73">
        <w:rPr>
          <w:szCs w:val="24"/>
        </w:rPr>
        <w:t xml:space="preserve"> </w:t>
      </w:r>
      <w:r w:rsidR="004D551F">
        <w:rPr>
          <w:szCs w:val="24"/>
        </w:rPr>
        <w:t xml:space="preserve">Since these terms are practically invisible for most consumers, sellers may be encouraged to include shrouded, non-salient terms </w:t>
      </w:r>
      <w:r w:rsidR="00C12F0E">
        <w:rPr>
          <w:szCs w:val="24"/>
        </w:rPr>
        <w:t xml:space="preserve">that increase their profits, </w:t>
      </w:r>
      <w:r w:rsidR="004D551F">
        <w:rPr>
          <w:szCs w:val="24"/>
        </w:rPr>
        <w:t xml:space="preserve">even if </w:t>
      </w:r>
      <w:r w:rsidR="00C12F0E">
        <w:rPr>
          <w:szCs w:val="24"/>
        </w:rPr>
        <w:t>these terms</w:t>
      </w:r>
      <w:r w:rsidR="004D551F">
        <w:rPr>
          <w:szCs w:val="24"/>
        </w:rPr>
        <w:t xml:space="preserve"> decrease the aggregate surplus from the transaction.</w:t>
      </w:r>
      <w:r w:rsidR="004D551F">
        <w:rPr>
          <w:rStyle w:val="FootnoteReference"/>
          <w:szCs w:val="24"/>
        </w:rPr>
        <w:footnoteReference w:id="82"/>
      </w:r>
    </w:p>
    <w:p w14:paraId="58293CEB" w14:textId="77777777" w:rsidR="00AD06C7" w:rsidRDefault="00AD06C7" w:rsidP="004E2257"/>
    <w:p w14:paraId="4CEAB03C" w14:textId="34576A8B" w:rsidR="00AD06C7" w:rsidRDefault="0026352D" w:rsidP="00775331">
      <w:pPr>
        <w:rPr>
          <w:szCs w:val="24"/>
        </w:rPr>
      </w:pPr>
      <w:r>
        <w:t xml:space="preserve">Moreover, </w:t>
      </w:r>
      <w:r>
        <w:rPr>
          <w:szCs w:val="24"/>
        </w:rPr>
        <w:t>e</w:t>
      </w:r>
      <w:r w:rsidR="00AD06C7" w:rsidRPr="00AA7A73">
        <w:rPr>
          <w:szCs w:val="24"/>
        </w:rPr>
        <w:t>ven if certain terms are clearly disclosed so that consumers are made aware of them, sellers regularly design contract terms in ways that take advantage of consumers’ cognitive biases and systematic misperceptions.</w:t>
      </w:r>
      <w:r w:rsidR="00AD06C7" w:rsidRPr="00AA7A73">
        <w:rPr>
          <w:rStyle w:val="FootnoteReference"/>
          <w:szCs w:val="24"/>
        </w:rPr>
        <w:footnoteReference w:id="83"/>
      </w:r>
      <w:r w:rsidR="00AD06C7" w:rsidRPr="00AA7A73">
        <w:rPr>
          <w:szCs w:val="24"/>
        </w:rPr>
        <w: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t>
      </w:r>
      <w:r w:rsidR="00AD06C7" w:rsidRPr="00AA7A73">
        <w:rPr>
          <w:rStyle w:val="FootnoteReference"/>
          <w:szCs w:val="24"/>
        </w:rPr>
        <w:footnoteReference w:id="84"/>
      </w:r>
      <w:r w:rsidR="00775331" w:rsidRPr="00AA7A73">
        <w:rPr>
          <w:szCs w:val="24"/>
        </w:rPr>
        <w:t xml:space="preserve"> </w:t>
      </w:r>
      <w:r w:rsidR="00AD06C7" w:rsidRPr="00AA7A73">
        <w:rPr>
          <w:szCs w:val="24"/>
        </w:rPr>
        <w:t>In these cases, consumers might enter into inefficient transactions</w:t>
      </w:r>
      <w:r w:rsidR="00A90EBE">
        <w:rPr>
          <w:szCs w:val="24"/>
        </w:rPr>
        <w:t xml:space="preserve"> by </w:t>
      </w:r>
      <w:r w:rsidR="00AD06C7" w:rsidRPr="00AA7A73">
        <w:rPr>
          <w:szCs w:val="24"/>
        </w:rPr>
        <w:t>underestimat</w:t>
      </w:r>
      <w:r w:rsidR="00A90EBE">
        <w:rPr>
          <w:szCs w:val="24"/>
        </w:rPr>
        <w:t>ing</w:t>
      </w:r>
      <w:r w:rsidR="00AD06C7" w:rsidRPr="00AA7A73">
        <w:rPr>
          <w:szCs w:val="24"/>
        </w:rPr>
        <w:t xml:space="preserve"> the costs associated with these transactions or overestimat</w:t>
      </w:r>
      <w:r w:rsidR="00A90EBE">
        <w:rPr>
          <w:szCs w:val="24"/>
        </w:rPr>
        <w:t>ing</w:t>
      </w:r>
      <w:r w:rsidR="00AD06C7" w:rsidRPr="00AA7A73">
        <w:rPr>
          <w:szCs w:val="24"/>
        </w:rPr>
        <w:t xml:space="preserve"> their benefits.</w:t>
      </w:r>
      <w:r w:rsidR="00AD06C7" w:rsidRPr="00AA7A73">
        <w:rPr>
          <w:rStyle w:val="FootnoteReference"/>
          <w:szCs w:val="24"/>
        </w:rPr>
        <w:footnoteReference w:id="85"/>
      </w:r>
      <w:r w:rsidR="00AD06C7" w:rsidRPr="00AA7A73">
        <w:rPr>
          <w:szCs w:val="24"/>
        </w:rPr>
        <w:t xml:space="preserve"> </w:t>
      </w:r>
    </w:p>
    <w:p w14:paraId="6277DC77" w14:textId="77777777" w:rsidR="00AD06C7" w:rsidRDefault="00AD06C7" w:rsidP="00AD06C7">
      <w:pPr>
        <w:rPr>
          <w:szCs w:val="24"/>
        </w:rPr>
      </w:pPr>
    </w:p>
    <w:p w14:paraId="2B51A5F0" w14:textId="195A73DE" w:rsidR="00AD06C7" w:rsidRPr="00AA7A73" w:rsidRDefault="00AD06C7" w:rsidP="004D551F">
      <w:pPr>
        <w:rPr>
          <w:szCs w:val="24"/>
        </w:rPr>
      </w:pPr>
      <w:r w:rsidRPr="00AA7A73">
        <w:rPr>
          <w:szCs w:val="24"/>
        </w:rPr>
        <w:t xml:space="preserve">These problems are not solved even in situations of perfect competition, as competition only drives sellers to </w:t>
      </w:r>
      <w:r w:rsidR="00322E15">
        <w:rPr>
          <w:szCs w:val="24"/>
        </w:rPr>
        <w:t>compete over</w:t>
      </w:r>
      <w:r w:rsidRPr="00AA7A73">
        <w:rPr>
          <w:szCs w:val="24"/>
        </w:rPr>
        <w:t xml:space="preserve"> the </w:t>
      </w:r>
      <w:r w:rsidRPr="00733E1B">
        <w:rPr>
          <w:i/>
          <w:iCs/>
          <w:szCs w:val="24"/>
        </w:rPr>
        <w:t>perceived</w:t>
      </w:r>
      <w:r w:rsidR="00322E15">
        <w:rPr>
          <w:szCs w:val="24"/>
        </w:rPr>
        <w:t xml:space="preserve"> rather than the </w:t>
      </w:r>
      <w:r w:rsidR="00322E15" w:rsidRPr="00733E1B">
        <w:rPr>
          <w:i/>
          <w:iCs/>
          <w:szCs w:val="24"/>
        </w:rPr>
        <w:t>actual</w:t>
      </w:r>
      <w:r w:rsidRPr="00AA7A73">
        <w:rPr>
          <w:szCs w:val="24"/>
        </w:rPr>
        <w:t xml:space="preserve"> benefit</w:t>
      </w:r>
      <w:r w:rsidR="00322E15">
        <w:rPr>
          <w:szCs w:val="24"/>
        </w:rPr>
        <w:t xml:space="preserve"> to consumers</w:t>
      </w:r>
      <w:r w:rsidRPr="00AA7A73">
        <w:rPr>
          <w:szCs w:val="24"/>
        </w:rPr>
        <w:t>.</w:t>
      </w:r>
      <w:r w:rsidRPr="00AA7A73">
        <w:rPr>
          <w:rStyle w:val="FootnoteReference"/>
          <w:szCs w:val="24"/>
        </w:rPr>
        <w:footnoteReference w:id="86"/>
      </w:r>
      <w:r w:rsidRPr="00AA7A73">
        <w:rPr>
          <w:szCs w:val="24"/>
        </w:rPr>
        <w:t xml:space="preserve"> As Oren Bar-Gill explains:</w:t>
      </w:r>
    </w:p>
    <w:p w14:paraId="13DBFA2B" w14:textId="39F8D311" w:rsidR="00E37C38" w:rsidRDefault="00E37C38" w:rsidP="00733E1B">
      <w:pPr>
        <w:ind w:firstLine="0"/>
      </w:pPr>
    </w:p>
    <w:p w14:paraId="4174D3A8" w14:textId="40620FCB" w:rsidR="00E37C38" w:rsidRPr="00E37C38" w:rsidRDefault="00E37C38" w:rsidP="00733E1B">
      <w:pPr>
        <w:ind w:left="360" w:firstLine="0"/>
      </w:pPr>
      <w:r>
        <w:lastRenderedPageBreak/>
        <w:t xml:space="preserve">“We consumers are imperfectly rational, our decisions and choices influenced by bias and misperception. Moreover, the mistakes we make are systematic and predictable. Sellers respond to those mistakes. They design products, contracts, and pricing schemes to maximize not the </w:t>
      </w:r>
      <w:r w:rsidRPr="00733E1B">
        <w:t>true</w:t>
      </w:r>
      <w:r>
        <w:t xml:space="preserve"> (net) benefit from their product, but the (net) benefit </w:t>
      </w:r>
      <w:r w:rsidRPr="00733E1B">
        <w:t>as perceived by the imperfectly rational consumer</w:t>
      </w:r>
      <w:r>
        <w:t>. Consumers are lured, by contract design, to purchase products and services that appear more attractive than they really are.”</w:t>
      </w:r>
      <w:r w:rsidRPr="0018663E">
        <w:rPr>
          <w:vertAlign w:val="superscript"/>
        </w:rPr>
        <w:footnoteReference w:id="87"/>
      </w:r>
    </w:p>
    <w:p w14:paraId="4CA718F2" w14:textId="77777777" w:rsidR="00E37C38" w:rsidRDefault="00E37C38" w:rsidP="00733E1B">
      <w:pPr>
        <w:ind w:firstLine="0"/>
      </w:pPr>
    </w:p>
    <w:p w14:paraId="189F350F" w14:textId="77777777" w:rsidR="00775331" w:rsidRDefault="00322E15" w:rsidP="00EA0A48">
      <w:r>
        <w:t>If</w:t>
      </w:r>
      <w:r w:rsidR="0011126B">
        <w:t xml:space="preserve"> consumers underestimate the value of the benefits they will be able to extract from </w:t>
      </w:r>
      <w:r>
        <w:t xml:space="preserve">high-quality contract </w:t>
      </w:r>
      <w:r w:rsidR="0011126B">
        <w:t>terms (either because they suffer from cognitive biases</w:t>
      </w:r>
      <w:r w:rsidR="009866B7">
        <w:t xml:space="preserve"> </w:t>
      </w:r>
      <w:r w:rsidR="0011126B">
        <w:t xml:space="preserve">or because they simply do not read or pay attention to the contract </w:t>
      </w:r>
      <w:r w:rsidR="0011126B" w:rsidRPr="000237B6">
        <w:rPr>
          <w:i/>
          <w:iCs/>
        </w:rPr>
        <w:t>ex ante</w:t>
      </w:r>
      <w:r w:rsidR="0011126B">
        <w:t>)</w:t>
      </w:r>
      <w:r>
        <w:t>,</w:t>
      </w:r>
      <w:r w:rsidR="0011126B">
        <w:t xml:space="preserve"> </w:t>
      </w:r>
      <w:r>
        <w:t>s</w:t>
      </w:r>
      <w:r w:rsidR="0011126B">
        <w:t xml:space="preserve">ellers will be motivated to decrease prices while saving costs through inefficient (albeit non-salient) contractual </w:t>
      </w:r>
      <w:r>
        <w:t>arrangements</w:t>
      </w:r>
      <w:r w:rsidR="0011126B">
        <w:t>.</w:t>
      </w:r>
      <w:r w:rsidR="000237B6">
        <w:rPr>
          <w:rStyle w:val="FootnoteReference"/>
        </w:rPr>
        <w:footnoteReference w:id="88"/>
      </w:r>
      <w:r w:rsidR="0011126B">
        <w:t xml:space="preserve"> In such cases, regulatory intervention may be needed—at least to assess whether the terms are </w:t>
      </w:r>
      <w:r>
        <w:t>socially desirable</w:t>
      </w:r>
      <w:r w:rsidR="0011126B">
        <w:t>.</w:t>
      </w:r>
      <w:r w:rsidR="004D551F">
        <w:rPr>
          <w:rStyle w:val="FootnoteReference"/>
        </w:rPr>
        <w:footnoteReference w:id="89"/>
      </w:r>
      <w:r w:rsidR="00C12F0E">
        <w:t xml:space="preserve"> </w:t>
      </w:r>
    </w:p>
    <w:p w14:paraId="12FF0D83" w14:textId="77777777" w:rsidR="00775331" w:rsidRDefault="00775331" w:rsidP="00EA0A48"/>
    <w:p w14:paraId="6F4DB7E6" w14:textId="77777777" w:rsidR="00082C37" w:rsidRDefault="00C12F0E" w:rsidP="00775331">
      <w:r>
        <w:t xml:space="preserve">Admittedly, </w:t>
      </w:r>
      <w:r w:rsidR="00EA0A48">
        <w:t>certain</w:t>
      </w:r>
      <w:r>
        <w:t xml:space="preserve"> terms in retail sellers’ return policies </w:t>
      </w:r>
      <w:r w:rsidR="00EA0A48">
        <w:t>may be relatively salient to consumers</w:t>
      </w:r>
      <w:r>
        <w:t xml:space="preserve">. Yet, </w:t>
      </w:r>
      <w:r w:rsidR="00EA0A48">
        <w:t>others</w:t>
      </w:r>
      <w:r>
        <w:t xml:space="preserve">—such as the receipt requirement—might be less salient to consumers at the </w:t>
      </w:r>
      <w:r>
        <w:rPr>
          <w:i/>
          <w:iCs/>
        </w:rPr>
        <w:t xml:space="preserve">ex ante </w:t>
      </w:r>
      <w:r>
        <w:t xml:space="preserve">stage, </w:t>
      </w:r>
      <w:r w:rsidR="009866B7">
        <w:t xml:space="preserve">either </w:t>
      </w:r>
      <w:r>
        <w:t xml:space="preserve">because they may not notice it, over-optimistically assume that they will not lose it, or underestimate the chances that they will </w:t>
      </w:r>
      <w:r w:rsidR="00CB40CE">
        <w:t>return the purchased goods</w:t>
      </w:r>
      <w:r>
        <w:t xml:space="preserve">. </w:t>
      </w:r>
    </w:p>
    <w:p w14:paraId="5379D680" w14:textId="77777777" w:rsidR="00082C37" w:rsidRDefault="00082C37" w:rsidP="00775331"/>
    <w:p w14:paraId="0C01635D" w14:textId="2D3F2D42" w:rsidR="0011126B" w:rsidRPr="00066485" w:rsidRDefault="00CB40CE" w:rsidP="000F5E88">
      <w:r>
        <w:t xml:space="preserve">Either way, </w:t>
      </w:r>
      <w:r w:rsidR="00082C37">
        <w:t xml:space="preserve">when taken together with the finding that sellers </w:t>
      </w:r>
      <w:r w:rsidR="000F5E88">
        <w:t xml:space="preserve">rarely </w:t>
      </w:r>
      <w:r w:rsidR="00082C37">
        <w:t>depart from these seemingly stringent requirements, these insights cast serious doubt on the view</w:t>
      </w:r>
      <w:r>
        <w:t xml:space="preserve"> that “regulation (or much of it) should be abandoned altogether, leaving the scene to market forces of reputation and competition.”</w:t>
      </w:r>
      <w:r>
        <w:rPr>
          <w:rStyle w:val="FootnoteReference"/>
        </w:rPr>
        <w:footnoteReference w:id="90"/>
      </w:r>
    </w:p>
    <w:p w14:paraId="53CBFD44" w14:textId="77777777" w:rsidR="00ED0A83" w:rsidRDefault="00ED0A83" w:rsidP="00ED0A83"/>
    <w:p w14:paraId="53BFFB42" w14:textId="77777777" w:rsidR="00ED0A83" w:rsidRDefault="00ED0A83" w:rsidP="00ED0A83">
      <w:pPr>
        <w:pStyle w:val="Heading2"/>
        <w:numPr>
          <w:ilvl w:val="1"/>
          <w:numId w:val="9"/>
        </w:numPr>
        <w:jc w:val="left"/>
      </w:pPr>
      <w:bookmarkStart w:id="303" w:name="_Toc17757434"/>
      <w:bookmarkStart w:id="304" w:name="_Toc18539945"/>
      <w:r>
        <w:t>Gaps Might Generate Distortions</w:t>
      </w:r>
      <w:bookmarkEnd w:id="303"/>
      <w:bookmarkEnd w:id="304"/>
      <w:r>
        <w:t xml:space="preserve"> </w:t>
      </w:r>
    </w:p>
    <w:p w14:paraId="0716FFDA" w14:textId="77777777" w:rsidR="00ED0A83" w:rsidRDefault="00ED0A83" w:rsidP="00ED0A83">
      <w:pPr>
        <w:ind w:firstLine="0"/>
      </w:pPr>
    </w:p>
    <w:p w14:paraId="1861FEC0" w14:textId="01D3C709" w:rsidR="00ED0A83" w:rsidRPr="000F5E88" w:rsidRDefault="000F5E88" w:rsidP="000F5E88">
      <w:r>
        <w:t>Even when gaps persist, they</w:t>
      </w:r>
      <w:r w:rsidR="00ED0A83">
        <w:t xml:space="preserve"> might </w:t>
      </w:r>
      <w:r>
        <w:t xml:space="preserve">generate distortions—both </w:t>
      </w:r>
      <w:r>
        <w:rPr>
          <w:i/>
          <w:iCs/>
        </w:rPr>
        <w:t xml:space="preserve">ex ante </w:t>
      </w:r>
      <w:r>
        <w:t xml:space="preserve">and </w:t>
      </w:r>
      <w:r>
        <w:rPr>
          <w:i/>
          <w:iCs/>
        </w:rPr>
        <w:t>ex post</w:t>
      </w:r>
      <w:r>
        <w:t xml:space="preserve">. </w:t>
      </w:r>
    </w:p>
    <w:p w14:paraId="0276DA34" w14:textId="77777777" w:rsidR="00ED0A83" w:rsidRDefault="00ED0A83" w:rsidP="00ED0A83"/>
    <w:p w14:paraId="249DB730" w14:textId="77777777" w:rsidR="00ED0A83" w:rsidRDefault="00ED0A83" w:rsidP="00ED0A83">
      <w:pPr>
        <w:pStyle w:val="Heading3"/>
        <w:numPr>
          <w:ilvl w:val="2"/>
          <w:numId w:val="9"/>
        </w:numPr>
      </w:pPr>
      <w:bookmarkStart w:id="305" w:name="_Toc17757435"/>
      <w:bookmarkStart w:id="306" w:name="_Toc18539946"/>
      <w:r>
        <w:rPr>
          <w:i/>
          <w:iCs/>
        </w:rPr>
        <w:lastRenderedPageBreak/>
        <w:t>Ex Ante</w:t>
      </w:r>
      <w:r>
        <w:t xml:space="preserve"> Distortions of Consumers’ Decisions</w:t>
      </w:r>
      <w:bookmarkEnd w:id="305"/>
      <w:bookmarkEnd w:id="306"/>
    </w:p>
    <w:p w14:paraId="51896C0E" w14:textId="77777777" w:rsidR="00ED0A83" w:rsidRDefault="00ED0A83" w:rsidP="00ED0A83"/>
    <w:p w14:paraId="200327BC" w14:textId="79FBD471" w:rsidR="00ED0A83" w:rsidRDefault="00ED0A83" w:rsidP="00082C37">
      <w:r>
        <w:t xml:space="preserve">At the </w:t>
      </w:r>
      <w:r>
        <w:rPr>
          <w:i/>
          <w:iCs/>
        </w:rPr>
        <w:t xml:space="preserve">ex ante, </w:t>
      </w:r>
      <w:r>
        <w:t>pre-purchase stage,</w:t>
      </w:r>
      <w:r>
        <w:rPr>
          <w:i/>
          <w:iCs/>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consumers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5063F438" w:rsidR="00ED0A83" w:rsidRDefault="00ED0A83" w:rsidP="00ED0A83">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56054E">
        <w:t xml:space="preserve">non-opportunistic consumers are </w:t>
      </w:r>
      <w:r>
        <w:t xml:space="preserve">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91"/>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77777777" w:rsidR="00ED0A83" w:rsidRDefault="00ED0A83" w:rsidP="00ED0A83">
      <w:pPr>
        <w:pStyle w:val="Heading3"/>
        <w:numPr>
          <w:ilvl w:val="2"/>
          <w:numId w:val="9"/>
        </w:numPr>
      </w:pPr>
      <w:r>
        <w:t xml:space="preserve">  </w:t>
      </w:r>
      <w:bookmarkStart w:id="307" w:name="_Toc17757436"/>
      <w:bookmarkStart w:id="308" w:name="_Toc18539947"/>
      <w:r>
        <w:rPr>
          <w:i/>
          <w:iCs/>
        </w:rPr>
        <w:t xml:space="preserve">Ex Post </w:t>
      </w:r>
      <w:r>
        <w:t>Distortions of Consumers’ Decisions</w:t>
      </w:r>
      <w:bookmarkEnd w:id="307"/>
      <w:bookmarkEnd w:id="308"/>
    </w:p>
    <w:p w14:paraId="237E632A" w14:textId="77777777" w:rsidR="00ED0A83" w:rsidRDefault="00ED0A83" w:rsidP="00ED0A83"/>
    <w:p w14:paraId="42AF0000" w14:textId="1936C8E6" w:rsidR="00ED0A83" w:rsidRDefault="00ED0A83" w:rsidP="00ED0A83">
      <w:r>
        <w:t xml:space="preserve">The observed gaps may also lead to several inefficiencies at the post-contract stage. First, some consumers might be discouraged from even trying to obtain concessions from the seller that either vary from or directly contravene its formal policy. In the specific context of returns, consumers </w:t>
      </w:r>
      <w:r>
        <w:lastRenderedPageBreak/>
        <w:t xml:space="preserve">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terrorem </w:t>
      </w:r>
      <w:r>
        <w:t>effect on consumers.</w:t>
      </w:r>
      <w:r w:rsidR="00A014D9">
        <w:rPr>
          <w:rStyle w:val="FootnoteReference"/>
        </w:rPr>
        <w:footnoteReference w:id="92"/>
      </w:r>
      <w:r>
        <w:t xml:space="preserve"> </w:t>
      </w:r>
    </w:p>
    <w:p w14:paraId="4E9FCD40" w14:textId="77777777" w:rsidR="00ED0A83" w:rsidRDefault="00ED0A83" w:rsidP="00ED0A83">
      <w:pPr>
        <w:tabs>
          <w:tab w:val="left" w:pos="3113"/>
        </w:tabs>
      </w:pPr>
      <w:r>
        <w:tab/>
      </w:r>
    </w:p>
    <w:p w14:paraId="6391F481" w14:textId="7BF42B48" w:rsidR="00ED0A83" w:rsidRDefault="00ED0A83" w:rsidP="0030385C">
      <w:r>
        <w:t xml:space="preserve">Second, even if consumers do request concessions from sellers, they may relinquish their claims once sellers refer them to the contracts that they had “agreed” to enter into. </w:t>
      </w:r>
      <w:r w:rsidR="0030385C">
        <w:t>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309" w:name="_Ref17754689"/>
      <w:r w:rsidR="00A53C6C">
        <w:rPr>
          <w:rStyle w:val="FootnoteReference"/>
        </w:rPr>
        <w:footnoteReference w:id="93"/>
      </w:r>
      <w:bookmarkEnd w:id="309"/>
    </w:p>
    <w:p w14:paraId="715DD40C" w14:textId="77777777" w:rsidR="00ED0A83" w:rsidRDefault="00ED0A83" w:rsidP="00ED0A83"/>
    <w:p w14:paraId="379CD2BC" w14:textId="7C7F6C54" w:rsidR="00ED0A83" w:rsidRDefault="00ED0A83" w:rsidP="00806398">
      <w:r>
        <w:t>This reaction can be attributed to the fact that consumers are contract formalists.</w:t>
      </w:r>
      <w:bookmarkStart w:id="310" w:name="_Ref18494462"/>
      <w:r w:rsidR="00A53C6C">
        <w:rPr>
          <w:rStyle w:val="FootnoteReference"/>
        </w:rPr>
        <w:footnoteReference w:id="94"/>
      </w:r>
      <w:bookmarkEnd w:id="310"/>
      <w:r>
        <w:t xml:space="preserve"> They tend to believe that the contract is the final word, and this preconception may be particularly strong in the context of standardized consumer agreements.</w:t>
      </w:r>
      <w:r w:rsidR="00A53C6C">
        <w:rPr>
          <w:rStyle w:val="FootnoteReference"/>
        </w:rPr>
        <w:footnoteReference w:id="95"/>
      </w:r>
      <w:r>
        <w:t xml:space="preserve"> Consumers are often demoralized by harsh and unconditional contractual language, and consequently refrain from bringing </w:t>
      </w:r>
      <w:r>
        <w:lastRenderedPageBreak/>
        <w:t>claims to the seller.</w:t>
      </w:r>
      <w:r>
        <w:rPr>
          <w:rStyle w:val="FootnoteReference"/>
        </w:rPr>
        <w:footnoteReference w:id="96"/>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7"/>
      </w:r>
      <w:r>
        <w:t xml:space="preserve"> Consumers are similarly unlikely to challenge contracts induced by fraud because they feel bound by contracts they signed.</w:t>
      </w:r>
      <w:r>
        <w:rPr>
          <w:rStyle w:val="FootnoteReference"/>
        </w:rPr>
        <w:footnoteReference w:id="98"/>
      </w:r>
      <w:r>
        <w:t xml:space="preserve"> </w:t>
      </w:r>
    </w:p>
    <w:p w14:paraId="164D523D" w14:textId="77777777" w:rsidR="00ED0A83" w:rsidRDefault="00ED0A83" w:rsidP="00ED0A83">
      <w:pPr>
        <w:ind w:firstLine="0"/>
      </w:pPr>
    </w:p>
    <w:p w14:paraId="2F589CC4" w14:textId="0ABD3985" w:rsidR="00ED0A83" w:rsidRDefault="00ED0A83" w:rsidP="00E72418">
      <w:r>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r w:rsidR="00A014D9">
        <w:rPr>
          <w:rStyle w:val="FootnoteReference"/>
        </w:rPr>
        <w:footnoteReference w:id="99"/>
      </w:r>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7777777" w:rsidR="00ED0A83" w:rsidRDefault="00ED0A83" w:rsidP="00ED0A83">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14:paraId="13D5ED62" w14:textId="77777777" w:rsidR="00ED0A83" w:rsidRDefault="00ED0A83" w:rsidP="00ED0A83"/>
    <w:p w14:paraId="11008958" w14:textId="77777777" w:rsidR="00ED0A83" w:rsidRDefault="00ED0A83" w:rsidP="00ED0A83">
      <w:pPr>
        <w:pStyle w:val="Heading3"/>
        <w:numPr>
          <w:ilvl w:val="2"/>
          <w:numId w:val="9"/>
        </w:numPr>
      </w:pPr>
      <w:bookmarkStart w:id="312" w:name="_Toc17757437"/>
      <w:bookmarkStart w:id="313" w:name="_Toc18539948"/>
      <w:r>
        <w:rPr>
          <w:i/>
          <w:iCs/>
        </w:rPr>
        <w:t xml:space="preserve">Ex Ante </w:t>
      </w:r>
      <w:r>
        <w:t>Distortions of Sellers’ Decisions</w:t>
      </w:r>
      <w:bookmarkEnd w:id="312"/>
      <w:bookmarkEnd w:id="313"/>
    </w:p>
    <w:p w14:paraId="5CA1A60C" w14:textId="77777777" w:rsidR="00ED0A83" w:rsidRDefault="00ED0A83" w:rsidP="00ED0A83"/>
    <w:p w14:paraId="406BF33A" w14:textId="24D77C40" w:rsidR="00ED0A83" w:rsidRDefault="00ED0A83" w:rsidP="0030385C">
      <w:r>
        <w:t xml:space="preserve">In addition to distorting consumers’ purchasing decisions, the ability to apply a gap might also lead sellers to adopt inefficient contractual risk allocations. </w:t>
      </w:r>
      <w:r w:rsidR="0030385C">
        <w:t>The</w:t>
      </w:r>
      <w:r>
        <w:t xml:space="preserve"> traditional assumption in the gap literature </w:t>
      </w:r>
      <w:r w:rsidR="0030385C">
        <w:t xml:space="preserve">is </w:t>
      </w:r>
      <w:r>
        <w:t xml:space="preserve">that complaint-based segmentation of consumers </w:t>
      </w:r>
      <w:r w:rsidR="0030385C">
        <w:t>may be</w:t>
      </w:r>
      <w:r>
        <w:t xml:space="preserve"> welfare enhancing. For example, Jason Scott Johnston has argued that firms’ practice of providing “benefits to consumers who complain”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0"/>
      </w:r>
      <w:r>
        <w:t xml:space="preserve"> </w:t>
      </w:r>
    </w:p>
    <w:p w14:paraId="085EBBE2" w14:textId="77777777" w:rsidR="00ED0A83" w:rsidRDefault="00ED0A83" w:rsidP="00ED0A83">
      <w:pPr>
        <w:ind w:firstLine="0"/>
      </w:pPr>
    </w:p>
    <w:p w14:paraId="355A8F57" w14:textId="65F39EDB" w:rsidR="00ED0A83" w:rsidRDefault="00A04427" w:rsidP="00532B9F">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combined costs of </w:t>
      </w:r>
      <w:r w:rsidR="00680B34">
        <w:t xml:space="preserve">accommodating buyers who complain </w:t>
      </w:r>
      <w:r w:rsidR="00ED0A83">
        <w:t xml:space="preserve">and any reputational loss from </w:t>
      </w:r>
      <w:r w:rsidR="00680B34">
        <w:t>disappoint</w:t>
      </w:r>
      <w:r w:rsidR="006B323F">
        <w:t>ed</w:t>
      </w:r>
      <w:r w:rsidR="00680B34">
        <w:t xml:space="preserve"> </w:t>
      </w:r>
      <w:r w:rsidR="00ED0A83">
        <w:t xml:space="preserve">buyers </w:t>
      </w:r>
      <w:r w:rsidR="00680B34">
        <w:t xml:space="preserve">who fail to complain are lower than </w:t>
      </w:r>
      <w:r w:rsidR="00ED0A83">
        <w:t>the cost</w:t>
      </w:r>
      <w:r w:rsidR="00680B34">
        <w:t>s</w:t>
      </w:r>
      <w:r w:rsidR="00ED0A83">
        <w:t xml:space="preserve"> of </w:t>
      </w:r>
      <w:r w:rsidR="00680B34">
        <w:t>accommodating the claims of all disappointed consumers</w:t>
      </w:r>
      <w:r w:rsidR="0018663E">
        <w:t xml:space="preserve"> (including the non-complainers)</w:t>
      </w:r>
      <w:r w:rsidR="00680B34">
        <w:t>, sellers will adopt the strict term denying the accommodation and depart only selectively in favor of those consumers who complain</w:t>
      </w:r>
      <w:r w:rsidR="00ED0A83">
        <w:t>.</w:t>
      </w:r>
      <w:r w:rsidR="00532B9F">
        <w:rPr>
          <w:rStyle w:val="FootnoteReference"/>
        </w:rPr>
        <w:footnoteReference w:id="101"/>
      </w:r>
      <w:r w:rsidR="00ED0A83">
        <w:t xml:space="preserve"> </w:t>
      </w:r>
      <w:r w:rsidR="00680B34">
        <w:t xml:space="preserve">Importantly, sellers may adopt the strict term even if a more lenient term reflects a more efficient risk allocation </w:t>
      </w:r>
      <w:r w:rsidR="00ED0A83">
        <w:t>from a social welfare perspective</w:t>
      </w:r>
      <w:r w:rsidR="00532B9F">
        <w:t xml:space="preserve"> (to the extent that these terms are not sufficiently salient to consumers </w:t>
      </w:r>
      <w:r w:rsidR="00532B9F">
        <w:rPr>
          <w:i/>
          <w:iCs/>
        </w:rPr>
        <w:t>ex ante</w:t>
      </w:r>
      <w:r w:rsidR="00532B9F">
        <w:t>, and therefore cannot be translated into higher prices)</w:t>
      </w:r>
      <w:r w:rsidR="00ED0A83">
        <w:t xml:space="preserve">. </w:t>
      </w:r>
    </w:p>
    <w:p w14:paraId="6E39C5F5" w14:textId="77777777" w:rsidR="00ED0A83" w:rsidRDefault="00ED0A83" w:rsidP="00ED0A83"/>
    <w:p w14:paraId="396C418A" w14:textId="77777777" w:rsidR="00ED0A83" w:rsidRDefault="00ED0A83" w:rsidP="00ED0A83">
      <w:pPr>
        <w:pStyle w:val="Heading3"/>
        <w:numPr>
          <w:ilvl w:val="2"/>
          <w:numId w:val="9"/>
        </w:numPr>
      </w:pPr>
      <w:bookmarkStart w:id="314" w:name="_Toc17757438"/>
      <w:bookmarkStart w:id="315" w:name="_Toc18539949"/>
      <w:r>
        <w:t>Distributional Concerns</w:t>
      </w:r>
      <w:bookmarkEnd w:id="314"/>
      <w:bookmarkEnd w:id="315"/>
    </w:p>
    <w:p w14:paraId="091B1670" w14:textId="77777777" w:rsidR="00ED0A83" w:rsidRDefault="00ED0A83" w:rsidP="00ED0A83">
      <w:pPr>
        <w:ind w:firstLine="0"/>
      </w:pPr>
    </w:p>
    <w:p w14:paraId="6F388F37" w14:textId="03A02BA1" w:rsidR="00ED0A83" w:rsidRDefault="00714C5E" w:rsidP="00877223">
      <w:r>
        <w:t>Stores</w:t>
      </w:r>
      <w:r w:rsidR="00ED0A83">
        <w:t xml:space="preserve"> </w:t>
      </w:r>
      <w:r>
        <w:t>were</w:t>
      </w:r>
      <w:r w:rsidR="00ED0A83">
        <w:t xml:space="preserve"> nearly twice as likely to depart from the paper contract once consumers complain</w:t>
      </w:r>
      <w:r>
        <w:t>ed</w:t>
      </w:r>
      <w:r w:rsidR="00ED0A83">
        <w:t xml:space="preserve">. This complaint-based segmentation of consumers effectively leads to the cross-subsidization of the complaining consumers by the more acquiescent, non-complaining consumers. </w:t>
      </w:r>
    </w:p>
    <w:p w14:paraId="67DB2A96" w14:textId="77777777" w:rsidR="00ED0A83" w:rsidRDefault="00ED0A83" w:rsidP="00ED0A83"/>
    <w:p w14:paraId="5DFDB533" w14:textId="4B22DE7E" w:rsidR="00ED0A83" w:rsidRDefault="00ED0A83">
      <w:r>
        <w:t>If consumer assertiveness is correlated with socio-economic status, this complaint-based discrimination might have troubling distributive implications.</w:t>
      </w:r>
      <w:r w:rsidR="0077113A">
        <w:rPr>
          <w:rStyle w:val="FootnoteReference"/>
        </w:rPr>
        <w:footnoteReference w:id="102"/>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rStyle w:val="FootnoteReference"/>
        </w:rPr>
        <w:footnoteReference w:id="103"/>
      </w:r>
      <w:r>
        <w:t xml:space="preserve"> </w:t>
      </w:r>
      <w:r>
        <w:lastRenderedPageBreak/>
        <w:t>Similarly, race and gender were found to influence what people expect and feel they deserve, with blacks and females feeling significantly less entitled than do whites and males.</w:t>
      </w:r>
      <w:r>
        <w:rPr>
          <w:rStyle w:val="FootnoteReference"/>
        </w:rPr>
        <w:footnoteReference w:id="104"/>
      </w:r>
      <w:r>
        <w:t xml:space="preserve"> </w:t>
      </w:r>
    </w:p>
    <w:p w14:paraId="691D5744" w14:textId="5B0DE5B0" w:rsidR="00ED0A83" w:rsidRDefault="00ED0A83" w:rsidP="005C5F3E">
      <w:pPr>
        <w:ind w:firstLine="0"/>
      </w:pPr>
    </w:p>
    <w:p w14:paraId="25A9C191" w14:textId="13BE7625" w:rsidR="00ED0A83" w:rsidRDefault="00ED0A83">
      <w:r>
        <w:t xml:space="preserve">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05"/>
      </w:r>
      <w:r>
        <w:t xml:space="preserve"> </w:t>
      </w:r>
    </w:p>
    <w:p w14:paraId="7C73A6CC" w14:textId="77777777" w:rsidR="00ED0A83" w:rsidRDefault="00ED0A83" w:rsidP="00ED0A83"/>
    <w:p w14:paraId="087391E6" w14:textId="74E6D5A8" w:rsidR="001A174F" w:rsidRDefault="00ED0A83" w:rsidP="005C5F3E">
      <w:pPr>
        <w:ind w:firstLine="720"/>
      </w:pPr>
      <w:r>
        <w:t xml:space="preserve">In the context of the gap, it is plausible therefore, that lower-income, less-educated consumers, as well as members of disadvantaged groups, will feel more discouraged and demoralized by the </w:t>
      </w:r>
      <w:r w:rsidR="005C5F3E">
        <w:t>formal policy</w:t>
      </w:r>
      <w:r>
        <w:t xml:space="preserve"> or by sellers</w:t>
      </w:r>
      <w:r>
        <w:rPr>
          <w:lang w:bidi="he-IL"/>
        </w:rPr>
        <w:t>’</w:t>
      </w:r>
      <w:r>
        <w:t xml:space="preserve"> initial refusals to grant concessions. This, in turn, might lead to a troubling conclusion that due to sellers’ selective enforcement of their </w:t>
      </w:r>
      <w:r w:rsidR="00877223">
        <w:t xml:space="preserve">formal agreements, poorer, less </w:t>
      </w:r>
      <w:r>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22B74CDB" w:rsidR="005C5F3E" w:rsidRDefault="005C5F3E" w:rsidP="005C5F3E">
      <w:pPr>
        <w:ind w:left="360" w:firstLine="0"/>
      </w:pPr>
      <w:r>
        <w:t>Our policy was to charge a $100 delivery fee, but there might be something in the conversation […] where I’d say: ‘Ok, I’ll waive it for you’ if they ask. […] Those who managed to get their fees waived were typically white baby-bloomers. […] There are plenty wealthy people of color who buy rugs, but to my memory, the people who would get their fees waived were mainly white. The black customers wouldn’t typically ask for their fees to be waived.”</w:t>
      </w:r>
      <w:r>
        <w:rPr>
          <w:rStyle w:val="FootnoteReference"/>
        </w:rPr>
        <w:footnoteReference w:id="106"/>
      </w:r>
      <w:r>
        <w:t xml:space="preserve"> </w:t>
      </w:r>
    </w:p>
    <w:p w14:paraId="24B7D485" w14:textId="125DAA68" w:rsidR="004508DB" w:rsidRDefault="004508DB" w:rsidP="00AF0ABA"/>
    <w:p w14:paraId="69D585EE" w14:textId="7CF40063" w:rsidR="004508DB" w:rsidRDefault="004508DB" w:rsidP="00D75BE3">
      <w:pPr>
        <w:spacing w:after="160" w:line="254" w:lineRule="auto"/>
        <w:rPr>
          <w:rFonts w:asciiTheme="majorBidi" w:hAnsiTheme="majorBidi" w:cstheme="majorBidi"/>
          <w:szCs w:val="24"/>
        </w:rPr>
      </w:pPr>
      <w:r w:rsidRPr="004508DB">
        <w:rPr>
          <w:rFonts w:asciiTheme="majorBidi" w:hAnsiTheme="majorBidi" w:cstheme="majorBidi"/>
          <w:szCs w:val="24"/>
        </w:rPr>
        <w:t>In addition, allowing store clerks discretion in exercising leniency toward certain consumers might produce regressive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07"/>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keeping such c</w:t>
      </w:r>
      <w:r w:rsidR="003E5269">
        <w:rPr>
          <w:rFonts w:asciiTheme="majorBidi" w:hAnsiTheme="majorBidi" w:cstheme="majorBidi"/>
          <w:szCs w:val="24"/>
        </w:rPr>
        <w:t>u</w:t>
      </w:r>
      <w:r w:rsidR="002C5D06" w:rsidRPr="004508DB">
        <w:rPr>
          <w:rFonts w:asciiTheme="majorBidi" w:hAnsiTheme="majorBidi" w:cstheme="majorBidi"/>
          <w:szCs w:val="24"/>
        </w:rPr>
        <w:t>st</w:t>
      </w:r>
      <w:r w:rsidR="003E5269">
        <w:rPr>
          <w:rFonts w:asciiTheme="majorBidi" w:hAnsiTheme="majorBidi" w:cstheme="majorBidi"/>
          <w:szCs w:val="24"/>
        </w:rPr>
        <w:t>o</w:t>
      </w:r>
      <w:r w:rsidR="002C5D06" w:rsidRPr="004508DB">
        <w:rPr>
          <w:rFonts w:asciiTheme="majorBidi" w:hAnsiTheme="majorBidi" w:cstheme="majorBidi"/>
          <w:szCs w:val="24"/>
        </w:rPr>
        <w:t>mers satisfied</w:t>
      </w:r>
      <w:r w:rsidR="00D75BE3">
        <w:rPr>
          <w:rFonts w:asciiTheme="majorBidi" w:hAnsiTheme="majorBidi" w:cstheme="majorBidi"/>
          <w:szCs w:val="24"/>
        </w:rPr>
        <w:t>)</w:t>
      </w:r>
      <w:r w:rsidRPr="004508DB">
        <w:rPr>
          <w:rFonts w:asciiTheme="majorBidi" w:hAnsiTheme="majorBidi" w:cstheme="majorBidi"/>
          <w:szCs w:val="24"/>
        </w:rPr>
        <w:t xml:space="preserve">. At least in the context of race, such discrimination </w:t>
      </w:r>
      <w:r w:rsidR="003E5269">
        <w:rPr>
          <w:rFonts w:asciiTheme="majorBidi" w:hAnsiTheme="majorBidi" w:cstheme="majorBidi"/>
          <w:szCs w:val="24"/>
        </w:rPr>
        <w:t>violates</w:t>
      </w:r>
      <w:r w:rsidRPr="004508DB">
        <w:rPr>
          <w:rFonts w:asciiTheme="majorBidi" w:hAnsiTheme="majorBidi" w:cstheme="majorBidi"/>
          <w:szCs w:val="24"/>
        </w:rPr>
        <w:t xml:space="preserve"> the Civil Rights Act of 1991, which prohibits racial discrimination in making, performing, modifying, and terminating contracts and in restricting access to “the enjoyment of all benefits, privileges, terms, and conditions of the contractual relationship.”</w:t>
      </w:r>
      <w:r w:rsidRPr="004508DB">
        <w:rPr>
          <w:rStyle w:val="FootnoteReference"/>
          <w:rFonts w:asciiTheme="majorBidi" w:hAnsiTheme="majorBidi" w:cstheme="majorBidi"/>
          <w:szCs w:val="24"/>
        </w:rPr>
        <w:footnoteReference w:id="108"/>
      </w:r>
    </w:p>
    <w:p w14:paraId="3E35329B" w14:textId="77777777" w:rsidR="00877223" w:rsidRDefault="00877223" w:rsidP="00D75BE3">
      <w:pPr>
        <w:spacing w:after="160" w:line="254" w:lineRule="auto"/>
        <w:rPr>
          <w:rFonts w:asciiTheme="majorBidi" w:hAnsiTheme="majorBidi" w:cstheme="majorBidi"/>
          <w:szCs w:val="24"/>
        </w:rPr>
      </w:pPr>
    </w:p>
    <w:p w14:paraId="19E32A25" w14:textId="4218FE26" w:rsidR="00877223" w:rsidRPr="00877223" w:rsidRDefault="00877223" w:rsidP="008743A2">
      <w:pPr>
        <w:spacing w:after="160" w:line="254" w:lineRule="auto"/>
        <w:rPr>
          <w:rFonts w:asciiTheme="majorBidi" w:hAnsiTheme="majorBidi" w:cstheme="majorBidi"/>
          <w:szCs w:val="24"/>
        </w:rPr>
      </w:pPr>
      <w:r w:rsidRPr="00BD09C8">
        <w:rPr>
          <w:rFonts w:asciiTheme="majorBidi" w:hAnsiTheme="majorBidi" w:cstheme="majorBidi"/>
          <w:szCs w:val="24"/>
          <w:highlight w:val="yellow"/>
        </w:rPr>
        <w:t>The potentially harmful effects of sellers’ departures from their contractual arrangements</w:t>
      </w:r>
      <w:ins w:id="316" w:author="Susan" w:date="2019-09-05T23:34:00Z">
        <w:r w:rsidR="008743A2">
          <w:rPr>
            <w:rFonts w:asciiTheme="majorBidi" w:hAnsiTheme="majorBidi" w:cstheme="majorBidi"/>
            <w:szCs w:val="24"/>
            <w:highlight w:val="yellow"/>
          </w:rPr>
          <w:t>,</w:t>
        </w:r>
      </w:ins>
      <w:del w:id="317" w:author="Susan" w:date="2019-09-05T23:34:00Z">
        <w:r w:rsidRPr="00BD09C8" w:rsidDel="008743A2">
          <w:rPr>
            <w:rFonts w:asciiTheme="majorBidi" w:hAnsiTheme="majorBidi" w:cstheme="majorBidi"/>
            <w:szCs w:val="24"/>
            <w:highlight w:val="yellow"/>
          </w:rPr>
          <w:delText>—</w:delText>
        </w:r>
      </w:del>
      <w:ins w:id="318" w:author="Susan" w:date="2019-09-05T23:34:00Z">
        <w:r w:rsidR="008743A2">
          <w:rPr>
            <w:rFonts w:asciiTheme="majorBidi" w:hAnsiTheme="majorBidi" w:cstheme="majorBidi"/>
            <w:szCs w:val="24"/>
            <w:highlight w:val="yellow"/>
          </w:rPr>
          <w:t xml:space="preserve"> </w:t>
        </w:r>
      </w:ins>
      <w:r w:rsidRPr="00BD09C8">
        <w:rPr>
          <w:rFonts w:asciiTheme="majorBidi" w:hAnsiTheme="majorBidi" w:cstheme="majorBidi"/>
          <w:szCs w:val="24"/>
          <w:highlight w:val="yellow"/>
        </w:rPr>
        <w:t xml:space="preserve">both to consumers as a group and to </w:t>
      </w:r>
      <w:r w:rsidR="00B55564" w:rsidRPr="00BD09C8">
        <w:rPr>
          <w:rFonts w:asciiTheme="majorBidi" w:hAnsiTheme="majorBidi" w:cstheme="majorBidi"/>
          <w:szCs w:val="24"/>
          <w:highlight w:val="yellow"/>
        </w:rPr>
        <w:t>members of disadvantage groups</w:t>
      </w:r>
      <w:ins w:id="319" w:author="Susan" w:date="2019-09-05T23:34:00Z">
        <w:r w:rsidR="008743A2">
          <w:rPr>
            <w:rFonts w:asciiTheme="majorBidi" w:hAnsiTheme="majorBidi" w:cstheme="majorBidi"/>
            <w:szCs w:val="24"/>
            <w:highlight w:val="yellow"/>
          </w:rPr>
          <w:t>,</w:t>
        </w:r>
      </w:ins>
      <w:del w:id="320" w:author="Susan" w:date="2019-09-05T23:34:00Z">
        <w:r w:rsidR="00B55564" w:rsidRPr="00BD09C8" w:rsidDel="008743A2">
          <w:rPr>
            <w:rFonts w:asciiTheme="majorBidi" w:hAnsiTheme="majorBidi" w:cstheme="majorBidi"/>
            <w:szCs w:val="24"/>
            <w:highlight w:val="yellow"/>
          </w:rPr>
          <w:delText>—</w:delText>
        </w:r>
      </w:del>
      <w:ins w:id="321" w:author="Susan" w:date="2019-09-05T23:35:00Z">
        <w:r w:rsidR="008743A2">
          <w:rPr>
            <w:rFonts w:asciiTheme="majorBidi" w:hAnsiTheme="majorBidi" w:cstheme="majorBidi"/>
            <w:szCs w:val="24"/>
            <w:highlight w:val="yellow"/>
          </w:rPr>
          <w:t xml:space="preserve"> </w:t>
        </w:r>
      </w:ins>
      <w:r w:rsidRPr="00BD09C8">
        <w:rPr>
          <w:rFonts w:asciiTheme="majorBidi" w:hAnsiTheme="majorBidi" w:cstheme="majorBidi"/>
          <w:szCs w:val="24"/>
          <w:highlight w:val="yellow"/>
        </w:rPr>
        <w:t>illustrate</w:t>
      </w:r>
      <w:r w:rsidR="00B55564" w:rsidRPr="00BD09C8">
        <w:rPr>
          <w:rFonts w:asciiTheme="majorBidi" w:hAnsiTheme="majorBidi" w:cstheme="majorBidi"/>
          <w:szCs w:val="24"/>
          <w:highlight w:val="yellow"/>
        </w:rPr>
        <w:t xml:space="preserve">, </w:t>
      </w:r>
      <w:r w:rsidRPr="00BD09C8">
        <w:rPr>
          <w:rFonts w:asciiTheme="majorBidi" w:hAnsiTheme="majorBidi" w:cstheme="majorBidi"/>
          <w:szCs w:val="24"/>
          <w:highlight w:val="yellow"/>
        </w:rPr>
        <w:t>once again</w:t>
      </w:r>
      <w:r w:rsidR="00B55564" w:rsidRPr="00BD09C8">
        <w:rPr>
          <w:rFonts w:asciiTheme="majorBidi" w:hAnsiTheme="majorBidi" w:cstheme="majorBidi"/>
          <w:szCs w:val="24"/>
          <w:highlight w:val="yellow"/>
        </w:rPr>
        <w:t xml:space="preserve">, </w:t>
      </w:r>
      <w:r w:rsidRPr="00BD09C8">
        <w:rPr>
          <w:rFonts w:asciiTheme="majorBidi" w:hAnsiTheme="majorBidi" w:cstheme="majorBidi"/>
          <w:szCs w:val="24"/>
          <w:highlight w:val="yellow"/>
        </w:rPr>
        <w:t xml:space="preserve">that if the “paper deal” is excessively harsh, regulators may need to intervene in the </w:t>
      </w:r>
      <w:ins w:id="322" w:author="Susan" w:date="2019-09-05T23:35:00Z">
        <w:r w:rsidR="008743A2">
          <w:rPr>
            <w:rFonts w:asciiTheme="majorBidi" w:hAnsiTheme="majorBidi" w:cstheme="majorBidi"/>
            <w:szCs w:val="24"/>
            <w:highlight w:val="yellow"/>
          </w:rPr>
          <w:t>terms</w:t>
        </w:r>
      </w:ins>
      <w:del w:id="323" w:author="Susan" w:date="2019-09-05T23:35:00Z">
        <w:r w:rsidRPr="00BD09C8" w:rsidDel="008743A2">
          <w:rPr>
            <w:rFonts w:asciiTheme="majorBidi" w:hAnsiTheme="majorBidi" w:cstheme="majorBidi"/>
            <w:szCs w:val="24"/>
            <w:highlight w:val="yellow"/>
          </w:rPr>
          <w:delText>contents</w:delText>
        </w:r>
      </w:del>
      <w:r w:rsidRPr="00BD09C8">
        <w:rPr>
          <w:rFonts w:asciiTheme="majorBidi" w:hAnsiTheme="majorBidi" w:cstheme="majorBidi"/>
          <w:szCs w:val="24"/>
          <w:highlight w:val="yellow"/>
        </w:rPr>
        <w:t xml:space="preserve"> of consumer transactions in order to enhance consumer welfare, even when pro-consumer gaps are relatively prevalent</w:t>
      </w:r>
      <w:r>
        <w:rPr>
          <w:rFonts w:asciiTheme="majorBidi" w:hAnsiTheme="majorBidi" w:cstheme="majorBidi"/>
          <w:szCs w:val="24"/>
        </w:rPr>
        <w:t xml:space="preserve">.  </w:t>
      </w:r>
    </w:p>
    <w:p w14:paraId="2E5F2316" w14:textId="5A5D2239" w:rsidR="004508DB" w:rsidRDefault="004508DB" w:rsidP="00412106">
      <w:pPr>
        <w:pStyle w:val="Heading1"/>
      </w:pPr>
    </w:p>
    <w:p w14:paraId="41F6B99A" w14:textId="40603060" w:rsidR="00412106" w:rsidRDefault="00412106" w:rsidP="00412106">
      <w:pPr>
        <w:pStyle w:val="Heading1"/>
      </w:pPr>
      <w:bookmarkStart w:id="324" w:name="_Toc18539950"/>
      <w:r>
        <w:t>Conclusion</w:t>
      </w:r>
      <w:bookmarkEnd w:id="324"/>
    </w:p>
    <w:p w14:paraId="452CAA9E" w14:textId="3A738979" w:rsidR="00412106" w:rsidRDefault="00412106" w:rsidP="00412106"/>
    <w:p w14:paraId="533AC7F3" w14:textId="09A83100" w:rsidR="00A564FE" w:rsidRDefault="00A564FE" w:rsidP="00A564FE">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4DDFE08B" w14:textId="7988E4E7" w:rsidR="00630B7A" w:rsidRDefault="002D6B0E" w:rsidP="00B80109">
      <w:r>
        <w:t>C</w:t>
      </w:r>
      <w:r w:rsidR="00B80109">
        <w:t xml:space="preserve">onsistent with the predictions of the Gap Theory, </w:t>
      </w:r>
      <w:r w:rsidR="00A95721">
        <w:t>at least in</w:t>
      </w:r>
      <w:r w:rsidR="00B80109">
        <w:t xml:space="preserve"> the context of product returns</w:t>
      </w:r>
      <w:r>
        <w:t>,</w:t>
      </w:r>
      <w:r w:rsidR="003D388C">
        <w:t xml:space="preserve"> </w:t>
      </w:r>
      <w:r w:rsidR="00A95721">
        <w:t xml:space="preserve">the “real deal” often departs in meaningful ways from the “paper deal.” </w:t>
      </w:r>
      <w:r w:rsidR="003E5269">
        <w:t>S</w:t>
      </w:r>
      <w:r w:rsidR="00A95721">
        <w:t>tore clerks behave more mercifully towards consumers than the</w:t>
      </w:r>
      <w:r w:rsidR="00B80109">
        <w:t>ir stores’</w:t>
      </w:r>
      <w:r w:rsidR="00A95721">
        <w:t xml:space="preserve"> formal policies require. Yet, </w:t>
      </w:r>
      <w:r w:rsidR="00C166BC">
        <w:t xml:space="preserve">the findings </w:t>
      </w:r>
      <w:r w:rsidR="00B80109">
        <w:t xml:space="preserve">at the same time </w:t>
      </w:r>
      <w:r w:rsidR="00C166BC">
        <w:t>reveal that som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p>
    <w:p w14:paraId="3A08B0EC" w14:textId="77777777" w:rsidR="00630B7A" w:rsidRDefault="00630B7A" w:rsidP="00B80109"/>
    <w:p w14:paraId="213A013B" w14:textId="65141853" w:rsidR="00E217DE" w:rsidRPr="00630B7A" w:rsidRDefault="00C166BC" w:rsidP="00630B7A">
      <w:r>
        <w:t xml:space="preserve">Given the observed divergence between the terms of the paper deal and the terms of the </w:t>
      </w:r>
      <w:r w:rsidR="001165E1">
        <w:t>“</w:t>
      </w:r>
      <w:r>
        <w:t>real deal</w:t>
      </w:r>
      <w:r w:rsidR="00630B7A">
        <w:t>,</w:t>
      </w:r>
      <w:r w:rsidR="001165E1">
        <w:t>”</w:t>
      </w:r>
      <w:r w:rsidR="00AD262C">
        <w:t xml:space="preserve"> </w:t>
      </w:r>
      <w:r>
        <w:t xml:space="preserve">it is important for policymakers and courts to </w:t>
      </w:r>
      <w:r w:rsidR="00630B7A">
        <w:t>uncover</w:t>
      </w:r>
      <w:r>
        <w:t xml:space="preserve"> the terms of the </w:t>
      </w:r>
      <w:r w:rsidR="001165E1">
        <w:t>“</w:t>
      </w:r>
      <w:r>
        <w:t>real deal</w:t>
      </w:r>
      <w:r w:rsidR="001165E1">
        <w:t>”</w:t>
      </w:r>
      <w:r w:rsidR="00630B7A">
        <w:t xml:space="preserve"> </w:t>
      </w:r>
      <w:r>
        <w:t xml:space="preserve">before concluding that regulatory intervention is unnecessary (or desirable). </w:t>
      </w:r>
      <w:r w:rsidR="00E217DE">
        <w:t>More generally, this Article suggests at least shifting scholarly and regulatory attention from looking almost exclusively at the terms of the “paper deal” to looking more critically at the terms of the “real deal.”</w:t>
      </w:r>
    </w:p>
    <w:p w14:paraId="78452683" w14:textId="47FA00CB" w:rsidR="00423922" w:rsidRDefault="0033189A" w:rsidP="00462FC3">
      <w:pPr>
        <w:widowControl/>
        <w:ind w:firstLine="0"/>
        <w:jc w:val="left"/>
      </w:pPr>
      <w:r>
        <w:br w:type="column"/>
      </w:r>
      <w:r>
        <w:tab/>
        <w:t>[Appendices --- to be added]</w:t>
      </w:r>
    </w:p>
    <w:sectPr w:rsidR="00423922" w:rsidSect="00DE478D">
      <w:headerReference w:type="even" r:id="rId13"/>
      <w:headerReference w:type="default" r:id="rId14"/>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Susan" w:date="2019-09-06T00:00:00Z" w:initials="SD">
    <w:p w14:paraId="0A65F4ED" w14:textId="2D3D52E9" w:rsidR="009F6724" w:rsidRDefault="009F6724">
      <w:pPr>
        <w:pStyle w:val="CommentText"/>
      </w:pPr>
      <w:r>
        <w:rPr>
          <w:rStyle w:val="CommentReference"/>
        </w:rPr>
        <w:annotationRef/>
      </w:r>
      <w:r>
        <w:t>Consider using just the word nuanced.</w:t>
      </w:r>
    </w:p>
  </w:comment>
  <w:comment w:id="133" w:author="Susan" w:date="2019-09-06T00:04:00Z" w:initials="SD">
    <w:p w14:paraId="34AAB2EB" w14:textId="30E0F07F" w:rsidR="009F6724" w:rsidRDefault="009F6724">
      <w:pPr>
        <w:pStyle w:val="CommentText"/>
      </w:pPr>
      <w:r>
        <w:rPr>
          <w:rStyle w:val="CommentReference"/>
        </w:rPr>
        <w:annotationRef/>
      </w:r>
      <w:r>
        <w:t>Are there any references to support this? It is a very strong point, and given that the testers were white in this test, references here would strengthen the point.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5F4ED" w15:done="0"/>
  <w15:commentEx w15:paraId="34AAB2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AB35F" w16cid:durableId="2116B3FB"/>
  <w16cid:commentId w16cid:paraId="0848B616" w16cid:durableId="2116B55E"/>
  <w16cid:commentId w16cid:paraId="74D85EA8" w16cid:durableId="21155D5B"/>
  <w16cid:commentId w16cid:paraId="4B4A7499" w16cid:durableId="2116B6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FA54" w14:textId="77777777" w:rsidR="00A345D6" w:rsidRDefault="00A345D6">
      <w:r>
        <w:separator/>
      </w:r>
    </w:p>
  </w:endnote>
  <w:endnote w:type="continuationSeparator" w:id="0">
    <w:p w14:paraId="16EB0B3E" w14:textId="77777777" w:rsidR="00A345D6" w:rsidRDefault="00A3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NexusSansWeb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2A6F" w14:textId="77777777" w:rsidR="00A345D6" w:rsidRDefault="00A345D6">
      <w:r>
        <w:separator/>
      </w:r>
    </w:p>
  </w:footnote>
  <w:footnote w:type="continuationSeparator" w:id="0">
    <w:p w14:paraId="1F943DE3" w14:textId="77777777" w:rsidR="00A345D6" w:rsidRDefault="00A345D6">
      <w:r>
        <w:continuationSeparator/>
      </w:r>
    </w:p>
  </w:footnote>
  <w:footnote w:id="1">
    <w:p w14:paraId="43EAC3B8" w14:textId="1EA25854" w:rsidR="001C663E" w:rsidRPr="00D75BE3" w:rsidRDefault="001C663E" w:rsidP="00F6370A">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Research and Teaching Fellow, University of Chicago Law School. [acknowledgments to be added].</w:t>
      </w:r>
      <w:r>
        <w:rPr>
          <w:rFonts w:asciiTheme="majorBidi" w:hAnsiTheme="majorBidi" w:cstheme="majorBidi"/>
        </w:rPr>
        <w:t xml:space="preserve"> This project benefited from the generous support of the Harvard Institute for Quantitative Social Science. </w:t>
      </w:r>
    </w:p>
  </w:footnote>
  <w:footnote w:id="2">
    <w:p w14:paraId="417677A7" w14:textId="02F4B738" w:rsidR="001C663E" w:rsidRPr="00D75BE3" w:rsidRDefault="001C663E" w:rsidP="00D4713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D75BE3">
        <w:rPr>
          <w:i/>
          <w:iCs/>
          <w:sz w:val="20"/>
        </w:rPr>
        <w:t>“</w:t>
      </w:r>
      <w:r w:rsidRPr="00D75BE3">
        <w:rPr>
          <w:sz w:val="20"/>
        </w:rPr>
        <w:t xml:space="preserve">[f]orms reduce transactions costs and benefit consumers because, in competition, reductions in the cost of doing business show up as lower prices”); Melissa T. Lonegrass, </w:t>
      </w:r>
      <w:r w:rsidRPr="00D81301">
        <w:rPr>
          <w:i/>
          <w:iCs/>
          <w:sz w:val="20"/>
        </w:rPr>
        <w:t>Finding Room for Fairness in Formalism-the Sliding Scale Approach to Unconscionability</w:t>
      </w:r>
      <w:r w:rsidRPr="00D75BE3">
        <w:rPr>
          <w:sz w:val="20"/>
        </w:rPr>
        <w:t xml:space="preserve">, 44 </w:t>
      </w:r>
      <w:r w:rsidRPr="00D75BE3">
        <w:rPr>
          <w:smallCaps/>
          <w:sz w:val="20"/>
        </w:rPr>
        <w:t>Loy. U. Chi. L.J.</w:t>
      </w:r>
      <w:r w:rsidRPr="00D75BE3">
        <w:rPr>
          <w:sz w:val="20"/>
        </w:rPr>
        <w:t xml:space="preserve"> 1, 27 (2012) (explaining how standard-form contracts reduce transaction costs, promote efficient transactions, and benefit consumers); Todd D. Rakoff,</w:t>
      </w:r>
      <w:r w:rsidRPr="00D75BE3">
        <w:rPr>
          <w:i/>
          <w:iCs/>
          <w:sz w:val="20"/>
        </w:rPr>
        <w:t xml:space="preserve"> </w:t>
      </w:r>
      <w:r w:rsidRPr="00D81301">
        <w:rPr>
          <w:i/>
          <w:sz w:val="20"/>
        </w:rPr>
        <w:t>Contracts of Adhesion: An Essay in Reconstruction</w:t>
      </w:r>
      <w:r w:rsidRPr="00D75BE3">
        <w:rPr>
          <w:sz w:val="20"/>
        </w:rPr>
        <w:t xml:space="preserve">, 96 </w:t>
      </w:r>
      <w:r w:rsidRPr="00D75BE3">
        <w:rPr>
          <w:smallCaps/>
          <w:sz w:val="20"/>
        </w:rPr>
        <w:t>Harv. L. Rev.</w:t>
      </w:r>
      <w:r w:rsidRPr="00D75BE3">
        <w:rPr>
          <w:sz w:val="20"/>
        </w:rPr>
        <w:t xml:space="preserve"> 1173, 1221 (1983) (explaining how form contracts save money and promote transactions). </w:t>
      </w:r>
    </w:p>
  </w:footnote>
  <w:footnote w:id="3">
    <w:p w14:paraId="3A0FACFA" w14:textId="52E0149A" w:rsidR="001C663E" w:rsidRPr="00D75BE3" w:rsidRDefault="001C663E" w:rsidP="003D080B">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(2013)(noting that non-negotiable boilerplate terms regularly deprive non-drafting parties of their most basic rights); Edith Warkentine, </w:t>
      </w:r>
      <w:r w:rsidRPr="00D81301">
        <w:rPr>
          <w:rFonts w:asciiTheme="majorBidi" w:hAnsiTheme="majorBidi" w:cstheme="majorBidi"/>
          <w:i/>
          <w:iCs/>
          <w:sz w:val="20"/>
        </w:rPr>
        <w:t>Beyond Unconscionability: The Case for Using “Knowing Assent” as the Basis for Analyzing Unbargained-for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sidRPr="00D75BE3">
        <w:rPr>
          <w:rFonts w:asciiTheme="majorBidi" w:hAnsiTheme="majorBidi" w:cstheme="majorBidi"/>
          <w:sz w:val="20"/>
        </w:rPr>
        <w:t xml:space="preserve">. 469, 515 (2007) (observing that drafting parties often hide one-sided terms in their boilerplates); </w:t>
      </w:r>
      <w:r w:rsidRPr="00D75BE3">
        <w:rPr>
          <w:rFonts w:asciiTheme="majorBidi" w:hAnsiTheme="majorBidi" w:cstheme="majorBidi"/>
          <w:smallCaps/>
          <w:sz w:val="20"/>
        </w:rPr>
        <w:t>Oren Bar-Gill, Seduction by Contract: Law, Economics, and Psychology in Consumer Markets</w:t>
      </w:r>
      <w:r w:rsidRPr="00D75BE3">
        <w:rPr>
          <w:rFonts w:asciiTheme="majorBidi" w:hAnsiTheme="majorBidi" w:cstheme="majorBidi"/>
          <w:sz w:val="20"/>
        </w:rPr>
        <w:t xml:space="preserve"> (2012) (showing how sellers exploit consumers’ bounded rationality and systematic cognitive biases through contract design); Russell Korobkin, </w:t>
      </w:r>
      <w:r w:rsidRPr="00D81301">
        <w:rPr>
          <w:rFonts w:asciiTheme="majorBidi" w:hAnsiTheme="majorBidi" w:cstheme="majorBidi"/>
          <w:i/>
          <w:iCs/>
          <w:sz w:val="20"/>
        </w:rPr>
        <w:t>Bounded Rationality, Standard Form Contracts, and Unconscionability</w:t>
      </w:r>
      <w:r w:rsidRPr="00D75BE3">
        <w:rPr>
          <w:rFonts w:asciiTheme="majorBidi" w:hAnsiTheme="majorBidi" w:cstheme="majorBidi"/>
          <w:sz w:val="20"/>
        </w:rPr>
        <w:t xml:space="preserve">, 70 </w:t>
      </w:r>
      <w:r w:rsidRPr="00D75BE3">
        <w:rPr>
          <w:rFonts w:asciiTheme="majorBidi" w:hAnsiTheme="majorBidi" w:cstheme="majorBidi"/>
          <w:smallCaps/>
          <w:sz w:val="20"/>
        </w:rPr>
        <w:t>U. Chi. L. Rev.</w:t>
      </w:r>
      <w:r w:rsidRPr="00D75BE3">
        <w:rPr>
          <w:rFonts w:asciiTheme="majorBidi" w:hAnsiTheme="majorBidi" w:cstheme="majorBidi"/>
          <w:sz w:val="20"/>
        </w:rPr>
        <w:t xml:space="preserve"> 1203 (2003) (arguing that drafting parties have an incentive to introduce self-serving terms in view of the non-drafting parties’ bounded rationality); 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“quality” of its terms.”); Nancy S. Kim, </w:t>
      </w:r>
      <w:r w:rsidRPr="00D75BE3">
        <w:rPr>
          <w:rFonts w:asciiTheme="majorBidi" w:hAnsiTheme="majorBidi" w:cstheme="majorBidi"/>
          <w:smallCaps/>
          <w:sz w:val="20"/>
        </w:rPr>
        <w:t>Wrap Contracts: Foundations and Ramifications</w:t>
      </w:r>
      <w:r w:rsidRPr="00D75BE3">
        <w:rPr>
          <w:rFonts w:asciiTheme="majorBidi" w:hAnsiTheme="majorBidi" w:cstheme="majorBidi"/>
          <w:sz w:val="20"/>
        </w:rPr>
        <w:t xml:space="preserve"> 29 (2013) (suggesting that sellers use one-sided clauses, such as dispute resolution provisions, to hinder buyers’ access to the judicial system); J. Maria Glover, </w:t>
      </w:r>
      <w:r w:rsidRPr="00D81301">
        <w:rPr>
          <w:rFonts w:asciiTheme="majorBidi" w:hAnsiTheme="majorBidi" w:cstheme="majorBidi"/>
          <w:i/>
          <w:iCs/>
          <w:sz w:val="20"/>
        </w:rPr>
        <w:t>Beyond Unconscionability: Class Action Waivers and Mandatory Arbitration Agreements</w:t>
      </w:r>
      <w:r w:rsidRPr="00D75BE3">
        <w:rPr>
          <w:rFonts w:asciiTheme="majorBidi" w:hAnsiTheme="majorBidi" w:cstheme="majorBidi"/>
          <w:iCs/>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59 </w:t>
      </w:r>
      <w:r w:rsidRPr="00D75BE3">
        <w:rPr>
          <w:rFonts w:asciiTheme="majorBidi" w:hAnsiTheme="majorBidi" w:cstheme="majorBidi"/>
          <w:smallCaps/>
          <w:sz w:val="20"/>
        </w:rPr>
        <w:t>Vand. L. Rev</w:t>
      </w:r>
      <w:r w:rsidRPr="00D75BE3">
        <w:rPr>
          <w:rFonts w:asciiTheme="majorBidi" w:hAnsiTheme="majorBidi" w:cstheme="majorBidi"/>
          <w:sz w:val="20"/>
        </w:rPr>
        <w:t xml:space="preserve">. 1735 (2006); Omri Ben-Shahar, </w:t>
      </w:r>
      <w:r w:rsidRPr="00D81301">
        <w:rPr>
          <w:rFonts w:asciiTheme="majorBidi" w:hAnsiTheme="majorBidi" w:cstheme="majorBidi"/>
          <w:i/>
          <w:iCs/>
          <w:sz w:val="20"/>
        </w:rPr>
        <w:t>The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rampant use of boilerplate or one-sided terms); 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“[b]ecause consumers don’t read their contracts, firms can make “hidden” terms worse without lowering prices”). </w:t>
      </w:r>
    </w:p>
  </w:footnote>
  <w:footnote w:id="4">
    <w:p w14:paraId="1D2B3EF3" w14:textId="63874DE0"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Rachlinski, </w:t>
      </w:r>
      <w:r w:rsidRPr="00462FC3">
        <w:rPr>
          <w:rFonts w:asciiTheme="majorBidi" w:hAnsiTheme="majorBidi" w:cstheme="majorBidi"/>
          <w:i/>
          <w:iCs/>
        </w:rPr>
        <w:t>Standard Form Contracting in the Electronic Age</w:t>
      </w:r>
      <w:r w:rsidRPr="00D75BE3">
        <w:rPr>
          <w:rFonts w:asciiTheme="majorBidi" w:hAnsiTheme="majorBidi" w:cstheme="majorBidi"/>
        </w:rPr>
        <w:t>, 77 N</w:t>
      </w:r>
      <w:r w:rsidRPr="00D75BE3">
        <w:rPr>
          <w:rFonts w:asciiTheme="majorBidi" w:hAnsiTheme="majorBidi" w:cstheme="majorBidi"/>
          <w:smallCaps/>
        </w:rPr>
        <w:t>.Y.U. L. Rev.</w:t>
      </w:r>
      <w:r w:rsidRPr="00D75BE3">
        <w:rPr>
          <w:rFonts w:asciiTheme="majorBidi" w:hAnsiTheme="majorBidi" w:cstheme="majorBidi"/>
        </w:rPr>
        <w:t xml:space="preserve"> 429, 441 (2002)</w:t>
      </w:r>
      <w:r>
        <w:rPr>
          <w:rFonts w:asciiTheme="majorBidi" w:hAnsiTheme="majorBidi" w:cstheme="majorBidi"/>
        </w:rPr>
        <w:t xml:space="preserve">; </w:t>
      </w:r>
      <w:r w:rsidRPr="00D75BE3">
        <w:rPr>
          <w:rFonts w:asciiTheme="majorBidi" w:hAnsiTheme="majorBidi" w:cstheme="majorBidi"/>
        </w:rPr>
        <w:t xml:space="preserve">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)(suggesting that sellers may use a “contract clause that assigns an entitlement to the seller, but that the seller may underenforce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The Return of the Bargain: An Economic Theory of how Standard Form Contracts Enable Cooperative Negotiation Between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2013</w:t>
      </w:r>
      <w:r w:rsidRPr="00D75BE3">
        <w:rPr>
          <w:rFonts w:asciiTheme="majorBidi" w:hAnsiTheme="majorBidi" w:cstheme="majorBidi"/>
        </w:rPr>
        <w:t>) (“For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 (</w:t>
      </w:r>
      <w:r w:rsidRPr="00D75BE3">
        <w:rPr>
          <w:rFonts w:asciiTheme="majorBidi" w:hAnsiTheme="majorBidi" w:cstheme="majorBidi"/>
        </w:rPr>
        <w:t xml:space="preserve">2014); Lisa Bernstein &amp; Hagay Volvovsky, </w:t>
      </w:r>
      <w:r w:rsidRPr="00462FC3">
        <w:rPr>
          <w:rFonts w:asciiTheme="majorBidi" w:hAnsiTheme="majorBidi" w:cstheme="majorBidi"/>
          <w:i/>
          <w:iCs/>
        </w:rPr>
        <w:t>Not What you Wanted to Know: The Real Deal and the Paper Deal in Consumer Contracts: Comment on the Work of Florencia Marotta-Wurgler</w:t>
      </w:r>
      <w:r w:rsidRPr="00D75BE3">
        <w:rPr>
          <w:rFonts w:asciiTheme="majorBidi" w:hAnsiTheme="majorBidi" w:cstheme="majorBidi"/>
        </w:rPr>
        <w:t xml:space="preserve">, 12 </w:t>
      </w:r>
      <w:r w:rsidRPr="00D75BE3">
        <w:rPr>
          <w:rFonts w:asciiTheme="majorBidi" w:hAnsiTheme="majorBidi" w:cstheme="majorBidi"/>
          <w:smallCaps/>
        </w:rPr>
        <w:t>Jrsl. Rev. Legal Stud</w:t>
      </w:r>
      <w:r w:rsidRPr="00D75BE3">
        <w:rPr>
          <w:rFonts w:asciiTheme="majorBidi" w:hAnsiTheme="majorBidi" w:cstheme="majorBidi"/>
        </w:rPr>
        <w:t>. 128, 129 (2015)</w:t>
      </w:r>
      <w:r>
        <w:rPr>
          <w:rFonts w:asciiTheme="majorBidi" w:hAnsiTheme="majorBidi" w:cstheme="majorBidi"/>
        </w:rPr>
        <w:t>.</w:t>
      </w:r>
      <w:r w:rsidRPr="00D75BE3">
        <w:rPr>
          <w:rFonts w:asciiTheme="majorBidi" w:hAnsiTheme="majorBidi" w:cstheme="majorBidi"/>
        </w:rPr>
        <w:t xml:space="preserve"> For a similar claim in the context of franchise agreements, see Benjamin Klein, </w:t>
      </w:r>
      <w:r w:rsidRPr="00462FC3">
        <w:rPr>
          <w:rFonts w:asciiTheme="majorBidi" w:hAnsiTheme="majorBidi" w:cstheme="majorBidi"/>
          <w:i/>
          <w:iCs/>
        </w:rPr>
        <w:t>Transaction Cost Determinants of “Unfair” Contractual Arrangements</w:t>
      </w:r>
      <w:r w:rsidRPr="00D75BE3">
        <w:rPr>
          <w:rFonts w:asciiTheme="majorBidi" w:hAnsiTheme="majorBidi" w:cstheme="majorBidi"/>
        </w:rPr>
        <w:t xml:space="preserve">, 70 </w:t>
      </w:r>
      <w:r w:rsidRPr="00D75BE3">
        <w:rPr>
          <w:rFonts w:asciiTheme="majorBidi" w:hAnsiTheme="majorBidi" w:cstheme="majorBidi"/>
          <w:smallCaps/>
        </w:rPr>
        <w:t>Am. Econ. Rev</w:t>
      </w:r>
      <w:r w:rsidRPr="00D75BE3">
        <w:rPr>
          <w:rFonts w:asciiTheme="majorBidi" w:hAnsiTheme="majorBidi" w:cstheme="majorBidi"/>
        </w:rPr>
        <w:t>. 356, 358–60 (1980)</w:t>
      </w:r>
      <w:r>
        <w:rPr>
          <w:rFonts w:asciiTheme="majorBidi" w:hAnsiTheme="majorBidi" w:cstheme="majorBidi"/>
        </w:rPr>
        <w:t xml:space="preserve"> [Klein]</w:t>
      </w:r>
      <w:r w:rsidRPr="00D75BE3">
        <w:rPr>
          <w:rFonts w:asciiTheme="majorBidi" w:hAnsiTheme="majorBidi" w:cstheme="majorBidi"/>
        </w:rPr>
        <w:t>.</w:t>
      </w:r>
    </w:p>
  </w:footnote>
  <w:footnote w:id="5">
    <w:p w14:paraId="1F1ABBE2" w14:textId="32B08DEF" w:rsidR="001C663E" w:rsidRPr="00D75BE3" w:rsidRDefault="001C663E"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Since then, several scholars have applie</w:t>
      </w:r>
      <w:r>
        <w:rPr>
          <w:rFonts w:asciiTheme="majorBidi" w:hAnsiTheme="majorBidi" w:cstheme="majorBidi"/>
        </w:rPr>
        <w:t>d</w:t>
      </w:r>
      <w:r w:rsidRPr="00D75BE3">
        <w:rPr>
          <w:rFonts w:asciiTheme="majorBidi" w:hAnsiTheme="majorBidi" w:cstheme="majorBidi"/>
        </w:rPr>
        <w:t xml:space="preserve"> this terminology in the consumer contracts setting. </w:t>
      </w:r>
      <w:r w:rsidRPr="00D75BE3">
        <w:rPr>
          <w:rFonts w:asciiTheme="majorBidi" w:hAnsiTheme="majorBidi" w:cstheme="majorBidi"/>
          <w:i/>
          <w:iCs/>
        </w:rPr>
        <w:t>See, e.g.</w:t>
      </w:r>
      <w:r w:rsidRPr="00D75BE3">
        <w:rPr>
          <w:rFonts w:asciiTheme="majorBidi" w:hAnsiTheme="majorBidi" w:cstheme="majorBidi"/>
        </w:rPr>
        <w:t xml:space="preserve">, Bernstein and Volvovsky,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129 (suggesting that “studies of consumer contracts in particular contexts should move from looking almost exclusively at the terms of the paper deal to looking at the terms of the real deal”).</w:t>
      </w:r>
      <w:r w:rsidRPr="00D75BE3">
        <w:rPr>
          <w:rFonts w:asciiTheme="majorBidi" w:hAnsiTheme="majorBidi" w:cstheme="majorBidi"/>
          <w:highlight w:val="cyan"/>
        </w:rPr>
        <w:t xml:space="preserve"> </w:t>
      </w:r>
    </w:p>
  </w:footnote>
  <w:footnote w:id="6">
    <w:p w14:paraId="7C93AE1C" w14:textId="2DD24DB8"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r w:rsidRPr="00D75BE3">
        <w:rPr>
          <w:rFonts w:asciiTheme="majorBidi" w:hAnsiTheme="majorBidi" w:cstheme="majorBidi"/>
        </w:rPr>
        <w:t xml:space="preserve">Yonathan A. Arbel,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harsh terms to the letter)</w:t>
      </w:r>
      <w:r w:rsidRPr="00D75BE3">
        <w:rPr>
          <w:rFonts w:asciiTheme="majorBidi" w:hAnsiTheme="majorBidi" w:cstheme="majorBidi"/>
        </w:rPr>
        <w:t xml:space="preserve">; Manisha Padi,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7">
    <w:p w14:paraId="2818D213" w14:textId="08016BA0" w:rsidR="001C663E" w:rsidRPr="005332AE" w:rsidRDefault="001C663E"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xml:space="preserve">, at 712;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at 834.</w:t>
      </w:r>
    </w:p>
  </w:footnote>
  <w:footnote w:id="8">
    <w:p w14:paraId="5B3FE164" w14:textId="77FC6169" w:rsidR="001C663E" w:rsidRPr="00733E1B" w:rsidRDefault="001C663E" w:rsidP="003D080B">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w:t>
      </w:r>
      <w:r w:rsidRPr="00462FC3">
        <w:rPr>
          <w:rFonts w:asciiTheme="majorBidi" w:hAnsiTheme="majorBidi" w:cstheme="majorBidi"/>
          <w:iCs/>
        </w:rPr>
        <w:t>;</w:t>
      </w:r>
      <w:r>
        <w:rPr>
          <w:rFonts w:asciiTheme="majorBidi" w:hAnsiTheme="majorBidi" w:cstheme="majorBidi"/>
          <w:i/>
          <w:iCs/>
        </w:rPr>
        <w:t xml:space="preserve"> see also </w:t>
      </w:r>
      <w:r>
        <w:rPr>
          <w:rFonts w:asciiTheme="majorBidi" w:hAnsiTheme="majorBidi" w:cstheme="majorBidi"/>
        </w:rPr>
        <w:t xml:space="preserve">Zamir &amp; Teichman, </w:t>
      </w:r>
      <w:r>
        <w:rPr>
          <w:rFonts w:asciiTheme="majorBidi" w:hAnsiTheme="majorBidi" w:cstheme="majorBidi"/>
          <w:i/>
          <w:iCs/>
        </w:rPr>
        <w:t>supra</w:t>
      </w:r>
      <w:r>
        <w:t xml:space="preserve"> note </w:t>
      </w:r>
      <w:r>
        <w:fldChar w:fldCharType="begin"/>
      </w:r>
      <w:r>
        <w:instrText xml:space="preserve"> NOTEREF _Ref428735355 \h </w:instrText>
      </w:r>
      <w:r>
        <w:fldChar w:fldCharType="separate"/>
      </w:r>
      <w:r>
        <w:t>22</w:t>
      </w:r>
      <w:r>
        <w:fldChar w:fldCharType="end"/>
      </w:r>
      <w:r>
        <w:t xml:space="preserve">, at 304 (noting the “ongoing, heated debate over the appropriate legal treatment of one-sided clauses in standard-form contracts”);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9">
    <w:p w14:paraId="3CB6A5E6" w14:textId="2EE3D4A8" w:rsidR="001C663E" w:rsidRPr="00D75BE3" w:rsidRDefault="001C663E"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Scholars who discussed the gap and its implications for public policy have acknowledged the empirical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698;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0">
    <w:p w14:paraId="496A4DEA" w14:textId="6D5D36E5" w:rsidR="001C663E" w:rsidRDefault="001C663E" w:rsidP="00F979D8">
      <w:pPr>
        <w:pStyle w:val="FootnoteText"/>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 (suggesting that “a vendor may stipulate a “no refund and no returns” policy, yet exhibit—at least in some circumstances—accommodating, lenient behavior”).</w:t>
      </w:r>
    </w:p>
  </w:footnote>
  <w:footnote w:id="11">
    <w:p w14:paraId="288C38B7" w14:textId="56FD6333" w:rsidR="001C663E" w:rsidRDefault="001C663E" w:rsidP="008A5B6F">
      <w:pPr>
        <w:pStyle w:val="FootnoteText"/>
      </w:pPr>
      <w:r>
        <w:rPr>
          <w:rStyle w:val="FootnoteReference"/>
        </w:rPr>
        <w:footnoteRef/>
      </w:r>
      <w:r>
        <w:t xml:space="preserve"> Schmuel I. Becher &amp; Esther Unger-Aviram, </w:t>
      </w:r>
      <w:r>
        <w:rPr>
          <w:i/>
          <w:iCs/>
        </w:rPr>
        <w:t xml:space="preserve">The Law of Standard Form Contracts: Misguided Intuitions and Suggestions for </w:t>
      </w:r>
      <w:r w:rsidRPr="002C440F">
        <w:rPr>
          <w:i/>
          <w:iCs/>
        </w:rPr>
        <w:t>Reconstruction</w:t>
      </w:r>
      <w:r>
        <w:t xml:space="preserve">, 3 </w:t>
      </w:r>
      <w:r w:rsidRPr="00733E1B">
        <w:rPr>
          <w:smallCaps/>
        </w:rPr>
        <w:t xml:space="preserve">DePaul Bus. &amp; </w:t>
      </w:r>
      <w:r>
        <w:rPr>
          <w:smallCaps/>
        </w:rPr>
        <w:t>Com.</w:t>
      </w:r>
      <w:r w:rsidRPr="00733E1B">
        <w:rPr>
          <w:smallCaps/>
        </w:rPr>
        <w:t xml:space="preserve"> L.J.</w:t>
      </w:r>
      <w:r>
        <w:t xml:space="preserve"> 199, 208 (2010). </w:t>
      </w:r>
    </w:p>
  </w:footnote>
  <w:footnote w:id="12">
    <w:p w14:paraId="26688260" w14:textId="0E44CA26" w:rsidR="001C663E" w:rsidRPr="002C440F" w:rsidRDefault="001C663E" w:rsidP="00F979D8">
      <w:pPr>
        <w:pStyle w:val="FootnoteText"/>
      </w:pPr>
      <w:r>
        <w:rPr>
          <w:rStyle w:val="FootnoteReference"/>
        </w:rPr>
        <w:footnoteRef/>
      </w:r>
      <w:r>
        <w:t xml:space="preserve"> 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3">
    <w:p w14:paraId="3D107365" w14:textId="3326D955" w:rsidR="001C663E" w:rsidRPr="00E43BF1" w:rsidRDefault="001C663E" w:rsidP="00F979D8">
      <w:pPr>
        <w:pStyle w:val="FootnoteText"/>
      </w:pPr>
      <w:r>
        <w:rPr>
          <w:rStyle w:val="FootnoteReference"/>
        </w:rPr>
        <w:footnoteRef/>
      </w:r>
      <w:r>
        <w:t xml:space="preserve"> This finding is consistent with the predictions of several authors. </w:t>
      </w:r>
      <w:r>
        <w:rPr>
          <w:i/>
          <w:iCs/>
        </w:rPr>
        <w:t xml:space="preserve">See, </w:t>
      </w:r>
      <w:r>
        <w:t xml:space="preserve">e.g.,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881 (suggesting that firms use customer complaints in order to determine the value of the concessions to consumers).</w:t>
      </w:r>
    </w:p>
  </w:footnote>
  <w:footnote w:id="14">
    <w:p w14:paraId="4F268AFF" w14:textId="34E4C6DE" w:rsidR="001C663E" w:rsidRPr="00D4212B" w:rsidRDefault="001C663E" w:rsidP="00F979D8">
      <w:pPr>
        <w:pStyle w:val="FootnoteText"/>
      </w:pPr>
      <w:r>
        <w:rPr>
          <w:rStyle w:val="FootnoteReference"/>
        </w:rPr>
        <w:footnoteRef/>
      </w:r>
      <w:r>
        <w:t xml:space="preserve"> </w:t>
      </w:r>
      <w:r>
        <w:rPr>
          <w:i/>
          <w:iCs/>
        </w:rPr>
        <w:t xml:space="preserve">See </w:t>
      </w:r>
      <w:r>
        <w:t xml:space="preserve">sources cited </w:t>
      </w:r>
      <w:r>
        <w:rPr>
          <w:i/>
          <w:iCs/>
        </w:rPr>
        <w:t xml:space="preserve">infra </w:t>
      </w:r>
      <w:r>
        <w:t xml:space="preserve">note </w:t>
      </w:r>
      <w:r>
        <w:fldChar w:fldCharType="begin"/>
      </w:r>
      <w:r>
        <w:instrText xml:space="preserve"> NOTEREF _Ref18494462 \h </w:instrText>
      </w:r>
      <w:r>
        <w:fldChar w:fldCharType="separate"/>
      </w:r>
      <w:r>
        <w:t>98</w:t>
      </w:r>
      <w:r>
        <w:fldChar w:fldCharType="end"/>
      </w:r>
      <w:r>
        <w:t xml:space="preserve">. </w:t>
      </w:r>
    </w:p>
  </w:footnote>
  <w:footnote w:id="15">
    <w:p w14:paraId="228B140E" w14:textId="4DEF0656" w:rsidR="001C663E" w:rsidRPr="00D75BE3" w:rsidRDefault="001C663E"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16">
    <w:p w14:paraId="1743E397" w14:textId="672FAEF4" w:rsidR="001C663E" w:rsidRPr="00D75BE3" w:rsidRDefault="001C663E"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p>
  </w:footnote>
  <w:footnote w:id="17">
    <w:p w14:paraId="030F84E7" w14:textId="5FED2FBA" w:rsidR="001C663E" w:rsidRDefault="001C663E"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 xml:space="preserve">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18">
    <w:p w14:paraId="056A5030" w14:textId="1CD47562" w:rsidR="001C663E" w:rsidRDefault="001C663E"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831. On problems of observability by courts in the context of franchise agreements, see Benjamin Klein, </w:t>
      </w:r>
      <w:r>
        <w:rPr>
          <w:rFonts w:asciiTheme="majorBidi" w:hAnsiTheme="majorBidi" w:cstheme="majorBidi"/>
          <w:i/>
          <w:iCs/>
        </w:rPr>
        <w:t>Transaction Cost Determinants of “Unfair” Contractual Arrangements</w:t>
      </w:r>
      <w:r>
        <w:rPr>
          <w:rFonts w:asciiTheme="majorBidi" w:hAnsiTheme="majorBidi" w:cstheme="majorBidi"/>
        </w:rPr>
        <w:t xml:space="preserve">, 70 </w:t>
      </w:r>
      <w:r w:rsidRPr="00462FC3">
        <w:rPr>
          <w:rFonts w:asciiTheme="majorBidi" w:hAnsiTheme="majorBidi" w:cstheme="majorBidi"/>
          <w:smallCaps/>
        </w:rPr>
        <w:t>Am. Econ. Rev.</w:t>
      </w:r>
      <w:r>
        <w:rPr>
          <w:rFonts w:asciiTheme="majorBidi" w:hAnsiTheme="majorBidi" w:cstheme="majorBidi"/>
        </w:rPr>
        <w:t xml:space="preserve"> 356 (1980). </w:t>
      </w:r>
    </w:p>
  </w:footnote>
  <w:footnote w:id="19">
    <w:p w14:paraId="5A92F2BE" w14:textId="53C4D28E" w:rsidR="001C663E" w:rsidRDefault="001C663E" w:rsidP="003D080B">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834. </w:t>
      </w:r>
    </w:p>
  </w:footnote>
  <w:footnote w:id="20">
    <w:p w14:paraId="610A977E" w14:textId="5AA11B14" w:rsidR="001C663E" w:rsidRPr="00D75BE3" w:rsidRDefault="001C663E"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831. </w:t>
      </w:r>
    </w:p>
  </w:footnote>
  <w:footnote w:id="21">
    <w:p w14:paraId="5CD4FE0F" w14:textId="46C87E6A" w:rsidR="001C663E" w:rsidRPr="00D75BE3" w:rsidRDefault="001C663E"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2">
    <w:p w14:paraId="722363B5" w14:textId="51063779"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consumers.”).</w:t>
      </w:r>
    </w:p>
  </w:footnote>
  <w:footnote w:id="23">
    <w:p w14:paraId="77E743E0" w14:textId="3BD73208"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smallCaps/>
        </w:rPr>
        <w:t>Eyal Zamir &amp; Doron Teichman, Behavioral Law &amp; Economics</w:t>
      </w:r>
      <w:r w:rsidRPr="00D75BE3">
        <w:rPr>
          <w:rFonts w:asciiTheme="majorBidi" w:hAnsiTheme="majorBidi" w:cstheme="majorBidi"/>
        </w:rPr>
        <w:t xml:space="preserve"> 311 (2018);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4">
    <w:p w14:paraId="074EF569" w14:textId="2577B795" w:rsidR="001C663E" w:rsidRPr="00D75BE3" w:rsidRDefault="001C663E"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5">
    <w:p w14:paraId="7B2964B4" w14:textId="35C41571" w:rsidR="001C663E" w:rsidRPr="00D75BE3" w:rsidRDefault="001C663E" w:rsidP="00BC5D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w:t>
      </w:r>
    </w:p>
  </w:footnote>
  <w:footnote w:id="26">
    <w:p w14:paraId="677E47BA" w14:textId="588F6727"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e.g.,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“no refund and no returns” policy, yet exhibit—at least in some circumstances—accommodating, lenient behavior”).  </w:t>
      </w:r>
    </w:p>
  </w:footnote>
  <w:footnote w:id="27">
    <w:p w14:paraId="72928E86" w14:textId="7C72D305"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So far, 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 (suggesting that “Retail-return policies. . . dramatically illustrate the reality and significance” of what he terms “two-part standard-form contracts”—the contract on paper and the contract on the ground, while relying solely on anecdotal evidence).</w:t>
      </w:r>
    </w:p>
  </w:footnote>
  <w:footnote w:id="28">
    <w:p w14:paraId="4B0CA185" w14:textId="6395E5FA"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29">
    <w:p w14:paraId="3E9D43F5" w14:textId="7B3FBAF5"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290–91; 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73 (2011).</w:t>
      </w:r>
    </w:p>
  </w:footnote>
  <w:footnote w:id="30">
    <w:p w14:paraId="3244E346" w14:textId="6DB2F47D"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https://www.cnbc.com/2016/12/16/a-260-billion-ticking-time-bomb-the-costly-business-of-retail-returns.html.</w:t>
      </w:r>
    </w:p>
  </w:footnote>
  <w:footnote w:id="31">
    <w:p w14:paraId="17CFC308" w14:textId="736FF62B"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at 290–91.</w:t>
      </w:r>
    </w:p>
  </w:footnote>
  <w:footnote w:id="32">
    <w:p w14:paraId="1879D224" w14:textId="77777777"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3">
    <w:p w14:paraId="147F6674" w14:textId="77777777"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Still others require stores to disclose their return policies, or else mandate a right to withdrawal for stores where policies prohibiting returns are not clearly displayed.</w:t>
      </w:r>
    </w:p>
  </w:footnote>
  <w:footnote w:id="34">
    <w:p w14:paraId="768A2C88" w14:textId="00AA13C2" w:rsidR="001C663E" w:rsidRPr="00D75BE3" w:rsidRDefault="001C663E" w:rsidP="003A4E7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r w:rsidRPr="00D75BE3">
        <w:rPr>
          <w:rFonts w:asciiTheme="majorBidi" w:hAnsiTheme="majorBidi" w:cstheme="majorBidi"/>
          <w:shd w:val="clear" w:color="auto" w:fill="FFFFFF"/>
        </w:rPr>
        <w:fldChar w:fldCharType="begin"/>
      </w:r>
      <w:r w:rsidRPr="00D75BE3">
        <w:rPr>
          <w:rFonts w:asciiTheme="majorBidi" w:hAnsiTheme="majorBidi" w:cstheme="majorBidi"/>
          <w:shd w:val="clear" w:color="auto" w:fill="FFFFFF"/>
        </w:rPr>
        <w:instrText xml:space="preserve"> NOTEREF _Ref428735355 \h </w:instrText>
      </w:r>
      <w:r>
        <w:rPr>
          <w:rFonts w:asciiTheme="majorBidi" w:hAnsiTheme="majorBidi" w:cstheme="majorBidi"/>
          <w:shd w:val="clear" w:color="auto" w:fill="FFFFFF"/>
        </w:rPr>
        <w:instrText xml:space="preserve"> \* MERGEFORMAT </w:instrText>
      </w:r>
      <w:r w:rsidRPr="00D75BE3">
        <w:rPr>
          <w:rFonts w:asciiTheme="majorBidi" w:hAnsiTheme="majorBidi" w:cstheme="majorBidi"/>
          <w:shd w:val="clear" w:color="auto" w:fill="FFFFFF"/>
        </w:rPr>
      </w:r>
      <w:r w:rsidRPr="00D75BE3">
        <w:rPr>
          <w:rFonts w:asciiTheme="majorBidi" w:hAnsiTheme="majorBidi" w:cstheme="majorBidi"/>
          <w:shd w:val="clear" w:color="auto" w:fill="FFFFFF"/>
        </w:rPr>
        <w:fldChar w:fldCharType="separate"/>
      </w:r>
      <w:r>
        <w:rPr>
          <w:rFonts w:asciiTheme="majorBidi" w:hAnsiTheme="majorBidi" w:cstheme="majorBidi"/>
          <w:shd w:val="clear" w:color="auto" w:fill="FFFFFF"/>
        </w:rPr>
        <w:t>22</w:t>
      </w:r>
      <w:r w:rsidRPr="00D75BE3">
        <w:rPr>
          <w:rFonts w:asciiTheme="majorBidi" w:hAnsiTheme="majorBidi" w:cstheme="majorBidi"/>
          <w:shd w:val="clear" w:color="auto" w:fill="FFFFFF"/>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Shmuel I.Becher &amp; Tal Z. Zarsky</w:t>
      </w:r>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63, 63–64, 89</w:t>
      </w:r>
      <w:del w:id="150" w:author="Susan" w:date="2019-09-06T00:28:00Z">
        <w:r w:rsidRPr="00D75BE3" w:rsidDel="003A4E70">
          <w:rPr>
            <w:rFonts w:asciiTheme="majorBidi" w:hAnsiTheme="majorBidi" w:cstheme="majorBidi"/>
            <w:shd w:val="clear" w:color="auto" w:fill="FFFFFF"/>
          </w:rPr>
          <w:delText xml:space="preserve"> </w:delText>
        </w:r>
      </w:del>
      <w:r w:rsidRPr="00D75BE3">
        <w:rPr>
          <w:rFonts w:asciiTheme="majorBidi" w:hAnsiTheme="majorBidi" w:cstheme="majorBidi"/>
          <w:shd w:val="clear" w:color="auto" w:fill="FFFFFF"/>
        </w:rPr>
        <w:t xml:space="preserve"> (2011)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D75BE3">
        <w:rPr>
          <w:rFonts w:asciiTheme="majorBidi" w:hAnsiTheme="majorBidi" w:cstheme="majorBidi"/>
          <w:i/>
          <w:iCs/>
          <w:shd w:val="clear" w:color="auto" w:fill="FFFFFF"/>
        </w:rPr>
        <w:t>e.g</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5">
    <w:p w14:paraId="2DDB46AF" w14:textId="4939E35F"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6">
    <w:p w14:paraId="503362FE" w14:textId="50B27C12"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873–74; </w:t>
      </w:r>
      <w:r w:rsidRPr="00D75BE3">
        <w:rPr>
          <w:rFonts w:asciiTheme="majorBidi" w:hAnsiTheme="majorBidi" w:cstheme="majorBidi"/>
          <w:smallCaps/>
        </w:rPr>
        <w:t xml:space="preserve">Zamir &amp; Teichman,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291;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33</w:t>
      </w:r>
      <w:r w:rsidRPr="00D75BE3">
        <w:rPr>
          <w:rFonts w:asciiTheme="majorBidi" w:hAnsiTheme="majorBidi" w:cstheme="majorBidi"/>
        </w:rPr>
        <w:t xml:space="preserve">, at 120–21; Becher &amp; Zarsky,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73. </w:t>
      </w:r>
    </w:p>
  </w:footnote>
  <w:footnote w:id="37">
    <w:p w14:paraId="5E6985AF" w14:textId="7B8983D9"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38">
    <w:p w14:paraId="113A7B7F" w14:textId="5F5B3015" w:rsidR="001C663E" w:rsidRPr="00D75BE3" w:rsidRDefault="001C663E"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39">
    <w:p w14:paraId="0BA0605A" w14:textId="532FA4FA" w:rsidR="001C663E" w:rsidRPr="00D75BE3" w:rsidRDefault="001C663E"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0">
    <w:p w14:paraId="229D0C6D" w14:textId="7983415E"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a meta-analytic review of this literature see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w:t>
      </w:r>
      <w:r w:rsidRPr="00D75BE3">
        <w:rPr>
          <w:rFonts w:asciiTheme="majorBidi" w:hAnsiTheme="majorBidi" w:cstheme="majorBidi"/>
          <w:i/>
        </w:rPr>
        <w:t>see also</w:t>
      </w:r>
      <w:r w:rsidRPr="00D75BE3">
        <w:rPr>
          <w:rFonts w:asciiTheme="majorBidi" w:hAnsiTheme="majorBidi" w:cstheme="majorBidi"/>
        </w:rPr>
        <w:t xml:space="preserve">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41">
    <w:p w14:paraId="037E77EF" w14:textId="298ED487" w:rsidR="001C663E" w:rsidRPr="008C766D" w:rsidRDefault="001C663E" w:rsidP="004E293B">
      <w:pPr>
        <w:pStyle w:val="FootnoteText"/>
      </w:pPr>
      <w:r>
        <w:rPr>
          <w:rStyle w:val="FootnoteReference"/>
        </w:rPr>
        <w:footnoteRef/>
      </w:r>
      <w:r>
        <w:t xml:space="preserve"> </w:t>
      </w:r>
      <w:r w:rsidRPr="004275D2">
        <w:rPr>
          <w:i/>
          <w:iCs/>
        </w:rPr>
        <w:t xml:space="preserve">See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w:t>
      </w:r>
      <w:del w:id="155" w:author="Susan" w:date="2019-09-05T23:37:00Z">
        <w:r w:rsidDel="004E293B">
          <w:delText>(</w:delText>
        </w:r>
      </w:del>
      <w:r>
        <w:t>and limitations</w:t>
      </w:r>
      <w:del w:id="156" w:author="Susan" w:date="2019-09-05T23:37:00Z">
        <w:r w:rsidDel="004E293B">
          <w:delText>)</w:delText>
        </w:r>
      </w:del>
      <w:r>
        <w:t xml:space="preserve"> of field experiments, see, </w:t>
      </w:r>
      <w:r w:rsidRPr="00462FC3">
        <w:rPr>
          <w:iCs/>
        </w:rPr>
        <w:t>e.g.</w:t>
      </w:r>
      <w:r w:rsidRPr="004275D2">
        <w:t>,</w:t>
      </w:r>
      <w:r>
        <w:t xml:space="preserve"> Kosuke Imai, Luke Keele, Dustin Tingley, &amp; Teppei Yamamoto, </w:t>
      </w:r>
      <w:r w:rsidRPr="00462FC3">
        <w:rPr>
          <w:i/>
        </w:rPr>
        <w:t>Unpacking the Black Box: Learning about Causal Mechanisms from Experimental and Observational Studies</w:t>
      </w:r>
      <w:r>
        <w:t xml:space="preserve">, 105 </w:t>
      </w:r>
      <w:r>
        <w:rPr>
          <w:smallCaps/>
        </w:rPr>
        <w:t>Pol. Sci. Rev.</w:t>
      </w:r>
      <w:r>
        <w:t xml:space="preserve"> 765 (2011); Kosuke Imai, Dustin Tingley, &amp; Teppei Yamamoto, </w:t>
      </w:r>
      <w:r w:rsidRPr="00462FC3">
        <w:rPr>
          <w:i/>
        </w:rPr>
        <w:t>Experimental Designs for Identifying Causal Mechanisms</w:t>
      </w:r>
      <w:r>
        <w:t xml:space="preserve">, 176 </w:t>
      </w:r>
      <w:r w:rsidRPr="00462FC3">
        <w:rPr>
          <w:smallCaps/>
        </w:rPr>
        <w:t xml:space="preserve">J. Royal Statistical </w:t>
      </w:r>
      <w:r>
        <w:rPr>
          <w:smallCaps/>
        </w:rPr>
        <w:t>Soc’y</w:t>
      </w:r>
      <w:r>
        <w:t xml:space="preserve"> 5 (2012); </w:t>
      </w:r>
      <w:r w:rsidRPr="00462FC3">
        <w:rPr>
          <w:smallCaps/>
        </w:rPr>
        <w:t>Alan S. Gerber &amp; Donald P. Green, Field Experiments: Design, Analysis, And Interpretation</w:t>
      </w:r>
      <w:r>
        <w:t xml:space="preserve"> (2012).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well-done studies); Michael Abramowicz, Ian Ayres, &amp; Yair Listokin, </w:t>
      </w:r>
      <w:r w:rsidRPr="00462FC3">
        <w:rPr>
          <w:i/>
        </w:rPr>
        <w:t>Randomizing Law</w:t>
      </w:r>
      <w:r>
        <w:t xml:space="preserve">, 159 </w:t>
      </w:r>
      <w:r>
        <w:rPr>
          <w:smallCaps/>
        </w:rPr>
        <w:t>U. Pa. L. Rev.</w:t>
      </w:r>
      <w:r>
        <w:t xml:space="preserve"> 929 (2011); Laurens Walker, </w:t>
      </w:r>
      <w:r w:rsidRPr="00462FC3">
        <w:rPr>
          <w:i/>
        </w:rPr>
        <w:t>Protecting Federal Civil Rules: A Proposal for Restricted Field Experiments</w:t>
      </w:r>
      <w:r>
        <w:t xml:space="preserve">, 51 </w:t>
      </w:r>
      <w:r w:rsidRPr="00462FC3">
        <w:rPr>
          <w:smallCaps/>
        </w:rPr>
        <w:t>L. &amp; Contemp. Probs.</w:t>
      </w:r>
      <w:r>
        <w:t xml:space="preserve"> 67, 67 (1988); D. James Greiner &amp; Andrea Matthews, </w:t>
      </w:r>
      <w:r w:rsidRPr="00462FC3">
        <w:rPr>
          <w:i/>
        </w:rPr>
        <w:t>Randomized Control Trials in the United States Legal Profession</w:t>
      </w:r>
      <w:r>
        <w:t xml:space="preserve"> (Harvard Public Law Working Paper No. 16-06, 2016), </w:t>
      </w:r>
      <w:r w:rsidRPr="002E26A5">
        <w:t>https://papers.ssrn.com/sol3/papers.cfm?abstract_id=2726614</w:t>
      </w:r>
      <w:r>
        <w:t xml:space="preserve">. </w:t>
      </w:r>
    </w:p>
  </w:footnote>
  <w:footnote w:id="42">
    <w:p w14:paraId="25CBB81C" w14:textId="1F8D8667" w:rsidR="001C663E" w:rsidRDefault="001C663E">
      <w:pPr>
        <w:pStyle w:val="FootnoteText"/>
      </w:pPr>
      <w:r>
        <w:rPr>
          <w:rStyle w:val="FootnoteReference"/>
        </w:rPr>
        <w:footnoteRef/>
      </w:r>
      <w:r>
        <w:t xml:space="preserve"> For discrimination studies using an audit technique, </w:t>
      </w:r>
      <w:r>
        <w:rPr>
          <w:rFonts w:asciiTheme="majorBidi" w:hAnsiTheme="majorBidi" w:cstheme="majorBidi"/>
          <w:i/>
        </w:rPr>
        <w:t>s</w:t>
      </w:r>
      <w:r w:rsidRPr="00D75BE3">
        <w:rPr>
          <w:rFonts w:asciiTheme="majorBidi" w:hAnsiTheme="majorBidi" w:cstheme="majorBidi"/>
          <w:i/>
        </w:rPr>
        <w:t>ee, e.g.</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Care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(1991); 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sidRPr="00841912">
        <w:rPr>
          <w:rFonts w:cstheme="majorBidi"/>
          <w:rPrChange w:id="159" w:author="Susan" w:date="2019-09-06T00:18:00Z">
            <w:rPr>
              <w:rFonts w:asciiTheme="majorBidi" w:hAnsiTheme="majorBidi" w:cstheme="majorBidi"/>
            </w:rPr>
          </w:rPrChange>
        </w:rPr>
        <w:t>T</w:t>
      </w:r>
      <w:ins w:id="160" w:author="Susan" w:date="2019-09-06T00:17:00Z">
        <w:r w:rsidR="00B738F0" w:rsidRPr="00841912">
          <w:rPr>
            <w:rFonts w:cstheme="majorBidi"/>
            <w:rPrChange w:id="161" w:author="Susan" w:date="2019-09-06T00:18:00Z">
              <w:rPr>
                <w:rFonts w:asciiTheme="majorBidi" w:hAnsiTheme="majorBidi" w:cstheme="majorBidi"/>
              </w:rPr>
            </w:rPrChange>
          </w:rPr>
          <w:t>HE AMERICAN ECONOMIC REVIEW</w:t>
        </w:r>
      </w:ins>
      <w:del w:id="162" w:author="Susan" w:date="2019-09-06T00:17:00Z">
        <w:r w:rsidRPr="00841912" w:rsidDel="00B738F0">
          <w:rPr>
            <w:rFonts w:cstheme="majorBidi"/>
            <w:rPrChange w:id="163" w:author="Susan" w:date="2019-09-06T00:18:00Z">
              <w:rPr>
                <w:rFonts w:asciiTheme="majorBidi" w:hAnsiTheme="majorBidi" w:cstheme="majorBidi"/>
              </w:rPr>
            </w:rPrChange>
          </w:rPr>
          <w:delText>he American Economic Review</w:delText>
        </w:r>
      </w:del>
      <w:r>
        <w:rPr>
          <w:rFonts w:asciiTheme="majorBidi" w:hAnsiTheme="majorBidi" w:cstheme="majorBidi"/>
        </w:rPr>
        <w:t xml:space="preserve"> 304 (1995). A</w:t>
      </w:r>
      <w:r w:rsidRPr="00D75BE3">
        <w:rPr>
          <w:rFonts w:asciiTheme="majorBidi" w:hAnsiTheme="majorBidi" w:cstheme="majorBidi"/>
        </w:rPr>
        <w:t xml:space="preserve">udit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see, </w:t>
      </w:r>
      <w:r w:rsidRPr="00462FC3">
        <w:rPr>
          <w:rFonts w:asciiTheme="majorBidi" w:hAnsiTheme="majorBidi" w:cstheme="majorBidi"/>
          <w:iCs/>
        </w:rPr>
        <w:t>e,g.</w:t>
      </w:r>
      <w:r w:rsidRPr="004275D2">
        <w:rPr>
          <w:rFonts w:asciiTheme="majorBidi" w:hAnsiTheme="majorBidi" w:cstheme="majorBidi"/>
        </w:rPr>
        <w:t>,</w:t>
      </w:r>
      <w:del w:id="164" w:author="Susan" w:date="2019-09-06T00:28:00Z">
        <w:r w:rsidDel="003A4E70">
          <w:rPr>
            <w:rFonts w:asciiTheme="majorBidi" w:hAnsiTheme="majorBidi" w:cstheme="majorBidi"/>
          </w:rPr>
          <w:delText xml:space="preserve"> </w:delText>
        </w:r>
      </w:del>
      <w:r>
        <w:rPr>
          <w:rFonts w:asciiTheme="majorBidi" w:hAnsiTheme="majorBidi" w:cstheme="majorBidi"/>
        </w:rPr>
        <w:t xml:space="preserve"> </w:t>
      </w:r>
      <w:r>
        <w:t>Kopas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40; Abramowicz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The study’s design sought to minimize the effects of the tests on sellers by conducting tests at off-peak hours (mid-afternoons during the week). In addition, in accordance with IRB instructions </w:t>
      </w:r>
      <w:del w:id="165" w:author="Susan" w:date="2019-09-05T23:38:00Z">
        <w:r w:rsidRPr="00D75BE3" w:rsidDel="004E293B">
          <w:rPr>
            <w:rFonts w:asciiTheme="majorBidi" w:hAnsiTheme="majorBidi" w:cstheme="majorBidi"/>
          </w:rPr>
          <w:delText>(</w:delText>
        </w:r>
      </w:del>
      <w:r w:rsidRPr="00D75BE3">
        <w:rPr>
          <w:rFonts w:asciiTheme="majorBidi" w:hAnsiTheme="majorBidi" w:cstheme="majorBidi"/>
        </w:rPr>
        <w:t>and with the law in Illinois</w:t>
      </w:r>
      <w:del w:id="166" w:author="Susan" w:date="2019-09-05T23:38:00Z">
        <w:r w:rsidRPr="00D75BE3" w:rsidDel="004E293B">
          <w:rPr>
            <w:rFonts w:asciiTheme="majorBidi" w:hAnsiTheme="majorBidi" w:cstheme="majorBidi"/>
          </w:rPr>
          <w:delText>)</w:delText>
        </w:r>
      </w:del>
      <w:r w:rsidRPr="00D75BE3">
        <w:rPr>
          <w:rFonts w:asciiTheme="majorBidi" w:hAnsiTheme="majorBidi" w:cstheme="majorBidi"/>
        </w:rPr>
        <w:t>, the testers’ conversations with store clerks were not recorded or videotaped. Rather, testers recorded their audit results using survey forms prepared by the Author.</w:t>
      </w:r>
    </w:p>
  </w:footnote>
  <w:footnote w:id="43">
    <w:p w14:paraId="28F967CE" w14:textId="6A0EB322" w:rsidR="001C663E" w:rsidRDefault="001C663E">
      <w:pPr>
        <w:pStyle w:val="FootnoteText"/>
      </w:pPr>
      <w:r w:rsidRPr="004E4C99">
        <w:rPr>
          <w:rStyle w:val="FootnoteReference"/>
        </w:rPr>
        <w:footnoteRef/>
      </w:r>
      <w:r w:rsidRPr="004E4C99">
        <w:t xml:space="preserve"> While the study’s sample includes luxury stores (as long as at least one of the items they offered in-store met the price criterion), it </w:t>
      </w:r>
      <w:del w:id="183" w:author="Susan" w:date="2019-09-06T00:20:00Z">
        <w:r w:rsidRPr="004E4C99" w:rsidDel="00841912">
          <w:delText xml:space="preserve">can </w:delText>
        </w:r>
      </w:del>
      <w:r w:rsidRPr="004E4C99">
        <w:t xml:space="preserve">admittedly </w:t>
      </w:r>
      <w:ins w:id="184" w:author="Susan" w:date="2019-09-06T00:20:00Z">
        <w:r w:rsidR="00841912" w:rsidRPr="004E4C99">
          <w:t xml:space="preserve">can </w:t>
        </w:r>
      </w:ins>
      <w:r w:rsidRPr="004E4C99">
        <w:t xml:space="preserve">shed </w:t>
      </w:r>
      <w:ins w:id="185" w:author="Susan" w:date="2019-09-06T00:20:00Z">
        <w:r w:rsidR="00841912">
          <w:t xml:space="preserve">only </w:t>
        </w:r>
      </w:ins>
      <w:r w:rsidRPr="004E4C99">
        <w:t>limited light on the return practices of the most luxurious designer stores. I leave this for future research</w:t>
      </w:r>
      <w:r w:rsidRPr="004E293B">
        <w:rPr>
          <w:rPrChange w:id="186" w:author="Susan" w:date="2019-09-05T23:38:00Z">
            <w:rPr>
              <w:highlight w:val="yellow"/>
            </w:rPr>
          </w:rPrChange>
        </w:rPr>
        <w:t>.</w:t>
      </w:r>
    </w:p>
  </w:footnote>
  <w:footnote w:id="44">
    <w:p w14:paraId="25FD476C" w14:textId="6D20FE15" w:rsidR="001C663E" w:rsidRPr="006B1918" w:rsidRDefault="001C663E" w:rsidP="00337028">
      <w:pPr>
        <w:pStyle w:val="FootnoteText"/>
      </w:pPr>
      <w:r>
        <w:rPr>
          <w:rStyle w:val="FootnoteReference"/>
        </w:rPr>
        <w:footnoteRef/>
      </w:r>
      <w:r>
        <w:t xml:space="preserve"> For evidence that receipt requirements are perceived as a hassle by consumers</w:t>
      </w:r>
      <w:r w:rsidRPr="009047F1">
        <w:t>,</w:t>
      </w:r>
      <w:r w:rsidRPr="00462FC3">
        <w:rPr>
          <w:iCs/>
        </w:rPr>
        <w:t xml:space="preserve"> see,</w:t>
      </w:r>
      <w:r>
        <w:rPr>
          <w:i/>
          <w:iCs/>
        </w:rPr>
        <w:t xml:space="preserve"> </w:t>
      </w:r>
      <w:r>
        <w:t xml:space="preserve">e.g.,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rPr>
          <w:rFonts w:asciiTheme="majorBidi" w:hAnsiTheme="majorBidi" w:cstheme="majorBidi"/>
        </w:rPr>
        <w:t xml:space="preserve">. </w:t>
      </w:r>
    </w:p>
  </w:footnote>
  <w:footnote w:id="45">
    <w:p w14:paraId="2B3CACF6" w14:textId="33BDCD11" w:rsidR="001C663E" w:rsidRDefault="001C663E">
      <w:pPr>
        <w:pStyle w:val="FootnoteText"/>
      </w:pPr>
      <w:r>
        <w:rPr>
          <w:rStyle w:val="FootnoteReference"/>
        </w:rPr>
        <w:footnoteRef/>
      </w:r>
      <w:r>
        <w:t xml:space="preserve"> </w:t>
      </w:r>
      <w:r w:rsidRPr="00C96F0A">
        <w:t xml:space="preserve">Research assistants </w:t>
      </w:r>
      <w:r>
        <w:t xml:space="preserve">(purchasers) </w:t>
      </w:r>
      <w:r w:rsidRPr="00C96F0A">
        <w:t>were sent to purchase the items in advance. The items were then returned by different members of the research team—the testers. This design was chosen for several reasons</w:t>
      </w:r>
      <w:ins w:id="191" w:author="Susan" w:date="2019-09-05T23:39:00Z">
        <w:r w:rsidR="004E293B">
          <w:t>.</w:t>
        </w:r>
      </w:ins>
      <w:del w:id="192" w:author="Susan" w:date="2019-09-05T23:39:00Z">
        <w:r w:rsidRPr="00C96F0A" w:rsidDel="004E293B">
          <w:delText>:</w:delText>
        </w:r>
      </w:del>
      <w:r w:rsidRPr="00C96F0A">
        <w:t xml:space="preserve"> First, it allowed for </w:t>
      </w:r>
      <w:ins w:id="193" w:author="Susan" w:date="2019-09-05T23:39:00Z">
        <w:r w:rsidR="004E293B">
          <w:t>the purchase of</w:t>
        </w:r>
      </w:ins>
      <w:del w:id="194" w:author="Susan" w:date="2019-09-05T23:39:00Z">
        <w:r w:rsidRPr="00C96F0A" w:rsidDel="004E293B">
          <w:delText>purchasing</w:delText>
        </w:r>
      </w:del>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testers would encounter different store clerks. Still, this design raises the concern that in some stores, particularly the smaller ones, store clerks were more suspicious of the testers making the returns because the</w:t>
      </w:r>
      <w:ins w:id="195" w:author="Susan" w:date="2019-09-06T00:21:00Z">
        <w:r w:rsidR="00841912">
          <w:t xml:space="preserve"> clerks</w:t>
        </w:r>
      </w:ins>
      <w:del w:id="196" w:author="Susan" w:date="2019-09-06T00:21:00Z">
        <w:r w:rsidDel="00841912">
          <w:delText>y</w:delText>
        </w:r>
      </w:del>
      <w:r>
        <w:t xml:space="preserve"> did not remember the</w:t>
      </w:r>
      <w:ins w:id="197" w:author="Susan" w:date="2019-09-06T00:21:00Z">
        <w:r w:rsidR="00841912">
          <w:t xml:space="preserve"> testers</w:t>
        </w:r>
      </w:ins>
      <w:del w:id="198" w:author="Susan" w:date="2019-09-06T00:22:00Z">
        <w:r w:rsidDel="00841912">
          <w:delText>m</w:delText>
        </w:r>
      </w:del>
      <w:r>
        <w:t xml:space="preserve"> making the purchase at the store in the first place. It could </w:t>
      </w:r>
      <w:del w:id="199" w:author="Susan" w:date="2019-09-05T23:40:00Z">
        <w:r w:rsidDel="004E293B">
          <w:delText xml:space="preserve">be </w:delText>
        </w:r>
      </w:del>
      <w:r>
        <w:t xml:space="preserve">therefore </w:t>
      </w:r>
      <w:ins w:id="200" w:author="Susan" w:date="2019-09-05T23:40:00Z">
        <w:r w:rsidR="004E293B">
          <w:t xml:space="preserve">be </w:t>
        </w:r>
      </w:ins>
      <w:r>
        <w:t xml:space="preserve">the case that, at least in the smaller stores, the findings underestimate the likelihood of a gap. The results should therefore be interpreted as testing whether, in view of reputational constraints, sellers depart from the formal policy even when they do not remember the particular buyer. </w:t>
      </w:r>
      <w:r w:rsidRPr="00C96F0A">
        <w:t xml:space="preserve"> </w:t>
      </w:r>
    </w:p>
  </w:footnote>
  <w:footnote w:id="46">
    <w:p w14:paraId="7BB8A85A" w14:textId="27849A94" w:rsidR="001C663E" w:rsidRPr="00C96F0A" w:rsidRDefault="001C663E" w:rsidP="00F96AA9">
      <w:pPr>
        <w:pStyle w:val="FootnoteText"/>
      </w:pPr>
      <w:r>
        <w:rPr>
          <w:rStyle w:val="FootnoteReference"/>
        </w:rPr>
        <w:footnoteRef/>
      </w:r>
      <w:r>
        <w:t xml:space="preserve"> </w:t>
      </w:r>
      <w:r w:rsidRPr="00C96F0A">
        <w:t xml:space="preserve">The study was designed to minimize differences in treatment </w:t>
      </w:r>
      <w:del w:id="201" w:author="Susan" w:date="2019-09-05T23:45:00Z">
        <w:r w:rsidRPr="00C96F0A" w:rsidDel="00F96AA9">
          <w:rPr>
            <w:i/>
            <w:iCs/>
          </w:rPr>
          <w:delText>b</w:delText>
        </w:r>
      </w:del>
      <w:del w:id="202" w:author="Susan" w:date="2019-09-05T23:44:00Z">
        <w:r w:rsidRPr="00C96F0A" w:rsidDel="00F96AA9">
          <w:rPr>
            <w:i/>
            <w:iCs/>
          </w:rPr>
          <w:delText>e</w:delText>
        </w:r>
      </w:del>
      <w:ins w:id="203" w:author="Susan" w:date="2019-09-05T23:44:00Z">
        <w:r w:rsidR="00F96AA9">
          <w:rPr>
            <w:i/>
            <w:iCs/>
          </w:rPr>
          <w:t>among</w:t>
        </w:r>
      </w:ins>
      <w:del w:id="204" w:author="Susan" w:date="2019-09-05T23:44:00Z">
        <w:r w:rsidRPr="00C96F0A" w:rsidDel="00F96AA9">
          <w:rPr>
            <w:i/>
            <w:iCs/>
          </w:rPr>
          <w:delText>tween</w:delText>
        </w:r>
      </w:del>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ins w:id="205" w:author="Susan" w:date="2019-09-05T23:45:00Z">
        <w:r w:rsidR="00F96AA9">
          <w:t>final</w:t>
        </w:r>
      </w:ins>
      <w:del w:id="206" w:author="Susan" w:date="2019-09-05T23:45:00Z">
        <w:r w:rsidRPr="00C96F0A" w:rsidDel="00F96AA9">
          <w:delText>last act</w:delText>
        </w:r>
      </w:del>
      <w:r w:rsidRPr="00C96F0A">
        <w:t xml:space="preserve">”/clearance/sale items, or any item that was specifically not eligible for returns according to the stores’ formal return policies. </w:t>
      </w:r>
      <w:r>
        <w:t xml:space="preserve">Prices were kept constant at between $20 to $30. </w:t>
      </w:r>
    </w:p>
  </w:footnote>
  <w:footnote w:id="47">
    <w:p w14:paraId="222374F6" w14:textId="12004F6C" w:rsidR="001C663E" w:rsidRPr="00FE0A2C" w:rsidRDefault="001C663E">
      <w:pPr>
        <w:pStyle w:val="FootnoteText"/>
      </w:pPr>
      <w:r>
        <w:rPr>
          <w:rStyle w:val="FootnoteReference"/>
        </w:rPr>
        <w:footnoteRef/>
      </w:r>
      <w:r>
        <w:t xml:space="preserve"> </w:t>
      </w:r>
      <w:r w:rsidRPr="00FE0A2C">
        <w:t xml:space="preserve">It is possible that store clerks’ willingness to depart from the formal policy would vary depending on the </w:t>
      </w:r>
      <w:ins w:id="211" w:author="Susan" w:date="2019-09-05T23:47:00Z">
        <w:r w:rsidR="00BC2C61">
          <w:t>reason</w:t>
        </w:r>
      </w:ins>
      <w:del w:id="212" w:author="Susan" w:date="2019-09-05T23:47:00Z">
        <w:r w:rsidRPr="00FE0A2C" w:rsidDel="00BC2C61">
          <w:delText>pretext</w:delText>
        </w:r>
      </w:del>
      <w:r w:rsidRPr="00FE0A2C">
        <w:t xml:space="preserve"> offered by testers. For example, if testers </w:t>
      </w:r>
      <w:ins w:id="213" w:author="Susan" w:date="2019-09-05T23:47:00Z">
        <w:r w:rsidR="00BC2C61">
          <w:t xml:space="preserve">had </w:t>
        </w:r>
      </w:ins>
      <w:r w:rsidRPr="00FE0A2C">
        <w:t xml:space="preserve">said that they </w:t>
      </w:r>
      <w:ins w:id="214" w:author="Susan" w:date="2019-09-06T00:22:00Z">
        <w:r w:rsidR="00841912">
          <w:t xml:space="preserve">had </w:t>
        </w:r>
      </w:ins>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ins w:id="215" w:author="Susan" w:date="2019-09-06T00:25:00Z">
        <w:r w:rsidR="00841912">
          <w:t>makes</w:t>
        </w:r>
      </w:ins>
      <w:del w:id="216" w:author="Susan" w:date="2019-09-06T00:25:00Z">
        <w:r w:rsidRPr="00FE0A2C" w:rsidDel="00841912">
          <w:delText>opens the door to</w:delText>
        </w:r>
      </w:del>
      <w:r w:rsidRPr="00FE0A2C">
        <w:t xml:space="preserve"> asking for a cash refund rather than </w:t>
      </w:r>
      <w:ins w:id="217" w:author="Susan" w:date="2019-09-05T23:47:00Z">
        <w:r w:rsidR="00BC2C61">
          <w:t xml:space="preserve">an </w:t>
        </w:r>
      </w:ins>
      <w:r w:rsidRPr="00FE0A2C">
        <w:t>exchange or store credit only</w:t>
      </w:r>
      <w:ins w:id="218" w:author="Susan" w:date="2019-09-06T00:25:00Z">
        <w:r w:rsidR="00841912">
          <w:t xml:space="preserve"> more credible and reasonable</w:t>
        </w:r>
      </w:ins>
      <w:r w:rsidRPr="00FE0A2C">
        <w:t>.</w:t>
      </w:r>
    </w:p>
  </w:footnote>
  <w:footnote w:id="48">
    <w:p w14:paraId="58236FC0" w14:textId="171DF325" w:rsidR="001C663E" w:rsidRPr="00D75BE3" w:rsidRDefault="001C663E" w:rsidP="00BC2C6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w:t>
      </w:r>
      <w:ins w:id="241" w:author="Susan" w:date="2019-09-05T23:48:00Z">
        <w:r w:rsidR="00BC2C61">
          <w:rPr>
            <w:rFonts w:asciiTheme="majorBidi" w:hAnsiTheme="majorBidi" w:cstheme="majorBidi"/>
          </w:rPr>
          <w:t xml:space="preserve">stores </w:t>
        </w:r>
      </w:ins>
      <w:r w:rsidRPr="00D75BE3">
        <w:rPr>
          <w:rFonts w:asciiTheme="majorBidi" w:hAnsiTheme="majorBidi" w:cstheme="majorBidi"/>
        </w:rPr>
        <w:t>sample</w:t>
      </w:r>
      <w:ins w:id="242" w:author="Susan" w:date="2019-09-05T23:48:00Z">
        <w:r w:rsidR="00BC2C61">
          <w:rPr>
            <w:rFonts w:asciiTheme="majorBidi" w:hAnsiTheme="majorBidi" w:cstheme="majorBidi"/>
          </w:rPr>
          <w:t>d</w:t>
        </w:r>
      </w:ins>
      <w:r w:rsidRPr="00D75BE3">
        <w:rPr>
          <w:rFonts w:asciiTheme="majorBidi" w:hAnsiTheme="majorBidi" w:cstheme="majorBidi"/>
        </w:rPr>
        <w:t xml:space="preserve">. In 40% of the stores with inconsistent audit outcomes, one tester obtained a worse outcome than the formal paper policy offered (i.e., a pro-seller gap was observed), while the other obtained the same outcome as described in the paper policy. In the remaining 60%, one tester obtained a concession </w:t>
      </w:r>
      <w:ins w:id="243" w:author="Susan" w:date="2019-09-05T23:48:00Z">
        <w:r w:rsidR="00BC2C61">
          <w:rPr>
            <w:rFonts w:asciiTheme="majorBidi" w:hAnsiTheme="majorBidi" w:cstheme="majorBidi"/>
          </w:rPr>
          <w:t>from</w:t>
        </w:r>
      </w:ins>
      <w:del w:id="244" w:author="Susan" w:date="2019-09-05T23:48:00Z">
        <w:r w:rsidRPr="00D75BE3" w:rsidDel="00BC2C61">
          <w:rPr>
            <w:rFonts w:asciiTheme="majorBidi" w:hAnsiTheme="majorBidi" w:cstheme="majorBidi"/>
          </w:rPr>
          <w:delText>compared to</w:delText>
        </w:r>
      </w:del>
      <w:r w:rsidRPr="00D75BE3">
        <w:rPr>
          <w:rFonts w:asciiTheme="majorBidi" w:hAnsiTheme="majorBidi" w:cstheme="majorBidi"/>
        </w:rPr>
        <w:t xml:space="preserve"> the paper policy, while the other obtained the return outcome mentioned in the paper policy. Interestingly, after complaining </w:t>
      </w:r>
      <w:del w:id="245" w:author="Susan" w:date="2019-09-05T23:49:00Z">
        <w:r w:rsidRPr="00D75BE3" w:rsidDel="00BC2C61">
          <w:rPr>
            <w:rFonts w:asciiTheme="majorBidi" w:hAnsiTheme="majorBidi" w:cstheme="majorBidi"/>
          </w:rPr>
          <w:delText>(</w:delText>
        </w:r>
      </w:del>
      <w:r w:rsidRPr="00D75BE3">
        <w:rPr>
          <w:rFonts w:asciiTheme="majorBidi" w:hAnsiTheme="majorBidi" w:cstheme="majorBidi"/>
        </w:rPr>
        <w:t>by asking to speak to management</w:t>
      </w:r>
      <w:del w:id="246" w:author="Susan" w:date="2019-09-05T23:49:00Z">
        <w:r w:rsidRPr="00D75BE3" w:rsidDel="00BC2C61">
          <w:rPr>
            <w:rFonts w:asciiTheme="majorBidi" w:hAnsiTheme="majorBidi" w:cstheme="majorBidi"/>
          </w:rPr>
          <w:delText>)</w:delText>
        </w:r>
      </w:del>
      <w:r w:rsidRPr="00D75BE3">
        <w:rPr>
          <w:rFonts w:asciiTheme="majorBidi" w:hAnsiTheme="majorBidi" w:cstheme="majorBidi"/>
        </w:rPr>
        <w:t xml:space="preserve">, testers were offered the return outcome described in the paper policy in 77% of the stores that had exhibited a pro-seller gap at the first (pre-complaining) stage. Among stores that had treated one tester more leniently, the other tester’s complaining improved outcomes in </w:t>
      </w:r>
      <w:r>
        <w:rPr>
          <w:rFonts w:asciiTheme="majorBidi" w:hAnsiTheme="majorBidi" w:cstheme="majorBidi"/>
        </w:rPr>
        <w:t xml:space="preserve">only </w:t>
      </w:r>
      <w:r w:rsidRPr="00D75BE3">
        <w:rPr>
          <w:rFonts w:asciiTheme="majorBidi" w:hAnsiTheme="majorBidi" w:cstheme="majorBidi"/>
        </w:rPr>
        <w:t>33% of the cases</w:t>
      </w:r>
      <w:r w:rsidRPr="00D75BE3">
        <w:rPr>
          <w:rFonts w:asciiTheme="majorBidi" w:hAnsiTheme="majorBidi" w:cstheme="majorBidi"/>
          <w:lang w:bidi="he-IL"/>
        </w:rPr>
        <w:t>.</w:t>
      </w:r>
      <w:r w:rsidRPr="00D75BE3">
        <w:rPr>
          <w:rFonts w:asciiTheme="majorBidi" w:hAnsiTheme="majorBidi" w:cstheme="majorBidi"/>
        </w:rPr>
        <w:t xml:space="preserve"> </w:t>
      </w:r>
    </w:p>
  </w:footnote>
  <w:footnote w:id="49">
    <w:p w14:paraId="54D7FA12" w14:textId="77777777" w:rsidR="001C663E" w:rsidRPr="00D75BE3" w:rsidRDefault="001C663E" w:rsidP="005271AF">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Rather than matching tester A with tester B for all tests, A was sometimes matched with B, sometimes with C, and so on.</w:t>
      </w:r>
    </w:p>
  </w:footnote>
  <w:footnote w:id="50">
    <w:p w14:paraId="7CA15C5A" w14:textId="77777777" w:rsidR="001C663E" w:rsidRPr="00D75BE3" w:rsidRDefault="001C663E" w:rsidP="005271AF">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51">
    <w:p w14:paraId="3EEA8173" w14:textId="2DFD1270" w:rsidR="001C663E" w:rsidRPr="00BF3953" w:rsidRDefault="001C663E" w:rsidP="00337028">
      <w:pPr>
        <w:pStyle w:val="FootnoteText"/>
      </w:pPr>
      <w:r>
        <w:rPr>
          <w:rStyle w:val="FootnoteReference"/>
        </w:rPr>
        <w:footnoteRef/>
      </w:r>
      <w:r>
        <w:t xml:space="preserve"> In order to keep testers’ fake names fixed across stores, the names used in this study were Emily Baker and Allison O’Brian. These names were identified as “white-sounding” in recent discrimination field experiments. </w:t>
      </w:r>
      <w:r>
        <w:rPr>
          <w:i/>
          <w:iCs/>
        </w:rPr>
        <w:t>See, e.g.</w:t>
      </w:r>
      <w:r w:rsidRPr="00462FC3">
        <w:rPr>
          <w:iCs/>
        </w:rPr>
        <w:t>,</w:t>
      </w:r>
      <w:r>
        <w:rPr>
          <w:i/>
          <w:iCs/>
        </w:rPr>
        <w:t xml:space="preserve"> </w:t>
      </w:r>
      <w:r>
        <w:t xml:space="preserve">Marianne Bertnard and Sendhil Mullainathan, </w:t>
      </w:r>
      <w:r>
        <w:rPr>
          <w:i/>
          <w:iCs/>
        </w:rPr>
        <w:t>Are Emily and Greg More Employable than Lakisha and Jamal? A Field Experiment on Labor Market Discrimination</w:t>
      </w:r>
      <w:r>
        <w:t xml:space="preserve">, 94 </w:t>
      </w:r>
      <w:r w:rsidRPr="00462FC3">
        <w:rPr>
          <w:smallCaps/>
        </w:rPr>
        <w:t xml:space="preserve">Am. Econ. Rev. </w:t>
      </w:r>
      <w:r>
        <w:t xml:space="preserve">991 (2004); Benjamin Edelman et al., </w:t>
      </w:r>
      <w:r>
        <w:rPr>
          <w:i/>
          <w:iCs/>
        </w:rPr>
        <w:t>Racial Discrimination in the Sharing Economy: Evidence from a Field Experiment</w:t>
      </w:r>
      <w:r>
        <w:t xml:space="preserve">, 9 </w:t>
      </w:r>
      <w:r w:rsidRPr="00462FC3">
        <w:rPr>
          <w:smallCaps/>
        </w:rPr>
        <w:t>Am. Econ. J.</w:t>
      </w:r>
      <w:r>
        <w:t xml:space="preserve"> 1 (2017). </w:t>
      </w:r>
    </w:p>
  </w:footnote>
  <w:footnote w:id="52">
    <w:p w14:paraId="212DC65D" w14:textId="77777777" w:rsidR="001C663E" w:rsidRPr="00D75BE3" w:rsidRDefault="001C663E" w:rsidP="0007399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Firm data, including revenue, public versus private status, and years since incorporation, were obtained primarily from Bloomberg Law and Hoover’s Company Directories’ databases. Age refers to the number of years of operation since incorporation, and size refers to number of employees as of 2019.</w:t>
      </w:r>
    </w:p>
  </w:footnote>
  <w:footnote w:id="53">
    <w:p w14:paraId="741FA02B" w14:textId="4F2169A5" w:rsidR="001C663E" w:rsidRPr="00D75BE3" w:rsidRDefault="001C663E" w:rsidP="0007399A">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The most current study has found that individual retailers control about 30% of the market share.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54">
    <w:p w14:paraId="703E69B8" w14:textId="1D0555FC" w:rsidR="001C663E" w:rsidRPr="00D75BE3" w:rsidRDefault="001C663E" w:rsidP="00870921">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55">
    <w:p w14:paraId="01A95984" w14:textId="1F2A1A59" w:rsidR="001C663E" w:rsidRPr="00D75BE3" w:rsidRDefault="001C663E" w:rsidP="00201A3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 that did not allow for refunds, while at the same time allowing for non-receipted returns for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56">
    <w:p w14:paraId="1ED439A2" w14:textId="28304E55" w:rsidR="001C663E" w:rsidRDefault="001C663E">
      <w:pPr>
        <w:pStyle w:val="FootnoteText"/>
      </w:pPr>
      <w:r>
        <w:rPr>
          <w:rStyle w:val="FootnoteReference"/>
        </w:rPr>
        <w:footnoteRef/>
      </w:r>
      <w:r>
        <w:t xml:space="preserve"> </w:t>
      </w:r>
      <w:r w:rsidRPr="00BE044D">
        <w:rPr>
          <w:highlight w:val="yellow"/>
        </w:rPr>
        <w:t xml:space="preserve">Unexpectedly, a small subset of stores (8% of the stores with lenient policies) departed from their return policies to the consumers’ </w:t>
      </w:r>
      <w:r w:rsidRPr="00BE044D">
        <w:rPr>
          <w:i/>
          <w:iCs/>
          <w:highlight w:val="yellow"/>
        </w:rPr>
        <w:t>detriment</w:t>
      </w:r>
      <w:r w:rsidRPr="00BE044D">
        <w:rPr>
          <w:highlight w:val="yellow"/>
        </w:rPr>
        <w:t>. Store clerks in these stores not only refused to refund the testers</w:t>
      </w:r>
      <w:ins w:id="259" w:author="Susan" w:date="2019-09-05T23:23:00Z">
        <w:r w:rsidR="00225FF5">
          <w:rPr>
            <w:highlight w:val="yellow"/>
          </w:rPr>
          <w:t>, but</w:t>
        </w:r>
      </w:ins>
      <w:del w:id="260" w:author="Susan" w:date="2019-09-05T23:23:00Z">
        <w:r w:rsidRPr="00BE044D" w:rsidDel="00225FF5">
          <w:rPr>
            <w:highlight w:val="yellow"/>
          </w:rPr>
          <w:delText>:</w:delText>
        </w:r>
      </w:del>
      <w:r w:rsidRPr="00BE044D">
        <w:rPr>
          <w:highlight w:val="yellow"/>
        </w:rPr>
        <w:t xml:space="preserve"> they also refused to accept the non-receipted item for store credit or exchange, </w:t>
      </w:r>
      <w:ins w:id="261" w:author="Susan" w:date="2019-09-06T00:29:00Z">
        <w:r w:rsidR="00AF2C97">
          <w:rPr>
            <w:highlight w:val="yellow"/>
          </w:rPr>
          <w:t>despite being</w:t>
        </w:r>
      </w:ins>
      <w:del w:id="262" w:author="Susan" w:date="2019-09-06T00:29:00Z">
        <w:r w:rsidRPr="00BE044D" w:rsidDel="00AF2C97">
          <w:rPr>
            <w:highlight w:val="yellow"/>
          </w:rPr>
          <w:delText>even though they were</w:delText>
        </w:r>
      </w:del>
      <w:r w:rsidRPr="00BE044D">
        <w:rPr>
          <w:highlight w:val="yellow"/>
        </w:rPr>
        <w:t xml:space="preserve"> contractually required to do so. Although the experiment was not designed to explore pro-seller gaps, it is puzzling that sellers allow</w:t>
      </w:r>
      <w:ins w:id="263" w:author="Susan" w:date="2019-09-05T23:24:00Z">
        <w:r w:rsidR="00225FF5">
          <w:rPr>
            <w:highlight w:val="yellow"/>
          </w:rPr>
          <w:t>ed</w:t>
        </w:r>
      </w:ins>
      <w:r w:rsidRPr="00BE044D">
        <w:rPr>
          <w:highlight w:val="yellow"/>
        </w:rPr>
        <w:t xml:space="preserve"> themselves to depart from their express policies to consumers’ disadvantage. Additionally, 40</w:t>
      </w:r>
      <w:r w:rsidRPr="00BE044D">
        <w:rPr>
          <w:rFonts w:asciiTheme="majorBidi" w:hAnsiTheme="majorBidi" w:cstheme="majorBidi"/>
          <w:highlight w:val="yellow"/>
        </w:rPr>
        <w:t xml:space="preserve">% of the stores with inconsistent audit outcomes treated one of the testers worse than they were contractually obliged to. These findings </w:t>
      </w:r>
      <w:ins w:id="264" w:author="Susan" w:date="2019-09-05T23:25:00Z">
        <w:r w:rsidR="00225FF5">
          <w:rPr>
            <w:rFonts w:asciiTheme="majorBidi" w:hAnsiTheme="majorBidi" w:cstheme="majorBidi"/>
            <w:highlight w:val="yellow"/>
          </w:rPr>
          <w:t>reveal</w:t>
        </w:r>
      </w:ins>
      <w:del w:id="265" w:author="Susan" w:date="2019-09-05T23:25:00Z">
        <w:r w:rsidRPr="00BE044D" w:rsidDel="00225FF5">
          <w:rPr>
            <w:rFonts w:asciiTheme="majorBidi" w:hAnsiTheme="majorBidi" w:cstheme="majorBidi"/>
            <w:highlight w:val="yellow"/>
          </w:rPr>
          <w:delText>uncover</w:delText>
        </w:r>
      </w:del>
      <w:r w:rsidRPr="00BE044D">
        <w:rPr>
          <w:rFonts w:asciiTheme="majorBidi" w:hAnsiTheme="majorBidi" w:cstheme="majorBidi"/>
          <w:highlight w:val="yellow"/>
        </w:rPr>
        <w:t xml:space="preserve"> the under-explored phenomenon of pro-seller gaps</w:t>
      </w:r>
      <w:ins w:id="266" w:author="Susan" w:date="2019-09-06T00:30:00Z">
        <w:r w:rsidR="00AF2C97">
          <w:rPr>
            <w:rFonts w:asciiTheme="majorBidi" w:hAnsiTheme="majorBidi" w:cstheme="majorBidi"/>
            <w:highlight w:val="yellow"/>
          </w:rPr>
          <w:t>. W</w:t>
        </w:r>
      </w:ins>
      <w:del w:id="267" w:author="Susan" w:date="2019-09-06T00:30:00Z">
        <w:r w:rsidRPr="00BE044D" w:rsidDel="00AF2C97">
          <w:rPr>
            <w:rFonts w:asciiTheme="majorBidi" w:hAnsiTheme="majorBidi" w:cstheme="majorBidi"/>
            <w:highlight w:val="yellow"/>
          </w:rPr>
          <w:delText>, that</w:delText>
        </w:r>
      </w:del>
      <w:ins w:id="268" w:author="Susan" w:date="2019-09-05T23:24:00Z">
        <w:r w:rsidR="00225FF5">
          <w:rPr>
            <w:rFonts w:asciiTheme="majorBidi" w:hAnsiTheme="majorBidi" w:cstheme="majorBidi"/>
            <w:highlight w:val="yellow"/>
          </w:rPr>
          <w:t>hile</w:t>
        </w:r>
      </w:ins>
      <w:del w:id="269" w:author="Susan" w:date="2019-09-05T23:24:00Z">
        <w:r w:rsidRPr="00BE044D" w:rsidDel="00225FF5">
          <w:rPr>
            <w:rFonts w:asciiTheme="majorBidi" w:hAnsiTheme="majorBidi" w:cstheme="majorBidi"/>
            <w:highlight w:val="yellow"/>
          </w:rPr>
          <w:delText xml:space="preserve"> although</w:delText>
        </w:r>
      </w:del>
      <w:r w:rsidRPr="00BE044D">
        <w:rPr>
          <w:rFonts w:asciiTheme="majorBidi" w:hAnsiTheme="majorBidi" w:cstheme="majorBidi"/>
          <w:highlight w:val="yellow"/>
        </w:rPr>
        <w:t xml:space="preserve"> </w:t>
      </w:r>
      <w:ins w:id="270" w:author="Susan" w:date="2019-09-06T00:30:00Z">
        <w:r w:rsidR="00AF2C97">
          <w:rPr>
            <w:rFonts w:asciiTheme="majorBidi" w:hAnsiTheme="majorBidi" w:cstheme="majorBidi"/>
            <w:highlight w:val="yellow"/>
          </w:rPr>
          <w:t>rarer</w:t>
        </w:r>
      </w:ins>
      <w:del w:id="271" w:author="Susan" w:date="2019-09-06T00:30:00Z">
        <w:r w:rsidRPr="00BE044D" w:rsidDel="00AF2C97">
          <w:rPr>
            <w:rFonts w:asciiTheme="majorBidi" w:hAnsiTheme="majorBidi" w:cstheme="majorBidi"/>
            <w:highlight w:val="yellow"/>
          </w:rPr>
          <w:delText>more rare</w:delText>
        </w:r>
      </w:del>
      <w:r w:rsidRPr="00BE044D">
        <w:rPr>
          <w:rFonts w:asciiTheme="majorBidi" w:hAnsiTheme="majorBidi" w:cstheme="majorBidi"/>
          <w:highlight w:val="yellow"/>
        </w:rPr>
        <w:t xml:space="preserve"> than pro-consumer gaps, </w:t>
      </w:r>
      <w:ins w:id="272" w:author="Susan" w:date="2019-09-06T00:30:00Z">
        <w:r w:rsidR="00AF2C97">
          <w:rPr>
            <w:rFonts w:asciiTheme="majorBidi" w:hAnsiTheme="majorBidi" w:cstheme="majorBidi"/>
            <w:highlight w:val="yellow"/>
          </w:rPr>
          <w:t>pro-seller gaps warrant</w:t>
        </w:r>
      </w:ins>
      <w:del w:id="273" w:author="Susan" w:date="2019-09-06T00:30:00Z">
        <w:r w:rsidRPr="00BE044D" w:rsidDel="00AF2C97">
          <w:rPr>
            <w:rFonts w:asciiTheme="majorBidi" w:hAnsiTheme="majorBidi" w:cstheme="majorBidi"/>
            <w:highlight w:val="yellow"/>
          </w:rPr>
          <w:delText>justify</w:delText>
        </w:r>
      </w:del>
      <w:r w:rsidRPr="00BE044D">
        <w:rPr>
          <w:rFonts w:asciiTheme="majorBidi" w:hAnsiTheme="majorBidi" w:cstheme="majorBidi"/>
          <w:highlight w:val="yellow"/>
        </w:rPr>
        <w:t xml:space="preserve"> future investigation. If pro-seller gaps are prevalent, they might justify regulatory interventions in the form of audits, </w:t>
      </w:r>
      <w:ins w:id="274" w:author="Susan" w:date="2019-09-05T23:26:00Z">
        <w:r w:rsidR="008743A2">
          <w:rPr>
            <w:rFonts w:asciiTheme="majorBidi" w:hAnsiTheme="majorBidi" w:cstheme="majorBidi"/>
            <w:highlight w:val="yellow"/>
          </w:rPr>
          <w:t>as</w:t>
        </w:r>
      </w:ins>
      <w:del w:id="275" w:author="Susan" w:date="2019-09-05T23:26:00Z">
        <w:r w:rsidRPr="00BE044D" w:rsidDel="008743A2">
          <w:rPr>
            <w:rFonts w:asciiTheme="majorBidi" w:hAnsiTheme="majorBidi" w:cstheme="majorBidi"/>
            <w:highlight w:val="yellow"/>
          </w:rPr>
          <w:delText>because</w:delText>
        </w:r>
      </w:del>
      <w:r w:rsidRPr="00BE044D">
        <w:rPr>
          <w:rFonts w:asciiTheme="majorBidi" w:hAnsiTheme="majorBidi" w:cstheme="majorBidi"/>
          <w:highlight w:val="yellow"/>
        </w:rPr>
        <w:t xml:space="preserve"> intervening in the contents of the contracts w</w:t>
      </w:r>
      <w:ins w:id="276" w:author="Susan" w:date="2019-09-05T23:26:00Z">
        <w:r w:rsidR="008743A2">
          <w:rPr>
            <w:rFonts w:asciiTheme="majorBidi" w:hAnsiTheme="majorBidi" w:cstheme="majorBidi"/>
            <w:highlight w:val="yellow"/>
          </w:rPr>
          <w:t>ould</w:t>
        </w:r>
      </w:ins>
      <w:del w:id="277" w:author="Susan" w:date="2019-09-05T23:26:00Z">
        <w:r w:rsidRPr="00BE044D" w:rsidDel="008743A2">
          <w:rPr>
            <w:rFonts w:asciiTheme="majorBidi" w:hAnsiTheme="majorBidi" w:cstheme="majorBidi"/>
            <w:highlight w:val="yellow"/>
          </w:rPr>
          <w:delText>ill</w:delText>
        </w:r>
      </w:del>
      <w:r w:rsidRPr="00BE044D">
        <w:rPr>
          <w:rFonts w:asciiTheme="majorBidi" w:hAnsiTheme="majorBidi" w:cstheme="majorBidi"/>
          <w:highlight w:val="yellow"/>
        </w:rPr>
        <w:t xml:space="preserve"> not be sufficient</w:t>
      </w:r>
      <w:ins w:id="278" w:author="Susan" w:date="2019-09-05T23:26:00Z">
        <w:r w:rsidR="008743A2">
          <w:rPr>
            <w:rFonts w:asciiTheme="majorBidi" w:hAnsiTheme="majorBidi" w:cstheme="majorBidi"/>
            <w:highlight w:val="yellow"/>
          </w:rPr>
          <w:t xml:space="preserve"> to solve the problem</w:t>
        </w:r>
      </w:ins>
      <w:r w:rsidRPr="00BE044D">
        <w:rPr>
          <w:rFonts w:asciiTheme="majorBidi" w:hAnsiTheme="majorBidi" w:cstheme="majorBidi"/>
          <w:highlight w:val="yellow"/>
        </w:rPr>
        <w:t xml:space="preserve">. Indeed, stores already promise more than they deliver in the contract, and the mere contractual promise does not sufficiently deter them from </w:t>
      </w:r>
      <w:ins w:id="279" w:author="Susan" w:date="2019-09-05T23:32:00Z">
        <w:r w:rsidR="008743A2">
          <w:rPr>
            <w:rFonts w:asciiTheme="majorBidi" w:hAnsiTheme="majorBidi" w:cstheme="majorBidi"/>
            <w:highlight w:val="yellow"/>
          </w:rPr>
          <w:t>avoiding</w:t>
        </w:r>
      </w:ins>
      <w:del w:id="280" w:author="Susan" w:date="2019-09-05T23:32:00Z">
        <w:r w:rsidRPr="00BE044D" w:rsidDel="008743A2">
          <w:rPr>
            <w:rFonts w:asciiTheme="majorBidi" w:hAnsiTheme="majorBidi" w:cstheme="majorBidi"/>
            <w:highlight w:val="yellow"/>
          </w:rPr>
          <w:delText>retracting from</w:delText>
        </w:r>
      </w:del>
      <w:r w:rsidRPr="00BE044D">
        <w:rPr>
          <w:rFonts w:asciiTheme="majorBidi" w:hAnsiTheme="majorBidi" w:cstheme="majorBidi"/>
          <w:highlight w:val="yellow"/>
        </w:rPr>
        <w:t xml:space="preserve"> these obligations, at least when consumers seem to be unaware of their contractual rights. In the script, consumers were instructed to complain and </w:t>
      </w:r>
      <w:ins w:id="281" w:author="Susan" w:date="2019-09-05T23:32:00Z">
        <w:r w:rsidR="008743A2">
          <w:rPr>
            <w:rFonts w:asciiTheme="majorBidi" w:hAnsiTheme="majorBidi" w:cstheme="majorBidi"/>
            <w:highlight w:val="yellow"/>
          </w:rPr>
          <w:t xml:space="preserve">to </w:t>
        </w:r>
      </w:ins>
      <w:r w:rsidRPr="00BE044D">
        <w:rPr>
          <w:rFonts w:asciiTheme="majorBidi" w:hAnsiTheme="majorBidi" w:cstheme="majorBidi"/>
          <w:highlight w:val="yellow"/>
        </w:rPr>
        <w:t xml:space="preserve">ask to speak to the manager if denied the return, but they were instructed not to mention the contractual language. In future research, it is </w:t>
      </w:r>
      <w:ins w:id="282" w:author="Susan" w:date="2019-09-05T23:32:00Z">
        <w:r w:rsidR="008743A2">
          <w:rPr>
            <w:rFonts w:asciiTheme="majorBidi" w:hAnsiTheme="majorBidi" w:cstheme="majorBidi"/>
            <w:highlight w:val="yellow"/>
          </w:rPr>
          <w:t>recommended</w:t>
        </w:r>
      </w:ins>
      <w:del w:id="283" w:author="Susan" w:date="2019-09-05T23:32:00Z">
        <w:r w:rsidRPr="00BE044D" w:rsidDel="008743A2">
          <w:rPr>
            <w:rFonts w:asciiTheme="majorBidi" w:hAnsiTheme="majorBidi" w:cstheme="majorBidi"/>
            <w:highlight w:val="yellow"/>
          </w:rPr>
          <w:delText>desirable</w:delText>
        </w:r>
      </w:del>
      <w:r w:rsidRPr="00BE044D">
        <w:rPr>
          <w:rFonts w:asciiTheme="majorBidi" w:hAnsiTheme="majorBidi" w:cstheme="majorBidi"/>
          <w:highlight w:val="yellow"/>
        </w:rPr>
        <w:t xml:space="preserve"> to explore how sellers react when testers/consumers </w:t>
      </w:r>
      <w:ins w:id="284" w:author="Susan" w:date="2019-09-05T23:33:00Z">
        <w:r w:rsidR="008743A2">
          <w:rPr>
            <w:rFonts w:asciiTheme="majorBidi" w:hAnsiTheme="majorBidi" w:cstheme="majorBidi"/>
            <w:highlight w:val="yellow"/>
          </w:rPr>
          <w:t>explicitly identify</w:t>
        </w:r>
      </w:ins>
      <w:del w:id="285" w:author="Susan" w:date="2019-09-05T23:33:00Z">
        <w:r w:rsidRPr="00BE044D" w:rsidDel="008743A2">
          <w:rPr>
            <w:rFonts w:asciiTheme="majorBidi" w:hAnsiTheme="majorBidi" w:cstheme="majorBidi"/>
            <w:highlight w:val="yellow"/>
          </w:rPr>
          <w:delText>point them to</w:delText>
        </w:r>
      </w:del>
      <w:r w:rsidRPr="00BE044D">
        <w:rPr>
          <w:rFonts w:asciiTheme="majorBidi" w:hAnsiTheme="majorBidi" w:cstheme="majorBidi"/>
          <w:highlight w:val="yellow"/>
        </w:rPr>
        <w:t xml:space="preserve"> the language that entitles them to the denied benefit</w:t>
      </w:r>
      <w:r>
        <w:rPr>
          <w:rFonts w:asciiTheme="majorBidi" w:hAnsiTheme="majorBidi" w:cstheme="majorBidi"/>
        </w:rPr>
        <w:t xml:space="preserve">. </w:t>
      </w:r>
    </w:p>
  </w:footnote>
  <w:footnote w:id="57">
    <w:p w14:paraId="0A14EC01" w14:textId="77777777" w:rsidR="001C663E" w:rsidRPr="00D75BE3" w:rsidRDefault="001C663E" w:rsidP="004D59D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58">
    <w:p w14:paraId="1F0F5B5C" w14:textId="77777777" w:rsidR="001C663E" w:rsidRPr="00D75BE3" w:rsidRDefault="001C663E"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59">
    <w:p w14:paraId="393D5C56" w14:textId="4A938DA9" w:rsidR="001C663E" w:rsidRPr="00D75BE3" w:rsidDel="00CE66E3" w:rsidRDefault="001C663E">
      <w:pPr>
        <w:pStyle w:val="FootnoteText"/>
        <w:rPr>
          <w:del w:id="287" w:author="Genevieve Lakier" w:date="2019-08-31T19:12:00Z"/>
          <w:rFonts w:asciiTheme="majorBidi" w:hAnsiTheme="majorBidi" w:cstheme="majorBidi"/>
        </w:rPr>
      </w:pPr>
      <w:r w:rsidRPr="00D81301">
        <w:rPr>
          <w:rFonts w:asciiTheme="majorBidi" w:hAnsiTheme="majorBidi" w:cstheme="majorBidi"/>
          <w:vertAlign w:val="superscript"/>
        </w:rPr>
        <w:t>59</w:t>
      </w:r>
      <w:r>
        <w:rPr>
          <w:rFonts w:asciiTheme="majorBidi" w:hAnsiTheme="majorBidi" w:cstheme="majorBidi"/>
        </w:rPr>
        <w:t xml:space="preserve"> </w:t>
      </w:r>
      <w:r>
        <w:t>Stores with moderate policies were also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harsh and mainstream stores (9% and 36% respectively)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sidRPr="00D75BE3">
        <w:rPr>
          <w:rFonts w:asciiTheme="majorBidi" w:hAnsiTheme="majorBidi" w:cstheme="majorBidi"/>
        </w:rPr>
        <w:t>&lt; 0.001).</w:t>
      </w:r>
      <w:del w:id="288" w:author="Susan" w:date="2019-09-06T00:26:00Z">
        <w:r w:rsidRPr="00D75BE3" w:rsidDel="003A4E70">
          <w:rPr>
            <w:rFonts w:asciiTheme="majorBidi" w:hAnsiTheme="majorBidi" w:cstheme="majorBidi"/>
          </w:rPr>
          <w:delText xml:space="preserve"> </w:delText>
        </w:r>
        <w:r w:rsidDel="003A4E70">
          <w:delText xml:space="preserve"> </w:delText>
        </w:r>
      </w:del>
    </w:p>
  </w:footnote>
  <w:footnote w:id="60">
    <w:p w14:paraId="68739B38" w14:textId="2EA389E6" w:rsidR="001C663E" w:rsidRPr="00D75BE3" w:rsidRDefault="001C663E"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1">
    <w:p w14:paraId="4E62B53C" w14:textId="10B4DBB7" w:rsidR="001C663E" w:rsidRPr="00A026F8" w:rsidRDefault="001C663E" w:rsidP="001F44E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in order to determine the value of the concessions to consumers). </w:t>
      </w:r>
      <w:r>
        <w:rPr>
          <w:rFonts w:asciiTheme="majorBidi" w:hAnsiTheme="majorBidi" w:cstheme="majorBidi"/>
        </w:rPr>
        <w:t xml:space="preserve">For research about how firms treat consumers who complain more generally, </w:t>
      </w:r>
      <w:r>
        <w:rPr>
          <w:rFonts w:asciiTheme="majorBidi" w:hAnsiTheme="majorBidi" w:cstheme="majorBidi"/>
          <w:i/>
          <w:iCs/>
        </w:rPr>
        <w:t>see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w:t>
      </w:r>
    </w:p>
  </w:footnote>
  <w:footnote w:id="62">
    <w:p w14:paraId="0E30C011" w14:textId="6D343B02" w:rsidR="001C663E" w:rsidRPr="00D75BE3" w:rsidRDefault="001C663E"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63">
    <w:p w14:paraId="6885616B" w14:textId="143A44B9" w:rsidR="001C663E" w:rsidRPr="00D75BE3" w:rsidRDefault="001C663E"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64">
    <w:p w14:paraId="6B001723" w14:textId="697CA250" w:rsidR="001C663E" w:rsidRPr="00D75BE3" w:rsidRDefault="001C663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w:t>
      </w:r>
      <w:del w:id="292" w:author="Susan" w:date="2019-09-06T00:26:00Z">
        <w:r w:rsidRPr="00D75BE3" w:rsidDel="003A4E70">
          <w:rPr>
            <w:rFonts w:asciiTheme="majorBidi" w:hAnsiTheme="majorBidi" w:cstheme="majorBidi"/>
          </w:rPr>
          <w:delText xml:space="preserve"> </w:delText>
        </w:r>
      </w:del>
      <w:r w:rsidRPr="00D75BE3">
        <w:rPr>
          <w:rFonts w:asciiTheme="majorBidi" w:hAnsiTheme="majorBidi" w:cstheme="majorBidi"/>
        </w:rPr>
        <w:t xml:space="preserve">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65">
    <w:p w14:paraId="7D8479EB" w14:textId="6CAD9CF4" w:rsidR="001C663E" w:rsidRPr="00D75BE3" w:rsidRDefault="001C663E"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66">
    <w:p w14:paraId="3A2C8CCD" w14:textId="77777777" w:rsidR="001C663E" w:rsidRPr="00D75BE3" w:rsidRDefault="001C663E" w:rsidP="0081743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7">
    <w:p w14:paraId="5A22720F" w14:textId="77777777" w:rsidR="001C663E" w:rsidRPr="00D75BE3" w:rsidRDefault="001C663E" w:rsidP="0081743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68">
    <w:p w14:paraId="7467DB50" w14:textId="77777777" w:rsidR="001C663E" w:rsidRPr="00D75BE3" w:rsidRDefault="001C663E" w:rsidP="00EC419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 w:id="69">
    <w:p w14:paraId="29A56AE6" w14:textId="178E5913" w:rsidR="001C663E" w:rsidRPr="00D75BE3" w:rsidRDefault="001C663E" w:rsidP="009A082A">
      <w:pPr>
        <w:pStyle w:val="FootnoteText"/>
        <w:rPr>
          <w:rFonts w:asciiTheme="majorBidi" w:hAnsiTheme="majorBidi" w:cstheme="majorBidi"/>
        </w:rPr>
      </w:pPr>
      <w:r w:rsidRPr="00D75BE3">
        <w:rPr>
          <w:rStyle w:val="FootnoteReference"/>
        </w:rPr>
        <w:footnoteRef/>
      </w:r>
      <w:r w:rsidRPr="00D75BE3">
        <w:t xml:space="preserve"> Indeed, in an interview conducted with a former store clerk at Abercrombie</w:t>
      </w:r>
      <w:r>
        <w:t xml:space="preserve"> &amp; Fitch</w:t>
      </w:r>
      <w:r w:rsidRPr="00D75BE3">
        <w:t xml:space="preserve"> (Chicago), she mentioned that the “policy goes out the door when you have an unhappy customer. Policy goes out the door because you’re trying to keep that customer happy, so [you do] whatever you can do.” Interview #12 with Sarah (Abercrombie) </w:t>
      </w:r>
      <w:r w:rsidRPr="00D75BE3">
        <w:rPr>
          <w:rFonts w:asciiTheme="majorBidi" w:hAnsiTheme="majorBidi" w:cstheme="majorBidi"/>
        </w:rPr>
        <w:t xml:space="preserve">(recorded interview on file with the Author). </w:t>
      </w:r>
    </w:p>
    <w:p w14:paraId="7D0E06E2" w14:textId="644AA6F4" w:rsidR="001C663E" w:rsidRPr="00D75BE3" w:rsidRDefault="001C663E">
      <w:pPr>
        <w:pStyle w:val="FootnoteText"/>
      </w:pPr>
    </w:p>
  </w:footnote>
  <w:footnote w:id="70">
    <w:p w14:paraId="2469DED6" w14:textId="6EED0BF9" w:rsidR="001C663E" w:rsidRPr="00D75BE3" w:rsidRDefault="001C663E"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Leila (Saks Fifth Avenue) (recorded interview on file with the Author). </w:t>
      </w:r>
    </w:p>
  </w:footnote>
  <w:footnote w:id="71">
    <w:p w14:paraId="06B51A4E" w14:textId="16F13DAE" w:rsidR="001C663E" w:rsidRPr="00D75BE3" w:rsidRDefault="001C663E"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Michael (Bally shoe store) (recorded interview on file with the Author).</w:t>
      </w:r>
    </w:p>
  </w:footnote>
  <w:footnote w:id="72">
    <w:p w14:paraId="0D1C4E4E" w14:textId="77777777" w:rsidR="001C663E" w:rsidRPr="00D75BE3" w:rsidRDefault="001C663E"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73">
    <w:p w14:paraId="3490493E" w14:textId="138BDEAD" w:rsidR="001C663E" w:rsidRPr="00D75BE3" w:rsidRDefault="001C663E" w:rsidP="00C22098">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A16004">
        <w:rPr>
          <w:rFonts w:asciiTheme="majorBidi" w:hAnsiTheme="majorBidi" w:cstheme="majorBidi"/>
          <w:sz w:val="20"/>
          <w:highlight w:val="yellow"/>
        </w:rPr>
        <w:t>[add Wald test results]</w:t>
      </w:r>
      <w:r w:rsidRPr="00D75BE3">
        <w:rPr>
          <w:rFonts w:asciiTheme="majorBidi" w:hAnsiTheme="majorBidi" w:cstheme="majorBidi"/>
          <w:sz w:val="20"/>
        </w:rPr>
        <w:t xml:space="preserve"> </w:t>
      </w:r>
    </w:p>
  </w:footnote>
  <w:footnote w:id="74">
    <w:p w14:paraId="65287782" w14:textId="0961E50C" w:rsidR="001C663E" w:rsidRPr="00D75BE3" w:rsidRDefault="001C663E"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75">
    <w:p w14:paraId="1E5698E1" w14:textId="77777777" w:rsidR="001C663E" w:rsidRPr="00D75BE3" w:rsidRDefault="001C663E"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76">
    <w:p w14:paraId="22674D62" w14:textId="2BF3ACC1" w:rsidR="001C663E" w:rsidRDefault="001C663E">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77">
    <w:p w14:paraId="1C60131A" w14:textId="72CEF529" w:rsidR="001C663E" w:rsidRPr="004D551F" w:rsidRDefault="001C663E" w:rsidP="003D080B">
      <w:pPr>
        <w:pStyle w:val="FootnoteText"/>
      </w:pPr>
      <w:r>
        <w:rPr>
          <w:rStyle w:val="FootnoteReference"/>
        </w:rPr>
        <w:footnoteRef/>
      </w:r>
      <w:r>
        <w:t xml:space="preserve"> </w:t>
      </w:r>
      <w:r>
        <w:rPr>
          <w:i/>
          <w:iCs/>
        </w:rPr>
        <w:t>See, e.g.</w:t>
      </w:r>
      <w:r>
        <w:t>, O</w:t>
      </w:r>
      <w:r w:rsidRPr="00D75BE3">
        <w:rPr>
          <w:rFonts w:asciiTheme="majorBidi" w:hAnsiTheme="majorBidi" w:cstheme="majorBidi"/>
          <w:smallCaps/>
        </w:rPr>
        <w:t>mri Ben-Shahar &amp; Carl E. Schneider, More Than You Wanted to Know: The Failure of Mandated Disclosure</w:t>
      </w:r>
      <w:r w:rsidRPr="00D75BE3">
        <w:rPr>
          <w:rFonts w:asciiTheme="majorBidi" w:hAnsiTheme="majorBidi" w:cstheme="majorBidi"/>
        </w:rPr>
        <w:t xml:space="preserve"> </w:t>
      </w:r>
      <w:r>
        <w:rPr>
          <w:rFonts w:asciiTheme="majorBidi" w:hAnsiTheme="majorBidi" w:cstheme="majorBidi"/>
        </w:rPr>
        <w:t xml:space="preserve">10 </w:t>
      </w:r>
      <w:r w:rsidRPr="00D75BE3">
        <w:rPr>
          <w:rFonts w:asciiTheme="majorBidi" w:hAnsiTheme="majorBidi" w:cstheme="majorBidi"/>
        </w:rPr>
        <w:t>(2014)</w:t>
      </w:r>
      <w:r>
        <w:rPr>
          <w:rFonts w:ascii="Times New Roman" w:hAnsi="Times New Roman"/>
        </w:rPr>
        <w:t xml:space="preserve"> (observing that “</w:t>
      </w:r>
      <w:r w:rsidRPr="003E2A15">
        <w:rPr>
          <w:rFonts w:ascii="Times New Roman" w:hAnsi="Times New Roman"/>
        </w:rPr>
        <w:t>many people make decisions with scant information and slight deliberation. They overlook, skip, or skim disclosures. Far from gathering information, people strip it away to make choices manageable</w:t>
      </w:r>
      <w:r>
        <w:rPr>
          <w:rFonts w:ascii="Times New Roman" w:hAnsi="Times New Roman"/>
        </w:rPr>
        <w:t xml:space="preserve">”). </w:t>
      </w:r>
      <w:r w:rsidRPr="00AA7A73">
        <w:rPr>
          <w:szCs w:val="24"/>
        </w:rPr>
        <w:t>Even if they do read some of these contracts in their entirety, it is exceedingly challenging for consumers to understand their full meaning and legal ramifications.</w:t>
      </w:r>
      <w:r w:rsidRPr="00AA67E6">
        <w:rPr>
          <w:rFonts w:ascii="Times New Roman" w:hAnsi="Times New Roman"/>
          <w:i/>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Jeff Sovern et al., </w:t>
      </w:r>
      <w:r w:rsidRPr="00EE7B96">
        <w:rPr>
          <w:rFonts w:ascii="Times New Roman" w:hAnsi="Times New Roman"/>
          <w:i/>
          <w:iCs/>
        </w:rPr>
        <w:t>Whimsy Little Contracts with Unexpected Consequences: An Empirical Analysis of Consumer Understanding of Arbitration Agreements</w:t>
      </w:r>
      <w:r w:rsidRPr="00EE7B96">
        <w:rPr>
          <w:rFonts w:ascii="Times New Roman" w:hAnsi="Times New Roman"/>
        </w:rPr>
        <w:t xml:space="preserve">, 75 </w:t>
      </w:r>
      <w:r w:rsidRPr="00EE7B96">
        <w:rPr>
          <w:rFonts w:ascii="Times New Roman" w:hAnsi="Times New Roman"/>
          <w:smallCaps/>
        </w:rPr>
        <w:t xml:space="preserve">MD. L. Rev. </w:t>
      </w:r>
      <w:r w:rsidRPr="00EE7B96">
        <w:rPr>
          <w:rFonts w:ascii="Times New Roman" w:hAnsi="Times New Roman"/>
        </w:rPr>
        <w:t>1, 4 (2015) (reporting that most of the study’s respondents did not know whether the contract they had just read included an arbitration clause, and that those who realized that it did contain such a clause failed to understand its legal implications).</w:t>
      </w:r>
    </w:p>
  </w:footnote>
  <w:footnote w:id="78">
    <w:p w14:paraId="397914EE" w14:textId="77777777" w:rsidR="001C663E" w:rsidRPr="00EE7B96" w:rsidRDefault="001C663E"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Debra Pogrund Stark &amp; Jessica Choplin, </w:t>
      </w:r>
      <w:r w:rsidRPr="00EE7B96">
        <w:rPr>
          <w:rFonts w:ascii="Times New Roman" w:hAnsi="Times New Roman"/>
          <w:i/>
        </w:rPr>
        <w:t>A License to Deceive: Enforcing Contractual Myths Despite Consumer Psychological Realities</w:t>
      </w:r>
      <w:r w:rsidRPr="00EE7B96">
        <w:rPr>
          <w:rFonts w:ascii="Times New Roman" w:hAnsi="Times New Roman"/>
        </w:rPr>
        <w:t xml:space="preserve">, 5 </w:t>
      </w:r>
      <w:r w:rsidRPr="00EE7B96">
        <w:rPr>
          <w:rFonts w:ascii="Times New Roman" w:hAnsi="Times New Roman"/>
          <w:smallCaps/>
        </w:rPr>
        <w:t>N.Y.U. J.L. &amp; Bus. 617,</w:t>
      </w:r>
      <w:r w:rsidRPr="00EE7B96">
        <w:rPr>
          <w:rFonts w:ascii="Times New Roman" w:hAnsi="Times New Roman"/>
        </w:rPr>
        <w:t xml:space="preserve"> 656–58 (2009).</w:t>
      </w:r>
    </w:p>
  </w:footnote>
  <w:footnote w:id="79">
    <w:p w14:paraId="7524CBE5" w14:textId="08A008F4" w:rsidR="001C663E" w:rsidRPr="00EE7B96" w:rsidRDefault="001C663E"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w:t>
      </w:r>
      <w:r w:rsidRPr="00D75BE3">
        <w:rPr>
          <w:rFonts w:asciiTheme="majorBidi" w:hAnsiTheme="majorBidi" w:cstheme="majorBidi"/>
        </w:rPr>
        <w:t xml:space="preserve">David Gilo &amp; Ariel Porat, </w:t>
      </w:r>
      <w:r w:rsidRPr="00462FC3">
        <w:rPr>
          <w:rFonts w:asciiTheme="majorBidi" w:hAnsiTheme="majorBidi" w:cstheme="majorBidi"/>
          <w:i/>
          <w:iCs/>
        </w:rPr>
        <w:t>The Hidden Roles of Boilerplate and Standard-Form Contracts: Strategic Imposition of Transaction Costs, Segmentation of</w:t>
      </w:r>
      <w:r w:rsidRPr="00D75BE3">
        <w:rPr>
          <w:rFonts w:asciiTheme="majorBidi" w:hAnsiTheme="majorBidi" w:cstheme="majorBidi"/>
          <w:iCs/>
        </w:rPr>
        <w:t xml:space="preserve"> </w:t>
      </w:r>
      <w:r w:rsidRPr="00462FC3">
        <w:rPr>
          <w:rFonts w:asciiTheme="majorBidi" w:hAnsiTheme="majorBidi" w:cstheme="majorBidi"/>
          <w:i/>
          <w:iCs/>
        </w:rPr>
        <w:t>Consumers, and Anticompetitive Effects</w:t>
      </w:r>
      <w:r>
        <w:rPr>
          <w:rFonts w:asciiTheme="majorBidi" w:hAnsiTheme="majorBidi" w:cstheme="majorBidi"/>
        </w:rPr>
        <w:t>,</w:t>
      </w:r>
      <w:r w:rsidRPr="00D75BE3">
        <w:rPr>
          <w:rFonts w:asciiTheme="majorBidi" w:hAnsiTheme="majorBidi" w:cstheme="majorBidi"/>
        </w:rPr>
        <w:t xml:space="preserve"> 104 </w:t>
      </w:r>
      <w:r w:rsidRPr="00D75BE3">
        <w:rPr>
          <w:rFonts w:asciiTheme="majorBidi" w:hAnsiTheme="majorBidi" w:cstheme="majorBidi"/>
          <w:smallCaps/>
        </w:rPr>
        <w:t>Mich. L. Rev.</w:t>
      </w:r>
      <w:r>
        <w:rPr>
          <w:rFonts w:asciiTheme="majorBidi" w:hAnsiTheme="majorBidi" w:cstheme="majorBidi"/>
        </w:rPr>
        <w:t xml:space="preserve"> 983, 986</w:t>
      </w:r>
      <w:r w:rsidRPr="00D75BE3">
        <w:rPr>
          <w:rFonts w:asciiTheme="majorBidi" w:hAnsiTheme="majorBidi" w:cstheme="majorBidi"/>
        </w:rPr>
        <w:t xml:space="preserve"> (2006) </w:t>
      </w:r>
      <w:r w:rsidRPr="00EE7B96">
        <w:rPr>
          <w:rFonts w:ascii="Times New Roman" w:hAnsi="Times New Roman"/>
        </w:rPr>
        <w:t xml:space="preserve">(observing that sellers often use these features in order to impose transaction costs on consumers from which the sellers expect to gain). For empirical evidence that user-unfriendly features penalize consumers by increasing fatigue, </w:t>
      </w:r>
      <w:r w:rsidRPr="00462FC3">
        <w:rPr>
          <w:rFonts w:ascii="Times New Roman" w:hAnsi="Times New Roman"/>
        </w:rPr>
        <w:t>see</w:t>
      </w:r>
      <w:r w:rsidRPr="00EE7B96">
        <w:rPr>
          <w:rFonts w:ascii="Times New Roman" w:hAnsi="Times New Roman"/>
        </w:rPr>
        <w:t xml:space="preserve"> Janan Smither &amp; Curt Braun, </w:t>
      </w:r>
      <w:r w:rsidRPr="00EE7B96">
        <w:rPr>
          <w:rFonts w:ascii="Times New Roman" w:hAnsi="Times New Roman"/>
          <w:i/>
          <w:iCs/>
        </w:rPr>
        <w:t>Readability of Prescription Drug Labels by Older and Younger Adults</w:t>
      </w:r>
      <w:r w:rsidRPr="00EE7B96">
        <w:rPr>
          <w:rFonts w:ascii="Times New Roman" w:hAnsi="Times New Roman"/>
        </w:rPr>
        <w:t xml:space="preserve">, 1 </w:t>
      </w:r>
      <w:r w:rsidRPr="00EE7B96">
        <w:rPr>
          <w:rFonts w:ascii="Times New Roman" w:hAnsi="Times New Roman"/>
          <w:smallCaps/>
        </w:rPr>
        <w:t>J. Clinical Psychol. in Med. Settings</w:t>
      </w:r>
      <w:r w:rsidRPr="00EE7B96">
        <w:rPr>
          <w:rFonts w:ascii="Times New Roman" w:hAnsi="Times New Roman"/>
        </w:rPr>
        <w:t xml:space="preserve"> 149 (1994); George E. Legge, </w:t>
      </w:r>
      <w:r w:rsidRPr="00EE7B96">
        <w:rPr>
          <w:rFonts w:ascii="Times New Roman" w:hAnsi="Times New Roman"/>
          <w:i/>
        </w:rPr>
        <w:t>Psychophysics of Reading: Font Effects in Normal and Low Vision</w:t>
      </w:r>
      <w:r w:rsidRPr="00EE7B96">
        <w:rPr>
          <w:rFonts w:ascii="Times New Roman" w:hAnsi="Times New Roman"/>
        </w:rPr>
        <w:t xml:space="preserve">, 37 </w:t>
      </w:r>
      <w:r w:rsidRPr="00EE7B96">
        <w:rPr>
          <w:rFonts w:ascii="Times New Roman" w:hAnsi="Times New Roman"/>
          <w:smallCaps/>
        </w:rPr>
        <w:t xml:space="preserve">Investigative Ophthalmology &amp; Visual Sci. </w:t>
      </w:r>
      <w:r w:rsidRPr="00EE7B96">
        <w:rPr>
          <w:rFonts w:ascii="Times New Roman" w:hAnsi="Times New Roman"/>
        </w:rPr>
        <w:t xml:space="preserve">1492 (2007). </w:t>
      </w:r>
    </w:p>
  </w:footnote>
  <w:footnote w:id="80">
    <w:p w14:paraId="1FAF08E7" w14:textId="305B0409" w:rsidR="001C663E" w:rsidRPr="00EE7B96" w:rsidRDefault="001C663E"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Ayres &amp; Schwartz, </w:t>
      </w:r>
      <w:r w:rsidRPr="00EE7B96">
        <w:rPr>
          <w:rFonts w:ascii="Times New Roman" w:hAnsi="Times New Roman"/>
          <w:i/>
          <w:iCs/>
        </w:rPr>
        <w:t xml:space="preserve">supra </w:t>
      </w:r>
      <w:r w:rsidRPr="00EE7B96">
        <w:rPr>
          <w:rFonts w:ascii="Times New Roman" w:hAnsi="Times New Roman"/>
        </w:rPr>
        <w:t xml:space="preserve">note 1 (responding to the problem of search costs resulting from the overwhelming number of terms and disclosures by which consumers are deluged); </w:t>
      </w:r>
      <w:r w:rsidRPr="00D75BE3">
        <w:rPr>
          <w:rFonts w:asciiTheme="majorBidi" w:hAnsiTheme="majorBidi" w:cstheme="majorBidi"/>
        </w:rPr>
        <w:t xml:space="preserve">Tess Wilkinson-Ryan, </w:t>
      </w:r>
      <w:r w:rsidRPr="00462FC3">
        <w:rPr>
          <w:rFonts w:asciiTheme="majorBidi" w:hAnsiTheme="majorBidi" w:cstheme="majorBidi"/>
          <w:i/>
          <w:iCs/>
        </w:rPr>
        <w:t>The Perverse Behavioral Economics of Disclosing Standard Terms</w:t>
      </w:r>
      <w:r>
        <w:rPr>
          <w:rFonts w:asciiTheme="majorBidi" w:hAnsiTheme="majorBidi" w:cstheme="majorBidi"/>
        </w:rPr>
        <w:t>,</w:t>
      </w:r>
      <w:r w:rsidRPr="00D75BE3">
        <w:rPr>
          <w:rFonts w:asciiTheme="majorBidi" w:hAnsiTheme="majorBidi" w:cstheme="majorBidi"/>
        </w:rPr>
        <w:t xml:space="preserve"> 103 </w:t>
      </w:r>
      <w:r w:rsidRPr="00D75BE3">
        <w:rPr>
          <w:rFonts w:asciiTheme="majorBidi" w:hAnsiTheme="majorBidi" w:cstheme="majorBidi"/>
          <w:smallCaps/>
        </w:rPr>
        <w:t>Cornell L. Rev.</w:t>
      </w:r>
      <w:r w:rsidRPr="00D75BE3">
        <w:rPr>
          <w:rFonts w:asciiTheme="majorBidi" w:hAnsiTheme="majorBidi" w:cstheme="majorBidi"/>
        </w:rPr>
        <w:t xml:space="preserve"> 117, 118</w:t>
      </w:r>
      <w:r>
        <w:rPr>
          <w:rFonts w:asciiTheme="majorBidi" w:hAnsiTheme="majorBidi" w:cstheme="majorBidi"/>
        </w:rPr>
        <w:t>–20</w:t>
      </w:r>
      <w:r w:rsidRPr="00D75BE3">
        <w:rPr>
          <w:rFonts w:asciiTheme="majorBidi" w:hAnsiTheme="majorBidi" w:cstheme="majorBidi"/>
        </w:rPr>
        <w:t xml:space="preserve"> (2017)</w:t>
      </w:r>
      <w:r>
        <w:rPr>
          <w:rFonts w:asciiTheme="majorBidi" w:hAnsiTheme="majorBidi" w:cstheme="majorBidi"/>
        </w:rPr>
        <w:t xml:space="preserve"> </w:t>
      </w:r>
      <w:r w:rsidRPr="00EE7B96">
        <w:rPr>
          <w:rFonts w:ascii="Times New Roman" w:hAnsi="Times New Roman"/>
        </w:rPr>
        <w:t xml:space="preserve">(recognizing “the now-uncontroversial fact of universal non-readership”); </w:t>
      </w:r>
      <w:r w:rsidRPr="00D75BE3">
        <w:rPr>
          <w:rFonts w:asciiTheme="majorBidi" w:hAnsiTheme="majorBidi" w:cstheme="majorBidi"/>
        </w:rPr>
        <w:t xml:space="preserve">Hoffman,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_Ref428734604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t xml:space="preserve"> at</w:t>
      </w:r>
      <w:r w:rsidRPr="00D75BE3">
        <w:rPr>
          <w:rFonts w:asciiTheme="majorBidi" w:hAnsiTheme="majorBidi" w:cstheme="majorBidi"/>
        </w:rPr>
        <w:t xml:space="preserve"> </w:t>
      </w:r>
      <w:r>
        <w:rPr>
          <w:rFonts w:asciiTheme="majorBidi" w:hAnsiTheme="majorBidi" w:cstheme="majorBidi"/>
        </w:rPr>
        <w:t xml:space="preserve">1605 </w:t>
      </w:r>
      <w:r w:rsidRPr="00EE7B96">
        <w:rPr>
          <w:rFonts w:ascii="Times New Roman" w:hAnsi="Times New Roman"/>
        </w:rPr>
        <w:t xml:space="preserve">(“[O]f course, almost no one reads any of these additional, increasingly long contracts.”); Zev J. Eigen, </w:t>
      </w:r>
      <w:r w:rsidRPr="00EE7B96">
        <w:rPr>
          <w:rFonts w:ascii="Times New Roman" w:hAnsi="Times New Roman"/>
          <w:i/>
          <w:iCs/>
        </w:rPr>
        <w:t>Experimental Evidence of the Relationship between Reading the Fine Print and Performance of Form-Contract Terms</w:t>
      </w:r>
      <w:r w:rsidRPr="00EE7B96">
        <w:rPr>
          <w:rFonts w:ascii="Times New Roman" w:hAnsi="Times New Roman"/>
        </w:rPr>
        <w:t xml:space="preserve">, 168 </w:t>
      </w:r>
      <w:r w:rsidRPr="00EE7B96">
        <w:rPr>
          <w:rFonts w:ascii="Times New Roman" w:hAnsi="Times New Roman"/>
          <w:smallCaps/>
        </w:rPr>
        <w:t>J. Inst. &amp; Theoretical Econ.</w:t>
      </w:r>
      <w:r w:rsidRPr="00EE7B96">
        <w:rPr>
          <w:rFonts w:ascii="Times New Roman" w:hAnsi="Times New Roman"/>
        </w:rPr>
        <w:t xml:space="preserve"> 124, 132 (2012) (finding that almost a third of the study’s participants did not review their online form contract at all, and the mean time spent reviewing the contract among the remaining particip</w:t>
      </w:r>
      <w:r>
        <w:rPr>
          <w:rFonts w:ascii="Times New Roman" w:hAnsi="Times New Roman"/>
        </w:rPr>
        <w:t>ants was less than two minutes);</w:t>
      </w:r>
      <w:r w:rsidRPr="00775331">
        <w:rPr>
          <w:rFonts w:ascii="Times New Roman" w:hAnsi="Times New Roman"/>
        </w:rPr>
        <w:t xml:space="preserve"> </w:t>
      </w:r>
      <w:r w:rsidRPr="00EE7B96">
        <w:rPr>
          <w:rFonts w:ascii="Times New Roman" w:hAnsi="Times New Roman"/>
        </w:rPr>
        <w:t xml:space="preserve">Bakos et al., </w:t>
      </w:r>
      <w:r w:rsidRPr="00EE7B96">
        <w:rPr>
          <w:rFonts w:ascii="Times New Roman" w:hAnsi="Times New Roman"/>
          <w:i/>
        </w:rPr>
        <w:t xml:space="preserve">supra </w:t>
      </w:r>
      <w:r>
        <w:rPr>
          <w:rFonts w:ascii="Times New Roman" w:hAnsi="Times New Roman"/>
        </w:rPr>
        <w:t xml:space="preserve">note 1, at 3 (finding that </w:t>
      </w:r>
      <w:r w:rsidRPr="00AA7A73">
        <w:rPr>
          <w:szCs w:val="24"/>
        </w:rPr>
        <w:t>“only one or two in 1,000 shoppers access a product’s EULA for at least 1 second”</w:t>
      </w:r>
      <w:r>
        <w:rPr>
          <w:szCs w:val="24"/>
        </w:rPr>
        <w:t>);</w:t>
      </w:r>
    </w:p>
  </w:footnote>
  <w:footnote w:id="81">
    <w:p w14:paraId="11718376" w14:textId="297461B7" w:rsidR="001C663E" w:rsidRPr="00EE7B96" w:rsidRDefault="001C663E" w:rsidP="00A16004">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See, e.g.</w:t>
      </w:r>
      <w:r w:rsidRPr="00EE7B96">
        <w:rPr>
          <w:rFonts w:ascii="Times New Roman" w:hAnsi="Times New Roman"/>
          <w:iCs/>
        </w:rPr>
        <w:t>,</w:t>
      </w:r>
      <w:r w:rsidRPr="00EE7B96">
        <w:rPr>
          <w:rFonts w:ascii="Times New Roman" w:hAnsi="Times New Roman"/>
          <w:i/>
          <w:iCs/>
        </w:rPr>
        <w:t xml:space="preserve"> </w:t>
      </w:r>
      <w:r w:rsidRPr="00EE7B96">
        <w:rPr>
          <w:rFonts w:ascii="Times New Roman" w:hAnsi="Times New Roman"/>
        </w:rPr>
        <w:t xml:space="preserve">Korobkin,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at 1206;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3, at 15–16;</w:t>
      </w:r>
      <w:r w:rsidRPr="00EE7B96">
        <w:rPr>
          <w:rFonts w:ascii="Times New Roman" w:hAnsi="Times New Roman"/>
        </w:rPr>
        <w:t xml:space="preserve">  </w:t>
      </w:r>
      <w:r w:rsidRPr="00EE7B96">
        <w:rPr>
          <w:rFonts w:ascii="Times New Roman" w:hAnsi="Times New Roman"/>
          <w:i/>
          <w:iCs/>
        </w:rPr>
        <w:t xml:space="preserve"> </w:t>
      </w:r>
      <w:r w:rsidRPr="00EE7B96">
        <w:rPr>
          <w:rFonts w:ascii="Times New Roman" w:hAnsi="Times New Roman"/>
          <w:smallCaps/>
        </w:rPr>
        <w:t>Radin</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4–9</w:t>
      </w:r>
      <w:r>
        <w:rPr>
          <w:rFonts w:ascii="Times New Roman" w:hAnsi="Times New Roman"/>
        </w:rPr>
        <w:t>.</w:t>
      </w:r>
    </w:p>
  </w:footnote>
  <w:footnote w:id="82">
    <w:p w14:paraId="4F508EA5" w14:textId="3E0CF1E3" w:rsidR="001C663E" w:rsidRPr="004E2257" w:rsidRDefault="001C663E">
      <w:pPr>
        <w:pStyle w:val="FootnoteText"/>
      </w:pPr>
      <w:r>
        <w:rPr>
          <w:rStyle w:val="FootnoteReference"/>
        </w:rPr>
        <w:footnoteRef/>
      </w:r>
      <w:r>
        <w:t xml:space="preserve"> </w:t>
      </w:r>
      <w:r w:rsidRPr="007C5EF8">
        <w:rPr>
          <w:i/>
          <w:iCs/>
        </w:rPr>
        <w:t>See</w:t>
      </w:r>
      <w:r w:rsidRPr="00462FC3">
        <w:rPr>
          <w:i/>
        </w:rPr>
        <w:t>, e.g.</w:t>
      </w:r>
      <w:r>
        <w:t xml:space="preserve">, Xavier Gabaix &amp; David Laibson, </w:t>
      </w:r>
      <w:r>
        <w:rPr>
          <w:i/>
          <w:iCs/>
        </w:rPr>
        <w:t>Shrouded Attributes, Consumer Myopia and Information Suppression in Competitive Markets</w:t>
      </w:r>
      <w:r>
        <w:t xml:space="preserve">, 121 </w:t>
      </w:r>
      <w:r w:rsidRPr="00462FC3">
        <w:rPr>
          <w:smallCaps/>
        </w:rPr>
        <w:t>Q. J. Econ.</w:t>
      </w:r>
      <w:r>
        <w:t xml:space="preserve"> 505 (2006) (observing that “informational shrouding flourishes even in highly competitive markets, even in markets with costless advertising, and even when the shrouding generates allocational inefficiencies”). </w:t>
      </w:r>
    </w:p>
  </w:footnote>
  <w:footnote w:id="83">
    <w:p w14:paraId="1AB39228" w14:textId="3B5B0D43" w:rsidR="001C663E" w:rsidRPr="00EE7B96" w:rsidRDefault="001C663E" w:rsidP="00A16004">
      <w:pPr>
        <w:pStyle w:val="FootnoteText"/>
        <w:rPr>
          <w:rFonts w:ascii="Times New Roman" w:hAnsi="Times New Roman"/>
          <w:highlight w:val="gree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 xml:space="preserve">note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w:t>
      </w:r>
      <w:r w:rsidRPr="00EE7B96">
        <w:rPr>
          <w:rFonts w:ascii="Times New Roman" w:hAnsi="Times New Roman"/>
        </w:rPr>
        <w:t xml:space="preserve">Korobkin,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In the employment context, </w:t>
      </w:r>
      <w:r w:rsidRPr="00EE7B96">
        <w:rPr>
          <w:rFonts w:ascii="Times New Roman" w:hAnsi="Times New Roman"/>
          <w:i/>
          <w:iCs/>
        </w:rPr>
        <w:t xml:space="preserve">see </w:t>
      </w:r>
      <w:r w:rsidRPr="00EE7B96">
        <w:rPr>
          <w:rFonts w:ascii="Times New Roman" w:hAnsi="Times New Roman"/>
        </w:rPr>
        <w:t xml:space="preserve">Rachel Arnow-Richman, </w:t>
      </w:r>
      <w:r w:rsidRPr="00EE7B96">
        <w:rPr>
          <w:rFonts w:ascii="Times New Roman" w:hAnsi="Times New Roman"/>
          <w:i/>
          <w:iCs/>
        </w:rPr>
        <w:t>Cubewrap Contracts and Worker Mobility: The Dilution of Employee Bargaining Power via Standard Form Noncompetes</w:t>
      </w:r>
      <w:r w:rsidRPr="00EE7B96">
        <w:rPr>
          <w:rFonts w:ascii="Times New Roman" w:hAnsi="Times New Roman"/>
        </w:rPr>
        <w:t xml:space="preserve">, 2006 </w:t>
      </w:r>
      <w:r w:rsidRPr="00EE7B96">
        <w:rPr>
          <w:rFonts w:ascii="Times New Roman" w:hAnsi="Times New Roman"/>
          <w:smallCaps/>
        </w:rPr>
        <w:t>Mich. St. L. Rev</w:t>
      </w:r>
      <w:r w:rsidRPr="00EE7B96">
        <w:rPr>
          <w:rFonts w:ascii="Times New Roman" w:hAnsi="Times New Roman"/>
        </w:rPr>
        <w:t>. 963, 981 (2006).</w:t>
      </w:r>
    </w:p>
  </w:footnote>
  <w:footnote w:id="84">
    <w:p w14:paraId="75FAC05A" w14:textId="2EB6A337" w:rsidR="001C663E" w:rsidRPr="00775331" w:rsidRDefault="001C663E"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Gilo &amp; Porat,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_Ref429219618 \h </w:instrText>
      </w:r>
      <w:r>
        <w:rPr>
          <w:rFonts w:ascii="Times New Roman" w:hAnsi="Times New Roman"/>
        </w:rPr>
      </w:r>
      <w:r>
        <w:rPr>
          <w:rFonts w:ascii="Times New Roman" w:hAnsi="Times New Roman"/>
        </w:rPr>
        <w:fldChar w:fldCharType="separate"/>
      </w:r>
      <w:r>
        <w:rPr>
          <w:rFonts w:ascii="Times New Roman" w:hAnsi="Times New Roman"/>
        </w:rPr>
        <w:t>83</w:t>
      </w:r>
      <w:r>
        <w:rPr>
          <w:rFonts w:ascii="Times New Roman" w:hAnsi="Times New Roman"/>
        </w:rPr>
        <w:fldChar w:fldCharType="end"/>
      </w:r>
      <w:r w:rsidRPr="00EE7B96">
        <w:rPr>
          <w:rFonts w:ascii="Times New Roman" w:hAnsi="Times New Roman"/>
        </w:rPr>
        <w:t xml:space="preserve">, at 985 (observing that “there is a risk that the supplier will extract payment from the consumer without the latter being aware of the fact that the payment does not reflect the reduction of value due to the harsh clause”); </w:t>
      </w:r>
      <w:r w:rsidRPr="00EE7B96">
        <w:rPr>
          <w:rFonts w:ascii="Times New Roman" w:hAnsi="Times New Roman"/>
          <w:i/>
        </w:rPr>
        <w:t>see also</w:t>
      </w:r>
      <w:r w:rsidRPr="00EE7B96">
        <w:rPr>
          <w:rFonts w:ascii="Times New Roman" w:hAnsi="Times New Roman"/>
        </w:rPr>
        <w:t xml:space="preserve"> Thomas J. Miceli &amp; Kathleen Segerson, </w:t>
      </w:r>
      <w:r w:rsidRPr="00EE7B96">
        <w:rPr>
          <w:rFonts w:ascii="Times New Roman" w:hAnsi="Times New Roman"/>
          <w:i/>
          <w:iCs/>
        </w:rPr>
        <w:t xml:space="preserve">Liability versus Regulation for Dangerous Products when Consumers Vary in their Susceptibility to Harm and May Misperceive Risk </w:t>
      </w:r>
      <w:r w:rsidRPr="00EE7B96">
        <w:rPr>
          <w:rFonts w:ascii="Times New Roman" w:hAnsi="Times New Roman"/>
        </w:rPr>
        <w:t xml:space="preserve">9 </w:t>
      </w:r>
      <w:r w:rsidRPr="00EE7B96">
        <w:rPr>
          <w:rFonts w:ascii="Times New Roman" w:hAnsi="Times New Roman"/>
          <w:smallCaps/>
        </w:rPr>
        <w:t>Rev. L. &amp; Econ.</w:t>
      </w:r>
      <w:r w:rsidRPr="00EE7B96">
        <w:rPr>
          <w:rFonts w:ascii="Times New Roman" w:hAnsi="Times New Roman"/>
        </w:rPr>
        <w:t xml:space="preserve"> 341 (2013) (arguing that when consumers misperceive risk, the application of strict product liability may be preferred because the price of the product will then accurately reflect the associated risk). </w:t>
      </w:r>
      <w:r w:rsidRPr="00AA7A73">
        <w:rPr>
          <w:szCs w:val="24"/>
        </w:rPr>
        <w:t>Similarly, consumers may underestimate how much they can borrow on their credit cards and overestimate their ability to pay their bills in time. As a result, credit card issuers can increase their late fees while lowering the more salient, annual fees, which will entice such consumer</w:t>
      </w:r>
      <w:r>
        <w:rPr>
          <w:szCs w:val="24"/>
        </w:rPr>
        <w:t xml:space="preserve">s into agreeing to the contract. </w:t>
      </w:r>
      <w:r>
        <w:rPr>
          <w:i/>
          <w:iCs/>
          <w:szCs w:val="24"/>
        </w:rPr>
        <w:t xml:space="preserve">See, e.g.,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at 15–16; </w:t>
      </w:r>
      <w:r w:rsidRPr="00EE7B96">
        <w:rPr>
          <w:rFonts w:ascii="Times New Roman" w:hAnsi="Times New Roman"/>
          <w:smallCaps/>
        </w:rPr>
        <w:t xml:space="preserve">Michael </w:t>
      </w:r>
      <w:r w:rsidRPr="00EE7B96">
        <w:rPr>
          <w:rFonts w:ascii="Times New Roman" w:hAnsi="Times New Roman"/>
        </w:rPr>
        <w:t xml:space="preserve">S. </w:t>
      </w:r>
      <w:r w:rsidRPr="00EE7B96">
        <w:rPr>
          <w:rFonts w:ascii="Times New Roman" w:hAnsi="Times New Roman"/>
          <w:smallCaps/>
        </w:rPr>
        <w:t>Barr, Sendhil Mullaintahan, &amp; Eldar Shafir</w:t>
      </w:r>
      <w:r w:rsidRPr="00EE7B96">
        <w:rPr>
          <w:rFonts w:ascii="Times New Roman" w:hAnsi="Times New Roman"/>
        </w:rPr>
        <w:t xml:space="preserve">, </w:t>
      </w:r>
      <w:r w:rsidRPr="00EE7B96">
        <w:rPr>
          <w:rFonts w:ascii="Times New Roman" w:hAnsi="Times New Roman"/>
          <w:smallCaps/>
        </w:rPr>
        <w:t>Behaviorally Informed Financial Services Regulation</w:t>
      </w:r>
      <w:r w:rsidRPr="00EE7B96">
        <w:rPr>
          <w:rFonts w:ascii="Times New Roman" w:hAnsi="Times New Roman"/>
        </w:rPr>
        <w:t xml:space="preserve"> 12 (New Am. Found. 2008).</w:t>
      </w:r>
    </w:p>
  </w:footnote>
  <w:footnote w:id="85">
    <w:p w14:paraId="5FF1A21A" w14:textId="18742693" w:rsidR="001C663E" w:rsidRPr="00EE7B96" w:rsidRDefault="001C663E"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15–16.</w:t>
      </w:r>
    </w:p>
  </w:footnote>
  <w:footnote w:id="86">
    <w:p w14:paraId="53E4A366" w14:textId="77777777" w:rsidR="001C663E" w:rsidRPr="00EE7B96" w:rsidRDefault="001C663E"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Id</w:t>
      </w:r>
      <w:r w:rsidRPr="00EE7B96">
        <w:rPr>
          <w:rFonts w:ascii="Times New Roman" w:hAnsi="Times New Roman"/>
        </w:rPr>
        <w:t xml:space="preserve">. at 16. </w:t>
      </w:r>
    </w:p>
  </w:footnote>
  <w:footnote w:id="87">
    <w:p w14:paraId="0D04C5ED" w14:textId="6B99920E" w:rsidR="001C663E" w:rsidRPr="00733E1B" w:rsidRDefault="001C663E" w:rsidP="00E37C38">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i/>
          <w:iCs/>
        </w:rPr>
        <w:t xml:space="preserve">See </w:t>
      </w:r>
      <w:r w:rsidRPr="00D75BE3">
        <w:rPr>
          <w:rFonts w:asciiTheme="majorBidi" w:hAnsiTheme="majorBidi" w:cstheme="majorBidi"/>
          <w:smallCaps/>
        </w:rPr>
        <w:t>Bar-Gill</w:t>
      </w:r>
      <w:r w:rsidRPr="00D75BE3">
        <w:rPr>
          <w:rFonts w:asciiTheme="majorBidi" w:hAnsiTheme="majorBidi" w:cstheme="majorBidi"/>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_Ref428735849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w:t>
      </w:r>
      <w:r w:rsidRPr="00D75BE3">
        <w:rPr>
          <w:rFonts w:asciiTheme="majorBidi" w:hAnsiTheme="majorBidi" w:cstheme="majorBidi"/>
        </w:rPr>
        <w:fldChar w:fldCharType="end"/>
      </w:r>
      <w:r>
        <w:rPr>
          <w:rFonts w:asciiTheme="majorBidi" w:hAnsiTheme="majorBidi" w:cstheme="majorBidi"/>
        </w:rPr>
        <w:t xml:space="preserve">, at 2. </w:t>
      </w:r>
    </w:p>
  </w:footnote>
  <w:footnote w:id="88">
    <w:p w14:paraId="55DD86A7" w14:textId="1315BC5C" w:rsidR="001C663E" w:rsidRPr="00D75BE3" w:rsidRDefault="001C663E">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Id.</w:t>
      </w:r>
    </w:p>
  </w:footnote>
  <w:footnote w:id="89">
    <w:p w14:paraId="034C367B" w14:textId="74ED1EFA" w:rsidR="001C663E" w:rsidRPr="004E2257" w:rsidRDefault="001C663E" w:rsidP="004E2257">
      <w:pPr>
        <w:pStyle w:val="FootnoteText"/>
      </w:pPr>
      <w:r>
        <w:rPr>
          <w:rStyle w:val="FootnoteReference"/>
        </w:rPr>
        <w:footnoteRef/>
      </w:r>
      <w:r>
        <w:t xml:space="preserve"> </w:t>
      </w:r>
      <w:r>
        <w:rPr>
          <w:i/>
          <w:iCs/>
        </w:rPr>
        <w:t>See, e.g.</w:t>
      </w:r>
      <w:r>
        <w:t xml:space="preserve">, Zamir &amp; Ayres, </w:t>
      </w:r>
      <w:r>
        <w:rPr>
          <w:i/>
          <w:iCs/>
        </w:rPr>
        <w:t xml:space="preserve">supra </w:t>
      </w:r>
      <w:r>
        <w:t xml:space="preserve">note </w:t>
      </w:r>
      <w:r>
        <w:fldChar w:fldCharType="begin"/>
      </w:r>
      <w:r>
        <w:instrText xml:space="preserve"> NOTEREF _Ref429219518 \h </w:instrText>
      </w:r>
      <w:r>
        <w:fldChar w:fldCharType="separate"/>
      </w:r>
      <w:r>
        <w:t>7</w:t>
      </w:r>
      <w:r>
        <w:fldChar w:fldCharType="end"/>
      </w:r>
      <w:r>
        <w:t xml:space="preserve">, at 1 (noting that “market failures (including behavioral ones) call for serious consideration of regulation, and continuing to analyze the optimal design of mandatory rules). </w:t>
      </w:r>
    </w:p>
  </w:footnote>
  <w:footnote w:id="90">
    <w:p w14:paraId="5EC5B19E" w14:textId="1282CAAE" w:rsidR="001C663E" w:rsidRPr="00066485" w:rsidRDefault="001C663E" w:rsidP="0018663E">
      <w:pPr>
        <w:pStyle w:val="FootnoteText"/>
      </w:pPr>
      <w:r>
        <w:rPr>
          <w:rStyle w:val="FootnoteReference"/>
        </w:rPr>
        <w:footnoteRef/>
      </w:r>
      <w:r>
        <w:t xml:space="preserve"> </w:t>
      </w:r>
      <w:r>
        <w:rPr>
          <w:i/>
          <w:iCs/>
        </w:rPr>
        <w:t xml:space="preserve">Id. </w:t>
      </w:r>
      <w:r>
        <w:t>at 3 (describing the normative position of various scholars who support minimal regulation of consumer markets).</w:t>
      </w:r>
    </w:p>
  </w:footnote>
  <w:footnote w:id="91">
    <w:p w14:paraId="55B9F94B" w14:textId="3733D48D" w:rsidR="001C663E" w:rsidRPr="00D75BE3" w:rsidRDefault="001C663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488 (1970). </w:t>
      </w:r>
    </w:p>
  </w:footnote>
  <w:footnote w:id="92">
    <w:p w14:paraId="65C5E5FC" w14:textId="1C643B57" w:rsidR="001C663E" w:rsidRPr="00D75BE3" w:rsidRDefault="001C663E"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706</w:t>
      </w:r>
    </w:p>
  </w:footnote>
  <w:footnote w:id="93">
    <w:p w14:paraId="050F778E" w14:textId="3033EB8C" w:rsidR="001C663E" w:rsidRPr="00D75BE3" w:rsidRDefault="001C663E"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(finding that most tenants in an experimental survey acquiesced to whatever their lease terms said, even when they contained unenforceable liability disclaimers); 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 __</w:t>
      </w:r>
      <w:r w:rsidRPr="00D75BE3">
        <w:rPr>
          <w:rFonts w:asciiTheme="majorBidi" w:hAnsiTheme="majorBidi" w:cstheme="majorBidi"/>
        </w:rPr>
        <w:t xml:space="preserve"> (forthcoming 2020);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84</w:t>
      </w:r>
      <w:r>
        <w:rPr>
          <w:rFonts w:asciiTheme="majorBidi" w:hAnsiTheme="majorBidi" w:cstheme="majorBidi"/>
        </w:rPr>
        <w:fldChar w:fldCharType="end"/>
      </w:r>
      <w:r w:rsidRPr="00D75BE3">
        <w:rPr>
          <w:rFonts w:ascii="Times New Roman" w:hAnsi="Times New Roman"/>
        </w:rPr>
        <w:t>.</w:t>
      </w:r>
    </w:p>
  </w:footnote>
  <w:footnote w:id="94">
    <w:p w14:paraId="2F7E93B3" w14:textId="7B38D21E" w:rsidR="001C663E" w:rsidRPr="00D75BE3" w:rsidRDefault="001C663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del w:id="311" w:author="Susan" w:date="2019-09-06T00:26:00Z">
        <w:r w:rsidRPr="00D75BE3" w:rsidDel="003A4E70">
          <w:rPr>
            <w:rFonts w:asciiTheme="majorBidi" w:hAnsiTheme="majorBidi" w:cstheme="majorBidi"/>
          </w:rPr>
          <w:delText xml:space="preserve"> </w:delText>
        </w:r>
      </w:del>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 due to “moral commitments, social n</w:t>
      </w:r>
      <w:r>
        <w:rPr>
          <w:rFonts w:asciiTheme="majorBidi" w:hAnsiTheme="majorBidi" w:cstheme="majorBidi"/>
        </w:rPr>
        <w:t>orms, and motivated reasoning”).</w:t>
      </w:r>
    </w:p>
  </w:footnote>
  <w:footnote w:id="95">
    <w:p w14:paraId="37AA8101" w14:textId="3743D55D" w:rsidR="001C663E" w:rsidRPr="00D75BE3" w:rsidRDefault="001C663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(2013) (finding that people maintained that it was fair to hold signees to fine print terms they had not read, even if the terms were buried in a contract that they believed to be unreasonably lengthy).</w:t>
      </w:r>
    </w:p>
  </w:footnote>
  <w:footnote w:id="96">
    <w:p w14:paraId="62E03B39" w14:textId="3E9868DD" w:rsidR="001C663E" w:rsidRPr="00D75BE3" w:rsidRDefault="001C663E"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84</w:t>
      </w:r>
      <w:r>
        <w:rPr>
          <w:rFonts w:asciiTheme="majorBidi" w:hAnsiTheme="majorBidi" w:cstheme="majorBidi"/>
        </w:rPr>
        <w:fldChar w:fldCharType="end"/>
      </w:r>
      <w:r w:rsidRPr="00D75BE3">
        <w:rPr>
          <w:rFonts w:asciiTheme="majorBidi" w:hAnsiTheme="majorBidi" w:cstheme="majorBidi"/>
        </w:rPr>
        <w:t>.</w:t>
      </w:r>
    </w:p>
  </w:footnote>
  <w:footnote w:id="97">
    <w:p w14:paraId="4F4CE621" w14:textId="11DAFF39" w:rsidR="001C663E" w:rsidRPr="00D75BE3" w:rsidRDefault="001C663E" w:rsidP="0080639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In a similar vein, Dennis P. Stolle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98">
    <w:p w14:paraId="54255375" w14:textId="0E9909B7" w:rsidR="001C663E" w:rsidRPr="00D75BE3" w:rsidRDefault="001C663E"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w:t>
      </w:r>
    </w:p>
  </w:footnote>
  <w:footnote w:id="99">
    <w:p w14:paraId="553A92A9" w14:textId="35AD4899" w:rsidR="001C663E" w:rsidRPr="00D75BE3" w:rsidRDefault="001C663E" w:rsidP="00A16004">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sidRPr="00D75BE3">
        <w:t xml:space="preserve"> (</w:t>
      </w:r>
      <w:r w:rsidRPr="00D75BE3">
        <w:rPr>
          <w:rFonts w:asciiTheme="majorBidi" w:hAnsiTheme="majorBidi" w:cstheme="majorBidi"/>
        </w:rPr>
        <w:t xml:space="preserve">Zamir,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2100;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p>
    <w:p w14:paraId="42CDF478" w14:textId="614B40F5" w:rsidR="001C663E" w:rsidRPr="00D75BE3" w:rsidRDefault="001C663E" w:rsidP="00A014D9">
      <w:pPr>
        <w:pStyle w:val="FootnoteText"/>
      </w:pPr>
    </w:p>
  </w:footnote>
  <w:footnote w:id="100">
    <w:p w14:paraId="2B0F6E6A" w14:textId="7628F190" w:rsidR="001C663E" w:rsidRPr="00D75BE3" w:rsidRDefault="001C663E"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858.</w:t>
      </w:r>
    </w:p>
  </w:footnote>
  <w:footnote w:id="101">
    <w:p w14:paraId="485E0DAA" w14:textId="61884EDB" w:rsidR="001C663E" w:rsidRPr="00532B9F" w:rsidRDefault="001C663E" w:rsidP="00532B9F">
      <w:pPr>
        <w:pStyle w:val="FootnoteText"/>
      </w:pPr>
      <w:r>
        <w:rPr>
          <w:rStyle w:val="FootnoteReference"/>
        </w:rPr>
        <w:footnoteRef/>
      </w:r>
      <w:r>
        <w:t xml:space="preserve"> For a similar assertion, </w:t>
      </w:r>
      <w:r>
        <w:rPr>
          <w:i/>
          <w:iCs/>
        </w:rPr>
        <w:t xml:space="preserve">see Gillette, supra </w:t>
      </w:r>
      <w:r>
        <w:t xml:space="preserve">note </w:t>
      </w:r>
      <w:r>
        <w:fldChar w:fldCharType="begin"/>
      </w:r>
      <w:r>
        <w:instrText xml:space="preserve"> NOTEREF _Ref18535838 \h </w:instrText>
      </w:r>
      <w:r>
        <w:fldChar w:fldCharType="separate"/>
      </w:r>
      <w:r>
        <w:t>3</w:t>
      </w:r>
      <w:r>
        <w:fldChar w:fldCharType="end"/>
      </w:r>
      <w:r>
        <w:t xml:space="preserve">, at 706. </w:t>
      </w:r>
    </w:p>
  </w:footnote>
  <w:footnote w:id="102">
    <w:p w14:paraId="7ACF66C2" w14:textId="50E20D7D" w:rsidR="001C663E" w:rsidRPr="00D75BE3" w:rsidRDefault="001C663E" w:rsidP="002D6B0E">
      <w:pPr>
        <w:pStyle w:val="FootnoteText"/>
      </w:pPr>
      <w:r w:rsidRPr="00D75BE3">
        <w:rPr>
          <w:rStyle w:val="FootnoteReference"/>
        </w:rPr>
        <w:footnoteRef/>
      </w:r>
      <w:r w:rsidRPr="00D75BE3">
        <w:t xml:space="preserve"> </w:t>
      </w:r>
      <w:r>
        <w:t>R</w:t>
      </w:r>
      <w:r w:rsidRPr="00D75BE3">
        <w:t xml:space="preserve">egressive distributional concerns might yield different policy prescriptions than an analysis that only addresses overall efficiency (or welfare). </w:t>
      </w:r>
      <w:r w:rsidRPr="00D75BE3">
        <w:rPr>
          <w:i/>
          <w:iCs/>
        </w:rPr>
        <w:t>See, e.g.</w:t>
      </w:r>
      <w:r w:rsidRPr="00D75BE3">
        <w:t xml:space="preserve">, Daphna Levinson-Zamir, </w:t>
      </w:r>
      <w:r w:rsidRPr="00462FC3">
        <w:rPr>
          <w:i/>
          <w:iCs/>
        </w:rPr>
        <w:t>In Defense of Redistribution Through Private Law</w:t>
      </w:r>
      <w:r w:rsidRPr="00D75BE3">
        <w:t xml:space="preserve">, 91 </w:t>
      </w:r>
      <w:r w:rsidRPr="00D75BE3">
        <w:rPr>
          <w:smallCaps/>
        </w:rPr>
        <w:t>Minn. L. Rev.</w:t>
      </w:r>
      <w:r w:rsidRPr="00D75BE3">
        <w:t xml:space="preserve"> 326 (2006);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 (2016). </w:t>
      </w:r>
    </w:p>
  </w:footnote>
  <w:footnote w:id="103">
    <w:p w14:paraId="0A0B973A" w14:textId="261C96BA" w:rsidR="001C663E" w:rsidRPr="00D75BE3" w:rsidRDefault="001C663E" w:rsidP="0010590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xml:space="preserve">. 92 (2001);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 xml:space="preserve">34 (2014);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 xml:space="preserve">(2014);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in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Series in Political Psychology: Social and Psychological Bases of Ideology and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 xml:space="preserve">(2009);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lower-classes people and racial minorities tend to result in a lack of assertiveness or lack of a sense of entitlement, thereby limiting their access to educational and job opportunities later in life).</w:t>
      </w:r>
    </w:p>
  </w:footnote>
  <w:footnote w:id="104">
    <w:p w14:paraId="79B540D1" w14:textId="72856BBB" w:rsidR="001C663E" w:rsidRPr="00D75BE3" w:rsidRDefault="001C663E"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 </w:t>
      </w:r>
    </w:p>
  </w:footnote>
  <w:footnote w:id="105">
    <w:p w14:paraId="249A0866" w14:textId="38E725BE" w:rsidR="001C663E" w:rsidRPr="00D81301" w:rsidRDefault="001C663E" w:rsidP="00A34E52">
      <w:pPr>
        <w:rPr>
          <w:sz w:val="20"/>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sidRPr="00D81301">
        <w:rPr>
          <w:rFonts w:asciiTheme="majorBidi" w:hAnsiTheme="majorBidi" w:cstheme="majorBidi"/>
          <w:sz w:val="20"/>
        </w:rPr>
        <w:fldChar w:fldCharType="begin"/>
      </w:r>
      <w:r w:rsidRPr="00D81301">
        <w:rPr>
          <w:rFonts w:asciiTheme="majorBidi" w:hAnsiTheme="majorBidi" w:cstheme="majorBidi"/>
          <w:sz w:val="20"/>
        </w:rPr>
        <w:instrText xml:space="preserve"> NOTEREF _Ref17754689 \h  \* MERGEFORMAT </w:instrText>
      </w:r>
      <w:r w:rsidRPr="00D81301">
        <w:rPr>
          <w:rFonts w:asciiTheme="majorBidi" w:hAnsiTheme="majorBidi" w:cstheme="majorBidi"/>
          <w:sz w:val="20"/>
        </w:rPr>
      </w:r>
      <w:r w:rsidRPr="00D81301">
        <w:rPr>
          <w:rFonts w:asciiTheme="majorBidi" w:hAnsiTheme="majorBidi" w:cstheme="majorBidi"/>
          <w:sz w:val="20"/>
        </w:rPr>
        <w:fldChar w:fldCharType="separate"/>
      </w:r>
      <w:r>
        <w:rPr>
          <w:rFonts w:asciiTheme="majorBidi" w:hAnsiTheme="majorBidi" w:cstheme="majorBidi"/>
          <w:sz w:val="20"/>
        </w:rPr>
        <w:t>97</w:t>
      </w:r>
      <w:r w:rsidRPr="00D81301">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that nonwhite participants were inclined to see the consumer as more bound by the fine print than nonwhite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 xml:space="preserve">Jessica M. Choplin et. al.,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(explaining that </w:t>
      </w:r>
    </w:p>
    <w:p w14:paraId="39848D55" w14:textId="3449F78D" w:rsidR="001C663E" w:rsidRPr="00D75BE3" w:rsidRDefault="001C663E" w:rsidP="002C5D06">
      <w:pPr>
        <w:pStyle w:val="FootnoteText"/>
        <w:rPr>
          <w:rFonts w:asciiTheme="majorBidi" w:hAnsiTheme="majorBidi" w:cstheme="majorBidi"/>
        </w:rPr>
      </w:pPr>
    </w:p>
  </w:footnote>
  <w:footnote w:id="106">
    <w:p w14:paraId="6D0C3629" w14:textId="6A387F18" w:rsidR="001C663E" w:rsidRPr="00D75BE3" w:rsidRDefault="001C663E" w:rsidP="009A082A">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David (rug store) (recorded interview on file with the Author). </w:t>
      </w:r>
    </w:p>
  </w:footnote>
  <w:footnote w:id="107">
    <w:p w14:paraId="413AFAD1" w14:textId="569F7415" w:rsidR="001C663E" w:rsidRPr="00D75BE3" w:rsidRDefault="001C663E"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asking to speak to the store’s manager</w:t>
      </w:r>
      <w:r w:rsidRPr="00D75BE3">
        <w:t xml:space="preserve">.  </w:t>
      </w:r>
    </w:p>
  </w:footnote>
  <w:footnote w:id="108">
    <w:p w14:paraId="51DE2FA4" w14:textId="4B922015" w:rsidR="001C663E" w:rsidRPr="00D75BE3" w:rsidRDefault="001C663E" w:rsidP="00C02506">
      <w:pPr>
        <w:widowControl/>
        <w:autoSpaceDE w:val="0"/>
        <w:autoSpaceDN w:val="0"/>
        <w:adjustRightInd w:val="0"/>
        <w:jc w:val="left"/>
        <w:rPr>
          <w:rFonts w:asciiTheme="majorBidi" w:hAnsiTheme="majorBidi" w:cstheme="majorBidi"/>
          <w:color w:val="000000"/>
          <w:sz w:val="20"/>
          <w:lang w:bidi="he-IL"/>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sz w:val="20"/>
        </w:rPr>
        <w:t>42 U.S.C. §</w:t>
      </w:r>
      <w:r w:rsidRPr="00D75BE3">
        <w:rPr>
          <w:rFonts w:asciiTheme="majorBidi" w:hAnsiTheme="majorBidi" w:cstheme="majorBidi"/>
          <w:sz w:val="20"/>
        </w:rPr>
        <w:t>§</w:t>
      </w:r>
      <w:r w:rsidRPr="00D75BE3">
        <w:rPr>
          <w:sz w:val="20"/>
        </w:rPr>
        <w:t xml:space="preserve"> 1981(a), </w:t>
      </w:r>
      <w:r w:rsidRPr="00D75BE3">
        <w:rPr>
          <w:rFonts w:asciiTheme="majorBidi" w:hAnsiTheme="majorBidi" w:cstheme="majorBidi"/>
          <w:sz w:val="20"/>
        </w:rPr>
        <w:t>1981</w:t>
      </w:r>
      <w:r w:rsidRPr="00D75BE3">
        <w:rPr>
          <w:sz w:val="20"/>
        </w:rPr>
        <w:t>(b)</w:t>
      </w:r>
      <w:r w:rsidRPr="00D75BE3">
        <w:rPr>
          <w:rFonts w:asciiTheme="majorBidi" w:hAnsiTheme="majorBidi" w:cstheme="majorBidi"/>
          <w:sz w:val="20"/>
        </w:rPr>
        <w:t xml:space="preserve">. </w:t>
      </w:r>
      <w:r w:rsidRPr="00D75BE3">
        <w:rPr>
          <w:rFonts w:asciiTheme="majorBidi" w:hAnsiTheme="majorBidi" w:cstheme="majorBidi"/>
          <w:i/>
          <w:sz w:val="20"/>
        </w:rPr>
        <w:t>See also</w:t>
      </w:r>
      <w:r w:rsidRPr="00D75BE3">
        <w:rPr>
          <w:rFonts w:asciiTheme="majorBidi" w:hAnsiTheme="majorBidi" w:cstheme="majorBidi"/>
          <w:sz w:val="20"/>
        </w:rPr>
        <w:t xml:space="preserve"> </w:t>
      </w:r>
      <w:r w:rsidRPr="00D75BE3">
        <w:rPr>
          <w:rFonts w:asciiTheme="majorBidi" w:hAnsiTheme="majorBidi" w:cstheme="majorBidi"/>
          <w:sz w:val="20"/>
          <w:lang w:bidi="he-IL"/>
        </w:rPr>
        <w:t xml:space="preserve">Hill v. Kookies, Inc., 1999 WL 608713 (N.D. Ill. 1999) (applying Illinois law). </w:t>
      </w:r>
    </w:p>
    <w:p w14:paraId="53D682E4" w14:textId="77777777" w:rsidR="001C663E" w:rsidRPr="00D75BE3" w:rsidRDefault="001C663E" w:rsidP="004508DB">
      <w:pPr>
        <w:pStyle w:val="FootnoteText"/>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79E66CD3" w:rsidR="001C663E" w:rsidRPr="00CA354F" w:rsidRDefault="001C663E"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1A6567">
      <w:rPr>
        <w:rStyle w:val="PageNumber"/>
        <w:noProof/>
      </w:rPr>
      <w:t>38</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325" w:author="Susan" w:date="2019-09-06T00:34:00Z">
      <w:r w:rsidR="001A6567">
        <w:rPr>
          <w:rStyle w:val="PageNumber"/>
          <w:noProof/>
        </w:rPr>
        <w:t>6-Sep-19</w:t>
      </w:r>
    </w:ins>
    <w:del w:id="326" w:author="Susan" w:date="2019-09-06T00:34:00Z">
      <w:r w:rsidR="009F6724" w:rsidDel="001A6567">
        <w:rPr>
          <w:rStyle w:val="PageNumber"/>
          <w:noProof/>
        </w:rPr>
        <w:delText>5-Sep-19</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7B6892B6" w:rsidR="001C663E" w:rsidRPr="00CA354F" w:rsidRDefault="001C663E"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327" w:author="Susan" w:date="2019-09-06T00:34:00Z">
      <w:r w:rsidR="001A6567">
        <w:rPr>
          <w:noProof/>
        </w:rPr>
        <w:t>6-Sep-19</w:t>
      </w:r>
    </w:ins>
    <w:del w:id="328" w:author="Susan" w:date="2019-09-06T00:34:00Z">
      <w:r w:rsidR="009F6724" w:rsidDel="001A6567">
        <w:rPr>
          <w:noProof/>
        </w:rPr>
        <w:delText>5-Sep-19</w:delText>
      </w:r>
    </w:del>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sidR="001A6567">
      <w:rPr>
        <w:rStyle w:val="PageNumber"/>
        <w:noProof/>
      </w:rPr>
      <w:t>37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F53CC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3372"/>
    <w:multiLevelType w:val="hybridMultilevel"/>
    <w:tmpl w:val="CD721DDA"/>
    <w:lvl w:ilvl="0" w:tplc="7A6CF2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E438F"/>
    <w:multiLevelType w:val="multilevel"/>
    <w:tmpl w:val="D04481A8"/>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40FA7"/>
    <w:multiLevelType w:val="hybridMultilevel"/>
    <w:tmpl w:val="4AACF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4"/>
  </w:num>
  <w:num w:numId="3">
    <w:abstractNumId w:val="5"/>
  </w:num>
  <w:num w:numId="4">
    <w:abstractNumId w:val="12"/>
  </w:num>
  <w:num w:numId="5">
    <w:abstractNumId w:val="3"/>
  </w:num>
  <w:num w:numId="6">
    <w:abstractNumId w:val="2"/>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3"/>
    </w:lvlOverride>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9"/>
  </w:num>
  <w:num w:numId="24">
    <w:abstractNumId w:val="10"/>
  </w:num>
  <w:num w:numId="25">
    <w:abstractNumId w:val="7"/>
  </w:num>
  <w:num w:numId="26">
    <w:abstractNumId w:val="8"/>
  </w:num>
  <w:num w:numId="27">
    <w:abstractNumId w:val="0"/>
  </w:num>
  <w:num w:numId="28">
    <w:abstractNumId w:val="4"/>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Genevieve Lakier">
    <w15:presenceInfo w15:providerId="AD" w15:userId="S::glakier@uchicago.edu::3077a498-af87-45b4-875f-f293e47dc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16A2"/>
    <w:rsid w:val="00003F6D"/>
    <w:rsid w:val="00003FC1"/>
    <w:rsid w:val="00005A37"/>
    <w:rsid w:val="00007833"/>
    <w:rsid w:val="00007856"/>
    <w:rsid w:val="00013EFF"/>
    <w:rsid w:val="00016A15"/>
    <w:rsid w:val="00016B9E"/>
    <w:rsid w:val="00017D0A"/>
    <w:rsid w:val="00017EC5"/>
    <w:rsid w:val="00020A6F"/>
    <w:rsid w:val="000231C0"/>
    <w:rsid w:val="000237B6"/>
    <w:rsid w:val="0002415E"/>
    <w:rsid w:val="00024384"/>
    <w:rsid w:val="00027814"/>
    <w:rsid w:val="0003230A"/>
    <w:rsid w:val="00033A36"/>
    <w:rsid w:val="00037F29"/>
    <w:rsid w:val="000409B6"/>
    <w:rsid w:val="000425DE"/>
    <w:rsid w:val="00042B1B"/>
    <w:rsid w:val="00046977"/>
    <w:rsid w:val="0005022A"/>
    <w:rsid w:val="0006357C"/>
    <w:rsid w:val="000635DF"/>
    <w:rsid w:val="00063B25"/>
    <w:rsid w:val="00065AC9"/>
    <w:rsid w:val="00065BE8"/>
    <w:rsid w:val="00066485"/>
    <w:rsid w:val="00072AB4"/>
    <w:rsid w:val="0007399A"/>
    <w:rsid w:val="000747D2"/>
    <w:rsid w:val="00074FF8"/>
    <w:rsid w:val="00082C37"/>
    <w:rsid w:val="0008314E"/>
    <w:rsid w:val="00084851"/>
    <w:rsid w:val="00086B4F"/>
    <w:rsid w:val="00093D9F"/>
    <w:rsid w:val="000977CA"/>
    <w:rsid w:val="000A18E4"/>
    <w:rsid w:val="000A20AE"/>
    <w:rsid w:val="000A3438"/>
    <w:rsid w:val="000A3A28"/>
    <w:rsid w:val="000A402F"/>
    <w:rsid w:val="000A6F9A"/>
    <w:rsid w:val="000B14FA"/>
    <w:rsid w:val="000B1A95"/>
    <w:rsid w:val="000B2A90"/>
    <w:rsid w:val="000B66BC"/>
    <w:rsid w:val="000C2692"/>
    <w:rsid w:val="000C3E61"/>
    <w:rsid w:val="000C4D9F"/>
    <w:rsid w:val="000C5306"/>
    <w:rsid w:val="000C5D62"/>
    <w:rsid w:val="000C7ED5"/>
    <w:rsid w:val="000D0CDB"/>
    <w:rsid w:val="000D21EC"/>
    <w:rsid w:val="000D43E6"/>
    <w:rsid w:val="000E26F3"/>
    <w:rsid w:val="000E2A76"/>
    <w:rsid w:val="000E2FE1"/>
    <w:rsid w:val="000E6E2F"/>
    <w:rsid w:val="000E7E70"/>
    <w:rsid w:val="000F1056"/>
    <w:rsid w:val="000F5E88"/>
    <w:rsid w:val="000F73F1"/>
    <w:rsid w:val="00100990"/>
    <w:rsid w:val="00102FAA"/>
    <w:rsid w:val="00105440"/>
    <w:rsid w:val="0010590D"/>
    <w:rsid w:val="0011017D"/>
    <w:rsid w:val="001107F8"/>
    <w:rsid w:val="0011126B"/>
    <w:rsid w:val="00112491"/>
    <w:rsid w:val="00112A83"/>
    <w:rsid w:val="001163C4"/>
    <w:rsid w:val="001165E1"/>
    <w:rsid w:val="00122753"/>
    <w:rsid w:val="001238A7"/>
    <w:rsid w:val="00124A32"/>
    <w:rsid w:val="00124BF6"/>
    <w:rsid w:val="00125BF7"/>
    <w:rsid w:val="00126FF8"/>
    <w:rsid w:val="00136481"/>
    <w:rsid w:val="00137F4D"/>
    <w:rsid w:val="0014151F"/>
    <w:rsid w:val="001432AD"/>
    <w:rsid w:val="00144213"/>
    <w:rsid w:val="001445E9"/>
    <w:rsid w:val="00147E60"/>
    <w:rsid w:val="00150F94"/>
    <w:rsid w:val="0015362D"/>
    <w:rsid w:val="0015545E"/>
    <w:rsid w:val="001566CE"/>
    <w:rsid w:val="0015686A"/>
    <w:rsid w:val="00156B2A"/>
    <w:rsid w:val="00160A2C"/>
    <w:rsid w:val="0016130D"/>
    <w:rsid w:val="00162E0B"/>
    <w:rsid w:val="00165703"/>
    <w:rsid w:val="00165F28"/>
    <w:rsid w:val="00166573"/>
    <w:rsid w:val="00171C31"/>
    <w:rsid w:val="00171EC6"/>
    <w:rsid w:val="00174EBE"/>
    <w:rsid w:val="0017706E"/>
    <w:rsid w:val="00180A2E"/>
    <w:rsid w:val="00183BA2"/>
    <w:rsid w:val="001865E6"/>
    <w:rsid w:val="0018663E"/>
    <w:rsid w:val="00193C48"/>
    <w:rsid w:val="00193FF0"/>
    <w:rsid w:val="001A173D"/>
    <w:rsid w:val="001A174F"/>
    <w:rsid w:val="001A3959"/>
    <w:rsid w:val="001A6567"/>
    <w:rsid w:val="001A682A"/>
    <w:rsid w:val="001B1C38"/>
    <w:rsid w:val="001B4B05"/>
    <w:rsid w:val="001B63D1"/>
    <w:rsid w:val="001B77C8"/>
    <w:rsid w:val="001C0441"/>
    <w:rsid w:val="001C0782"/>
    <w:rsid w:val="001C16B9"/>
    <w:rsid w:val="001C17E3"/>
    <w:rsid w:val="001C1ECB"/>
    <w:rsid w:val="001C3366"/>
    <w:rsid w:val="001C663E"/>
    <w:rsid w:val="001D0BA9"/>
    <w:rsid w:val="001D0C30"/>
    <w:rsid w:val="001D6110"/>
    <w:rsid w:val="001E0DB7"/>
    <w:rsid w:val="001E203C"/>
    <w:rsid w:val="001E28A0"/>
    <w:rsid w:val="001E6432"/>
    <w:rsid w:val="001E6814"/>
    <w:rsid w:val="001F23C0"/>
    <w:rsid w:val="001F2DB4"/>
    <w:rsid w:val="001F395B"/>
    <w:rsid w:val="001F44E2"/>
    <w:rsid w:val="001F63C1"/>
    <w:rsid w:val="00201A36"/>
    <w:rsid w:val="002051B8"/>
    <w:rsid w:val="00206159"/>
    <w:rsid w:val="00212702"/>
    <w:rsid w:val="0021290C"/>
    <w:rsid w:val="002173E8"/>
    <w:rsid w:val="00221ECC"/>
    <w:rsid w:val="00223D54"/>
    <w:rsid w:val="00224FD0"/>
    <w:rsid w:val="00225FF5"/>
    <w:rsid w:val="00227142"/>
    <w:rsid w:val="0023091E"/>
    <w:rsid w:val="002318B9"/>
    <w:rsid w:val="00233466"/>
    <w:rsid w:val="00233A3B"/>
    <w:rsid w:val="00234881"/>
    <w:rsid w:val="00236B64"/>
    <w:rsid w:val="00237E90"/>
    <w:rsid w:val="0024123A"/>
    <w:rsid w:val="00241C08"/>
    <w:rsid w:val="00244958"/>
    <w:rsid w:val="002455DA"/>
    <w:rsid w:val="00246CE0"/>
    <w:rsid w:val="002514DB"/>
    <w:rsid w:val="0025443A"/>
    <w:rsid w:val="00254C5F"/>
    <w:rsid w:val="00255DE1"/>
    <w:rsid w:val="00257DC3"/>
    <w:rsid w:val="00261060"/>
    <w:rsid w:val="0026310F"/>
    <w:rsid w:val="0026352D"/>
    <w:rsid w:val="0027074F"/>
    <w:rsid w:val="00271D23"/>
    <w:rsid w:val="00273946"/>
    <w:rsid w:val="00274BA4"/>
    <w:rsid w:val="002756B7"/>
    <w:rsid w:val="002763BF"/>
    <w:rsid w:val="002832DB"/>
    <w:rsid w:val="00285712"/>
    <w:rsid w:val="00287084"/>
    <w:rsid w:val="002A08F8"/>
    <w:rsid w:val="002A2C0F"/>
    <w:rsid w:val="002A3149"/>
    <w:rsid w:val="002A53F4"/>
    <w:rsid w:val="002A5AC5"/>
    <w:rsid w:val="002A5DCA"/>
    <w:rsid w:val="002B045B"/>
    <w:rsid w:val="002B3BB4"/>
    <w:rsid w:val="002B4D0C"/>
    <w:rsid w:val="002B5B36"/>
    <w:rsid w:val="002B74B2"/>
    <w:rsid w:val="002C2FE9"/>
    <w:rsid w:val="002C440F"/>
    <w:rsid w:val="002C5D06"/>
    <w:rsid w:val="002C6D1B"/>
    <w:rsid w:val="002D10CA"/>
    <w:rsid w:val="002D1B7B"/>
    <w:rsid w:val="002D2AC2"/>
    <w:rsid w:val="002D63C6"/>
    <w:rsid w:val="002D6B0E"/>
    <w:rsid w:val="002E261D"/>
    <w:rsid w:val="002E26A5"/>
    <w:rsid w:val="002E39AF"/>
    <w:rsid w:val="002F1D10"/>
    <w:rsid w:val="002F3569"/>
    <w:rsid w:val="002F6212"/>
    <w:rsid w:val="002F7E39"/>
    <w:rsid w:val="00301E64"/>
    <w:rsid w:val="00302954"/>
    <w:rsid w:val="0030385C"/>
    <w:rsid w:val="00304984"/>
    <w:rsid w:val="0030595D"/>
    <w:rsid w:val="003112FC"/>
    <w:rsid w:val="00312B24"/>
    <w:rsid w:val="00314C91"/>
    <w:rsid w:val="00315498"/>
    <w:rsid w:val="00317610"/>
    <w:rsid w:val="00317771"/>
    <w:rsid w:val="00317CB9"/>
    <w:rsid w:val="00321778"/>
    <w:rsid w:val="00321F1F"/>
    <w:rsid w:val="00322E15"/>
    <w:rsid w:val="0033189A"/>
    <w:rsid w:val="0033341B"/>
    <w:rsid w:val="00334047"/>
    <w:rsid w:val="00334CEE"/>
    <w:rsid w:val="0033528A"/>
    <w:rsid w:val="00337028"/>
    <w:rsid w:val="003436FB"/>
    <w:rsid w:val="00343F94"/>
    <w:rsid w:val="00351E87"/>
    <w:rsid w:val="00356297"/>
    <w:rsid w:val="003601F6"/>
    <w:rsid w:val="0036339D"/>
    <w:rsid w:val="00363940"/>
    <w:rsid w:val="00364A60"/>
    <w:rsid w:val="0036607D"/>
    <w:rsid w:val="003663A4"/>
    <w:rsid w:val="003721E9"/>
    <w:rsid w:val="00374152"/>
    <w:rsid w:val="00377758"/>
    <w:rsid w:val="00382DF2"/>
    <w:rsid w:val="00384F28"/>
    <w:rsid w:val="003865E8"/>
    <w:rsid w:val="0038682C"/>
    <w:rsid w:val="00387BEA"/>
    <w:rsid w:val="00390690"/>
    <w:rsid w:val="00394563"/>
    <w:rsid w:val="003952FC"/>
    <w:rsid w:val="00397FB0"/>
    <w:rsid w:val="003A1A0A"/>
    <w:rsid w:val="003A3183"/>
    <w:rsid w:val="003A3D73"/>
    <w:rsid w:val="003A4C89"/>
    <w:rsid w:val="003A4E70"/>
    <w:rsid w:val="003A7581"/>
    <w:rsid w:val="003B2DFC"/>
    <w:rsid w:val="003B5230"/>
    <w:rsid w:val="003C0C33"/>
    <w:rsid w:val="003C26F3"/>
    <w:rsid w:val="003C70FB"/>
    <w:rsid w:val="003D0772"/>
    <w:rsid w:val="003D080B"/>
    <w:rsid w:val="003D388C"/>
    <w:rsid w:val="003D6313"/>
    <w:rsid w:val="003E09C0"/>
    <w:rsid w:val="003E1BF0"/>
    <w:rsid w:val="003E5269"/>
    <w:rsid w:val="003E6216"/>
    <w:rsid w:val="003F2858"/>
    <w:rsid w:val="003F433B"/>
    <w:rsid w:val="003F617E"/>
    <w:rsid w:val="003F6B07"/>
    <w:rsid w:val="003F6B1F"/>
    <w:rsid w:val="003F736E"/>
    <w:rsid w:val="003F7B1A"/>
    <w:rsid w:val="00400333"/>
    <w:rsid w:val="0040385C"/>
    <w:rsid w:val="0040430E"/>
    <w:rsid w:val="00404CE6"/>
    <w:rsid w:val="004073DD"/>
    <w:rsid w:val="00412106"/>
    <w:rsid w:val="00414ECF"/>
    <w:rsid w:val="004150F4"/>
    <w:rsid w:val="00420E22"/>
    <w:rsid w:val="004218E6"/>
    <w:rsid w:val="00422FE8"/>
    <w:rsid w:val="00423922"/>
    <w:rsid w:val="00424413"/>
    <w:rsid w:val="004266F5"/>
    <w:rsid w:val="004275D2"/>
    <w:rsid w:val="00430CD7"/>
    <w:rsid w:val="00431974"/>
    <w:rsid w:val="0043469E"/>
    <w:rsid w:val="00440384"/>
    <w:rsid w:val="00440622"/>
    <w:rsid w:val="00441210"/>
    <w:rsid w:val="004435DA"/>
    <w:rsid w:val="004508DB"/>
    <w:rsid w:val="00451876"/>
    <w:rsid w:val="00451A57"/>
    <w:rsid w:val="004522A2"/>
    <w:rsid w:val="00454476"/>
    <w:rsid w:val="004548D9"/>
    <w:rsid w:val="00462FC3"/>
    <w:rsid w:val="00463021"/>
    <w:rsid w:val="00465B7E"/>
    <w:rsid w:val="00470F63"/>
    <w:rsid w:val="00471E15"/>
    <w:rsid w:val="0047703B"/>
    <w:rsid w:val="004809BB"/>
    <w:rsid w:val="00485C68"/>
    <w:rsid w:val="0049144C"/>
    <w:rsid w:val="00492412"/>
    <w:rsid w:val="00493A39"/>
    <w:rsid w:val="004967E1"/>
    <w:rsid w:val="0049730F"/>
    <w:rsid w:val="004A0482"/>
    <w:rsid w:val="004A317A"/>
    <w:rsid w:val="004A49E5"/>
    <w:rsid w:val="004A7820"/>
    <w:rsid w:val="004B2316"/>
    <w:rsid w:val="004B7C3F"/>
    <w:rsid w:val="004C1F12"/>
    <w:rsid w:val="004C24A0"/>
    <w:rsid w:val="004C7207"/>
    <w:rsid w:val="004C77E0"/>
    <w:rsid w:val="004C7EE2"/>
    <w:rsid w:val="004D1067"/>
    <w:rsid w:val="004D110D"/>
    <w:rsid w:val="004D2E53"/>
    <w:rsid w:val="004D3D97"/>
    <w:rsid w:val="004D551F"/>
    <w:rsid w:val="004D59D1"/>
    <w:rsid w:val="004D6DF9"/>
    <w:rsid w:val="004D7242"/>
    <w:rsid w:val="004E1112"/>
    <w:rsid w:val="004E2257"/>
    <w:rsid w:val="004E293B"/>
    <w:rsid w:val="004E4818"/>
    <w:rsid w:val="004E4C99"/>
    <w:rsid w:val="004E6395"/>
    <w:rsid w:val="004F46FA"/>
    <w:rsid w:val="004F6236"/>
    <w:rsid w:val="004F74B2"/>
    <w:rsid w:val="0050316A"/>
    <w:rsid w:val="005039B2"/>
    <w:rsid w:val="005046B8"/>
    <w:rsid w:val="00507E95"/>
    <w:rsid w:val="00511953"/>
    <w:rsid w:val="005121F8"/>
    <w:rsid w:val="00512C49"/>
    <w:rsid w:val="00513409"/>
    <w:rsid w:val="00513BFB"/>
    <w:rsid w:val="00513C14"/>
    <w:rsid w:val="00513D54"/>
    <w:rsid w:val="0052439F"/>
    <w:rsid w:val="0052452B"/>
    <w:rsid w:val="0052645E"/>
    <w:rsid w:val="0052706D"/>
    <w:rsid w:val="005271AF"/>
    <w:rsid w:val="005278CA"/>
    <w:rsid w:val="00530CE3"/>
    <w:rsid w:val="00531479"/>
    <w:rsid w:val="00531D5C"/>
    <w:rsid w:val="00532B9F"/>
    <w:rsid w:val="00532CF5"/>
    <w:rsid w:val="005332AE"/>
    <w:rsid w:val="00533EE2"/>
    <w:rsid w:val="00533FFE"/>
    <w:rsid w:val="00534D7C"/>
    <w:rsid w:val="00542FE0"/>
    <w:rsid w:val="005438D5"/>
    <w:rsid w:val="00543ACA"/>
    <w:rsid w:val="00546640"/>
    <w:rsid w:val="00547643"/>
    <w:rsid w:val="00551DBA"/>
    <w:rsid w:val="00555FCD"/>
    <w:rsid w:val="005562A3"/>
    <w:rsid w:val="0056054E"/>
    <w:rsid w:val="00565DC4"/>
    <w:rsid w:val="00566A22"/>
    <w:rsid w:val="0056797A"/>
    <w:rsid w:val="005705E5"/>
    <w:rsid w:val="00571977"/>
    <w:rsid w:val="00571C9A"/>
    <w:rsid w:val="00583C00"/>
    <w:rsid w:val="005855C0"/>
    <w:rsid w:val="00590D2A"/>
    <w:rsid w:val="00593224"/>
    <w:rsid w:val="005948CE"/>
    <w:rsid w:val="005A2DD2"/>
    <w:rsid w:val="005A3B1D"/>
    <w:rsid w:val="005A6AD9"/>
    <w:rsid w:val="005A7110"/>
    <w:rsid w:val="005A7316"/>
    <w:rsid w:val="005B397F"/>
    <w:rsid w:val="005B48D4"/>
    <w:rsid w:val="005B53C5"/>
    <w:rsid w:val="005C15AC"/>
    <w:rsid w:val="005C1BAB"/>
    <w:rsid w:val="005C2C7A"/>
    <w:rsid w:val="005C5F3E"/>
    <w:rsid w:val="005C7763"/>
    <w:rsid w:val="005C79AF"/>
    <w:rsid w:val="005C7B88"/>
    <w:rsid w:val="005D01C9"/>
    <w:rsid w:val="005D0B7A"/>
    <w:rsid w:val="005D17C4"/>
    <w:rsid w:val="005D17EB"/>
    <w:rsid w:val="005D1988"/>
    <w:rsid w:val="005D53C2"/>
    <w:rsid w:val="005D5C04"/>
    <w:rsid w:val="005D5C6F"/>
    <w:rsid w:val="005D62A8"/>
    <w:rsid w:val="005D730D"/>
    <w:rsid w:val="005E0AA6"/>
    <w:rsid w:val="005E17D9"/>
    <w:rsid w:val="005E2789"/>
    <w:rsid w:val="005E5CE8"/>
    <w:rsid w:val="005E7005"/>
    <w:rsid w:val="005F05EA"/>
    <w:rsid w:val="005F320D"/>
    <w:rsid w:val="005F37BE"/>
    <w:rsid w:val="005F7D22"/>
    <w:rsid w:val="00605ACD"/>
    <w:rsid w:val="00610F3B"/>
    <w:rsid w:val="00611B6B"/>
    <w:rsid w:val="00614CB4"/>
    <w:rsid w:val="0061527E"/>
    <w:rsid w:val="0061577F"/>
    <w:rsid w:val="00616AE7"/>
    <w:rsid w:val="00617A4D"/>
    <w:rsid w:val="00617D8F"/>
    <w:rsid w:val="006231A2"/>
    <w:rsid w:val="00624938"/>
    <w:rsid w:val="00624ED4"/>
    <w:rsid w:val="00624F68"/>
    <w:rsid w:val="006254B3"/>
    <w:rsid w:val="006254F7"/>
    <w:rsid w:val="006256AA"/>
    <w:rsid w:val="00630B7A"/>
    <w:rsid w:val="00632A7D"/>
    <w:rsid w:val="006339DB"/>
    <w:rsid w:val="006409CE"/>
    <w:rsid w:val="00642440"/>
    <w:rsid w:val="00642F4E"/>
    <w:rsid w:val="00643492"/>
    <w:rsid w:val="00646409"/>
    <w:rsid w:val="0065006F"/>
    <w:rsid w:val="0065043D"/>
    <w:rsid w:val="006528BC"/>
    <w:rsid w:val="0065418C"/>
    <w:rsid w:val="006547E6"/>
    <w:rsid w:val="006606B3"/>
    <w:rsid w:val="0066202C"/>
    <w:rsid w:val="0066406B"/>
    <w:rsid w:val="0066528E"/>
    <w:rsid w:val="0066797A"/>
    <w:rsid w:val="00670779"/>
    <w:rsid w:val="00672DE5"/>
    <w:rsid w:val="00673C38"/>
    <w:rsid w:val="00674124"/>
    <w:rsid w:val="00677916"/>
    <w:rsid w:val="00680362"/>
    <w:rsid w:val="00680948"/>
    <w:rsid w:val="00680B1A"/>
    <w:rsid w:val="00680B34"/>
    <w:rsid w:val="006839DA"/>
    <w:rsid w:val="00684675"/>
    <w:rsid w:val="00684CB0"/>
    <w:rsid w:val="00685CB3"/>
    <w:rsid w:val="00685E8B"/>
    <w:rsid w:val="0069099C"/>
    <w:rsid w:val="00691481"/>
    <w:rsid w:val="00691777"/>
    <w:rsid w:val="0069754C"/>
    <w:rsid w:val="006A2643"/>
    <w:rsid w:val="006A272A"/>
    <w:rsid w:val="006A4DBC"/>
    <w:rsid w:val="006A6934"/>
    <w:rsid w:val="006B1918"/>
    <w:rsid w:val="006B1AB1"/>
    <w:rsid w:val="006B323F"/>
    <w:rsid w:val="006B36D1"/>
    <w:rsid w:val="006B5E78"/>
    <w:rsid w:val="006C1C53"/>
    <w:rsid w:val="006C2473"/>
    <w:rsid w:val="006C3FC4"/>
    <w:rsid w:val="006D1264"/>
    <w:rsid w:val="006D366E"/>
    <w:rsid w:val="006D4E50"/>
    <w:rsid w:val="006D5D9F"/>
    <w:rsid w:val="006D6880"/>
    <w:rsid w:val="006D7AB5"/>
    <w:rsid w:val="006E2C24"/>
    <w:rsid w:val="006E4965"/>
    <w:rsid w:val="006F20FB"/>
    <w:rsid w:val="006F47CA"/>
    <w:rsid w:val="006F6DD4"/>
    <w:rsid w:val="006F6F31"/>
    <w:rsid w:val="00701A04"/>
    <w:rsid w:val="007044A2"/>
    <w:rsid w:val="00705A69"/>
    <w:rsid w:val="00707248"/>
    <w:rsid w:val="00707318"/>
    <w:rsid w:val="0070782F"/>
    <w:rsid w:val="0071096D"/>
    <w:rsid w:val="00712012"/>
    <w:rsid w:val="00712092"/>
    <w:rsid w:val="00712DB9"/>
    <w:rsid w:val="00714C5E"/>
    <w:rsid w:val="00715165"/>
    <w:rsid w:val="00715DD3"/>
    <w:rsid w:val="00720922"/>
    <w:rsid w:val="007228FC"/>
    <w:rsid w:val="00722B92"/>
    <w:rsid w:val="007245A6"/>
    <w:rsid w:val="00724996"/>
    <w:rsid w:val="00726958"/>
    <w:rsid w:val="00731129"/>
    <w:rsid w:val="00733E1B"/>
    <w:rsid w:val="0073558D"/>
    <w:rsid w:val="00735690"/>
    <w:rsid w:val="00737729"/>
    <w:rsid w:val="0075073E"/>
    <w:rsid w:val="00751379"/>
    <w:rsid w:val="00751C12"/>
    <w:rsid w:val="007520DD"/>
    <w:rsid w:val="00752620"/>
    <w:rsid w:val="00752E8A"/>
    <w:rsid w:val="00754E28"/>
    <w:rsid w:val="00757D56"/>
    <w:rsid w:val="0076078A"/>
    <w:rsid w:val="00764A89"/>
    <w:rsid w:val="0076726A"/>
    <w:rsid w:val="0077029D"/>
    <w:rsid w:val="0077113A"/>
    <w:rsid w:val="00771546"/>
    <w:rsid w:val="007728C3"/>
    <w:rsid w:val="00774D7F"/>
    <w:rsid w:val="00775331"/>
    <w:rsid w:val="00780479"/>
    <w:rsid w:val="0078769F"/>
    <w:rsid w:val="00790120"/>
    <w:rsid w:val="00792235"/>
    <w:rsid w:val="00792D4E"/>
    <w:rsid w:val="007947B8"/>
    <w:rsid w:val="007A0386"/>
    <w:rsid w:val="007B38D9"/>
    <w:rsid w:val="007C284B"/>
    <w:rsid w:val="007C44F1"/>
    <w:rsid w:val="007C4999"/>
    <w:rsid w:val="007C57C4"/>
    <w:rsid w:val="007C5EF8"/>
    <w:rsid w:val="007C6933"/>
    <w:rsid w:val="007C6DBB"/>
    <w:rsid w:val="007D162E"/>
    <w:rsid w:val="007D37BB"/>
    <w:rsid w:val="007D3F11"/>
    <w:rsid w:val="007D4C76"/>
    <w:rsid w:val="007D6167"/>
    <w:rsid w:val="007E40A2"/>
    <w:rsid w:val="007F02D3"/>
    <w:rsid w:val="007F0B3B"/>
    <w:rsid w:val="007F0CD1"/>
    <w:rsid w:val="007F730E"/>
    <w:rsid w:val="00804AA4"/>
    <w:rsid w:val="0080504F"/>
    <w:rsid w:val="00805E5C"/>
    <w:rsid w:val="008060D3"/>
    <w:rsid w:val="00806398"/>
    <w:rsid w:val="00807261"/>
    <w:rsid w:val="008075A1"/>
    <w:rsid w:val="00807E41"/>
    <w:rsid w:val="008103A9"/>
    <w:rsid w:val="00812083"/>
    <w:rsid w:val="00812816"/>
    <w:rsid w:val="00812919"/>
    <w:rsid w:val="00817434"/>
    <w:rsid w:val="00817BCA"/>
    <w:rsid w:val="0082297B"/>
    <w:rsid w:val="00823503"/>
    <w:rsid w:val="00826681"/>
    <w:rsid w:val="008305E2"/>
    <w:rsid w:val="008333F0"/>
    <w:rsid w:val="008337A5"/>
    <w:rsid w:val="008366E7"/>
    <w:rsid w:val="00836CFF"/>
    <w:rsid w:val="008373D2"/>
    <w:rsid w:val="00837434"/>
    <w:rsid w:val="00837555"/>
    <w:rsid w:val="00841912"/>
    <w:rsid w:val="00844773"/>
    <w:rsid w:val="008452C5"/>
    <w:rsid w:val="0085189D"/>
    <w:rsid w:val="00852871"/>
    <w:rsid w:val="0085680F"/>
    <w:rsid w:val="008607D2"/>
    <w:rsid w:val="00864D65"/>
    <w:rsid w:val="0086713A"/>
    <w:rsid w:val="008705BB"/>
    <w:rsid w:val="00870808"/>
    <w:rsid w:val="00870921"/>
    <w:rsid w:val="00870927"/>
    <w:rsid w:val="00870B12"/>
    <w:rsid w:val="0087112E"/>
    <w:rsid w:val="00871BC6"/>
    <w:rsid w:val="00871CA7"/>
    <w:rsid w:val="00872C61"/>
    <w:rsid w:val="00873CCE"/>
    <w:rsid w:val="00873EAF"/>
    <w:rsid w:val="008743A2"/>
    <w:rsid w:val="008762BE"/>
    <w:rsid w:val="00877223"/>
    <w:rsid w:val="0087733E"/>
    <w:rsid w:val="00883D69"/>
    <w:rsid w:val="0089475D"/>
    <w:rsid w:val="008955DE"/>
    <w:rsid w:val="008955E7"/>
    <w:rsid w:val="00896D6A"/>
    <w:rsid w:val="008A0AD6"/>
    <w:rsid w:val="008A169D"/>
    <w:rsid w:val="008A285A"/>
    <w:rsid w:val="008A3E74"/>
    <w:rsid w:val="008A44A9"/>
    <w:rsid w:val="008A4837"/>
    <w:rsid w:val="008A5B6F"/>
    <w:rsid w:val="008A6F5A"/>
    <w:rsid w:val="008B1D62"/>
    <w:rsid w:val="008C211A"/>
    <w:rsid w:val="008C38BF"/>
    <w:rsid w:val="008C58C1"/>
    <w:rsid w:val="008C766D"/>
    <w:rsid w:val="008D0306"/>
    <w:rsid w:val="008D10DF"/>
    <w:rsid w:val="008D21D2"/>
    <w:rsid w:val="008D3C9B"/>
    <w:rsid w:val="008E050C"/>
    <w:rsid w:val="008E0625"/>
    <w:rsid w:val="008E57DF"/>
    <w:rsid w:val="008F0781"/>
    <w:rsid w:val="008F5BB8"/>
    <w:rsid w:val="008F6540"/>
    <w:rsid w:val="008F7254"/>
    <w:rsid w:val="008F79AB"/>
    <w:rsid w:val="008F7A18"/>
    <w:rsid w:val="009007E8"/>
    <w:rsid w:val="00902F95"/>
    <w:rsid w:val="00903BFC"/>
    <w:rsid w:val="009047F1"/>
    <w:rsid w:val="00906701"/>
    <w:rsid w:val="00912206"/>
    <w:rsid w:val="00912319"/>
    <w:rsid w:val="00912753"/>
    <w:rsid w:val="009131CF"/>
    <w:rsid w:val="00914F18"/>
    <w:rsid w:val="00915F2E"/>
    <w:rsid w:val="00920151"/>
    <w:rsid w:val="00921639"/>
    <w:rsid w:val="0092365E"/>
    <w:rsid w:val="009259EC"/>
    <w:rsid w:val="00926081"/>
    <w:rsid w:val="00927638"/>
    <w:rsid w:val="00930262"/>
    <w:rsid w:val="0093094E"/>
    <w:rsid w:val="00932B47"/>
    <w:rsid w:val="00934632"/>
    <w:rsid w:val="009373EB"/>
    <w:rsid w:val="009375D6"/>
    <w:rsid w:val="00937D0E"/>
    <w:rsid w:val="00945809"/>
    <w:rsid w:val="00950AFA"/>
    <w:rsid w:val="00953C68"/>
    <w:rsid w:val="00953F5D"/>
    <w:rsid w:val="00953F83"/>
    <w:rsid w:val="00956609"/>
    <w:rsid w:val="00957F60"/>
    <w:rsid w:val="00962F78"/>
    <w:rsid w:val="00963F87"/>
    <w:rsid w:val="00964DE5"/>
    <w:rsid w:val="009866B7"/>
    <w:rsid w:val="00987731"/>
    <w:rsid w:val="00987E26"/>
    <w:rsid w:val="0099112C"/>
    <w:rsid w:val="009955B2"/>
    <w:rsid w:val="00995985"/>
    <w:rsid w:val="00996FE0"/>
    <w:rsid w:val="009A082A"/>
    <w:rsid w:val="009A0B64"/>
    <w:rsid w:val="009A2C8D"/>
    <w:rsid w:val="009A4F5A"/>
    <w:rsid w:val="009A5B87"/>
    <w:rsid w:val="009B4618"/>
    <w:rsid w:val="009B7342"/>
    <w:rsid w:val="009B7725"/>
    <w:rsid w:val="009C0D7F"/>
    <w:rsid w:val="009C118A"/>
    <w:rsid w:val="009C5927"/>
    <w:rsid w:val="009D0476"/>
    <w:rsid w:val="009D1B76"/>
    <w:rsid w:val="009D28D5"/>
    <w:rsid w:val="009D39D2"/>
    <w:rsid w:val="009D53B1"/>
    <w:rsid w:val="009D5A7D"/>
    <w:rsid w:val="009E1615"/>
    <w:rsid w:val="009E3DDE"/>
    <w:rsid w:val="009F0E67"/>
    <w:rsid w:val="009F5D69"/>
    <w:rsid w:val="009F6724"/>
    <w:rsid w:val="00A00693"/>
    <w:rsid w:val="00A014D9"/>
    <w:rsid w:val="00A0206F"/>
    <w:rsid w:val="00A026F8"/>
    <w:rsid w:val="00A03B47"/>
    <w:rsid w:val="00A04427"/>
    <w:rsid w:val="00A10DB5"/>
    <w:rsid w:val="00A119A9"/>
    <w:rsid w:val="00A15F6B"/>
    <w:rsid w:val="00A16004"/>
    <w:rsid w:val="00A21C65"/>
    <w:rsid w:val="00A27273"/>
    <w:rsid w:val="00A32AA0"/>
    <w:rsid w:val="00A345D6"/>
    <w:rsid w:val="00A347ED"/>
    <w:rsid w:val="00A34E52"/>
    <w:rsid w:val="00A444D4"/>
    <w:rsid w:val="00A471C8"/>
    <w:rsid w:val="00A52EBF"/>
    <w:rsid w:val="00A53C6C"/>
    <w:rsid w:val="00A5469B"/>
    <w:rsid w:val="00A564FE"/>
    <w:rsid w:val="00A57D45"/>
    <w:rsid w:val="00A6230E"/>
    <w:rsid w:val="00A62759"/>
    <w:rsid w:val="00A62F93"/>
    <w:rsid w:val="00A63D9B"/>
    <w:rsid w:val="00A66882"/>
    <w:rsid w:val="00A7123F"/>
    <w:rsid w:val="00A716A6"/>
    <w:rsid w:val="00A7439C"/>
    <w:rsid w:val="00A74DDB"/>
    <w:rsid w:val="00A75AAB"/>
    <w:rsid w:val="00A77321"/>
    <w:rsid w:val="00A82AC3"/>
    <w:rsid w:val="00A857D4"/>
    <w:rsid w:val="00A85B2A"/>
    <w:rsid w:val="00A86550"/>
    <w:rsid w:val="00A90EBE"/>
    <w:rsid w:val="00A915B5"/>
    <w:rsid w:val="00A945AF"/>
    <w:rsid w:val="00A95721"/>
    <w:rsid w:val="00A959A1"/>
    <w:rsid w:val="00A95AAF"/>
    <w:rsid w:val="00AA27D1"/>
    <w:rsid w:val="00AA2981"/>
    <w:rsid w:val="00AA41F0"/>
    <w:rsid w:val="00AA4A77"/>
    <w:rsid w:val="00AA67E6"/>
    <w:rsid w:val="00AA6A91"/>
    <w:rsid w:val="00AB0E60"/>
    <w:rsid w:val="00AB1BE7"/>
    <w:rsid w:val="00AB1D4D"/>
    <w:rsid w:val="00AB26E8"/>
    <w:rsid w:val="00AB35D1"/>
    <w:rsid w:val="00AB5568"/>
    <w:rsid w:val="00AB6698"/>
    <w:rsid w:val="00AC1EA1"/>
    <w:rsid w:val="00AC4427"/>
    <w:rsid w:val="00AC64A9"/>
    <w:rsid w:val="00AC78F3"/>
    <w:rsid w:val="00AD06C7"/>
    <w:rsid w:val="00AD0944"/>
    <w:rsid w:val="00AD262C"/>
    <w:rsid w:val="00AD51F4"/>
    <w:rsid w:val="00AE1BAD"/>
    <w:rsid w:val="00AE28E4"/>
    <w:rsid w:val="00AE2A1C"/>
    <w:rsid w:val="00AE3BE1"/>
    <w:rsid w:val="00AF0ABA"/>
    <w:rsid w:val="00AF2C97"/>
    <w:rsid w:val="00AF3A66"/>
    <w:rsid w:val="00B02352"/>
    <w:rsid w:val="00B03654"/>
    <w:rsid w:val="00B060E3"/>
    <w:rsid w:val="00B079CD"/>
    <w:rsid w:val="00B10C17"/>
    <w:rsid w:val="00B155B8"/>
    <w:rsid w:val="00B15705"/>
    <w:rsid w:val="00B178E6"/>
    <w:rsid w:val="00B301D9"/>
    <w:rsid w:val="00B30F85"/>
    <w:rsid w:val="00B31FD4"/>
    <w:rsid w:val="00B330CC"/>
    <w:rsid w:val="00B34B69"/>
    <w:rsid w:val="00B34FA2"/>
    <w:rsid w:val="00B35E28"/>
    <w:rsid w:val="00B361AD"/>
    <w:rsid w:val="00B3669D"/>
    <w:rsid w:val="00B36C15"/>
    <w:rsid w:val="00B36DC3"/>
    <w:rsid w:val="00B40733"/>
    <w:rsid w:val="00B40B79"/>
    <w:rsid w:val="00B410D7"/>
    <w:rsid w:val="00B42574"/>
    <w:rsid w:val="00B438A1"/>
    <w:rsid w:val="00B44FD4"/>
    <w:rsid w:val="00B45C83"/>
    <w:rsid w:val="00B469AD"/>
    <w:rsid w:val="00B46C38"/>
    <w:rsid w:val="00B47A6D"/>
    <w:rsid w:val="00B52721"/>
    <w:rsid w:val="00B549DE"/>
    <w:rsid w:val="00B54A4B"/>
    <w:rsid w:val="00B55564"/>
    <w:rsid w:val="00B62067"/>
    <w:rsid w:val="00B634E8"/>
    <w:rsid w:val="00B667AA"/>
    <w:rsid w:val="00B678AA"/>
    <w:rsid w:val="00B67B7F"/>
    <w:rsid w:val="00B71103"/>
    <w:rsid w:val="00B719DC"/>
    <w:rsid w:val="00B738F0"/>
    <w:rsid w:val="00B80109"/>
    <w:rsid w:val="00B82A2A"/>
    <w:rsid w:val="00B854BF"/>
    <w:rsid w:val="00B93CFD"/>
    <w:rsid w:val="00B93F09"/>
    <w:rsid w:val="00BA2E29"/>
    <w:rsid w:val="00BA345B"/>
    <w:rsid w:val="00BB1B9C"/>
    <w:rsid w:val="00BB3356"/>
    <w:rsid w:val="00BB4116"/>
    <w:rsid w:val="00BB47EA"/>
    <w:rsid w:val="00BB551E"/>
    <w:rsid w:val="00BC2964"/>
    <w:rsid w:val="00BC2C61"/>
    <w:rsid w:val="00BC3314"/>
    <w:rsid w:val="00BC5DF9"/>
    <w:rsid w:val="00BC7515"/>
    <w:rsid w:val="00BD09C8"/>
    <w:rsid w:val="00BD5432"/>
    <w:rsid w:val="00BD68E4"/>
    <w:rsid w:val="00BD6920"/>
    <w:rsid w:val="00BD6A0C"/>
    <w:rsid w:val="00BE044D"/>
    <w:rsid w:val="00BE4E83"/>
    <w:rsid w:val="00BE5FD0"/>
    <w:rsid w:val="00BE7BCC"/>
    <w:rsid w:val="00BF030A"/>
    <w:rsid w:val="00BF1C85"/>
    <w:rsid w:val="00BF295C"/>
    <w:rsid w:val="00BF2E82"/>
    <w:rsid w:val="00BF35DC"/>
    <w:rsid w:val="00BF3953"/>
    <w:rsid w:val="00BF662E"/>
    <w:rsid w:val="00BF669D"/>
    <w:rsid w:val="00BF6F6A"/>
    <w:rsid w:val="00BF74E8"/>
    <w:rsid w:val="00C001EF"/>
    <w:rsid w:val="00C00BB9"/>
    <w:rsid w:val="00C01044"/>
    <w:rsid w:val="00C02506"/>
    <w:rsid w:val="00C046BA"/>
    <w:rsid w:val="00C05D11"/>
    <w:rsid w:val="00C10CE7"/>
    <w:rsid w:val="00C12F0E"/>
    <w:rsid w:val="00C14157"/>
    <w:rsid w:val="00C15639"/>
    <w:rsid w:val="00C166BC"/>
    <w:rsid w:val="00C16A77"/>
    <w:rsid w:val="00C20F1C"/>
    <w:rsid w:val="00C22098"/>
    <w:rsid w:val="00C237DF"/>
    <w:rsid w:val="00C24014"/>
    <w:rsid w:val="00C30B2C"/>
    <w:rsid w:val="00C30DDA"/>
    <w:rsid w:val="00C333B9"/>
    <w:rsid w:val="00C34ADF"/>
    <w:rsid w:val="00C3563F"/>
    <w:rsid w:val="00C370BE"/>
    <w:rsid w:val="00C43BF2"/>
    <w:rsid w:val="00C46FC3"/>
    <w:rsid w:val="00C47E8F"/>
    <w:rsid w:val="00C50382"/>
    <w:rsid w:val="00C5189B"/>
    <w:rsid w:val="00C5296F"/>
    <w:rsid w:val="00C53847"/>
    <w:rsid w:val="00C53E34"/>
    <w:rsid w:val="00C578BC"/>
    <w:rsid w:val="00C603C7"/>
    <w:rsid w:val="00C630F5"/>
    <w:rsid w:val="00C74606"/>
    <w:rsid w:val="00C75738"/>
    <w:rsid w:val="00C80C98"/>
    <w:rsid w:val="00C81746"/>
    <w:rsid w:val="00C83D4A"/>
    <w:rsid w:val="00C84702"/>
    <w:rsid w:val="00C857EF"/>
    <w:rsid w:val="00C85D9F"/>
    <w:rsid w:val="00C9176D"/>
    <w:rsid w:val="00C9586A"/>
    <w:rsid w:val="00C96F0A"/>
    <w:rsid w:val="00CA011B"/>
    <w:rsid w:val="00CA1819"/>
    <w:rsid w:val="00CA24CE"/>
    <w:rsid w:val="00CA354F"/>
    <w:rsid w:val="00CA7A7B"/>
    <w:rsid w:val="00CB1B53"/>
    <w:rsid w:val="00CB40CE"/>
    <w:rsid w:val="00CC296D"/>
    <w:rsid w:val="00CC2998"/>
    <w:rsid w:val="00CC3BE7"/>
    <w:rsid w:val="00CC45C9"/>
    <w:rsid w:val="00CC4D86"/>
    <w:rsid w:val="00CC58EF"/>
    <w:rsid w:val="00CC65AF"/>
    <w:rsid w:val="00CD00DA"/>
    <w:rsid w:val="00CD023F"/>
    <w:rsid w:val="00CD0FFE"/>
    <w:rsid w:val="00CD46C8"/>
    <w:rsid w:val="00CE13F0"/>
    <w:rsid w:val="00CE3361"/>
    <w:rsid w:val="00CE48DB"/>
    <w:rsid w:val="00CE54BE"/>
    <w:rsid w:val="00CE5D59"/>
    <w:rsid w:val="00CE6CCA"/>
    <w:rsid w:val="00CF15E3"/>
    <w:rsid w:val="00CF1DD1"/>
    <w:rsid w:val="00CF3BD8"/>
    <w:rsid w:val="00CF4F92"/>
    <w:rsid w:val="00CF63B7"/>
    <w:rsid w:val="00CF642A"/>
    <w:rsid w:val="00D01B36"/>
    <w:rsid w:val="00D02947"/>
    <w:rsid w:val="00D03728"/>
    <w:rsid w:val="00D2072D"/>
    <w:rsid w:val="00D21299"/>
    <w:rsid w:val="00D2251F"/>
    <w:rsid w:val="00D238E5"/>
    <w:rsid w:val="00D2560E"/>
    <w:rsid w:val="00D25B6E"/>
    <w:rsid w:val="00D27127"/>
    <w:rsid w:val="00D30954"/>
    <w:rsid w:val="00D32DCD"/>
    <w:rsid w:val="00D34445"/>
    <w:rsid w:val="00D361DC"/>
    <w:rsid w:val="00D37D87"/>
    <w:rsid w:val="00D37E0E"/>
    <w:rsid w:val="00D37FEB"/>
    <w:rsid w:val="00D4212B"/>
    <w:rsid w:val="00D45A54"/>
    <w:rsid w:val="00D4713E"/>
    <w:rsid w:val="00D509CD"/>
    <w:rsid w:val="00D52058"/>
    <w:rsid w:val="00D52839"/>
    <w:rsid w:val="00D52D8B"/>
    <w:rsid w:val="00D55258"/>
    <w:rsid w:val="00D55E22"/>
    <w:rsid w:val="00D571F8"/>
    <w:rsid w:val="00D61D09"/>
    <w:rsid w:val="00D63309"/>
    <w:rsid w:val="00D63ADD"/>
    <w:rsid w:val="00D63DE7"/>
    <w:rsid w:val="00D64992"/>
    <w:rsid w:val="00D72965"/>
    <w:rsid w:val="00D73805"/>
    <w:rsid w:val="00D73936"/>
    <w:rsid w:val="00D75923"/>
    <w:rsid w:val="00D75BE3"/>
    <w:rsid w:val="00D77C1D"/>
    <w:rsid w:val="00D81280"/>
    <w:rsid w:val="00D81301"/>
    <w:rsid w:val="00D82BDA"/>
    <w:rsid w:val="00D83C67"/>
    <w:rsid w:val="00D84253"/>
    <w:rsid w:val="00D845C9"/>
    <w:rsid w:val="00D84AF3"/>
    <w:rsid w:val="00D86EDB"/>
    <w:rsid w:val="00D87512"/>
    <w:rsid w:val="00D9021B"/>
    <w:rsid w:val="00D9071F"/>
    <w:rsid w:val="00D913F0"/>
    <w:rsid w:val="00DA0A90"/>
    <w:rsid w:val="00DA19CF"/>
    <w:rsid w:val="00DA68CD"/>
    <w:rsid w:val="00DB27E8"/>
    <w:rsid w:val="00DB4C05"/>
    <w:rsid w:val="00DB7FE0"/>
    <w:rsid w:val="00DC2734"/>
    <w:rsid w:val="00DC3010"/>
    <w:rsid w:val="00DC4343"/>
    <w:rsid w:val="00DC446F"/>
    <w:rsid w:val="00DC5DF3"/>
    <w:rsid w:val="00DD18FD"/>
    <w:rsid w:val="00DD4D11"/>
    <w:rsid w:val="00DD785C"/>
    <w:rsid w:val="00DE09DB"/>
    <w:rsid w:val="00DE19DA"/>
    <w:rsid w:val="00DE429E"/>
    <w:rsid w:val="00DE478D"/>
    <w:rsid w:val="00DE4882"/>
    <w:rsid w:val="00DE6913"/>
    <w:rsid w:val="00DE7113"/>
    <w:rsid w:val="00DF09CD"/>
    <w:rsid w:val="00DF0BBB"/>
    <w:rsid w:val="00DF2E32"/>
    <w:rsid w:val="00DF2FCA"/>
    <w:rsid w:val="00DF4046"/>
    <w:rsid w:val="00DF6D71"/>
    <w:rsid w:val="00DF7540"/>
    <w:rsid w:val="00E00109"/>
    <w:rsid w:val="00E00E10"/>
    <w:rsid w:val="00E013D6"/>
    <w:rsid w:val="00E02D54"/>
    <w:rsid w:val="00E030C9"/>
    <w:rsid w:val="00E04532"/>
    <w:rsid w:val="00E10788"/>
    <w:rsid w:val="00E1546F"/>
    <w:rsid w:val="00E215E1"/>
    <w:rsid w:val="00E217DE"/>
    <w:rsid w:val="00E2511C"/>
    <w:rsid w:val="00E30314"/>
    <w:rsid w:val="00E32811"/>
    <w:rsid w:val="00E35B52"/>
    <w:rsid w:val="00E35FCF"/>
    <w:rsid w:val="00E36CF6"/>
    <w:rsid w:val="00E37C38"/>
    <w:rsid w:val="00E43BF1"/>
    <w:rsid w:val="00E46241"/>
    <w:rsid w:val="00E46620"/>
    <w:rsid w:val="00E5086A"/>
    <w:rsid w:val="00E5233B"/>
    <w:rsid w:val="00E537D2"/>
    <w:rsid w:val="00E548D8"/>
    <w:rsid w:val="00E54C0B"/>
    <w:rsid w:val="00E57BC7"/>
    <w:rsid w:val="00E60E71"/>
    <w:rsid w:val="00E624D3"/>
    <w:rsid w:val="00E64379"/>
    <w:rsid w:val="00E65B5F"/>
    <w:rsid w:val="00E67E67"/>
    <w:rsid w:val="00E717CB"/>
    <w:rsid w:val="00E72418"/>
    <w:rsid w:val="00E73549"/>
    <w:rsid w:val="00E82F39"/>
    <w:rsid w:val="00E8385C"/>
    <w:rsid w:val="00E85534"/>
    <w:rsid w:val="00E86AA4"/>
    <w:rsid w:val="00E87214"/>
    <w:rsid w:val="00E9064D"/>
    <w:rsid w:val="00E90A5A"/>
    <w:rsid w:val="00E93A6F"/>
    <w:rsid w:val="00EA0A48"/>
    <w:rsid w:val="00EA1F74"/>
    <w:rsid w:val="00EA4D03"/>
    <w:rsid w:val="00EA592E"/>
    <w:rsid w:val="00EA76F5"/>
    <w:rsid w:val="00EB2EE9"/>
    <w:rsid w:val="00EB5935"/>
    <w:rsid w:val="00EB660D"/>
    <w:rsid w:val="00EC11CA"/>
    <w:rsid w:val="00EC1B14"/>
    <w:rsid w:val="00EC1B23"/>
    <w:rsid w:val="00EC419E"/>
    <w:rsid w:val="00EC5490"/>
    <w:rsid w:val="00ED0275"/>
    <w:rsid w:val="00ED0A83"/>
    <w:rsid w:val="00ED18F8"/>
    <w:rsid w:val="00ED3743"/>
    <w:rsid w:val="00ED380B"/>
    <w:rsid w:val="00ED4E2D"/>
    <w:rsid w:val="00EE2087"/>
    <w:rsid w:val="00EE3472"/>
    <w:rsid w:val="00EE44EE"/>
    <w:rsid w:val="00EE5B20"/>
    <w:rsid w:val="00EE5E27"/>
    <w:rsid w:val="00EE666E"/>
    <w:rsid w:val="00EF4C9E"/>
    <w:rsid w:val="00EF4D16"/>
    <w:rsid w:val="00EF4F89"/>
    <w:rsid w:val="00EF5580"/>
    <w:rsid w:val="00F01150"/>
    <w:rsid w:val="00F0152E"/>
    <w:rsid w:val="00F01594"/>
    <w:rsid w:val="00F05D7C"/>
    <w:rsid w:val="00F062EF"/>
    <w:rsid w:val="00F07C97"/>
    <w:rsid w:val="00F12208"/>
    <w:rsid w:val="00F138FF"/>
    <w:rsid w:val="00F142F8"/>
    <w:rsid w:val="00F16B5F"/>
    <w:rsid w:val="00F17793"/>
    <w:rsid w:val="00F17C6D"/>
    <w:rsid w:val="00F23E05"/>
    <w:rsid w:val="00F31C39"/>
    <w:rsid w:val="00F36F5F"/>
    <w:rsid w:val="00F40A17"/>
    <w:rsid w:val="00F42AB2"/>
    <w:rsid w:val="00F42C64"/>
    <w:rsid w:val="00F42D83"/>
    <w:rsid w:val="00F444EB"/>
    <w:rsid w:val="00F45FC3"/>
    <w:rsid w:val="00F47D20"/>
    <w:rsid w:val="00F513B8"/>
    <w:rsid w:val="00F5321E"/>
    <w:rsid w:val="00F54657"/>
    <w:rsid w:val="00F5636D"/>
    <w:rsid w:val="00F56644"/>
    <w:rsid w:val="00F603B5"/>
    <w:rsid w:val="00F60FEB"/>
    <w:rsid w:val="00F61CD2"/>
    <w:rsid w:val="00F633FC"/>
    <w:rsid w:val="00F6370A"/>
    <w:rsid w:val="00F657A2"/>
    <w:rsid w:val="00F67063"/>
    <w:rsid w:val="00F73A64"/>
    <w:rsid w:val="00F7484C"/>
    <w:rsid w:val="00F7706A"/>
    <w:rsid w:val="00F81E62"/>
    <w:rsid w:val="00F8375E"/>
    <w:rsid w:val="00F83793"/>
    <w:rsid w:val="00F840F9"/>
    <w:rsid w:val="00F84B86"/>
    <w:rsid w:val="00F84F73"/>
    <w:rsid w:val="00F856EA"/>
    <w:rsid w:val="00F92614"/>
    <w:rsid w:val="00F94158"/>
    <w:rsid w:val="00F94453"/>
    <w:rsid w:val="00F96AA9"/>
    <w:rsid w:val="00F97035"/>
    <w:rsid w:val="00F979D8"/>
    <w:rsid w:val="00FA3174"/>
    <w:rsid w:val="00FA45DD"/>
    <w:rsid w:val="00FA4D87"/>
    <w:rsid w:val="00FB0D81"/>
    <w:rsid w:val="00FB72D9"/>
    <w:rsid w:val="00FC1C26"/>
    <w:rsid w:val="00FC34B4"/>
    <w:rsid w:val="00FC3A1F"/>
    <w:rsid w:val="00FC6424"/>
    <w:rsid w:val="00FD0A6B"/>
    <w:rsid w:val="00FD4965"/>
    <w:rsid w:val="00FD72BD"/>
    <w:rsid w:val="00FD75F3"/>
    <w:rsid w:val="00FE0065"/>
    <w:rsid w:val="00FE0A2C"/>
    <w:rsid w:val="00FE0EA8"/>
    <w:rsid w:val="00FE4DF8"/>
    <w:rsid w:val="00FE5354"/>
    <w:rsid w:val="00FE71C6"/>
    <w:rsid w:val="00FF06A9"/>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15:docId w15:val="{D0F7C2E9-91D0-44DE-B49E-0A5F0B03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irav\Meirav%20Dropbox\Meirav%20Furth-Matzkin\Post%20Contract%20Discrimination\Study%202\Graphs%20study%202%20August%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'8.16.2019'!$A$33</c:f>
              <c:strCache>
                <c:ptCount val="1"/>
                <c:pt idx="0">
                  <c:v>Refund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518-45E7-87E6-DBC5DDD50F2C}"/>
                </c:ext>
              </c:extLst>
            </c:dLbl>
            <c:dLbl>
              <c:idx val="1"/>
              <c:layout>
                <c:manualLayout>
                  <c:x val="0"/>
                  <c:y val="4.92164267097870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'8.16.2019'!$B$33:$D$33</c:f>
              <c:numCache>
                <c:formatCode>0%</c:formatCode>
                <c:ptCount val="3"/>
                <c:pt idx="0">
                  <c:v>0</c:v>
                </c:pt>
                <c:pt idx="1">
                  <c:v>0.03</c:v>
                </c:pt>
                <c:pt idx="2">
                  <c:v>0.18</c:v>
                </c:pt>
              </c:numCache>
            </c:numRef>
          </c:val>
          <c:extLst>
            <c:ext xmlns:c16="http://schemas.microsoft.com/office/drawing/2014/chart" uri="{C3380CC4-5D6E-409C-BE32-E72D297353CC}">
              <c16:uniqueId val="{00000002-8518-45E7-87E6-DBC5DDD50F2C}"/>
            </c:ext>
          </c:extLst>
        </c:ser>
        <c:ser>
          <c:idx val="1"/>
          <c:order val="1"/>
          <c:tx>
            <c:strRef>
              <c:f>'8.16.2019'!$A$34</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'8.16.2019'!$B$34:$D$34</c:f>
              <c:numCache>
                <c:formatCode>0%</c:formatCode>
                <c:ptCount val="3"/>
                <c:pt idx="0">
                  <c:v>0.09</c:v>
                </c:pt>
                <c:pt idx="1">
                  <c:v>0.33</c:v>
                </c:pt>
                <c:pt idx="2">
                  <c:v>0</c:v>
                </c:pt>
              </c:numCache>
            </c:numRef>
          </c:val>
          <c:extLst>
            <c:ext xmlns:c16="http://schemas.microsoft.com/office/drawing/2014/chart" uri="{C3380CC4-5D6E-409C-BE32-E72D297353CC}">
              <c16:uniqueId val="{00000004-8518-45E7-87E6-DBC5DDD50F2C}"/>
            </c:ext>
          </c:extLst>
        </c:ser>
        <c:dLbls>
          <c:dLblPos val="inEnd"/>
          <c:showLegendKey val="0"/>
          <c:showVal val="1"/>
          <c:showCatName val="0"/>
          <c:showSerName val="0"/>
          <c:showPercent val="0"/>
          <c:showBubbleSize val="0"/>
        </c:dLbls>
        <c:gapWidth val="150"/>
        <c:overlap val="100"/>
        <c:axId val="586777344"/>
        <c:axId val="586779648"/>
      </c:barChart>
      <c:catAx>
        <c:axId val="58677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86779648"/>
        <c:crosses val="autoZero"/>
        <c:auto val="1"/>
        <c:lblAlgn val="ctr"/>
        <c:lblOffset val="100"/>
        <c:noMultiLvlLbl val="0"/>
      </c:catAx>
      <c:valAx>
        <c:axId val="586779648"/>
        <c:scaling>
          <c:orientation val="minMax"/>
          <c:max val="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8677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'8.16.2019'!$A$7</c:f>
              <c:strCache>
                <c:ptCount val="1"/>
                <c:pt idx="0">
                  <c:v>Refund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799-4B3F-A32E-6B28C7A1BE4F}"/>
                </c:ext>
              </c:extLst>
            </c:dLbl>
            <c:dLbl>
              <c:idx val="1"/>
              <c:delete val="1"/>
              <c:extLst>
                <c:ext xmlns:c15="http://schemas.microsoft.com/office/drawing/2012/chart" uri="{CE6537A1-D6FC-4f65-9D91-7224C49458BB}"/>
                <c:ext xmlns:c16="http://schemas.microsoft.com/office/drawing/2014/chart" uri="{C3380CC4-5D6E-409C-BE32-E72D297353CC}">
                  <c16:uniqueId val="{00000001-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'8.16.2019'!$B$7:$G$7</c:f>
              <c:numCache>
                <c:formatCode>0%</c:formatCode>
                <c:ptCount val="6"/>
                <c:pt idx="0">
                  <c:v>0</c:v>
                </c:pt>
                <c:pt idx="1">
                  <c:v>0</c:v>
                </c:pt>
                <c:pt idx="2">
                  <c:v>0.03</c:v>
                </c:pt>
                <c:pt idx="3">
                  <c:v>0.12</c:v>
                </c:pt>
                <c:pt idx="4">
                  <c:v>0.18</c:v>
                </c:pt>
                <c:pt idx="5">
                  <c:v>0.21</c:v>
                </c:pt>
              </c:numCache>
            </c:numRef>
          </c:val>
          <c:extLst>
            <c:ext xmlns:c16="http://schemas.microsoft.com/office/drawing/2014/chart" uri="{C3380CC4-5D6E-409C-BE32-E72D297353CC}">
              <c16:uniqueId val="{00000000-F23F-4BF1-A1EE-54EDC65C0584}"/>
            </c:ext>
          </c:extLst>
        </c:ser>
        <c:ser>
          <c:idx val="1"/>
          <c:order val="1"/>
          <c:tx>
            <c:strRef>
              <c:f>'8.16.2019'!$A$8</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0799-4B3F-A32E-6B28C7A1BE4F}"/>
                </c:ext>
              </c:extLst>
            </c:dLbl>
            <c:dLbl>
              <c:idx val="5"/>
              <c:delete val="1"/>
              <c:extLst>
                <c:ext xmlns:c15="http://schemas.microsoft.com/office/drawing/2012/chart" uri="{CE6537A1-D6FC-4f65-9D91-7224C49458BB}"/>
                <c:ext xmlns:c16="http://schemas.microsoft.com/office/drawing/2014/chart" uri="{C3380CC4-5D6E-409C-BE32-E72D297353CC}">
                  <c16:uniqueId val="{00000003-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'8.16.2019'!$B$8:$G$8</c:f>
              <c:numCache>
                <c:formatCode>0%</c:formatCode>
                <c:ptCount val="6"/>
                <c:pt idx="0">
                  <c:v>0.09</c:v>
                </c:pt>
                <c:pt idx="1">
                  <c:v>0.3</c:v>
                </c:pt>
                <c:pt idx="2">
                  <c:v>0.33</c:v>
                </c:pt>
                <c:pt idx="3">
                  <c:v>0.45</c:v>
                </c:pt>
                <c:pt idx="4">
                  <c:v>0</c:v>
                </c:pt>
                <c:pt idx="5">
                  <c:v>0</c:v>
                </c:pt>
              </c:numCache>
            </c:numRef>
          </c:val>
          <c:extLst>
            <c:ext xmlns:c16="http://schemas.microsoft.com/office/drawing/2014/chart" uri="{C3380CC4-5D6E-409C-BE32-E72D297353CC}">
              <c16:uniqueId val="{00000001-F23F-4BF1-A1EE-54EDC65C0584}"/>
            </c:ext>
          </c:extLst>
        </c:ser>
        <c:dLbls>
          <c:dLblPos val="ctr"/>
          <c:showLegendKey val="0"/>
          <c:showVal val="1"/>
          <c:showCatName val="0"/>
          <c:showSerName val="0"/>
          <c:showPercent val="0"/>
          <c:showBubbleSize val="0"/>
        </c:dLbls>
        <c:gapWidth val="150"/>
        <c:overlap val="100"/>
        <c:axId val="592738176"/>
        <c:axId val="600359296"/>
      </c:barChart>
      <c:catAx>
        <c:axId val="5927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0359296"/>
        <c:crosses val="autoZero"/>
        <c:auto val="1"/>
        <c:lblAlgn val="ctr"/>
        <c:lblOffset val="100"/>
        <c:noMultiLvlLbl val="0"/>
      </c:catAx>
      <c:valAx>
        <c:axId val="60035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9273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chemeClr val="accent2"/>
            </a:solid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'8.5.2019'!$D$123:$D$128</c:f>
              <c:numCache>
                <c:formatCode>0%</c:formatCode>
                <c:ptCount val="6"/>
                <c:pt idx="0">
                  <c:v>0.91</c:v>
                </c:pt>
                <c:pt idx="1">
                  <c:v>0.7</c:v>
                </c:pt>
                <c:pt idx="2">
                  <c:v>0.64</c:v>
                </c:pt>
                <c:pt idx="3">
                  <c:v>0.42</c:v>
                </c:pt>
                <c:pt idx="4">
                  <c:v>0.08</c:v>
                </c:pt>
                <c:pt idx="5">
                  <c:v>0.08</c:v>
                </c:pt>
              </c:numCache>
            </c:numRef>
          </c:val>
          <c:extLst>
            <c:ext xmlns:c16="http://schemas.microsoft.com/office/drawing/2014/chart" uri="{C3380CC4-5D6E-409C-BE32-E72D297353CC}">
              <c16:uniqueId val="{00000000-4B5D-40F0-B9E9-79BB4C2617E4}"/>
            </c:ext>
          </c:extLst>
        </c:ser>
        <c:ser>
          <c:idx val="1"/>
          <c:order val="1"/>
          <c:tx>
            <c:strRef>
              <c:f>'8.5.2019'!$E$122</c:f>
              <c:strCache>
                <c:ptCount val="1"/>
                <c:pt idx="0">
                  <c:v>Exchange/Store Credit Offered</c:v>
                </c:pt>
              </c:strCache>
            </c:strRef>
          </c:tx>
          <c:spPr>
            <a:pattFill prst="pct5">
              <a:fgClr>
                <a:schemeClr val="tx2"/>
              </a:fgClr>
              <a:bgClr>
                <a:schemeClr val="accent1">
                  <a:lumMod val="20000"/>
                  <a:lumOff val="80000"/>
                </a:schemeClr>
              </a:bgClr>
            </a:patt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'8.5.2019'!$E$123:$E$128</c:f>
              <c:numCache>
                <c:formatCode>0%</c:formatCode>
                <c:ptCount val="6"/>
                <c:pt idx="0">
                  <c:v>0.09</c:v>
                </c:pt>
                <c:pt idx="1">
                  <c:v>0.3</c:v>
                </c:pt>
                <c:pt idx="2">
                  <c:v>0.33</c:v>
                </c:pt>
                <c:pt idx="3">
                  <c:v>0.45</c:v>
                </c:pt>
                <c:pt idx="4">
                  <c:v>0.74</c:v>
                </c:pt>
                <c:pt idx="5">
                  <c:v>0.72</c:v>
                </c:pt>
              </c:numCache>
            </c:numRef>
          </c:val>
          <c:extLst>
            <c:ext xmlns:c16="http://schemas.microsoft.com/office/drawing/2014/chart" uri="{C3380CC4-5D6E-409C-BE32-E72D297353CC}">
              <c16:uniqueId val="{00000001-4B5D-40F0-B9E9-79BB4C2617E4}"/>
            </c:ext>
          </c:extLst>
        </c:ser>
        <c:ser>
          <c:idx val="2"/>
          <c:order val="2"/>
          <c:tx>
            <c:strRef>
              <c:f>'8.5.2019'!$F$122</c:f>
              <c:strCache>
                <c:ptCount val="1"/>
                <c:pt idx="0">
                  <c:v>Refund Provided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B5D-40F0-B9E9-79BB4C2617E4}"/>
                </c:ext>
              </c:extLst>
            </c:dLbl>
            <c:dLbl>
              <c:idx val="1"/>
              <c:delete val="1"/>
              <c:extLst>
                <c:ext xmlns:c15="http://schemas.microsoft.com/office/drawing/2012/chart" uri="{CE6537A1-D6FC-4f65-9D91-7224C49458BB}"/>
                <c:ext xmlns:c16="http://schemas.microsoft.com/office/drawing/2014/chart" uri="{C3380CC4-5D6E-409C-BE32-E72D297353CC}">
                  <c16:uniqueId val="{00000003-4B5D-40F0-B9E9-79BB4C2617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'8.5.2019'!$F$123:$F$128</c:f>
              <c:numCache>
                <c:formatCode>0%</c:formatCode>
                <c:ptCount val="6"/>
                <c:pt idx="0">
                  <c:v>0</c:v>
                </c:pt>
                <c:pt idx="1">
                  <c:v>0</c:v>
                </c:pt>
                <c:pt idx="2">
                  <c:v>0.03</c:v>
                </c:pt>
                <c:pt idx="3">
                  <c:v>0.12</c:v>
                </c:pt>
                <c:pt idx="4">
                  <c:v>0.18</c:v>
                </c:pt>
                <c:pt idx="5">
                  <c:v>0.21</c:v>
                </c:pt>
              </c:numCache>
            </c:numRef>
          </c:val>
          <c:extLst>
            <c:ext xmlns:c16="http://schemas.microsoft.com/office/drawing/2014/chart" uri="{C3380CC4-5D6E-409C-BE32-E72D297353CC}">
              <c16:uniqueId val="{00000004-4B5D-40F0-B9E9-79BB4C2617E4}"/>
            </c:ext>
          </c:extLst>
        </c:ser>
        <c:dLbls>
          <c:dLblPos val="ctr"/>
          <c:showLegendKey val="0"/>
          <c:showVal val="1"/>
          <c:showCatName val="0"/>
          <c:showSerName val="0"/>
          <c:showPercent val="0"/>
          <c:showBubbleSize val="0"/>
        </c:dLbls>
        <c:gapWidth val="150"/>
        <c:overlap val="100"/>
        <c:axId val="628831744"/>
        <c:axId val="633418880"/>
      </c:barChart>
      <c:catAx>
        <c:axId val="62883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33418880"/>
        <c:crosses val="autoZero"/>
        <c:auto val="1"/>
        <c:lblAlgn val="ctr"/>
        <c:lblOffset val="100"/>
        <c:noMultiLvlLbl val="0"/>
      </c:catAx>
      <c:valAx>
        <c:axId val="6334188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288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C983-A366-4B15-96D1-3CC80118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1</TotalTime>
  <Pages>42</Pages>
  <Words>10554</Words>
  <Characters>60161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70574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2</cp:revision>
  <cp:lastPrinted>2019-09-04T18:09:00Z</cp:lastPrinted>
  <dcterms:created xsi:type="dcterms:W3CDTF">2019-09-05T21:35:00Z</dcterms:created>
  <dcterms:modified xsi:type="dcterms:W3CDTF">2019-09-05T21:35:00Z</dcterms:modified>
</cp:coreProperties>
</file>