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1DA5" w14:textId="616B67E9" w:rsidR="00BD4496" w:rsidRDefault="00BD4496" w:rsidP="00BD4496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943D5C" wp14:editId="5484FB6C">
            <wp:simplePos x="0" y="0"/>
            <wp:positionH relativeFrom="page">
              <wp:posOffset>860912</wp:posOffset>
            </wp:positionH>
            <wp:positionV relativeFrom="paragraph">
              <wp:posOffset>506</wp:posOffset>
            </wp:positionV>
            <wp:extent cx="838200" cy="838200"/>
            <wp:effectExtent l="0" t="0" r="0" b="0"/>
            <wp:wrapSquare wrapText="bothSides"/>
            <wp:docPr id="1" name="Shape 1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 descr="A red and white logo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4D">
        <w:rPr>
          <w:b/>
          <w:bCs/>
          <w:color w:val="000000"/>
          <w:lang w:val="en-US"/>
        </w:rPr>
        <w:t>The Republic of Turkey</w:t>
      </w:r>
    </w:p>
    <w:p w14:paraId="3FC81DE8" w14:textId="76D10F25" w:rsidR="00BD4496" w:rsidRPr="00F33A78" w:rsidRDefault="00BD4496" w:rsidP="00BD4496">
      <w:pPr>
        <w:pStyle w:val="NormalWeb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</w:rPr>
        <w:t xml:space="preserve">Ministry of </w:t>
      </w:r>
      <w:r>
        <w:rPr>
          <w:b/>
          <w:bCs/>
          <w:color w:val="000000"/>
          <w:lang w:val="en-US"/>
        </w:rPr>
        <w:t>Trade</w:t>
      </w:r>
    </w:p>
    <w:p w14:paraId="7B301463" w14:textId="45466748" w:rsidR="00BD4496" w:rsidRDefault="00BD4496" w:rsidP="00BD4496">
      <w:pPr>
        <w:pStyle w:val="NormalWeb"/>
        <w:spacing w:before="0" w:beforeAutospacing="0" w:after="640" w:afterAutospacing="0"/>
        <w:jc w:val="center"/>
      </w:pPr>
      <w:r>
        <w:rPr>
          <w:b/>
          <w:bCs/>
          <w:color w:val="000000"/>
        </w:rPr>
        <w:t>General Directorate of Customs</w:t>
      </w:r>
    </w:p>
    <w:p w14:paraId="16981550" w14:textId="77777777" w:rsidR="00BD4496" w:rsidRDefault="00BD4496" w:rsidP="00BD4496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E8B0243" w14:textId="0CAE524D" w:rsidR="00BD4496" w:rsidRDefault="00BD4496" w:rsidP="00BD449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No</w:t>
      </w:r>
      <w:r>
        <w:rPr>
          <w:color w:val="000000"/>
          <w:sz w:val="22"/>
          <w:szCs w:val="22"/>
        </w:rPr>
        <w:t>: E-18723479-153.18-00074312551</w:t>
      </w:r>
    </w:p>
    <w:p w14:paraId="35E2BE8D" w14:textId="102A71B3" w:rsidR="00BD4496" w:rsidRDefault="00BD4496" w:rsidP="00BD449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Subject: </w:t>
      </w:r>
      <w:r w:rsidR="00F5664D">
        <w:rPr>
          <w:color w:val="000000"/>
          <w:lang w:val="tr-TR"/>
        </w:rPr>
        <w:t xml:space="preserve">Mail </w:t>
      </w:r>
      <w:r>
        <w:rPr>
          <w:color w:val="000000"/>
        </w:rPr>
        <w:t>and Express Cargo Transportation—</w:t>
      </w:r>
    </w:p>
    <w:p w14:paraId="56B4E496" w14:textId="77777777" w:rsidR="00BD4496" w:rsidRDefault="00BD4496" w:rsidP="00BD4496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               Customs Procedures</w:t>
      </w:r>
    </w:p>
    <w:p w14:paraId="74B245A0" w14:textId="77777777" w:rsidR="00BD4496" w:rsidRDefault="00BD4496" w:rsidP="00BD449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</w:rPr>
        <w:t>04/29/2022</w:t>
      </w:r>
    </w:p>
    <w:p w14:paraId="762603FB" w14:textId="77777777" w:rsidR="00BD4496" w:rsidRDefault="00BD4496" w:rsidP="00BD449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B73B3F0" w14:textId="77777777" w:rsidR="00BD4496" w:rsidRDefault="00BD4496" w:rsidP="00BD4496">
      <w:pPr>
        <w:pStyle w:val="NormalWeb"/>
        <w:spacing w:before="0" w:beforeAutospacing="0" w:after="0" w:afterAutospacing="0"/>
        <w:jc w:val="center"/>
      </w:pPr>
    </w:p>
    <w:p w14:paraId="10CACC7E" w14:textId="7209C8C5" w:rsidR="00BD4496" w:rsidRPr="00F5664D" w:rsidRDefault="00F5664D" w:rsidP="00BD4496">
      <w:pPr>
        <w:pStyle w:val="NormalWeb"/>
        <w:spacing w:before="0" w:beforeAutospacing="0" w:after="80" w:afterAutospacing="0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GENERAL INSTRUCTIONS</w:t>
      </w:r>
    </w:p>
    <w:p w14:paraId="4F13AA21" w14:textId="77777777" w:rsidR="00BD4496" w:rsidRDefault="00BD4496" w:rsidP="00BD4496">
      <w:pPr>
        <w:pStyle w:val="NormalWeb"/>
        <w:spacing w:before="0" w:beforeAutospacing="0" w:after="300" w:afterAutospacing="0"/>
        <w:jc w:val="center"/>
      </w:pPr>
      <w:r>
        <w:rPr>
          <w:b/>
          <w:bCs/>
          <w:color w:val="000000"/>
        </w:rPr>
        <w:t>(2022/9)</w:t>
      </w:r>
      <w:bookmarkStart w:id="0" w:name="bookmark0"/>
      <w:bookmarkEnd w:id="0"/>
    </w:p>
    <w:p w14:paraId="4072A235" w14:textId="6C2192B7" w:rsidR="00BD4496" w:rsidRPr="00F5664D" w:rsidRDefault="00F5664D" w:rsidP="00BD4496">
      <w:pPr>
        <w:pStyle w:val="NormalWeb"/>
        <w:spacing w:before="0" w:beforeAutospacing="0" w:after="300" w:afterAutospacing="0"/>
        <w:rPr>
          <w:color w:val="000000"/>
        </w:rPr>
      </w:pPr>
      <w:r>
        <w:rPr>
          <w:color w:val="000000"/>
          <w:lang w:val="en-US"/>
        </w:rPr>
        <w:t>A</w:t>
      </w:r>
      <w:r w:rsidRPr="00F5664D">
        <w:rPr>
          <w:color w:val="000000"/>
          <w:lang w:val="en-US"/>
        </w:rPr>
        <w:t xml:space="preserve">s defined in </w:t>
      </w:r>
      <w:r w:rsidRPr="00F5664D">
        <w:rPr>
          <w:color w:val="000000"/>
        </w:rPr>
        <w:t>Article 126 of the Decree on the Implementation of Certain Articles of the Customs Law, n</w:t>
      </w:r>
      <w:r w:rsidRPr="00F5664D">
        <w:rPr>
          <w:color w:val="000000"/>
          <w:lang w:val="en-US"/>
        </w:rPr>
        <w:t>o.</w:t>
      </w:r>
      <w:r w:rsidRPr="00F5664D">
        <w:rPr>
          <w:color w:val="000000"/>
        </w:rPr>
        <w:t xml:space="preserve"> 4458, (hereinafter referred to as the Decree), which was put into effect </w:t>
      </w:r>
      <w:r w:rsidRPr="00F5664D">
        <w:rPr>
          <w:color w:val="000000"/>
          <w:lang w:val="en-US"/>
        </w:rPr>
        <w:t>by</w:t>
      </w:r>
      <w:r w:rsidRPr="00F5664D">
        <w:rPr>
          <w:color w:val="000000"/>
        </w:rPr>
        <w:t xml:space="preserve"> the Decree of the Council of Ministers</w:t>
      </w:r>
      <w:r w:rsidRPr="00F5664D">
        <w:rPr>
          <w:color w:val="000000"/>
          <w:lang w:val="en-US"/>
        </w:rPr>
        <w:t xml:space="preserve"> on</w:t>
      </w:r>
      <w:r w:rsidRPr="00F5664D">
        <w:rPr>
          <w:color w:val="000000"/>
        </w:rPr>
        <w:t xml:space="preserve"> 09.29.2009</w:t>
      </w:r>
      <w:r w:rsidRPr="00F5664D">
        <w:rPr>
          <w:color w:val="000000"/>
          <w:lang w:val="en-US"/>
        </w:rPr>
        <w:t>, numbered</w:t>
      </w:r>
      <w:r w:rsidRPr="00F5664D">
        <w:rPr>
          <w:color w:val="000000"/>
        </w:rPr>
        <w:t xml:space="preserve"> 2009/15481</w:t>
      </w:r>
      <w:r>
        <w:rPr>
          <w:color w:val="000000"/>
          <w:lang w:val="en-US"/>
        </w:rPr>
        <w:t>, i</w:t>
      </w:r>
      <w:r w:rsidR="00BD4496" w:rsidRPr="00F5664D">
        <w:rPr>
          <w:color w:val="000000"/>
          <w:lang w:val="en-US"/>
        </w:rPr>
        <w:t xml:space="preserve">ncoming </w:t>
      </w:r>
      <w:r w:rsidR="00BD4496" w:rsidRPr="00F5664D">
        <w:rPr>
          <w:color w:val="000000"/>
        </w:rPr>
        <w:t xml:space="preserve">or </w:t>
      </w:r>
      <w:r w:rsidR="00BD4496" w:rsidRPr="00F5664D">
        <w:rPr>
          <w:color w:val="000000"/>
          <w:lang w:val="en-US"/>
        </w:rPr>
        <w:t>outgoing</w:t>
      </w:r>
      <w:r w:rsidR="00BD4496" w:rsidRPr="00F5664D">
        <w:rPr>
          <w:color w:val="000000"/>
        </w:rPr>
        <w:t xml:space="preserve"> goods transported </w:t>
      </w:r>
      <w:r w:rsidRPr="00F5664D">
        <w:rPr>
          <w:color w:val="000000"/>
          <w:lang w:val="en-US"/>
        </w:rPr>
        <w:t xml:space="preserve">by mail </w:t>
      </w:r>
      <w:r w:rsidR="00BD4496" w:rsidRPr="00F5664D">
        <w:rPr>
          <w:color w:val="000000"/>
        </w:rPr>
        <w:t>and express cargo</w:t>
      </w:r>
      <w:r>
        <w:rPr>
          <w:color w:val="000000"/>
          <w:lang w:val="en-US"/>
        </w:rPr>
        <w:t xml:space="preserve"> </w:t>
      </w:r>
      <w:r w:rsidR="00BD4496" w:rsidRPr="00F5664D">
        <w:rPr>
          <w:color w:val="000000"/>
        </w:rPr>
        <w:t>will be processed as follows:</w:t>
      </w:r>
    </w:p>
    <w:p w14:paraId="08C5AC84" w14:textId="77777777" w:rsidR="00BD4496" w:rsidRDefault="00BD4496" w:rsidP="00BD4496">
      <w:pPr>
        <w:pStyle w:val="NormalWeb"/>
        <w:spacing w:before="0" w:beforeAutospacing="0" w:after="300" w:afterAutospacing="0"/>
        <w:rPr>
          <w:color w:val="000000"/>
          <w:sz w:val="22"/>
          <w:szCs w:val="22"/>
        </w:rPr>
      </w:pPr>
    </w:p>
    <w:p w14:paraId="2277EE97" w14:textId="77777777" w:rsidR="00BD4496" w:rsidRDefault="00BD4496" w:rsidP="00BD4496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DECLARATION</w:t>
      </w:r>
    </w:p>
    <w:p w14:paraId="6E08D7E4" w14:textId="77777777" w:rsidR="00BD4496" w:rsidRPr="00F5664D" w:rsidRDefault="00BD4496" w:rsidP="00BD4496">
      <w:pPr>
        <w:pStyle w:val="NormalWeb"/>
        <w:spacing w:before="0" w:beforeAutospacing="0" w:after="160" w:afterAutospacing="0"/>
      </w:pPr>
      <w:r w:rsidRPr="00F5664D">
        <w:rPr>
          <w:color w:val="000000"/>
        </w:rPr>
        <w:t xml:space="preserve">The declaration of goods </w:t>
      </w:r>
      <w:r w:rsidRPr="00F5664D">
        <w:rPr>
          <w:color w:val="000000"/>
          <w:lang w:val="en-US"/>
        </w:rPr>
        <w:t>as defined in</w:t>
      </w:r>
      <w:r w:rsidRPr="00F5664D">
        <w:rPr>
          <w:color w:val="000000"/>
        </w:rPr>
        <w:t xml:space="preserve"> Article 126 of the Decree shall be made in two ways: simplified customs declaration and detailed declaration via normal procedure.</w:t>
      </w:r>
    </w:p>
    <w:p w14:paraId="644F3924" w14:textId="77777777" w:rsidR="00BD4496" w:rsidRDefault="00BD4496" w:rsidP="00BD4496">
      <w:pPr>
        <w:pStyle w:val="NormalWeb"/>
        <w:spacing w:before="0" w:beforeAutospacing="0" w:after="160" w:afterAutospacing="0"/>
      </w:pPr>
    </w:p>
    <w:p w14:paraId="4E5008E6" w14:textId="77777777" w:rsidR="00BD4496" w:rsidRDefault="00BD4496" w:rsidP="00BD4496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bookmarkStart w:id="1" w:name="bookmark1"/>
      <w:bookmarkStart w:id="2" w:name="bookmark2"/>
      <w:bookmarkEnd w:id="1"/>
      <w:bookmarkEnd w:id="2"/>
      <w:r>
        <w:rPr>
          <w:b/>
          <w:bCs/>
          <w:color w:val="000000"/>
        </w:rPr>
        <w:t>Simplified customs declaration (Import</w:t>
      </w:r>
      <w:proofErr w:type="spellStart"/>
      <w:r>
        <w:rPr>
          <w:b/>
          <w:bCs/>
          <w:color w:val="000000"/>
          <w:lang w:val="tr-TR"/>
        </w:rPr>
        <w:t>ation</w:t>
      </w:r>
      <w:proofErr w:type="spellEnd"/>
      <w:r>
        <w:rPr>
          <w:b/>
          <w:bCs/>
          <w:color w:val="000000"/>
        </w:rPr>
        <w:t>)</w:t>
      </w:r>
    </w:p>
    <w:p w14:paraId="6F722BD4" w14:textId="2BD28500" w:rsidR="00BD4496" w:rsidRPr="00F5664D" w:rsidRDefault="00BD4496" w:rsidP="00BD4496">
      <w:pPr>
        <w:pStyle w:val="NormalWeb"/>
        <w:numPr>
          <w:ilvl w:val="1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 w:rsidRPr="00F5664D">
        <w:rPr>
          <w:color w:val="000000"/>
        </w:rPr>
        <w:t xml:space="preserve">The declaration of entry </w:t>
      </w:r>
      <w:r w:rsidRPr="00F5664D">
        <w:rPr>
          <w:color w:val="000000"/>
          <w:lang w:val="en-US"/>
        </w:rPr>
        <w:t>into</w:t>
      </w:r>
      <w:r w:rsidRPr="00F5664D">
        <w:rPr>
          <w:color w:val="000000"/>
        </w:rPr>
        <w:t xml:space="preserve"> free circulation of the following goods, </w:t>
      </w:r>
      <w:r w:rsidRPr="00F5664D">
        <w:rPr>
          <w:color w:val="000000"/>
          <w:lang w:val="en-US"/>
        </w:rPr>
        <w:t xml:space="preserve">as defined </w:t>
      </w:r>
      <w:r w:rsidRPr="00F5664D">
        <w:rPr>
          <w:color w:val="000000" w:themeColor="text1"/>
          <w:lang w:val="en-US"/>
        </w:rPr>
        <w:t xml:space="preserve">in </w:t>
      </w:r>
      <w:r w:rsidR="00602D05">
        <w:rPr>
          <w:color w:val="000000"/>
          <w:lang w:val="en-US"/>
        </w:rPr>
        <w:t>S</w:t>
      </w:r>
      <w:r w:rsidR="00F5664D" w:rsidRPr="00F5664D">
        <w:rPr>
          <w:color w:val="000000"/>
          <w:lang w:val="en-US"/>
        </w:rPr>
        <w:t xml:space="preserve">ection 1, </w:t>
      </w:r>
      <w:r w:rsidR="00602D05">
        <w:rPr>
          <w:color w:val="000000" w:themeColor="text1"/>
          <w:lang w:val="en-US"/>
        </w:rPr>
        <w:t>S</w:t>
      </w:r>
      <w:r w:rsidR="00F5664D">
        <w:rPr>
          <w:color w:val="000000" w:themeColor="text1"/>
          <w:lang w:val="en-US"/>
        </w:rPr>
        <w:t>ubsection</w:t>
      </w:r>
      <w:r w:rsidR="00F5664D">
        <w:rPr>
          <w:color w:val="000000" w:themeColor="text1"/>
          <w:lang w:val="tr-TR"/>
        </w:rPr>
        <w:t xml:space="preserve"> </w:t>
      </w:r>
      <w:r w:rsidR="00F5664D" w:rsidRPr="00F5664D">
        <w:rPr>
          <w:color w:val="000000" w:themeColor="text1"/>
        </w:rPr>
        <w:t xml:space="preserve">(a) </w:t>
      </w:r>
      <w:r w:rsidR="00F5664D" w:rsidRPr="00F5664D">
        <w:rPr>
          <w:color w:val="000000" w:themeColor="text1"/>
          <w:lang w:val="en-US"/>
        </w:rPr>
        <w:t xml:space="preserve">of </w:t>
      </w:r>
      <w:r w:rsidRPr="00F5664D">
        <w:rPr>
          <w:color w:val="000000"/>
        </w:rPr>
        <w:t>Article 126</w:t>
      </w:r>
      <w:r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in</w:t>
      </w:r>
      <w:r w:rsidRPr="00F5664D">
        <w:rPr>
          <w:color w:val="000000"/>
        </w:rPr>
        <w:t xml:space="preserve"> the Decree</w:t>
      </w:r>
      <w:r w:rsidRPr="00F5664D">
        <w:rPr>
          <w:color w:val="000000"/>
          <w:lang w:val="en-US"/>
        </w:rPr>
        <w:t xml:space="preserve">, that are </w:t>
      </w:r>
      <w:r w:rsidRPr="00F5664D">
        <w:rPr>
          <w:color w:val="000000"/>
        </w:rPr>
        <w:t xml:space="preserve">transported </w:t>
      </w:r>
      <w:r w:rsidR="00F5664D" w:rsidRPr="00F5664D">
        <w:rPr>
          <w:color w:val="000000"/>
          <w:lang w:val="en-US"/>
        </w:rPr>
        <w:t>by mail</w:t>
      </w:r>
      <w:r w:rsidRPr="00F5664D">
        <w:rPr>
          <w:color w:val="000000"/>
        </w:rPr>
        <w:t xml:space="preserve"> or express cargo</w:t>
      </w:r>
      <w:r w:rsidRPr="00F5664D">
        <w:rPr>
          <w:color w:val="000000"/>
          <w:lang w:val="en-US"/>
        </w:rPr>
        <w:t>,</w:t>
      </w:r>
      <w:r w:rsidRPr="00F5664D">
        <w:rPr>
          <w:color w:val="000000"/>
        </w:rPr>
        <w:t xml:space="preserve"> is made </w:t>
      </w:r>
      <w:r w:rsidR="00F5664D" w:rsidRPr="00F5664D">
        <w:rPr>
          <w:color w:val="000000"/>
          <w:lang w:val="en-US"/>
        </w:rPr>
        <w:t>through</w:t>
      </w:r>
      <w:r w:rsidRPr="00F5664D">
        <w:rPr>
          <w:color w:val="000000"/>
        </w:rPr>
        <w:t xml:space="preserve"> a simplified customs declaration.</w:t>
      </w:r>
    </w:p>
    <w:p w14:paraId="0A0860C6" w14:textId="77777777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>B</w:t>
      </w:r>
      <w:r w:rsidRPr="00F5664D">
        <w:rPr>
          <w:color w:val="000000"/>
        </w:rPr>
        <w:t>ook</w:t>
      </w:r>
      <w:r w:rsidRPr="00F5664D">
        <w:rPr>
          <w:color w:val="000000"/>
          <w:lang w:val="en-US"/>
        </w:rPr>
        <w:t>s</w:t>
      </w:r>
      <w:r w:rsidRPr="00F5664D">
        <w:rPr>
          <w:color w:val="000000"/>
        </w:rPr>
        <w:t xml:space="preserve"> or similar printed publication</w:t>
      </w:r>
      <w:r w:rsidRPr="00F5664D">
        <w:rPr>
          <w:color w:val="000000"/>
          <w:lang w:val="en-US"/>
        </w:rPr>
        <w:t>s</w:t>
      </w:r>
      <w:r w:rsidRPr="00F5664D">
        <w:rPr>
          <w:color w:val="000000"/>
        </w:rPr>
        <w:t xml:space="preserve"> for personal use whose value does not exceed 1</w:t>
      </w:r>
      <w:r w:rsidRPr="00F5664D">
        <w:rPr>
          <w:color w:val="000000"/>
          <w:lang w:val="tr-TR"/>
        </w:rPr>
        <w:t>,</w:t>
      </w:r>
      <w:r w:rsidRPr="00F5664D">
        <w:rPr>
          <w:color w:val="000000"/>
        </w:rPr>
        <w:t>500 Euros.</w:t>
      </w:r>
    </w:p>
    <w:p w14:paraId="7E755009" w14:textId="6691EB63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r w:rsidRPr="00F5664D">
        <w:rPr>
          <w:color w:val="000000"/>
        </w:rPr>
        <w:t xml:space="preserve">Personal items </w:t>
      </w:r>
      <w:proofErr w:type="spellStart"/>
      <w:r w:rsidRPr="00F5664D">
        <w:rPr>
          <w:color w:val="000000"/>
          <w:lang w:val="tr-TR"/>
        </w:rPr>
        <w:t>listed</w:t>
      </w:r>
      <w:proofErr w:type="spellEnd"/>
      <w:r w:rsidRPr="00F5664D">
        <w:rPr>
          <w:color w:val="000000"/>
        </w:rPr>
        <w:t xml:space="preserve"> in </w:t>
      </w:r>
      <w:r w:rsidR="00602D05">
        <w:rPr>
          <w:color w:val="000000"/>
          <w:lang w:val="en-US"/>
        </w:rPr>
        <w:t>S</w:t>
      </w:r>
      <w:r w:rsidRPr="00F5664D">
        <w:rPr>
          <w:color w:val="000000"/>
        </w:rPr>
        <w:t xml:space="preserve">ection (B) of Annex 9 of the Decree, which are transported </w:t>
      </w:r>
      <w:r w:rsidR="00F5664D" w:rsidRPr="00F5664D">
        <w:rPr>
          <w:color w:val="000000"/>
          <w:lang w:val="en-US"/>
        </w:rPr>
        <w:t>by</w:t>
      </w:r>
      <w:r w:rsidRPr="00F5664D">
        <w:rPr>
          <w:color w:val="000000"/>
        </w:rPr>
        <w:t xml:space="preserve"> </w:t>
      </w:r>
      <w:r w:rsidR="00F5664D" w:rsidRPr="00F5664D">
        <w:rPr>
          <w:color w:val="000000"/>
          <w:lang w:val="en-US"/>
        </w:rPr>
        <w:t>mail</w:t>
      </w:r>
      <w:r w:rsidRPr="00F5664D">
        <w:rPr>
          <w:color w:val="000000"/>
        </w:rPr>
        <w:t xml:space="preserve"> or express cargo a month before or three months after passenger’s arrival</w:t>
      </w:r>
      <w:r w:rsidRPr="00F5664D">
        <w:rPr>
          <w:color w:val="000000"/>
          <w:lang w:val="en-US"/>
        </w:rPr>
        <w:t>.</w:t>
      </w:r>
    </w:p>
    <w:p w14:paraId="758C6DBD" w14:textId="6FFF1A92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proofErr w:type="spellStart"/>
      <w:r w:rsidRPr="00F5664D">
        <w:rPr>
          <w:color w:val="000000"/>
          <w:lang w:val="tr-TR"/>
        </w:rPr>
        <w:t>Goods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proofErr w:type="spellStart"/>
      <w:r w:rsidRPr="00F5664D">
        <w:rPr>
          <w:color w:val="000000"/>
          <w:lang w:val="tr-TR"/>
        </w:rPr>
        <w:t>Article</w:t>
      </w:r>
      <w:proofErr w:type="spellEnd"/>
      <w:r w:rsidRPr="00F5664D">
        <w:rPr>
          <w:color w:val="000000"/>
          <w:lang w:val="tr-TR"/>
        </w:rPr>
        <w:t xml:space="preserve"> 62 of </w:t>
      </w:r>
      <w:proofErr w:type="spellStart"/>
      <w:r w:rsidRPr="00F5664D">
        <w:rPr>
          <w:color w:val="000000"/>
          <w:lang w:val="tr-TR"/>
        </w:rPr>
        <w:t>the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Decree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that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are</w:t>
      </w:r>
      <w:proofErr w:type="spellEnd"/>
      <w:r w:rsidRPr="00F5664D">
        <w:rPr>
          <w:color w:val="000000"/>
          <w:lang w:val="tr-TR"/>
        </w:rPr>
        <w:t xml:space="preserve"> sent </w:t>
      </w:r>
      <w:proofErr w:type="spellStart"/>
      <w:r w:rsidRPr="00F5664D">
        <w:rPr>
          <w:color w:val="000000"/>
          <w:lang w:val="tr-TR"/>
        </w:rPr>
        <w:t>to</w:t>
      </w:r>
      <w:proofErr w:type="spellEnd"/>
      <w:r w:rsidRPr="00F5664D">
        <w:rPr>
          <w:color w:val="000000"/>
          <w:lang w:val="tr-TR"/>
        </w:rPr>
        <w:t xml:space="preserve"> a </w:t>
      </w:r>
      <w:proofErr w:type="spellStart"/>
      <w:r w:rsidRPr="00F5664D">
        <w:rPr>
          <w:color w:val="000000"/>
          <w:lang w:val="tr-TR"/>
        </w:rPr>
        <w:t>natural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person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do not </w:t>
      </w:r>
      <w:proofErr w:type="spellStart"/>
      <w:r w:rsidRPr="00F5664D">
        <w:rPr>
          <w:color w:val="000000"/>
          <w:lang w:val="tr-TR"/>
        </w:rPr>
        <w:t>have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commercial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quantity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content</w:t>
      </w:r>
      <w:proofErr w:type="spellEnd"/>
      <w:r w:rsidR="00F5664D" w:rsidRPr="00F5664D">
        <w:rPr>
          <w:color w:val="000000"/>
          <w:lang w:val="tr-TR"/>
        </w:rPr>
        <w:t xml:space="preserve"> </w:t>
      </w:r>
      <w:proofErr w:type="spellStart"/>
      <w:r w:rsidR="00F5664D">
        <w:rPr>
          <w:color w:val="000000"/>
          <w:lang w:val="tr-TR"/>
        </w:rPr>
        <w:t>and</w:t>
      </w:r>
      <w:proofErr w:type="spellEnd"/>
      <w:r w:rsid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whose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value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does</w:t>
      </w:r>
      <w:proofErr w:type="spellEnd"/>
      <w:r w:rsidRPr="00F5664D">
        <w:rPr>
          <w:color w:val="000000"/>
          <w:lang w:val="tr-TR"/>
        </w:rPr>
        <w:t xml:space="preserve"> not </w:t>
      </w:r>
      <w:proofErr w:type="spellStart"/>
      <w:r w:rsidRPr="00F5664D">
        <w:rPr>
          <w:color w:val="000000"/>
          <w:lang w:val="tr-TR"/>
        </w:rPr>
        <w:t>exceed</w:t>
      </w:r>
      <w:proofErr w:type="spellEnd"/>
      <w:r w:rsidRPr="00F5664D">
        <w:rPr>
          <w:color w:val="000000"/>
          <w:lang w:val="tr-TR"/>
        </w:rPr>
        <w:t xml:space="preserve"> 150 </w:t>
      </w:r>
      <w:proofErr w:type="spellStart"/>
      <w:r w:rsidRPr="00F5664D">
        <w:rPr>
          <w:color w:val="000000"/>
          <w:lang w:val="tr-TR"/>
        </w:rPr>
        <w:t>Euros</w:t>
      </w:r>
      <w:proofErr w:type="spellEnd"/>
      <w:r w:rsidRPr="00F5664D">
        <w:rPr>
          <w:color w:val="000000"/>
          <w:lang w:val="tr-TR"/>
        </w:rPr>
        <w:t>.</w:t>
      </w:r>
    </w:p>
    <w:p w14:paraId="275AF142" w14:textId="77777777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proofErr w:type="spellStart"/>
      <w:r w:rsidRPr="00F5664D">
        <w:rPr>
          <w:color w:val="000000"/>
          <w:lang w:val="tr-TR"/>
        </w:rPr>
        <w:lastRenderedPageBreak/>
        <w:t>Pharmaceutical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goods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proofErr w:type="spellStart"/>
      <w:r w:rsidRPr="00F5664D">
        <w:rPr>
          <w:color w:val="000000"/>
          <w:lang w:val="tr-TR"/>
        </w:rPr>
        <w:t>Article</w:t>
      </w:r>
      <w:proofErr w:type="spellEnd"/>
      <w:r w:rsidRPr="00F5664D">
        <w:rPr>
          <w:color w:val="000000"/>
          <w:lang w:val="tr-TR"/>
        </w:rPr>
        <w:t xml:space="preserve"> 62 of </w:t>
      </w:r>
      <w:proofErr w:type="spellStart"/>
      <w:r w:rsidRPr="00F5664D">
        <w:rPr>
          <w:color w:val="000000"/>
          <w:lang w:val="tr-TR"/>
        </w:rPr>
        <w:t>the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Decree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whose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valuse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does</w:t>
      </w:r>
      <w:proofErr w:type="spellEnd"/>
      <w:r w:rsidRPr="00F5664D">
        <w:rPr>
          <w:color w:val="000000"/>
          <w:lang w:val="tr-TR"/>
        </w:rPr>
        <w:t xml:space="preserve"> not </w:t>
      </w:r>
      <w:proofErr w:type="spellStart"/>
      <w:r w:rsidRPr="00F5664D">
        <w:rPr>
          <w:color w:val="000000"/>
          <w:lang w:val="tr-TR"/>
        </w:rPr>
        <w:t>exceed</w:t>
      </w:r>
      <w:proofErr w:type="spellEnd"/>
      <w:r w:rsidRPr="00F5664D">
        <w:rPr>
          <w:color w:val="000000"/>
          <w:lang w:val="tr-TR"/>
        </w:rPr>
        <w:t xml:space="preserve"> 1,500 </w:t>
      </w:r>
      <w:proofErr w:type="spellStart"/>
      <w:r w:rsidRPr="00F5664D">
        <w:rPr>
          <w:color w:val="000000"/>
          <w:lang w:val="tr-TR"/>
        </w:rPr>
        <w:t>Euros</w:t>
      </w:r>
      <w:proofErr w:type="spellEnd"/>
      <w:r w:rsidRPr="00F5664D">
        <w:rPr>
          <w:color w:val="000000"/>
          <w:lang w:val="tr-TR"/>
        </w:rPr>
        <w:t>.</w:t>
      </w:r>
    </w:p>
    <w:p w14:paraId="66E645B8" w14:textId="77777777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proofErr w:type="spellStart"/>
      <w:r w:rsidRPr="00F5664D">
        <w:rPr>
          <w:color w:val="000000"/>
          <w:lang w:val="tr-TR"/>
        </w:rPr>
        <w:t>Goods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proofErr w:type="spellStart"/>
      <w:r w:rsidRPr="00F5664D">
        <w:rPr>
          <w:color w:val="000000"/>
          <w:lang w:val="tr-TR"/>
        </w:rPr>
        <w:t>Articles</w:t>
      </w:r>
      <w:proofErr w:type="spellEnd"/>
      <w:r w:rsidRPr="00F5664D">
        <w:rPr>
          <w:color w:val="000000"/>
          <w:lang w:val="tr-TR"/>
        </w:rPr>
        <w:t xml:space="preserve"> 69, 70,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71 </w:t>
      </w:r>
      <w:proofErr w:type="spellStart"/>
      <w:r w:rsidRPr="00F5664D">
        <w:rPr>
          <w:color w:val="000000"/>
          <w:lang w:val="tr-TR"/>
        </w:rPr>
        <w:t>for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educational</w:t>
      </w:r>
      <w:proofErr w:type="spellEnd"/>
      <w:r w:rsidRPr="00F5664D">
        <w:rPr>
          <w:color w:val="000000"/>
          <w:lang w:val="tr-TR"/>
        </w:rPr>
        <w:t xml:space="preserve">, </w:t>
      </w:r>
      <w:proofErr w:type="spellStart"/>
      <w:r w:rsidRPr="00F5664D">
        <w:rPr>
          <w:color w:val="000000"/>
          <w:lang w:val="tr-TR"/>
        </w:rPr>
        <w:t>scientific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cultural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purposes</w:t>
      </w:r>
      <w:proofErr w:type="spellEnd"/>
      <w:r w:rsidRPr="00F5664D">
        <w:rPr>
          <w:color w:val="000000"/>
          <w:lang w:val="tr-TR"/>
        </w:rPr>
        <w:t xml:space="preserve">, as </w:t>
      </w:r>
      <w:proofErr w:type="spellStart"/>
      <w:r w:rsidRPr="00F5664D">
        <w:rPr>
          <w:color w:val="000000"/>
          <w:lang w:val="tr-TR"/>
        </w:rPr>
        <w:t>well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scientific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instruments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devices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for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institutions</w:t>
      </w:r>
      <w:proofErr w:type="spellEnd"/>
      <w:r w:rsidRPr="00F5664D">
        <w:rPr>
          <w:color w:val="000000"/>
          <w:lang w:val="tr-TR"/>
        </w:rPr>
        <w:t xml:space="preserve"> holding VAT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en-US"/>
        </w:rPr>
        <w:t>/or SCT (Special Consumption Tax) exemption certificate.</w:t>
      </w:r>
    </w:p>
    <w:p w14:paraId="2B0D8E65" w14:textId="3032C51C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 xml:space="preserve">Sample goods and models as defined in Article 86 of the Decree that do not have significant value. </w:t>
      </w:r>
    </w:p>
    <w:p w14:paraId="38BC5481" w14:textId="28D45B79" w:rsidR="00BD4496" w:rsidRPr="00F5664D" w:rsidRDefault="00BD4496" w:rsidP="00F5664D">
      <w:pPr>
        <w:pStyle w:val="NormalWeb"/>
        <w:numPr>
          <w:ilvl w:val="1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 xml:space="preserve">Goods as defined in Article 91 of the Decree for research, analysis, and testing. </w:t>
      </w:r>
    </w:p>
    <w:p w14:paraId="2C02A30B" w14:textId="77777777" w:rsidR="00BD4496" w:rsidRPr="00F5664D" w:rsidRDefault="00BD4496" w:rsidP="00BD4496"/>
    <w:p w14:paraId="7C35B017" w14:textId="171699BF" w:rsidR="00BD4496" w:rsidRPr="00F5664D" w:rsidRDefault="00BD4496" w:rsidP="00BD4496">
      <w:pPr>
        <w:pStyle w:val="NormalWeb"/>
        <w:numPr>
          <w:ilvl w:val="1"/>
          <w:numId w:val="2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tr-TR"/>
        </w:rPr>
        <w:t>B</w:t>
      </w:r>
      <w:r w:rsidRPr="00F5664D">
        <w:rPr>
          <w:color w:val="000000"/>
        </w:rPr>
        <w:t>ooks or printed publications</w:t>
      </w:r>
      <w:r w:rsidRPr="00F5664D">
        <w:rPr>
          <w:color w:val="000000"/>
          <w:lang w:val="en-US"/>
        </w:rPr>
        <w:t xml:space="preserve"> </w:t>
      </w:r>
      <w:r w:rsidRPr="00F5664D">
        <w:rPr>
          <w:color w:val="000000"/>
          <w:lang w:val="tr-TR"/>
        </w:rPr>
        <w:t xml:space="preserve">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r w:rsidR="00602D05">
        <w:rPr>
          <w:color w:val="000000"/>
          <w:lang w:val="en-US"/>
        </w:rPr>
        <w:t>S</w:t>
      </w:r>
      <w:r w:rsidR="00F5664D" w:rsidRPr="00F5664D">
        <w:rPr>
          <w:color w:val="000000"/>
          <w:lang w:val="en-US"/>
        </w:rPr>
        <w:t xml:space="preserve">ection 1, </w:t>
      </w:r>
      <w:r w:rsidR="00602D05">
        <w:rPr>
          <w:color w:val="000000"/>
          <w:lang w:val="en-US"/>
        </w:rPr>
        <w:t>S</w:t>
      </w:r>
      <w:r w:rsidR="00F5664D" w:rsidRPr="00F5664D">
        <w:rPr>
          <w:color w:val="000000"/>
        </w:rPr>
        <w:t>ub</w:t>
      </w:r>
      <w:r w:rsidR="00F5664D" w:rsidRPr="00F5664D">
        <w:rPr>
          <w:color w:val="000000"/>
          <w:lang w:val="en-US"/>
        </w:rPr>
        <w:t>section</w:t>
      </w:r>
      <w:r w:rsidR="00F5664D" w:rsidRPr="00F5664D">
        <w:rPr>
          <w:color w:val="000000"/>
        </w:rPr>
        <w:t xml:space="preserve"> </w:t>
      </w:r>
      <w:r w:rsidR="00F5664D" w:rsidRPr="00F5664D">
        <w:rPr>
          <w:color w:val="FF0000"/>
        </w:rPr>
        <w:t>(ö)</w:t>
      </w:r>
      <w:r w:rsidR="00F5664D" w:rsidRPr="00F5664D">
        <w:rPr>
          <w:color w:val="000000"/>
        </w:rPr>
        <w:t xml:space="preserve"> </w:t>
      </w:r>
      <w:r w:rsidR="00F5664D" w:rsidRPr="00F5664D">
        <w:rPr>
          <w:color w:val="000000"/>
          <w:lang w:val="en-US"/>
        </w:rPr>
        <w:t>of</w:t>
      </w:r>
      <w:r w:rsidR="00F5664D" w:rsidRPr="00F5664D">
        <w:rPr>
          <w:color w:val="000000"/>
        </w:rPr>
        <w:t xml:space="preserve"> Article 100</w:t>
      </w:r>
      <w:r w:rsidR="00F5664D" w:rsidRPr="00F5664D">
        <w:rPr>
          <w:color w:val="000000"/>
          <w:lang w:val="en-US"/>
        </w:rPr>
        <w:t xml:space="preserve"> in </w:t>
      </w:r>
      <w:r w:rsidR="00F5664D" w:rsidRPr="00F5664D">
        <w:rPr>
          <w:color w:val="000000"/>
        </w:rPr>
        <w:t>the Decree</w:t>
      </w:r>
      <w:r w:rsidR="00F5664D" w:rsidRPr="00F5664D">
        <w:rPr>
          <w:color w:val="000000"/>
          <w:lang w:val="en-US"/>
        </w:rPr>
        <w:t xml:space="preserve"> </w:t>
      </w:r>
      <w:r w:rsidRPr="00F5664D">
        <w:rPr>
          <w:color w:val="000000"/>
          <w:lang w:val="en-US"/>
        </w:rPr>
        <w:t xml:space="preserve">that are </w:t>
      </w:r>
      <w:r w:rsidRPr="00F5664D">
        <w:rPr>
          <w:color w:val="000000"/>
        </w:rPr>
        <w:t xml:space="preserve">sent to or provided by public institutions, libraries, museums, </w:t>
      </w:r>
      <w:r w:rsidR="00602D05">
        <w:rPr>
          <w:color w:val="000000"/>
          <w:lang w:val="en-US"/>
        </w:rPr>
        <w:t xml:space="preserve">and </w:t>
      </w:r>
      <w:r w:rsidRPr="00F5664D">
        <w:rPr>
          <w:color w:val="000000"/>
        </w:rPr>
        <w:t xml:space="preserve">institutions </w:t>
      </w:r>
      <w:r w:rsidR="00602D05">
        <w:rPr>
          <w:color w:val="000000"/>
          <w:lang w:val="en-US"/>
        </w:rPr>
        <w:t xml:space="preserve">that </w:t>
      </w:r>
      <w:r w:rsidRPr="00F5664D">
        <w:rPr>
          <w:color w:val="000000"/>
        </w:rPr>
        <w:t xml:space="preserve">engage in education or scientific research </w:t>
      </w:r>
    </w:p>
    <w:p w14:paraId="32B14D0E" w14:textId="77777777" w:rsidR="00BD4496" w:rsidRPr="00F5664D" w:rsidRDefault="00BD4496" w:rsidP="00BD4496">
      <w:pPr>
        <w:pStyle w:val="NormalWeb"/>
        <w:numPr>
          <w:ilvl w:val="1"/>
          <w:numId w:val="2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</w:rPr>
        <w:t xml:space="preserve">Diplomatic </w:t>
      </w:r>
      <w:r w:rsidRPr="00F5664D">
        <w:rPr>
          <w:color w:val="000000"/>
          <w:lang w:val="en-US"/>
        </w:rPr>
        <w:t>goods</w:t>
      </w:r>
      <w:r w:rsidRPr="00F5664D">
        <w:rPr>
          <w:color w:val="000000"/>
        </w:rPr>
        <w:t xml:space="preserve"> </w:t>
      </w:r>
      <w:r w:rsidRPr="00F5664D">
        <w:rPr>
          <w:color w:val="000000"/>
          <w:lang w:val="en-US"/>
        </w:rPr>
        <w:t>sent to</w:t>
      </w:r>
      <w:r w:rsidRPr="00F5664D">
        <w:rPr>
          <w:color w:val="000000"/>
        </w:rPr>
        <w:t xml:space="preserve"> </w:t>
      </w:r>
      <w:r w:rsidRPr="00F5664D">
        <w:rPr>
          <w:color w:val="000000"/>
          <w:lang w:val="en-US"/>
        </w:rPr>
        <w:t xml:space="preserve">and by </w:t>
      </w:r>
      <w:r w:rsidRPr="00F5664D">
        <w:rPr>
          <w:color w:val="000000"/>
        </w:rPr>
        <w:t>embassies, consulates or international organizations.</w:t>
      </w:r>
    </w:p>
    <w:p w14:paraId="56E5DEBD" w14:textId="1285B5A8" w:rsidR="00BD4496" w:rsidRPr="00F5664D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144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1.2.</w:t>
      </w:r>
      <w:r w:rsidRPr="00F5664D">
        <w:rPr>
          <w:color w:val="000000"/>
        </w:rPr>
        <w:t xml:space="preserve"> </w:t>
      </w:r>
      <w:r w:rsidRPr="00F5664D">
        <w:rPr>
          <w:color w:val="000000"/>
          <w:lang w:val="en-US"/>
        </w:rPr>
        <w:t xml:space="preserve">Restrictions or restrictive provisions arising from other legislations do not apply to the declaration of entry into free circulation for goods listed in 1.1. </w:t>
      </w:r>
      <w:r w:rsidR="00602D05">
        <w:rPr>
          <w:color w:val="000000"/>
          <w:lang w:val="en-US"/>
        </w:rPr>
        <w:t>S</w:t>
      </w:r>
      <w:r w:rsidRPr="00F5664D">
        <w:rPr>
          <w:color w:val="000000"/>
          <w:lang w:val="en-US"/>
        </w:rPr>
        <w:t>ection of Article 112</w:t>
      </w:r>
    </w:p>
    <w:p w14:paraId="4B9ECB88" w14:textId="77777777" w:rsidR="00BD4496" w:rsidRPr="00F5664D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144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1.3. Number of waybills that can be attached to a simplified declaration for import transactions are limited to a maximum of 2,000 (two thousand) items. </w:t>
      </w:r>
    </w:p>
    <w:p w14:paraId="25F2F633" w14:textId="3A5563E0" w:rsidR="00BD4496" w:rsidRPr="00F5664D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144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1.4. </w:t>
      </w:r>
      <w:r w:rsidR="00F5664D">
        <w:rPr>
          <w:color w:val="000000"/>
          <w:lang w:val="en-US"/>
        </w:rPr>
        <w:t xml:space="preserve">For the first </w:t>
      </w:r>
      <w:r w:rsidR="00F5664D" w:rsidRPr="00F5664D">
        <w:rPr>
          <w:color w:val="000000"/>
          <w:lang w:val="en-US"/>
        </w:rPr>
        <w:t xml:space="preserve">three days after the date of delivery notification </w:t>
      </w:r>
      <w:r w:rsidR="00F5664D">
        <w:rPr>
          <w:color w:val="000000"/>
          <w:lang w:val="en-US"/>
        </w:rPr>
        <w:t xml:space="preserve">sent </w:t>
      </w:r>
      <w:r w:rsidR="00F5664D" w:rsidRPr="00F5664D">
        <w:rPr>
          <w:color w:val="000000"/>
          <w:lang w:val="en-US"/>
        </w:rPr>
        <w:t>to the recipient</w:t>
      </w:r>
      <w:r w:rsidR="00F5664D">
        <w:rPr>
          <w:color w:val="000000"/>
          <w:lang w:val="en-US"/>
        </w:rPr>
        <w:t>,</w:t>
      </w:r>
      <w:r w:rsidR="00F5664D" w:rsidRPr="00F5664D">
        <w:rPr>
          <w:color w:val="000000"/>
          <w:lang w:val="en-US"/>
        </w:rPr>
        <w:t xml:space="preserve"> </w:t>
      </w:r>
      <w:r w:rsidR="00F5664D">
        <w:rPr>
          <w:color w:val="000000"/>
          <w:lang w:val="en-US"/>
        </w:rPr>
        <w:t>o</w:t>
      </w:r>
      <w:r w:rsidRPr="00F5664D">
        <w:rPr>
          <w:color w:val="000000"/>
          <w:lang w:val="en-US"/>
        </w:rPr>
        <w:t>perators shall not charge storage and other additional fees</w:t>
      </w:r>
      <w:r w:rsidR="00F5664D">
        <w:rPr>
          <w:color w:val="000000"/>
          <w:lang w:val="en-US"/>
        </w:rPr>
        <w:t xml:space="preserve"> </w:t>
      </w:r>
      <w:r w:rsidRPr="00F5664D">
        <w:rPr>
          <w:color w:val="000000"/>
          <w:lang w:val="en-US"/>
        </w:rPr>
        <w:t xml:space="preserve">for the services provided for the customs clearance of the aforementioned goods under the name of custom brokerage, order note, </w:t>
      </w:r>
      <w:proofErr w:type="gramStart"/>
      <w:r w:rsidRPr="00F5664D">
        <w:rPr>
          <w:color w:val="000000"/>
          <w:lang w:val="en-US"/>
        </w:rPr>
        <w:t>terminal</w:t>
      </w:r>
      <w:proofErr w:type="gramEnd"/>
      <w:r w:rsidRPr="00F5664D">
        <w:rPr>
          <w:color w:val="000000"/>
          <w:lang w:val="en-US"/>
        </w:rPr>
        <w:t xml:space="preserve"> and other similar names</w:t>
      </w:r>
      <w:r w:rsidR="00F5664D">
        <w:rPr>
          <w:color w:val="000000"/>
          <w:lang w:val="en-US"/>
        </w:rPr>
        <w:t>.</w:t>
      </w:r>
    </w:p>
    <w:p w14:paraId="74DBDB8A" w14:textId="77777777" w:rsidR="00BD4496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sz w:val="22"/>
          <w:szCs w:val="22"/>
          <w:lang w:val="en-US"/>
        </w:rPr>
      </w:pPr>
    </w:p>
    <w:p w14:paraId="3182353E" w14:textId="77777777" w:rsidR="00BD4496" w:rsidRDefault="00BD4496" w:rsidP="00BD4496">
      <w:pPr>
        <w:pStyle w:val="NormalWeb"/>
        <w:numPr>
          <w:ilvl w:val="0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b/>
          <w:bCs/>
          <w:color w:val="000000"/>
          <w:sz w:val="22"/>
          <w:szCs w:val="22"/>
          <w:lang w:val="en-US"/>
        </w:rPr>
      </w:pPr>
      <w:r w:rsidRPr="00F33A78">
        <w:rPr>
          <w:b/>
          <w:bCs/>
          <w:color w:val="000000"/>
          <w:sz w:val="22"/>
          <w:szCs w:val="22"/>
          <w:lang w:val="en-US"/>
        </w:rPr>
        <w:t xml:space="preserve">Detailed Declaration </w:t>
      </w:r>
      <w:r>
        <w:rPr>
          <w:b/>
          <w:bCs/>
          <w:color w:val="000000"/>
          <w:sz w:val="22"/>
          <w:szCs w:val="22"/>
          <w:lang w:val="en-US"/>
        </w:rPr>
        <w:t>(Importation)</w:t>
      </w:r>
    </w:p>
    <w:p w14:paraId="6B416BF4" w14:textId="7D939FC3" w:rsidR="00BD4496" w:rsidRPr="00F5664D" w:rsidRDefault="00F5664D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D</w:t>
      </w:r>
      <w:r w:rsidR="00BD4496" w:rsidRPr="00F5664D">
        <w:rPr>
          <w:color w:val="000000"/>
          <w:lang w:val="en-US"/>
        </w:rPr>
        <w:t xml:space="preserve">eclaration of entry into free circulation of goods </w:t>
      </w:r>
      <w:r w:rsidRPr="00F5664D">
        <w:rPr>
          <w:color w:val="000000"/>
          <w:lang w:val="en-US"/>
        </w:rPr>
        <w:t xml:space="preserve">as defined in </w:t>
      </w:r>
      <w:r w:rsidR="00602D05">
        <w:rPr>
          <w:color w:val="000000"/>
          <w:lang w:val="en-US"/>
        </w:rPr>
        <w:t>S</w:t>
      </w:r>
      <w:r w:rsidRPr="00F5664D">
        <w:rPr>
          <w:color w:val="000000"/>
          <w:lang w:val="en-US"/>
        </w:rPr>
        <w:t xml:space="preserve">ection 1, </w:t>
      </w:r>
      <w:r w:rsidR="00602D05">
        <w:rPr>
          <w:color w:val="000000"/>
          <w:lang w:val="en-US"/>
        </w:rPr>
        <w:t>S</w:t>
      </w:r>
      <w:r w:rsidRPr="00F5664D">
        <w:rPr>
          <w:color w:val="000000"/>
          <w:lang w:val="en-US"/>
        </w:rPr>
        <w:t xml:space="preserve">ubsection (b) of Article 126 in the Decree </w:t>
      </w:r>
      <w:r w:rsidR="00BD4496" w:rsidRPr="00F5664D">
        <w:rPr>
          <w:color w:val="000000"/>
          <w:lang w:val="en-US"/>
        </w:rPr>
        <w:t xml:space="preserve">that are sent to a natural person by mail and express cargo and </w:t>
      </w:r>
      <w:r w:rsidR="00BD4496" w:rsidRPr="00F5664D">
        <w:rPr>
          <w:color w:val="000000"/>
          <w:lang w:val="tr-TR"/>
        </w:rPr>
        <w:t xml:space="preserve">do not </w:t>
      </w:r>
      <w:proofErr w:type="spellStart"/>
      <w:r w:rsidR="00BD4496" w:rsidRPr="00F5664D">
        <w:rPr>
          <w:color w:val="000000"/>
          <w:lang w:val="tr-TR"/>
        </w:rPr>
        <w:t>have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commercial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quantity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and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content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r w:rsidR="00BD4496" w:rsidRPr="00F5664D">
        <w:rPr>
          <w:color w:val="000000"/>
          <w:lang w:val="en-US"/>
        </w:rPr>
        <w:t xml:space="preserve">whose value exceeds 150 Euros but does not exceed 1,500 Euros, is made through detailed declaration </w:t>
      </w:r>
      <w:r w:rsidRPr="00F5664D">
        <w:rPr>
          <w:color w:val="000000"/>
          <w:lang w:val="en-US"/>
        </w:rPr>
        <w:t>via</w:t>
      </w:r>
      <w:r w:rsidR="00BD4496" w:rsidRPr="00F5664D">
        <w:rPr>
          <w:color w:val="000000"/>
          <w:lang w:val="en-US"/>
        </w:rPr>
        <w:t xml:space="preserve"> normal procedure. </w:t>
      </w:r>
    </w:p>
    <w:p w14:paraId="47D76714" w14:textId="77777777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In the declaration of goods by the operator, “BS20” code is selected from the Detailed Declaration module in the BILGE (Computerized Customs Activities) system.</w:t>
      </w:r>
    </w:p>
    <w:p w14:paraId="2D9A326C" w14:textId="77777777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lastRenderedPageBreak/>
        <w:t>In the customs declaration to be registered with the code “BS20” in the BILGE system, the existing user code and password for the simplified customs declaration is used by the operator.</w:t>
      </w:r>
    </w:p>
    <w:p w14:paraId="0F8D3001" w14:textId="54978882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The operator is not required to register </w:t>
      </w:r>
      <w:r w:rsidR="00F5664D" w:rsidRPr="00F5664D">
        <w:rPr>
          <w:color w:val="000000"/>
          <w:lang w:val="en-US"/>
        </w:rPr>
        <w:t>for</w:t>
      </w:r>
      <w:r w:rsidRPr="00F5664D">
        <w:rPr>
          <w:color w:val="000000"/>
          <w:lang w:val="en-US"/>
        </w:rPr>
        <w:t xml:space="preserve"> the Liable Tracking and Registration System (YKTS).</w:t>
      </w:r>
    </w:p>
    <w:p w14:paraId="367756E1" w14:textId="0958F868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jc w:val="both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Article 112 of the Decree shall not be applied </w:t>
      </w:r>
      <w:r w:rsidR="00F5664D">
        <w:rPr>
          <w:color w:val="000000"/>
          <w:lang w:val="en-US"/>
        </w:rPr>
        <w:t>to</w:t>
      </w:r>
      <w:r w:rsidRPr="00F5664D">
        <w:rPr>
          <w:color w:val="000000"/>
          <w:lang w:val="en-US"/>
        </w:rPr>
        <w:t xml:space="preserve"> the declaration of goods into free circulation; the transaction shall be carried out by paying taxes and fulfilling other obligations in accordance with the general provisions of customs and foreign trade legislation. </w:t>
      </w:r>
    </w:p>
    <w:p w14:paraId="446EC145" w14:textId="77777777" w:rsidR="00F5664D" w:rsidRPr="00144A8C" w:rsidRDefault="00F5664D" w:rsidP="00F5664D">
      <w:pPr>
        <w:pStyle w:val="NormalWeb"/>
        <w:tabs>
          <w:tab w:val="left" w:pos="2279"/>
        </w:tabs>
        <w:spacing w:before="0" w:beforeAutospacing="0" w:after="160" w:afterAutospacing="0"/>
        <w:jc w:val="both"/>
        <w:textAlignment w:val="baseline"/>
        <w:rPr>
          <w:color w:val="000000"/>
          <w:lang w:val="en-US"/>
        </w:rPr>
      </w:pPr>
    </w:p>
    <w:p w14:paraId="1B4CB847" w14:textId="77777777" w:rsidR="00BD4496" w:rsidRDefault="00BD4496" w:rsidP="00BD4496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Simplified customs declaration (</w:t>
      </w:r>
      <w:r>
        <w:rPr>
          <w:b/>
          <w:bCs/>
          <w:color w:val="000000"/>
          <w:lang w:val="en-US"/>
        </w:rPr>
        <w:t>Exportation</w:t>
      </w:r>
      <w:r>
        <w:rPr>
          <w:b/>
          <w:bCs/>
          <w:color w:val="000000"/>
        </w:rPr>
        <w:t>)</w:t>
      </w:r>
    </w:p>
    <w:p w14:paraId="69463AA8" w14:textId="6EF2215B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The declaration of goods as defined in</w:t>
      </w:r>
      <w:r w:rsidR="00F5664D" w:rsidRPr="00F5664D">
        <w:rPr>
          <w:color w:val="000000"/>
          <w:lang w:val="en-US"/>
        </w:rPr>
        <w:t xml:space="preserve"> </w:t>
      </w:r>
      <w:r w:rsidR="00602D05">
        <w:rPr>
          <w:color w:val="000000"/>
          <w:lang w:val="en-US"/>
        </w:rPr>
        <w:t>S</w:t>
      </w:r>
      <w:r w:rsidR="00F5664D" w:rsidRPr="00F5664D">
        <w:rPr>
          <w:color w:val="000000"/>
          <w:lang w:val="en-US"/>
        </w:rPr>
        <w:t>ection 1,</w:t>
      </w:r>
      <w:r w:rsidR="00602D05">
        <w:rPr>
          <w:color w:val="000000"/>
          <w:lang w:val="en-US"/>
        </w:rPr>
        <w:t xml:space="preserve"> S</w:t>
      </w:r>
      <w:r w:rsidR="00F5664D" w:rsidRPr="00F5664D">
        <w:rPr>
          <w:color w:val="000000"/>
          <w:lang w:val="en-US"/>
        </w:rPr>
        <w:t>ubsection (c) of</w:t>
      </w:r>
      <w:r w:rsidRPr="00F5664D">
        <w:rPr>
          <w:color w:val="000000"/>
          <w:lang w:val="en-US"/>
        </w:rPr>
        <w:t xml:space="preserve"> Article 126</w:t>
      </w:r>
      <w:r w:rsidR="00F5664D" w:rsidRPr="00F5664D">
        <w:rPr>
          <w:color w:val="000000"/>
          <w:lang w:val="en-US"/>
        </w:rPr>
        <w:t xml:space="preserve"> in</w:t>
      </w:r>
      <w:r w:rsidRPr="00F5664D">
        <w:rPr>
          <w:color w:val="000000"/>
          <w:lang w:val="en-US"/>
        </w:rPr>
        <w:t xml:space="preserve"> the Decree that are transported </w:t>
      </w:r>
      <w:r w:rsidR="00F5664D" w:rsidRPr="00F5664D">
        <w:rPr>
          <w:color w:val="000000"/>
          <w:lang w:val="en-US"/>
        </w:rPr>
        <w:t>by</w:t>
      </w:r>
      <w:r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mail</w:t>
      </w:r>
      <w:r w:rsidRPr="00F5664D">
        <w:rPr>
          <w:color w:val="000000"/>
          <w:lang w:val="en-US"/>
        </w:rPr>
        <w:t xml:space="preserve"> and express cargo</w:t>
      </w:r>
      <w:r w:rsidR="00F5664D" w:rsidRPr="00F5664D">
        <w:rPr>
          <w:color w:val="000000"/>
          <w:lang w:val="en-US"/>
        </w:rPr>
        <w:t xml:space="preserve">, </w:t>
      </w:r>
      <w:r w:rsidRPr="00F5664D">
        <w:rPr>
          <w:color w:val="000000"/>
          <w:lang w:val="en-US"/>
        </w:rPr>
        <w:t>whose gross weight does not exce</w:t>
      </w:r>
      <w:r w:rsidR="00F5664D" w:rsidRPr="00F5664D">
        <w:rPr>
          <w:color w:val="000000"/>
          <w:lang w:val="en-US"/>
        </w:rPr>
        <w:t>ed</w:t>
      </w:r>
      <w:r w:rsidRPr="00F5664D">
        <w:rPr>
          <w:color w:val="000000"/>
          <w:lang w:val="en-US"/>
        </w:rPr>
        <w:t xml:space="preserve"> 300 kilograms and whose value does not exceed 15,000 Euros is made through simplified customs declaration.</w:t>
      </w:r>
    </w:p>
    <w:p w14:paraId="46452815" w14:textId="77777777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Number of waybills that can be attached to a simplified declaration for export transactions are limited to a maximum of 2,500 (two thousand five hundred) items. </w:t>
      </w:r>
    </w:p>
    <w:p w14:paraId="661F7A6E" w14:textId="2C408CF5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Regarding the declaration of the customs tariff statistics position (GTIP) in the simplified customs declaration for exports</w:t>
      </w:r>
      <w:r w:rsidR="00F5664D" w:rsidRPr="00F5664D">
        <w:rPr>
          <w:color w:val="000000"/>
          <w:lang w:val="en-US"/>
        </w:rPr>
        <w:t>:</w:t>
      </w:r>
    </w:p>
    <w:p w14:paraId="60A8AEC4" w14:textId="6A72055A" w:rsidR="00BD4496" w:rsidRPr="00F5664D" w:rsidRDefault="00BD4496" w:rsidP="00BD4496">
      <w:pPr>
        <w:pStyle w:val="NormalWeb"/>
        <w:numPr>
          <w:ilvl w:val="0"/>
          <w:numId w:val="4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Registration is allowed if the 12-digit number of customs tariff statistics position (GTIP) is entered in the field of </w:t>
      </w:r>
      <w:r w:rsidR="00F5664D" w:rsidRPr="00F5664D">
        <w:rPr>
          <w:color w:val="000000"/>
          <w:lang w:val="en-US"/>
        </w:rPr>
        <w:t>“</w:t>
      </w:r>
      <w:r w:rsidRPr="00F5664D">
        <w:rPr>
          <w:color w:val="000000"/>
          <w:lang w:val="en-US"/>
        </w:rPr>
        <w:t>goods code</w:t>
      </w:r>
      <w:r w:rsidR="00F5664D" w:rsidRPr="00F5664D">
        <w:rPr>
          <w:color w:val="000000"/>
          <w:lang w:val="en-US"/>
        </w:rPr>
        <w:t>”</w:t>
      </w:r>
      <w:r w:rsidRPr="00F5664D">
        <w:rPr>
          <w:color w:val="000000"/>
          <w:lang w:val="en-US"/>
        </w:rPr>
        <w:t xml:space="preserve"> for the export goods that are subject to incentives, subsidies, monetary refunds or identified as same. In order to receive tax refund requested by taxpayers </w:t>
      </w:r>
      <w:r w:rsidR="00F5664D">
        <w:rPr>
          <w:color w:val="000000"/>
          <w:lang w:val="en-US"/>
        </w:rPr>
        <w:t>at the</w:t>
      </w:r>
      <w:r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t</w:t>
      </w:r>
      <w:r w:rsidRPr="00F5664D">
        <w:rPr>
          <w:color w:val="000000"/>
          <w:lang w:val="en-US"/>
        </w:rPr>
        <w:t>ax offices, the 12-digit number of customs tariff statistics position (GTIP) must be entered in the designated area.</w:t>
      </w:r>
    </w:p>
    <w:p w14:paraId="00AA1DAB" w14:textId="6F373563" w:rsidR="00BD4496" w:rsidRPr="00F5664D" w:rsidRDefault="00BD4496" w:rsidP="00F5664D">
      <w:pPr>
        <w:pStyle w:val="NormalWeb"/>
        <w:numPr>
          <w:ilvl w:val="0"/>
          <w:numId w:val="4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For export goods that are not subject to incentives, subsidies, monetary refunds or identified as same, a declaration is made with the exemption code “TSPA_HAR.” In this case, a minimum tariff position of 4 must be entered in </w:t>
      </w:r>
      <w:r w:rsidR="00F5664D">
        <w:rPr>
          <w:color w:val="000000"/>
          <w:lang w:val="en-US"/>
        </w:rPr>
        <w:t xml:space="preserve">the </w:t>
      </w:r>
      <w:r w:rsidRPr="00F5664D">
        <w:rPr>
          <w:color w:val="000000"/>
          <w:lang w:val="en-US"/>
        </w:rPr>
        <w:t xml:space="preserve">field of </w:t>
      </w:r>
      <w:r w:rsidR="00F5664D">
        <w:rPr>
          <w:color w:val="000000"/>
          <w:lang w:val="en-US"/>
        </w:rPr>
        <w:t>“</w:t>
      </w:r>
      <w:r w:rsidRPr="00F5664D">
        <w:rPr>
          <w:color w:val="000000"/>
          <w:lang w:val="en-US"/>
        </w:rPr>
        <w:t>goods code.</w:t>
      </w:r>
      <w:r w:rsidR="00F5664D">
        <w:rPr>
          <w:color w:val="000000"/>
          <w:lang w:val="en-US"/>
        </w:rPr>
        <w:t>”</w:t>
      </w:r>
      <w:r w:rsidRPr="00F5664D">
        <w:rPr>
          <w:color w:val="000000"/>
          <w:lang w:val="en-US"/>
        </w:rPr>
        <w:t xml:space="preserve"> Simplified customs declarations with the “TSPA_HAR” exemption code cannot be used for tax refund requests. </w:t>
      </w:r>
    </w:p>
    <w:p w14:paraId="666605D0" w14:textId="6DFB9A7A" w:rsidR="00BD4496" w:rsidRPr="00F5664D" w:rsidRDefault="00BD4496" w:rsidP="00BD4496">
      <w:pPr>
        <w:pStyle w:val="NormalWeb"/>
        <w:numPr>
          <w:ilvl w:val="0"/>
          <w:numId w:val="4"/>
        </w:numPr>
        <w:tabs>
          <w:tab w:val="left" w:pos="2279"/>
        </w:tabs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>In the simplified customs declaration for the export of sample goods and models, exemption code</w:t>
      </w:r>
      <w:r w:rsid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“NUM”</w:t>
      </w:r>
      <w:r w:rsidRPr="00F5664D">
        <w:rPr>
          <w:color w:val="000000"/>
          <w:lang w:val="en-US"/>
        </w:rPr>
        <w:t xml:space="preserve"> is used. In this case, a minimum tariff position of 4 needs to be entered in the relevant field of </w:t>
      </w:r>
      <w:r w:rsidR="00F5664D">
        <w:rPr>
          <w:color w:val="000000"/>
          <w:lang w:val="en-US"/>
        </w:rPr>
        <w:t>“</w:t>
      </w:r>
      <w:r w:rsidRPr="00F5664D">
        <w:rPr>
          <w:color w:val="000000"/>
          <w:lang w:val="en-US"/>
        </w:rPr>
        <w:t>goods code.</w:t>
      </w:r>
      <w:r w:rsidR="00F5664D">
        <w:rPr>
          <w:color w:val="000000"/>
          <w:lang w:val="en-US"/>
        </w:rPr>
        <w:t>”</w:t>
      </w:r>
      <w:r w:rsidRPr="00F5664D">
        <w:rPr>
          <w:color w:val="000000"/>
          <w:lang w:val="en-US"/>
        </w:rPr>
        <w:t xml:space="preserve"> </w:t>
      </w:r>
    </w:p>
    <w:p w14:paraId="72F9F438" w14:textId="77777777" w:rsidR="00BD4496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</w:p>
    <w:p w14:paraId="7A1B0B9D" w14:textId="77777777" w:rsidR="00BD4496" w:rsidRPr="00144A8C" w:rsidRDefault="00BD4496" w:rsidP="00BD4496">
      <w:pPr>
        <w:pStyle w:val="NormalWeb"/>
        <w:numPr>
          <w:ilvl w:val="0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144A8C">
        <w:rPr>
          <w:b/>
          <w:bCs/>
          <w:color w:val="000000"/>
          <w:lang w:val="en-US"/>
        </w:rPr>
        <w:t>Exemption Codes</w:t>
      </w:r>
    </w:p>
    <w:p w14:paraId="7A998F3A" w14:textId="765ABD5C" w:rsidR="00BD4496" w:rsidRPr="00144A8C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740"/>
        <w:textAlignment w:val="baseline"/>
        <w:rPr>
          <w:b/>
          <w:bCs/>
          <w:color w:val="000000"/>
        </w:rPr>
      </w:pPr>
      <w:r>
        <w:rPr>
          <w:color w:val="000000"/>
          <w:lang w:val="en-US"/>
        </w:rPr>
        <w:t>The exemption codes in Annex-1 are used for simplified customs declaration.</w:t>
      </w:r>
    </w:p>
    <w:p w14:paraId="03D96525" w14:textId="77777777" w:rsidR="00F5664D" w:rsidRDefault="00F5664D"/>
    <w:sectPr w:rsidR="00F566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51CD" w14:textId="77777777" w:rsidR="008172FD" w:rsidRDefault="008172FD" w:rsidP="00F5664D">
      <w:r>
        <w:separator/>
      </w:r>
    </w:p>
  </w:endnote>
  <w:endnote w:type="continuationSeparator" w:id="0">
    <w:p w14:paraId="65158140" w14:textId="77777777" w:rsidR="008172FD" w:rsidRDefault="008172FD" w:rsidP="00F5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7C5" w14:textId="77777777" w:rsid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r w:rsidRPr="00F5664D">
      <w:rPr>
        <w:color w:val="000000"/>
        <w:sz w:val="16"/>
        <w:szCs w:val="16"/>
        <w:lang w:val="en-US"/>
      </w:rPr>
      <w:t xml:space="preserve">Address: </w:t>
    </w:r>
    <w:proofErr w:type="spellStart"/>
    <w:r w:rsidRPr="00F5664D">
      <w:rPr>
        <w:color w:val="000000"/>
        <w:sz w:val="16"/>
        <w:szCs w:val="16"/>
        <w:lang w:val="en-US"/>
      </w:rPr>
      <w:t>Dumlupınar</w:t>
    </w:r>
    <w:proofErr w:type="spellEnd"/>
    <w:r w:rsidRPr="00F5664D">
      <w:rPr>
        <w:color w:val="000000"/>
        <w:sz w:val="16"/>
        <w:szCs w:val="16"/>
        <w:lang w:val="en-US"/>
      </w:rPr>
      <w:t xml:space="preserve"> Bul. No: 151 </w:t>
    </w:r>
    <w:proofErr w:type="spellStart"/>
    <w:r w:rsidRPr="00F5664D">
      <w:rPr>
        <w:color w:val="000000"/>
        <w:sz w:val="16"/>
        <w:szCs w:val="16"/>
        <w:lang w:val="en-US"/>
      </w:rPr>
      <w:t>Esk</w:t>
    </w:r>
    <w:r w:rsidRPr="00F5664D">
      <w:rPr>
        <w:color w:val="000000"/>
        <w:sz w:val="16"/>
        <w:szCs w:val="16"/>
        <w:lang w:val="tr-TR"/>
      </w:rPr>
      <w:t>işehir</w:t>
    </w:r>
    <w:proofErr w:type="spellEnd"/>
    <w:r w:rsidRPr="00F5664D">
      <w:rPr>
        <w:color w:val="000000"/>
        <w:sz w:val="16"/>
        <w:szCs w:val="16"/>
        <w:lang w:val="tr-TR"/>
      </w:rPr>
      <w:t xml:space="preserve"> Yolu 9. Km. Ankara</w:t>
    </w:r>
  </w:p>
  <w:p w14:paraId="0556CE70" w14:textId="11F98816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r w:rsidRPr="00F5664D">
      <w:rPr>
        <w:color w:val="000000"/>
        <w:sz w:val="16"/>
        <w:szCs w:val="16"/>
        <w:lang w:val="tr-TR"/>
      </w:rPr>
      <w:t>Phone</w:t>
    </w:r>
    <w:r w:rsidRPr="00F5664D">
      <w:rPr>
        <w:color w:val="000000"/>
        <w:sz w:val="16"/>
        <w:szCs w:val="16"/>
        <w:lang w:val="en-US"/>
      </w:rPr>
      <w:t>: (312) 204 75 00 Fax: (0312)</w:t>
    </w:r>
    <w:r w:rsidRPr="00F5664D">
      <w:rPr>
        <w:color w:val="000000"/>
        <w:sz w:val="16"/>
        <w:szCs w:val="16"/>
        <w:lang w:val="tr-TR"/>
      </w:rPr>
      <w:t xml:space="preserve"> 449 31 43</w:t>
    </w:r>
  </w:p>
  <w:p w14:paraId="6E3A5BAD" w14:textId="77777777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proofErr w:type="spellStart"/>
    <w:r w:rsidRPr="00F5664D">
      <w:rPr>
        <w:color w:val="000000"/>
        <w:sz w:val="16"/>
        <w:szCs w:val="16"/>
        <w:lang w:val="tr-TR"/>
      </w:rPr>
      <w:t>Email</w:t>
    </w:r>
    <w:proofErr w:type="spellEnd"/>
    <w:r w:rsidRPr="00F5664D">
      <w:rPr>
        <w:color w:val="000000"/>
        <w:sz w:val="16"/>
        <w:szCs w:val="16"/>
        <w:lang w:val="tr-TR"/>
      </w:rPr>
      <w:t xml:space="preserve">: </w:t>
    </w:r>
  </w:p>
  <w:p w14:paraId="4FDBF681" w14:textId="77777777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proofErr w:type="spellStart"/>
    <w:r w:rsidRPr="00F5664D">
      <w:rPr>
        <w:color w:val="000000"/>
        <w:sz w:val="16"/>
        <w:szCs w:val="16"/>
        <w:lang w:val="tr-TR"/>
      </w:rPr>
      <w:t>Website</w:t>
    </w:r>
    <w:proofErr w:type="spellEnd"/>
    <w:r w:rsidRPr="00F5664D">
      <w:rPr>
        <w:color w:val="000000"/>
        <w:sz w:val="16"/>
        <w:szCs w:val="16"/>
        <w:lang w:val="tr-TR"/>
      </w:rPr>
      <w:t xml:space="preserve">: </w:t>
    </w:r>
    <w:hyperlink r:id="rId1" w:history="1">
      <w:r w:rsidRPr="00F5664D">
        <w:rPr>
          <w:rStyle w:val="Hyperlink"/>
          <w:sz w:val="16"/>
          <w:szCs w:val="16"/>
          <w:lang w:val="tr-TR"/>
        </w:rPr>
        <w:t>www.ticaret.gov.tr</w:t>
      </w:r>
    </w:hyperlink>
  </w:p>
  <w:p w14:paraId="448C9A0A" w14:textId="77777777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en-US"/>
      </w:rPr>
    </w:pPr>
    <w:r w:rsidRPr="00F5664D">
      <w:rPr>
        <w:color w:val="000000"/>
        <w:sz w:val="16"/>
        <w:szCs w:val="16"/>
        <w:lang w:val="tr-TR"/>
      </w:rPr>
      <w:t xml:space="preserve">KEP </w:t>
    </w:r>
    <w:proofErr w:type="spellStart"/>
    <w:r w:rsidRPr="00F5664D">
      <w:rPr>
        <w:color w:val="000000"/>
        <w:sz w:val="16"/>
        <w:szCs w:val="16"/>
        <w:lang w:val="tr-TR"/>
      </w:rPr>
      <w:t>Address</w:t>
    </w:r>
    <w:proofErr w:type="spellEnd"/>
    <w:r w:rsidRPr="00F5664D">
      <w:rPr>
        <w:color w:val="000000"/>
        <w:sz w:val="16"/>
        <w:szCs w:val="16"/>
        <w:lang w:val="tr-TR"/>
      </w:rPr>
      <w:t xml:space="preserve">: </w:t>
    </w:r>
    <w:r w:rsidRPr="00F5664D">
      <w:rPr>
        <w:color w:val="000000"/>
        <w:sz w:val="16"/>
        <w:szCs w:val="16"/>
        <w:lang w:val="en-US"/>
      </w:rPr>
      <w:br w:type="textWrapping" w:clear="all"/>
    </w:r>
  </w:p>
  <w:p w14:paraId="129DD509" w14:textId="09DCF0FE" w:rsidR="00F5664D" w:rsidRPr="00F5664D" w:rsidRDefault="00F5664D">
    <w:pPr>
      <w:pStyle w:val="Footer"/>
      <w:rPr>
        <w:lang w:val="en-US"/>
      </w:rPr>
    </w:pPr>
  </w:p>
  <w:p w14:paraId="0D78396F" w14:textId="77777777" w:rsidR="00F5664D" w:rsidRDefault="00F56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BDC9" w14:textId="77777777" w:rsidR="008172FD" w:rsidRDefault="008172FD" w:rsidP="00F5664D">
      <w:r>
        <w:separator/>
      </w:r>
    </w:p>
  </w:footnote>
  <w:footnote w:type="continuationSeparator" w:id="0">
    <w:p w14:paraId="1161E730" w14:textId="77777777" w:rsidR="008172FD" w:rsidRDefault="008172FD" w:rsidP="00F5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5110"/>
    <w:multiLevelType w:val="multilevel"/>
    <w:tmpl w:val="65CE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56E68"/>
    <w:multiLevelType w:val="hybridMultilevel"/>
    <w:tmpl w:val="6C7EAF8A"/>
    <w:lvl w:ilvl="0" w:tplc="9318777C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F736D57"/>
    <w:multiLevelType w:val="hybridMultilevel"/>
    <w:tmpl w:val="E240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226FC"/>
    <w:multiLevelType w:val="hybridMultilevel"/>
    <w:tmpl w:val="3CE806D2"/>
    <w:lvl w:ilvl="0" w:tplc="22A21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92A0F"/>
    <w:multiLevelType w:val="multilevel"/>
    <w:tmpl w:val="55228632"/>
    <w:lvl w:ilvl="0">
      <w:start w:val="1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C8324E"/>
    <w:multiLevelType w:val="multilevel"/>
    <w:tmpl w:val="377C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356177">
    <w:abstractNumId w:val="0"/>
  </w:num>
  <w:num w:numId="2" w16cid:durableId="681399174">
    <w:abstractNumId w:val="5"/>
    <w:lvlOverride w:ilvl="0">
      <w:lvl w:ilvl="0">
        <w:numFmt w:val="upperRoman"/>
        <w:lvlText w:val="%1."/>
        <w:lvlJc w:val="right"/>
      </w:lvl>
    </w:lvlOverride>
  </w:num>
  <w:num w:numId="3" w16cid:durableId="210654296">
    <w:abstractNumId w:val="4"/>
  </w:num>
  <w:num w:numId="4" w16cid:durableId="68845015">
    <w:abstractNumId w:val="1"/>
  </w:num>
  <w:num w:numId="5" w16cid:durableId="1322006164">
    <w:abstractNumId w:val="3"/>
  </w:num>
  <w:num w:numId="6" w16cid:durableId="192028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96"/>
    <w:rsid w:val="002F678D"/>
    <w:rsid w:val="00336395"/>
    <w:rsid w:val="00387DDF"/>
    <w:rsid w:val="00602D05"/>
    <w:rsid w:val="008172FD"/>
    <w:rsid w:val="00B15A59"/>
    <w:rsid w:val="00BD4496"/>
    <w:rsid w:val="00F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B194C0"/>
  <w15:chartTrackingRefBased/>
  <w15:docId w15:val="{1AA3622A-8A72-314A-97A8-B14BBC84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96"/>
    <w:pPr>
      <w:widowControl w:val="0"/>
    </w:pPr>
    <w:rPr>
      <w:rFonts w:ascii="Times New Roman" w:eastAsia="Times New Roman" w:hAnsi="Times New Roman" w:cs="Times New Roman"/>
      <w:color w:val="000000"/>
      <w:kern w:val="0"/>
      <w:lang w:val="tr-TR" w:eastAsia="tr-TR" w:bidi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BD4496"/>
    <w:rPr>
      <w:sz w:val="17"/>
      <w:szCs w:val="17"/>
    </w:rPr>
  </w:style>
  <w:style w:type="character" w:customStyle="1" w:styleId="Headerorfooter2">
    <w:name w:val="Header or footer|2_"/>
    <w:basedOn w:val="DefaultParagraphFont"/>
    <w:link w:val="Headerorfooter20"/>
    <w:rsid w:val="00BD4496"/>
    <w:rPr>
      <w:sz w:val="20"/>
      <w:szCs w:val="20"/>
    </w:rPr>
  </w:style>
  <w:style w:type="paragraph" w:customStyle="1" w:styleId="Bodytext20">
    <w:name w:val="Body text|2"/>
    <w:basedOn w:val="Normal"/>
    <w:link w:val="Bodytext2"/>
    <w:rsid w:val="00BD4496"/>
    <w:pPr>
      <w:spacing w:after="100"/>
      <w:jc w:val="center"/>
    </w:pPr>
    <w:rPr>
      <w:rFonts w:asciiTheme="minorHAnsi" w:eastAsiaTheme="minorHAnsi" w:hAnsiTheme="minorHAnsi" w:cstheme="minorBidi"/>
      <w:color w:val="auto"/>
      <w:kern w:val="2"/>
      <w:sz w:val="17"/>
      <w:szCs w:val="17"/>
      <w:lang w:val="en-ES" w:eastAsia="en-US" w:bidi="ar-SA"/>
      <w14:ligatures w14:val="standardContextual"/>
    </w:rPr>
  </w:style>
  <w:style w:type="paragraph" w:customStyle="1" w:styleId="Headerorfooter20">
    <w:name w:val="Header or footer|2"/>
    <w:basedOn w:val="Normal"/>
    <w:link w:val="Headerorfooter2"/>
    <w:rsid w:val="00BD4496"/>
    <w:rPr>
      <w:rFonts w:asciiTheme="minorHAnsi" w:eastAsiaTheme="minorHAnsi" w:hAnsiTheme="minorHAnsi" w:cstheme="minorBidi"/>
      <w:color w:val="auto"/>
      <w:kern w:val="2"/>
      <w:sz w:val="20"/>
      <w:szCs w:val="20"/>
      <w:lang w:val="en-ES"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BD4496"/>
    <w:pPr>
      <w:widowControl/>
      <w:spacing w:before="100" w:beforeAutospacing="1" w:after="100" w:afterAutospacing="1"/>
    </w:pPr>
    <w:rPr>
      <w:color w:val="auto"/>
      <w:lang w:val="en-ES" w:eastAsia="en-GB" w:bidi="ar-SA"/>
    </w:rPr>
  </w:style>
  <w:style w:type="character" w:styleId="Hyperlink">
    <w:name w:val="Hyperlink"/>
    <w:basedOn w:val="DefaultParagraphFont"/>
    <w:uiPriority w:val="99"/>
    <w:unhideWhenUsed/>
    <w:rsid w:val="00F56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4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66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64D"/>
    <w:rPr>
      <w:rFonts w:ascii="Times New Roman" w:eastAsia="Times New Roman" w:hAnsi="Times New Roman" w:cs="Times New Roman"/>
      <w:color w:val="000000"/>
      <w:kern w:val="0"/>
      <w:sz w:val="20"/>
      <w:szCs w:val="20"/>
      <w:lang w:val="tr-TR" w:eastAsia="tr-TR" w:bidi="tr-T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566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6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64D"/>
    <w:rPr>
      <w:rFonts w:ascii="Times New Roman" w:eastAsia="Times New Roman" w:hAnsi="Times New Roman" w:cs="Times New Roman"/>
      <w:color w:val="000000"/>
      <w:kern w:val="0"/>
      <w:lang w:val="tr-TR" w:eastAsia="tr-TR" w:bidi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64D"/>
    <w:rPr>
      <w:rFonts w:ascii="Times New Roman" w:eastAsia="Times New Roman" w:hAnsi="Times New Roman" w:cs="Times New Roman"/>
      <w:color w:val="000000"/>
      <w:kern w:val="0"/>
      <w:lang w:val="tr-TR" w:eastAsia="tr-TR" w:bidi="tr-TR"/>
      <w14:ligatures w14:val="none"/>
    </w:rPr>
  </w:style>
  <w:style w:type="paragraph" w:styleId="ListParagraph">
    <w:name w:val="List Paragraph"/>
    <w:basedOn w:val="Normal"/>
    <w:uiPriority w:val="34"/>
    <w:qFormat/>
    <w:rsid w:val="00387DDF"/>
    <w:pPr>
      <w:ind w:left="720"/>
      <w:contextualSpacing/>
    </w:pPr>
  </w:style>
  <w:style w:type="character" w:customStyle="1" w:styleId="rynqvb">
    <w:name w:val="rynqvb"/>
    <w:basedOn w:val="DefaultParagraphFont"/>
    <w:rsid w:val="0038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aret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744</Words>
  <Characters>5059</Characters>
  <Application>Microsoft Office Word</Application>
  <DocSecurity>0</DocSecurity>
  <Lines>123</Lines>
  <Paragraphs>69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atkin</dc:creator>
  <cp:keywords/>
  <dc:description/>
  <cp:lastModifiedBy>miriam atkin</cp:lastModifiedBy>
  <cp:revision>5</cp:revision>
  <dcterms:created xsi:type="dcterms:W3CDTF">2023-09-14T22:04:00Z</dcterms:created>
  <dcterms:modified xsi:type="dcterms:W3CDTF">2023-09-18T11:39:00Z</dcterms:modified>
</cp:coreProperties>
</file>