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Default="007B1A69" w:rsidP="007B1A69">
      <w:pPr>
        <w:jc w:val="center"/>
      </w:pPr>
      <w:r>
        <w:t>FOOTNOTES</w:t>
      </w:r>
    </w:p>
    <w:p w:rsidR="007B1A69" w:rsidRDefault="007B1A69" w:rsidP="007B1A69">
      <w:pPr>
        <w:jc w:val="center"/>
      </w:pPr>
    </w:p>
    <w:p w:rsidR="007B1A69" w:rsidRDefault="007B1A69" w:rsidP="007B1A69">
      <w:pPr>
        <w:jc w:val="center"/>
      </w:pPr>
      <w:r>
        <w:t>All footnote formatting has been done in accordance with The Bluebook, 21</w:t>
      </w:r>
      <w:r w:rsidRPr="007B1A69">
        <w:rPr>
          <w:vertAlign w:val="superscript"/>
        </w:rPr>
        <w:t>st</w:t>
      </w:r>
      <w:r>
        <w:t xml:space="preserve"> Ed., T2.22, Israel or other relevant sections of The Bluebook</w:t>
      </w:r>
    </w:p>
    <w:p w:rsidR="007B1A69" w:rsidRDefault="007B1A69" w:rsidP="007B1A69">
      <w:pPr>
        <w:jc w:val="center"/>
      </w:pPr>
    </w:p>
    <w:p w:rsidR="007B1A69" w:rsidRDefault="00AF0AFF" w:rsidP="00AF0AFF">
      <w:pPr>
        <w:pStyle w:val="ListParagraph"/>
        <w:numPr>
          <w:ilvl w:val="0"/>
          <w:numId w:val="24"/>
        </w:numPr>
      </w:pPr>
      <w:r>
        <w:t>Footnote #3 – add the years to all the cases</w:t>
      </w:r>
    </w:p>
    <w:p w:rsidR="00984F38" w:rsidRDefault="00984F38" w:rsidP="00AF0AFF">
      <w:pPr>
        <w:pStyle w:val="ListParagraph"/>
        <w:numPr>
          <w:ilvl w:val="0"/>
          <w:numId w:val="24"/>
        </w:numPr>
      </w:pPr>
      <w:r>
        <w:t xml:space="preserve">Footnote #4 – is the first name </w:t>
      </w:r>
      <w:proofErr w:type="spellStart"/>
      <w:r>
        <w:t>Navot</w:t>
      </w:r>
      <w:proofErr w:type="spellEnd"/>
      <w:r>
        <w:t xml:space="preserve"> or </w:t>
      </w:r>
      <w:proofErr w:type="spellStart"/>
      <w:r>
        <w:t>Doron</w:t>
      </w:r>
      <w:proofErr w:type="spellEnd"/>
      <w:r>
        <w:t>?  - first name should appear first</w:t>
      </w:r>
    </w:p>
    <w:p w:rsidR="00AF0AFF" w:rsidRPr="00784617" w:rsidRDefault="00AF0AFF" w:rsidP="00AF0AFF">
      <w:pPr>
        <w:pStyle w:val="ListParagraph"/>
        <w:numPr>
          <w:ilvl w:val="0"/>
          <w:numId w:val="24"/>
        </w:numPr>
      </w:pPr>
      <w:r>
        <w:t xml:space="preserve">Footnote #5 – add the year to </w:t>
      </w:r>
      <w:r w:rsidRPr="00866AD6">
        <w:rPr>
          <w:rFonts w:ascii="Times New Roman" w:eastAsia="Calibri" w:hAnsi="Times New Roman" w:cs="Times New Roman"/>
          <w:sz w:val="20"/>
          <w:szCs w:val="20"/>
          <w:lang w:bidi="he-IL"/>
        </w:rPr>
        <w:t>Daphne Barak-</w:t>
      </w:r>
      <w:proofErr w:type="spellStart"/>
      <w:r w:rsidRPr="00866AD6">
        <w:rPr>
          <w:rFonts w:ascii="Times New Roman" w:eastAsia="Calibri" w:hAnsi="Times New Roman" w:cs="Times New Roman"/>
          <w:sz w:val="20"/>
          <w:szCs w:val="20"/>
          <w:lang w:bidi="he-IL"/>
        </w:rPr>
        <w:t>Erez</w:t>
      </w:r>
      <w:proofErr w:type="spellEnd"/>
      <w:r w:rsidRPr="00866AD6">
        <w:rPr>
          <w:rFonts w:ascii="Times New Roman" w:eastAsia="Calibri" w:hAnsi="Times New Roman" w:cs="Times New Roman"/>
          <w:sz w:val="20"/>
          <w:szCs w:val="20"/>
          <w:lang w:bidi="he-IL"/>
        </w:rPr>
        <w:t xml:space="preserve">, </w:t>
      </w:r>
      <w:r w:rsidRPr="00866AD6">
        <w:rPr>
          <w:rFonts w:ascii="Times New Roman" w:eastAsia="Calibri" w:hAnsi="Times New Roman" w:cs="Times New Roman"/>
          <w:i/>
          <w:iCs/>
          <w:sz w:val="20"/>
          <w:szCs w:val="20"/>
          <w:lang w:bidi="he-IL"/>
        </w:rPr>
        <w:t xml:space="preserve">The Institutional Aspects of Comparative Law </w:t>
      </w:r>
      <w:r w:rsidRPr="00866AD6">
        <w:rPr>
          <w:rFonts w:ascii="Times New Roman" w:eastAsia="Calibri" w:hAnsi="Times New Roman" w:cs="Times New Roman"/>
          <w:smallCaps/>
          <w:sz w:val="20"/>
          <w:szCs w:val="20"/>
          <w:lang w:bidi="he-IL"/>
        </w:rPr>
        <w:t>15 Columbia Journal of European Law</w:t>
      </w:r>
      <w:r>
        <w:rPr>
          <w:rFonts w:ascii="Times New Roman" w:eastAsia="Calibri" w:hAnsi="Times New Roman" w:cs="Times New Roman"/>
          <w:sz w:val="20"/>
          <w:szCs w:val="20"/>
          <w:lang w:bidi="he-IL"/>
        </w:rPr>
        <w:t xml:space="preserve"> 477, 488-489</w:t>
      </w:r>
    </w:p>
    <w:p w:rsidR="00784617" w:rsidRPr="00AF0AFF" w:rsidRDefault="00784617" w:rsidP="004D7ADD">
      <w:pPr>
        <w:pStyle w:val="ListParagraph"/>
        <w:numPr>
          <w:ilvl w:val="0"/>
          <w:numId w:val="24"/>
        </w:numPr>
      </w:pPr>
      <w:r>
        <w:rPr>
          <w:rFonts w:ascii="Times New Roman" w:eastAsia="Calibri" w:hAnsi="Times New Roman" w:cs="Times New Roman"/>
          <w:sz w:val="20"/>
          <w:szCs w:val="20"/>
          <w:lang w:bidi="he-IL"/>
        </w:rPr>
        <w:t>Footnote #7 – Is there a volume number in which the ordinance was published – it should be included.</w:t>
      </w:r>
    </w:p>
    <w:p w:rsidR="00AF0AFF" w:rsidRDefault="00784617" w:rsidP="005E44B3">
      <w:pPr>
        <w:pStyle w:val="ListParagraph"/>
        <w:numPr>
          <w:ilvl w:val="0"/>
          <w:numId w:val="24"/>
        </w:numPr>
      </w:pPr>
      <w:r>
        <w:t xml:space="preserve">Footnote #8 – supra </w:t>
      </w:r>
      <w:r w:rsidR="005E44B3">
        <w:t>has been changed from</w:t>
      </w:r>
      <w:r>
        <w:t xml:space="preserve"> note 1, </w:t>
      </w:r>
      <w:r w:rsidR="005E44B3">
        <w:t xml:space="preserve">which </w:t>
      </w:r>
      <w:r>
        <w:t>does not contain the Barak-</w:t>
      </w:r>
      <w:proofErr w:type="spellStart"/>
      <w:r>
        <w:t>Erez</w:t>
      </w:r>
      <w:proofErr w:type="spellEnd"/>
      <w:r>
        <w:t xml:space="preserve"> article mentioned</w:t>
      </w:r>
      <w:r w:rsidR="005E44B3">
        <w:t xml:space="preserve"> to note 5, which does</w:t>
      </w:r>
    </w:p>
    <w:p w:rsidR="00784617" w:rsidRDefault="00784617" w:rsidP="005E44B3">
      <w:pPr>
        <w:pStyle w:val="ListParagraph"/>
        <w:numPr>
          <w:ilvl w:val="0"/>
          <w:numId w:val="24"/>
        </w:numPr>
      </w:pPr>
      <w:r>
        <w:t xml:space="preserve">Footnote #10 – is there a volume </w:t>
      </w:r>
      <w:r w:rsidR="005E44B3">
        <w:t xml:space="preserve">name and </w:t>
      </w:r>
      <w:r>
        <w:t>number in which the law was published – it should be included.</w:t>
      </w:r>
      <w:r w:rsidR="005E44B3">
        <w:t xml:space="preserve"> For formatting, see: </w:t>
      </w:r>
      <w:r w:rsidR="005E44B3">
        <w:rPr>
          <w:rStyle w:val="colored-text"/>
          <w:rFonts w:ascii="Georgia" w:hAnsi="Georgia"/>
          <w:color w:val="242B9B"/>
          <w:spacing w:val="-3"/>
          <w:bdr w:val="single" w:sz="2" w:space="0" w:color="959CB6" w:frame="1"/>
          <w:shd w:val="clear" w:color="auto" w:fill="FAFAFA"/>
        </w:rPr>
        <w:t>section, if desired&gt;</w:t>
      </w:r>
      <w:r w:rsidR="005E44B3">
        <w:rPr>
          <w:rFonts w:ascii="Georgia" w:hAnsi="Georgia"/>
          <w:spacing w:val="-3"/>
          <w:shd w:val="clear" w:color="auto" w:fill="FAFAFA"/>
        </w:rPr>
        <w:t>, </w:t>
      </w:r>
      <w:r w:rsidR="005E44B3">
        <w:rPr>
          <w:rStyle w:val="colored-text"/>
          <w:rFonts w:ascii="Georgia" w:hAnsi="Georgia"/>
          <w:color w:val="242B9B"/>
          <w:spacing w:val="-3"/>
          <w:bdr w:val="single" w:sz="2" w:space="0" w:color="959CB6" w:frame="1"/>
          <w:shd w:val="clear" w:color="auto" w:fill="FAFAFA"/>
        </w:rPr>
        <w:t>&lt;statute name&gt;</w:t>
      </w:r>
      <w:r w:rsidR="005E44B3">
        <w:rPr>
          <w:rFonts w:ascii="Georgia" w:hAnsi="Georgia"/>
          <w:spacing w:val="-3"/>
          <w:shd w:val="clear" w:color="auto" w:fill="FAFAFA"/>
        </w:rPr>
        <w:t>, </w:t>
      </w:r>
      <w:r w:rsidR="005E44B3">
        <w:rPr>
          <w:rStyle w:val="colored-text"/>
          <w:rFonts w:ascii="Georgia" w:hAnsi="Georgia"/>
          <w:color w:val="242B9B"/>
          <w:spacing w:val="-3"/>
          <w:bdr w:val="single" w:sz="2" w:space="0" w:color="959CB6" w:frame="1"/>
          <w:shd w:val="clear" w:color="auto" w:fill="FAFAFA"/>
        </w:rPr>
        <w:t>&lt;Hebrew calendar year (if appended to statute name)&gt;</w:t>
      </w:r>
      <w:r w:rsidR="005E44B3">
        <w:rPr>
          <w:rFonts w:ascii="Georgia" w:hAnsi="Georgia"/>
          <w:spacing w:val="-3"/>
          <w:shd w:val="clear" w:color="auto" w:fill="FAFAFA"/>
        </w:rPr>
        <w:t>–</w:t>
      </w:r>
      <w:r w:rsidR="005E44B3">
        <w:rPr>
          <w:rStyle w:val="colored-text"/>
          <w:rFonts w:ascii="Georgia" w:hAnsi="Georgia"/>
          <w:color w:val="242B9B"/>
          <w:spacing w:val="-3"/>
          <w:bdr w:val="single" w:sz="2" w:space="0" w:color="959CB6" w:frame="1"/>
          <w:shd w:val="clear" w:color="auto" w:fill="FAFAFA"/>
        </w:rPr>
        <w:t>&lt;Gregorian calendar year (if appended to statute name)&gt;</w:t>
      </w:r>
      <w:r w:rsidR="005E44B3">
        <w:rPr>
          <w:rFonts w:ascii="Georgia" w:hAnsi="Georgia"/>
          <w:spacing w:val="-3"/>
          <w:shd w:val="clear" w:color="auto" w:fill="FAFAFA"/>
        </w:rPr>
        <w:t>, </w:t>
      </w:r>
      <w:r w:rsidR="005E44B3">
        <w:rPr>
          <w:rStyle w:val="colored-text"/>
          <w:rFonts w:ascii="Georgia" w:hAnsi="Georgia"/>
          <w:color w:val="242B9B"/>
          <w:spacing w:val="-3"/>
          <w:bdr w:val="single" w:sz="2" w:space="0" w:color="959CB6" w:frame="1"/>
          <w:shd w:val="clear" w:color="auto" w:fill="FAFAFA"/>
        </w:rPr>
        <w:t>&lt;reporter abbreviation&gt; &lt;issue number&gt;</w:t>
      </w:r>
      <w:r w:rsidR="005E44B3">
        <w:rPr>
          <w:rFonts w:ascii="Georgia" w:hAnsi="Georgia"/>
          <w:spacing w:val="-3"/>
          <w:shd w:val="clear" w:color="auto" w:fill="FAFAFA"/>
        </w:rPr>
        <w:t> (</w:t>
      </w:r>
      <w:r w:rsidR="005E44B3">
        <w:rPr>
          <w:rStyle w:val="colored-text"/>
          <w:rFonts w:ascii="Georgia" w:hAnsi="Georgia"/>
          <w:color w:val="242B9B"/>
          <w:spacing w:val="-3"/>
          <w:bdr w:val="single" w:sz="2" w:space="0" w:color="959CB6" w:frame="1"/>
          <w:shd w:val="clear" w:color="auto" w:fill="FAFAFA"/>
        </w:rPr>
        <w:t>&lt;Gregorian calendar year of reporter, if not appended to statute name, or if different than statute year&gt;</w:t>
      </w:r>
      <w:r w:rsidR="005E44B3">
        <w:rPr>
          <w:rFonts w:ascii="Georgia" w:hAnsi="Georgia"/>
          <w:spacing w:val="-3"/>
          <w:shd w:val="clear" w:color="auto" w:fill="FAFAFA"/>
        </w:rPr>
        <w:t>) </w:t>
      </w:r>
      <w:r w:rsidR="005E44B3">
        <w:rPr>
          <w:rStyle w:val="colored-text"/>
          <w:rFonts w:ascii="Georgia" w:hAnsi="Georgia"/>
          <w:color w:val="242B9B"/>
          <w:spacing w:val="-3"/>
          <w:bdr w:val="single" w:sz="2" w:space="0" w:color="959CB6" w:frame="1"/>
          <w:shd w:val="clear" w:color="auto" w:fill="FAFAFA"/>
        </w:rPr>
        <w:t>&lt;first page&gt;</w:t>
      </w:r>
      <w:r w:rsidR="005E44B3">
        <w:rPr>
          <w:rFonts w:ascii="Georgia" w:hAnsi="Georgia"/>
          <w:spacing w:val="-3"/>
          <w:shd w:val="clear" w:color="auto" w:fill="FAFAFA"/>
        </w:rPr>
        <w:t>, </w:t>
      </w:r>
      <w:r w:rsidR="005E44B3">
        <w:rPr>
          <w:rStyle w:val="colored-text"/>
          <w:rFonts w:ascii="Georgia" w:hAnsi="Georgia"/>
          <w:color w:val="242B9B"/>
          <w:spacing w:val="-3"/>
          <w:bdr w:val="single" w:sz="2" w:space="0" w:color="959CB6" w:frame="1"/>
          <w:shd w:val="clear" w:color="auto" w:fill="FAFAFA"/>
        </w:rPr>
        <w:t>&lt;page(s) of specific material, if desired&gt;</w:t>
      </w:r>
      <w:r w:rsidR="005E44B3">
        <w:rPr>
          <w:rFonts w:ascii="Georgia" w:hAnsi="Georgia"/>
          <w:spacing w:val="-3"/>
          <w:shd w:val="clear" w:color="auto" w:fill="FAFAFA"/>
        </w:rPr>
        <w:t> (</w:t>
      </w:r>
      <w:r w:rsidR="005E44B3">
        <w:rPr>
          <w:rStyle w:val="colored-text"/>
          <w:rFonts w:ascii="Georgia" w:hAnsi="Georgia"/>
          <w:color w:val="242B9B"/>
          <w:spacing w:val="-3"/>
          <w:bdr w:val="single" w:sz="2" w:space="0" w:color="959CB6" w:frame="1"/>
          <w:shd w:val="clear" w:color="auto" w:fill="FAFAFA"/>
        </w:rPr>
        <w:t>&lt;country abbreviation if not evident from context&gt;</w:t>
      </w:r>
      <w:r w:rsidR="005E44B3">
        <w:rPr>
          <w:rFonts w:ascii="Georgia" w:hAnsi="Georgia"/>
          <w:spacing w:val="-3"/>
          <w:shd w:val="clear" w:color="auto" w:fill="FAFAFA"/>
        </w:rPr>
        <w:t>), </w:t>
      </w:r>
      <w:r w:rsidR="005E44B3">
        <w:rPr>
          <w:rStyle w:val="colored-text"/>
          <w:rFonts w:ascii="Georgia" w:hAnsi="Georgia"/>
          <w:color w:val="242B9B"/>
          <w:spacing w:val="-3"/>
          <w:bdr w:val="single" w:sz="2" w:space="0" w:color="959CB6" w:frame="1"/>
          <w:shd w:val="clear" w:color="auto" w:fill="FAFAFA"/>
        </w:rPr>
        <w:t>&lt;URL, if available</w:t>
      </w:r>
      <w:r w:rsidR="005E44B3">
        <w:t xml:space="preserve"> For an example, see., e.g., </w:t>
      </w:r>
      <w:r w:rsidR="005E44B3">
        <w:rPr>
          <w:rFonts w:ascii="Arial" w:hAnsi="Arial" w:cs="Arial"/>
        </w:rPr>
        <w:t>§2, Protection of Witnesses Law, 5769–2008, SH 2192 98, 99 (Isr.), http://www.nevo.co.il/Law_word/law14/LAW-2192.pdf.</w:t>
      </w:r>
    </w:p>
    <w:p w:rsidR="00784617" w:rsidRDefault="00784617" w:rsidP="00784617">
      <w:pPr>
        <w:pStyle w:val="ListParagraph"/>
        <w:numPr>
          <w:ilvl w:val="0"/>
          <w:numId w:val="24"/>
        </w:numPr>
      </w:pPr>
      <w:r>
        <w:t xml:space="preserve">Footnote #11 – refers </w:t>
      </w:r>
      <w:r w:rsidR="004D7ADD">
        <w:t xml:space="preserve">to </w:t>
      </w:r>
      <w:r>
        <w:t>supra note 5 has been changed to supra note 3, which has the reference to the Einstein case in which Justice Strasburg-Cohen wrote.</w:t>
      </w:r>
    </w:p>
    <w:p w:rsidR="005925CB" w:rsidRDefault="005925CB" w:rsidP="00784617">
      <w:pPr>
        <w:pStyle w:val="ListParagraph"/>
        <w:numPr>
          <w:ilvl w:val="0"/>
          <w:numId w:val="24"/>
        </w:numPr>
      </w:pPr>
      <w:r>
        <w:t xml:space="preserve">Footnote #12 – supra for </w:t>
      </w:r>
      <w:proofErr w:type="spellStart"/>
      <w:r>
        <w:t>Zamir</w:t>
      </w:r>
      <w:proofErr w:type="spellEnd"/>
      <w:r>
        <w:t xml:space="preserve"> has been changed to note 6 and for the Einstein case to note 3</w:t>
      </w:r>
    </w:p>
    <w:p w:rsidR="00984F38" w:rsidRDefault="00984F38" w:rsidP="00784617">
      <w:pPr>
        <w:pStyle w:val="ListParagraph"/>
        <w:numPr>
          <w:ilvl w:val="0"/>
          <w:numId w:val="24"/>
        </w:numPr>
      </w:pPr>
      <w:r>
        <w:t>Footnote #13 – the year needs to be added, and it is not clear to what 028 refers – should it read 28?</w:t>
      </w:r>
    </w:p>
    <w:p w:rsidR="005925CB" w:rsidRPr="005925CB" w:rsidRDefault="005925CB" w:rsidP="005925CB">
      <w:pPr>
        <w:pStyle w:val="ListParagraph"/>
        <w:numPr>
          <w:ilvl w:val="0"/>
          <w:numId w:val="24"/>
        </w:numPr>
        <w:rPr>
          <w:rStyle w:val="colored-text"/>
        </w:rPr>
      </w:pPr>
      <w:r>
        <w:t xml:space="preserve">Footnote #18 – the citation for Ben-Gurion’s remarks in the Knesset is incomplete – it should refer to </w:t>
      </w:r>
      <w:hyperlink r:id="rId8" w:history="1">
        <w:r w:rsidRPr="000615C0">
          <w:rPr>
            <w:rStyle w:val="Hyperlink"/>
          </w:rPr>
          <w:t>https://m.knesset.gov.il/Pages/PageNotFoundError.aspx?requestUrl=https://m.knesset.gov.il/Activity/plenum/%20Pages/Sessions.aspx</w:t>
        </w:r>
      </w:hyperlink>
      <w:r>
        <w:t xml:space="preserve"> and follow the format:</w:t>
      </w:r>
      <w:r w:rsidRPr="005925CB">
        <w:rPr>
          <w:rFonts w:ascii="Georgia" w:hAnsi="Georgia"/>
          <w:spacing w:val="-3"/>
          <w:shd w:val="clear" w:color="auto" w:fill="FAFAFA"/>
        </w:rPr>
        <w:t xml:space="preserve"> </w:t>
      </w:r>
      <w:r>
        <w:rPr>
          <w:rFonts w:ascii="Georgia" w:hAnsi="Georgia"/>
          <w:spacing w:val="-3"/>
          <w:shd w:val="clear" w:color="auto" w:fill="FAFAFA"/>
        </w:rPr>
        <w:t>DK, </w:t>
      </w:r>
      <w:r>
        <w:rPr>
          <w:rStyle w:val="colored-text"/>
          <w:rFonts w:ascii="Georgia" w:hAnsi="Georgia"/>
          <w:color w:val="242B9B"/>
          <w:spacing w:val="-3"/>
          <w:bdr w:val="single" w:sz="2" w:space="0" w:color="959CB6" w:frame="1"/>
          <w:shd w:val="clear" w:color="auto" w:fill="FAFAFA"/>
        </w:rPr>
        <w:t>&lt;Knesset term&gt;</w:t>
      </w:r>
      <w:r>
        <w:rPr>
          <w:rFonts w:ascii="Georgia" w:hAnsi="Georgia"/>
          <w:spacing w:val="-3"/>
          <w:shd w:val="clear" w:color="auto" w:fill="FAFAFA"/>
        </w:rPr>
        <w:t>, Knesset, Session No. </w:t>
      </w:r>
      <w:r>
        <w:rPr>
          <w:rStyle w:val="colored-text"/>
          <w:rFonts w:ascii="Georgia" w:hAnsi="Georgia"/>
          <w:color w:val="242B9B"/>
          <w:spacing w:val="-3"/>
          <w:bdr w:val="single" w:sz="2" w:space="0" w:color="959CB6" w:frame="1"/>
          <w:shd w:val="clear" w:color="auto" w:fill="FAFAFA"/>
        </w:rPr>
        <w:t>&lt;session number&gt;</w:t>
      </w:r>
      <w:r>
        <w:rPr>
          <w:rFonts w:ascii="Georgia" w:hAnsi="Georgia"/>
          <w:spacing w:val="-3"/>
          <w:shd w:val="clear" w:color="auto" w:fill="FAFAFA"/>
        </w:rPr>
        <w:t>, (</w:t>
      </w:r>
      <w:r>
        <w:rPr>
          <w:rStyle w:val="colored-text"/>
          <w:rFonts w:ascii="Georgia" w:hAnsi="Georgia"/>
          <w:color w:val="242B9B"/>
          <w:spacing w:val="-3"/>
          <w:bdr w:val="single" w:sz="2" w:space="0" w:color="959CB6" w:frame="1"/>
          <w:shd w:val="clear" w:color="auto" w:fill="FAFAFA"/>
        </w:rPr>
        <w:t>&lt;Gregorian calendar year of proceedings&gt;</w:t>
      </w:r>
      <w:r>
        <w:rPr>
          <w:rFonts w:ascii="Georgia" w:hAnsi="Georgia"/>
          <w:spacing w:val="-3"/>
          <w:shd w:val="clear" w:color="auto" w:fill="FAFAFA"/>
        </w:rPr>
        <w:t>) </w:t>
      </w:r>
      <w:r>
        <w:rPr>
          <w:rStyle w:val="colored-text"/>
          <w:rFonts w:ascii="Georgia" w:hAnsi="Georgia"/>
          <w:color w:val="242B9B"/>
          <w:spacing w:val="-3"/>
          <w:bdr w:val="single" w:sz="2" w:space="0" w:color="959CB6" w:frame="1"/>
          <w:shd w:val="clear" w:color="auto" w:fill="FAFAFA"/>
        </w:rPr>
        <w:t>&lt;page(s) of specific material, if desired&gt;</w:t>
      </w:r>
      <w:r>
        <w:rPr>
          <w:rFonts w:ascii="Georgia" w:hAnsi="Georgia"/>
          <w:spacing w:val="-3"/>
          <w:shd w:val="clear" w:color="auto" w:fill="FAFAFA"/>
        </w:rPr>
        <w:t> (</w:t>
      </w:r>
      <w:r>
        <w:rPr>
          <w:rStyle w:val="colored-text"/>
          <w:rFonts w:ascii="Georgia" w:hAnsi="Georgia"/>
          <w:color w:val="242B9B"/>
          <w:spacing w:val="-3"/>
          <w:bdr w:val="single" w:sz="2" w:space="0" w:color="959CB6" w:frame="1"/>
          <w:shd w:val="clear" w:color="auto" w:fill="FAFAFA"/>
        </w:rPr>
        <w:t>&lt;country abbreviation if not evident from context&gt;</w:t>
      </w:r>
      <w:r>
        <w:rPr>
          <w:rFonts w:ascii="Georgia" w:hAnsi="Georgia"/>
          <w:spacing w:val="-3"/>
          <w:shd w:val="clear" w:color="auto" w:fill="FAFAFA"/>
        </w:rPr>
        <w:t>), </w:t>
      </w:r>
      <w:r>
        <w:rPr>
          <w:rStyle w:val="colored-text"/>
          <w:rFonts w:ascii="Georgia" w:hAnsi="Georgia"/>
          <w:color w:val="242B9B"/>
          <w:spacing w:val="-3"/>
          <w:bdr w:val="single" w:sz="2" w:space="0" w:color="959CB6" w:frame="1"/>
          <w:shd w:val="clear" w:color="auto" w:fill="FAFAFA"/>
        </w:rPr>
        <w:t>&lt;URL, if available</w:t>
      </w:r>
    </w:p>
    <w:p w:rsidR="005925CB" w:rsidRDefault="005E44B3" w:rsidP="005925CB">
      <w:pPr>
        <w:pStyle w:val="ListParagraph"/>
        <w:numPr>
          <w:ilvl w:val="0"/>
          <w:numId w:val="24"/>
        </w:numPr>
      </w:pPr>
      <w:r>
        <w:t>Footnote #</w:t>
      </w:r>
      <w:r w:rsidR="00742336">
        <w:t>20 – see remarks in item #5 re: footnote #10 – need more specifics</w:t>
      </w:r>
    </w:p>
    <w:p w:rsidR="00742336" w:rsidRDefault="00742336" w:rsidP="005925CB">
      <w:pPr>
        <w:pStyle w:val="ListParagraph"/>
        <w:numPr>
          <w:ilvl w:val="0"/>
          <w:numId w:val="24"/>
        </w:numPr>
      </w:pPr>
      <w:r>
        <w:t>Footnote #21 – more details are needed for the statutory material (see item #5)</w:t>
      </w:r>
    </w:p>
    <w:p w:rsidR="00742336" w:rsidRDefault="00742336" w:rsidP="005925CB">
      <w:pPr>
        <w:pStyle w:val="ListParagraph"/>
        <w:numPr>
          <w:ilvl w:val="0"/>
          <w:numId w:val="24"/>
        </w:numPr>
      </w:pPr>
      <w:r>
        <w:t>Footnote #21 – years are needed for the Supreme Court cases.</w:t>
      </w:r>
    </w:p>
    <w:p w:rsidR="00742336" w:rsidRDefault="00742336" w:rsidP="005925CB">
      <w:pPr>
        <w:pStyle w:val="ListParagraph"/>
        <w:numPr>
          <w:ilvl w:val="0"/>
          <w:numId w:val="24"/>
        </w:numPr>
      </w:pPr>
      <w:r>
        <w:t>Footnote #22 – year needed</w:t>
      </w:r>
    </w:p>
    <w:p w:rsidR="00742336" w:rsidRDefault="00742336" w:rsidP="005925CB">
      <w:pPr>
        <w:pStyle w:val="ListParagraph"/>
        <w:numPr>
          <w:ilvl w:val="0"/>
          <w:numId w:val="24"/>
        </w:numPr>
      </w:pPr>
      <w:r>
        <w:t>Footnote #24 – need year for case</w:t>
      </w:r>
    </w:p>
    <w:p w:rsidR="007B1A69" w:rsidRDefault="007147DE" w:rsidP="00DE49EF">
      <w:pPr>
        <w:pStyle w:val="ListParagraph"/>
        <w:numPr>
          <w:ilvl w:val="0"/>
          <w:numId w:val="24"/>
        </w:numPr>
      </w:pPr>
      <w:r>
        <w:t>Footnote #26 – supra has been changed to 3 from 5</w:t>
      </w:r>
    </w:p>
    <w:p w:rsidR="007147DE" w:rsidRPr="007147DE" w:rsidRDefault="007147DE" w:rsidP="007147DE">
      <w:pPr>
        <w:pStyle w:val="ListParagraph"/>
        <w:numPr>
          <w:ilvl w:val="0"/>
          <w:numId w:val="24"/>
        </w:numPr>
      </w:pPr>
      <w:r>
        <w:t xml:space="preserve">Footnote #29 – is there a volume name/no. for </w:t>
      </w:r>
      <w:r w:rsidRPr="00866AD6">
        <w:rPr>
          <w:rFonts w:ascii="Times New Roman" w:eastAsia="Calibri" w:hAnsi="Times New Roman" w:cs="Times New Roman"/>
          <w:sz w:val="20"/>
          <w:szCs w:val="20"/>
          <w:lang w:bidi="he-IL"/>
        </w:rPr>
        <w:t>Israeli Government Resolution No. 345</w:t>
      </w:r>
    </w:p>
    <w:p w:rsidR="007147DE" w:rsidRPr="006871A3" w:rsidRDefault="007147DE" w:rsidP="007147DE">
      <w:pPr>
        <w:pStyle w:val="ListParagraph"/>
        <w:numPr>
          <w:ilvl w:val="0"/>
          <w:numId w:val="24"/>
        </w:numPr>
      </w:pPr>
      <w:r>
        <w:rPr>
          <w:rFonts w:ascii="Times New Roman" w:eastAsia="Calibri" w:hAnsi="Times New Roman" w:cs="Times New Roman"/>
          <w:sz w:val="20"/>
          <w:szCs w:val="20"/>
          <w:lang w:bidi="he-IL"/>
        </w:rPr>
        <w:t xml:space="preserve">Footnote # 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bidi="he-IL"/>
        </w:rPr>
        <w:t>30  -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bidi="he-IL"/>
        </w:rPr>
        <w:t xml:space="preserve"> supra has been changed from 5 to 3</w:t>
      </w:r>
    </w:p>
    <w:p w:rsidR="006871A3" w:rsidRPr="00D26285" w:rsidRDefault="006871A3" w:rsidP="00D26285">
      <w:pPr>
        <w:pStyle w:val="ListParagraph"/>
        <w:numPr>
          <w:ilvl w:val="0"/>
          <w:numId w:val="24"/>
        </w:numPr>
      </w:pPr>
      <w:r>
        <w:rPr>
          <w:rFonts w:ascii="Times New Roman" w:eastAsia="Calibri" w:hAnsi="Times New Roman" w:cs="Times New Roman"/>
          <w:sz w:val="20"/>
          <w:szCs w:val="20"/>
          <w:lang w:bidi="he-IL"/>
        </w:rPr>
        <w:t>Footn</w:t>
      </w:r>
      <w:r w:rsidR="00D26285">
        <w:rPr>
          <w:rFonts w:ascii="Times New Roman" w:eastAsia="Calibri" w:hAnsi="Times New Roman" w:cs="Times New Roman"/>
          <w:sz w:val="20"/>
          <w:szCs w:val="20"/>
          <w:lang w:bidi="he-IL"/>
        </w:rPr>
        <w:t>ot</w:t>
      </w:r>
      <w:r>
        <w:rPr>
          <w:rFonts w:ascii="Times New Roman" w:eastAsia="Calibri" w:hAnsi="Times New Roman" w:cs="Times New Roman"/>
          <w:sz w:val="20"/>
          <w:szCs w:val="20"/>
          <w:lang w:bidi="he-IL"/>
        </w:rPr>
        <w:t>e #32 – is there a volume name/no for the State Comptroller’s report?</w:t>
      </w:r>
    </w:p>
    <w:p w:rsidR="00D26285" w:rsidRPr="00D26285" w:rsidRDefault="00D26285" w:rsidP="007147DE">
      <w:pPr>
        <w:pStyle w:val="ListParagraph"/>
        <w:numPr>
          <w:ilvl w:val="0"/>
          <w:numId w:val="24"/>
        </w:numPr>
      </w:pPr>
      <w:r>
        <w:rPr>
          <w:rFonts w:ascii="Times New Roman" w:eastAsia="Calibri" w:hAnsi="Times New Roman" w:cs="Times New Roman"/>
          <w:sz w:val="20"/>
          <w:szCs w:val="20"/>
          <w:lang w:bidi="he-IL"/>
        </w:rPr>
        <w:t>Footnote #39 – Refers to a State Comptrollers Report, but the supra note 35 refers to the Appointments Act</w:t>
      </w:r>
    </w:p>
    <w:p w:rsidR="00D26285" w:rsidRDefault="00D26285" w:rsidP="007147DE">
      <w:pPr>
        <w:pStyle w:val="ListParagraph"/>
        <w:numPr>
          <w:ilvl w:val="0"/>
          <w:numId w:val="24"/>
        </w:numPr>
      </w:pPr>
      <w:proofErr w:type="spellStart"/>
      <w:r>
        <w:t>Foonote</w:t>
      </w:r>
      <w:proofErr w:type="spellEnd"/>
      <w:r>
        <w:t xml:space="preserve"> #41 – refers to material from the State Comptroller, but the Ibid. in the footnote refers back to the Appointments Act</w:t>
      </w:r>
    </w:p>
    <w:p w:rsidR="00D26285" w:rsidRDefault="00D26285" w:rsidP="007147DE">
      <w:pPr>
        <w:pStyle w:val="ListParagraph"/>
        <w:numPr>
          <w:ilvl w:val="0"/>
          <w:numId w:val="24"/>
        </w:numPr>
      </w:pPr>
      <w:r>
        <w:t>Footnote #43 – refers to material from the State Comptroller, but has a supra to note 35, about the Appointments Act.</w:t>
      </w:r>
    </w:p>
    <w:p w:rsidR="00D26285" w:rsidRDefault="00D26285" w:rsidP="007147DE">
      <w:pPr>
        <w:pStyle w:val="ListParagraph"/>
        <w:numPr>
          <w:ilvl w:val="0"/>
          <w:numId w:val="24"/>
        </w:numPr>
      </w:pPr>
      <w:r>
        <w:t>Footnote #46 – same problem as footnote 43.</w:t>
      </w:r>
    </w:p>
    <w:p w:rsidR="00D26285" w:rsidRDefault="001E130B" w:rsidP="007147DE">
      <w:pPr>
        <w:pStyle w:val="ListParagraph"/>
        <w:numPr>
          <w:ilvl w:val="0"/>
          <w:numId w:val="24"/>
        </w:numPr>
      </w:pPr>
      <w:r>
        <w:t>Footnote #51 – both cases need a year</w:t>
      </w:r>
    </w:p>
    <w:p w:rsidR="003B29EB" w:rsidRDefault="003B29EB" w:rsidP="007147DE">
      <w:pPr>
        <w:pStyle w:val="ListParagraph"/>
        <w:numPr>
          <w:ilvl w:val="0"/>
          <w:numId w:val="24"/>
        </w:numPr>
      </w:pPr>
      <w:r>
        <w:lastRenderedPageBreak/>
        <w:t>Footnote #52 – refers to a State Comptroller’s Report, but with a supra to note 35 about the Appointments Act.</w:t>
      </w:r>
    </w:p>
    <w:p w:rsidR="003B29EB" w:rsidRDefault="003B29EB" w:rsidP="007147DE">
      <w:pPr>
        <w:pStyle w:val="ListParagraph"/>
        <w:numPr>
          <w:ilvl w:val="0"/>
          <w:numId w:val="24"/>
        </w:numPr>
      </w:pPr>
      <w:r>
        <w:t>Footnote #53 – the case needs a year</w:t>
      </w:r>
    </w:p>
    <w:p w:rsidR="008B723F" w:rsidRDefault="008B723F" w:rsidP="00C72F56">
      <w:pPr>
        <w:pStyle w:val="ListParagraph"/>
        <w:numPr>
          <w:ilvl w:val="0"/>
          <w:numId w:val="24"/>
        </w:numPr>
      </w:pPr>
      <w:r>
        <w:t>Foot</w:t>
      </w:r>
      <w:r w:rsidR="00C72F56">
        <w:t>note</w:t>
      </w:r>
      <w:r>
        <w:t xml:space="preserve"> #61 – the case needs a year</w:t>
      </w:r>
    </w:p>
    <w:p w:rsidR="00C72F56" w:rsidRDefault="00C72F56" w:rsidP="007147DE">
      <w:pPr>
        <w:pStyle w:val="ListParagraph"/>
        <w:numPr>
          <w:ilvl w:val="0"/>
          <w:numId w:val="24"/>
        </w:numPr>
      </w:pPr>
      <w:r>
        <w:t>Footnotes ## 63 and 64 – years for the cases</w:t>
      </w:r>
    </w:p>
    <w:p w:rsidR="00935155" w:rsidRDefault="00935155" w:rsidP="007147DE">
      <w:pPr>
        <w:pStyle w:val="ListParagraph"/>
        <w:numPr>
          <w:ilvl w:val="0"/>
          <w:numId w:val="24"/>
        </w:numPr>
      </w:pPr>
      <w:r>
        <w:t>Footnote #74 – case needs a year</w:t>
      </w:r>
    </w:p>
    <w:p w:rsidR="00C95E2F" w:rsidRDefault="00C95E2F" w:rsidP="00C95E2F">
      <w:pPr>
        <w:pStyle w:val="ListParagraph"/>
        <w:numPr>
          <w:ilvl w:val="0"/>
          <w:numId w:val="24"/>
        </w:numPr>
      </w:pPr>
      <w:r>
        <w:t>Footnote #85 – needs the full first name of the author and a link for the website</w:t>
      </w:r>
    </w:p>
    <w:p w:rsidR="00D6444A" w:rsidRDefault="00D6444A" w:rsidP="00C95E2F">
      <w:pPr>
        <w:pStyle w:val="ListParagraph"/>
        <w:numPr>
          <w:ilvl w:val="0"/>
          <w:numId w:val="24"/>
        </w:numPr>
      </w:pPr>
      <w:r>
        <w:t>Footnote #87 – please give full first names for the Knesset members. Also, is it correct to write that Ben-Gurion spoke at the same Cabinet meeting?</w:t>
      </w:r>
    </w:p>
    <w:p w:rsidR="00D6444A" w:rsidRDefault="00D6444A" w:rsidP="00C95E2F">
      <w:pPr>
        <w:pStyle w:val="ListParagraph"/>
        <w:numPr>
          <w:ilvl w:val="0"/>
          <w:numId w:val="24"/>
        </w:numPr>
      </w:pPr>
      <w:r>
        <w:t>Footnote #89 – there is a supra to note 11, but note 11 has two sources in it – there needs to be specification</w:t>
      </w:r>
    </w:p>
    <w:p w:rsidR="00D6444A" w:rsidRDefault="00D6444A" w:rsidP="00C95E2F">
      <w:pPr>
        <w:pStyle w:val="ListParagraph"/>
        <w:numPr>
          <w:ilvl w:val="0"/>
          <w:numId w:val="24"/>
        </w:numPr>
      </w:pPr>
      <w:r>
        <w:t>Footnote #91 – more details are needed – is this a book? Part of a journal – publication details and date are needed.</w:t>
      </w:r>
    </w:p>
    <w:p w:rsidR="00D6444A" w:rsidRDefault="004D7ADD" w:rsidP="00C95E2F">
      <w:pPr>
        <w:pStyle w:val="ListParagraph"/>
        <w:numPr>
          <w:ilvl w:val="0"/>
          <w:numId w:val="24"/>
        </w:numPr>
      </w:pPr>
      <w:r>
        <w:t>Footnote #92 – this note referencing Daphna Barak-</w:t>
      </w:r>
      <w:proofErr w:type="spellStart"/>
      <w:r>
        <w:t>Erez</w:t>
      </w:r>
      <w:proofErr w:type="spellEnd"/>
      <w:r>
        <w:t xml:space="preserve"> refers supra to note 31, but note 31 is a government resolution. Please clarify. There is a Barak-</w:t>
      </w:r>
      <w:proofErr w:type="spellStart"/>
      <w:r>
        <w:t>Erez</w:t>
      </w:r>
      <w:proofErr w:type="spellEnd"/>
      <w:r>
        <w:t xml:space="preserve"> reference in note 5</w:t>
      </w:r>
    </w:p>
    <w:p w:rsidR="004D7ADD" w:rsidRDefault="004D7ADD" w:rsidP="00C95E2F">
      <w:pPr>
        <w:pStyle w:val="ListParagraph"/>
        <w:numPr>
          <w:ilvl w:val="0"/>
          <w:numId w:val="24"/>
        </w:numPr>
      </w:pPr>
      <w:r>
        <w:t xml:space="preserve">Footnote #93 – refers to a Supreme Court case so it cannot be supra 5, as marked. Note 3 has Supreme Court cases, but there is no number provided for the </w:t>
      </w:r>
      <w:proofErr w:type="spellStart"/>
      <w:r>
        <w:t>HaNegbi</w:t>
      </w:r>
      <w:proofErr w:type="spellEnd"/>
      <w:r>
        <w:t xml:space="preserve"> case, so it is not clear what the reference should be</w:t>
      </w:r>
    </w:p>
    <w:p w:rsidR="004D7ADD" w:rsidRDefault="004D7ADD" w:rsidP="00C95E2F">
      <w:pPr>
        <w:pStyle w:val="ListParagraph"/>
        <w:numPr>
          <w:ilvl w:val="0"/>
          <w:numId w:val="24"/>
        </w:numPr>
      </w:pPr>
      <w:r>
        <w:t xml:space="preserve">Footnote #94 – a date is needed for the case. Also, is Bet </w:t>
      </w:r>
      <w:proofErr w:type="spellStart"/>
      <w:r>
        <w:t>Jann</w:t>
      </w:r>
      <w:proofErr w:type="spellEnd"/>
      <w:r>
        <w:t xml:space="preserve"> the correct spelling?</w:t>
      </w:r>
    </w:p>
    <w:p w:rsidR="004D7ADD" w:rsidRDefault="00857A48" w:rsidP="00C95E2F">
      <w:pPr>
        <w:pStyle w:val="ListParagraph"/>
        <w:numPr>
          <w:ilvl w:val="0"/>
          <w:numId w:val="24"/>
        </w:numPr>
      </w:pPr>
      <w:r>
        <w:t xml:space="preserve">Footnote #95- the </w:t>
      </w:r>
      <w:proofErr w:type="spellStart"/>
      <w:r>
        <w:t>Zamir</w:t>
      </w:r>
      <w:proofErr w:type="spellEnd"/>
      <w:r>
        <w:t xml:space="preserve"> reference to a holding in a case followed by a supra to note 29 is unclear, as note 29 refers to a Civil Service regulation.</w:t>
      </w:r>
    </w:p>
    <w:p w:rsidR="00857A48" w:rsidRDefault="00857A48" w:rsidP="00C95E2F">
      <w:pPr>
        <w:pStyle w:val="ListParagraph"/>
        <w:numPr>
          <w:ilvl w:val="0"/>
          <w:numId w:val="24"/>
        </w:numPr>
      </w:pPr>
      <w:r>
        <w:t>Footnote #96 – the date of the first report is needed. Also the first report refers supra to note 26 which contains court decisions – this is not clear</w:t>
      </w:r>
    </w:p>
    <w:p w:rsidR="00B225F5" w:rsidRDefault="00B225F5" w:rsidP="00C95E2F">
      <w:pPr>
        <w:pStyle w:val="ListParagraph"/>
        <w:numPr>
          <w:ilvl w:val="0"/>
          <w:numId w:val="24"/>
        </w:numPr>
      </w:pPr>
      <w:r>
        <w:t>Footnote #96 – does the EPA Report have a date. Also the supra to note 3 containing Supreme Court cases is not clear</w:t>
      </w:r>
    </w:p>
    <w:p w:rsidR="00B225F5" w:rsidRDefault="00B225F5" w:rsidP="00C95E2F">
      <w:pPr>
        <w:pStyle w:val="ListParagraph"/>
        <w:numPr>
          <w:ilvl w:val="0"/>
          <w:numId w:val="24"/>
        </w:numPr>
      </w:pPr>
      <w:r>
        <w:t>Footnote #96 – the last entry has a supra to note 35 referencing the Appointments Act – is this correct?</w:t>
      </w:r>
    </w:p>
    <w:p w:rsidR="00B225F5" w:rsidRDefault="00B225F5" w:rsidP="00C95E2F">
      <w:pPr>
        <w:pStyle w:val="ListParagraph"/>
        <w:numPr>
          <w:ilvl w:val="0"/>
          <w:numId w:val="24"/>
        </w:numPr>
      </w:pPr>
      <w:r>
        <w:t>Footnote #92 – is the supra to note 26 with a Supreme Court case accurate?</w:t>
      </w:r>
    </w:p>
    <w:p w:rsidR="00500C38" w:rsidRDefault="00500C38" w:rsidP="00500C38">
      <w:pPr>
        <w:pStyle w:val="ListParagraph"/>
        <w:numPr>
          <w:ilvl w:val="0"/>
          <w:numId w:val="24"/>
        </w:numPr>
      </w:pPr>
      <w:r>
        <w:t>Footnote #</w:t>
      </w:r>
      <w:proofErr w:type="gramStart"/>
      <w:r>
        <w:t>98  -</w:t>
      </w:r>
      <w:proofErr w:type="gramEnd"/>
      <w:r>
        <w:t xml:space="preserve"> the </w:t>
      </w:r>
      <w:proofErr w:type="spellStart"/>
      <w:r>
        <w:t>Koberski</w:t>
      </w:r>
      <w:proofErr w:type="spellEnd"/>
      <w:r>
        <w:t xml:space="preserve"> reference is incomplete – there is a supra to note 11, which is not on point.</w:t>
      </w:r>
    </w:p>
    <w:p w:rsidR="00500C38" w:rsidRDefault="00500C38" w:rsidP="00500C38">
      <w:pPr>
        <w:pStyle w:val="ListParagraph"/>
        <w:numPr>
          <w:ilvl w:val="0"/>
          <w:numId w:val="24"/>
        </w:numPr>
      </w:pPr>
      <w:r>
        <w:t xml:space="preserve">Footnote # 100 – Resolution of what? Is it a resolution of the </w:t>
      </w:r>
      <w:proofErr w:type="spellStart"/>
      <w:r>
        <w:t>Shamgar</w:t>
      </w:r>
      <w:proofErr w:type="spellEnd"/>
      <w:r>
        <w:t xml:space="preserve"> Committee? If so, is should be so referenced in the footnote.</w:t>
      </w:r>
    </w:p>
    <w:p w:rsidR="000E7BC0" w:rsidRDefault="000E7BC0" w:rsidP="000E7BC0">
      <w:pPr>
        <w:pStyle w:val="ListParagraph"/>
        <w:numPr>
          <w:ilvl w:val="0"/>
          <w:numId w:val="24"/>
        </w:numPr>
      </w:pPr>
      <w:r>
        <w:t>Footnote #107 – are there any code numbers or more specific references for these bodies?</w:t>
      </w:r>
    </w:p>
    <w:p w:rsidR="00D973D1" w:rsidRDefault="00D973D1" w:rsidP="000E7BC0">
      <w:pPr>
        <w:pStyle w:val="ListParagraph"/>
        <w:numPr>
          <w:ilvl w:val="0"/>
          <w:numId w:val="24"/>
        </w:numPr>
      </w:pPr>
      <w:r>
        <w:t>Footnote #110 – needs more specific reference – U.S.C. section and date</w:t>
      </w:r>
    </w:p>
    <w:p w:rsidR="00D973D1" w:rsidRDefault="00D973D1" w:rsidP="000E7BC0">
      <w:pPr>
        <w:pStyle w:val="ListParagraph"/>
        <w:numPr>
          <w:ilvl w:val="0"/>
          <w:numId w:val="24"/>
        </w:numPr>
      </w:pPr>
      <w:r>
        <w:t>Footnote #114 – has a supra to note 117 – please clarify</w:t>
      </w:r>
    </w:p>
    <w:p w:rsidR="00D973D1" w:rsidRDefault="00D973D1" w:rsidP="000E7BC0">
      <w:pPr>
        <w:pStyle w:val="ListParagraph"/>
        <w:numPr>
          <w:ilvl w:val="0"/>
          <w:numId w:val="24"/>
        </w:numPr>
      </w:pPr>
      <w:r>
        <w:t xml:space="preserve">Footnote #119 – the </w:t>
      </w:r>
      <w:proofErr w:type="spellStart"/>
      <w:r>
        <w:t>Zamir</w:t>
      </w:r>
      <w:proofErr w:type="spellEnd"/>
      <w:r>
        <w:t xml:space="preserve"> reference needs a year</w:t>
      </w:r>
    </w:p>
    <w:p w:rsidR="00D973D1" w:rsidRDefault="00D973D1" w:rsidP="000E7BC0">
      <w:pPr>
        <w:pStyle w:val="ListParagraph"/>
        <w:numPr>
          <w:ilvl w:val="0"/>
          <w:numId w:val="24"/>
        </w:numPr>
      </w:pPr>
      <w:r>
        <w:t>Footnote #119 – the supra to note 35 dealing with the Appointments Law is not clear – please clarify.</w:t>
      </w:r>
    </w:p>
    <w:p w:rsidR="00324172" w:rsidRDefault="00324172" w:rsidP="00324172">
      <w:pPr>
        <w:pStyle w:val="ListParagraph"/>
        <w:numPr>
          <w:ilvl w:val="0"/>
          <w:numId w:val="24"/>
        </w:numPr>
      </w:pPr>
      <w:r>
        <w:t>Footnote # 124   - the URL provided leads to a page with a number of annual reports – how does this support the text?</w:t>
      </w:r>
    </w:p>
    <w:p w:rsidR="00324172" w:rsidRDefault="00324172" w:rsidP="000E7BC0">
      <w:pPr>
        <w:pStyle w:val="ListParagraph"/>
        <w:numPr>
          <w:ilvl w:val="0"/>
          <w:numId w:val="24"/>
        </w:numPr>
      </w:pPr>
      <w:r>
        <w:t>Footnote #125 – the URL provided is a broken link</w:t>
      </w:r>
    </w:p>
    <w:p w:rsidR="00324172" w:rsidRDefault="00324172" w:rsidP="000E7BC0">
      <w:pPr>
        <w:pStyle w:val="ListParagraph"/>
        <w:numPr>
          <w:ilvl w:val="0"/>
          <w:numId w:val="24"/>
        </w:numPr>
      </w:pPr>
      <w:r>
        <w:t>Footnote #126 – the URL leads to a message that this link cannot be found on our site</w:t>
      </w:r>
    </w:p>
    <w:p w:rsidR="00197625" w:rsidRDefault="00197625" w:rsidP="000E7BC0">
      <w:pPr>
        <w:pStyle w:val="ListParagraph"/>
        <w:numPr>
          <w:ilvl w:val="0"/>
          <w:numId w:val="24"/>
        </w:numPr>
      </w:pPr>
      <w:r>
        <w:t>Footnote #131 – the supra for the first State Comptroller’s report entry leads to note 4, which is an article – this is not clear</w:t>
      </w:r>
    </w:p>
    <w:p w:rsidR="00197625" w:rsidRDefault="00197625" w:rsidP="000E7BC0">
      <w:pPr>
        <w:pStyle w:val="ListParagraph"/>
        <w:numPr>
          <w:ilvl w:val="0"/>
          <w:numId w:val="24"/>
        </w:numPr>
      </w:pPr>
      <w:r>
        <w:t>Footnote #131 – the second State Comptroller’s report entry needs more details and its supra to note 86 leads to an entry about the Civil Service – not clear</w:t>
      </w:r>
    </w:p>
    <w:p w:rsidR="00197625" w:rsidRDefault="00197625" w:rsidP="00F639F3">
      <w:pPr>
        <w:pStyle w:val="ListParagraph"/>
      </w:pPr>
      <w:bookmarkStart w:id="0" w:name="_GoBack"/>
      <w:bookmarkEnd w:id="0"/>
      <w:r>
        <w:t xml:space="preserve"> </w:t>
      </w:r>
    </w:p>
    <w:sectPr w:rsidR="00197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D4C1C84"/>
    <w:multiLevelType w:val="hybridMultilevel"/>
    <w:tmpl w:val="5F525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7"/>
  </w:num>
  <w:num w:numId="22">
    <w:abstractNumId w:val="11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04"/>
    <w:rsid w:val="00017DD5"/>
    <w:rsid w:val="000E7BC0"/>
    <w:rsid w:val="00117804"/>
    <w:rsid w:val="00197625"/>
    <w:rsid w:val="001E130B"/>
    <w:rsid w:val="00264544"/>
    <w:rsid w:val="00324172"/>
    <w:rsid w:val="003B29EB"/>
    <w:rsid w:val="004D7ADD"/>
    <w:rsid w:val="004E150E"/>
    <w:rsid w:val="00500C38"/>
    <w:rsid w:val="005925CB"/>
    <w:rsid w:val="005E44B3"/>
    <w:rsid w:val="00645252"/>
    <w:rsid w:val="006871A3"/>
    <w:rsid w:val="006D3D74"/>
    <w:rsid w:val="007147DE"/>
    <w:rsid w:val="00742336"/>
    <w:rsid w:val="00784617"/>
    <w:rsid w:val="007B1A69"/>
    <w:rsid w:val="0083569A"/>
    <w:rsid w:val="00857A48"/>
    <w:rsid w:val="008B723F"/>
    <w:rsid w:val="00935155"/>
    <w:rsid w:val="00984F38"/>
    <w:rsid w:val="00A9204E"/>
    <w:rsid w:val="00AF0AFF"/>
    <w:rsid w:val="00B225F5"/>
    <w:rsid w:val="00B30EFE"/>
    <w:rsid w:val="00C72F56"/>
    <w:rsid w:val="00C95E2F"/>
    <w:rsid w:val="00D26285"/>
    <w:rsid w:val="00D6444A"/>
    <w:rsid w:val="00D973D1"/>
    <w:rsid w:val="00F6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3EB1D"/>
  <w15:chartTrackingRefBased/>
  <w15:docId w15:val="{15439E5C-1488-43FB-8B3A-138C3403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AF0AFF"/>
    <w:pPr>
      <w:ind w:left="720"/>
      <w:contextualSpacing/>
    </w:pPr>
  </w:style>
  <w:style w:type="character" w:customStyle="1" w:styleId="colored-text">
    <w:name w:val="colored-text"/>
    <w:basedOn w:val="DefaultParagraphFont"/>
    <w:rsid w:val="00592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39857">
          <w:marLeft w:val="0"/>
          <w:marRight w:val="0"/>
          <w:marTop w:val="0"/>
          <w:marBottom w:val="0"/>
          <w:divBdr>
            <w:top w:val="single" w:sz="2" w:space="0" w:color="959CB6"/>
            <w:left w:val="single" w:sz="2" w:space="0" w:color="959CB6"/>
            <w:bottom w:val="single" w:sz="2" w:space="0" w:color="959CB6"/>
            <w:right w:val="single" w:sz="2" w:space="0" w:color="959CB6"/>
          </w:divBdr>
          <w:divsChild>
            <w:div w:id="1880125798">
              <w:marLeft w:val="0"/>
              <w:marRight w:val="0"/>
              <w:marTop w:val="0"/>
              <w:marBottom w:val="0"/>
              <w:divBdr>
                <w:top w:val="single" w:sz="2" w:space="0" w:color="959CB6"/>
                <w:left w:val="single" w:sz="2" w:space="0" w:color="959CB6"/>
                <w:bottom w:val="single" w:sz="2" w:space="0" w:color="959CB6"/>
                <w:right w:val="single" w:sz="2" w:space="0" w:color="959CB6"/>
              </w:divBdr>
            </w:div>
          </w:divsChild>
        </w:div>
        <w:div w:id="610624362">
          <w:marLeft w:val="0"/>
          <w:marRight w:val="0"/>
          <w:marTop w:val="0"/>
          <w:marBottom w:val="0"/>
          <w:divBdr>
            <w:top w:val="single" w:sz="2" w:space="0" w:color="959CB6"/>
            <w:left w:val="single" w:sz="2" w:space="0" w:color="959CB6"/>
            <w:bottom w:val="single" w:sz="2" w:space="0" w:color="959CB6"/>
            <w:right w:val="single" w:sz="2" w:space="0" w:color="959CB6"/>
          </w:divBdr>
          <w:divsChild>
            <w:div w:id="176316614">
              <w:marLeft w:val="0"/>
              <w:marRight w:val="0"/>
              <w:marTop w:val="0"/>
              <w:marBottom w:val="0"/>
              <w:divBdr>
                <w:top w:val="single" w:sz="2" w:space="0" w:color="959CB6"/>
                <w:left w:val="single" w:sz="2" w:space="0" w:color="959CB6"/>
                <w:bottom w:val="single" w:sz="2" w:space="0" w:color="959CB6"/>
                <w:right w:val="single" w:sz="2" w:space="0" w:color="959CB6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knesset.gov.il/Pages/PageNotFoundError.aspx?requestUrl=https://m.knesset.gov.il/Activity/plenum/%20Pages/Sessions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purl.org/dc/elements/1.1/"/>
    <ds:schemaRef ds:uri="4873beb7-5857-4685-be1f-d57550cc96cc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115</TotalTime>
  <Pages>2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8</cp:revision>
  <dcterms:created xsi:type="dcterms:W3CDTF">2020-11-17T07:53:00Z</dcterms:created>
  <dcterms:modified xsi:type="dcterms:W3CDTF">2020-11-18T06:56:00Z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