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54E2" w14:textId="2019D1CC" w:rsidR="00031576" w:rsidRPr="00826964" w:rsidRDefault="00031576" w:rsidP="00826964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82696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From </w:t>
      </w:r>
      <w:r w:rsidR="00E17F3B">
        <w:rPr>
          <w:rFonts w:asciiTheme="majorBidi" w:hAnsiTheme="majorBidi" w:cstheme="majorBidi"/>
          <w:b/>
          <w:bCs/>
          <w:sz w:val="24"/>
          <w:szCs w:val="24"/>
          <w:lang w:val="en-US"/>
        </w:rPr>
        <w:t>Culmination</w:t>
      </w:r>
      <w:r w:rsidRPr="0082696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to </w:t>
      </w:r>
      <w:r w:rsidR="00E17F3B">
        <w:rPr>
          <w:rFonts w:asciiTheme="majorBidi" w:hAnsiTheme="majorBidi" w:cstheme="majorBidi"/>
          <w:b/>
          <w:bCs/>
          <w:sz w:val="24"/>
          <w:szCs w:val="24"/>
          <w:lang w:val="en-US"/>
        </w:rPr>
        <w:t>Anticipation</w:t>
      </w:r>
      <w:r w:rsidRPr="00826964">
        <w:rPr>
          <w:rFonts w:asciiTheme="majorBidi" w:hAnsiTheme="majorBidi" w:cstheme="majorBidi"/>
          <w:sz w:val="24"/>
          <w:szCs w:val="24"/>
          <w:lang w:val="en-US"/>
        </w:rPr>
        <w:t xml:space="preserve"> – The Semantic Shift of the </w:t>
      </w:r>
      <w:r w:rsidR="008E0FE5" w:rsidRPr="00826964">
        <w:rPr>
          <w:rFonts w:asciiTheme="majorBidi" w:hAnsiTheme="majorBidi" w:cstheme="majorBidi"/>
          <w:sz w:val="24"/>
          <w:szCs w:val="24"/>
          <w:lang w:val="en-US"/>
        </w:rPr>
        <w:t>Root</w:t>
      </w:r>
      <w:r w:rsidRPr="008269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26964">
        <w:rPr>
          <w:rFonts w:asciiTheme="majorBidi" w:hAnsiTheme="majorBidi" w:cstheme="majorBidi"/>
          <w:i/>
          <w:iCs/>
          <w:sz w:val="24"/>
          <w:szCs w:val="24"/>
          <w:lang w:val="en-US"/>
        </w:rPr>
        <w:t>klh</w:t>
      </w:r>
      <w:proofErr w:type="spellEnd"/>
      <w:r w:rsidRPr="008269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826964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826964" w:rsidRPr="00826964">
        <w:rPr>
          <w:rFonts w:asciiTheme="majorBidi" w:hAnsiTheme="majorBidi" w:cstheme="majorBidi"/>
          <w:sz w:val="24"/>
          <w:szCs w:val="24"/>
          <w:lang w:val="en-US"/>
        </w:rPr>
        <w:t>L</w:t>
      </w:r>
      <w:r w:rsidRPr="00826964">
        <w:rPr>
          <w:rFonts w:asciiTheme="majorBidi" w:hAnsiTheme="majorBidi" w:cstheme="majorBidi"/>
          <w:sz w:val="24"/>
          <w:szCs w:val="24"/>
          <w:lang w:val="en-US"/>
        </w:rPr>
        <w:t>ight of</w:t>
      </w:r>
      <w:proofErr w:type="gramEnd"/>
      <w:r w:rsidRPr="00826964">
        <w:rPr>
          <w:rFonts w:asciiTheme="majorBidi" w:hAnsiTheme="majorBidi" w:cstheme="majorBidi"/>
          <w:sz w:val="24"/>
          <w:szCs w:val="24"/>
          <w:lang w:val="en-US"/>
        </w:rPr>
        <w:t xml:space="preserve"> the Phrases </w:t>
      </w:r>
      <w:commentRangeStart w:id="0"/>
      <w:r w:rsidR="00423611">
        <w:rPr>
          <w:rFonts w:asciiTheme="majorBidi" w:hAnsiTheme="majorBidi" w:cstheme="majorBidi"/>
          <w:i/>
          <w:iCs/>
          <w:sz w:val="24"/>
          <w:szCs w:val="24"/>
          <w:lang w:val="en-US"/>
        </w:rPr>
        <w:t>‘</w:t>
      </w:r>
      <w:commentRangeEnd w:id="0"/>
      <w:proofErr w:type="spellStart"/>
      <w:r w:rsidR="00BF5B8E">
        <w:rPr>
          <w:rStyle w:val="CommentReference"/>
          <w:rtl/>
        </w:rPr>
        <w:commentReference w:id="0"/>
      </w:r>
      <w:r w:rsidRPr="00826964">
        <w:rPr>
          <w:rFonts w:asciiTheme="majorBidi" w:hAnsiTheme="majorBidi" w:cstheme="majorBidi"/>
          <w:i/>
          <w:iCs/>
          <w:sz w:val="24"/>
          <w:szCs w:val="24"/>
          <w:lang w:val="en-US"/>
        </w:rPr>
        <w:t>kaltah</w:t>
      </w:r>
      <w:proofErr w:type="spellEnd"/>
      <w:r w:rsidRPr="0082696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‘ayin</w:t>
      </w:r>
      <w:r w:rsidR="00423611">
        <w:rPr>
          <w:rFonts w:asciiTheme="majorBidi" w:hAnsiTheme="majorBidi" w:cstheme="majorBidi"/>
          <w:sz w:val="24"/>
          <w:szCs w:val="24"/>
          <w:lang w:val="en-US"/>
        </w:rPr>
        <w:t>’</w:t>
      </w:r>
      <w:r w:rsidRPr="00826964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423611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spellStart"/>
      <w:r w:rsidRPr="00826964">
        <w:rPr>
          <w:rFonts w:asciiTheme="majorBidi" w:hAnsiTheme="majorBidi" w:cstheme="majorBidi"/>
          <w:i/>
          <w:iCs/>
          <w:sz w:val="24"/>
          <w:szCs w:val="24"/>
          <w:lang w:val="en-US"/>
        </w:rPr>
        <w:t>kaltah</w:t>
      </w:r>
      <w:proofErr w:type="spellEnd"/>
      <w:r w:rsidRPr="0082696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826964">
        <w:rPr>
          <w:rFonts w:asciiTheme="majorBidi" w:hAnsiTheme="majorBidi" w:cstheme="majorBidi"/>
          <w:i/>
          <w:iCs/>
          <w:sz w:val="24"/>
          <w:szCs w:val="24"/>
          <w:lang w:val="en-US"/>
        </w:rPr>
        <w:t>nefesh</w:t>
      </w:r>
      <w:proofErr w:type="spellEnd"/>
      <w:r w:rsidR="00423611">
        <w:rPr>
          <w:rFonts w:asciiTheme="majorBidi" w:hAnsiTheme="majorBidi" w:cstheme="majorBidi"/>
          <w:i/>
          <w:iCs/>
          <w:sz w:val="24"/>
          <w:szCs w:val="24"/>
          <w:lang w:val="en-US"/>
        </w:rPr>
        <w:t>’</w:t>
      </w:r>
      <w:commentRangeStart w:id="1"/>
      <w:r w:rsidRPr="00826964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"/>
      </w:r>
      <w:commentRangeEnd w:id="1"/>
      <w:r w:rsidRPr="00826964">
        <w:rPr>
          <w:rStyle w:val="CommentReference"/>
          <w:sz w:val="24"/>
          <w:szCs w:val="24"/>
          <w:rtl/>
        </w:rPr>
        <w:commentReference w:id="1"/>
      </w:r>
    </w:p>
    <w:p w14:paraId="36AA4ED2" w14:textId="3E9EA655" w:rsidR="00031576" w:rsidRPr="00826964" w:rsidRDefault="00031576" w:rsidP="008269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75FCEC3" w14:textId="69E388A9" w:rsidR="00031576" w:rsidRDefault="008E0FE5" w:rsidP="008269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6964">
        <w:rPr>
          <w:rFonts w:asciiTheme="majorBidi" w:hAnsiTheme="majorBidi" w:cstheme="majorBidi"/>
          <w:sz w:val="24"/>
          <w:szCs w:val="24"/>
          <w:lang w:val="en-US"/>
        </w:rPr>
        <w:t>The basic sense of the root</w:t>
      </w:r>
      <w:r w:rsidR="00826964" w:rsidRPr="008269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6964" w:rsidRPr="00826964">
        <w:rPr>
          <w:rFonts w:asciiTheme="majorBidi" w:hAnsiTheme="majorBidi" w:cstheme="majorBidi"/>
          <w:i/>
          <w:iCs/>
          <w:sz w:val="24"/>
          <w:szCs w:val="24"/>
          <w:lang w:val="en-US"/>
        </w:rPr>
        <w:t>klh</w:t>
      </w:r>
      <w:proofErr w:type="spellEnd"/>
      <w:r w:rsidR="00826964" w:rsidRPr="00826964">
        <w:rPr>
          <w:rFonts w:asciiTheme="majorBidi" w:hAnsiTheme="majorBidi" w:cstheme="majorBidi"/>
          <w:sz w:val="24"/>
          <w:szCs w:val="24"/>
          <w:lang w:val="en-US"/>
        </w:rPr>
        <w:t xml:space="preserve"> is to conclude, to bring to completion, to finish.</w:t>
      </w:r>
      <w:r w:rsidR="00826964" w:rsidRPr="00826964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"/>
      </w:r>
      <w:r w:rsidR="00826964" w:rsidRPr="00826964">
        <w:rPr>
          <w:rFonts w:asciiTheme="majorBidi" w:hAnsiTheme="majorBidi" w:cstheme="majorBidi"/>
          <w:sz w:val="24"/>
          <w:szCs w:val="24"/>
          <w:lang w:val="en-US"/>
        </w:rPr>
        <w:t xml:space="preserve"> This is the sense found in</w:t>
      </w:r>
      <w:r w:rsidR="00826964">
        <w:rPr>
          <w:rFonts w:asciiTheme="majorBidi" w:hAnsiTheme="majorBidi" w:cstheme="majorBidi"/>
          <w:sz w:val="24"/>
          <w:szCs w:val="24"/>
          <w:lang w:val="en-US"/>
        </w:rPr>
        <w:t xml:space="preserve"> most </w:t>
      </w:r>
      <w:r w:rsidR="00E17F3B">
        <w:rPr>
          <w:rFonts w:asciiTheme="majorBidi" w:hAnsiTheme="majorBidi" w:cstheme="majorBidi"/>
          <w:sz w:val="24"/>
          <w:szCs w:val="24"/>
          <w:lang w:val="en-US"/>
        </w:rPr>
        <w:t xml:space="preserve">of its </w:t>
      </w:r>
      <w:r w:rsidR="00826964">
        <w:rPr>
          <w:rFonts w:asciiTheme="majorBidi" w:hAnsiTheme="majorBidi" w:cstheme="majorBidi"/>
          <w:sz w:val="24"/>
          <w:szCs w:val="24"/>
          <w:lang w:val="en-US"/>
        </w:rPr>
        <w:t>appearance</w:t>
      </w:r>
      <w:r w:rsidR="00E17F3B">
        <w:rPr>
          <w:rFonts w:asciiTheme="majorBidi" w:hAnsiTheme="majorBidi" w:cstheme="majorBidi"/>
          <w:sz w:val="24"/>
          <w:szCs w:val="24"/>
          <w:lang w:val="en-US"/>
        </w:rPr>
        <w:t>s,</w:t>
      </w:r>
      <w:r w:rsidR="00826964">
        <w:rPr>
          <w:rFonts w:asciiTheme="majorBidi" w:hAnsiTheme="majorBidi" w:cstheme="majorBidi"/>
          <w:sz w:val="24"/>
          <w:szCs w:val="24"/>
          <w:lang w:val="en-US"/>
        </w:rPr>
        <w:t xml:space="preserve"> in its verbal form</w:t>
      </w:r>
      <w:r w:rsidR="00E17F3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826964">
        <w:rPr>
          <w:rFonts w:asciiTheme="majorBidi" w:hAnsiTheme="majorBidi" w:cstheme="majorBidi"/>
          <w:sz w:val="24"/>
          <w:szCs w:val="24"/>
          <w:lang w:val="en-US"/>
        </w:rPr>
        <w:t xml:space="preserve"> in the Bible.</w:t>
      </w:r>
      <w:r w:rsidR="00826964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3"/>
      </w:r>
      <w:r w:rsidR="00E50A8D">
        <w:rPr>
          <w:rFonts w:asciiTheme="majorBidi" w:hAnsiTheme="majorBidi" w:cstheme="majorBidi"/>
          <w:sz w:val="24"/>
          <w:szCs w:val="24"/>
          <w:lang w:val="en-US"/>
        </w:rPr>
        <w:t xml:space="preserve"> This led </w:t>
      </w:r>
      <w:r w:rsidR="00E17F3B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="00E50A8D">
        <w:rPr>
          <w:rFonts w:asciiTheme="majorBidi" w:hAnsiTheme="majorBidi" w:cstheme="majorBidi"/>
          <w:sz w:val="24"/>
          <w:szCs w:val="24"/>
          <w:lang w:val="en-US"/>
        </w:rPr>
        <w:t>the Semitic f</w:t>
      </w:r>
      <w:r w:rsidR="00E17F3B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E50A8D">
        <w:rPr>
          <w:rFonts w:asciiTheme="majorBidi" w:hAnsiTheme="majorBidi" w:cstheme="majorBidi"/>
          <w:sz w:val="24"/>
          <w:szCs w:val="24"/>
          <w:lang w:val="en-US"/>
        </w:rPr>
        <w:t>rm of this word - ‘</w:t>
      </w:r>
      <w:proofErr w:type="spellStart"/>
      <w:r w:rsidR="00E50A8D">
        <w:rPr>
          <w:rFonts w:asciiTheme="majorBidi" w:hAnsiTheme="majorBidi" w:cstheme="majorBidi"/>
          <w:i/>
          <w:iCs/>
          <w:sz w:val="24"/>
          <w:szCs w:val="24"/>
          <w:lang w:val="en-US"/>
        </w:rPr>
        <w:t>kalah</w:t>
      </w:r>
      <w:proofErr w:type="spellEnd"/>
      <w:r w:rsidR="00E50A8D">
        <w:rPr>
          <w:rFonts w:asciiTheme="majorBidi" w:hAnsiTheme="majorBidi" w:cstheme="majorBidi"/>
          <w:sz w:val="24"/>
          <w:szCs w:val="24"/>
          <w:lang w:val="en-US"/>
        </w:rPr>
        <w:t>’ – meaning complete destruction.</w:t>
      </w:r>
      <w:r w:rsidR="00E50A8D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4"/>
      </w:r>
      <w:r w:rsidR="00407895">
        <w:rPr>
          <w:rFonts w:asciiTheme="majorBidi" w:hAnsiTheme="majorBidi" w:cstheme="majorBidi"/>
          <w:sz w:val="24"/>
          <w:szCs w:val="24"/>
          <w:lang w:val="en-US"/>
        </w:rPr>
        <w:t xml:space="preserve"> In Ugaritic, the parallel root </w:t>
      </w:r>
      <w:proofErr w:type="spellStart"/>
      <w:r w:rsidR="00407895">
        <w:rPr>
          <w:rFonts w:asciiTheme="majorBidi" w:hAnsiTheme="majorBidi" w:cstheme="majorBidi"/>
          <w:i/>
          <w:iCs/>
          <w:sz w:val="24"/>
          <w:szCs w:val="24"/>
          <w:lang w:val="en-US"/>
        </w:rPr>
        <w:t>kly</w:t>
      </w:r>
      <w:proofErr w:type="spellEnd"/>
      <w:r w:rsidR="004078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17F3B">
        <w:rPr>
          <w:rFonts w:asciiTheme="majorBidi" w:hAnsiTheme="majorBidi" w:cstheme="majorBidi"/>
          <w:sz w:val="24"/>
          <w:szCs w:val="24"/>
          <w:lang w:val="en-US"/>
        </w:rPr>
        <w:t>has a related meaning,</w:t>
      </w:r>
      <w:r w:rsidR="00407895">
        <w:rPr>
          <w:rFonts w:asciiTheme="majorBidi" w:hAnsiTheme="majorBidi" w:cstheme="majorBidi"/>
          <w:sz w:val="24"/>
          <w:szCs w:val="24"/>
          <w:lang w:val="en-US"/>
        </w:rPr>
        <w:t xml:space="preserve"> ‘comes to the end,’ or ‘causing the end,’ ‘to empty,’ ‘to consume.’</w:t>
      </w:r>
      <w:r w:rsidR="00407895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5"/>
      </w:r>
    </w:p>
    <w:p w14:paraId="7E84BA6D" w14:textId="404FADA8" w:rsidR="00721704" w:rsidRDefault="00721704" w:rsidP="008269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One of</w:t>
      </w:r>
      <w:r w:rsidRPr="00721704">
        <w:rPr>
          <w:rFonts w:asciiTheme="majorBidi" w:hAnsiTheme="majorBidi" w:cstheme="majorBidi"/>
          <w:sz w:val="24"/>
          <w:szCs w:val="24"/>
          <w:lang w:val="en-US"/>
        </w:rPr>
        <w:t xml:space="preserve"> the subsenses of the root </w:t>
      </w:r>
      <w:proofErr w:type="spellStart"/>
      <w:r w:rsidRPr="00721704">
        <w:rPr>
          <w:rFonts w:asciiTheme="majorBidi" w:hAnsiTheme="majorBidi" w:cstheme="majorBidi"/>
          <w:i/>
          <w:iCs/>
          <w:sz w:val="24"/>
          <w:szCs w:val="24"/>
          <w:lang w:val="en-US"/>
        </w:rPr>
        <w:t>klh</w:t>
      </w:r>
      <w:proofErr w:type="spellEnd"/>
      <w:r w:rsidRPr="00721704">
        <w:rPr>
          <w:rFonts w:asciiTheme="majorBidi" w:hAnsiTheme="majorBidi" w:cstheme="majorBidi"/>
          <w:sz w:val="24"/>
          <w:szCs w:val="24"/>
          <w:lang w:val="en-US"/>
        </w:rPr>
        <w:t xml:space="preserve"> in Hebrew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indicates expectation, hope, yearning</w:t>
      </w:r>
      <w:r w:rsidR="00E17F3B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6"/>
      </w:r>
      <w:r w:rsidR="008528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17F3B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85281D">
        <w:rPr>
          <w:rFonts w:asciiTheme="majorBidi" w:hAnsiTheme="majorBidi" w:cstheme="majorBidi"/>
          <w:sz w:val="24"/>
          <w:szCs w:val="24"/>
          <w:lang w:val="en-US"/>
        </w:rPr>
        <w:t xml:space="preserve">specially in the phrases </w:t>
      </w:r>
      <w:commentRangeStart w:id="3"/>
      <w:proofErr w:type="spellStart"/>
      <w:r w:rsidR="0085281D">
        <w:rPr>
          <w:rFonts w:asciiTheme="majorBidi" w:hAnsiTheme="majorBidi" w:cstheme="majorBidi"/>
          <w:i/>
          <w:iCs/>
          <w:sz w:val="24"/>
          <w:szCs w:val="24"/>
          <w:lang w:val="en-US"/>
        </w:rPr>
        <w:t>kaltah</w:t>
      </w:r>
      <w:proofErr w:type="spellEnd"/>
      <w:r w:rsidR="0085281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‘ayin</w:t>
      </w:r>
      <w:r w:rsidR="0085281D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="0085281D">
        <w:rPr>
          <w:rFonts w:asciiTheme="majorBidi" w:hAnsiTheme="majorBidi" w:cstheme="majorBidi"/>
          <w:i/>
          <w:iCs/>
          <w:sz w:val="24"/>
          <w:szCs w:val="24"/>
          <w:lang w:val="en-US"/>
        </w:rPr>
        <w:t>kaltah</w:t>
      </w:r>
      <w:proofErr w:type="spellEnd"/>
      <w:r w:rsidR="0085281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85281D">
        <w:rPr>
          <w:rFonts w:asciiTheme="majorBidi" w:hAnsiTheme="majorBidi" w:cstheme="majorBidi"/>
          <w:i/>
          <w:iCs/>
          <w:sz w:val="24"/>
          <w:szCs w:val="24"/>
          <w:lang w:val="en-US"/>
        </w:rPr>
        <w:t>nefesh</w:t>
      </w:r>
      <w:commentRangeEnd w:id="3"/>
      <w:proofErr w:type="spellEnd"/>
      <w:r w:rsidR="0085281D">
        <w:rPr>
          <w:rStyle w:val="CommentReference"/>
          <w:rtl/>
        </w:rPr>
        <w:commentReference w:id="3"/>
      </w:r>
      <w:r w:rsidR="0085281D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="0085281D">
        <w:rPr>
          <w:rStyle w:val="FootnoteReference"/>
          <w:rFonts w:asciiTheme="majorBidi" w:hAnsiTheme="majorBidi" w:cstheme="majorBidi"/>
          <w:i/>
          <w:iCs/>
          <w:sz w:val="24"/>
          <w:szCs w:val="24"/>
          <w:lang w:val="en-US"/>
        </w:rPr>
        <w:footnoteReference w:id="7"/>
      </w:r>
      <w:r w:rsidR="0085281D">
        <w:rPr>
          <w:rFonts w:asciiTheme="majorBidi" w:hAnsiTheme="majorBidi" w:cstheme="majorBidi"/>
          <w:sz w:val="24"/>
          <w:szCs w:val="24"/>
          <w:lang w:val="en-US"/>
        </w:rPr>
        <w:t xml:space="preserve"> However, what is the exact relationship between the two senses, if such a relationship</w:t>
      </w:r>
      <w:r w:rsidR="00E17F3B">
        <w:rPr>
          <w:rFonts w:asciiTheme="majorBidi" w:hAnsiTheme="majorBidi" w:cstheme="majorBidi"/>
          <w:sz w:val="24"/>
          <w:szCs w:val="24"/>
          <w:lang w:val="en-US"/>
        </w:rPr>
        <w:t xml:space="preserve"> exists</w:t>
      </w:r>
      <w:r w:rsidR="0085281D">
        <w:rPr>
          <w:rFonts w:asciiTheme="majorBidi" w:hAnsiTheme="majorBidi" w:cstheme="majorBidi"/>
          <w:sz w:val="24"/>
          <w:szCs w:val="24"/>
          <w:lang w:val="en-US"/>
        </w:rPr>
        <w:t xml:space="preserve">? And how did the </w:t>
      </w:r>
      <w:r w:rsidR="009877A4">
        <w:rPr>
          <w:rFonts w:asciiTheme="majorBidi" w:hAnsiTheme="majorBidi" w:cstheme="majorBidi"/>
          <w:sz w:val="24"/>
          <w:szCs w:val="24"/>
          <w:lang w:val="en-US"/>
        </w:rPr>
        <w:t>root shift from its original sense to its secondary sense?</w:t>
      </w:r>
    </w:p>
    <w:p w14:paraId="3BD10E3E" w14:textId="5396B9F9" w:rsidR="009877A4" w:rsidRDefault="009877A4" w:rsidP="008269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this paper we will describe the semantic shift of the verb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klh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through an examination of the two phrases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kaltah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‘ayin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kalyah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nefesh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We will expose the ancients’ perception of the eye’s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anatomy, and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will </w:t>
      </w:r>
      <w:r w:rsidR="00B228E1">
        <w:rPr>
          <w:rFonts w:asciiTheme="majorBidi" w:hAnsiTheme="majorBidi" w:cstheme="majorBidi"/>
          <w:sz w:val="24"/>
          <w:szCs w:val="24"/>
          <w:lang w:val="en-US"/>
        </w:rPr>
        <w:t>reopen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discussion about the meaning of the two phrases, which will shed light upon the </w:t>
      </w:r>
      <w:r w:rsidR="00CE1FE3">
        <w:rPr>
          <w:rFonts w:asciiTheme="majorBidi" w:hAnsiTheme="majorBidi" w:cstheme="majorBidi"/>
          <w:sz w:val="24"/>
          <w:szCs w:val="24"/>
          <w:lang w:val="en-US"/>
        </w:rPr>
        <w:t>holistic perception of body and soul in the Bible.</w:t>
      </w:r>
    </w:p>
    <w:p w14:paraId="0D768E93" w14:textId="64F2FB94" w:rsidR="008263A6" w:rsidRDefault="008263A6" w:rsidP="008269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the early 80s of the previous century, Meir Gruber carried out a study on nonverbal body gestures, and claimed that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‘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einayim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Start w:id="4"/>
      <w:r>
        <w:rPr>
          <w:rFonts w:asciiTheme="majorBidi" w:hAnsiTheme="majorBidi" w:cstheme="majorBidi"/>
          <w:sz w:val="24"/>
          <w:szCs w:val="24"/>
          <w:lang w:val="en-US"/>
        </w:rPr>
        <w:t>means ‘the eyes are emptied,’ or ‘eyes whose tears have dried up.’</w:t>
      </w:r>
      <w:commentRangeEnd w:id="4"/>
      <w:r w:rsidR="000B7F6D">
        <w:rPr>
          <w:rStyle w:val="CommentReference"/>
          <w:rtl/>
        </w:rPr>
        <w:commentReference w:id="4"/>
      </w:r>
      <w:r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8"/>
      </w:r>
      <w:r w:rsidR="000B7F6D">
        <w:rPr>
          <w:rFonts w:asciiTheme="majorBidi" w:hAnsiTheme="majorBidi" w:cstheme="majorBidi"/>
          <w:sz w:val="24"/>
          <w:szCs w:val="24"/>
          <w:lang w:val="en-US"/>
        </w:rPr>
        <w:t xml:space="preserve"> As part of the discussion about the gesture of weeping, he defines the phrase as an idiom which describes continual weeping and the state of continual depression which </w:t>
      </w:r>
      <w:r w:rsidR="000B7F6D">
        <w:rPr>
          <w:rFonts w:asciiTheme="majorBidi" w:hAnsiTheme="majorBidi" w:cstheme="majorBidi"/>
          <w:sz w:val="24"/>
          <w:szCs w:val="24"/>
          <w:lang w:val="en-US"/>
        </w:rPr>
        <w:lastRenderedPageBreak/>
        <w:t>follows, similar to the English phrase to ‘cry one’s eyes out.’ He noted the thirteen appearances</w:t>
      </w:r>
      <w:r w:rsidR="00543CCE">
        <w:rPr>
          <w:rFonts w:asciiTheme="majorBidi" w:hAnsiTheme="majorBidi" w:cstheme="majorBidi"/>
          <w:sz w:val="24"/>
          <w:szCs w:val="24"/>
          <w:lang w:val="en-US"/>
        </w:rPr>
        <w:t xml:space="preserve"> of the phrase and translated each of the verses into English.</w:t>
      </w:r>
    </w:p>
    <w:p w14:paraId="58AA4E81" w14:textId="06CE859B" w:rsidR="00543CCE" w:rsidRDefault="00543CCE" w:rsidP="008269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Gruber’s foundational work influence</w:t>
      </w:r>
      <w:r w:rsidR="00B228E1">
        <w:rPr>
          <w:rFonts w:asciiTheme="majorBidi" w:hAnsiTheme="majorBidi" w:cstheme="majorBidi"/>
          <w:sz w:val="24"/>
          <w:szCs w:val="24"/>
          <w:lang w:val="en-US"/>
        </w:rPr>
        <w:t>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scholarship that followed, although there are still interpretations and translations which do not correctly understand the phrase. So, for example, we find a wide range of exegetes who understand the phrase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kalah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‘ayin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228E1">
        <w:rPr>
          <w:rFonts w:asciiTheme="majorBidi" w:hAnsiTheme="majorBidi" w:cstheme="majorBidi"/>
          <w:sz w:val="24"/>
          <w:szCs w:val="24"/>
          <w:lang w:val="en-US"/>
        </w:rPr>
        <w:t>to mean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 eye which was damaged in various ways </w:t>
      </w:r>
      <w:r w:rsidR="00310FD6">
        <w:rPr>
          <w:rFonts w:asciiTheme="majorBidi" w:hAnsiTheme="majorBidi" w:cstheme="majorBidi"/>
          <w:sz w:val="24"/>
          <w:szCs w:val="24"/>
          <w:lang w:val="en-US"/>
        </w:rPr>
        <w:t>–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10FD6">
        <w:rPr>
          <w:rFonts w:asciiTheme="majorBidi" w:hAnsiTheme="majorBidi" w:cstheme="majorBidi"/>
          <w:sz w:val="24"/>
          <w:szCs w:val="24"/>
          <w:lang w:val="en-US"/>
        </w:rPr>
        <w:t>erosion, failure, and blindness.</w:t>
      </w:r>
      <w:r w:rsidR="00310FD6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9"/>
      </w:r>
      <w:r w:rsidR="000233DF">
        <w:rPr>
          <w:rFonts w:asciiTheme="majorBidi" w:hAnsiTheme="majorBidi" w:cstheme="majorBidi"/>
          <w:sz w:val="24"/>
          <w:szCs w:val="24"/>
          <w:lang w:val="en-US"/>
        </w:rPr>
        <w:t xml:space="preserve"> True, the </w:t>
      </w:r>
      <w:r w:rsidR="00B228E1">
        <w:rPr>
          <w:rFonts w:asciiTheme="majorBidi" w:hAnsiTheme="majorBidi" w:cstheme="majorBidi"/>
          <w:sz w:val="24"/>
          <w:szCs w:val="24"/>
          <w:lang w:val="en-US"/>
        </w:rPr>
        <w:t>literal</w:t>
      </w:r>
      <w:r w:rsidR="000233DF">
        <w:rPr>
          <w:rFonts w:asciiTheme="majorBidi" w:hAnsiTheme="majorBidi" w:cstheme="majorBidi"/>
          <w:sz w:val="24"/>
          <w:szCs w:val="24"/>
          <w:lang w:val="en-US"/>
        </w:rPr>
        <w:t xml:space="preserve"> sense of the phrase </w:t>
      </w:r>
      <w:proofErr w:type="spellStart"/>
      <w:r w:rsidR="000233DF">
        <w:rPr>
          <w:rFonts w:asciiTheme="majorBidi" w:hAnsiTheme="majorBidi" w:cstheme="majorBidi"/>
          <w:i/>
          <w:iCs/>
          <w:sz w:val="24"/>
          <w:szCs w:val="24"/>
          <w:lang w:val="en-US"/>
        </w:rPr>
        <w:t>kalah</w:t>
      </w:r>
      <w:proofErr w:type="spellEnd"/>
      <w:r w:rsidR="000233D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‘ayin</w:t>
      </w:r>
      <w:r w:rsidR="000233DF">
        <w:rPr>
          <w:rFonts w:asciiTheme="majorBidi" w:hAnsiTheme="majorBidi" w:cstheme="majorBidi"/>
          <w:sz w:val="24"/>
          <w:szCs w:val="24"/>
          <w:lang w:val="en-US"/>
        </w:rPr>
        <w:t xml:space="preserve"> is that the eye is ‘finished.’ Therefore</w:t>
      </w:r>
      <w:r w:rsidR="00667130">
        <w:rPr>
          <w:rFonts w:asciiTheme="majorBidi" w:hAnsiTheme="majorBidi" w:cstheme="majorBidi"/>
          <w:sz w:val="24"/>
          <w:szCs w:val="24"/>
          <w:lang w:val="en-US"/>
        </w:rPr>
        <w:t xml:space="preserve">, the logic in </w:t>
      </w:r>
      <w:r w:rsidR="000233DF">
        <w:rPr>
          <w:rFonts w:asciiTheme="majorBidi" w:hAnsiTheme="majorBidi" w:cstheme="majorBidi"/>
          <w:sz w:val="24"/>
          <w:szCs w:val="24"/>
          <w:lang w:val="en-US"/>
        </w:rPr>
        <w:t xml:space="preserve">interpreting </w:t>
      </w:r>
      <w:r w:rsidR="00667130">
        <w:rPr>
          <w:rFonts w:asciiTheme="majorBidi" w:hAnsiTheme="majorBidi" w:cstheme="majorBidi"/>
          <w:sz w:val="24"/>
          <w:szCs w:val="24"/>
          <w:lang w:val="en-US"/>
        </w:rPr>
        <w:t>damaged eyes as blindness is clear.</w:t>
      </w:r>
      <w:r w:rsidR="0066713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0"/>
      </w:r>
      <w:r w:rsidR="00B11B55">
        <w:rPr>
          <w:rFonts w:asciiTheme="majorBidi" w:hAnsiTheme="majorBidi" w:cstheme="majorBidi"/>
          <w:sz w:val="24"/>
          <w:szCs w:val="24"/>
          <w:lang w:val="en-US"/>
        </w:rPr>
        <w:t xml:space="preserve"> The sense of ‘eye’ in the phrase is metonymic for its central function – to see, and therefore it means that the ability to see was t</w:t>
      </w:r>
      <w:r w:rsidR="00DF4317">
        <w:rPr>
          <w:rFonts w:asciiTheme="majorBidi" w:hAnsiTheme="majorBidi" w:cstheme="majorBidi"/>
          <w:sz w:val="24"/>
          <w:szCs w:val="24"/>
          <w:lang w:val="en-US"/>
        </w:rPr>
        <w:t>erminated. However, a deeper examination of the text shows that the phrase relates to a different one of the eye’s functions – its ability to tear, and not its ability to see. This accords with the ancients’ perception of the eye’s anatomy.</w:t>
      </w:r>
    </w:p>
    <w:p w14:paraId="04543A62" w14:textId="2B0C40A7" w:rsidR="00DF4317" w:rsidRDefault="00DF4317" w:rsidP="008269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 this paper I wish to add another layer to Gruber’s study, to lay out a wider picture</w:t>
      </w:r>
      <w:r w:rsidR="00423611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delve deeper into the semantic development of the phrase. I start with the ancients’ understanding of the eye’s anatomy, then survey the development of the combination </w:t>
      </w:r>
      <w:r w:rsidR="00423611">
        <w:rPr>
          <w:rFonts w:asciiTheme="majorBidi" w:hAnsiTheme="majorBidi" w:cstheme="majorBidi"/>
          <w:sz w:val="24"/>
          <w:szCs w:val="24"/>
          <w:lang w:val="en-US"/>
        </w:rPr>
        <w:t>formed by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klh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with the noun ‘eye,’ and end with an understanding of the source of </w:t>
      </w:r>
      <w:r w:rsidR="00F078D4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US"/>
        </w:rPr>
        <w:t>phrases which mean ‘anticipation,’ ‘hope.’</w:t>
      </w:r>
    </w:p>
    <w:p w14:paraId="19AC9F71" w14:textId="0E6D62C2" w:rsidR="00F078D4" w:rsidRDefault="00F078D4" w:rsidP="008269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5726281" w14:textId="319F5495" w:rsidR="00F078D4" w:rsidRDefault="00E544B7" w:rsidP="008269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 perception of the eye’s anatomy</w:t>
      </w:r>
    </w:p>
    <w:p w14:paraId="487CB291" w14:textId="2B37DFF1" w:rsidR="00E544B7" w:rsidRDefault="00E544B7" w:rsidP="00E544B7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423611">
        <w:rPr>
          <w:rFonts w:asciiTheme="majorBidi" w:hAnsiTheme="majorBidi" w:cstheme="majorBidi"/>
          <w:sz w:val="24"/>
          <w:szCs w:val="24"/>
          <w:lang w:val="en-US"/>
        </w:rPr>
        <w:t>appearances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‘eye’ in the Bible show that the ancients understood the eye’s anatomy as a vessel which holds and contains the tears. In Jeremiah, the speaker asks – </w:t>
      </w:r>
      <w:r w:rsidR="00423611">
        <w:rPr>
          <w:rFonts w:asciiTheme="majorBidi" w:hAnsiTheme="majorBidi" w:cstheme="majorBidi"/>
          <w:sz w:val="24"/>
          <w:szCs w:val="24"/>
          <w:lang w:val="en-US"/>
        </w:rPr>
        <w:t>‘</w:t>
      </w:r>
      <w:r w:rsidRPr="00E544B7">
        <w:rPr>
          <w:rFonts w:asciiTheme="majorBidi" w:hAnsiTheme="majorBidi" w:cstheme="majorBidi"/>
          <w:sz w:val="24"/>
          <w:szCs w:val="24"/>
        </w:rPr>
        <w:t xml:space="preserve">Oh, that </w:t>
      </w:r>
      <w:bookmarkStart w:id="5" w:name="_Hlk101986388"/>
      <w:r w:rsidRPr="00E544B7">
        <w:rPr>
          <w:rFonts w:asciiTheme="majorBidi" w:hAnsiTheme="majorBidi" w:cstheme="majorBidi"/>
          <w:sz w:val="24"/>
          <w:szCs w:val="24"/>
        </w:rPr>
        <w:t>my head were a spring of water and my eyes a fountain of tears</w:t>
      </w:r>
      <w:bookmarkEnd w:id="5"/>
      <w:r w:rsidR="00423611">
        <w:rPr>
          <w:rFonts w:asciiTheme="majorBidi" w:hAnsiTheme="majorBidi" w:cstheme="majorBidi"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8:23). His secret wish was to have his eyes fill with water, so he would have a continual source of </w:t>
      </w:r>
      <w:r w:rsidR="00F0469C">
        <w:rPr>
          <w:rFonts w:asciiTheme="majorBidi" w:hAnsiTheme="majorBidi" w:cstheme="majorBidi"/>
          <w:sz w:val="24"/>
          <w:szCs w:val="24"/>
          <w:lang w:val="en-US"/>
        </w:rPr>
        <w:t>water for his tears,</w:t>
      </w:r>
      <w:r w:rsidR="00F0469C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1"/>
      </w:r>
      <w:r w:rsidR="00F0469C">
        <w:rPr>
          <w:rFonts w:asciiTheme="majorBidi" w:hAnsiTheme="majorBidi" w:cstheme="majorBidi"/>
          <w:sz w:val="24"/>
          <w:szCs w:val="24"/>
          <w:lang w:val="en-US"/>
        </w:rPr>
        <w:t xml:space="preserve"> and he could cry without stop day and night over the destruction of his people.</w:t>
      </w:r>
      <w:r w:rsidR="0060378E">
        <w:rPr>
          <w:rFonts w:asciiTheme="majorBidi" w:hAnsiTheme="majorBidi" w:cstheme="majorBidi"/>
          <w:sz w:val="24"/>
          <w:szCs w:val="24"/>
          <w:lang w:val="en-US"/>
        </w:rPr>
        <w:t xml:space="preserve"> But this fantastical metaphor of course cannot be realized; therefore, he opens his words with the expression </w:t>
      </w:r>
      <w:r w:rsidR="0060378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mi </w:t>
      </w:r>
      <w:proofErr w:type="spellStart"/>
      <w:r w:rsidR="0060378E">
        <w:rPr>
          <w:rFonts w:asciiTheme="majorBidi" w:hAnsiTheme="majorBidi" w:cstheme="majorBidi"/>
          <w:i/>
          <w:iCs/>
          <w:sz w:val="24"/>
          <w:szCs w:val="24"/>
          <w:lang w:val="en-US"/>
        </w:rPr>
        <w:t>yiten</w:t>
      </w:r>
      <w:proofErr w:type="spellEnd"/>
      <w:r w:rsidR="0060378E">
        <w:rPr>
          <w:rFonts w:asciiTheme="majorBidi" w:hAnsiTheme="majorBidi" w:cstheme="majorBidi"/>
          <w:sz w:val="24"/>
          <w:szCs w:val="24"/>
          <w:lang w:val="en-US"/>
        </w:rPr>
        <w:t xml:space="preserve">, Oh, </w:t>
      </w:r>
      <w:commentRangeStart w:id="6"/>
      <w:r w:rsidR="0060378E">
        <w:rPr>
          <w:rFonts w:asciiTheme="majorBidi" w:hAnsiTheme="majorBidi" w:cstheme="majorBidi"/>
          <w:sz w:val="24"/>
          <w:szCs w:val="24"/>
          <w:lang w:val="en-US"/>
        </w:rPr>
        <w:t>that</w:t>
      </w:r>
      <w:commentRangeEnd w:id="6"/>
      <w:r w:rsidR="0060378E">
        <w:rPr>
          <w:rStyle w:val="CommentReference"/>
          <w:rtl/>
        </w:rPr>
        <w:commentReference w:id="6"/>
      </w:r>
      <w:r w:rsidR="0060378E">
        <w:rPr>
          <w:rFonts w:asciiTheme="majorBidi" w:hAnsiTheme="majorBidi" w:cstheme="majorBidi"/>
          <w:sz w:val="24"/>
          <w:szCs w:val="24"/>
          <w:lang w:val="en-US"/>
        </w:rPr>
        <w:t>.</w:t>
      </w:r>
      <w:commentRangeStart w:id="7"/>
      <w:r w:rsidR="0060378E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2"/>
      </w:r>
      <w:commentRangeEnd w:id="7"/>
      <w:r w:rsidR="002C21B0">
        <w:rPr>
          <w:rStyle w:val="CommentReference"/>
          <w:rtl/>
        </w:rPr>
        <w:commentReference w:id="7"/>
      </w:r>
    </w:p>
    <w:p w14:paraId="30554BB8" w14:textId="34BC9233" w:rsidR="006A6F96" w:rsidRPr="006A6F96" w:rsidRDefault="002C21B0" w:rsidP="00320F86">
      <w:pPr>
        <w:spacing w:line="360" w:lineRule="auto"/>
        <w:rPr>
          <w:rFonts w:asciiTheme="majorBidi" w:hAnsiTheme="majorBidi" w:cstheme="majorBidi" w:hint="cs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Perceiving the eye as the source of tears and a water reservoir is reflected in</w:t>
      </w:r>
      <w:r w:rsidR="006A6F96">
        <w:rPr>
          <w:rFonts w:asciiTheme="majorBidi" w:hAnsiTheme="majorBidi" w:cstheme="majorBidi"/>
          <w:sz w:val="24"/>
          <w:szCs w:val="24"/>
          <w:lang w:val="en-US"/>
        </w:rPr>
        <w:t xml:space="preserve"> the many mentions of tears which flow from the eyes (</w:t>
      </w:r>
      <w:proofErr w:type="spellStart"/>
      <w:r w:rsidR="006A6F96">
        <w:rPr>
          <w:rFonts w:asciiTheme="majorBidi" w:hAnsiTheme="majorBidi" w:cstheme="majorBidi"/>
          <w:sz w:val="24"/>
          <w:szCs w:val="24"/>
          <w:lang w:val="en-US"/>
        </w:rPr>
        <w:t>Jer</w:t>
      </w:r>
      <w:proofErr w:type="spellEnd"/>
      <w:r w:rsidR="006A6F96">
        <w:rPr>
          <w:rFonts w:asciiTheme="majorBidi" w:hAnsiTheme="majorBidi" w:cstheme="majorBidi"/>
          <w:sz w:val="24"/>
          <w:szCs w:val="24"/>
          <w:lang w:val="en-US"/>
        </w:rPr>
        <w:t xml:space="preserve"> 9:17, 13:17, 14:17, 31:16; Ps 115:8; Lam 2:11), and in metaphors of the tears as water. For example, </w:t>
      </w:r>
      <w:r w:rsidR="00320F86">
        <w:rPr>
          <w:rFonts w:asciiTheme="majorBidi" w:hAnsiTheme="majorBidi" w:cstheme="majorBidi"/>
          <w:sz w:val="24"/>
          <w:szCs w:val="24"/>
          <w:lang w:val="en-US"/>
        </w:rPr>
        <w:t>‘</w:t>
      </w:r>
      <w:r w:rsidR="006A6F96" w:rsidRPr="006A6F96">
        <w:rPr>
          <w:rFonts w:asciiTheme="majorBidi" w:hAnsiTheme="majorBidi" w:cstheme="majorBidi"/>
          <w:sz w:val="24"/>
          <w:szCs w:val="24"/>
          <w:lang w:val="en-IL"/>
        </w:rPr>
        <w:t>Streams of tears flow from my eyes</w:t>
      </w:r>
      <w:r w:rsidR="006A6F96">
        <w:rPr>
          <w:rFonts w:asciiTheme="majorBidi" w:hAnsiTheme="majorBidi" w:cstheme="majorBidi"/>
          <w:sz w:val="24"/>
          <w:szCs w:val="24"/>
          <w:lang w:val="en-US"/>
        </w:rPr>
        <w:t>…</w:t>
      </w:r>
      <w:r w:rsidR="006A6F96" w:rsidRPr="006A6F96">
        <w:rPr>
          <w:rFonts w:asciiTheme="majorBidi" w:hAnsiTheme="majorBidi" w:cstheme="majorBidi"/>
          <w:sz w:val="24"/>
          <w:szCs w:val="24"/>
          <w:lang w:val="en-IL"/>
        </w:rPr>
        <w:t>My eyes will flow unceasingly</w:t>
      </w:r>
      <w:r w:rsidR="00320F86">
        <w:rPr>
          <w:rFonts w:asciiTheme="majorBidi" w:hAnsiTheme="majorBidi" w:cstheme="majorBidi"/>
          <w:sz w:val="24"/>
          <w:szCs w:val="24"/>
          <w:lang w:val="en-US"/>
        </w:rPr>
        <w:t>’</w:t>
      </w:r>
      <w:r w:rsidR="006A6F96">
        <w:rPr>
          <w:rFonts w:asciiTheme="majorBidi" w:hAnsiTheme="majorBidi" w:cstheme="majorBidi"/>
          <w:sz w:val="24"/>
          <w:szCs w:val="24"/>
          <w:lang w:val="en-US"/>
        </w:rPr>
        <w:t xml:space="preserve"> (Lam 3:48-49);</w:t>
      </w:r>
      <w:r w:rsidR="006A6F96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3"/>
      </w:r>
      <w:r w:rsidR="00320F86">
        <w:rPr>
          <w:rFonts w:asciiTheme="majorBidi" w:hAnsiTheme="majorBidi" w:cstheme="majorBidi"/>
          <w:sz w:val="24"/>
          <w:szCs w:val="24"/>
          <w:lang w:val="en-US"/>
        </w:rPr>
        <w:t xml:space="preserve"> ‘</w:t>
      </w:r>
      <w:r w:rsidR="00320F86" w:rsidRPr="00320F86">
        <w:rPr>
          <w:rFonts w:asciiTheme="majorBidi" w:hAnsiTheme="majorBidi" w:cstheme="majorBidi"/>
          <w:sz w:val="24"/>
          <w:szCs w:val="24"/>
        </w:rPr>
        <w:t>Mine eyes run down with streams of water</w:t>
      </w:r>
      <w:r w:rsidR="00320F86">
        <w:rPr>
          <w:rFonts w:asciiTheme="majorBidi" w:hAnsiTheme="majorBidi" w:cstheme="majorBidi"/>
          <w:sz w:val="24"/>
          <w:szCs w:val="24"/>
          <w:lang w:val="en-US"/>
        </w:rPr>
        <w:t>’ (Ps 119:136), and in the speaker in Lamentation’s command to the female imagery of Jerusalem, ‘</w:t>
      </w:r>
      <w:r w:rsidR="00320F86" w:rsidRPr="00320F86">
        <w:rPr>
          <w:rFonts w:asciiTheme="majorBidi" w:hAnsiTheme="majorBidi" w:cstheme="majorBidi"/>
          <w:sz w:val="24"/>
          <w:szCs w:val="24"/>
        </w:rPr>
        <w:t>You walls of Daughter Zion, let your tears flow like a river day and night; give yourself no relief, your eyes no rest</w:t>
      </w:r>
      <w:r w:rsidR="00320F86">
        <w:rPr>
          <w:rFonts w:asciiTheme="majorBidi" w:hAnsiTheme="majorBidi" w:cstheme="majorBidi"/>
          <w:sz w:val="24"/>
          <w:szCs w:val="24"/>
          <w:lang w:val="en-US"/>
        </w:rPr>
        <w:t xml:space="preserve">’ (Lam 2:18). Alongside the command to act – to cry day and night – the speaker also tells the female imagery of Jerusalem what not to do, not to let her eye rest or to </w:t>
      </w:r>
      <w:r w:rsidR="00D33805">
        <w:rPr>
          <w:rFonts w:asciiTheme="majorBidi" w:hAnsiTheme="majorBidi" w:cstheme="majorBidi"/>
          <w:sz w:val="24"/>
          <w:szCs w:val="24"/>
          <w:lang w:val="en-US"/>
        </w:rPr>
        <w:t>cool off her eye from tears (=to dry it out),</w:t>
      </w:r>
      <w:r w:rsidR="00D33805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4"/>
      </w:r>
      <w:r w:rsidR="00D33805">
        <w:rPr>
          <w:rFonts w:asciiTheme="majorBidi" w:hAnsiTheme="majorBidi" w:cstheme="majorBidi"/>
          <w:sz w:val="24"/>
          <w:szCs w:val="24"/>
          <w:lang w:val="en-US"/>
        </w:rPr>
        <w:t xml:space="preserve"> and not to relieve the eye’s pupil.</w:t>
      </w:r>
      <w:commentRangeStart w:id="8"/>
      <w:r w:rsidR="00D33805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5"/>
      </w:r>
      <w:commentRangeEnd w:id="8"/>
      <w:r w:rsidR="008577BF">
        <w:rPr>
          <w:rStyle w:val="CommentReference"/>
          <w:rtl/>
        </w:rPr>
        <w:commentReference w:id="8"/>
      </w:r>
    </w:p>
    <w:p w14:paraId="7A0A9CC6" w14:textId="5346A743" w:rsidR="002C21B0" w:rsidRPr="00E17F3B" w:rsidRDefault="002C21B0" w:rsidP="00E544B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2C21B0" w:rsidRPr="00E17F3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ilshelnava@gmail.com" w:date="2022-04-28T08:55:00Z" w:initials="m">
    <w:p w14:paraId="484DAE85" w14:textId="77777777" w:rsidR="00BF5B8E" w:rsidRDefault="00BF5B8E" w:rsidP="00234C30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חלק</w:t>
      </w:r>
      <w:r>
        <w:rPr>
          <w:rtl/>
        </w:rPr>
        <w:t xml:space="preserve"> מהציטוטים מובאים במרכאות כפולות וחלק בגרש יחיד. כדאי לשמור על אחידות. מה המחבר מעדיף?</w:t>
      </w:r>
    </w:p>
  </w:comment>
  <w:comment w:id="1" w:author="mailshelnava@gmail.com" w:date="2022-04-27T17:09:00Z" w:initials="m">
    <w:p w14:paraId="60806C68" w14:textId="672D0A24" w:rsidR="00031576" w:rsidRDefault="00031576" w:rsidP="005A21F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לא</w:t>
      </w:r>
      <w:r>
        <w:rPr>
          <w:rtl/>
        </w:rPr>
        <w:t xml:space="preserve"> מצאתי "פרופ' סמי שבל" בחיפוש גוגל</w:t>
      </w:r>
    </w:p>
  </w:comment>
  <w:comment w:id="3" w:author="mailshelnava@gmail.com" w:date="2022-04-27T19:46:00Z" w:initials="m">
    <w:p w14:paraId="3FFDA16A" w14:textId="77777777" w:rsidR="0085281D" w:rsidRDefault="0085281D" w:rsidP="008C7005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האם</w:t>
      </w:r>
      <w:r>
        <w:rPr>
          <w:rtl/>
        </w:rPr>
        <w:t xml:space="preserve"> לתרגם? ואם כן - לפי איזה תרגום?</w:t>
      </w:r>
    </w:p>
  </w:comment>
  <w:comment w:id="4" w:author="mailshelnava@gmail.com" w:date="2022-04-27T19:59:00Z" w:initials="m">
    <w:p w14:paraId="1DAAA64C" w14:textId="77777777" w:rsidR="000B7F6D" w:rsidRDefault="000B7F6D" w:rsidP="00185D26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זהו</w:t>
      </w:r>
      <w:r>
        <w:rPr>
          <w:rtl/>
        </w:rPr>
        <w:t xml:space="preserve"> תרגום חוזר של תרגום... רצוי להביא את המקור</w:t>
      </w:r>
    </w:p>
  </w:comment>
  <w:comment w:id="6" w:author="mailshelnava@gmail.com" w:date="2022-04-27T21:11:00Z" w:initials="m">
    <w:p w14:paraId="5BAA2EAA" w14:textId="77777777" w:rsidR="0060378E" w:rsidRDefault="0060378E" w:rsidP="006F6BC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זה</w:t>
      </w:r>
      <w:r>
        <w:rPr>
          <w:rtl/>
        </w:rPr>
        <w:t xml:space="preserve"> לא נשמע טוב באנגלית... אני לא יודעת איך לפתור את זה</w:t>
      </w:r>
    </w:p>
  </w:comment>
  <w:comment w:id="7" w:author="mailshelnava@gmail.com" w:date="2022-04-27T21:15:00Z" w:initials="m">
    <w:p w14:paraId="490EAC46" w14:textId="77777777" w:rsidR="002C21B0" w:rsidRDefault="002C21B0" w:rsidP="006C610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בסוף</w:t>
      </w:r>
      <w:r>
        <w:rPr>
          <w:rtl/>
        </w:rPr>
        <w:t xml:space="preserve"> הערת השוליים צריך הפניה מלאה לדוקטורט. בוודאי שניתן להפנות אליו</w:t>
      </w:r>
    </w:p>
  </w:comment>
  <w:comment w:id="8" w:author="mailshelnava@gmail.com" w:date="2022-04-27T21:54:00Z" w:initials="m">
    <w:p w14:paraId="1CD79A18" w14:textId="77777777" w:rsidR="008577BF" w:rsidRDefault="008577BF" w:rsidP="003B4F92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המובאה</w:t>
      </w:r>
      <w:r>
        <w:rPr>
          <w:rtl/>
        </w:rPr>
        <w:t xml:space="preserve"> של רוברטסון חוזרת בהערה 14 ובהערה 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4DAE85" w15:done="0"/>
  <w15:commentEx w15:paraId="60806C68" w15:done="0"/>
  <w15:commentEx w15:paraId="3FFDA16A" w15:done="0"/>
  <w15:commentEx w15:paraId="1DAAA64C" w15:done="0"/>
  <w15:commentEx w15:paraId="5BAA2EAA" w15:done="0"/>
  <w15:commentEx w15:paraId="490EAC46" w15:done="0"/>
  <w15:commentEx w15:paraId="1CD79A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4D501" w16cex:dateUtc="2022-04-28T05:55:00Z"/>
  <w16cex:commentExtensible w16cex:durableId="2613F759" w16cex:dateUtc="2022-04-27T14:09:00Z"/>
  <w16cex:commentExtensible w16cex:durableId="26141C26" w16cex:dateUtc="2022-04-27T16:46:00Z"/>
  <w16cex:commentExtensible w16cex:durableId="26141F34" w16cex:dateUtc="2022-04-27T16:59:00Z"/>
  <w16cex:commentExtensible w16cex:durableId="26142FE6" w16cex:dateUtc="2022-04-27T18:11:00Z"/>
  <w16cex:commentExtensible w16cex:durableId="261430E3" w16cex:dateUtc="2022-04-27T18:15:00Z"/>
  <w16cex:commentExtensible w16cex:durableId="26143A01" w16cex:dateUtc="2022-04-27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4DAE85" w16cid:durableId="2614D501"/>
  <w16cid:commentId w16cid:paraId="60806C68" w16cid:durableId="2613F759"/>
  <w16cid:commentId w16cid:paraId="3FFDA16A" w16cid:durableId="26141C26"/>
  <w16cid:commentId w16cid:paraId="1DAAA64C" w16cid:durableId="26141F34"/>
  <w16cid:commentId w16cid:paraId="5BAA2EAA" w16cid:durableId="26142FE6"/>
  <w16cid:commentId w16cid:paraId="490EAC46" w16cid:durableId="261430E3"/>
  <w16cid:commentId w16cid:paraId="1CD79A18" w16cid:durableId="26143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9A0D" w14:textId="77777777" w:rsidR="00C2257B" w:rsidRDefault="00C2257B" w:rsidP="00031576">
      <w:pPr>
        <w:spacing w:after="0" w:line="240" w:lineRule="auto"/>
      </w:pPr>
      <w:r>
        <w:separator/>
      </w:r>
    </w:p>
  </w:endnote>
  <w:endnote w:type="continuationSeparator" w:id="0">
    <w:p w14:paraId="408D64B0" w14:textId="77777777" w:rsidR="00C2257B" w:rsidRDefault="00C2257B" w:rsidP="0003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91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0A8D4" w14:textId="338F9B22" w:rsidR="008577BF" w:rsidRDefault="008577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04B83" w14:textId="77777777" w:rsidR="008577BF" w:rsidRDefault="00857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DC47" w14:textId="77777777" w:rsidR="00C2257B" w:rsidRDefault="00C2257B" w:rsidP="00031576">
      <w:pPr>
        <w:spacing w:after="0" w:line="240" w:lineRule="auto"/>
      </w:pPr>
      <w:r>
        <w:separator/>
      </w:r>
    </w:p>
  </w:footnote>
  <w:footnote w:type="continuationSeparator" w:id="0">
    <w:p w14:paraId="27B6D1A5" w14:textId="77777777" w:rsidR="00C2257B" w:rsidRDefault="00C2257B" w:rsidP="00031576">
      <w:pPr>
        <w:spacing w:after="0" w:line="240" w:lineRule="auto"/>
      </w:pPr>
      <w:r>
        <w:continuationSeparator/>
      </w:r>
    </w:p>
  </w:footnote>
  <w:footnote w:id="1">
    <w:p w14:paraId="022038AE" w14:textId="7CC124F9" w:rsidR="00031576" w:rsidRPr="008577BF" w:rsidRDefault="00031576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>I thank Prof. Ed Greenstein and Prof. Sammy Cheval for reading and commenting on an earlier draft of this paper.</w:t>
      </w:r>
    </w:p>
  </w:footnote>
  <w:footnote w:id="2">
    <w:p w14:paraId="488560E3" w14:textId="05CBF2EA" w:rsidR="00826964" w:rsidRPr="008577BF" w:rsidRDefault="00826964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>HALOT 476-477. This includes the subsenses: 1. To stop, to bring to and end; 2. TO finish, to complete; 3. To conceal; 4. To perish, to die; 5. To be permanent; 6. To fail; 7. To yearn, to pine.</w:t>
      </w:r>
    </w:p>
  </w:footnote>
  <w:footnote w:id="3">
    <w:p w14:paraId="78C66EAD" w14:textId="4F656191" w:rsidR="00826964" w:rsidRPr="008577BF" w:rsidRDefault="00826964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>For example, in relation to substances, such as water (Gen 21:15), flour (1Kgs 17:14), grass (Isa 15:6)</w:t>
      </w:r>
      <w:r w:rsidR="00E50A8D" w:rsidRPr="008577BF">
        <w:rPr>
          <w:rFonts w:asciiTheme="majorBidi" w:hAnsiTheme="majorBidi" w:cstheme="majorBidi"/>
          <w:lang w:val="en-US"/>
        </w:rPr>
        <w:t>, or in relation to actions, such as speaking (Gen 17:22), blessing (Gen 27:30), eating (Gen 44:3), and more.</w:t>
      </w:r>
    </w:p>
  </w:footnote>
  <w:footnote w:id="4">
    <w:p w14:paraId="3DF94838" w14:textId="586961C4" w:rsidR="00E50A8D" w:rsidRPr="008577BF" w:rsidRDefault="00E50A8D" w:rsidP="00FB74DC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 xml:space="preserve">Such as: </w:t>
      </w:r>
      <w:r w:rsidR="00FB74DC" w:rsidRPr="008577BF">
        <w:rPr>
          <w:rFonts w:asciiTheme="majorBidi" w:hAnsiTheme="majorBidi" w:cstheme="majorBidi"/>
          <w:lang w:val="en-US"/>
        </w:rPr>
        <w:t>“</w:t>
      </w:r>
      <w:r w:rsidR="00FB74DC" w:rsidRPr="008577BF">
        <w:rPr>
          <w:rFonts w:asciiTheme="majorBidi" w:hAnsiTheme="majorBidi" w:cstheme="majorBidi"/>
        </w:rPr>
        <w:t>neither did I make a full end of them</w:t>
      </w:r>
      <w:r w:rsidR="00FB74DC" w:rsidRPr="008577BF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FB74DC" w:rsidRPr="008577BF">
        <w:rPr>
          <w:rFonts w:asciiTheme="majorBidi" w:hAnsiTheme="majorBidi" w:cstheme="majorBidi"/>
          <w:i/>
          <w:iCs/>
          <w:lang w:val="en-US"/>
        </w:rPr>
        <w:t>kalah</w:t>
      </w:r>
      <w:proofErr w:type="spellEnd"/>
      <w:r w:rsidR="00FB74DC" w:rsidRPr="008577BF">
        <w:rPr>
          <w:rFonts w:asciiTheme="majorBidi" w:hAnsiTheme="majorBidi" w:cstheme="majorBidi"/>
          <w:lang w:val="en-US"/>
        </w:rPr>
        <w:t>)</w:t>
      </w:r>
      <w:r w:rsidR="00FB74DC" w:rsidRPr="008577BF">
        <w:rPr>
          <w:rFonts w:asciiTheme="majorBidi" w:hAnsiTheme="majorBidi" w:cstheme="majorBidi"/>
        </w:rPr>
        <w:t xml:space="preserve"> in the wilderness</w:t>
      </w:r>
      <w:r w:rsidR="00FB74DC" w:rsidRPr="008577BF">
        <w:rPr>
          <w:rFonts w:asciiTheme="majorBidi" w:hAnsiTheme="majorBidi" w:cstheme="majorBidi"/>
          <w:lang w:val="en-US"/>
        </w:rPr>
        <w:t>” (</w:t>
      </w:r>
      <w:proofErr w:type="spellStart"/>
      <w:r w:rsidR="00FB74DC" w:rsidRPr="008577BF">
        <w:rPr>
          <w:rFonts w:asciiTheme="majorBidi" w:hAnsiTheme="majorBidi" w:cstheme="majorBidi"/>
          <w:lang w:val="en-US"/>
        </w:rPr>
        <w:t>Ezek</w:t>
      </w:r>
      <w:proofErr w:type="spellEnd"/>
      <w:r w:rsidR="00FB74DC" w:rsidRPr="008577BF">
        <w:rPr>
          <w:rFonts w:asciiTheme="majorBidi" w:hAnsiTheme="majorBidi" w:cstheme="majorBidi"/>
          <w:lang w:val="en-US"/>
        </w:rPr>
        <w:t xml:space="preserve"> 20:17). See also </w:t>
      </w:r>
      <w:proofErr w:type="spellStart"/>
      <w:r w:rsidR="00FB74DC" w:rsidRPr="008577BF">
        <w:rPr>
          <w:rFonts w:asciiTheme="majorBidi" w:hAnsiTheme="majorBidi" w:cstheme="majorBidi"/>
          <w:lang w:val="en-US"/>
        </w:rPr>
        <w:t>Jer</w:t>
      </w:r>
      <w:proofErr w:type="spellEnd"/>
      <w:r w:rsidR="00FB74DC" w:rsidRPr="008577BF">
        <w:rPr>
          <w:rFonts w:asciiTheme="majorBidi" w:hAnsiTheme="majorBidi" w:cstheme="majorBidi"/>
          <w:lang w:val="en-US"/>
        </w:rPr>
        <w:t xml:space="preserve"> 5:10, 18; </w:t>
      </w:r>
      <w:proofErr w:type="spellStart"/>
      <w:r w:rsidR="00FB74DC" w:rsidRPr="008577BF">
        <w:rPr>
          <w:rFonts w:asciiTheme="majorBidi" w:hAnsiTheme="majorBidi" w:cstheme="majorBidi"/>
          <w:lang w:val="en-US"/>
        </w:rPr>
        <w:t>Ezek</w:t>
      </w:r>
      <w:proofErr w:type="spellEnd"/>
      <w:r w:rsidR="00FB74DC" w:rsidRPr="008577BF">
        <w:rPr>
          <w:rFonts w:asciiTheme="majorBidi" w:hAnsiTheme="majorBidi" w:cstheme="majorBidi"/>
          <w:lang w:val="en-US"/>
        </w:rPr>
        <w:t xml:space="preserve"> 11:13, 13:13; Nah 1:8; </w:t>
      </w:r>
      <w:proofErr w:type="spellStart"/>
      <w:r w:rsidR="00FB74DC" w:rsidRPr="008577BF">
        <w:rPr>
          <w:rFonts w:asciiTheme="majorBidi" w:hAnsiTheme="majorBidi" w:cstheme="majorBidi"/>
          <w:lang w:val="en-US"/>
        </w:rPr>
        <w:t>Deut</w:t>
      </w:r>
      <w:proofErr w:type="spellEnd"/>
      <w:r w:rsidR="00FB74DC" w:rsidRPr="008577BF">
        <w:rPr>
          <w:rFonts w:asciiTheme="majorBidi" w:hAnsiTheme="majorBidi" w:cstheme="majorBidi"/>
          <w:lang w:val="en-US"/>
        </w:rPr>
        <w:t xml:space="preserve"> 9:27, 11:16; </w:t>
      </w:r>
      <w:proofErr w:type="spellStart"/>
      <w:r w:rsidR="00FB74DC" w:rsidRPr="008577BF">
        <w:rPr>
          <w:rFonts w:asciiTheme="majorBidi" w:hAnsiTheme="majorBidi" w:cstheme="majorBidi"/>
          <w:lang w:val="en-US"/>
        </w:rPr>
        <w:t>Neh</w:t>
      </w:r>
      <w:proofErr w:type="spellEnd"/>
      <w:r w:rsidR="00FB74DC" w:rsidRPr="008577BF">
        <w:rPr>
          <w:rFonts w:asciiTheme="majorBidi" w:hAnsiTheme="majorBidi" w:cstheme="majorBidi"/>
          <w:lang w:val="en-US"/>
        </w:rPr>
        <w:t xml:space="preserve"> 9:31; 2Chr 12:12.</w:t>
      </w:r>
    </w:p>
  </w:footnote>
  <w:footnote w:id="5">
    <w:p w14:paraId="54818E3B" w14:textId="6E18AF54" w:rsidR="00407895" w:rsidRPr="008577BF" w:rsidRDefault="00407895" w:rsidP="00B228E1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proofErr w:type="spellStart"/>
      <w:r w:rsidRPr="008577BF">
        <w:rPr>
          <w:rFonts w:asciiTheme="majorBidi" w:hAnsiTheme="majorBidi" w:cstheme="majorBidi"/>
          <w:lang w:val="en-US"/>
        </w:rPr>
        <w:t>Fensham’s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 approach adds an additional sense, ‘is preserved.’ See footnote 25.</w:t>
      </w:r>
      <w:r w:rsidR="00721704" w:rsidRPr="008577BF">
        <w:rPr>
          <w:rFonts w:asciiTheme="majorBidi" w:hAnsiTheme="majorBidi" w:cstheme="majorBidi"/>
          <w:lang w:val="en-US"/>
        </w:rPr>
        <w:t xml:space="preserve"> </w:t>
      </w:r>
      <w:r w:rsidR="00721704" w:rsidRPr="008577BF">
        <w:rPr>
          <w:rFonts w:asciiTheme="majorBidi" w:hAnsiTheme="majorBidi" w:cstheme="majorBidi"/>
          <w:rtl/>
          <w:lang w:val="en-US" w:bidi="he"/>
        </w:rPr>
        <w:t xml:space="preserve">Fensham, The Semantic Field of kly in Ugaritic, </w:t>
      </w:r>
      <w:r w:rsidR="00721704" w:rsidRPr="008577BF">
        <w:rPr>
          <w:rFonts w:asciiTheme="majorBidi" w:hAnsiTheme="majorBidi" w:cstheme="majorBidi"/>
          <w:i/>
          <w:iCs/>
          <w:rtl/>
          <w:lang w:val="en-US" w:bidi="he"/>
        </w:rPr>
        <w:t>JNSL</w:t>
      </w:r>
      <w:r w:rsidR="00721704" w:rsidRPr="008577BF">
        <w:rPr>
          <w:rFonts w:asciiTheme="majorBidi" w:hAnsiTheme="majorBidi" w:cstheme="majorBidi"/>
          <w:rtl/>
          <w:lang w:val="en-US" w:bidi="he"/>
        </w:rPr>
        <w:t xml:space="preserve"> 7 (1979) 27-30 </w:t>
      </w:r>
      <w:r w:rsidR="00721704" w:rsidRPr="008577BF">
        <w:rPr>
          <w:rFonts w:asciiTheme="majorBidi" w:hAnsiTheme="majorBidi" w:cstheme="majorBidi"/>
          <w:lang w:val="en-US" w:bidi="he"/>
        </w:rPr>
        <w:t xml:space="preserve">. </w:t>
      </w:r>
      <w:r w:rsidR="00721704" w:rsidRPr="00721704">
        <w:rPr>
          <w:rFonts w:asciiTheme="majorBidi" w:hAnsiTheme="majorBidi" w:cstheme="majorBidi"/>
        </w:rPr>
        <w:t xml:space="preserve">G. del </w:t>
      </w:r>
      <w:proofErr w:type="spellStart"/>
      <w:r w:rsidR="00721704" w:rsidRPr="00721704">
        <w:rPr>
          <w:rFonts w:asciiTheme="majorBidi" w:hAnsiTheme="majorBidi" w:cstheme="majorBidi"/>
        </w:rPr>
        <w:t>Olmo</w:t>
      </w:r>
      <w:proofErr w:type="spellEnd"/>
      <w:r w:rsidR="00E426B2" w:rsidRPr="008577BF">
        <w:rPr>
          <w:rFonts w:asciiTheme="majorBidi" w:hAnsiTheme="majorBidi" w:cstheme="majorBidi"/>
          <w:lang w:val="en-US"/>
        </w:rPr>
        <w:t>,</w:t>
      </w:r>
      <w:r w:rsidR="00721704" w:rsidRPr="00721704">
        <w:rPr>
          <w:rFonts w:asciiTheme="majorBidi" w:hAnsiTheme="majorBidi" w:cstheme="majorBidi"/>
        </w:rPr>
        <w:t xml:space="preserve"> </w:t>
      </w:r>
      <w:proofErr w:type="spellStart"/>
      <w:r w:rsidR="00721704" w:rsidRPr="00721704">
        <w:rPr>
          <w:rFonts w:asciiTheme="majorBidi" w:hAnsiTheme="majorBidi" w:cstheme="majorBidi"/>
        </w:rPr>
        <w:t>Lete</w:t>
      </w:r>
      <w:proofErr w:type="spellEnd"/>
      <w:r w:rsidR="00721704" w:rsidRPr="00721704">
        <w:rPr>
          <w:rFonts w:asciiTheme="majorBidi" w:hAnsiTheme="majorBidi" w:cstheme="majorBidi"/>
        </w:rPr>
        <w:t xml:space="preserve"> and J. </w:t>
      </w:r>
      <w:proofErr w:type="spellStart"/>
      <w:r w:rsidR="00721704" w:rsidRPr="00721704">
        <w:rPr>
          <w:rFonts w:asciiTheme="majorBidi" w:hAnsiTheme="majorBidi" w:cstheme="majorBidi"/>
        </w:rPr>
        <w:t>Sanmartín</w:t>
      </w:r>
      <w:proofErr w:type="spellEnd"/>
      <w:r w:rsidR="00721704" w:rsidRPr="00721704">
        <w:rPr>
          <w:rFonts w:asciiTheme="majorBidi" w:hAnsiTheme="majorBidi" w:cstheme="majorBidi"/>
        </w:rPr>
        <w:t xml:space="preserve">, </w:t>
      </w:r>
      <w:r w:rsidR="00721704" w:rsidRPr="00721704">
        <w:rPr>
          <w:rFonts w:asciiTheme="majorBidi" w:hAnsiTheme="majorBidi" w:cstheme="majorBidi"/>
          <w:i/>
          <w:iCs/>
        </w:rPr>
        <w:t>A Dictionary of the Ugaritic Language in the Alphabetic Tradition</w:t>
      </w:r>
      <w:r w:rsidR="00721704" w:rsidRPr="00721704">
        <w:rPr>
          <w:rFonts w:asciiTheme="majorBidi" w:hAnsiTheme="majorBidi" w:cstheme="majorBidi"/>
        </w:rPr>
        <w:t xml:space="preserve">, 3rd Edition. Translated by W. G. E. Watson, </w:t>
      </w:r>
      <w:proofErr w:type="spellStart"/>
      <w:r w:rsidR="00721704" w:rsidRPr="00721704">
        <w:rPr>
          <w:rFonts w:asciiTheme="majorBidi" w:hAnsiTheme="majorBidi" w:cstheme="majorBidi"/>
        </w:rPr>
        <w:t>HdO</w:t>
      </w:r>
      <w:proofErr w:type="spellEnd"/>
      <w:r w:rsidR="00721704" w:rsidRPr="00721704">
        <w:rPr>
          <w:rFonts w:asciiTheme="majorBidi" w:hAnsiTheme="majorBidi" w:cstheme="majorBidi"/>
        </w:rPr>
        <w:t xml:space="preserve"> 112 (Leiden: Brill, 2015)</w:t>
      </w:r>
      <w:r w:rsidR="00721704" w:rsidRPr="008577BF">
        <w:rPr>
          <w:rFonts w:asciiTheme="majorBidi" w:hAnsiTheme="majorBidi" w:cstheme="majorBidi"/>
          <w:lang w:val="en-US"/>
        </w:rPr>
        <w:t xml:space="preserve">. Also </w:t>
      </w:r>
      <w:proofErr w:type="gramStart"/>
      <w:r w:rsidR="00721704" w:rsidRPr="008577BF">
        <w:rPr>
          <w:rFonts w:asciiTheme="majorBidi" w:hAnsiTheme="majorBidi" w:cstheme="majorBidi"/>
          <w:lang w:val="en-US"/>
        </w:rPr>
        <w:t>compare</w:t>
      </w:r>
      <w:proofErr w:type="gramEnd"/>
      <w:r w:rsidR="00721704" w:rsidRPr="008577BF">
        <w:rPr>
          <w:rFonts w:asciiTheme="majorBidi" w:hAnsiTheme="majorBidi" w:cstheme="majorBidi"/>
          <w:lang w:val="en-US"/>
        </w:rPr>
        <w:t xml:space="preserve"> to the Accadian root </w:t>
      </w:r>
      <w:r w:rsidR="00721704" w:rsidRPr="00721704">
        <w:rPr>
          <w:rFonts w:asciiTheme="majorBidi" w:hAnsiTheme="majorBidi" w:cstheme="majorBidi"/>
          <w:i/>
          <w:iCs/>
          <w:rtl/>
          <w:lang w:val="en-US" w:bidi="he"/>
        </w:rPr>
        <w:t>kalȗ</w:t>
      </w:r>
      <w:r w:rsidR="00721704" w:rsidRPr="008577BF">
        <w:rPr>
          <w:rFonts w:asciiTheme="majorBidi" w:hAnsiTheme="majorBidi" w:cstheme="majorBidi"/>
          <w:lang w:val="en-US" w:bidi="he"/>
        </w:rPr>
        <w:t xml:space="preserve">, akin to the Hebrew root </w:t>
      </w:r>
      <w:r w:rsidR="00721704" w:rsidRPr="008577BF">
        <w:rPr>
          <w:rFonts w:asciiTheme="majorBidi" w:hAnsiTheme="majorBidi" w:cstheme="majorBidi"/>
          <w:i/>
          <w:iCs/>
          <w:lang w:val="en-US" w:bidi="he"/>
        </w:rPr>
        <w:t>kl’</w:t>
      </w:r>
      <w:r w:rsidR="00721704" w:rsidRPr="008577BF">
        <w:rPr>
          <w:rFonts w:asciiTheme="majorBidi" w:hAnsiTheme="majorBidi" w:cstheme="majorBidi"/>
          <w:lang w:val="en-US" w:bidi="he"/>
        </w:rPr>
        <w:t xml:space="preserve">. For a discussion of the relationship between the roots </w:t>
      </w:r>
      <w:bookmarkStart w:id="2" w:name="_Hlk102028079"/>
      <w:r w:rsidR="00721704" w:rsidRPr="00721704">
        <w:rPr>
          <w:rFonts w:asciiTheme="majorBidi" w:hAnsiTheme="majorBidi" w:cstheme="majorBidi"/>
          <w:i/>
          <w:iCs/>
          <w:rtl/>
          <w:lang w:val="en-US" w:bidi="he"/>
        </w:rPr>
        <w:t>kāl</w:t>
      </w:r>
      <w:bookmarkEnd w:id="2"/>
      <w:r w:rsidR="00721704" w:rsidRPr="00721704">
        <w:rPr>
          <w:rFonts w:asciiTheme="majorBidi" w:hAnsiTheme="majorBidi" w:cstheme="majorBidi"/>
          <w:i/>
          <w:iCs/>
          <w:rtl/>
          <w:lang w:val="en-US" w:bidi="he"/>
        </w:rPr>
        <w:t>â</w:t>
      </w:r>
      <w:r w:rsidR="00721704" w:rsidRPr="008577BF">
        <w:rPr>
          <w:rFonts w:asciiTheme="majorBidi" w:hAnsiTheme="majorBidi" w:cstheme="majorBidi"/>
          <w:lang w:val="en-US" w:bidi="he"/>
        </w:rPr>
        <w:t>-</w:t>
      </w:r>
      <w:r w:rsidR="00721704" w:rsidRPr="008577BF">
        <w:rPr>
          <w:rFonts w:asciiTheme="majorBidi" w:hAnsiTheme="majorBidi" w:cstheme="majorBidi"/>
          <w:i/>
          <w:iCs/>
          <w:lang w:val="en-US" w:bidi="he"/>
        </w:rPr>
        <w:t>kl</w:t>
      </w:r>
      <w:proofErr w:type="gramStart"/>
      <w:r w:rsidR="00721704" w:rsidRPr="008577BF">
        <w:rPr>
          <w:rFonts w:asciiTheme="majorBidi" w:hAnsiTheme="majorBidi" w:cstheme="majorBidi"/>
          <w:i/>
          <w:iCs/>
          <w:lang w:val="en-US" w:bidi="he"/>
        </w:rPr>
        <w:t>’</w:t>
      </w:r>
      <w:r w:rsidR="00E426B2" w:rsidRPr="008577BF">
        <w:rPr>
          <w:rFonts w:asciiTheme="majorBidi" w:hAnsiTheme="majorBidi" w:cstheme="majorBidi"/>
          <w:i/>
          <w:iCs/>
          <w:lang w:val="en-US" w:bidi="he"/>
        </w:rPr>
        <w:t>,</w:t>
      </w:r>
      <w:r w:rsidR="00B228E1" w:rsidRPr="00721704">
        <w:rPr>
          <w:rFonts w:asciiTheme="majorBidi" w:hAnsiTheme="majorBidi" w:cstheme="majorBidi"/>
          <w:i/>
          <w:iCs/>
          <w:rtl/>
          <w:lang w:val="en-US" w:bidi="he"/>
        </w:rPr>
        <w:t>kāl</w:t>
      </w:r>
      <w:r w:rsidR="00721704" w:rsidRPr="00721704">
        <w:rPr>
          <w:rFonts w:asciiTheme="majorBidi" w:hAnsiTheme="majorBidi" w:cstheme="majorBidi"/>
          <w:i/>
          <w:iCs/>
          <w:rtl/>
          <w:lang w:val="en-US" w:bidi="he"/>
        </w:rPr>
        <w:t>ā</w:t>
      </w:r>
      <w:proofErr w:type="gramEnd"/>
      <w:r w:rsidR="00721704" w:rsidRPr="00721704">
        <w:rPr>
          <w:rFonts w:asciiTheme="majorBidi" w:hAnsiTheme="majorBidi" w:cstheme="majorBidi"/>
          <w:rtl/>
          <w:lang w:val="en-US" w:bidi="he"/>
        </w:rPr>
        <w:t xml:space="preserve"> </w:t>
      </w:r>
      <w:r w:rsidR="00721704" w:rsidRPr="008577BF">
        <w:rPr>
          <w:rFonts w:asciiTheme="majorBidi" w:hAnsiTheme="majorBidi" w:cstheme="majorBidi"/>
          <w:lang w:val="en-US" w:bidi="he"/>
        </w:rPr>
        <w:t>-</w:t>
      </w:r>
      <w:proofErr w:type="spellStart"/>
      <w:r w:rsidR="00721704" w:rsidRPr="008577BF">
        <w:rPr>
          <w:rFonts w:asciiTheme="majorBidi" w:hAnsiTheme="majorBidi" w:cstheme="majorBidi"/>
          <w:i/>
          <w:iCs/>
          <w:lang w:val="en-US" w:bidi="he"/>
        </w:rPr>
        <w:t>klh</w:t>
      </w:r>
      <w:proofErr w:type="spellEnd"/>
      <w:r w:rsidR="00721704" w:rsidRPr="008577BF">
        <w:rPr>
          <w:rFonts w:asciiTheme="majorBidi" w:hAnsiTheme="majorBidi" w:cstheme="majorBidi"/>
          <w:lang w:val="en-US" w:bidi="he"/>
        </w:rPr>
        <w:t>, see:</w:t>
      </w:r>
      <w:r w:rsidR="00E426B2" w:rsidRPr="008577BF">
        <w:rPr>
          <w:rFonts w:asciiTheme="majorBidi" w:hAnsiTheme="majorBidi" w:cstheme="majorBidi"/>
          <w:lang w:val="en-US" w:bidi="he"/>
        </w:rPr>
        <w:t xml:space="preserve"> </w:t>
      </w:r>
      <w:r w:rsidR="00721704" w:rsidRPr="008577BF">
        <w:rPr>
          <w:rFonts w:asciiTheme="majorBidi" w:hAnsiTheme="majorBidi" w:cstheme="majorBidi"/>
          <w:lang w:val="en-US" w:bidi="he"/>
        </w:rPr>
        <w:t xml:space="preserve">F.J. </w:t>
      </w:r>
      <w:proofErr w:type="spellStart"/>
      <w:r w:rsidR="00721704" w:rsidRPr="008577BF">
        <w:rPr>
          <w:rFonts w:asciiTheme="majorBidi" w:hAnsiTheme="majorBidi" w:cstheme="majorBidi"/>
          <w:lang w:val="en-US" w:bidi="he"/>
        </w:rPr>
        <w:t>Helfmeyer</w:t>
      </w:r>
      <w:proofErr w:type="spellEnd"/>
      <w:r w:rsidR="00721704" w:rsidRPr="008577BF">
        <w:rPr>
          <w:rFonts w:asciiTheme="majorBidi" w:hAnsiTheme="majorBidi" w:cstheme="majorBidi"/>
          <w:lang w:val="en-US" w:bidi="he"/>
        </w:rPr>
        <w:t>, ' כָּ</w:t>
      </w:r>
      <w:proofErr w:type="spellStart"/>
      <w:r w:rsidR="00721704" w:rsidRPr="008577BF">
        <w:rPr>
          <w:rFonts w:asciiTheme="majorBidi" w:hAnsiTheme="majorBidi" w:cstheme="majorBidi"/>
          <w:lang w:val="en-US" w:bidi="he"/>
        </w:rPr>
        <w:t>לָה</w:t>
      </w:r>
      <w:proofErr w:type="spellEnd"/>
      <w:r w:rsidR="00721704" w:rsidRPr="008577BF">
        <w:rPr>
          <w:rFonts w:asciiTheme="majorBidi" w:hAnsiTheme="majorBidi" w:cstheme="majorBidi"/>
          <w:lang w:val="en-US" w:bidi="he"/>
        </w:rPr>
        <w:t xml:space="preserve"> </w:t>
      </w:r>
      <w:proofErr w:type="spellStart"/>
      <w:r w:rsidR="00721704" w:rsidRPr="008577BF">
        <w:rPr>
          <w:rFonts w:asciiTheme="majorBidi" w:hAnsiTheme="majorBidi" w:cstheme="majorBidi"/>
          <w:i/>
          <w:iCs/>
          <w:lang w:val="en-US" w:bidi="he"/>
        </w:rPr>
        <w:t>kālâ</w:t>
      </w:r>
      <w:proofErr w:type="spellEnd"/>
      <w:r w:rsidR="00721704" w:rsidRPr="008577BF">
        <w:rPr>
          <w:rFonts w:asciiTheme="majorBidi" w:hAnsiTheme="majorBidi" w:cstheme="majorBidi"/>
          <w:i/>
          <w:iCs/>
          <w:lang w:val="en-US" w:bidi="he"/>
        </w:rPr>
        <w:t xml:space="preserve"> </w:t>
      </w:r>
      <w:r w:rsidR="00721704" w:rsidRPr="008577BF">
        <w:rPr>
          <w:rFonts w:asciiTheme="majorBidi" w:hAnsiTheme="majorBidi" w:cstheme="majorBidi"/>
          <w:lang w:val="en-US" w:bidi="he"/>
        </w:rPr>
        <w:t xml:space="preserve">', </w:t>
      </w:r>
      <w:r w:rsidR="00721704" w:rsidRPr="008577BF">
        <w:rPr>
          <w:rFonts w:asciiTheme="majorBidi" w:hAnsiTheme="majorBidi" w:cstheme="majorBidi"/>
          <w:i/>
          <w:iCs/>
          <w:lang w:val="en-US" w:bidi="he"/>
        </w:rPr>
        <w:t>TDOT VI</w:t>
      </w:r>
      <w:r w:rsidR="00721704" w:rsidRPr="008577BF">
        <w:rPr>
          <w:rFonts w:asciiTheme="majorBidi" w:hAnsiTheme="majorBidi" w:cstheme="majorBidi"/>
          <w:lang w:val="en-US" w:bidi="he"/>
        </w:rPr>
        <w:t>I, 1995 Michigan, 157- 164.</w:t>
      </w:r>
    </w:p>
  </w:footnote>
  <w:footnote w:id="6">
    <w:p w14:paraId="05B054E6" w14:textId="0DA810B0" w:rsidR="00721704" w:rsidRPr="008577BF" w:rsidRDefault="00721704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="00E426B2" w:rsidRPr="008577BF">
        <w:rPr>
          <w:rFonts w:asciiTheme="majorBidi" w:hAnsiTheme="majorBidi" w:cstheme="majorBidi"/>
          <w:lang w:val="en-US"/>
        </w:rPr>
        <w:t>Above</w:t>
      </w:r>
      <w:r w:rsidR="0085281D" w:rsidRPr="008577BF">
        <w:rPr>
          <w:rFonts w:asciiTheme="majorBidi" w:hAnsiTheme="majorBidi" w:cstheme="majorBidi"/>
          <w:lang w:val="en-US"/>
        </w:rPr>
        <w:t>,</w:t>
      </w:r>
      <w:r w:rsidR="00E426B2" w:rsidRPr="008577BF">
        <w:rPr>
          <w:rFonts w:asciiTheme="majorBidi" w:hAnsiTheme="majorBidi" w:cstheme="majorBidi"/>
          <w:lang w:val="en-US"/>
        </w:rPr>
        <w:t xml:space="preserve"> footnote 1 (HALOT, no. 7).</w:t>
      </w:r>
    </w:p>
  </w:footnote>
  <w:footnote w:id="7">
    <w:p w14:paraId="4BE7AB2F" w14:textId="3C219196" w:rsidR="0085281D" w:rsidRPr="008577BF" w:rsidRDefault="0085281D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>The singular phrase ‘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kalu</w:t>
      </w:r>
      <w:proofErr w:type="spellEnd"/>
      <w:r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hakelayot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’ (Job 19:27) is similarly understood. </w:t>
      </w:r>
      <w:proofErr w:type="spellStart"/>
      <w:r w:rsidRPr="008577BF">
        <w:rPr>
          <w:rFonts w:asciiTheme="majorBidi" w:hAnsiTheme="majorBidi" w:cstheme="majorBidi"/>
          <w:lang w:val="en-US"/>
        </w:rPr>
        <w:t>Helfmeier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klh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, 163; E.L. Greenstein, </w:t>
      </w:r>
      <w:r w:rsidRPr="008577BF">
        <w:rPr>
          <w:rFonts w:asciiTheme="majorBidi" w:hAnsiTheme="majorBidi" w:cstheme="majorBidi"/>
          <w:i/>
          <w:iCs/>
          <w:lang w:val="en-US"/>
        </w:rPr>
        <w:t>Job: A New Translation</w:t>
      </w:r>
      <w:r w:rsidRPr="008577BF">
        <w:rPr>
          <w:rFonts w:asciiTheme="majorBidi" w:hAnsiTheme="majorBidi" w:cstheme="majorBidi"/>
          <w:lang w:val="en-US"/>
        </w:rPr>
        <w:t>, New Haven, 2019, 87.</w:t>
      </w:r>
    </w:p>
  </w:footnote>
  <w:footnote w:id="8">
    <w:p w14:paraId="40C21A84" w14:textId="440B1364" w:rsidR="008263A6" w:rsidRPr="008577BF" w:rsidRDefault="008263A6" w:rsidP="000B7F6D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="000B7F6D" w:rsidRPr="008577BF">
        <w:rPr>
          <w:rFonts w:asciiTheme="majorBidi" w:hAnsiTheme="majorBidi" w:cstheme="majorBidi"/>
          <w:rtl/>
          <w:lang w:bidi="ku"/>
        </w:rPr>
        <w:t xml:space="preserve">M.I. Gruber, </w:t>
      </w:r>
      <w:r w:rsidR="000B7F6D" w:rsidRPr="008577BF">
        <w:rPr>
          <w:rFonts w:asciiTheme="majorBidi" w:hAnsiTheme="majorBidi" w:cstheme="majorBidi"/>
          <w:i/>
          <w:iCs/>
          <w:rtl/>
          <w:lang w:bidi="ku"/>
        </w:rPr>
        <w:t>Aspects of Nonverbal Communication in the Ancient Near East</w:t>
      </w:r>
      <w:r w:rsidR="000B7F6D" w:rsidRPr="008577BF">
        <w:rPr>
          <w:rFonts w:asciiTheme="majorBidi" w:hAnsiTheme="majorBidi" w:cstheme="majorBidi"/>
          <w:rtl/>
          <w:lang w:bidi="ku"/>
        </w:rPr>
        <w:t>, Rome</w:t>
      </w:r>
      <w:r w:rsidR="000B7F6D" w:rsidRPr="008577BF">
        <w:rPr>
          <w:rFonts w:asciiTheme="majorBidi" w:hAnsiTheme="majorBidi" w:cstheme="majorBidi"/>
          <w:lang w:val="en-US" w:bidi="ku"/>
        </w:rPr>
        <w:t xml:space="preserve">, </w:t>
      </w:r>
      <w:r w:rsidR="000B7F6D" w:rsidRPr="008577BF">
        <w:rPr>
          <w:rFonts w:asciiTheme="majorBidi" w:hAnsiTheme="majorBidi" w:cstheme="majorBidi"/>
          <w:rtl/>
          <w:lang w:bidi="ku"/>
        </w:rPr>
        <w:t>1980</w:t>
      </w:r>
      <w:r w:rsidR="000B7F6D" w:rsidRPr="008577BF">
        <w:rPr>
          <w:rFonts w:asciiTheme="majorBidi" w:hAnsiTheme="majorBidi" w:cstheme="majorBidi"/>
          <w:lang w:val="en-US" w:bidi="ku"/>
        </w:rPr>
        <w:t>, 386-400. Quotes are from p. 390.</w:t>
      </w:r>
    </w:p>
  </w:footnote>
  <w:footnote w:id="9">
    <w:p w14:paraId="0D82C2D1" w14:textId="7DB78663" w:rsidR="00310FD6" w:rsidRPr="008577BF" w:rsidRDefault="00310FD6" w:rsidP="00667130">
      <w:pPr>
        <w:pStyle w:val="FootnoteText"/>
        <w:rPr>
          <w:rFonts w:asciiTheme="majorBidi" w:hAnsiTheme="majorBidi" w:cstheme="majorBidi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 xml:space="preserve">See, for example, </w:t>
      </w:r>
      <w:r w:rsidRPr="008577BF">
        <w:rPr>
          <w:rFonts w:asciiTheme="majorBidi" w:hAnsiTheme="majorBidi" w:cstheme="majorBidi"/>
          <w:lang w:val="en-US"/>
        </w:rPr>
        <w:t xml:space="preserve">Levine, Leviticus (JPS) 1989, 185: </w:t>
      </w:r>
      <w:r w:rsidR="00423611">
        <w:rPr>
          <w:rFonts w:asciiTheme="majorBidi" w:hAnsiTheme="majorBidi" w:cstheme="majorBidi"/>
          <w:lang w:val="en-US"/>
        </w:rPr>
        <w:t>“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M</w:t>
      </w:r>
      <w:r w:rsidRPr="008577BF">
        <w:rPr>
          <w:rFonts w:asciiTheme="majorBidi" w:hAnsiTheme="majorBidi" w:cstheme="majorBidi"/>
          <w:i/>
          <w:iCs/>
          <w:lang w:val="en-US"/>
        </w:rPr>
        <w:t>ekhallot</w:t>
      </w:r>
      <w:proofErr w:type="spellEnd"/>
      <w:r w:rsidRPr="008577BF">
        <w:rPr>
          <w:rFonts w:asciiTheme="majorBidi" w:hAnsiTheme="majorBidi" w:cstheme="majorBidi"/>
          <w:i/>
          <w:iCs/>
          <w:lang w:val="en-US"/>
        </w:rPr>
        <w:t xml:space="preserve"> '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einayim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 literally means </w:t>
      </w:r>
      <w:r w:rsidR="00423611">
        <w:rPr>
          <w:rFonts w:asciiTheme="majorBidi" w:hAnsiTheme="majorBidi" w:cstheme="majorBidi"/>
          <w:lang w:val="en-US"/>
        </w:rPr>
        <w:t>‘</w:t>
      </w:r>
      <w:r w:rsidRPr="008577BF">
        <w:rPr>
          <w:rFonts w:asciiTheme="majorBidi" w:hAnsiTheme="majorBidi" w:cstheme="majorBidi"/>
          <w:lang w:val="en-US"/>
        </w:rPr>
        <w:t>which exhaust the eyes</w:t>
      </w:r>
      <w:r w:rsidR="00423611">
        <w:rPr>
          <w:rFonts w:asciiTheme="majorBidi" w:hAnsiTheme="majorBidi" w:cstheme="majorBidi"/>
          <w:lang w:val="en-US"/>
        </w:rPr>
        <w:t>’</w:t>
      </w:r>
      <w:r w:rsidRPr="008577BF">
        <w:rPr>
          <w:rFonts w:asciiTheme="majorBidi" w:hAnsiTheme="majorBidi" w:cstheme="majorBidi"/>
          <w:lang w:val="en-US"/>
        </w:rPr>
        <w:t xml:space="preserve"> so that the eyes can no longer see</w:t>
      </w:r>
      <w:r w:rsidR="00423611">
        <w:rPr>
          <w:rFonts w:asciiTheme="majorBidi" w:hAnsiTheme="majorBidi" w:cstheme="majorBidi"/>
          <w:lang w:val="en-US"/>
        </w:rPr>
        <w:t>”</w:t>
      </w:r>
      <w:r w:rsidRPr="008577BF">
        <w:rPr>
          <w:rFonts w:asciiTheme="majorBidi" w:hAnsiTheme="majorBidi" w:cstheme="majorBidi"/>
          <w:lang w:val="en-US"/>
        </w:rPr>
        <w:t>;</w:t>
      </w:r>
      <w:r w:rsidRPr="008577BF">
        <w:rPr>
          <w:rFonts w:asciiTheme="majorBidi" w:hAnsiTheme="majorBidi" w:cstheme="majorBidi"/>
          <w:lang w:val="en-US"/>
        </w:rPr>
        <w:t xml:space="preserve"> </w:t>
      </w:r>
      <w:r w:rsidRPr="00310FD6">
        <w:rPr>
          <w:rFonts w:asciiTheme="majorBidi" w:hAnsiTheme="majorBidi" w:cstheme="majorBidi"/>
          <w:lang w:val="en-US"/>
        </w:rPr>
        <w:t xml:space="preserve">Klein, </w:t>
      </w:r>
      <w:r w:rsidRPr="00310FD6">
        <w:rPr>
          <w:rFonts w:asciiTheme="majorBidi" w:hAnsiTheme="majorBidi" w:cstheme="majorBidi"/>
          <w:i/>
          <w:iCs/>
          <w:lang w:val="en-US"/>
        </w:rPr>
        <w:t>1Samuel</w:t>
      </w:r>
      <w:r w:rsidRPr="00310FD6">
        <w:rPr>
          <w:rFonts w:asciiTheme="majorBidi" w:hAnsiTheme="majorBidi" w:cstheme="majorBidi"/>
          <w:lang w:val="en-US"/>
        </w:rPr>
        <w:t xml:space="preserve">, (WBC), 2008, 22; Tsumura, </w:t>
      </w:r>
      <w:r w:rsidRPr="00310FD6">
        <w:rPr>
          <w:rFonts w:asciiTheme="majorBidi" w:hAnsiTheme="majorBidi" w:cstheme="majorBidi"/>
          <w:i/>
          <w:iCs/>
          <w:lang w:val="en-US"/>
        </w:rPr>
        <w:t xml:space="preserve">The First Book of Samuel </w:t>
      </w:r>
      <w:r w:rsidRPr="00310FD6">
        <w:rPr>
          <w:rFonts w:asciiTheme="majorBidi" w:hAnsiTheme="majorBidi" w:cstheme="majorBidi"/>
          <w:lang w:val="en-US"/>
        </w:rPr>
        <w:t>(NICOT), 2007, 164 - "</w:t>
      </w:r>
      <w:r w:rsidRPr="008577BF">
        <w:rPr>
          <w:rFonts w:asciiTheme="majorBidi" w:hAnsiTheme="majorBidi" w:cstheme="majorBidi"/>
          <w:lang w:val="en-US"/>
        </w:rPr>
        <w:t>wear</w:t>
      </w:r>
      <w:r w:rsidRPr="00310FD6">
        <w:rPr>
          <w:rFonts w:asciiTheme="majorBidi" w:hAnsiTheme="majorBidi" w:cstheme="majorBidi"/>
          <w:lang w:val="en-US"/>
        </w:rPr>
        <w:t xml:space="preserve"> out his eyes"; </w:t>
      </w:r>
      <w:proofErr w:type="spellStart"/>
      <w:r w:rsidRPr="00310FD6">
        <w:rPr>
          <w:rFonts w:asciiTheme="majorBidi" w:hAnsiTheme="majorBidi" w:cstheme="majorBidi"/>
          <w:lang w:val="en-US"/>
        </w:rPr>
        <w:t>Lundbom</w:t>
      </w:r>
      <w:proofErr w:type="spellEnd"/>
      <w:r w:rsidRPr="00310FD6">
        <w:rPr>
          <w:rFonts w:asciiTheme="majorBidi" w:hAnsiTheme="majorBidi" w:cstheme="majorBidi"/>
          <w:lang w:val="en-US"/>
        </w:rPr>
        <w:t xml:space="preserve">, </w:t>
      </w:r>
      <w:r w:rsidRPr="00310FD6">
        <w:rPr>
          <w:rFonts w:asciiTheme="majorBidi" w:hAnsiTheme="majorBidi" w:cstheme="majorBidi"/>
          <w:i/>
          <w:iCs/>
          <w:lang w:val="en-US"/>
        </w:rPr>
        <w:t>Jeremiah 1-20</w:t>
      </w:r>
      <w:r w:rsidRPr="00310FD6">
        <w:rPr>
          <w:rFonts w:asciiTheme="majorBidi" w:hAnsiTheme="majorBidi" w:cstheme="majorBidi"/>
          <w:lang w:val="en-US"/>
        </w:rPr>
        <w:t xml:space="preserve">, (AB), 1999, 697-698; </w:t>
      </w:r>
      <w:r w:rsidR="00423611">
        <w:rPr>
          <w:rFonts w:asciiTheme="majorBidi" w:hAnsiTheme="majorBidi" w:cstheme="majorBidi"/>
          <w:lang w:val="en-US"/>
        </w:rPr>
        <w:t>‘</w:t>
      </w:r>
      <w:r w:rsidRPr="00310FD6">
        <w:rPr>
          <w:rFonts w:asciiTheme="majorBidi" w:hAnsiTheme="majorBidi" w:cstheme="majorBidi"/>
          <w:lang w:val="en-US"/>
        </w:rPr>
        <w:t>to be languishing</w:t>
      </w:r>
      <w:r w:rsidR="00423611">
        <w:rPr>
          <w:rFonts w:asciiTheme="majorBidi" w:hAnsiTheme="majorBidi" w:cstheme="majorBidi"/>
          <w:lang w:val="en-US"/>
        </w:rPr>
        <w:t>’</w:t>
      </w:r>
      <w:r w:rsidRPr="00310FD6">
        <w:rPr>
          <w:rFonts w:asciiTheme="majorBidi" w:hAnsiTheme="majorBidi" w:cstheme="majorBidi"/>
          <w:lang w:val="en-US"/>
        </w:rPr>
        <w:t>;</w:t>
      </w:r>
      <w:r w:rsidR="000233DF" w:rsidRPr="008577BF">
        <w:rPr>
          <w:rFonts w:asciiTheme="majorBidi" w:hAnsiTheme="majorBidi" w:cstheme="majorBidi"/>
          <w:lang w:val="en-US"/>
        </w:rPr>
        <w:t xml:space="preserve"> </w:t>
      </w:r>
      <w:r w:rsidRPr="00310FD6">
        <w:rPr>
          <w:rFonts w:asciiTheme="majorBidi" w:hAnsiTheme="majorBidi" w:cstheme="majorBidi"/>
          <w:lang w:val="en-US"/>
        </w:rPr>
        <w:t xml:space="preserve">G.H. Wilson, </w:t>
      </w:r>
      <w:r w:rsidRPr="00310FD6">
        <w:rPr>
          <w:rFonts w:asciiTheme="majorBidi" w:hAnsiTheme="majorBidi" w:cstheme="majorBidi"/>
          <w:i/>
          <w:iCs/>
          <w:lang w:val="en-US"/>
        </w:rPr>
        <w:t>Job</w:t>
      </w:r>
      <w:r w:rsidRPr="00310FD6">
        <w:rPr>
          <w:rFonts w:asciiTheme="majorBidi" w:hAnsiTheme="majorBidi" w:cstheme="majorBidi"/>
          <w:lang w:val="en-US"/>
        </w:rPr>
        <w:t>, NIBC, Peabody 2007</w:t>
      </w:r>
      <w:r w:rsidR="000233DF" w:rsidRPr="008577BF">
        <w:rPr>
          <w:rFonts w:asciiTheme="majorBidi" w:hAnsiTheme="majorBidi" w:cstheme="majorBidi"/>
          <w:lang w:val="en-US"/>
        </w:rPr>
        <w:t xml:space="preserve">; Hoffman, </w:t>
      </w:r>
      <w:proofErr w:type="spellStart"/>
      <w:r w:rsidR="000233DF" w:rsidRPr="008577BF">
        <w:rPr>
          <w:rFonts w:asciiTheme="majorBidi" w:hAnsiTheme="majorBidi" w:cstheme="majorBidi"/>
          <w:i/>
          <w:iCs/>
          <w:lang w:val="en-US"/>
        </w:rPr>
        <w:t>Yermiya</w:t>
      </w:r>
      <w:proofErr w:type="spellEnd"/>
      <w:r w:rsidR="000233DF" w:rsidRPr="008577BF">
        <w:rPr>
          <w:rFonts w:asciiTheme="majorBidi" w:hAnsiTheme="majorBidi" w:cstheme="majorBidi"/>
          <w:i/>
          <w:iCs/>
          <w:lang w:val="en-US"/>
        </w:rPr>
        <w:t xml:space="preserve"> 1-25</w:t>
      </w:r>
      <w:r w:rsidR="000233DF" w:rsidRPr="008577BF">
        <w:rPr>
          <w:rFonts w:asciiTheme="majorBidi" w:hAnsiTheme="majorBidi" w:cstheme="majorBidi"/>
          <w:lang w:val="en-US"/>
        </w:rPr>
        <w:t xml:space="preserve"> [Hebrew] (</w:t>
      </w:r>
      <w:r w:rsidR="000233DF" w:rsidRPr="008577BF">
        <w:rPr>
          <w:rFonts w:asciiTheme="majorBidi" w:hAnsiTheme="majorBidi" w:cstheme="majorBidi"/>
          <w:i/>
          <w:iCs/>
          <w:lang w:val="en-US"/>
        </w:rPr>
        <w:t xml:space="preserve">Miqra </w:t>
      </w:r>
      <w:proofErr w:type="spellStart"/>
      <w:r w:rsidR="000233DF" w:rsidRPr="008577BF">
        <w:rPr>
          <w:rFonts w:asciiTheme="majorBidi" w:hAnsiTheme="majorBidi" w:cstheme="majorBidi"/>
          <w:i/>
          <w:iCs/>
          <w:lang w:val="en-US"/>
        </w:rPr>
        <w:t>leYisrael</w:t>
      </w:r>
      <w:proofErr w:type="spellEnd"/>
      <w:r w:rsidR="000233DF" w:rsidRPr="008577BF">
        <w:rPr>
          <w:rFonts w:asciiTheme="majorBidi" w:hAnsiTheme="majorBidi" w:cstheme="majorBidi"/>
          <w:lang w:val="en-US"/>
        </w:rPr>
        <w:t xml:space="preserve">), 2001, 358: </w:t>
      </w:r>
      <w:r w:rsidR="00423611">
        <w:rPr>
          <w:rFonts w:asciiTheme="majorBidi" w:hAnsiTheme="majorBidi" w:cstheme="majorBidi"/>
          <w:lang w:val="en-US"/>
        </w:rPr>
        <w:t>‘</w:t>
      </w:r>
      <w:r w:rsidR="000233DF" w:rsidRPr="008577BF">
        <w:rPr>
          <w:rFonts w:asciiTheme="majorBidi" w:hAnsiTheme="majorBidi" w:cstheme="majorBidi"/>
          <w:lang w:val="en-US"/>
        </w:rPr>
        <w:t>Waiting without hope, as if the eyes are finished from futile hope</w:t>
      </w:r>
      <w:r w:rsidR="00423611">
        <w:rPr>
          <w:rFonts w:asciiTheme="majorBidi" w:hAnsiTheme="majorBidi" w:cstheme="majorBidi"/>
          <w:lang w:val="en-US"/>
        </w:rPr>
        <w:t>’</w:t>
      </w:r>
      <w:r w:rsidR="000233DF" w:rsidRPr="008577BF">
        <w:rPr>
          <w:rFonts w:asciiTheme="majorBidi" w:hAnsiTheme="majorBidi" w:cstheme="majorBidi"/>
          <w:lang w:val="en-US"/>
        </w:rPr>
        <w:t xml:space="preserve"> Klein, </w:t>
      </w:r>
      <w:proofErr w:type="spellStart"/>
      <w:r w:rsidR="000233DF" w:rsidRPr="008577BF">
        <w:rPr>
          <w:rFonts w:asciiTheme="majorBidi" w:hAnsiTheme="majorBidi" w:cstheme="majorBidi"/>
          <w:i/>
          <w:iCs/>
          <w:lang w:val="en-US"/>
        </w:rPr>
        <w:t>Eikhah</w:t>
      </w:r>
      <w:proofErr w:type="spellEnd"/>
      <w:r w:rsidR="000233DF" w:rsidRPr="008577BF">
        <w:rPr>
          <w:rFonts w:asciiTheme="majorBidi" w:hAnsiTheme="majorBidi" w:cstheme="majorBidi"/>
          <w:lang w:val="en-US"/>
        </w:rPr>
        <w:t xml:space="preserve"> [Hebrew] (</w:t>
      </w:r>
      <w:r w:rsidR="000233DF" w:rsidRPr="008577BF">
        <w:rPr>
          <w:rFonts w:asciiTheme="majorBidi" w:hAnsiTheme="majorBidi" w:cstheme="majorBidi"/>
          <w:i/>
          <w:iCs/>
          <w:lang w:val="en-US"/>
        </w:rPr>
        <w:t xml:space="preserve">Miqra </w:t>
      </w:r>
      <w:proofErr w:type="spellStart"/>
      <w:r w:rsidR="000233DF" w:rsidRPr="008577BF">
        <w:rPr>
          <w:rFonts w:asciiTheme="majorBidi" w:hAnsiTheme="majorBidi" w:cstheme="majorBidi"/>
          <w:i/>
          <w:iCs/>
          <w:lang w:val="en-US"/>
        </w:rPr>
        <w:t>leYisrael</w:t>
      </w:r>
      <w:proofErr w:type="spellEnd"/>
      <w:r w:rsidR="000233DF" w:rsidRPr="008577BF">
        <w:rPr>
          <w:rFonts w:asciiTheme="majorBidi" w:hAnsiTheme="majorBidi" w:cstheme="majorBidi"/>
          <w:lang w:val="en-US"/>
        </w:rPr>
        <w:t xml:space="preserve">), 244: </w:t>
      </w:r>
      <w:r w:rsidR="00423611">
        <w:rPr>
          <w:rFonts w:asciiTheme="majorBidi" w:hAnsiTheme="majorBidi" w:cstheme="majorBidi"/>
          <w:lang w:val="en-US"/>
        </w:rPr>
        <w:t>‘</w:t>
      </w:r>
      <w:r w:rsidR="000233DF" w:rsidRPr="008577BF">
        <w:rPr>
          <w:rFonts w:asciiTheme="majorBidi" w:hAnsiTheme="majorBidi" w:cstheme="majorBidi"/>
          <w:lang w:val="en-US"/>
        </w:rPr>
        <w:t>Our eyes have been weakened from yearning.</w:t>
      </w:r>
      <w:r w:rsidR="00423611">
        <w:rPr>
          <w:rFonts w:asciiTheme="majorBidi" w:hAnsiTheme="majorBidi" w:cstheme="majorBidi"/>
          <w:lang w:val="en-US"/>
        </w:rPr>
        <w:t>’</w:t>
      </w:r>
      <w:r w:rsidR="000233DF" w:rsidRPr="008577BF">
        <w:rPr>
          <w:rFonts w:asciiTheme="majorBidi" w:hAnsiTheme="majorBidi" w:cstheme="majorBidi"/>
          <w:lang w:val="en-US"/>
        </w:rPr>
        <w:t xml:space="preserve"> HALOT 477: </w:t>
      </w:r>
      <w:r w:rsidR="00423611">
        <w:rPr>
          <w:rFonts w:asciiTheme="majorBidi" w:hAnsiTheme="majorBidi" w:cstheme="majorBidi"/>
          <w:lang w:val="en-US"/>
        </w:rPr>
        <w:t>‘</w:t>
      </w:r>
      <w:r w:rsidRPr="00310FD6">
        <w:rPr>
          <w:rFonts w:asciiTheme="majorBidi" w:hAnsiTheme="majorBidi" w:cstheme="majorBidi"/>
          <w:lang w:val="en-US"/>
        </w:rPr>
        <w:t>to finish &gt; to consume... to c</w:t>
      </w:r>
      <w:r w:rsidR="000233DF" w:rsidRPr="008577BF">
        <w:rPr>
          <w:rFonts w:asciiTheme="majorBidi" w:hAnsiTheme="majorBidi" w:cstheme="majorBidi"/>
          <w:lang w:val="en-US"/>
        </w:rPr>
        <w:t>a</w:t>
      </w:r>
      <w:r w:rsidRPr="00310FD6">
        <w:rPr>
          <w:rFonts w:asciiTheme="majorBidi" w:hAnsiTheme="majorBidi" w:cstheme="majorBidi"/>
          <w:lang w:val="en-US"/>
        </w:rPr>
        <w:t xml:space="preserve">use to fail (the eyes) </w:t>
      </w:r>
      <w:proofErr w:type="spellStart"/>
      <w:r w:rsidRPr="00310FD6">
        <w:rPr>
          <w:rFonts w:asciiTheme="majorBidi" w:hAnsiTheme="majorBidi" w:cstheme="majorBidi"/>
          <w:lang w:val="en-US"/>
        </w:rPr>
        <w:t>Lv</w:t>
      </w:r>
      <w:proofErr w:type="spellEnd"/>
      <w:r w:rsidRPr="00310FD6">
        <w:rPr>
          <w:rFonts w:asciiTheme="majorBidi" w:hAnsiTheme="majorBidi" w:cstheme="majorBidi"/>
          <w:lang w:val="en-US"/>
        </w:rPr>
        <w:t xml:space="preserve"> 26, 16; 1S 2, 33; </w:t>
      </w:r>
      <w:proofErr w:type="spellStart"/>
      <w:r w:rsidRPr="00310FD6">
        <w:rPr>
          <w:rFonts w:asciiTheme="majorBidi" w:hAnsiTheme="majorBidi" w:cstheme="majorBidi"/>
          <w:lang w:val="en-US"/>
        </w:rPr>
        <w:t>Jb</w:t>
      </w:r>
      <w:proofErr w:type="spellEnd"/>
      <w:r w:rsidRPr="00310FD6">
        <w:rPr>
          <w:rFonts w:asciiTheme="majorBidi" w:hAnsiTheme="majorBidi" w:cstheme="majorBidi"/>
          <w:lang w:val="en-US"/>
        </w:rPr>
        <w:t xml:space="preserve"> 31,16</w:t>
      </w:r>
      <w:r w:rsidR="000233DF" w:rsidRPr="008577BF">
        <w:rPr>
          <w:rFonts w:asciiTheme="majorBidi" w:hAnsiTheme="majorBidi" w:cstheme="majorBidi"/>
          <w:lang w:val="en-US"/>
        </w:rPr>
        <w:t>.</w:t>
      </w:r>
      <w:r w:rsidR="00423611">
        <w:rPr>
          <w:rFonts w:asciiTheme="majorBidi" w:hAnsiTheme="majorBidi" w:cstheme="majorBidi"/>
          <w:lang w:val="en-US"/>
        </w:rPr>
        <w:t>’</w:t>
      </w:r>
    </w:p>
  </w:footnote>
  <w:footnote w:id="10">
    <w:p w14:paraId="5CC1118D" w14:textId="4B8229C3" w:rsidR="00667130" w:rsidRPr="008577BF" w:rsidRDefault="00667130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 xml:space="preserve">See for example the interpretation as opposed to the translation: </w:t>
      </w:r>
      <w:r w:rsidR="00423611">
        <w:rPr>
          <w:rFonts w:asciiTheme="majorBidi" w:hAnsiTheme="majorBidi" w:cstheme="majorBidi"/>
          <w:lang w:val="en-US"/>
        </w:rPr>
        <w:t>‘</w:t>
      </w:r>
      <w:r w:rsidRPr="008577BF">
        <w:rPr>
          <w:rFonts w:asciiTheme="majorBidi" w:hAnsiTheme="majorBidi" w:cstheme="majorBidi"/>
          <w:lang w:val="en-US"/>
        </w:rPr>
        <w:t>…daughter Jerusalem’s eyes no longer function because of her many tears,</w:t>
      </w:r>
      <w:r w:rsidR="00423611">
        <w:rPr>
          <w:rFonts w:asciiTheme="majorBidi" w:hAnsiTheme="majorBidi" w:cstheme="majorBidi"/>
          <w:lang w:val="en-US"/>
        </w:rPr>
        <w:t>’</w:t>
      </w:r>
      <w:r w:rsidRPr="008577BF">
        <w:rPr>
          <w:rFonts w:asciiTheme="majorBidi" w:hAnsiTheme="majorBidi" w:cstheme="majorBidi"/>
          <w:lang w:val="en-US"/>
        </w:rPr>
        <w:t xml:space="preserve"> which </w:t>
      </w:r>
      <w:proofErr w:type="spellStart"/>
      <w:r w:rsidRPr="008577BF">
        <w:rPr>
          <w:rFonts w:asciiTheme="majorBidi" w:hAnsiTheme="majorBidi" w:cstheme="majorBidi"/>
          <w:lang w:val="en-US"/>
        </w:rPr>
        <w:t>Renkema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 translates as </w:t>
      </w:r>
      <w:r w:rsidR="00423611">
        <w:rPr>
          <w:rFonts w:asciiTheme="majorBidi" w:hAnsiTheme="majorBidi" w:cstheme="majorBidi"/>
          <w:lang w:val="en-US"/>
        </w:rPr>
        <w:t>‘</w:t>
      </w:r>
      <w:r w:rsidRPr="008577BF">
        <w:rPr>
          <w:rFonts w:asciiTheme="majorBidi" w:hAnsiTheme="majorBidi" w:cstheme="majorBidi"/>
          <w:lang w:val="en-US"/>
        </w:rPr>
        <w:t>blinded with tears.</w:t>
      </w:r>
      <w:r w:rsidR="00423611">
        <w:rPr>
          <w:rFonts w:asciiTheme="majorBidi" w:hAnsiTheme="majorBidi" w:cstheme="majorBidi"/>
          <w:lang w:val="en-US"/>
        </w:rPr>
        <w:t>’</w:t>
      </w:r>
      <w:r w:rsidRPr="008577B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8577BF">
        <w:rPr>
          <w:rFonts w:asciiTheme="majorBidi" w:hAnsiTheme="majorBidi" w:cstheme="majorBidi"/>
          <w:lang w:val="en-US"/>
        </w:rPr>
        <w:t>Renkema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, </w:t>
      </w:r>
      <w:r w:rsidRPr="008577BF">
        <w:rPr>
          <w:rFonts w:asciiTheme="majorBidi" w:hAnsiTheme="majorBidi" w:cstheme="majorBidi"/>
          <w:i/>
          <w:iCs/>
          <w:lang w:val="en-US"/>
        </w:rPr>
        <w:t>Lamentations</w:t>
      </w:r>
      <w:r w:rsidRPr="008577BF">
        <w:rPr>
          <w:rFonts w:asciiTheme="majorBidi" w:hAnsiTheme="majorBidi" w:cstheme="majorBidi"/>
          <w:lang w:val="en-US"/>
        </w:rPr>
        <w:t>, 1998, 268-269.</w:t>
      </w:r>
    </w:p>
  </w:footnote>
  <w:footnote w:id="11">
    <w:p w14:paraId="51E05F26" w14:textId="00685E58" w:rsidR="00F0469C" w:rsidRPr="008577BF" w:rsidRDefault="00F0469C" w:rsidP="0060378E">
      <w:pPr>
        <w:pStyle w:val="FootnoteText"/>
        <w:rPr>
          <w:rFonts w:asciiTheme="majorBidi" w:hAnsiTheme="majorBidi" w:cstheme="majorBidi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>Treating the eye as a source of tears is based on the pair (</w:t>
      </w:r>
      <w:r w:rsidRPr="008577BF">
        <w:rPr>
          <w:rFonts w:asciiTheme="majorBidi" w:hAnsiTheme="majorBidi" w:cstheme="majorBidi"/>
          <w:i/>
          <w:iCs/>
          <w:lang w:val="en-US"/>
        </w:rPr>
        <w:t>m</w:t>
      </w:r>
      <w:r w:rsidRPr="008577BF">
        <w:rPr>
          <w:rFonts w:asciiTheme="majorBidi" w:hAnsiTheme="majorBidi" w:cstheme="majorBidi"/>
          <w:lang w:val="en-US"/>
        </w:rPr>
        <w:t>)’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ayan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 – (</w:t>
      </w:r>
      <w:r w:rsidRPr="008577BF">
        <w:rPr>
          <w:rFonts w:asciiTheme="majorBidi" w:hAnsiTheme="majorBidi" w:cstheme="majorBidi"/>
          <w:i/>
          <w:iCs/>
          <w:lang w:val="en-US"/>
        </w:rPr>
        <w:t>ma</w:t>
      </w:r>
      <w:r w:rsidRPr="008577BF">
        <w:rPr>
          <w:rFonts w:asciiTheme="majorBidi" w:hAnsiTheme="majorBidi" w:cstheme="majorBidi"/>
          <w:lang w:val="en-US"/>
        </w:rPr>
        <w:t>)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kor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 [spring/eye; source], common in the Bible and Ugaritic literature. For example: </w:t>
      </w:r>
      <w:r w:rsidR="00423611">
        <w:rPr>
          <w:rFonts w:asciiTheme="majorBidi" w:hAnsiTheme="majorBidi" w:cstheme="majorBidi"/>
          <w:lang w:val="en-US"/>
        </w:rPr>
        <w:t>‘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veyevosh</w:t>
      </w:r>
      <w:proofErr w:type="spellEnd"/>
      <w:r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meqoro</w:t>
      </w:r>
      <w:proofErr w:type="spellEnd"/>
      <w:r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veyekherav</w:t>
      </w:r>
      <w:proofErr w:type="spellEnd"/>
      <w:r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maʿyano</w:t>
      </w:r>
      <w:proofErr w:type="spellEnd"/>
      <w:r w:rsidR="00423611">
        <w:rPr>
          <w:rFonts w:asciiTheme="majorBidi" w:hAnsiTheme="majorBidi" w:cstheme="majorBidi"/>
          <w:lang w:val="en-US"/>
        </w:rPr>
        <w:t>’</w:t>
      </w:r>
      <w:r w:rsidRPr="008577BF">
        <w:rPr>
          <w:rFonts w:asciiTheme="majorBidi" w:hAnsiTheme="majorBidi" w:cstheme="majorBidi"/>
          <w:lang w:val="en-US"/>
        </w:rPr>
        <w:t xml:space="preserve"> [</w:t>
      </w:r>
      <w:r w:rsidR="00943989" w:rsidRPr="008577BF">
        <w:rPr>
          <w:rFonts w:asciiTheme="majorBidi" w:hAnsiTheme="majorBidi" w:cstheme="majorBidi"/>
        </w:rPr>
        <w:t>his spring will fail and his well dry up</w:t>
      </w:r>
      <w:r w:rsidR="00943989" w:rsidRPr="008577BF">
        <w:rPr>
          <w:rFonts w:asciiTheme="majorBidi" w:hAnsiTheme="majorBidi" w:cstheme="majorBidi"/>
          <w:lang w:val="en-US"/>
        </w:rPr>
        <w:t xml:space="preserve">] (Hos 13:15), </w:t>
      </w:r>
      <w:r w:rsidR="00423611">
        <w:rPr>
          <w:rFonts w:asciiTheme="majorBidi" w:hAnsiTheme="majorBidi" w:cstheme="majorBidi"/>
          <w:lang w:val="en-US"/>
        </w:rPr>
        <w:t>‘</w:t>
      </w:r>
      <w:proofErr w:type="spellStart"/>
      <w:r w:rsidR="00943989" w:rsidRPr="008577BF">
        <w:rPr>
          <w:rFonts w:asciiTheme="majorBidi" w:hAnsiTheme="majorBidi" w:cstheme="majorBidi"/>
          <w:i/>
          <w:iCs/>
          <w:lang w:val="en-US"/>
        </w:rPr>
        <w:t>maʿyan</w:t>
      </w:r>
      <w:proofErr w:type="spellEnd"/>
      <w:r w:rsidR="00943989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943989" w:rsidRPr="008577BF">
        <w:rPr>
          <w:rFonts w:asciiTheme="majorBidi" w:hAnsiTheme="majorBidi" w:cstheme="majorBidi"/>
          <w:i/>
          <w:iCs/>
          <w:lang w:val="en-US"/>
        </w:rPr>
        <w:t>nirpas</w:t>
      </w:r>
      <w:proofErr w:type="spellEnd"/>
      <w:r w:rsidR="00943989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943989" w:rsidRPr="008577BF">
        <w:rPr>
          <w:rFonts w:asciiTheme="majorBidi" w:hAnsiTheme="majorBidi" w:cstheme="majorBidi"/>
          <w:i/>
          <w:iCs/>
          <w:lang w:val="en-US"/>
        </w:rPr>
        <w:t>umaqor</w:t>
      </w:r>
      <w:proofErr w:type="spellEnd"/>
      <w:r w:rsidR="00943989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943989" w:rsidRPr="008577BF">
        <w:rPr>
          <w:rFonts w:asciiTheme="majorBidi" w:hAnsiTheme="majorBidi" w:cstheme="majorBidi"/>
          <w:i/>
          <w:iCs/>
          <w:lang w:val="en-US"/>
        </w:rPr>
        <w:t>mashekhat</w:t>
      </w:r>
      <w:proofErr w:type="spellEnd"/>
      <w:r w:rsidR="00423611">
        <w:rPr>
          <w:rFonts w:asciiTheme="majorBidi" w:hAnsiTheme="majorBidi" w:cstheme="majorBidi"/>
          <w:lang w:val="en-US"/>
        </w:rPr>
        <w:t>’</w:t>
      </w:r>
      <w:r w:rsidR="00943989" w:rsidRPr="008577BF">
        <w:rPr>
          <w:rFonts w:asciiTheme="majorBidi" w:hAnsiTheme="majorBidi" w:cstheme="majorBidi"/>
          <w:lang w:val="en-US"/>
        </w:rPr>
        <w:t xml:space="preserve"> [</w:t>
      </w:r>
      <w:r w:rsidR="00943989" w:rsidRPr="008577BF">
        <w:rPr>
          <w:rFonts w:asciiTheme="majorBidi" w:hAnsiTheme="majorBidi" w:cstheme="majorBidi"/>
        </w:rPr>
        <w:t>a muddied spring or a polluted well</w:t>
      </w:r>
      <w:r w:rsidR="00943989" w:rsidRPr="008577BF">
        <w:rPr>
          <w:rFonts w:asciiTheme="majorBidi" w:hAnsiTheme="majorBidi" w:cstheme="majorBidi"/>
          <w:lang w:val="en-US"/>
        </w:rPr>
        <w:t xml:space="preserve">] (Prov 25:26), </w:t>
      </w:r>
      <w:r w:rsidR="0060378E" w:rsidRPr="008577BF">
        <w:rPr>
          <w:rFonts w:asciiTheme="majorBidi" w:hAnsiTheme="majorBidi" w:cstheme="majorBidi"/>
          <w:rtl/>
          <w:lang w:val="en-US" w:bidi="he"/>
        </w:rPr>
        <w:t>CTA 12 [75] II: 60-61</w:t>
      </w:r>
      <w:r w:rsidR="0060378E" w:rsidRPr="008577BF">
        <w:rPr>
          <w:rFonts w:asciiTheme="majorBidi" w:hAnsiTheme="majorBidi" w:cstheme="majorBidi"/>
          <w:lang w:val="en-US" w:bidi="he"/>
        </w:rPr>
        <w:t xml:space="preserve">. See </w:t>
      </w:r>
      <w:r w:rsidR="0060378E" w:rsidRPr="008577BF">
        <w:rPr>
          <w:rFonts w:asciiTheme="majorBidi" w:hAnsiTheme="majorBidi" w:cstheme="majorBidi"/>
          <w:rtl/>
          <w:lang w:val="en-US" w:bidi="ar-SA"/>
        </w:rPr>
        <w:t xml:space="preserve">Y. Avishur, </w:t>
      </w:r>
      <w:r w:rsidR="0060378E" w:rsidRPr="008577BF">
        <w:rPr>
          <w:rFonts w:asciiTheme="majorBidi" w:hAnsiTheme="majorBidi" w:cstheme="majorBidi"/>
          <w:i/>
          <w:iCs/>
          <w:rtl/>
          <w:lang w:val="en-US" w:bidi="ar-SA"/>
        </w:rPr>
        <w:t>Stylistic Studies of Word-Pairs in Biblical and Ancient Semitic Literatures</w:t>
      </w:r>
      <w:r w:rsidR="0060378E" w:rsidRPr="008577BF">
        <w:rPr>
          <w:rFonts w:asciiTheme="majorBidi" w:hAnsiTheme="majorBidi" w:cstheme="majorBidi"/>
          <w:rtl/>
          <w:lang w:val="en-US" w:bidi="ar-SA"/>
        </w:rPr>
        <w:t xml:space="preserve">, Neukirchen-Vluyn (AOAT 210) 1984, 385, </w:t>
      </w:r>
      <w:proofErr w:type="gramStart"/>
      <w:r w:rsidR="0060378E" w:rsidRPr="008577BF">
        <w:rPr>
          <w:rFonts w:asciiTheme="majorBidi" w:hAnsiTheme="majorBidi" w:cstheme="majorBidi"/>
          <w:rtl/>
          <w:lang w:val="en-US" w:bidi="ar-SA"/>
        </w:rPr>
        <w:t>703.</w:t>
      </w:r>
      <w:r w:rsidR="0060378E" w:rsidRPr="008577BF">
        <w:rPr>
          <w:rFonts w:asciiTheme="majorBidi" w:hAnsiTheme="majorBidi" w:cstheme="majorBidi"/>
          <w:lang w:val="en-US" w:bidi="ar-SA"/>
        </w:rPr>
        <w:t>.</w:t>
      </w:r>
      <w:proofErr w:type="gramEnd"/>
    </w:p>
  </w:footnote>
  <w:footnote w:id="12">
    <w:p w14:paraId="02776364" w14:textId="3186EC56" w:rsidR="0060378E" w:rsidRPr="008577BF" w:rsidRDefault="0060378E" w:rsidP="002C21B0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>The request formula ‘</w:t>
      </w:r>
      <w:r w:rsidRPr="008577BF">
        <w:rPr>
          <w:rFonts w:asciiTheme="majorBidi" w:hAnsiTheme="majorBidi" w:cstheme="majorBidi"/>
          <w:i/>
          <w:iCs/>
          <w:lang w:val="en-US"/>
        </w:rPr>
        <w:t xml:space="preserve">mi </w:t>
      </w:r>
      <w:proofErr w:type="spellStart"/>
      <w:r w:rsidRPr="008577BF">
        <w:rPr>
          <w:rFonts w:asciiTheme="majorBidi" w:hAnsiTheme="majorBidi" w:cstheme="majorBidi"/>
          <w:i/>
          <w:iCs/>
          <w:lang w:val="en-US"/>
        </w:rPr>
        <w:t>yiten</w:t>
      </w:r>
      <w:proofErr w:type="spellEnd"/>
      <w:r w:rsidRPr="008577BF">
        <w:rPr>
          <w:rFonts w:asciiTheme="majorBidi" w:hAnsiTheme="majorBidi" w:cstheme="majorBidi"/>
          <w:lang w:val="en-US"/>
        </w:rPr>
        <w:t>’ always appears as opposition to reality (</w:t>
      </w:r>
      <w:proofErr w:type="spellStart"/>
      <w:r w:rsidRPr="008577BF">
        <w:rPr>
          <w:rFonts w:asciiTheme="majorBidi" w:hAnsiTheme="majorBidi" w:cstheme="majorBidi"/>
          <w:lang w:val="en-US"/>
        </w:rPr>
        <w:t>Lundbom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, </w:t>
      </w:r>
      <w:r w:rsidRPr="008577BF">
        <w:rPr>
          <w:rFonts w:asciiTheme="majorBidi" w:hAnsiTheme="majorBidi" w:cstheme="majorBidi"/>
          <w:i/>
          <w:iCs/>
          <w:lang w:val="en-US"/>
        </w:rPr>
        <w:t>Jeremiah 1</w:t>
      </w:r>
      <w:r w:rsidRPr="008577BF">
        <w:rPr>
          <w:rFonts w:asciiTheme="majorBidi" w:hAnsiTheme="majorBidi" w:cstheme="majorBidi"/>
          <w:lang w:val="en-US"/>
        </w:rPr>
        <w:t xml:space="preserve">, 537). Here it refers only to the metaphor of water </w:t>
      </w:r>
      <w:r w:rsidR="002C21B0" w:rsidRPr="008577BF">
        <w:rPr>
          <w:rFonts w:asciiTheme="majorBidi" w:hAnsiTheme="majorBidi" w:cstheme="majorBidi"/>
          <w:lang w:val="en-US"/>
        </w:rPr>
        <w:t>–</w:t>
      </w:r>
      <w:r w:rsidRPr="008577BF">
        <w:rPr>
          <w:rFonts w:asciiTheme="majorBidi" w:hAnsiTheme="majorBidi" w:cstheme="majorBidi"/>
          <w:lang w:val="en-US"/>
        </w:rPr>
        <w:t xml:space="preserve"> </w:t>
      </w:r>
      <w:r w:rsidR="002C21B0" w:rsidRPr="008577BF">
        <w:rPr>
          <w:rFonts w:asciiTheme="majorBidi" w:hAnsiTheme="majorBidi" w:cstheme="majorBidi"/>
          <w:lang w:val="en-US"/>
        </w:rPr>
        <w:t>‘</w:t>
      </w:r>
      <w:r w:rsidR="002C21B0" w:rsidRPr="008577BF">
        <w:rPr>
          <w:rFonts w:asciiTheme="majorBidi" w:hAnsiTheme="majorBidi" w:cstheme="majorBidi"/>
        </w:rPr>
        <w:t>my head were a spring of water and my eyes a fountain of tears</w:t>
      </w:r>
      <w:r w:rsidR="002C21B0" w:rsidRPr="008577BF">
        <w:rPr>
          <w:rFonts w:asciiTheme="majorBidi" w:hAnsiTheme="majorBidi" w:cstheme="majorBidi"/>
          <w:lang w:val="en-US"/>
        </w:rPr>
        <w:t xml:space="preserve">,’ and not to the rest of Jeremiah’s words as in Holliday’s approach, </w:t>
      </w:r>
      <w:r w:rsidR="002C21B0" w:rsidRPr="008577BF">
        <w:rPr>
          <w:rFonts w:asciiTheme="majorBidi" w:hAnsiTheme="majorBidi" w:cstheme="majorBidi"/>
          <w:i/>
          <w:iCs/>
          <w:lang w:val="en-US"/>
        </w:rPr>
        <w:t>Jeremiah 1</w:t>
      </w:r>
      <w:r w:rsidR="002C21B0" w:rsidRPr="008577BF">
        <w:rPr>
          <w:rFonts w:asciiTheme="majorBidi" w:hAnsiTheme="majorBidi" w:cstheme="majorBidi"/>
          <w:lang w:val="en-US"/>
        </w:rPr>
        <w:t xml:space="preserve">, 249. See Marili, </w:t>
      </w:r>
      <w:proofErr w:type="spellStart"/>
      <w:r w:rsidR="002C21B0" w:rsidRPr="008577BF">
        <w:rPr>
          <w:rFonts w:asciiTheme="majorBidi" w:hAnsiTheme="majorBidi" w:cstheme="majorBidi"/>
          <w:i/>
          <w:iCs/>
          <w:lang w:val="en-US"/>
        </w:rPr>
        <w:t>Guf</w:t>
      </w:r>
      <w:proofErr w:type="spellEnd"/>
      <w:r w:rsidR="002C21B0" w:rsidRPr="008577BF">
        <w:rPr>
          <w:rFonts w:asciiTheme="majorBidi" w:hAnsiTheme="majorBidi" w:cstheme="majorBidi"/>
          <w:i/>
          <w:iCs/>
          <w:lang w:val="en-US"/>
        </w:rPr>
        <w:t xml:space="preserve">, lashon, </w:t>
      </w:r>
      <w:proofErr w:type="spellStart"/>
      <w:r w:rsidR="002C21B0" w:rsidRPr="008577BF">
        <w:rPr>
          <w:rFonts w:asciiTheme="majorBidi" w:hAnsiTheme="majorBidi" w:cstheme="majorBidi"/>
          <w:i/>
          <w:iCs/>
          <w:lang w:val="en-US"/>
        </w:rPr>
        <w:t>umigdar</w:t>
      </w:r>
      <w:proofErr w:type="spellEnd"/>
      <w:r w:rsidR="002C21B0" w:rsidRPr="008577BF">
        <w:rPr>
          <w:rFonts w:asciiTheme="majorBidi" w:hAnsiTheme="majorBidi" w:cstheme="majorBidi"/>
          <w:lang w:val="en-US"/>
        </w:rPr>
        <w:t>, note 278.</w:t>
      </w:r>
    </w:p>
  </w:footnote>
  <w:footnote w:id="13">
    <w:p w14:paraId="43E524EA" w14:textId="192EA3DD" w:rsidR="006A6F96" w:rsidRPr="008577BF" w:rsidRDefault="006A6F96" w:rsidP="00320F86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Pr="008577BF">
        <w:rPr>
          <w:rFonts w:asciiTheme="majorBidi" w:hAnsiTheme="majorBidi" w:cstheme="majorBidi"/>
          <w:lang w:val="en-US"/>
        </w:rPr>
        <w:t xml:space="preserve">The speaker in Lamentations 3:48-51 may be identified as a woman, if we accept the </w:t>
      </w:r>
      <w:r w:rsidR="002C22E5" w:rsidRPr="008577BF">
        <w:rPr>
          <w:rFonts w:asciiTheme="majorBidi" w:hAnsiTheme="majorBidi" w:cstheme="majorBidi"/>
          <w:lang w:val="en-US"/>
        </w:rPr>
        <w:t>arguments put forth by E. Greenstein, “</w:t>
      </w:r>
      <w:proofErr w:type="spellStart"/>
      <w:r w:rsidR="002C22E5" w:rsidRPr="008577BF">
        <w:rPr>
          <w:rFonts w:asciiTheme="majorBidi" w:hAnsiTheme="majorBidi" w:cstheme="majorBidi"/>
          <w:i/>
          <w:iCs/>
          <w:lang w:val="en-US"/>
        </w:rPr>
        <w:t>Q</w:t>
      </w:r>
      <w:r w:rsidR="002C22E5" w:rsidRPr="008577BF">
        <w:rPr>
          <w:rFonts w:asciiTheme="majorBidi" w:hAnsiTheme="majorBidi" w:cstheme="majorBidi"/>
          <w:i/>
          <w:iCs/>
          <w:lang w:val="en-US"/>
        </w:rPr>
        <w:t>ol</w:t>
      </w:r>
      <w:proofErr w:type="spellEnd"/>
      <w:r w:rsidR="002C22E5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2C22E5" w:rsidRPr="008577BF">
        <w:rPr>
          <w:rFonts w:asciiTheme="majorBidi" w:hAnsiTheme="majorBidi" w:cstheme="majorBidi"/>
          <w:i/>
          <w:iCs/>
          <w:lang w:val="en-US"/>
        </w:rPr>
        <w:t>haʾishshah</w:t>
      </w:r>
      <w:proofErr w:type="spellEnd"/>
      <w:r w:rsidR="002C22E5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2C22E5" w:rsidRPr="008577BF">
        <w:rPr>
          <w:rFonts w:asciiTheme="majorBidi" w:hAnsiTheme="majorBidi" w:cstheme="majorBidi"/>
          <w:i/>
          <w:iCs/>
          <w:lang w:val="en-US"/>
        </w:rPr>
        <w:t>beʾekhah</w:t>
      </w:r>
      <w:proofErr w:type="spellEnd"/>
      <w:r w:rsidR="002C22E5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2C22E5" w:rsidRPr="008577BF">
        <w:rPr>
          <w:rFonts w:asciiTheme="majorBidi" w:hAnsiTheme="majorBidi" w:cstheme="majorBidi"/>
          <w:i/>
          <w:iCs/>
          <w:lang w:val="en-US"/>
        </w:rPr>
        <w:t>pereq</w:t>
      </w:r>
      <w:proofErr w:type="spellEnd"/>
      <w:r w:rsidR="002C22E5" w:rsidRPr="008577BF">
        <w:rPr>
          <w:rFonts w:asciiTheme="majorBidi" w:hAnsiTheme="majorBidi" w:cstheme="majorBidi"/>
          <w:i/>
          <w:iCs/>
          <w:lang w:val="en-US"/>
        </w:rPr>
        <w:t xml:space="preserve"> g</w:t>
      </w:r>
      <w:r w:rsidR="002C22E5" w:rsidRPr="008577BF">
        <w:rPr>
          <w:rFonts w:asciiTheme="majorBidi" w:hAnsiTheme="majorBidi" w:cstheme="majorBidi"/>
          <w:i/>
          <w:iCs/>
          <w:lang w:val="en-US"/>
        </w:rPr>
        <w:t>immel</w:t>
      </w:r>
      <w:r w:rsidR="002C22E5" w:rsidRPr="008577BF">
        <w:rPr>
          <w:rFonts w:asciiTheme="majorBidi" w:hAnsiTheme="majorBidi" w:cstheme="majorBidi"/>
          <w:lang w:val="en-US"/>
        </w:rPr>
        <w:t xml:space="preserve">,” </w:t>
      </w:r>
      <w:proofErr w:type="spellStart"/>
      <w:r w:rsidR="002C22E5" w:rsidRPr="008577BF">
        <w:rPr>
          <w:rFonts w:asciiTheme="majorBidi" w:hAnsiTheme="majorBidi" w:cstheme="majorBidi"/>
          <w:i/>
          <w:iCs/>
          <w:lang w:val="en-US"/>
        </w:rPr>
        <w:t>S</w:t>
      </w:r>
      <w:r w:rsidR="002C22E5" w:rsidRPr="008577BF">
        <w:rPr>
          <w:rFonts w:asciiTheme="majorBidi" w:hAnsiTheme="majorBidi" w:cstheme="majorBidi"/>
          <w:i/>
          <w:iCs/>
          <w:lang w:val="en-US"/>
        </w:rPr>
        <w:t>hennat</w:t>
      </w:r>
      <w:r w:rsidR="002C22E5" w:rsidRPr="008577BF">
        <w:rPr>
          <w:rFonts w:asciiTheme="majorBidi" w:hAnsiTheme="majorBidi" w:cstheme="majorBidi"/>
          <w:i/>
          <w:iCs/>
          <w:lang w:val="en-US"/>
        </w:rPr>
        <w:t>o</w:t>
      </w:r>
      <w:r w:rsidR="002C22E5" w:rsidRPr="008577BF">
        <w:rPr>
          <w:rFonts w:asciiTheme="majorBidi" w:hAnsiTheme="majorBidi" w:cstheme="majorBidi"/>
          <w:i/>
          <w:iCs/>
          <w:lang w:val="en-US"/>
        </w:rPr>
        <w:t>n</w:t>
      </w:r>
      <w:proofErr w:type="spellEnd"/>
      <w:r w:rsidR="002C22E5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2C22E5" w:rsidRPr="008577BF">
        <w:rPr>
          <w:rFonts w:asciiTheme="majorBidi" w:hAnsiTheme="majorBidi" w:cstheme="majorBidi"/>
          <w:i/>
          <w:iCs/>
          <w:lang w:val="en-US"/>
        </w:rPr>
        <w:t>lekheqer</w:t>
      </w:r>
      <w:proofErr w:type="spellEnd"/>
      <w:r w:rsidR="002C22E5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2C22E5" w:rsidRPr="008577BF">
        <w:rPr>
          <w:rFonts w:asciiTheme="majorBidi" w:hAnsiTheme="majorBidi" w:cstheme="majorBidi"/>
          <w:i/>
          <w:iCs/>
          <w:lang w:val="en-US"/>
        </w:rPr>
        <w:t>hammiqraʾ</w:t>
      </w:r>
      <w:proofErr w:type="spellEnd"/>
      <w:r w:rsidR="002C22E5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2C22E5" w:rsidRPr="008577BF">
        <w:rPr>
          <w:rFonts w:asciiTheme="majorBidi" w:hAnsiTheme="majorBidi" w:cstheme="majorBidi"/>
          <w:i/>
          <w:iCs/>
          <w:lang w:val="en-US"/>
        </w:rPr>
        <w:t>vehammizrakh</w:t>
      </w:r>
      <w:proofErr w:type="spellEnd"/>
      <w:r w:rsidR="002C22E5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2C22E5" w:rsidRPr="008577BF">
        <w:rPr>
          <w:rFonts w:asciiTheme="majorBidi" w:hAnsiTheme="majorBidi" w:cstheme="majorBidi"/>
          <w:i/>
          <w:iCs/>
          <w:lang w:val="en-US"/>
        </w:rPr>
        <w:t>haqqadum</w:t>
      </w:r>
      <w:proofErr w:type="spellEnd"/>
      <w:r w:rsidR="002C22E5" w:rsidRPr="008577BF">
        <w:rPr>
          <w:rFonts w:asciiTheme="majorBidi" w:hAnsiTheme="majorBidi" w:cstheme="majorBidi"/>
          <w:lang w:val="en-US"/>
        </w:rPr>
        <w:t xml:space="preserve"> 24 (2016), 167-176. Identifying the speaker as a woman in 3:48 creates a fitting parallel between the words of the lamenting widow in 1:16</w:t>
      </w:r>
      <w:r w:rsidR="00734359" w:rsidRPr="008577BF">
        <w:rPr>
          <w:rFonts w:asciiTheme="majorBidi" w:hAnsiTheme="majorBidi" w:cstheme="majorBidi"/>
          <w:lang w:val="en-US"/>
        </w:rPr>
        <w:t xml:space="preserve">, which use the water metaphor to describe tears, </w:t>
      </w:r>
      <w:r w:rsidR="00734359" w:rsidRPr="008577BF">
        <w:rPr>
          <w:rFonts w:asciiTheme="majorBidi" w:hAnsiTheme="majorBidi" w:cstheme="majorBidi"/>
          <w:i/>
          <w:iCs/>
          <w:lang w:val="en-US"/>
        </w:rPr>
        <w:t>'</w:t>
      </w:r>
      <w:proofErr w:type="spellStart"/>
      <w:r w:rsidR="00734359" w:rsidRPr="008577BF">
        <w:rPr>
          <w:rFonts w:asciiTheme="majorBidi" w:hAnsiTheme="majorBidi" w:cstheme="majorBidi"/>
          <w:i/>
          <w:iCs/>
          <w:lang w:val="en-US"/>
        </w:rPr>
        <w:t>ʿeni</w:t>
      </w:r>
      <w:proofErr w:type="spellEnd"/>
      <w:r w:rsidR="00734359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734359" w:rsidRPr="008577BF">
        <w:rPr>
          <w:rFonts w:asciiTheme="majorBidi" w:hAnsiTheme="majorBidi" w:cstheme="majorBidi"/>
          <w:i/>
          <w:iCs/>
          <w:lang w:val="en-US"/>
        </w:rPr>
        <w:t>ʿeni</w:t>
      </w:r>
      <w:proofErr w:type="spellEnd"/>
      <w:r w:rsidR="00734359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734359" w:rsidRPr="008577BF">
        <w:rPr>
          <w:rFonts w:asciiTheme="majorBidi" w:hAnsiTheme="majorBidi" w:cstheme="majorBidi"/>
          <w:i/>
          <w:iCs/>
          <w:lang w:val="en-US"/>
        </w:rPr>
        <w:t>yoredah</w:t>
      </w:r>
      <w:proofErr w:type="spellEnd"/>
      <w:r w:rsidR="00734359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734359" w:rsidRPr="008577BF">
        <w:rPr>
          <w:rFonts w:asciiTheme="majorBidi" w:hAnsiTheme="majorBidi" w:cstheme="majorBidi"/>
          <w:i/>
          <w:iCs/>
          <w:lang w:val="en-US"/>
        </w:rPr>
        <w:t>mayim</w:t>
      </w:r>
      <w:proofErr w:type="spellEnd"/>
      <w:r w:rsidR="00734359" w:rsidRPr="008577BF">
        <w:rPr>
          <w:rFonts w:asciiTheme="majorBidi" w:hAnsiTheme="majorBidi" w:cstheme="majorBidi"/>
          <w:i/>
          <w:iCs/>
          <w:lang w:val="en-US"/>
        </w:rPr>
        <w:t>'</w:t>
      </w:r>
      <w:r w:rsidR="00734359" w:rsidRPr="008577BF">
        <w:rPr>
          <w:rFonts w:asciiTheme="majorBidi" w:hAnsiTheme="majorBidi" w:cstheme="majorBidi"/>
          <w:lang w:val="en-US"/>
        </w:rPr>
        <w:t xml:space="preserve"> [</w:t>
      </w:r>
      <w:r w:rsidR="00734359" w:rsidRPr="008577BF">
        <w:rPr>
          <w:rFonts w:asciiTheme="majorBidi" w:hAnsiTheme="majorBidi" w:cstheme="majorBidi"/>
        </w:rPr>
        <w:t xml:space="preserve">mine eye, mine eye </w:t>
      </w:r>
      <w:proofErr w:type="spellStart"/>
      <w:r w:rsidR="00734359" w:rsidRPr="008577BF">
        <w:rPr>
          <w:rFonts w:asciiTheme="majorBidi" w:hAnsiTheme="majorBidi" w:cstheme="majorBidi"/>
        </w:rPr>
        <w:t>runneth</w:t>
      </w:r>
      <w:proofErr w:type="spellEnd"/>
      <w:r w:rsidR="00734359" w:rsidRPr="008577BF">
        <w:rPr>
          <w:rFonts w:asciiTheme="majorBidi" w:hAnsiTheme="majorBidi" w:cstheme="majorBidi"/>
        </w:rPr>
        <w:t xml:space="preserve"> down with water</w:t>
      </w:r>
      <w:r w:rsidR="00734359" w:rsidRPr="008577BF">
        <w:rPr>
          <w:rFonts w:asciiTheme="majorBidi" w:hAnsiTheme="majorBidi" w:cstheme="majorBidi"/>
          <w:lang w:val="en-US"/>
        </w:rPr>
        <w:t>] and the metaphoric language in v.48</w:t>
      </w:r>
      <w:r w:rsidR="00734359" w:rsidRPr="008577BF">
        <w:rPr>
          <w:rFonts w:asciiTheme="majorBidi" w:hAnsiTheme="majorBidi" w:cstheme="majorBidi"/>
          <w:i/>
          <w:iCs/>
          <w:lang w:val="en-US"/>
        </w:rPr>
        <w:t xml:space="preserve">, </w:t>
      </w:r>
      <w:r w:rsidR="00734359" w:rsidRPr="008577BF">
        <w:rPr>
          <w:rFonts w:asciiTheme="majorBidi" w:hAnsiTheme="majorBidi" w:cstheme="majorBidi"/>
          <w:i/>
          <w:iCs/>
          <w:lang w:val="en-US"/>
        </w:rPr>
        <w:t>'</w:t>
      </w:r>
      <w:proofErr w:type="spellStart"/>
      <w:r w:rsidR="00734359" w:rsidRPr="008577BF">
        <w:rPr>
          <w:rFonts w:asciiTheme="majorBidi" w:hAnsiTheme="majorBidi" w:cstheme="majorBidi"/>
          <w:i/>
          <w:iCs/>
          <w:lang w:val="en-US"/>
        </w:rPr>
        <w:t>palge-mayim</w:t>
      </w:r>
      <w:proofErr w:type="spellEnd"/>
      <w:r w:rsidR="00734359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734359" w:rsidRPr="008577BF">
        <w:rPr>
          <w:rFonts w:asciiTheme="majorBidi" w:hAnsiTheme="majorBidi" w:cstheme="majorBidi"/>
          <w:i/>
          <w:iCs/>
          <w:lang w:val="en-US"/>
        </w:rPr>
        <w:t>terad</w:t>
      </w:r>
      <w:proofErr w:type="spellEnd"/>
      <w:r w:rsidR="00734359" w:rsidRPr="008577B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="00734359" w:rsidRPr="008577BF">
        <w:rPr>
          <w:rFonts w:asciiTheme="majorBidi" w:hAnsiTheme="majorBidi" w:cstheme="majorBidi"/>
          <w:i/>
          <w:iCs/>
          <w:lang w:val="en-US"/>
        </w:rPr>
        <w:t>ʿeni</w:t>
      </w:r>
      <w:proofErr w:type="spellEnd"/>
      <w:r w:rsidR="00734359" w:rsidRPr="008577BF">
        <w:rPr>
          <w:rFonts w:asciiTheme="majorBidi" w:hAnsiTheme="majorBidi" w:cstheme="majorBidi"/>
          <w:i/>
          <w:iCs/>
          <w:lang w:val="en-US"/>
        </w:rPr>
        <w:t>'</w:t>
      </w:r>
      <w:r w:rsidR="00734359" w:rsidRPr="008577BF">
        <w:rPr>
          <w:rFonts w:asciiTheme="majorBidi" w:hAnsiTheme="majorBidi" w:cstheme="majorBidi"/>
          <w:lang w:val="en-US"/>
        </w:rPr>
        <w:t xml:space="preserve"> [</w:t>
      </w:r>
      <w:r w:rsidR="00320F86" w:rsidRPr="008577BF">
        <w:rPr>
          <w:rFonts w:asciiTheme="majorBidi" w:hAnsiTheme="majorBidi" w:cstheme="majorBidi"/>
        </w:rPr>
        <w:t xml:space="preserve">Mine eye </w:t>
      </w:r>
      <w:proofErr w:type="spellStart"/>
      <w:r w:rsidR="00320F86" w:rsidRPr="008577BF">
        <w:rPr>
          <w:rFonts w:asciiTheme="majorBidi" w:hAnsiTheme="majorBidi" w:cstheme="majorBidi"/>
        </w:rPr>
        <w:t>runneth</w:t>
      </w:r>
      <w:proofErr w:type="spellEnd"/>
      <w:r w:rsidR="00320F86" w:rsidRPr="008577BF">
        <w:rPr>
          <w:rFonts w:asciiTheme="majorBidi" w:hAnsiTheme="majorBidi" w:cstheme="majorBidi"/>
        </w:rPr>
        <w:t xml:space="preserve"> down with streams of water</w:t>
      </w:r>
      <w:r w:rsidR="00320F86" w:rsidRPr="008577BF">
        <w:rPr>
          <w:rFonts w:asciiTheme="majorBidi" w:hAnsiTheme="majorBidi" w:cstheme="majorBidi"/>
          <w:lang w:val="en-US"/>
        </w:rPr>
        <w:t>].</w:t>
      </w:r>
    </w:p>
  </w:footnote>
  <w:footnote w:id="14">
    <w:p w14:paraId="380BF466" w14:textId="71DF938E" w:rsidR="00D33805" w:rsidRPr="008577BF" w:rsidRDefault="00D33805">
      <w:pPr>
        <w:pStyle w:val="FootnoteText"/>
        <w:rPr>
          <w:rFonts w:asciiTheme="majorBidi" w:hAnsiTheme="majorBidi" w:cstheme="majorBidi"/>
          <w:rtl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proofErr w:type="spellStart"/>
      <w:r w:rsidRPr="008577BF">
        <w:rPr>
          <w:rFonts w:asciiTheme="majorBidi" w:hAnsiTheme="majorBidi" w:cstheme="majorBidi"/>
          <w:lang w:val="en-US"/>
        </w:rPr>
        <w:t>Understandint</w:t>
      </w:r>
      <w:proofErr w:type="spellEnd"/>
      <w:r w:rsidRPr="008577BF">
        <w:rPr>
          <w:rFonts w:asciiTheme="majorBidi" w:hAnsiTheme="majorBidi" w:cstheme="majorBidi"/>
          <w:lang w:val="en-US"/>
        </w:rPr>
        <w:t xml:space="preserve"> the command is dependent upon an analysis of the </w:t>
      </w:r>
      <w:r w:rsidR="00B42C4A" w:rsidRPr="008577BF">
        <w:rPr>
          <w:rFonts w:asciiTheme="majorBidi" w:hAnsiTheme="majorBidi" w:cstheme="majorBidi"/>
          <w:lang w:val="en-US"/>
        </w:rPr>
        <w:t xml:space="preserve">type </w:t>
      </w:r>
      <w:proofErr w:type="spellStart"/>
      <w:r w:rsidR="00B42C4A" w:rsidRPr="008577BF">
        <w:rPr>
          <w:rFonts w:asciiTheme="majorBidi" w:hAnsiTheme="majorBidi" w:cstheme="majorBidi"/>
          <w:i/>
          <w:iCs/>
          <w:lang w:val="en-US"/>
        </w:rPr>
        <w:t>fugat</w:t>
      </w:r>
      <w:proofErr w:type="spellEnd"/>
      <w:r w:rsidR="00B42C4A" w:rsidRPr="008577BF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B42C4A" w:rsidRPr="008577BF">
        <w:rPr>
          <w:rFonts w:asciiTheme="majorBidi" w:hAnsiTheme="majorBidi" w:cstheme="majorBidi"/>
          <w:i/>
          <w:iCs/>
          <w:lang w:val="en-US"/>
        </w:rPr>
        <w:t>pwg</w:t>
      </w:r>
      <w:proofErr w:type="spellEnd"/>
      <w:r w:rsidR="00B42C4A" w:rsidRPr="008577BF">
        <w:rPr>
          <w:rFonts w:asciiTheme="majorBidi" w:hAnsiTheme="majorBidi" w:cstheme="majorBidi"/>
          <w:lang w:val="en-US"/>
        </w:rPr>
        <w:t xml:space="preserve">), from the verb sense </w:t>
      </w:r>
      <w:proofErr w:type="spellStart"/>
      <w:r w:rsidR="00B42C4A" w:rsidRPr="008577BF">
        <w:rPr>
          <w:rFonts w:asciiTheme="majorBidi" w:hAnsiTheme="majorBidi" w:cstheme="majorBidi"/>
          <w:i/>
          <w:iCs/>
          <w:lang w:val="en-US"/>
        </w:rPr>
        <w:t>lafug</w:t>
      </w:r>
      <w:proofErr w:type="spellEnd"/>
      <w:r w:rsidR="00B42C4A" w:rsidRPr="008577BF">
        <w:rPr>
          <w:rFonts w:asciiTheme="majorBidi" w:hAnsiTheme="majorBidi" w:cstheme="majorBidi"/>
          <w:lang w:val="en-US"/>
        </w:rPr>
        <w:t xml:space="preserve"> and the noun </w:t>
      </w:r>
      <w:proofErr w:type="spellStart"/>
      <w:r w:rsidR="00B42C4A" w:rsidRPr="008577BF">
        <w:rPr>
          <w:rFonts w:asciiTheme="majorBidi" w:hAnsiTheme="majorBidi" w:cstheme="majorBidi"/>
          <w:i/>
          <w:iCs/>
          <w:lang w:val="en-US"/>
        </w:rPr>
        <w:t>hafugah</w:t>
      </w:r>
      <w:proofErr w:type="spellEnd"/>
      <w:r w:rsidR="00B42C4A" w:rsidRPr="008577BF">
        <w:rPr>
          <w:rFonts w:asciiTheme="majorBidi" w:hAnsiTheme="majorBidi" w:cstheme="majorBidi"/>
          <w:lang w:val="en-US"/>
        </w:rPr>
        <w:t xml:space="preserve"> (BDB, 806; </w:t>
      </w:r>
      <w:proofErr w:type="spellStart"/>
      <w:r w:rsidR="00B42C4A" w:rsidRPr="008577BF">
        <w:rPr>
          <w:rFonts w:asciiTheme="majorBidi" w:hAnsiTheme="majorBidi" w:cstheme="majorBidi"/>
          <w:lang w:val="en-US"/>
        </w:rPr>
        <w:t>Provan</w:t>
      </w:r>
      <w:proofErr w:type="spellEnd"/>
      <w:r w:rsidR="00B42C4A" w:rsidRPr="008577BF">
        <w:rPr>
          <w:rFonts w:asciiTheme="majorBidi" w:hAnsiTheme="majorBidi" w:cstheme="majorBidi"/>
          <w:lang w:val="en-US"/>
        </w:rPr>
        <w:t xml:space="preserve">, </w:t>
      </w:r>
      <w:r w:rsidR="00B42C4A" w:rsidRPr="008577BF">
        <w:rPr>
          <w:rFonts w:asciiTheme="majorBidi" w:hAnsiTheme="majorBidi" w:cstheme="majorBidi"/>
          <w:i/>
          <w:iCs/>
          <w:lang w:val="en-US"/>
        </w:rPr>
        <w:t>Lamentations</w:t>
      </w:r>
      <w:r w:rsidR="00B42C4A" w:rsidRPr="008577BF">
        <w:rPr>
          <w:rFonts w:asciiTheme="majorBidi" w:hAnsiTheme="majorBidi" w:cstheme="majorBidi"/>
          <w:lang w:val="en-US"/>
        </w:rPr>
        <w:t xml:space="preserve">, 74; </w:t>
      </w:r>
      <w:proofErr w:type="spellStart"/>
      <w:r w:rsidR="00B42C4A" w:rsidRPr="008577BF">
        <w:rPr>
          <w:rFonts w:asciiTheme="majorBidi" w:hAnsiTheme="majorBidi" w:cstheme="majorBidi"/>
          <w:lang w:val="en-US"/>
        </w:rPr>
        <w:t>H.</w:t>
      </w:r>
      <w:proofErr w:type="gramStart"/>
      <w:r w:rsidR="00B42C4A" w:rsidRPr="008577BF">
        <w:rPr>
          <w:rFonts w:asciiTheme="majorBidi" w:hAnsiTheme="majorBidi" w:cstheme="majorBidi"/>
          <w:lang w:val="en-US"/>
        </w:rPr>
        <w:t>L.Bussman</w:t>
      </w:r>
      <w:proofErr w:type="spellEnd"/>
      <w:proofErr w:type="gramEnd"/>
      <w:r w:rsidR="00B42C4A" w:rsidRPr="008577BF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B42C4A" w:rsidRPr="008577BF">
        <w:rPr>
          <w:rFonts w:asciiTheme="majorBidi" w:hAnsiTheme="majorBidi" w:cstheme="majorBidi"/>
          <w:i/>
          <w:iCs/>
          <w:lang w:val="en-US"/>
        </w:rPr>
        <w:t>pwg</w:t>
      </w:r>
      <w:proofErr w:type="spellEnd"/>
      <w:r w:rsidR="00B42C4A" w:rsidRPr="008577BF">
        <w:rPr>
          <w:rFonts w:asciiTheme="majorBidi" w:hAnsiTheme="majorBidi" w:cstheme="majorBidi"/>
          <w:lang w:val="en-US"/>
        </w:rPr>
        <w:t xml:space="preserve">, </w:t>
      </w:r>
      <w:r w:rsidR="00B42C4A" w:rsidRPr="008577BF">
        <w:rPr>
          <w:rFonts w:asciiTheme="majorBidi" w:hAnsiTheme="majorBidi" w:cstheme="majorBidi"/>
          <w:i/>
          <w:iCs/>
          <w:lang w:val="en-US"/>
        </w:rPr>
        <w:t xml:space="preserve">NIDOTTE </w:t>
      </w:r>
      <w:r w:rsidR="00B42C4A" w:rsidRPr="008577BF">
        <w:rPr>
          <w:rFonts w:asciiTheme="majorBidi" w:hAnsiTheme="majorBidi" w:cstheme="majorBidi"/>
          <w:lang w:val="en-US"/>
        </w:rPr>
        <w:t xml:space="preserve">III, in: W.A. Van </w:t>
      </w:r>
      <w:proofErr w:type="spellStart"/>
      <w:r w:rsidR="00B42C4A" w:rsidRPr="008577BF">
        <w:rPr>
          <w:rFonts w:asciiTheme="majorBidi" w:hAnsiTheme="majorBidi" w:cstheme="majorBidi"/>
          <w:lang w:val="en-US"/>
        </w:rPr>
        <w:t>Gemeren</w:t>
      </w:r>
      <w:proofErr w:type="spellEnd"/>
      <w:r w:rsidR="00B42C4A" w:rsidRPr="008577BF">
        <w:rPr>
          <w:rFonts w:asciiTheme="majorBidi" w:hAnsiTheme="majorBidi" w:cstheme="majorBidi"/>
          <w:lang w:val="en-US"/>
        </w:rPr>
        <w:t xml:space="preserve"> (ed.), Grand Rapids, 1997, 584-585</w:t>
      </w:r>
      <w:r w:rsidR="004C0A2D" w:rsidRPr="008577BF">
        <w:rPr>
          <w:rFonts w:asciiTheme="majorBidi" w:hAnsiTheme="majorBidi" w:cstheme="majorBidi"/>
          <w:lang w:val="en-US"/>
        </w:rPr>
        <w:t>.</w:t>
      </w:r>
      <w:r w:rsidR="00B42C4A" w:rsidRPr="008577BF">
        <w:rPr>
          <w:rFonts w:asciiTheme="majorBidi" w:hAnsiTheme="majorBidi" w:cstheme="majorBidi"/>
          <w:lang w:val="en-US"/>
        </w:rPr>
        <w:t xml:space="preserve"> E. Robertson, “The Apple of the Eye in the Masoretic Text,” </w:t>
      </w:r>
      <w:r w:rsidR="00B42C4A" w:rsidRPr="008577BF">
        <w:rPr>
          <w:rFonts w:asciiTheme="majorBidi" w:hAnsiTheme="majorBidi" w:cstheme="majorBidi"/>
          <w:i/>
          <w:iCs/>
          <w:lang w:val="en-US"/>
        </w:rPr>
        <w:t>JTS</w:t>
      </w:r>
      <w:r w:rsidR="00B42C4A" w:rsidRPr="008577BF">
        <w:rPr>
          <w:rFonts w:asciiTheme="majorBidi" w:hAnsiTheme="majorBidi" w:cstheme="majorBidi"/>
          <w:lang w:val="en-US"/>
        </w:rPr>
        <w:t xml:space="preserve"> 38 (19</w:t>
      </w:r>
      <w:r w:rsidR="004C0A2D" w:rsidRPr="008577BF">
        <w:rPr>
          <w:rFonts w:asciiTheme="majorBidi" w:hAnsiTheme="majorBidi" w:cstheme="majorBidi"/>
          <w:lang w:val="en-US"/>
        </w:rPr>
        <w:t>37), 59, brings the sense of rest or cooling off.</w:t>
      </w:r>
    </w:p>
  </w:footnote>
  <w:footnote w:id="15">
    <w:p w14:paraId="41417C61" w14:textId="3EF7F477" w:rsidR="00D33805" w:rsidRPr="008577BF" w:rsidRDefault="00D33805" w:rsidP="004C0A2D">
      <w:pPr>
        <w:pStyle w:val="FootnoteText"/>
        <w:rPr>
          <w:rFonts w:asciiTheme="majorBidi" w:hAnsiTheme="majorBidi" w:cstheme="majorBidi"/>
          <w:lang w:val="en-US"/>
        </w:rPr>
      </w:pPr>
      <w:r w:rsidRPr="008577BF">
        <w:rPr>
          <w:rStyle w:val="FootnoteReference"/>
          <w:rFonts w:asciiTheme="majorBidi" w:hAnsiTheme="majorBidi" w:cstheme="majorBidi"/>
        </w:rPr>
        <w:footnoteRef/>
      </w:r>
      <w:r w:rsidRPr="008577BF">
        <w:rPr>
          <w:rFonts w:asciiTheme="majorBidi" w:hAnsiTheme="majorBidi" w:cstheme="majorBidi"/>
        </w:rPr>
        <w:t xml:space="preserve"> </w:t>
      </w:r>
      <w:r w:rsidR="004C0A2D" w:rsidRPr="008577BF">
        <w:rPr>
          <w:rFonts w:asciiTheme="majorBidi" w:hAnsiTheme="majorBidi" w:cstheme="majorBidi"/>
          <w:lang w:val="en-US"/>
        </w:rPr>
        <w:t xml:space="preserve">The verb </w:t>
      </w:r>
      <w:proofErr w:type="spellStart"/>
      <w:r w:rsidR="004C0A2D" w:rsidRPr="008577BF">
        <w:rPr>
          <w:rFonts w:asciiTheme="majorBidi" w:hAnsiTheme="majorBidi" w:cstheme="majorBidi"/>
          <w:i/>
          <w:iCs/>
          <w:lang w:val="en-US"/>
        </w:rPr>
        <w:t>tidom</w:t>
      </w:r>
      <w:proofErr w:type="spellEnd"/>
      <w:r w:rsidR="004C0A2D" w:rsidRPr="008577BF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4C0A2D" w:rsidRPr="008577BF">
        <w:rPr>
          <w:rFonts w:asciiTheme="majorBidi" w:hAnsiTheme="majorBidi" w:cstheme="majorBidi"/>
          <w:i/>
          <w:iCs/>
          <w:lang w:val="en-US"/>
        </w:rPr>
        <w:t>dmm</w:t>
      </w:r>
      <w:proofErr w:type="spellEnd"/>
      <w:r w:rsidR="004C0A2D" w:rsidRPr="008577BF">
        <w:rPr>
          <w:rFonts w:asciiTheme="majorBidi" w:hAnsiTheme="majorBidi" w:cstheme="majorBidi"/>
          <w:lang w:val="en-US"/>
        </w:rPr>
        <w:t xml:space="preserve">) in the sense of rest, cessation, in Robertson, “The Apple of the Eye,” 59; BDB, 198-199; </w:t>
      </w:r>
      <w:proofErr w:type="spellStart"/>
      <w:r w:rsidR="004C0A2D" w:rsidRPr="008577BF">
        <w:rPr>
          <w:rFonts w:asciiTheme="majorBidi" w:hAnsiTheme="majorBidi" w:cstheme="majorBidi"/>
          <w:lang w:val="en-US"/>
        </w:rPr>
        <w:t>Provan</w:t>
      </w:r>
      <w:proofErr w:type="spellEnd"/>
      <w:r w:rsidR="004C0A2D" w:rsidRPr="008577BF">
        <w:rPr>
          <w:rFonts w:asciiTheme="majorBidi" w:hAnsiTheme="majorBidi" w:cstheme="majorBidi"/>
          <w:lang w:val="en-US"/>
        </w:rPr>
        <w:t xml:space="preserve">, </w:t>
      </w:r>
      <w:r w:rsidR="004C0A2D" w:rsidRPr="008577BF">
        <w:rPr>
          <w:rFonts w:asciiTheme="majorBidi" w:hAnsiTheme="majorBidi" w:cstheme="majorBidi"/>
          <w:i/>
          <w:iCs/>
          <w:lang w:val="en-US"/>
        </w:rPr>
        <w:t>Lamentations</w:t>
      </w:r>
      <w:r w:rsidR="004C0A2D" w:rsidRPr="008577BF">
        <w:rPr>
          <w:rFonts w:asciiTheme="majorBidi" w:hAnsiTheme="majorBidi" w:cstheme="majorBidi"/>
          <w:lang w:val="en-US"/>
        </w:rPr>
        <w:t xml:space="preserve">, 76; </w:t>
      </w:r>
      <w:proofErr w:type="spellStart"/>
      <w:r w:rsidR="004C0A2D" w:rsidRPr="008577BF">
        <w:rPr>
          <w:rFonts w:asciiTheme="majorBidi" w:hAnsiTheme="majorBidi" w:cstheme="majorBidi"/>
          <w:lang w:val="en-US"/>
        </w:rPr>
        <w:t>Renkema</w:t>
      </w:r>
      <w:proofErr w:type="spellEnd"/>
      <w:r w:rsidR="004C0A2D" w:rsidRPr="008577BF">
        <w:rPr>
          <w:rFonts w:asciiTheme="majorBidi" w:hAnsiTheme="majorBidi" w:cstheme="majorBidi"/>
          <w:lang w:val="en-US"/>
        </w:rPr>
        <w:t xml:space="preserve">, </w:t>
      </w:r>
      <w:r w:rsidR="004C0A2D" w:rsidRPr="008577BF">
        <w:rPr>
          <w:rFonts w:asciiTheme="majorBidi" w:hAnsiTheme="majorBidi" w:cstheme="majorBidi"/>
          <w:i/>
          <w:iCs/>
          <w:lang w:val="en-US"/>
        </w:rPr>
        <w:t>Lamentations</w:t>
      </w:r>
      <w:r w:rsidR="004C0A2D" w:rsidRPr="008577BF">
        <w:rPr>
          <w:rFonts w:asciiTheme="majorBidi" w:hAnsiTheme="majorBidi" w:cstheme="majorBidi"/>
          <w:lang w:val="en-US"/>
        </w:rPr>
        <w:t xml:space="preserve">, 313-314; </w:t>
      </w:r>
      <w:r w:rsidR="004C0A2D" w:rsidRPr="008577BF">
        <w:rPr>
          <w:rFonts w:asciiTheme="majorBidi" w:hAnsiTheme="majorBidi" w:cstheme="majorBidi"/>
          <w:rtl/>
          <w:lang w:val="en-US" w:bidi="he"/>
        </w:rPr>
        <w:t xml:space="preserve">B.A. Levine, 'Sound, Silence, and the Phenomenology of Mourning in Biblical Israel', </w:t>
      </w:r>
      <w:r w:rsidR="004C0A2D" w:rsidRPr="008577BF">
        <w:rPr>
          <w:rFonts w:asciiTheme="majorBidi" w:hAnsiTheme="majorBidi" w:cstheme="majorBidi"/>
          <w:i/>
          <w:iCs/>
          <w:rtl/>
          <w:lang w:val="en-US" w:bidi="he"/>
        </w:rPr>
        <w:t>JANES</w:t>
      </w:r>
      <w:r w:rsidR="004C0A2D" w:rsidRPr="008577BF">
        <w:rPr>
          <w:rFonts w:asciiTheme="majorBidi" w:hAnsiTheme="majorBidi" w:cstheme="majorBidi"/>
          <w:rtl/>
          <w:lang w:val="en-US" w:bidi="he"/>
        </w:rPr>
        <w:t xml:space="preserve"> 22 (1993), 89–106</w:t>
      </w:r>
      <w:r w:rsidR="004C0A2D" w:rsidRPr="008577BF">
        <w:rPr>
          <w:rFonts w:asciiTheme="majorBidi" w:hAnsiTheme="majorBidi" w:cstheme="majorBidi"/>
          <w:lang w:val="en-US" w:bidi="he"/>
        </w:rPr>
        <w:t xml:space="preserve">. </w:t>
      </w:r>
      <w:r w:rsidR="004C0A2D" w:rsidRPr="008577BF">
        <w:rPr>
          <w:rFonts w:asciiTheme="majorBidi" w:hAnsiTheme="majorBidi" w:cstheme="majorBidi"/>
          <w:i/>
          <w:iCs/>
          <w:lang w:val="en-US" w:bidi="he"/>
        </w:rPr>
        <w:t>Bat ‘Ayin</w:t>
      </w:r>
      <w:r w:rsidR="004C0A2D" w:rsidRPr="008577BF">
        <w:rPr>
          <w:rFonts w:asciiTheme="majorBidi" w:hAnsiTheme="majorBidi" w:cstheme="majorBidi"/>
          <w:lang w:val="en-US" w:bidi="he"/>
        </w:rPr>
        <w:t xml:space="preserve">, the ‘apple of the eye,’ is an epithet for the pupil, some say a result of </w:t>
      </w:r>
      <w:r w:rsidR="008577BF" w:rsidRPr="008577BF">
        <w:rPr>
          <w:rFonts w:asciiTheme="majorBidi" w:hAnsiTheme="majorBidi" w:cstheme="majorBidi"/>
          <w:lang w:val="en-US" w:bidi="he"/>
        </w:rPr>
        <w:t>error. See footnote 15, below.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ilshelnava@gmail.com">
    <w15:presenceInfo w15:providerId="Windows Live" w15:userId="715df37715c88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4D"/>
    <w:rsid w:val="000233DF"/>
    <w:rsid w:val="00031576"/>
    <w:rsid w:val="000B7F6D"/>
    <w:rsid w:val="002C21B0"/>
    <w:rsid w:val="002C22E5"/>
    <w:rsid w:val="003055F6"/>
    <w:rsid w:val="00310FD6"/>
    <w:rsid w:val="00320F86"/>
    <w:rsid w:val="00407895"/>
    <w:rsid w:val="00423611"/>
    <w:rsid w:val="004C0A2D"/>
    <w:rsid w:val="00543CCE"/>
    <w:rsid w:val="0060378E"/>
    <w:rsid w:val="00667130"/>
    <w:rsid w:val="006A6F96"/>
    <w:rsid w:val="00721704"/>
    <w:rsid w:val="00734359"/>
    <w:rsid w:val="008263A6"/>
    <w:rsid w:val="00826964"/>
    <w:rsid w:val="0085281D"/>
    <w:rsid w:val="008577BF"/>
    <w:rsid w:val="008E0FE5"/>
    <w:rsid w:val="00943989"/>
    <w:rsid w:val="009877A4"/>
    <w:rsid w:val="00B11B55"/>
    <w:rsid w:val="00B228E1"/>
    <w:rsid w:val="00B42C4A"/>
    <w:rsid w:val="00BC184D"/>
    <w:rsid w:val="00BF5B8E"/>
    <w:rsid w:val="00C2257B"/>
    <w:rsid w:val="00CE1FE3"/>
    <w:rsid w:val="00D33805"/>
    <w:rsid w:val="00DF4317"/>
    <w:rsid w:val="00E17F3B"/>
    <w:rsid w:val="00E426B2"/>
    <w:rsid w:val="00E50A8D"/>
    <w:rsid w:val="00E544B7"/>
    <w:rsid w:val="00F0469C"/>
    <w:rsid w:val="00F078D4"/>
    <w:rsid w:val="00F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847D"/>
  <w15:chartTrackingRefBased/>
  <w15:docId w15:val="{255D91BC-54F2-4B2C-A95C-E9849737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15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57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1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5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0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8D"/>
  </w:style>
  <w:style w:type="paragraph" w:styleId="Footer">
    <w:name w:val="footer"/>
    <w:basedOn w:val="Normal"/>
    <w:link w:val="FooterChar"/>
    <w:uiPriority w:val="99"/>
    <w:unhideWhenUsed/>
    <w:rsid w:val="00E50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8D"/>
  </w:style>
  <w:style w:type="character" w:styleId="Hyperlink">
    <w:name w:val="Hyperlink"/>
    <w:basedOn w:val="DefaultParagraphFont"/>
    <w:uiPriority w:val="99"/>
    <w:unhideWhenUsed/>
    <w:rsid w:val="006A6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5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0441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FDE8-21D3-489B-BA23-CD2996AF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mailshelnava@gmail.com</cp:lastModifiedBy>
  <cp:revision>10</cp:revision>
  <dcterms:created xsi:type="dcterms:W3CDTF">2022-04-27T14:02:00Z</dcterms:created>
  <dcterms:modified xsi:type="dcterms:W3CDTF">2022-04-28T05:55:00Z</dcterms:modified>
</cp:coreProperties>
</file>