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Palatino Linotype" w:cs="Palatino Linotype" w:hAnsi="Palatino Linotype" w:eastAsia="Palatino Linotype"/>
          <w:b w:val="1"/>
          <w:bCs w:val="1"/>
        </w:rPr>
      </w:pPr>
      <w:r>
        <w:rPr>
          <w:rFonts w:ascii="Palatino Linotype" w:cs="Palatino Linotype" w:hAnsi="Palatino Linotype" w:eastAsia="Palatino Linotype"/>
          <w:b w:val="1"/>
          <w:bCs w:val="1"/>
          <w:rtl w:val="0"/>
          <w:lang w:val="en-US"/>
        </w:rPr>
        <w:t>Comment on two epigrams by Gregory of Nazianzus</w:t>
      </w:r>
    </w:p>
    <w:p>
      <w:pPr>
        <w:pStyle w:val="Normal.0"/>
        <w:rPr>
          <w:rFonts w:ascii="Palatino Linotype" w:cs="Palatino Linotype" w:hAnsi="Palatino Linotype" w:eastAsia="Palatino Linotype"/>
          <w:b w:val="1"/>
          <w:bCs w:val="1"/>
          <w:sz w:val="20"/>
          <w:szCs w:val="20"/>
        </w:rPr>
      </w:pP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rtl w:val="0"/>
          <w:lang w:val="en-US"/>
        </w:rPr>
        <w:t xml:space="preserve">1) </w:t>
      </w: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sz w:val="20"/>
          <w:szCs w:val="20"/>
          <w:rtl w:val="0"/>
        </w:rPr>
        <w:t>AP</w:t>
      </w: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sz w:val="20"/>
          <w:szCs w:val="20"/>
          <w:rtl w:val="0"/>
          <w:lang w:val="en-US"/>
        </w:rPr>
        <w:t>.</w:t>
      </w: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rtl w:val="0"/>
          <w:lang w:val="en-US"/>
        </w:rPr>
        <w:t xml:space="preserve"> 8.21</w:t>
      </w:r>
    </w:p>
    <w:p>
      <w:pPr>
        <w:pStyle w:val="Normal.0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     The epigram is based on the interweaving of two motifs, the smallness and preciousness, whose combination is presented as a distinctive feature of a series of elements: the pearl, tin</w:t>
      </w:r>
      <w:r>
        <w:rPr>
          <w:rFonts w:ascii="Times New Roman" w:hAnsi="Times New Roman"/>
          <w:sz w:val="20"/>
          <w:szCs w:val="20"/>
          <w:rtl w:val="0"/>
          <w:lang w:val="en-US"/>
        </w:rPr>
        <w:t>y (</w:t>
      </w:r>
      <w:r>
        <w:rPr>
          <w:rFonts w:ascii="Times New Roman" w:hAnsi="Times New Roman" w:hint="default"/>
          <w:rtl w:val="0"/>
          <w:lang w:val="en-US"/>
        </w:rPr>
        <w:t>τυτθή</w:t>
      </w:r>
      <w:r>
        <w:rPr>
          <w:rFonts w:ascii="Times New Roman" w:hAnsi="Times New Roman"/>
          <w:sz w:val="20"/>
          <w:szCs w:val="20"/>
          <w:rtl w:val="0"/>
          <w:lang w:val="en-US"/>
        </w:rPr>
        <w:t>)</w:t>
      </w:r>
      <w:r>
        <w:rPr>
          <w:rFonts w:ascii="Times New Roman" w:hAnsi="Times New Roman"/>
          <w:sz w:val="20"/>
          <w:szCs w:val="20"/>
          <w:rtl w:val="0"/>
        </w:rPr>
        <w:t>,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 bu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t superior to all other stones (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λιθάκεσσιν ἀνάσσει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); Bethlehem, a small and insignificant village (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τυτθή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), but the one where Christ was born (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χριστοφόρος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); finally the flock of faithful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parishioners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assigned to Gregory,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which is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quantitatively limited (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ὀλίγην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) but qualitatively the best (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φερίστην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)</w:t>
      </w:r>
      <w:r>
        <w:rPr>
          <w:rtl w:val="0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in his opinion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. Th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ose elements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are arranged in a series that zooms in from the natural kingdom, to the reality of sacred history, and down to 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author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’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individual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story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; this juxtaposition of motifs is underlined by the anaphora in the first two lines, a rhetorical figure to which the author often resorts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,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in order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to emphasize words and concepts.</w:t>
      </w:r>
    </w:p>
    <w:p>
      <w:pPr>
        <w:pStyle w:val="Normal.0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     The three-element simile acquires greater rhetorical force and draws its effectiveness also from the bipartite structure of the lines, the second half of which builds a counterpoint to the first, as indicated by the conjunctions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ἀτὰρ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(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l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. 1, after a feminine caesura),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ἔμπα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(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l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. 2),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ἀλλὰ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(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l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. 3, after a bucolic diaeresis). Strictly speaking, the first couplet with the two images constitutes the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illustrans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while the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illustrandum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is introduced only in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l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. 3 (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ὣς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), so that the true protagonist of the epigram, Gregory himself, only appears at the end (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l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. 4). This happens after a purposeful waiting period and in the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enjambement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, according to the Callimachean models, of which Gregory knows himself to be an original interpreter.</w:t>
      </w:r>
    </w:p>
    <w:p>
      <w:pPr>
        <w:pStyle w:val="Normal.0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    The reference to the small community of faithful entrusted to him (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l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.3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λάχον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) is probably to be explained in the context of the dialogue on which the epigram is built: Gregory's father, also a bishop, begs his son to accept guiding his small flock. It happens to be a well-known fact that Gregory had long hesitated before accepting the episcopate.</w:t>
      </w:r>
    </w:p>
    <w:p>
      <w:pPr>
        <w:pStyle w:val="Normal.0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    On the metric level, finally, the epigram demonstrates Gregory's preference for dactylic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line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s (Agosti - Gonnelli 1995, 372-375), albeit within certain limits: the use of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τυτθή ποίμνη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and of the sacred place name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Βηθλέμ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makes it necessary for him to resort to a spondee as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 xml:space="preserve"> incipit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(v. 1: </w:t>
      </w: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rtl w:val="0"/>
          <w:lang w:val="en-US"/>
        </w:rPr>
        <w:t>sdddd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; in the first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 xml:space="preserve">hemiepes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of v. 2: </w:t>
      </w: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rtl w:val="0"/>
          <w:lang w:val="en-US"/>
        </w:rPr>
        <w:t>ss-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). This occurs frequently in Gregory's poetry, unlike in Hellenistic poetry where placing a spondee in II and IV position was preferred (other spondees are found in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l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. 3: </w:t>
      </w: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rtl w:val="0"/>
          <w:lang w:val="en-US"/>
        </w:rPr>
        <w:t>ddsdd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; and in the first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hemiepes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of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l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. 4: </w:t>
      </w: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rtl w:val="0"/>
          <w:lang w:val="en-US"/>
        </w:rPr>
        <w:t>ds-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).</w:t>
      </w:r>
    </w:p>
    <w:p>
      <w:pPr>
        <w:pStyle w:val="Normal.0"/>
        <w:rPr>
          <w:rFonts w:ascii="Palatino Linotype" w:cs="Palatino Linotype" w:hAnsi="Palatino Linotype" w:eastAsia="Palatino Linotype"/>
          <w:sz w:val="20"/>
          <w:szCs w:val="20"/>
        </w:rPr>
      </w:pPr>
    </w:p>
    <w:p>
      <w:pPr>
        <w:pStyle w:val="Normal.0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rtl w:val="0"/>
        </w:rPr>
        <w:t>l</w:t>
      </w: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rtl w:val="0"/>
          <w:lang w:val="en-US"/>
        </w:rPr>
        <w:t xml:space="preserve">. 1 </w:t>
      </w: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rtl w:val="0"/>
          <w:lang w:val="en-US"/>
        </w:rPr>
        <w:t>τυτθός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: 'little', with this distinctive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incipit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also reinforced by the anaphora in the following line, Gregory professes his preference for Callimachean models. In fact, this is an adjective derived from Homer, through the language of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drama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to Hellenistic (I am thinking especially of Callimachus,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Aitia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fr. 1,5 Pfeiffer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ἔπος δ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'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ἐπὶ τυτθὸν ἐλίσσω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) and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I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mperial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poetry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(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Quintus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of Smyrna: 35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examples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, Eudocia: 37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examples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while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it is found only twice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in the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poetry by the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innovator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Nonnus of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Panopoli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).</w:t>
      </w:r>
    </w:p>
    <w:p>
      <w:pPr>
        <w:pStyle w:val="Normal.0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rtl w:val="0"/>
          <w:lang w:val="en-US"/>
        </w:rPr>
        <w:t>μ</w:t>
      </w: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rtl w:val="0"/>
          <w:lang w:val="en-US"/>
        </w:rPr>
        <w:t>άργαρος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: '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p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earl'. The reference to the world of precious stones recalls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Posidippus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, but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there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is no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precise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citation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.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After all,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the term did not have a tradition in the poetic language before Gregory, and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it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w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ould not be popular after him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(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hapax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in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Nonnus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Dion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. 5.167): for other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examples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in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Gregory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Nazianz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en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(8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times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),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cf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.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for example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 xml:space="preserve">Carmina de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</w:rPr>
        <w:t>se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 xml:space="preserve"> ipso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(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MPG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37, 1210, 1, 1241, 9).</w:t>
      </w:r>
    </w:p>
    <w:p>
      <w:pPr>
        <w:pStyle w:val="Normal.0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rtl w:val="0"/>
        </w:rPr>
        <w:t>λιθάκεσσιν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: epic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dative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, from 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originally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adjectival stem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λίθαξ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‘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of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stone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’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; it is 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Homeric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 xml:space="preserve"> hapax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(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λίθακι ποτὶ πέτρῃ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in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</w:rPr>
        <w:t>Od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. 5.145), then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made into a noun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it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is an artificial form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from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Hellenistic poetry whose first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occurrence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is documented in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Aratus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(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Ph.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1.1112), then followed by Manetho and Tryphiodorus. This is a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refined usage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that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Gregory of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Nazianzus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must have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particularly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liked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since his writings account for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5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occurrences out of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 total of 15 in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the whole of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Greek and Byzantine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literature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(two of which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are to be found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in medieval lexicons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devoted to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Gregor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’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 works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). In fact, it is on a formal and gramma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tical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level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that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Gregory's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tireless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research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can be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observed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where it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leads him to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make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original choices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even within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Homeric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vocabulary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.</w:t>
      </w:r>
    </w:p>
    <w:p>
      <w:pPr>
        <w:pStyle w:val="Normal.0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rtl w:val="0"/>
        </w:rPr>
        <w:t>l</w:t>
      </w: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rtl w:val="0"/>
          <w:lang w:val="en-US"/>
        </w:rPr>
        <w:t xml:space="preserve">. 2 </w:t>
      </w: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rtl w:val="0"/>
          <w:lang w:val="en-US"/>
        </w:rPr>
        <w:t>Βηθλέμ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: the figurative repertoire which Gregory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uses here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is not new. The traditional motif of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Bethlehem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’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smallness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is already found in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the Prophet Micah (5</w:t>
      </w:r>
      <w:r>
        <w:rPr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Καὶ σύ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Βηθλεεμ οἶκος τοῦ Εφραθα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ὀλιγοστὸς εἶ τοῦ εἶναι ἐν χιλιάσιν Ιουδα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) and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is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also mentioned in the Gospel of Matthew (2.6). The scriptural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citation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, however, only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concerns the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them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because Gregory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relishes in creating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var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iations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and, consistent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ly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with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his 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ttitude of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a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Christian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steeped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in classical culture,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he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prefers the poetic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τυτθός</w:t>
      </w:r>
      <w:r>
        <w:rPr>
          <w:rtl w:val="0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to the adjective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ὀλιγοστὸς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from the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Septuaginta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and to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ἐλαχίστη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, the form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with which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it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was para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ph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ras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ed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by Matt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hew.</w:t>
      </w:r>
    </w:p>
    <w:p>
      <w:pPr>
        <w:pStyle w:val="Normal.0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rtl w:val="0"/>
        </w:rPr>
        <w:t>χριστοφόρος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: a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clear novelty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for the poetic language is the use of this compound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adjective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, 'bearer of Christ' (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l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. 2), coined 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 early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the II century A.D. (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for instance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in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the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prose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of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Ignatius of Antioch), which now, also thanks to an easy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prosodic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configuration (-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∪ ∪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-), Gregory introduces in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to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h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x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amet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er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(10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occurrences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).</w:t>
      </w:r>
    </w:p>
    <w:p>
      <w:pPr>
        <w:pStyle w:val="Normal.0"/>
        <w:rPr>
          <w:rFonts w:ascii="Palatino Linotype" w:cs="Palatino Linotype" w:hAnsi="Palatino Linotype" w:eastAsia="Palatino Linotype"/>
          <w:b w:val="1"/>
          <w:bCs w:val="1"/>
          <w:sz w:val="20"/>
          <w:szCs w:val="20"/>
        </w:rPr>
      </w:pP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rtl w:val="0"/>
        </w:rPr>
        <w:t>l</w:t>
      </w: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rtl w:val="0"/>
          <w:lang w:val="en-US"/>
        </w:rPr>
        <w:t xml:space="preserve">. 3 </w:t>
      </w: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rtl w:val="0"/>
          <w:lang w:val="en-US"/>
        </w:rPr>
        <w:t>ὀλίγην… ποίμνην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: 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motif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of the little flock is already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found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in the Gospel (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Lk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. 12, 32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Μὴ φοβοῦ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τὸ μικρὸν ποίμνιον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ὅτι εὐδόκησεν ὁ πατὴρ ὑμῶν δοῦναι ὑμῖν τὴν βασιλείαν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) and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it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became known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in</w:t>
      </w:r>
      <w:r>
        <w:rPr>
          <w:rtl w:val="0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the Latin world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as the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pusillus grex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. Gregor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as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was his wont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creates 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lexic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al variation on it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.</w:t>
      </w:r>
    </w:p>
    <w:p>
      <w:pPr>
        <w:pStyle w:val="Normal.0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rtl w:val="0"/>
        </w:rPr>
        <w:t>φερίστην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: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as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also the ancient superlative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φέριστος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'best', which was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however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already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found in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Homer, is a very dear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form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to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this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author (27/28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occurrences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)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. It is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otherwise relatively infrequent in both prose and poetry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: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7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occurrences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in Homer, then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it becomes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rare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;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it is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often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found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in the vocative in lyric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al poetry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and in tragedy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,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and attested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then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only sporadically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in later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poetry,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in authors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such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as Manet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ho,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but 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ever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in Nonnus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and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only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once in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Quintus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of Smyrna (1.465). </w:t>
      </w:r>
    </w:p>
    <w:p>
      <w:pPr>
        <w:pStyle w:val="Normal.0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C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allimache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an taste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seems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, on the other hand,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to inspire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preceding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bucolic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diaeresis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.</w:t>
      </w:r>
    </w:p>
    <w:p>
      <w:pPr>
        <w:pStyle w:val="Normal.0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rtl w:val="0"/>
        </w:rPr>
        <w:t>l</w:t>
      </w: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rtl w:val="0"/>
          <w:lang w:val="en-US"/>
        </w:rPr>
        <w:t xml:space="preserve">. 4 </w:t>
      </w: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rtl w:val="0"/>
          <w:lang w:val="en-US"/>
        </w:rPr>
        <w:t>λίσσομαι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: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H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omeri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c citations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in Gregory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Nazianz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en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are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also evident from a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tessera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such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as 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verb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λίσσομαι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‘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to implore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', common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in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Hellenistic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and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I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mperial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poetry, especially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in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the participle (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Quintus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Nonnus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Eudocia). </w:t>
      </w:r>
    </w:p>
    <w:p>
      <w:pPr>
        <w:pStyle w:val="Normal.0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rtl w:val="0"/>
        </w:rPr>
        <w:t>ἄγοις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: Gregory</w:t>
      </w:r>
      <w:r>
        <w:rPr>
          <w:rtl w:val="0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frequently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uses verbs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in the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o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p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tativ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e form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in prayers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, attributing to them 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well-attested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desiderativ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valence: see for example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φέροις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in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</w:rPr>
        <w:t>c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arm.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II,1.19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l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. 83 (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Τῆ νῦν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Χριστέ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φέροις με ὅποι φίλον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), II,1.45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l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. 344 (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τέρμα φέροις ζωῆς ἵλαος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).</w:t>
      </w:r>
      <w:r>
        <w:rPr>
          <w:rFonts w:ascii="Palatino Linotype" w:cs="Palatino Linotype" w:hAnsi="Palatino Linotype" w:eastAsia="Palatino Linotype"/>
          <w:sz w:val="20"/>
          <w:szCs w:val="20"/>
          <w:vertAlign w:val="superscript"/>
        </w:rPr>
        <w:footnoteReference w:id="1"/>
      </w:r>
    </w:p>
    <w:p>
      <w:pPr>
        <w:pStyle w:val="Normal.0"/>
        <w:rPr>
          <w:rFonts w:ascii="Palatino Linotype" w:cs="Palatino Linotype" w:hAnsi="Palatino Linotype" w:eastAsia="Palatino Linotype"/>
          <w:sz w:val="20"/>
          <w:szCs w:val="20"/>
        </w:rPr>
      </w:pPr>
    </w:p>
    <w:p>
      <w:pPr>
        <w:pStyle w:val="Normal.0"/>
        <w:rPr>
          <w:rFonts w:ascii="Palatino Linotype" w:cs="Palatino Linotype" w:hAnsi="Palatino Linotype" w:eastAsia="Palatino Linotype"/>
          <w:b w:val="1"/>
          <w:bCs w:val="1"/>
          <w:sz w:val="20"/>
          <w:szCs w:val="20"/>
        </w:rPr>
      </w:pP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rtl w:val="0"/>
          <w:lang w:val="en-US"/>
        </w:rPr>
        <w:t xml:space="preserve">2) </w:t>
      </w: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sz w:val="20"/>
          <w:szCs w:val="20"/>
          <w:rtl w:val="0"/>
        </w:rPr>
        <w:t>AP</w:t>
      </w: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sz w:val="20"/>
          <w:szCs w:val="20"/>
          <w:rtl w:val="0"/>
          <w:lang w:val="en-US"/>
        </w:rPr>
        <w:t>.</w:t>
      </w: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rtl w:val="0"/>
          <w:lang w:val="en-US"/>
        </w:rPr>
        <w:t xml:space="preserve"> 8.170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   </w:t>
      </w:r>
    </w:p>
    <w:p>
      <w:pPr>
        <w:pStyle w:val="Normal.0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The entirely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h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x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ametric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epigram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is 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traditional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topos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on which the same Gregory focuses often, i.e. 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o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ath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gainst the tomb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profaner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s (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ἀραὶ ἐπιτύμβιοι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). This practice, the so-called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τυμβωρυχία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had a very ancient history in Greece and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was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documented for example by Cicero, who reported the existence of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Solon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’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law against sepulchre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violator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s (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Leg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. 2.64 = fr. 72a [36] Ruschenbusch). The imperial age, especially from the III sec.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.C., had experienced a significant increase in cases of profanation of tombs.</w:t>
      </w:r>
      <w:r>
        <w:rPr>
          <w:rFonts w:ascii="Palatino Linotype" w:cs="Palatino Linotype" w:hAnsi="Palatino Linotype" w:eastAsia="Palatino Linotype"/>
          <w:sz w:val="20"/>
          <w:szCs w:val="20"/>
          <w:vertAlign w:val="superscript"/>
        </w:rPr>
        <w:footnoteReference w:id="2"/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</w:p>
    <w:p>
      <w:pPr>
        <w:pStyle w:val="Normal.0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    The poem is cleverly constructed on a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triadic schema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.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Gregory reproaches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the tomb profaners three times, as well as wishing death upon them as many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times, denounc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ing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the gravity of their gesture: in the first two verses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one witnesses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the mixing 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of the bodies of the </w:t>
      </w:r>
      <w:r>
        <w:rPr>
          <w:rFonts w:ascii="Times New Roman" w:hAnsi="Times New Roman"/>
          <w:sz w:val="20"/>
          <w:szCs w:val="20"/>
          <w:rtl w:val="0"/>
        </w:rPr>
        <w:t>unbelievers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 (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σώματ ἀνάγνων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') with those of the martyrs (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ἀθλοφόροις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)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;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in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lines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3-4 the devastation of some tombs, often valuable because they contain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precious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objects (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σήματα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), and the resale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of the objects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(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lines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4-5)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;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finally in the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last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two verses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we witness 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sacrilege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against the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martyrs (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lines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5-6) with the invocation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of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the descent of 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Σοδομίτιδες πηγαί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. 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triadic motif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at the basis of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the poem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’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 structur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reappears in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line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5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, with the insinuation that the profan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ers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have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each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sold 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valuable objects from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the tombs three times (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τρίς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). </w:t>
      </w:r>
    </w:p>
    <w:p>
      <w:pPr>
        <w:pStyle w:val="Normal.0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   At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the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metric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level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,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the dactylic hexameter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prevails,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at times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in a h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oloda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c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lic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form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(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lines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3, 5 and 6), or with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a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sponde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in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the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first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position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(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l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. 4), or in the second (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l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. 1 and 2). The distribution of 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trithemimeral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caesura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in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l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. 1 and 2 highlights the words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in the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incipit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</w:rPr>
        <w:t>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.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One notices also 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bucolic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diaereses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in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l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. 4, a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feminine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caesura in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l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. 5 and a masculine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one in l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. 6.</w:t>
      </w:r>
    </w:p>
    <w:p>
      <w:pPr>
        <w:pStyle w:val="Normal.0"/>
        <w:rPr>
          <w:rFonts w:ascii="Palatino Linotype" w:cs="Palatino Linotype" w:hAnsi="Palatino Linotype" w:eastAsia="Palatino Linotype"/>
          <w:sz w:val="20"/>
          <w:szCs w:val="20"/>
        </w:rPr>
      </w:pPr>
    </w:p>
    <w:p>
      <w:pPr>
        <w:pStyle w:val="Normal.0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rtl w:val="0"/>
        </w:rPr>
        <w:t>l</w:t>
      </w: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rtl w:val="0"/>
          <w:lang w:val="en-US"/>
        </w:rPr>
        <w:t xml:space="preserve">. 1 </w:t>
      </w: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rtl w:val="0"/>
          <w:lang w:val="en-US"/>
        </w:rPr>
        <w:t>Τρισθανέες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: nominative plural of the adjective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with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two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possible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form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τρισθανής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ές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, 'd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ign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of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dying three times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’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,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a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 xml:space="preserve"> hapax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only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attested in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Gregor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. This is a vehement</w:t>
      </w:r>
      <w:r>
        <w:rPr>
          <w:rtl w:val="0"/>
        </w:rPr>
        <w:t xml:space="preserve">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incipit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underlined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by the caesura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, and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strik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ing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for its originality thanks to the neologism. Faithful to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his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usual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modus operandi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of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variatio in imita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</w:rPr>
        <w:t>ndo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Gregory will have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recalled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the Homeric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δισθανής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‘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twice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dead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’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hapax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in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</w:rPr>
        <w:t>Od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. 12-22, reported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by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Circe to Odysseus and his companions,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who had just returned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from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the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νέκυια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and therefore paradoxically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destined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to die twice.</w:t>
      </w:r>
      <w:r>
        <w:rPr>
          <w:rFonts w:ascii="Palatino Linotype" w:cs="Palatino Linotype" w:hAnsi="Palatino Linotype" w:eastAsia="Palatino Linotype"/>
          <w:sz w:val="20"/>
          <w:szCs w:val="20"/>
          <w:vertAlign w:val="superscript"/>
        </w:rPr>
        <w:footnoteReference w:id="3"/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</w:p>
    <w:p>
      <w:pPr>
        <w:pStyle w:val="Normal.0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rtl w:val="0"/>
        </w:rPr>
        <w:t>l</w:t>
      </w: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rtl w:val="0"/>
          <w:lang w:val="en-US"/>
        </w:rPr>
        <w:t xml:space="preserve">. 2 </w:t>
      </w: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rtl w:val="0"/>
          <w:lang w:val="en-US"/>
        </w:rPr>
        <w:t>ἀθλοφόροις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: 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ἀθλοφόροι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(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literally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‘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winners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’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)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are the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martyrs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in the Christian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vocabulary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because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they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have earned the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ir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victory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through the suffering of martyrdom. The term had a no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n-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linear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history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, because in archaic and classical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literature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it sounded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as poetic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;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and after Homer (3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occurrences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)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, it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was back in vogue only in the epigram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s, cf. Posidippus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(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p. 71.3; 82.6 Austin-Bastianini) and in a very erudite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text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of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the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Septuaginta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as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IV Macc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(2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examples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).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Its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true recovery would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only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start with the acts of the martyrs and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literature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of the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late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antiquity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, e.g. Gregory (13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examples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), wh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o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particularly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likes this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term, Ephrem the Syrian (11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times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),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Nonnus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(9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times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)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, until its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very common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usage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in 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medieval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Byzantine Empire.</w:t>
      </w:r>
    </w:p>
    <w:p>
      <w:pPr>
        <w:pStyle w:val="Normal.0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rtl w:val="0"/>
        </w:rPr>
        <w:t>θυηπόλον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: accusative of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θυηπόλος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‘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performer of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sacrifices', '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priest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' already in the pagan world,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attested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at least from Aeschylus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onwards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.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Its meaning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is not entirely clear. Gregor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reprimands the tomb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profan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ers for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mix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ing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bones of martyrs with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bodies of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non-believers (</w:t>
      </w:r>
      <w:r>
        <w:rPr>
          <w:rFonts w:ascii="Times New Roman" w:hAnsi="Times New Roman" w:hint="default"/>
          <w:rtl w:val="0"/>
          <w:lang w:val="en-US"/>
        </w:rPr>
        <w:t>ἀνάγνων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) and adds that the tombs (of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the unbelievers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?) thus contain the remains of 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probably Christian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θυηπόλον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. The gramma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rian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Pachomius 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h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usan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us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who lived in the XVI century, provides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us with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a useful paraphrase that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is consistent with this interpretation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: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καὶ οὕτως οἱ τάφοι τῶν βεβήλων ἱερέα περιέχουσι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(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Oratio funebris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, in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Karmires 1936, 35). Or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maybe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the remains of the martyrs are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thus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mixed with those of a pagan priest: th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is is consistent with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Ambrosian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comment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in the margin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reported by M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uratori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1709, 211 (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τύμβοι δὲ βεβήλων θυοπόλον πολλάκις μέσον ἔχουσι κείμενον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), on which Boissonade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based his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Latin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translat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ion with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flaminem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(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cf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.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lso Paton). </w:t>
      </w:r>
    </w:p>
    <w:p>
      <w:pPr>
        <w:pStyle w:val="Normal.0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rtl w:val="0"/>
        </w:rPr>
        <w:t>ἀμφὶς</w:t>
      </w: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rtl w:val="0"/>
          <w:lang w:val="en-US"/>
        </w:rPr>
        <w:t xml:space="preserve"> ἔχουσι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: the expression has the value of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περιέχω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according to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Homeric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use, in reality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only found in the Odissey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(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</w:rPr>
        <w:t>Od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. 1.54; 3.486; 8.340; 15.184),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of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which Gregory makes occasional use (8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times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: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cf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.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lso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 xml:space="preserve">AP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8.137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,2), unlike other authors of the imperial age, as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Quintus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of Smyrna (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once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) or the innovator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Nonnus that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totally ignores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it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.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ἀ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μφὶς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instead of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ἀμφί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is an epic form.</w:t>
      </w:r>
    </w:p>
    <w:p>
      <w:pPr>
        <w:pStyle w:val="Normal.0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rtl w:val="0"/>
        </w:rPr>
        <w:t>l</w:t>
      </w: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rtl w:val="0"/>
          <w:lang w:val="en-US"/>
        </w:rPr>
        <w:t xml:space="preserve">. 3 </w:t>
      </w: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rtl w:val="0"/>
          <w:lang w:val="en-US"/>
        </w:rPr>
        <w:t>διεπέρσατε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: aorist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of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διαπέρθω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'd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estroy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', is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also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n epic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form,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and 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refined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one at that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since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in Homer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it is found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in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the third person singular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διέπερσε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(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</w:rPr>
        <w:t>Od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. 9.265),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in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the first plural inside a formula subject to small variations (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O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</w:rPr>
        <w:t>d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.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3.130; 11.533; 13.316), and only three times in the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 xml:space="preserve">Iliad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(4.53; 4.55; 9.46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)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,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only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slightly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more often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than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simple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verb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πέρθω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(19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occurrences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). Interesting to note that the word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in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the aorist would still be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used by Quintus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of Smyrna (4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times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), Gregory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him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self (7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occurrences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), but not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by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Nonnus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. For other uses in 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epigrammatic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context in Gregory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’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 work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,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cf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.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AP.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8.209 and 8.219.</w:t>
      </w:r>
    </w:p>
    <w:p>
      <w:pPr>
        <w:pStyle w:val="Normal.0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rtl w:val="0"/>
        </w:rPr>
        <w:t>ἀ</w:t>
      </w: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rtl w:val="0"/>
          <w:lang w:val="en-US"/>
        </w:rPr>
        <w:t>θέσμως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: adverb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liked by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Gregory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Nazianz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en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(7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occurrences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), which serves to deplore the absence of respect with which the profan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ers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devastate the tombs. The privative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stem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ἀθέσμ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-, rare in Hellenistic prose, with two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occurrences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even in the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New Testament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in the Second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Epistle of Peter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(2.7.2, 3.17.2)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would have been very frequent in the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</w:rPr>
        <w:t xml:space="preserve">Sibylline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</w:rPr>
        <w:t>Or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acles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(16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times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), where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he adverb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is used in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h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x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ametric clause (3.524, 8.80, 11.313), as in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Gregory's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epigram.</w:t>
      </w:r>
      <w:r>
        <w:rPr>
          <w:rFonts w:ascii="Palatino Linotype" w:cs="Palatino Linotype" w:hAnsi="Palatino Linotype" w:eastAsia="Palatino Linotype"/>
          <w:sz w:val="20"/>
          <w:szCs w:val="20"/>
          <w:vertAlign w:val="superscript"/>
        </w:rPr>
        <w:footnoteReference w:id="4"/>
      </w:r>
    </w:p>
    <w:p>
      <w:pPr>
        <w:pStyle w:val="Normal.0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rtl w:val="0"/>
        </w:rPr>
        <w:t>l</w:t>
      </w: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rtl w:val="0"/>
          <w:lang w:val="en-US"/>
        </w:rPr>
        <w:t xml:space="preserve">. 4 </w:t>
      </w: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rtl w:val="0"/>
          <w:lang w:val="en-US"/>
        </w:rPr>
        <w:t>σήματα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: '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m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onument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', is the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preserved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form, except for 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C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ode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x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Palatin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us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that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has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εἵματα </w:t>
      </w:r>
      <w:r>
        <w:rPr>
          <w:rFonts w:ascii="Palatino Linotype" w:cs="Palatino Linotype" w:hAnsi="Palatino Linotype" w:eastAsia="Palatino Linotype"/>
          <w:outline w:val="0"/>
          <w:color w:val="70ad47"/>
          <w:sz w:val="20"/>
          <w:szCs w:val="20"/>
          <w:rtl w:val="0"/>
          <w14:textFill>
            <w14:solidFill>
              <w14:srgbClr w14:val="70AD47"/>
            </w14:solidFill>
          </w14:textFill>
        </w:rPr>
        <w:t>‘</w:t>
      </w:r>
      <w:r>
        <w:rPr>
          <w:rFonts w:ascii="Palatino Linotype" w:cs="Palatino Linotype" w:hAnsi="Palatino Linotype" w:eastAsia="Palatino Linotype"/>
          <w:outline w:val="0"/>
          <w:color w:val="70ad47"/>
          <w:sz w:val="20"/>
          <w:szCs w:val="20"/>
          <w:rtl w:val="0"/>
          <w14:textFill>
            <w14:solidFill>
              <w14:srgbClr w14:val="70AD47"/>
            </w14:solidFill>
          </w14:textFill>
        </w:rPr>
        <w:t>clad</w:t>
      </w:r>
      <w:r>
        <w:rPr>
          <w:rFonts w:ascii="Palatino Linotype" w:cs="Palatino Linotype" w:hAnsi="Palatino Linotype" w:eastAsia="Palatino Linotype"/>
          <w:outline w:val="0"/>
          <w:color w:val="70ad47"/>
          <w:sz w:val="20"/>
          <w:szCs w:val="20"/>
          <w:rtl w:val="0"/>
          <w14:textFill>
            <w14:solidFill>
              <w14:srgbClr w14:val="70AD47"/>
            </w14:solidFill>
          </w14:textFill>
        </w:rPr>
        <w:t>’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instead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; Mabillon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amended it as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σώματα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but it is preferable to keep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σήματα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for thematic consistency, since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it concerns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funer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ary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monuments (thus Waltz and Beckby). Gregor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reproaches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profan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ers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for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pointlessness of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their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act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: Pachomius 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h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usan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us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adds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καίτοι οὐδεμία ἡ ἀνάγκη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(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Karmires 1936, 36),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since they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also have similar funera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ry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monuments.</w:t>
      </w:r>
    </w:p>
    <w:p>
      <w:pPr>
        <w:pStyle w:val="Normal.0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rtl w:val="0"/>
        </w:rPr>
        <w:t>l</w:t>
      </w: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rtl w:val="0"/>
          <w:lang w:val="en-US"/>
        </w:rPr>
        <w:t xml:space="preserve">. 5 </w:t>
      </w: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rtl w:val="0"/>
          <w:lang w:val="en-US"/>
        </w:rPr>
        <w:t>ἱεροσυλεῖς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: is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an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amendment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by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M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uratori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instead of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the preserved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ἱεροσύλοις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. In this way, it also establishes the usual dialogical style of the funerary epigram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dear to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Gregory of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Nazianzus.</w:t>
      </w:r>
    </w:p>
    <w:p>
      <w:pPr>
        <w:pStyle w:val="Normal.0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rtl w:val="0"/>
        </w:rPr>
        <w:t>l</w:t>
      </w: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rtl w:val="0"/>
          <w:lang w:val="en-US"/>
        </w:rPr>
        <w:t xml:space="preserve">. 6 </w:t>
      </w: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rtl w:val="0"/>
          <w:lang w:val="en-US"/>
        </w:rPr>
        <w:t>οἷς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:</w:t>
      </w: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Good amendment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by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Desrousseaux,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set into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the text by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Waltz instead of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οὕς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. In this way, with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ellipses of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demonstrative and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attraction of the relative,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text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becomes clearer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through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 reference to those who receive the benefits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from robbing the sepulchers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. However, the paraphrase of Pachomius 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h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usan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us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seems to confirm the reliability of 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preserved textual tradition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.</w:t>
      </w:r>
    </w:p>
    <w:p>
      <w:pPr>
        <w:pStyle w:val="Normal.0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ἵξατε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: aorist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of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ἱκνέομαι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‘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to arrive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’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amendment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by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Jacobs in place of the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preserved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εἴξατε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, aorist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of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εἴκω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‘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to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give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’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. Before him,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Muratori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inte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rpret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ed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it,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in fact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, as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Sodoma, cede, maior enim est horum quam tua improbitas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(1709, 267).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 v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alid alternative, according 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o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Boissonade, could be Salvini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’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 supposition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ἥξατε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(cf. Aeschylus,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Promet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</w:rPr>
        <w:t>h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e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</w:rPr>
        <w:t>us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135, but also Euripides,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I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</w:rPr>
        <w:t>ph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igenia in Auli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</w:rPr>
        <w:t>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416), or even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ᾄ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ξατε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from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ἀίσσω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‘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to rush/move violently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‘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also in the sense of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‘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to gush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', proposed by Boissonade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him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self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,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and accepted by Waltz ("jaillissez, sources de Sodome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”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)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, which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seems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preferable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to me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. </w:t>
      </w:r>
    </w:p>
    <w:p>
      <w:pPr>
        <w:pStyle w:val="Normal.0"/>
        <w:rPr>
          <w:rFonts w:ascii="Palatino Linotype" w:cs="Palatino Linotype" w:hAnsi="Palatino Linotype" w:eastAsia="Palatino Linotype"/>
          <w:sz w:val="20"/>
          <w:szCs w:val="20"/>
        </w:rPr>
      </w:pPr>
      <w:r>
        <w:rPr>
          <w:rFonts w:ascii="Palatino Linotype" w:cs="Palatino Linotype" w:hAnsi="Palatino Linotype" w:eastAsia="Palatino Linotype"/>
          <w:b w:val="1"/>
          <w:bCs w:val="1"/>
          <w:sz w:val="20"/>
          <w:szCs w:val="20"/>
          <w:rtl w:val="0"/>
        </w:rPr>
        <w:t>πηγαί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: 'sources' but also '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torrents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'.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reference to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Σοδομίτιδες πηγαί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seems odd here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and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there have been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proposal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to amend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it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: "Novi quid iotacismus suadeat scribendum, nisi vetet Patris os sanctum" (Boissonade), but Waltz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’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s interpretation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solves the problem by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resorting to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the biblical image of the torrents of fire and brimstone that had incinerated Sodom (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Gen.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19). Thus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also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Beckby: "Oh kommt ihr Sodomaquellen". In Gregory, in fact, the adjective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Σοδομιτικὸς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refers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7 times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out of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8 to fire (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πῦρ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):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cf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.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for instance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epist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. 77.10;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</w:rPr>
        <w:t>e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pist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. 95.1;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orat.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40 (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PG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36.412). The originality of the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 xml:space="preserve"> iunctura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, 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 xml:space="preserve">unicum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in Greek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 a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nd Byzantine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literature,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and unattested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in the corresponding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passage in </w:t>
      </w:r>
      <w:r>
        <w:rPr>
          <w:rFonts w:ascii="Palatino Linotype" w:cs="Palatino Linotype" w:hAnsi="Palatino Linotype" w:eastAsia="Palatino Linotype"/>
          <w:i w:val="1"/>
          <w:iCs w:val="1"/>
          <w:sz w:val="20"/>
          <w:szCs w:val="20"/>
          <w:rtl w:val="0"/>
          <w:lang w:val="en-US"/>
        </w:rPr>
        <w:t>Genesis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, is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appropriate in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the use of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πηγαί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. Pachomius R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h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usan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us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added a further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interpretive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possibility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>,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 xml:space="preserve"> but I feel it is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</w:rPr>
        <w:t xml:space="preserve">rather </w:t>
      </w:r>
      <w:r>
        <w:rPr>
          <w:rFonts w:ascii="Palatino Linotype" w:cs="Palatino Linotype" w:hAnsi="Palatino Linotype" w:eastAsia="Palatino Linotype"/>
          <w:sz w:val="20"/>
          <w:szCs w:val="20"/>
          <w:rtl w:val="0"/>
          <w:lang w:val="en-US"/>
        </w:rPr>
        <w:t>unlikely.</w:t>
      </w:r>
    </w:p>
    <w:p>
      <w:pPr>
        <w:pStyle w:val="Normal.0"/>
      </w:pPr>
      <w:bookmarkStart w:name="refWaltzAnthologiegrecque1944" w:id="0"/>
      <w:bookmarkEnd w:id="0"/>
      <w:r>
        <w:rPr>
          <w:rFonts w:ascii="Palatino Linotype" w:cs="Palatino Linotype" w:hAnsi="Palatino Linotype" w:eastAsia="Palatino Linotype"/>
          <w:sz w:val="20"/>
          <w:szCs w:val="20"/>
        </w:rPr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Palatino Linotyp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ootnote text"/>
      </w:pPr>
      <w:r>
        <w:rPr>
          <w:rFonts w:ascii="Palatino Linotype" w:cs="Palatino Linotype" w:hAnsi="Palatino Linotype" w:eastAsia="Palatino Linotype"/>
          <w:sz w:val="20"/>
          <w:szCs w:val="20"/>
          <w:vertAlign w:val="superscript"/>
        </w:rPr>
        <w:footnoteRef/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"A very similar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use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is found in the prayers, thanks to the presence of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 xml:space="preserve">the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form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ἄγοις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, in </w:t>
      </w:r>
      <w:r>
        <w:rPr>
          <w:rFonts w:ascii="Palatino Linotype" w:cs="Palatino Linotype" w:hAnsi="Palatino Linotype" w:eastAsia="Palatino Linotype"/>
          <w:i w:val="1"/>
          <w:iCs w:val="1"/>
          <w:sz w:val="18"/>
          <w:szCs w:val="18"/>
          <w:rtl w:val="0"/>
          <w:lang w:val="en-US"/>
        </w:rPr>
        <w:t>carm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. I,1.36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l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. 33 (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ἀλλά με καὶ νῦν ἄγοις ἐσθλὸν ἐπὶ τέρμα πορείης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),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 xml:space="preserve">at the end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of the poem, I,1.37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l.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6 (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καί με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,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Ἄναξ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,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παλίνορσον ἄγοις ἐπὶ δῶμα πενιχρόν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), I,2.12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l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. 12 (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Κόσμε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,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παρῆλθον ἐγώ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,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λαὸν ἄτρωτον ἄγοις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), also in this case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 xml:space="preserve">in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the last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line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of the poem" (Ricceri 2013, 231-232). On the use of the desiderativ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e</w:t>
      </w:r>
      <w:r>
        <w:rPr>
          <w:rtl w:val="0"/>
        </w:rPr>
        <w:t xml:space="preserve">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o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p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tativ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e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without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ἄν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or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an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other particle, Ricceri refers to Smyth 1920, 406.</w:t>
      </w:r>
    </w:p>
  </w:footnote>
  <w:footnote w:id="2">
    <w:p>
      <w:pPr>
        <w:pStyle w:val="footnote text"/>
      </w:pPr>
      <w:r>
        <w:rPr>
          <w:rFonts w:ascii="Palatino Linotype" w:cs="Palatino Linotype" w:hAnsi="Palatino Linotype" w:eastAsia="Palatino Linotype"/>
          <w:sz w:val="20"/>
          <w:szCs w:val="20"/>
          <w:vertAlign w:val="superscript"/>
        </w:rPr>
        <w:footnoteRef/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Floridi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2013, 58. On the laws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concerning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tomb profanation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, Nock 1986</w:t>
      </w:r>
      <w:r>
        <w:rPr>
          <w:rFonts w:ascii="Palatino Linotype" w:cs="Palatino Linotype" w:hAnsi="Palatino Linotype" w:eastAsia="Palatino Linotype"/>
          <w:sz w:val="18"/>
          <w:szCs w:val="18"/>
          <w:vertAlign w:val="superscript"/>
          <w:rtl w:val="0"/>
          <w:lang w:val="en-US"/>
        </w:rPr>
        <w:t>2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.</w:t>
      </w:r>
    </w:p>
  </w:footnote>
  <w:footnote w:id="3">
    <w:p>
      <w:pPr>
        <w:pStyle w:val="Normal.0"/>
        <w:spacing w:line="240" w:lineRule="auto"/>
      </w:pPr>
      <w:r>
        <w:rPr>
          <w:rFonts w:ascii="Palatino Linotype" w:cs="Palatino Linotype" w:hAnsi="Palatino Linotype" w:eastAsia="Palatino Linotype"/>
          <w:sz w:val="20"/>
          <w:szCs w:val="20"/>
          <w:vertAlign w:val="superscript"/>
        </w:rPr>
        <w:footnoteRef/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Among neologisms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obtained with the prefix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τρισ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-, some had been successful,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 xml:space="preserve"> such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as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τρισάθλιος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'three times unhappy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 xml:space="preserve">’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starting from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Sophocles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and on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ward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;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others were curious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ly destined to be a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i w:val="1"/>
          <w:iCs w:val="1"/>
          <w:sz w:val="18"/>
          <w:szCs w:val="18"/>
          <w:rtl w:val="0"/>
          <w:lang w:val="en-US"/>
        </w:rPr>
        <w:t>hapax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,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 xml:space="preserve">such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as the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 xml:space="preserve">rare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compound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τρισαλιτήριος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, 'three times cursed', </w:t>
      </w:r>
      <w:r>
        <w:rPr>
          <w:rFonts w:ascii="Palatino Linotype" w:cs="Palatino Linotype" w:hAnsi="Palatino Linotype" w:eastAsia="Palatino Linotype"/>
          <w:i w:val="1"/>
          <w:iCs w:val="1"/>
          <w:sz w:val="18"/>
          <w:szCs w:val="18"/>
          <w:rtl w:val="0"/>
          <w:lang w:val="en-US"/>
        </w:rPr>
        <w:t>dis legomenon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in </w:t>
      </w:r>
      <w:r>
        <w:rPr>
          <w:rFonts w:ascii="Palatino Linotype" w:cs="Palatino Linotype" w:hAnsi="Palatino Linotype" w:eastAsia="Palatino Linotype"/>
          <w:i w:val="1"/>
          <w:iCs w:val="1"/>
          <w:sz w:val="18"/>
          <w:szCs w:val="18"/>
          <w:rtl w:val="0"/>
          <w:lang w:val="en-US"/>
        </w:rPr>
        <w:t xml:space="preserve">Septuaginta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(</w:t>
      </w:r>
      <w:r>
        <w:rPr>
          <w:rFonts w:ascii="Palatino Linotype" w:cs="Palatino Linotype" w:hAnsi="Palatino Linotype" w:eastAsia="Palatino Linotype"/>
          <w:i w:val="1"/>
          <w:iCs w:val="1"/>
          <w:sz w:val="18"/>
          <w:szCs w:val="18"/>
          <w:rtl w:val="0"/>
          <w:lang w:val="en-US"/>
        </w:rPr>
        <w:t>II Macc.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8.34, 15.3 and </w:t>
      </w:r>
      <w:r>
        <w:rPr>
          <w:rFonts w:ascii="Palatino Linotype" w:cs="Palatino Linotype" w:hAnsi="Palatino Linotype" w:eastAsia="Palatino Linotype"/>
          <w:i w:val="1"/>
          <w:iCs w:val="1"/>
          <w:sz w:val="18"/>
          <w:szCs w:val="18"/>
          <w:rtl w:val="0"/>
          <w:lang w:val="en-US"/>
        </w:rPr>
        <w:t>Esther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8:12p).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About the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elativ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e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value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 xml:space="preserve"> of the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prefix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τρισ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-, "very commonly employed in affective speech",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cf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. Thesleff 1954, 177.</w:t>
      </w:r>
    </w:p>
  </w:footnote>
  <w:footnote w:id="4">
    <w:p>
      <w:pPr>
        <w:pStyle w:val="footnote text"/>
      </w:pPr>
      <w:r>
        <w:rPr>
          <w:rFonts w:ascii="Palatino Linotype" w:cs="Palatino Linotype" w:hAnsi="Palatino Linotype" w:eastAsia="Palatino Linotype"/>
          <w:sz w:val="20"/>
          <w:szCs w:val="20"/>
          <w:vertAlign w:val="superscript"/>
        </w:rPr>
        <w:footnoteRef/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On t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he influence of the </w:t>
      </w:r>
      <w:r>
        <w:rPr>
          <w:rFonts w:ascii="Palatino Linotype" w:cs="Palatino Linotype" w:hAnsi="Palatino Linotype" w:eastAsia="Palatino Linotype"/>
          <w:i w:val="1"/>
          <w:iCs w:val="1"/>
          <w:sz w:val="18"/>
          <w:szCs w:val="18"/>
          <w:rtl w:val="0"/>
          <w:lang w:val="en-US"/>
        </w:rPr>
        <w:t xml:space="preserve">Sibylline </w:t>
      </w:r>
      <w:r>
        <w:rPr>
          <w:rFonts w:ascii="Palatino Linotype" w:cs="Palatino Linotype" w:hAnsi="Palatino Linotype" w:eastAsia="Palatino Linotype"/>
          <w:i w:val="1"/>
          <w:iCs w:val="1"/>
          <w:sz w:val="18"/>
          <w:szCs w:val="18"/>
          <w:rtl w:val="0"/>
        </w:rPr>
        <w:t>O</w:t>
      </w:r>
      <w:r>
        <w:rPr>
          <w:rFonts w:ascii="Palatino Linotype" w:cs="Palatino Linotype" w:hAnsi="Palatino Linotype" w:eastAsia="Palatino Linotype"/>
          <w:i w:val="1"/>
          <w:iCs w:val="1"/>
          <w:sz w:val="18"/>
          <w:szCs w:val="18"/>
          <w:rtl w:val="0"/>
          <w:lang w:val="en-US"/>
        </w:rPr>
        <w:t>racles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o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 xml:space="preserve">n Gregory, </w:t>
      </w:r>
      <w:r>
        <w:rPr>
          <w:rFonts w:ascii="Palatino Linotype" w:cs="Palatino Linotype" w:hAnsi="Palatino Linotype" w:eastAsia="Palatino Linotype"/>
          <w:sz w:val="18"/>
          <w:szCs w:val="18"/>
          <w:rtl w:val="0"/>
        </w:rPr>
        <w:t>cf</w:t>
      </w:r>
      <w:r>
        <w:rPr>
          <w:rFonts w:ascii="Palatino Linotype" w:cs="Palatino Linotype" w:hAnsi="Palatino Linotype" w:eastAsia="Palatino Linotype"/>
          <w:sz w:val="18"/>
          <w:szCs w:val="18"/>
          <w:rtl w:val="0"/>
          <w:lang w:val="en-US"/>
        </w:rPr>
        <w:t>. Simelidis 2009, 47.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