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7D31" w:rsidRDefault="000D6B96" w:rsidP="007D02B3">
      <w:pPr>
        <w:spacing w:line="1" w:lineRule="exact"/>
        <w:sectPr w:rsidR="00177D31">
          <w:footerReference w:type="even" r:id="rId7"/>
          <w:footerReference w:type="default" r:id="rId8"/>
          <w:pgSz w:w="8506" w:h="12493"/>
          <w:pgMar w:top="1284" w:right="1257" w:bottom="1360" w:left="1094" w:header="856" w:footer="3" w:gutter="0"/>
          <w:cols w:space="720"/>
          <w:noEndnote/>
          <w:bidi/>
          <w:docGrid w:linePitch="360"/>
          <w15:footnoteColumns w:val="1"/>
        </w:sectPr>
      </w:pPr>
      <w:r>
        <w:rPr>
          <w:noProof/>
        </w:rPr>
        <w:drawing>
          <wp:anchor distT="0" distB="0" distL="0" distR="0" simplePos="0" relativeHeight="62914696" behindDoc="1" locked="0" layoutInCell="1" allowOverlap="1">
            <wp:simplePos x="0" y="0"/>
            <wp:positionH relativeFrom="margin">
              <wp:posOffset>-694690</wp:posOffset>
            </wp:positionH>
            <wp:positionV relativeFrom="margin">
              <wp:posOffset>794385</wp:posOffset>
            </wp:positionV>
            <wp:extent cx="5114290" cy="5010912"/>
            <wp:effectExtent l="0" t="0" r="3810" b="5715"/>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5114290" cy="5010912"/>
                    </a:xfrm>
                    <a:prstGeom prst="rect">
                      <a:avLst/>
                    </a:prstGeom>
                  </pic:spPr>
                </pic:pic>
              </a:graphicData>
            </a:graphic>
          </wp:anchor>
        </w:drawing>
      </w:r>
    </w:p>
    <w:p w:rsidR="00177D31" w:rsidRPr="009A0D29" w:rsidRDefault="002B7749" w:rsidP="007D02B3">
      <w:pPr>
        <w:pStyle w:val="Heading20"/>
        <w:keepNext/>
        <w:keepLines/>
        <w:shd w:val="clear" w:color="auto" w:fill="auto"/>
        <w:bidi w:val="0"/>
        <w:spacing w:before="200"/>
        <w:jc w:val="both"/>
        <w:rPr>
          <w:sz w:val="24"/>
          <w:szCs w:val="24"/>
          <w:lang w:val="en-US"/>
        </w:rPr>
      </w:pPr>
      <w:r w:rsidRPr="009A0D29">
        <w:rPr>
          <w:rFonts w:hint="cs"/>
          <w:sz w:val="24"/>
          <w:szCs w:val="24"/>
          <w:lang w:val="en-US"/>
        </w:rPr>
        <w:t>What is Karaite Judaism?</w:t>
      </w:r>
    </w:p>
    <w:p w:rsidR="002B7749" w:rsidRPr="00451772" w:rsidRDefault="002B7749" w:rsidP="007D02B3">
      <w:pPr>
        <w:pStyle w:val="BodyText"/>
        <w:shd w:val="clear" w:color="auto" w:fill="auto"/>
        <w:bidi w:val="0"/>
        <w:spacing w:after="480"/>
        <w:jc w:val="both"/>
        <w:rPr>
          <w:sz w:val="24"/>
          <w:szCs w:val="24"/>
          <w:lang w:val="en-US"/>
        </w:rPr>
      </w:pPr>
      <w:r w:rsidRPr="00451772">
        <w:rPr>
          <w:rFonts w:hint="cs"/>
          <w:sz w:val="24"/>
          <w:szCs w:val="24"/>
          <w:lang w:val="en-US"/>
        </w:rPr>
        <w:t>Karaite</w:t>
      </w:r>
      <w:r w:rsidRPr="00451772">
        <w:rPr>
          <w:sz w:val="24"/>
          <w:szCs w:val="24"/>
          <w:lang w:val="en-US"/>
        </w:rPr>
        <w:t xml:space="preserve"> Judaism is based on the belief that the Creator gave our prophet Moses (peace be upon him) at Mount Sinai just one single Torah — the written Torah, about which the Bible tells us, “The Torah of the Lord is perfect, reviving the soul.”</w:t>
      </w:r>
      <w:r w:rsidRPr="00451772">
        <w:rPr>
          <w:rStyle w:val="FootnoteReference"/>
          <w:sz w:val="24"/>
          <w:szCs w:val="24"/>
          <w:lang w:val="en-US"/>
        </w:rPr>
        <w:footnoteReference w:id="1"/>
      </w:r>
      <w:r w:rsidRPr="00451772">
        <w:rPr>
          <w:sz w:val="24"/>
          <w:szCs w:val="24"/>
          <w:lang w:val="en-US"/>
        </w:rPr>
        <w:t xml:space="preserve">  Karaite Judaism believes in the sanctity of the 24 books of the Bible (the Torah, Prophets, and Writings), but </w:t>
      </w:r>
      <w:r w:rsidR="00A50153">
        <w:rPr>
          <w:sz w:val="24"/>
          <w:szCs w:val="24"/>
          <w:lang w:val="en-US"/>
        </w:rPr>
        <w:t xml:space="preserve">rejects </w:t>
      </w:r>
      <w:r w:rsidRPr="00451772">
        <w:rPr>
          <w:sz w:val="24"/>
          <w:szCs w:val="24"/>
          <w:lang w:val="en-US"/>
        </w:rPr>
        <w:t xml:space="preserve">granting </w:t>
      </w:r>
      <w:r w:rsidR="00A50153">
        <w:rPr>
          <w:sz w:val="24"/>
          <w:szCs w:val="24"/>
          <w:lang w:val="en-US"/>
        </w:rPr>
        <w:t>binding validity</w:t>
      </w:r>
      <w:r w:rsidRPr="00451772">
        <w:rPr>
          <w:sz w:val="24"/>
          <w:szCs w:val="24"/>
          <w:lang w:val="en-US"/>
        </w:rPr>
        <w:t xml:space="preserve"> to any later, human text like the Mishnah or the </w:t>
      </w:r>
      <w:proofErr w:type="spellStart"/>
      <w:r w:rsidRPr="00451772">
        <w:rPr>
          <w:sz w:val="24"/>
          <w:szCs w:val="24"/>
          <w:lang w:val="en-US"/>
        </w:rPr>
        <w:t>Talmudim</w:t>
      </w:r>
      <w:proofErr w:type="spellEnd"/>
      <w:r w:rsidRPr="00451772">
        <w:rPr>
          <w:rStyle w:val="FootnoteReference"/>
          <w:sz w:val="24"/>
          <w:szCs w:val="24"/>
          <w:lang w:val="en-US"/>
        </w:rPr>
        <w:footnoteReference w:id="2"/>
      </w:r>
      <w:r w:rsidR="009A0D29" w:rsidRPr="00451772">
        <w:rPr>
          <w:sz w:val="24"/>
          <w:szCs w:val="24"/>
          <w:lang w:val="en-US"/>
        </w:rPr>
        <w:t xml:space="preserve"> (and the rest of later rabbinic literature), those books called “the Oral Law.”</w:t>
      </w:r>
    </w:p>
    <w:p w:rsidR="00177D31" w:rsidRPr="009A0D29" w:rsidRDefault="009A0D29" w:rsidP="007D02B3">
      <w:pPr>
        <w:pStyle w:val="BodyText"/>
        <w:shd w:val="clear" w:color="auto" w:fill="auto"/>
        <w:bidi w:val="0"/>
        <w:spacing w:after="400" w:line="314" w:lineRule="auto"/>
        <w:jc w:val="both"/>
        <w:rPr>
          <w:sz w:val="24"/>
          <w:szCs w:val="24"/>
          <w:lang w:val="en-US"/>
        </w:rPr>
      </w:pPr>
      <w:r w:rsidRPr="009A0D29">
        <w:rPr>
          <w:rFonts w:hint="cs"/>
          <w:b/>
          <w:bCs/>
          <w:color w:val="4F81BD"/>
          <w:sz w:val="24"/>
          <w:szCs w:val="24"/>
          <w:lang w:val="en-US"/>
        </w:rPr>
        <w:t>Karaite Judaism and the Oral Law</w:t>
      </w:r>
    </w:p>
    <w:p w:rsidR="009A0D29" w:rsidRDefault="009A0D29" w:rsidP="007D02B3">
      <w:pPr>
        <w:pStyle w:val="BodyText"/>
        <w:shd w:val="clear" w:color="auto" w:fill="auto"/>
        <w:bidi w:val="0"/>
        <w:spacing w:after="480"/>
        <w:jc w:val="both"/>
        <w:rPr>
          <w:sz w:val="24"/>
          <w:szCs w:val="24"/>
          <w:lang w:val="en-US"/>
        </w:rPr>
      </w:pPr>
      <w:r w:rsidRPr="00451772">
        <w:rPr>
          <w:rFonts w:hint="cs"/>
          <w:sz w:val="24"/>
          <w:szCs w:val="24"/>
          <w:lang w:val="en-US"/>
        </w:rPr>
        <w:t>As noted, the Karaite a</w:t>
      </w:r>
      <w:r w:rsidRPr="00451772">
        <w:rPr>
          <w:sz w:val="24"/>
          <w:szCs w:val="24"/>
          <w:lang w:val="en-US"/>
        </w:rPr>
        <w:t xml:space="preserve">pproach </w:t>
      </w:r>
      <w:r w:rsidR="00A50153">
        <w:rPr>
          <w:sz w:val="24"/>
          <w:szCs w:val="24"/>
          <w:lang w:val="en-US"/>
        </w:rPr>
        <w:t xml:space="preserve">rejects </w:t>
      </w:r>
      <w:r w:rsidR="00A50153" w:rsidRPr="00451772">
        <w:rPr>
          <w:sz w:val="24"/>
          <w:szCs w:val="24"/>
          <w:lang w:val="en-US"/>
        </w:rPr>
        <w:t xml:space="preserve">granting </w:t>
      </w:r>
      <w:r w:rsidRPr="00451772">
        <w:rPr>
          <w:sz w:val="24"/>
          <w:szCs w:val="24"/>
          <w:lang w:val="en-US"/>
        </w:rPr>
        <w:t xml:space="preserve">sanctity or </w:t>
      </w:r>
      <w:r w:rsidR="00A50153">
        <w:rPr>
          <w:sz w:val="24"/>
          <w:szCs w:val="24"/>
          <w:lang w:val="en-US"/>
        </w:rPr>
        <w:t>binding validity</w:t>
      </w:r>
      <w:r w:rsidR="00A50153" w:rsidRPr="00451772">
        <w:rPr>
          <w:sz w:val="24"/>
          <w:szCs w:val="24"/>
          <w:lang w:val="en-US"/>
        </w:rPr>
        <w:t xml:space="preserve"> </w:t>
      </w:r>
      <w:r w:rsidRPr="00451772">
        <w:rPr>
          <w:sz w:val="24"/>
          <w:szCs w:val="24"/>
          <w:lang w:val="en-US"/>
        </w:rPr>
        <w:t>to the Oral Law</w:t>
      </w:r>
      <w:r w:rsidR="007312A3" w:rsidRPr="00451772">
        <w:rPr>
          <w:sz w:val="24"/>
          <w:szCs w:val="24"/>
          <w:lang w:val="en-US"/>
        </w:rPr>
        <w:t xml:space="preserve">.  We nonetheless view the Mishnah and Talmud as </w:t>
      </w:r>
      <w:r w:rsidR="007312A3" w:rsidRPr="00451772">
        <w:rPr>
          <w:sz w:val="24"/>
          <w:szCs w:val="24"/>
          <w:u w:val="single"/>
          <w:lang w:val="en-US"/>
        </w:rPr>
        <w:t xml:space="preserve">words of </w:t>
      </w:r>
      <w:r w:rsidR="00EE619B">
        <w:rPr>
          <w:sz w:val="24"/>
          <w:szCs w:val="24"/>
          <w:u w:val="single"/>
          <w:lang w:val="en-US"/>
        </w:rPr>
        <w:t>wisdom</w:t>
      </w:r>
      <w:r w:rsidR="007312A3" w:rsidRPr="00451772">
        <w:rPr>
          <w:sz w:val="24"/>
          <w:szCs w:val="24"/>
          <w:lang w:val="en-US"/>
        </w:rPr>
        <w:t xml:space="preserve"> and as a part of the cultural and historical inheritance of the Jewish people, written over the course of the centuries.  Some of these words of wisdom are </w:t>
      </w:r>
      <w:r w:rsidR="007312A3" w:rsidRPr="00451772">
        <w:rPr>
          <w:b/>
          <w:bCs/>
          <w:sz w:val="24"/>
          <w:szCs w:val="24"/>
          <w:lang w:val="en-US"/>
        </w:rPr>
        <w:t>correct</w:t>
      </w:r>
      <w:r w:rsidR="007312A3" w:rsidRPr="00451772">
        <w:rPr>
          <w:sz w:val="24"/>
          <w:szCs w:val="24"/>
          <w:lang w:val="en-US"/>
        </w:rPr>
        <w:t xml:space="preserve">, but others are mistaken; like anything else that is a human creation, it </w:t>
      </w:r>
      <w:r w:rsidR="00EE619B">
        <w:rPr>
          <w:sz w:val="24"/>
          <w:szCs w:val="24"/>
          <w:lang w:val="en-US"/>
        </w:rPr>
        <w:t xml:space="preserve">may </w:t>
      </w:r>
      <w:r w:rsidR="007312A3" w:rsidRPr="00451772">
        <w:rPr>
          <w:sz w:val="24"/>
          <w:szCs w:val="24"/>
          <w:lang w:val="en-US"/>
        </w:rPr>
        <w:t xml:space="preserve">not </w:t>
      </w:r>
      <w:r w:rsidR="00EE619B">
        <w:rPr>
          <w:sz w:val="24"/>
          <w:szCs w:val="24"/>
          <w:lang w:val="en-US"/>
        </w:rPr>
        <w:t>contradict</w:t>
      </w:r>
      <w:r w:rsidR="007312A3" w:rsidRPr="00451772">
        <w:rPr>
          <w:sz w:val="24"/>
          <w:szCs w:val="24"/>
          <w:lang w:val="en-US"/>
        </w:rPr>
        <w:t xml:space="preserve"> the words of God.  It </w:t>
      </w:r>
      <w:r w:rsidR="00EE619B">
        <w:rPr>
          <w:sz w:val="24"/>
          <w:szCs w:val="24"/>
          <w:lang w:val="en-US"/>
        </w:rPr>
        <w:t>may</w:t>
      </w:r>
      <w:r w:rsidR="007312A3" w:rsidRPr="00451772">
        <w:rPr>
          <w:sz w:val="24"/>
          <w:szCs w:val="24"/>
          <w:lang w:val="en-US"/>
        </w:rPr>
        <w:t xml:space="preserve"> neither add to them nor detract from them, in accordance with the commandment explicitly written in the Torah:  “You shall not add anything to what I command you or take anything away from </w:t>
      </w:r>
      <w:r w:rsidR="007312A3" w:rsidRPr="00451772">
        <w:rPr>
          <w:sz w:val="24"/>
          <w:szCs w:val="24"/>
          <w:lang w:val="en-US"/>
        </w:rPr>
        <w:lastRenderedPageBreak/>
        <w:t>it.”</w:t>
      </w:r>
      <w:r w:rsidR="007312A3" w:rsidRPr="00451772">
        <w:rPr>
          <w:rStyle w:val="FootnoteReference"/>
          <w:sz w:val="24"/>
          <w:szCs w:val="24"/>
          <w:lang w:val="en-US"/>
        </w:rPr>
        <w:footnoteReference w:id="3"/>
      </w:r>
    </w:p>
    <w:p w:rsidR="00214820" w:rsidRDefault="00214820" w:rsidP="00214820">
      <w:pPr>
        <w:pStyle w:val="BodyText"/>
        <w:shd w:val="clear" w:color="auto" w:fill="auto"/>
        <w:bidi w:val="0"/>
        <w:spacing w:after="480"/>
        <w:jc w:val="both"/>
        <w:rPr>
          <w:sz w:val="24"/>
          <w:szCs w:val="24"/>
          <w:lang w:val="en-US"/>
        </w:rPr>
      </w:pPr>
      <w:r>
        <w:rPr>
          <w:sz w:val="24"/>
          <w:szCs w:val="24"/>
          <w:lang w:val="en-US"/>
        </w:rPr>
        <w:t>In the Bible as a whole, there are many indications of the existence of just one Torah — the written Torah — which was given at Sinai.</w:t>
      </w:r>
    </w:p>
    <w:p w:rsidR="00214820" w:rsidRDefault="00214820" w:rsidP="00214820">
      <w:pPr>
        <w:pStyle w:val="BodyText"/>
        <w:numPr>
          <w:ilvl w:val="0"/>
          <w:numId w:val="17"/>
        </w:numPr>
        <w:shd w:val="clear" w:color="auto" w:fill="auto"/>
        <w:bidi w:val="0"/>
        <w:spacing w:after="480"/>
        <w:jc w:val="both"/>
        <w:rPr>
          <w:sz w:val="24"/>
          <w:szCs w:val="24"/>
          <w:lang w:val="en-US"/>
        </w:rPr>
      </w:pPr>
      <w:r>
        <w:rPr>
          <w:sz w:val="24"/>
          <w:szCs w:val="24"/>
          <w:lang w:val="en-US"/>
        </w:rPr>
        <w:t>For example, in Deuteronomy we read, “</w:t>
      </w:r>
      <w:r w:rsidRPr="00214820">
        <w:rPr>
          <w:sz w:val="24"/>
          <w:szCs w:val="24"/>
          <w:lang w:val="en-US"/>
        </w:rPr>
        <w:t>When Moses had put down in writing the words of this Teaching to the very end</w:t>
      </w:r>
      <w:r>
        <w:rPr>
          <w:sz w:val="24"/>
          <w:szCs w:val="24"/>
          <w:lang w:val="en-US"/>
        </w:rPr>
        <w:t>.”</w:t>
      </w:r>
      <w:r>
        <w:rPr>
          <w:rStyle w:val="FootnoteReference"/>
          <w:sz w:val="24"/>
          <w:szCs w:val="24"/>
          <w:lang w:val="en-US"/>
        </w:rPr>
        <w:footnoteReference w:id="4"/>
      </w:r>
      <w:r>
        <w:rPr>
          <w:sz w:val="24"/>
          <w:szCs w:val="24"/>
          <w:lang w:val="en-US"/>
        </w:rPr>
        <w:t xml:space="preserve">  That is, all the words of the Torah were put down in writing.  An additional indication of this kind can be found in Malachi, where we read, “</w:t>
      </w:r>
      <w:r w:rsidRPr="00214820">
        <w:rPr>
          <w:sz w:val="24"/>
          <w:szCs w:val="24"/>
          <w:lang w:val="en-US"/>
        </w:rPr>
        <w:t>Be mindful of the Teaching of My servant Moses, whom I charged at Horeb with laws and rules for all Israel.</w:t>
      </w:r>
      <w:r>
        <w:rPr>
          <w:sz w:val="24"/>
          <w:szCs w:val="24"/>
          <w:lang w:val="en-US"/>
        </w:rPr>
        <w:t>”</w:t>
      </w:r>
      <w:r>
        <w:rPr>
          <w:rStyle w:val="FootnoteReference"/>
          <w:sz w:val="24"/>
          <w:szCs w:val="24"/>
          <w:lang w:val="en-US"/>
        </w:rPr>
        <w:footnoteReference w:id="5"/>
      </w:r>
      <w:r>
        <w:rPr>
          <w:sz w:val="24"/>
          <w:szCs w:val="24"/>
          <w:lang w:val="en-US"/>
        </w:rPr>
        <w:t xml:space="preserve">  The Holy One commands the prophet Malachi</w:t>
      </w:r>
      <w:r w:rsidR="001574E1">
        <w:rPr>
          <w:sz w:val="24"/>
          <w:szCs w:val="24"/>
          <w:lang w:val="en-US"/>
        </w:rPr>
        <w:t>, the last of the prophets, to be mindful of the Torah of Moses.  He does not mention any other Torah.  In Joshua too we read, “</w:t>
      </w:r>
      <w:r w:rsidR="00E32643" w:rsidRPr="00E32643">
        <w:rPr>
          <w:sz w:val="24"/>
          <w:szCs w:val="24"/>
          <w:lang w:val="en-US"/>
        </w:rPr>
        <w:t>Be most resolute to observe faithfully all that is written in the Book of the Teaching of Moses, without ever deviating from it to the right or to the left</w:t>
      </w:r>
      <w:r w:rsidR="00E32643">
        <w:rPr>
          <w:sz w:val="24"/>
          <w:szCs w:val="24"/>
          <w:lang w:val="en-US"/>
        </w:rPr>
        <w:t>.”</w:t>
      </w:r>
      <w:r w:rsidR="00E32643">
        <w:rPr>
          <w:rStyle w:val="FootnoteReference"/>
          <w:sz w:val="24"/>
          <w:szCs w:val="24"/>
          <w:lang w:val="en-US"/>
        </w:rPr>
        <w:footnoteReference w:id="6"/>
      </w:r>
      <w:r w:rsidR="00E32643">
        <w:rPr>
          <w:sz w:val="24"/>
          <w:szCs w:val="24"/>
          <w:lang w:val="en-US"/>
        </w:rPr>
        <w:t xml:space="preserve">  </w:t>
      </w:r>
      <w:r w:rsidR="00EE619B">
        <w:rPr>
          <w:sz w:val="24"/>
          <w:szCs w:val="24"/>
          <w:lang w:val="en-US"/>
        </w:rPr>
        <w:t>The</w:t>
      </w:r>
      <w:r w:rsidR="00E32643">
        <w:rPr>
          <w:sz w:val="24"/>
          <w:szCs w:val="24"/>
          <w:lang w:val="en-US"/>
        </w:rPr>
        <w:t xml:space="preserve"> psalms</w:t>
      </w:r>
      <w:r w:rsidR="00EE619B">
        <w:rPr>
          <w:sz w:val="24"/>
          <w:szCs w:val="24"/>
          <w:lang w:val="en-US"/>
        </w:rPr>
        <w:t xml:space="preserve"> likewise</w:t>
      </w:r>
      <w:r w:rsidR="00E32643">
        <w:rPr>
          <w:sz w:val="24"/>
          <w:szCs w:val="24"/>
          <w:lang w:val="en-US"/>
        </w:rPr>
        <w:t xml:space="preserve"> tell us that “</w:t>
      </w:r>
      <w:r w:rsidR="00EE619B">
        <w:rPr>
          <w:sz w:val="24"/>
          <w:szCs w:val="24"/>
          <w:lang w:val="en-US"/>
        </w:rPr>
        <w:t>t</w:t>
      </w:r>
      <w:r w:rsidR="00E32643" w:rsidRPr="00E32643">
        <w:rPr>
          <w:sz w:val="24"/>
          <w:szCs w:val="24"/>
          <w:lang w:val="en-US"/>
        </w:rPr>
        <w:t xml:space="preserve">he teaching of the </w:t>
      </w:r>
      <w:r w:rsidR="00EE619B">
        <w:rPr>
          <w:sz w:val="24"/>
          <w:szCs w:val="24"/>
          <w:lang w:val="en-US"/>
        </w:rPr>
        <w:t>Lord</w:t>
      </w:r>
      <w:r w:rsidR="00E32643" w:rsidRPr="00E32643">
        <w:rPr>
          <w:sz w:val="24"/>
          <w:szCs w:val="24"/>
          <w:lang w:val="en-US"/>
        </w:rPr>
        <w:t xml:space="preserve"> is perfect</w:t>
      </w:r>
      <w:r w:rsidR="00E32643">
        <w:rPr>
          <w:sz w:val="24"/>
          <w:szCs w:val="24"/>
          <w:lang w:val="en-US"/>
        </w:rPr>
        <w:t>.”</w:t>
      </w:r>
      <w:r w:rsidR="00E32643">
        <w:rPr>
          <w:rStyle w:val="FootnoteReference"/>
          <w:sz w:val="24"/>
          <w:szCs w:val="24"/>
          <w:lang w:val="en-US"/>
        </w:rPr>
        <w:footnoteReference w:id="7"/>
      </w:r>
      <w:r w:rsidR="00E32643">
        <w:rPr>
          <w:sz w:val="24"/>
          <w:szCs w:val="24"/>
          <w:lang w:val="en-US"/>
        </w:rPr>
        <w:t xml:space="preserve">  “Perfect” means that it is complete.  The Torah is complete and needs nothing additional.</w:t>
      </w:r>
    </w:p>
    <w:p w:rsidR="00E32643" w:rsidRPr="00451772" w:rsidRDefault="00D44601" w:rsidP="00E32643">
      <w:pPr>
        <w:pStyle w:val="BodyText"/>
        <w:numPr>
          <w:ilvl w:val="0"/>
          <w:numId w:val="17"/>
        </w:numPr>
        <w:shd w:val="clear" w:color="auto" w:fill="auto"/>
        <w:bidi w:val="0"/>
        <w:spacing w:after="480"/>
        <w:jc w:val="both"/>
        <w:rPr>
          <w:sz w:val="24"/>
          <w:szCs w:val="24"/>
          <w:lang w:val="en-US"/>
        </w:rPr>
      </w:pPr>
      <w:r>
        <w:rPr>
          <w:sz w:val="24"/>
          <w:szCs w:val="24"/>
          <w:lang w:val="en-US"/>
        </w:rPr>
        <w:lastRenderedPageBreak/>
        <w:t xml:space="preserve">The contents of the Oral Law itself bear witness that it is not divine.  Nowhere in the Oral Law do we find </w:t>
      </w:r>
      <w:r w:rsidR="00EE619B">
        <w:rPr>
          <w:sz w:val="24"/>
          <w:szCs w:val="24"/>
          <w:lang w:val="en-US"/>
        </w:rPr>
        <w:t>instructions</w:t>
      </w:r>
      <w:r>
        <w:rPr>
          <w:sz w:val="24"/>
          <w:szCs w:val="24"/>
          <w:lang w:val="en-US"/>
        </w:rPr>
        <w:t xml:space="preserve"> or commandments given directly </w:t>
      </w:r>
      <w:r w:rsidR="00EE619B">
        <w:rPr>
          <w:sz w:val="24"/>
          <w:szCs w:val="24"/>
          <w:lang w:val="en-US"/>
        </w:rPr>
        <w:t>by</w:t>
      </w:r>
      <w:r>
        <w:rPr>
          <w:sz w:val="24"/>
          <w:szCs w:val="24"/>
          <w:lang w:val="en-US"/>
        </w:rPr>
        <w:t xml:space="preserve"> </w:t>
      </w:r>
      <w:r w:rsidR="00EE619B">
        <w:rPr>
          <w:sz w:val="24"/>
          <w:szCs w:val="24"/>
          <w:lang w:val="en-US"/>
        </w:rPr>
        <w:t>God</w:t>
      </w:r>
      <w:r>
        <w:rPr>
          <w:sz w:val="24"/>
          <w:szCs w:val="24"/>
          <w:lang w:val="en-US"/>
        </w:rPr>
        <w:t>.  It is entirely formulated as a human text:  “R. Eliezer said this and R. Judah said that.”  This proves that we are not dealing here with the words of the living God, but with words that come from flesh and blood.  Moreover, the disagreements found on almost every topic</w:t>
      </w:r>
      <w:r w:rsidR="00EE619B">
        <w:rPr>
          <w:sz w:val="24"/>
          <w:szCs w:val="24"/>
          <w:lang w:val="en-US"/>
        </w:rPr>
        <w:t xml:space="preserve"> of discussion</w:t>
      </w:r>
      <w:r>
        <w:rPr>
          <w:sz w:val="24"/>
          <w:szCs w:val="24"/>
          <w:lang w:val="en-US"/>
        </w:rPr>
        <w:t xml:space="preserve"> in the Mishnah and Talmud demonstrate that these are not the words of the living God, since it is impossible that God </w:t>
      </w:r>
      <w:r w:rsidR="00EE619B">
        <w:rPr>
          <w:sz w:val="24"/>
          <w:szCs w:val="24"/>
          <w:lang w:val="en-US"/>
        </w:rPr>
        <w:t>w</w:t>
      </w:r>
      <w:r>
        <w:rPr>
          <w:sz w:val="24"/>
          <w:szCs w:val="24"/>
          <w:lang w:val="en-US"/>
        </w:rPr>
        <w:t xml:space="preserve">ould contradict His own words by teaching both a thing and its opposite. </w:t>
      </w:r>
      <w:r w:rsidR="00084331">
        <w:rPr>
          <w:sz w:val="24"/>
          <w:szCs w:val="24"/>
          <w:lang w:val="en-US"/>
        </w:rPr>
        <w:t xml:space="preserve"> </w:t>
      </w:r>
      <w:r w:rsidR="00EE619B">
        <w:rPr>
          <w:sz w:val="24"/>
          <w:szCs w:val="24"/>
          <w:lang w:val="en-US"/>
        </w:rPr>
        <w:t>In addition</w:t>
      </w:r>
      <w:r w:rsidR="00084331">
        <w:rPr>
          <w:sz w:val="24"/>
          <w:szCs w:val="24"/>
          <w:lang w:val="en-US"/>
        </w:rPr>
        <w:t xml:space="preserve">, how </w:t>
      </w:r>
      <w:r w:rsidR="00EE619B">
        <w:rPr>
          <w:sz w:val="24"/>
          <w:szCs w:val="24"/>
          <w:lang w:val="en-US"/>
        </w:rPr>
        <w:t>can one</w:t>
      </w:r>
      <w:r w:rsidR="00084331">
        <w:rPr>
          <w:sz w:val="24"/>
          <w:szCs w:val="24"/>
          <w:lang w:val="en-US"/>
        </w:rPr>
        <w:t xml:space="preserve"> possibl</w:t>
      </w:r>
      <w:r w:rsidR="00EE619B">
        <w:rPr>
          <w:sz w:val="24"/>
          <w:szCs w:val="24"/>
          <w:lang w:val="en-US"/>
        </w:rPr>
        <w:t>y</w:t>
      </w:r>
      <w:r w:rsidR="00084331">
        <w:rPr>
          <w:sz w:val="24"/>
          <w:szCs w:val="24"/>
          <w:lang w:val="en-US"/>
        </w:rPr>
        <w:t xml:space="preserve"> </w:t>
      </w:r>
      <w:r w:rsidR="00EE619B">
        <w:rPr>
          <w:sz w:val="24"/>
          <w:szCs w:val="24"/>
          <w:lang w:val="en-US"/>
        </w:rPr>
        <w:t>claim</w:t>
      </w:r>
      <w:r w:rsidR="00084331">
        <w:rPr>
          <w:sz w:val="24"/>
          <w:szCs w:val="24"/>
          <w:lang w:val="en-US"/>
        </w:rPr>
        <w:t xml:space="preserve"> that the Oral Law is an interpretation of the Torah when it discusses subjects that the Torah itself does not discuss?  Even the </w:t>
      </w:r>
      <w:r w:rsidR="00C41CDE">
        <w:rPr>
          <w:sz w:val="24"/>
          <w:szCs w:val="24"/>
          <w:lang w:val="en-US"/>
        </w:rPr>
        <w:t>Rabbanites</w:t>
      </w:r>
      <w:r w:rsidR="00084331">
        <w:rPr>
          <w:rStyle w:val="FootnoteReference"/>
          <w:sz w:val="24"/>
          <w:szCs w:val="24"/>
          <w:lang w:val="en-US"/>
        </w:rPr>
        <w:footnoteReference w:id="8"/>
      </w:r>
      <w:r w:rsidR="00C41CDE">
        <w:rPr>
          <w:sz w:val="24"/>
          <w:szCs w:val="24"/>
          <w:lang w:val="en-US"/>
        </w:rPr>
        <w:t xml:space="preserve"> themselves admit that most of their laws (like those about </w:t>
      </w:r>
      <w:r w:rsidR="00EE619B">
        <w:rPr>
          <w:sz w:val="24"/>
          <w:szCs w:val="24"/>
          <w:lang w:val="en-US"/>
        </w:rPr>
        <w:t>release from</w:t>
      </w:r>
      <w:r w:rsidR="00C41CDE">
        <w:rPr>
          <w:sz w:val="24"/>
          <w:szCs w:val="24"/>
          <w:lang w:val="en-US"/>
        </w:rPr>
        <w:t xml:space="preserve"> vows, the Sabbath, </w:t>
      </w:r>
      <w:r w:rsidR="00EE619B">
        <w:rPr>
          <w:sz w:val="24"/>
          <w:szCs w:val="24"/>
          <w:lang w:val="en-US"/>
        </w:rPr>
        <w:t xml:space="preserve">the </w:t>
      </w:r>
      <w:r w:rsidR="00C41CDE">
        <w:rPr>
          <w:sz w:val="24"/>
          <w:szCs w:val="24"/>
          <w:lang w:val="en-US"/>
        </w:rPr>
        <w:t>festival</w:t>
      </w:r>
      <w:r w:rsidR="00EE619B">
        <w:rPr>
          <w:sz w:val="24"/>
          <w:szCs w:val="24"/>
          <w:lang w:val="en-US"/>
        </w:rPr>
        <w:t xml:space="preserve"> offering</w:t>
      </w:r>
      <w:r w:rsidR="00C41CDE">
        <w:rPr>
          <w:sz w:val="24"/>
          <w:szCs w:val="24"/>
          <w:lang w:val="en-US"/>
        </w:rPr>
        <w:t>s</w:t>
      </w:r>
      <w:r w:rsidR="00EE619B">
        <w:rPr>
          <w:sz w:val="24"/>
          <w:szCs w:val="24"/>
          <w:lang w:val="en-US"/>
        </w:rPr>
        <w:t>,</w:t>
      </w:r>
      <w:r w:rsidR="00C41CDE">
        <w:rPr>
          <w:sz w:val="24"/>
          <w:szCs w:val="24"/>
          <w:lang w:val="en-US"/>
        </w:rPr>
        <w:t xml:space="preserve"> and </w:t>
      </w:r>
      <w:r w:rsidR="00EE619B">
        <w:rPr>
          <w:sz w:val="24"/>
          <w:szCs w:val="24"/>
          <w:lang w:val="en-US"/>
        </w:rPr>
        <w:t>misappropriation of Temple property</w:t>
      </w:r>
      <w:r w:rsidR="00C41CDE">
        <w:rPr>
          <w:sz w:val="24"/>
          <w:szCs w:val="24"/>
          <w:lang w:val="en-US"/>
        </w:rPr>
        <w:t xml:space="preserve">) are not connected to the Torah, have no basis in the Torah, or are extremely </w:t>
      </w:r>
      <w:r w:rsidR="00EE619B">
        <w:rPr>
          <w:sz w:val="24"/>
          <w:szCs w:val="24"/>
          <w:lang w:val="en-US"/>
        </w:rPr>
        <w:t>farfetched</w:t>
      </w:r>
      <w:r w:rsidR="00C41CDE">
        <w:rPr>
          <w:sz w:val="24"/>
          <w:szCs w:val="24"/>
          <w:lang w:val="en-US"/>
        </w:rPr>
        <w:t xml:space="preserve">.  </w:t>
      </w:r>
      <w:r w:rsidR="00EE619B">
        <w:rPr>
          <w:sz w:val="24"/>
          <w:szCs w:val="24"/>
          <w:lang w:val="en-US"/>
        </w:rPr>
        <w:t>We</w:t>
      </w:r>
      <w:r w:rsidR="00C41CDE">
        <w:rPr>
          <w:sz w:val="24"/>
          <w:szCs w:val="24"/>
          <w:lang w:val="en-US"/>
        </w:rPr>
        <w:t xml:space="preserve"> read in the Mishnah, “</w:t>
      </w:r>
      <w:r w:rsidR="00EE619B">
        <w:rPr>
          <w:sz w:val="24"/>
          <w:szCs w:val="24"/>
          <w:lang w:val="en-US"/>
        </w:rPr>
        <w:t>The laws of release</w:t>
      </w:r>
      <w:r w:rsidR="00C41CDE">
        <w:rPr>
          <w:sz w:val="24"/>
          <w:szCs w:val="24"/>
          <w:lang w:val="en-US"/>
        </w:rPr>
        <w:t xml:space="preserve"> </w:t>
      </w:r>
      <w:r w:rsidR="00EE619B">
        <w:rPr>
          <w:sz w:val="24"/>
          <w:szCs w:val="24"/>
          <w:lang w:val="en-US"/>
        </w:rPr>
        <w:t>from</w:t>
      </w:r>
      <w:r w:rsidR="00C41CDE">
        <w:rPr>
          <w:sz w:val="24"/>
          <w:szCs w:val="24"/>
          <w:lang w:val="en-US"/>
        </w:rPr>
        <w:t xml:space="preserve"> vows </w:t>
      </w:r>
      <w:r w:rsidR="00EE619B">
        <w:rPr>
          <w:sz w:val="24"/>
          <w:szCs w:val="24"/>
          <w:lang w:val="en-US"/>
        </w:rPr>
        <w:t>float</w:t>
      </w:r>
      <w:r w:rsidR="00C41CDE">
        <w:rPr>
          <w:sz w:val="24"/>
          <w:szCs w:val="24"/>
          <w:lang w:val="en-US"/>
        </w:rPr>
        <w:t xml:space="preserve"> in the air, </w:t>
      </w:r>
      <w:r w:rsidR="00EE619B">
        <w:rPr>
          <w:sz w:val="24"/>
          <w:szCs w:val="24"/>
          <w:lang w:val="en-US"/>
        </w:rPr>
        <w:t>having</w:t>
      </w:r>
      <w:r w:rsidR="00C41CDE">
        <w:rPr>
          <w:sz w:val="24"/>
          <w:szCs w:val="24"/>
          <w:lang w:val="en-US"/>
        </w:rPr>
        <w:t xml:space="preserve"> nothing on which to depend.  The laws of the sabbath, </w:t>
      </w:r>
      <w:r w:rsidR="00EE619B">
        <w:rPr>
          <w:sz w:val="24"/>
          <w:szCs w:val="24"/>
          <w:lang w:val="en-US"/>
        </w:rPr>
        <w:t>festival offerings, and misappropriation of Temple property</w:t>
      </w:r>
      <w:r w:rsidR="00EE619B">
        <w:rPr>
          <w:sz w:val="24"/>
          <w:szCs w:val="24"/>
          <w:lang w:val="en-US"/>
        </w:rPr>
        <w:t xml:space="preserve"> </w:t>
      </w:r>
      <w:r w:rsidR="00C41CDE">
        <w:rPr>
          <w:sz w:val="24"/>
          <w:szCs w:val="24"/>
          <w:lang w:val="en-US"/>
        </w:rPr>
        <w:t xml:space="preserve">— these are like mountains suspended by a hair, for they consist of a </w:t>
      </w:r>
      <w:r w:rsidR="00EE619B">
        <w:rPr>
          <w:sz w:val="24"/>
          <w:szCs w:val="24"/>
          <w:lang w:val="en-US"/>
        </w:rPr>
        <w:t>miniscule</w:t>
      </w:r>
      <w:r w:rsidR="00C41CDE">
        <w:rPr>
          <w:sz w:val="24"/>
          <w:szCs w:val="24"/>
          <w:lang w:val="en-US"/>
        </w:rPr>
        <w:t xml:space="preserve"> amount of Bible and many </w:t>
      </w:r>
      <w:r w:rsidR="00EE619B">
        <w:rPr>
          <w:sz w:val="24"/>
          <w:szCs w:val="24"/>
          <w:lang w:val="en-US"/>
        </w:rPr>
        <w:t>laws</w:t>
      </w:r>
      <w:r w:rsidR="00C41CDE">
        <w:rPr>
          <w:sz w:val="24"/>
          <w:szCs w:val="24"/>
          <w:lang w:val="en-US"/>
        </w:rPr>
        <w:t>.”</w:t>
      </w:r>
      <w:r w:rsidR="00C41CDE">
        <w:rPr>
          <w:rStyle w:val="FootnoteReference"/>
          <w:sz w:val="24"/>
          <w:szCs w:val="24"/>
          <w:lang w:val="en-US"/>
        </w:rPr>
        <w:footnoteReference w:id="9"/>
      </w:r>
      <w:r w:rsidR="00C41CDE">
        <w:rPr>
          <w:sz w:val="24"/>
          <w:szCs w:val="24"/>
          <w:lang w:val="en-US"/>
        </w:rPr>
        <w:t xml:space="preserve">  Similarly, there are countless disputes </w:t>
      </w:r>
      <w:r w:rsidR="00C41CDE">
        <w:rPr>
          <w:sz w:val="24"/>
          <w:szCs w:val="24"/>
          <w:lang w:val="en-US"/>
        </w:rPr>
        <w:lastRenderedPageBreak/>
        <w:t>that remain unresolved.</w:t>
      </w:r>
    </w:p>
    <w:p w:rsidR="00177D31" w:rsidRPr="00C41CDE" w:rsidRDefault="000D6B96" w:rsidP="007D02B3">
      <w:pPr>
        <w:pStyle w:val="BodyText"/>
        <w:shd w:val="clear" w:color="auto" w:fill="auto"/>
        <w:bidi w:val="0"/>
        <w:spacing w:after="460" w:line="271" w:lineRule="auto"/>
        <w:jc w:val="both"/>
        <w:rPr>
          <w:sz w:val="28"/>
          <w:szCs w:val="28"/>
          <w:lang w:val="en-US"/>
        </w:rPr>
      </w:pPr>
      <w:r w:rsidRPr="00C41CDE">
        <w:rPr>
          <w:noProof/>
          <w:sz w:val="24"/>
          <w:szCs w:val="24"/>
        </w:rPr>
        <w:drawing>
          <wp:anchor distT="0" distB="0" distL="114300" distR="114300" simplePos="0" relativeHeight="125829378" behindDoc="0" locked="0" layoutInCell="1" allowOverlap="1">
            <wp:simplePos x="0" y="0"/>
            <wp:positionH relativeFrom="page">
              <wp:posOffset>692785</wp:posOffset>
            </wp:positionH>
            <wp:positionV relativeFrom="paragraph">
              <wp:posOffset>38100</wp:posOffset>
            </wp:positionV>
            <wp:extent cx="1816735" cy="1908175"/>
            <wp:effectExtent l="0" t="0" r="0" b="0"/>
            <wp:wrapSquare wrapText="bothSides"/>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0"/>
                    <a:stretch/>
                  </pic:blipFill>
                  <pic:spPr>
                    <a:xfrm>
                      <a:off x="0" y="0"/>
                      <a:ext cx="1816735" cy="1908175"/>
                    </a:xfrm>
                    <a:prstGeom prst="rect">
                      <a:avLst/>
                    </a:prstGeom>
                  </pic:spPr>
                </pic:pic>
              </a:graphicData>
            </a:graphic>
          </wp:anchor>
        </w:drawing>
      </w:r>
      <w:bookmarkStart w:id="0" w:name="bookmark9"/>
      <w:r w:rsidR="00C41CDE" w:rsidRPr="00C41CDE">
        <w:rPr>
          <w:rFonts w:hint="cs"/>
          <w:b/>
          <w:bCs/>
          <w:color w:val="4F81BD"/>
          <w:sz w:val="24"/>
          <w:szCs w:val="24"/>
          <w:lang w:val="en-US"/>
        </w:rPr>
        <w:t xml:space="preserve">Who </w:t>
      </w:r>
      <w:r w:rsidR="00EE619B">
        <w:rPr>
          <w:b/>
          <w:bCs/>
          <w:color w:val="4F81BD"/>
          <w:sz w:val="24"/>
          <w:szCs w:val="24"/>
          <w:lang w:val="en-US"/>
        </w:rPr>
        <w:t>Is</w:t>
      </w:r>
      <w:r w:rsidR="00C41CDE" w:rsidRPr="00C41CDE">
        <w:rPr>
          <w:rFonts w:hint="cs"/>
          <w:b/>
          <w:bCs/>
          <w:color w:val="4F81BD"/>
          <w:sz w:val="24"/>
          <w:szCs w:val="24"/>
          <w:lang w:val="en-US"/>
        </w:rPr>
        <w:t xml:space="preserve"> Responsib</w:t>
      </w:r>
      <w:r w:rsidR="00EE619B">
        <w:rPr>
          <w:b/>
          <w:bCs/>
          <w:color w:val="4F81BD"/>
          <w:sz w:val="24"/>
          <w:szCs w:val="24"/>
          <w:lang w:val="en-US"/>
        </w:rPr>
        <w:t xml:space="preserve">le </w:t>
      </w:r>
      <w:r w:rsidR="00C41CDE" w:rsidRPr="00C41CDE">
        <w:rPr>
          <w:rFonts w:hint="cs"/>
          <w:b/>
          <w:bCs/>
          <w:color w:val="4F81BD"/>
          <w:sz w:val="24"/>
          <w:szCs w:val="24"/>
          <w:lang w:val="en-US"/>
        </w:rPr>
        <w:t>for Interpreting the Torah</w:t>
      </w:r>
      <w:r w:rsidRPr="00C41CDE">
        <w:rPr>
          <w:b/>
          <w:bCs/>
          <w:color w:val="4F81BD"/>
          <w:sz w:val="24"/>
          <w:szCs w:val="24"/>
          <w:lang w:val="en-US"/>
        </w:rPr>
        <w:t>?</w:t>
      </w:r>
      <w:bookmarkEnd w:id="0"/>
    </w:p>
    <w:p w:rsidR="00AA6711" w:rsidRDefault="00C41CDE" w:rsidP="007D02B3">
      <w:pPr>
        <w:pStyle w:val="BodyText"/>
        <w:shd w:val="clear" w:color="auto" w:fill="auto"/>
        <w:bidi w:val="0"/>
        <w:spacing w:after="460"/>
        <w:jc w:val="both"/>
        <w:rPr>
          <w:sz w:val="24"/>
          <w:szCs w:val="24"/>
          <w:lang w:val="en-US"/>
        </w:rPr>
      </w:pPr>
      <w:r w:rsidRPr="007E226B">
        <w:rPr>
          <w:rFonts w:hint="cs"/>
          <w:sz w:val="24"/>
          <w:szCs w:val="24"/>
          <w:lang w:val="en-US"/>
        </w:rPr>
        <w:t xml:space="preserve">In Karaite Judaism, </w:t>
      </w:r>
      <w:r w:rsidR="007E226B" w:rsidRPr="007E226B">
        <w:rPr>
          <w:rFonts w:hint="cs"/>
          <w:sz w:val="24"/>
          <w:szCs w:val="24"/>
          <w:lang w:val="en-US"/>
        </w:rPr>
        <w:t>we believe that today</w:t>
      </w:r>
      <w:r w:rsidR="007E226B">
        <w:rPr>
          <w:sz w:val="24"/>
          <w:szCs w:val="24"/>
          <w:lang w:val="en-US"/>
        </w:rPr>
        <w:t xml:space="preserve">, now that prophecy has ceased, along with any human leadership originating in a divine source, every Jew is </w:t>
      </w:r>
      <w:r w:rsidR="00EE619B">
        <w:rPr>
          <w:sz w:val="24"/>
          <w:szCs w:val="24"/>
          <w:lang w:val="en-US"/>
        </w:rPr>
        <w:t>obligated to study</w:t>
      </w:r>
      <w:r w:rsidR="007E226B">
        <w:rPr>
          <w:sz w:val="24"/>
          <w:szCs w:val="24"/>
          <w:lang w:val="en-US"/>
        </w:rPr>
        <w:t xml:space="preserve"> Torah and to interpret its plain sense</w:t>
      </w:r>
      <w:r w:rsidR="007E226B" w:rsidRPr="007E226B">
        <w:rPr>
          <w:sz w:val="24"/>
          <w:szCs w:val="24"/>
          <w:lang w:val="en-US"/>
        </w:rPr>
        <w:t xml:space="preserve"> </w:t>
      </w:r>
      <w:r w:rsidR="007E226B">
        <w:rPr>
          <w:sz w:val="24"/>
          <w:szCs w:val="24"/>
          <w:lang w:val="en-US"/>
        </w:rPr>
        <w:t>in accordance with</w:t>
      </w:r>
      <w:r w:rsidR="007E226B">
        <w:rPr>
          <w:sz w:val="24"/>
          <w:szCs w:val="24"/>
          <w:lang w:val="en-US"/>
        </w:rPr>
        <w:t xml:space="preserve"> the standards that will be set forth in what follows.  </w:t>
      </w:r>
      <w:r w:rsidR="00EE619B">
        <w:rPr>
          <w:sz w:val="24"/>
          <w:szCs w:val="24"/>
          <w:lang w:val="en-US"/>
        </w:rPr>
        <w:t>When you come right down to it,</w:t>
      </w:r>
      <w:r w:rsidR="007E226B">
        <w:rPr>
          <w:sz w:val="24"/>
          <w:szCs w:val="24"/>
          <w:lang w:val="en-US"/>
        </w:rPr>
        <w:t xml:space="preserve"> </w:t>
      </w:r>
      <w:r w:rsidR="00EE619B">
        <w:rPr>
          <w:sz w:val="24"/>
          <w:szCs w:val="24"/>
          <w:lang w:val="en-US"/>
        </w:rPr>
        <w:t>all</w:t>
      </w:r>
      <w:r w:rsidR="007E226B">
        <w:rPr>
          <w:sz w:val="24"/>
          <w:szCs w:val="24"/>
          <w:lang w:val="en-US"/>
        </w:rPr>
        <w:t xml:space="preserve"> Jews </w:t>
      </w:r>
      <w:r w:rsidR="00EE619B">
        <w:rPr>
          <w:sz w:val="24"/>
          <w:szCs w:val="24"/>
          <w:lang w:val="en-US"/>
        </w:rPr>
        <w:t>are individually responsible</w:t>
      </w:r>
      <w:r w:rsidR="007E226B">
        <w:rPr>
          <w:sz w:val="24"/>
          <w:szCs w:val="24"/>
          <w:lang w:val="en-US"/>
        </w:rPr>
        <w:t xml:space="preserve"> for what they do and</w:t>
      </w:r>
      <w:r w:rsidR="00AA6711">
        <w:rPr>
          <w:sz w:val="24"/>
          <w:szCs w:val="24"/>
          <w:lang w:val="en-US"/>
        </w:rPr>
        <w:t xml:space="preserve"> get</w:t>
      </w:r>
      <w:r w:rsidR="007E226B">
        <w:rPr>
          <w:sz w:val="24"/>
          <w:szCs w:val="24"/>
          <w:lang w:val="en-US"/>
        </w:rPr>
        <w:t xml:space="preserve"> the reward (or punishment) that their </w:t>
      </w:r>
      <w:r w:rsidR="00AA6711">
        <w:rPr>
          <w:sz w:val="24"/>
          <w:szCs w:val="24"/>
          <w:lang w:val="en-US"/>
        </w:rPr>
        <w:t>actions deserve.  The</w:t>
      </w:r>
      <w:r w:rsidR="007E226B">
        <w:rPr>
          <w:sz w:val="24"/>
          <w:szCs w:val="24"/>
          <w:lang w:val="en-US"/>
        </w:rPr>
        <w:t xml:space="preserve"> rabbinic authority on which a person might rely</w:t>
      </w:r>
      <w:r w:rsidR="00AA6711">
        <w:rPr>
          <w:sz w:val="24"/>
          <w:szCs w:val="24"/>
          <w:lang w:val="en-US"/>
        </w:rPr>
        <w:t xml:space="preserve"> is not rewarded or punished</w:t>
      </w:r>
      <w:r w:rsidR="007E226B">
        <w:rPr>
          <w:sz w:val="24"/>
          <w:szCs w:val="24"/>
          <w:lang w:val="en-US"/>
        </w:rPr>
        <w:t>.</w:t>
      </w:r>
    </w:p>
    <w:p w:rsidR="00177D31" w:rsidRDefault="00177D31" w:rsidP="007D02B3">
      <w:pPr>
        <w:pStyle w:val="Footnote0"/>
        <w:shd w:val="clear" w:color="auto" w:fill="auto"/>
        <w:tabs>
          <w:tab w:val="left" w:pos="173"/>
        </w:tabs>
        <w:bidi w:val="0"/>
      </w:pPr>
    </w:p>
    <w:sectPr w:rsidR="00177D31">
      <w:headerReference w:type="even" r:id="rId11"/>
      <w:headerReference w:type="default" r:id="rId12"/>
      <w:footerReference w:type="even" r:id="rId13"/>
      <w:footerReference w:type="default" r:id="rId14"/>
      <w:footnotePr>
        <w:numStart w:val="10"/>
      </w:footnotePr>
      <w:type w:val="continuous"/>
      <w:pgSz w:w="8506" w:h="12493"/>
      <w:pgMar w:top="1405" w:right="1253" w:bottom="1405" w:left="1099"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5B74" w:rsidRDefault="00DE5B74">
      <w:r>
        <w:separator/>
      </w:r>
    </w:p>
  </w:endnote>
  <w:endnote w:type="continuationSeparator" w:id="0">
    <w:p w:rsidR="00DE5B74" w:rsidRDefault="00DE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1CDE" w:rsidRDefault="00C41CDE">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2482215</wp:posOffset>
              </wp:positionH>
              <wp:positionV relativeFrom="page">
                <wp:posOffset>7135495</wp:posOffset>
              </wp:positionV>
              <wp:extent cx="328930" cy="210185"/>
              <wp:effectExtent l="0" t="0" r="0" b="0"/>
              <wp:wrapNone/>
              <wp:docPr id="9" name="Shape 9"/>
              <wp:cNvGraphicFramePr/>
              <a:graphic xmlns:a="http://schemas.openxmlformats.org/drawingml/2006/main">
                <a:graphicData uri="http://schemas.microsoft.com/office/word/2010/wordprocessingShape">
                  <wps:wsp>
                    <wps:cNvSpPr txBox="1"/>
                    <wps:spPr>
                      <a:xfrm>
                        <a:off x="0" y="0"/>
                        <a:ext cx="328930" cy="210185"/>
                      </a:xfrm>
                      <a:prstGeom prst="rect">
                        <a:avLst/>
                      </a:prstGeom>
                      <a:noFill/>
                    </wps:spPr>
                    <wps:txbx>
                      <w:txbxContent>
                        <w:p w:rsidR="00C41CDE" w:rsidRDefault="00C41CDE">
                          <w:pPr>
                            <w:pStyle w:val="Headerorfooter30"/>
                            <w:shd w:val="clear" w:color="auto" w:fill="auto"/>
                            <w:rPr>
                              <w:sz w:val="26"/>
                              <w:szCs w:val="26"/>
                            </w:rPr>
                          </w:pPr>
                          <w:r>
                            <w:rPr>
                              <w:rFonts w:ascii="David" w:eastAsia="David" w:hAnsi="David" w:cs="David"/>
                              <w:color w:val="7BA1CC"/>
                              <w:sz w:val="26"/>
                              <w:szCs w:val="26"/>
                            </w:rPr>
                            <w:t>• • •</w:t>
                          </w:r>
                        </w:p>
                        <w:p w:rsidR="00C41CDE" w:rsidRDefault="00C41CDE">
                          <w:pPr>
                            <w:pStyle w:val="Headerorfooter30"/>
                            <w:shd w:val="clear" w:color="auto" w:fill="auto"/>
                            <w:rPr>
                              <w:sz w:val="18"/>
                              <w:szCs w:val="18"/>
                            </w:rPr>
                          </w:pPr>
                          <w:r>
                            <w:fldChar w:fldCharType="begin"/>
                          </w:r>
                          <w:r>
                            <w:instrText xml:space="preserve"> PAGE \* MERGEFORMAT </w:instrText>
                          </w:r>
                          <w:r>
                            <w:fldChar w:fldCharType="separate"/>
                          </w:r>
                          <w:r>
                            <w:rPr>
                              <w:rFonts w:ascii="Calibri" w:eastAsia="Calibri" w:hAnsi="Calibri" w:cs="Calibri"/>
                              <w:i/>
                              <w:iCs/>
                              <w:sz w:val="18"/>
                              <w:szCs w:val="18"/>
                            </w:rPr>
                            <w:t>#</w:t>
                          </w:r>
                          <w:r>
                            <w:rPr>
                              <w:rFonts w:ascii="Calibri" w:eastAsia="Calibri" w:hAnsi="Calibri" w:cs="Calibri"/>
                              <w:i/>
                              <w:iCs/>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195.45pt;margin-top:561.85pt;width:25.9pt;height:16.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" filled="f" stroked="f">
              <v:textbox style="mso-fit-shape-to-text:t" inset="0,0,0,0">
                <w:txbxContent>
                  <w:p w:rsidR="00C41CDE" w:rsidRDefault="00C41CDE">
                    <w:pPr>
                      <w:pStyle w:val="Headerorfooter30"/>
                      <w:shd w:val="clear" w:color="auto" w:fill="auto"/>
                      <w:rPr>
                        <w:sz w:val="26"/>
                        <w:szCs w:val="26"/>
                      </w:rPr>
                    </w:pPr>
                    <w:r>
                      <w:rPr>
                        <w:rFonts w:ascii="David" w:eastAsia="David" w:hAnsi="David" w:cs="David"/>
                        <w:color w:val="7BA1CC"/>
                        <w:sz w:val="26"/>
                        <w:szCs w:val="26"/>
                      </w:rPr>
                      <w:t>• • •</w:t>
                    </w:r>
                  </w:p>
                  <w:p w:rsidR="00C41CDE" w:rsidRDefault="00C41CDE">
                    <w:pPr>
                      <w:pStyle w:val="Headerorfooter30"/>
                      <w:shd w:val="clear" w:color="auto" w:fill="auto"/>
                      <w:rPr>
                        <w:sz w:val="18"/>
                        <w:szCs w:val="18"/>
                      </w:rPr>
                    </w:pPr>
                    <w:r>
                      <w:fldChar w:fldCharType="begin"/>
                    </w:r>
                    <w:r>
                      <w:instrText xml:space="preserve"> PAGE \* MERGEFORMAT </w:instrText>
                    </w:r>
                    <w:r>
                      <w:fldChar w:fldCharType="separate"/>
                    </w:r>
                    <w:r>
                      <w:rPr>
                        <w:rFonts w:ascii="Calibri" w:eastAsia="Calibri" w:hAnsi="Calibri" w:cs="Calibri"/>
                        <w:i/>
                        <w:iCs/>
                        <w:sz w:val="18"/>
                        <w:szCs w:val="18"/>
                      </w:rPr>
                      <w:t>#</w:t>
                    </w:r>
                    <w:r>
                      <w:rPr>
                        <w:rFonts w:ascii="Calibri" w:eastAsia="Calibri" w:hAnsi="Calibri" w:cs="Calibri"/>
                        <w:i/>
                        <w:iCs/>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1CDE" w:rsidRDefault="00C41CDE">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2482215</wp:posOffset>
              </wp:positionH>
              <wp:positionV relativeFrom="page">
                <wp:posOffset>7135495</wp:posOffset>
              </wp:positionV>
              <wp:extent cx="328930" cy="210185"/>
              <wp:effectExtent l="0" t="0" r="0" b="0"/>
              <wp:wrapNone/>
              <wp:docPr id="7" name="Shape 7"/>
              <wp:cNvGraphicFramePr/>
              <a:graphic xmlns:a="http://schemas.openxmlformats.org/drawingml/2006/main">
                <a:graphicData uri="http://schemas.microsoft.com/office/word/2010/wordprocessingShape">
                  <wps:wsp>
                    <wps:cNvSpPr txBox="1"/>
                    <wps:spPr>
                      <a:xfrm>
                        <a:off x="0" y="0"/>
                        <a:ext cx="328930" cy="210185"/>
                      </a:xfrm>
                      <a:prstGeom prst="rect">
                        <a:avLst/>
                      </a:prstGeom>
                      <a:noFill/>
                    </wps:spPr>
                    <wps:txbx>
                      <w:txbxContent>
                        <w:p w:rsidR="00C41CDE" w:rsidRDefault="00C41CDE">
                          <w:pPr>
                            <w:pStyle w:val="Headerorfooter30"/>
                            <w:shd w:val="clear" w:color="auto" w:fill="auto"/>
                            <w:rPr>
                              <w:sz w:val="26"/>
                              <w:szCs w:val="26"/>
                            </w:rPr>
                          </w:pPr>
                          <w:r>
                            <w:rPr>
                              <w:rFonts w:ascii="David" w:eastAsia="David" w:hAnsi="David" w:cs="David"/>
                              <w:color w:val="7BA1CC"/>
                              <w:sz w:val="26"/>
                              <w:szCs w:val="26"/>
                            </w:rPr>
                            <w:t>• • •</w:t>
                          </w:r>
                        </w:p>
                        <w:p w:rsidR="00C41CDE" w:rsidRDefault="00C41CDE">
                          <w:pPr>
                            <w:pStyle w:val="Headerorfooter30"/>
                            <w:shd w:val="clear" w:color="auto" w:fill="auto"/>
                            <w:rPr>
                              <w:sz w:val="18"/>
                              <w:szCs w:val="18"/>
                            </w:rPr>
                          </w:pPr>
                          <w:r>
                            <w:fldChar w:fldCharType="begin"/>
                          </w:r>
                          <w:r>
                            <w:instrText xml:space="preserve"> PAGE \* MERGEFORMAT </w:instrText>
                          </w:r>
                          <w:r>
                            <w:fldChar w:fldCharType="separate"/>
                          </w:r>
                          <w:r>
                            <w:rPr>
                              <w:rFonts w:ascii="Calibri" w:eastAsia="Calibri" w:hAnsi="Calibri" w:cs="Calibri"/>
                              <w:i/>
                              <w:iCs/>
                              <w:sz w:val="18"/>
                              <w:szCs w:val="18"/>
                            </w:rPr>
                            <w:t>#</w:t>
                          </w:r>
                          <w:r>
                            <w:rPr>
                              <w:rFonts w:ascii="Calibri" w:eastAsia="Calibri" w:hAnsi="Calibri" w:cs="Calibri"/>
                              <w:i/>
                              <w:iCs/>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195.45pt;margin-top:561.85pt;width:25.9pt;height:16.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" filled="f" stroked="f">
              <v:textbox style="mso-fit-shape-to-text:t" inset="0,0,0,0">
                <w:txbxContent>
                  <w:p w:rsidR="00C41CDE" w:rsidRDefault="00C41CDE">
                    <w:pPr>
                      <w:pStyle w:val="Headerorfooter30"/>
                      <w:shd w:val="clear" w:color="auto" w:fill="auto"/>
                      <w:rPr>
                        <w:sz w:val="26"/>
                        <w:szCs w:val="26"/>
                      </w:rPr>
                    </w:pPr>
                    <w:r>
                      <w:rPr>
                        <w:rFonts w:ascii="David" w:eastAsia="David" w:hAnsi="David" w:cs="David"/>
                        <w:color w:val="7BA1CC"/>
                        <w:sz w:val="26"/>
                        <w:szCs w:val="26"/>
                      </w:rPr>
                      <w:t>• • •</w:t>
                    </w:r>
                  </w:p>
                  <w:p w:rsidR="00C41CDE" w:rsidRDefault="00C41CDE">
                    <w:pPr>
                      <w:pStyle w:val="Headerorfooter30"/>
                      <w:shd w:val="clear" w:color="auto" w:fill="auto"/>
                      <w:rPr>
                        <w:sz w:val="18"/>
                        <w:szCs w:val="18"/>
                      </w:rPr>
                    </w:pPr>
                    <w:r>
                      <w:fldChar w:fldCharType="begin"/>
                    </w:r>
                    <w:r>
                      <w:instrText xml:space="preserve"> PAGE \* MERGEFORMAT </w:instrText>
                    </w:r>
                    <w:r>
                      <w:fldChar w:fldCharType="separate"/>
                    </w:r>
                    <w:r>
                      <w:rPr>
                        <w:rFonts w:ascii="Calibri" w:eastAsia="Calibri" w:hAnsi="Calibri" w:cs="Calibri"/>
                        <w:i/>
                        <w:iCs/>
                        <w:sz w:val="18"/>
                        <w:szCs w:val="18"/>
                      </w:rPr>
                      <w:t>#</w:t>
                    </w:r>
                    <w:r>
                      <w:rPr>
                        <w:rFonts w:ascii="Calibri" w:eastAsia="Calibri" w:hAnsi="Calibri" w:cs="Calibri"/>
                        <w:i/>
                        <w:iCs/>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1CDE" w:rsidRDefault="00C41CDE">
    <w:pPr>
      <w:spacing w:line="1" w:lineRule="exact"/>
    </w:pPr>
    <w:r>
      <w:rPr>
        <w:noProof/>
      </w:rPr>
      <mc:AlternateContent>
        <mc:Choice Requires="wps">
          <w:drawing>
            <wp:anchor distT="0" distB="0" distL="0" distR="0" simplePos="0" relativeHeight="62914796" behindDoc="1" locked="0" layoutInCell="1" allowOverlap="1">
              <wp:simplePos x="0" y="0"/>
              <wp:positionH relativeFrom="page">
                <wp:posOffset>2478405</wp:posOffset>
              </wp:positionH>
              <wp:positionV relativeFrom="page">
                <wp:posOffset>7108825</wp:posOffset>
              </wp:positionV>
              <wp:extent cx="328930" cy="210185"/>
              <wp:effectExtent l="0" t="0" r="0" b="0"/>
              <wp:wrapNone/>
              <wp:docPr id="179" name="Shape 179"/>
              <wp:cNvGraphicFramePr/>
              <a:graphic xmlns:a="http://schemas.openxmlformats.org/drawingml/2006/main">
                <a:graphicData uri="http://schemas.microsoft.com/office/word/2010/wordprocessingShape">
                  <wps:wsp>
                    <wps:cNvSpPr txBox="1"/>
                    <wps:spPr>
                      <a:xfrm>
                        <a:off x="0" y="0"/>
                        <a:ext cx="328930" cy="210185"/>
                      </a:xfrm>
                      <a:prstGeom prst="rect">
                        <a:avLst/>
                      </a:prstGeom>
                      <a:noFill/>
                    </wps:spPr>
                    <wps:txbx>
                      <w:txbxContent>
                        <w:p w:rsidR="00C41CDE" w:rsidRDefault="00C41CDE">
                          <w:pPr>
                            <w:pStyle w:val="Headerorfooter0"/>
                            <w:shd w:val="clear" w:color="auto" w:fill="auto"/>
                            <w:spacing w:line="240" w:lineRule="auto"/>
                            <w:jc w:val="left"/>
                          </w:pPr>
                          <w:r>
                            <w:rPr>
                              <w:lang w:val="en-US" w:eastAsia="en-US" w:bidi="en-US"/>
                            </w:rPr>
                            <w:t>• • •</w:t>
                          </w:r>
                        </w:p>
                        <w:p w:rsidR="00C41CDE" w:rsidRDefault="00C41CDE">
                          <w:pPr>
                            <w:pStyle w:val="Headerorfooter0"/>
                            <w:shd w:val="clear" w:color="auto" w:fill="auto"/>
                            <w:spacing w:line="240" w:lineRule="auto"/>
                            <w:jc w:val="left"/>
                            <w:rPr>
                              <w:sz w:val="18"/>
                              <w:szCs w:val="18"/>
                            </w:rPr>
                          </w:pPr>
                          <w:r>
                            <w:fldChar w:fldCharType="begin"/>
                          </w:r>
                          <w:r>
                            <w:instrText xml:space="preserve"> PAGE \* MERGEFORMAT </w:instrText>
                          </w:r>
                          <w:r>
                            <w:fldChar w:fldCharType="separate"/>
                          </w:r>
                          <w:r>
                            <w:rPr>
                              <w:rFonts w:ascii="Calibri" w:eastAsia="Calibri" w:hAnsi="Calibri" w:cs="Calibri"/>
                              <w:i/>
                              <w:iCs/>
                              <w:color w:val="000000"/>
                              <w:sz w:val="18"/>
                              <w:szCs w:val="18"/>
                              <w:lang w:val="en-US" w:eastAsia="en-US" w:bidi="en-US"/>
                            </w:rPr>
                            <w:t>#</w:t>
                          </w:r>
                          <w:r>
                            <w:rPr>
                              <w:rFonts w:ascii="Calibri" w:eastAsia="Calibri" w:hAnsi="Calibri" w:cs="Calibri"/>
                              <w:i/>
                              <w:iCs/>
                              <w:color w:val="000000"/>
                              <w:sz w:val="18"/>
                              <w:szCs w:val="18"/>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9" o:spid="_x0000_s1028" type="#_x0000_t202" style="position:absolute;margin-left:195.15pt;margin-top:559.75pt;width:25.9pt;height:16.55pt;z-index:-4404016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" filled="f" stroked="f">
              <v:textbox style="mso-fit-shape-to-text:t" inset="0,0,0,0">
                <w:txbxContent>
                  <w:p w:rsidR="00C41CDE" w:rsidRDefault="00C41CDE">
                    <w:pPr>
                      <w:pStyle w:val="Headerorfooter0"/>
                      <w:shd w:val="clear" w:color="auto" w:fill="auto"/>
                      <w:spacing w:line="240" w:lineRule="auto"/>
                      <w:jc w:val="left"/>
                    </w:pPr>
                    <w:r>
                      <w:rPr>
                        <w:lang w:val="en-US" w:eastAsia="en-US" w:bidi="en-US"/>
                      </w:rPr>
                      <w:t>• • •</w:t>
                    </w:r>
                  </w:p>
                  <w:p w:rsidR="00C41CDE" w:rsidRDefault="00C41CDE">
                    <w:pPr>
                      <w:pStyle w:val="Headerorfooter0"/>
                      <w:shd w:val="clear" w:color="auto" w:fill="auto"/>
                      <w:spacing w:line="240" w:lineRule="auto"/>
                      <w:jc w:val="left"/>
                      <w:rPr>
                        <w:sz w:val="18"/>
                        <w:szCs w:val="18"/>
                      </w:rPr>
                    </w:pPr>
                    <w:r>
                      <w:fldChar w:fldCharType="begin"/>
                    </w:r>
                    <w:r>
                      <w:instrText xml:space="preserve"> PAGE \* MERGEFORMAT </w:instrText>
                    </w:r>
                    <w:r>
                      <w:fldChar w:fldCharType="separate"/>
                    </w:r>
                    <w:r>
                      <w:rPr>
                        <w:rFonts w:ascii="Calibri" w:eastAsia="Calibri" w:hAnsi="Calibri" w:cs="Calibri"/>
                        <w:i/>
                        <w:iCs/>
                        <w:color w:val="000000"/>
                        <w:sz w:val="18"/>
                        <w:szCs w:val="18"/>
                        <w:lang w:val="en-US" w:eastAsia="en-US" w:bidi="en-US"/>
                      </w:rPr>
                      <w:t>#</w:t>
                    </w:r>
                    <w:r>
                      <w:rPr>
                        <w:rFonts w:ascii="Calibri" w:eastAsia="Calibri" w:hAnsi="Calibri" w:cs="Calibri"/>
                        <w:i/>
                        <w:iCs/>
                        <w:color w:val="000000"/>
                        <w:sz w:val="18"/>
                        <w:szCs w:val="18"/>
                        <w:lang w:val="en-US" w:eastAsia="en-US" w:bidi="en-U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1CDE" w:rsidRDefault="00C41CDE">
    <w:pPr>
      <w:spacing w:line="1" w:lineRule="exact"/>
    </w:pPr>
    <w:r>
      <w:rPr>
        <w:noProof/>
      </w:rPr>
      <mc:AlternateContent>
        <mc:Choice Requires="wps">
          <w:drawing>
            <wp:anchor distT="0" distB="0" distL="0" distR="0" simplePos="0" relativeHeight="62914794" behindDoc="1" locked="0" layoutInCell="1" allowOverlap="1">
              <wp:simplePos x="0" y="0"/>
              <wp:positionH relativeFrom="page">
                <wp:posOffset>2478405</wp:posOffset>
              </wp:positionH>
              <wp:positionV relativeFrom="page">
                <wp:posOffset>7108825</wp:posOffset>
              </wp:positionV>
              <wp:extent cx="328930" cy="210185"/>
              <wp:effectExtent l="0" t="0" r="0" b="0"/>
              <wp:wrapNone/>
              <wp:docPr id="177" name="Shape 177"/>
              <wp:cNvGraphicFramePr/>
              <a:graphic xmlns:a="http://schemas.openxmlformats.org/drawingml/2006/main">
                <a:graphicData uri="http://schemas.microsoft.com/office/word/2010/wordprocessingShape">
                  <wps:wsp>
                    <wps:cNvSpPr txBox="1"/>
                    <wps:spPr>
                      <a:xfrm>
                        <a:off x="0" y="0"/>
                        <a:ext cx="328930" cy="210185"/>
                      </a:xfrm>
                      <a:prstGeom prst="rect">
                        <a:avLst/>
                      </a:prstGeom>
                      <a:noFill/>
                    </wps:spPr>
                    <wps:txbx>
                      <w:txbxContent>
                        <w:p w:rsidR="00C41CDE" w:rsidRDefault="00C41CDE">
                          <w:pPr>
                            <w:pStyle w:val="Headerorfooter0"/>
                            <w:shd w:val="clear" w:color="auto" w:fill="auto"/>
                            <w:spacing w:line="240" w:lineRule="auto"/>
                            <w:jc w:val="left"/>
                          </w:pPr>
                          <w:r>
                            <w:rPr>
                              <w:lang w:val="en-US" w:eastAsia="en-US" w:bidi="en-US"/>
                            </w:rPr>
                            <w:t>• • •</w:t>
                          </w:r>
                        </w:p>
                        <w:p w:rsidR="00C41CDE" w:rsidRDefault="00C41CDE">
                          <w:pPr>
                            <w:pStyle w:val="Headerorfooter0"/>
                            <w:shd w:val="clear" w:color="auto" w:fill="auto"/>
                            <w:spacing w:line="240" w:lineRule="auto"/>
                            <w:jc w:val="left"/>
                            <w:rPr>
                              <w:sz w:val="18"/>
                              <w:szCs w:val="18"/>
                            </w:rPr>
                          </w:pPr>
                          <w:r>
                            <w:fldChar w:fldCharType="begin"/>
                          </w:r>
                          <w:r>
                            <w:instrText xml:space="preserve"> PAGE \* MERGEFORMAT </w:instrText>
                          </w:r>
                          <w:r>
                            <w:fldChar w:fldCharType="separate"/>
                          </w:r>
                          <w:r>
                            <w:rPr>
                              <w:rFonts w:ascii="Calibri" w:eastAsia="Calibri" w:hAnsi="Calibri" w:cs="Calibri"/>
                              <w:i/>
                              <w:iCs/>
                              <w:color w:val="000000"/>
                              <w:sz w:val="18"/>
                              <w:szCs w:val="18"/>
                              <w:lang w:val="en-US" w:eastAsia="en-US" w:bidi="en-US"/>
                            </w:rPr>
                            <w:t>#</w:t>
                          </w:r>
                          <w:r>
                            <w:rPr>
                              <w:rFonts w:ascii="Calibri" w:eastAsia="Calibri" w:hAnsi="Calibri" w:cs="Calibri"/>
                              <w:i/>
                              <w:iCs/>
                              <w:color w:val="000000"/>
                              <w:sz w:val="18"/>
                              <w:szCs w:val="18"/>
                              <w:lang w:val="en-US" w:eastAsia="en-US" w:bidi="en-U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7" o:spid="_x0000_s1029" type="#_x0000_t202" style="position:absolute;margin-left:195.15pt;margin-top:559.75pt;width:25.9pt;height:16.55pt;z-index:-4404016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" filled="f" stroked="f">
              <v:textbox style="mso-fit-shape-to-text:t" inset="0,0,0,0">
                <w:txbxContent>
                  <w:p w:rsidR="00C41CDE" w:rsidRDefault="00C41CDE">
                    <w:pPr>
                      <w:pStyle w:val="Headerorfooter0"/>
                      <w:shd w:val="clear" w:color="auto" w:fill="auto"/>
                      <w:spacing w:line="240" w:lineRule="auto"/>
                      <w:jc w:val="left"/>
                    </w:pPr>
                    <w:r>
                      <w:rPr>
                        <w:lang w:val="en-US" w:eastAsia="en-US" w:bidi="en-US"/>
                      </w:rPr>
                      <w:t>• • •</w:t>
                    </w:r>
                  </w:p>
                  <w:p w:rsidR="00C41CDE" w:rsidRDefault="00C41CDE">
                    <w:pPr>
                      <w:pStyle w:val="Headerorfooter0"/>
                      <w:shd w:val="clear" w:color="auto" w:fill="auto"/>
                      <w:spacing w:line="240" w:lineRule="auto"/>
                      <w:jc w:val="left"/>
                      <w:rPr>
                        <w:sz w:val="18"/>
                        <w:szCs w:val="18"/>
                      </w:rPr>
                    </w:pPr>
                    <w:r>
                      <w:fldChar w:fldCharType="begin"/>
                    </w:r>
                    <w:r>
                      <w:instrText xml:space="preserve"> PAGE \* MERGEFORMAT </w:instrText>
                    </w:r>
                    <w:r>
                      <w:fldChar w:fldCharType="separate"/>
                    </w:r>
                    <w:r>
                      <w:rPr>
                        <w:rFonts w:ascii="Calibri" w:eastAsia="Calibri" w:hAnsi="Calibri" w:cs="Calibri"/>
                        <w:i/>
                        <w:iCs/>
                        <w:color w:val="000000"/>
                        <w:sz w:val="18"/>
                        <w:szCs w:val="18"/>
                        <w:lang w:val="en-US" w:eastAsia="en-US" w:bidi="en-US"/>
                      </w:rPr>
                      <w:t>#</w:t>
                    </w:r>
                    <w:r>
                      <w:rPr>
                        <w:rFonts w:ascii="Calibri" w:eastAsia="Calibri" w:hAnsi="Calibri" w:cs="Calibri"/>
                        <w:i/>
                        <w:iCs/>
                        <w:color w:val="000000"/>
                        <w:sz w:val="18"/>
                        <w:szCs w:val="18"/>
                        <w:lang w:val="en-US" w:eastAsia="en-US" w:bidi="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5B74" w:rsidRDefault="00DE5B74">
      <w:pPr>
        <w:bidi/>
      </w:pPr>
    </w:p>
  </w:footnote>
  <w:footnote w:type="continuationSeparator" w:id="0">
    <w:p w:rsidR="00DE5B74" w:rsidRDefault="00DE5B74">
      <w:pPr>
        <w:bidi/>
      </w:pPr>
    </w:p>
  </w:footnote>
  <w:footnote w:id="1">
    <w:p w:rsidR="00C41CDE" w:rsidRPr="002B7749" w:rsidRDefault="00C41CDE">
      <w:pPr>
        <w:pStyle w:val="FootnoteText"/>
        <w:rPr>
          <w:lang w:val="en-US"/>
        </w:rPr>
      </w:pPr>
      <w:r>
        <w:rPr>
          <w:rStyle w:val="FootnoteReference"/>
        </w:rPr>
        <w:footnoteRef/>
      </w:r>
      <w:r w:rsidRPr="002B7749">
        <w:rPr>
          <w:lang w:val="en-US"/>
        </w:rPr>
        <w:t xml:space="preserve"> </w:t>
      </w:r>
      <w:r>
        <w:rPr>
          <w:lang w:val="en-US"/>
        </w:rPr>
        <w:t>Prov 19:8.</w:t>
      </w:r>
    </w:p>
  </w:footnote>
  <w:footnote w:id="2">
    <w:p w:rsidR="00C41CDE" w:rsidRPr="002B7749" w:rsidRDefault="00C41CDE">
      <w:pPr>
        <w:pStyle w:val="FootnoteText"/>
        <w:rPr>
          <w:lang w:val="en-US"/>
        </w:rPr>
      </w:pPr>
      <w:r>
        <w:rPr>
          <w:rStyle w:val="FootnoteReference"/>
        </w:rPr>
        <w:footnoteRef/>
      </w:r>
      <w:r w:rsidRPr="002B7749">
        <w:rPr>
          <w:lang w:val="en-US"/>
        </w:rPr>
        <w:t xml:space="preserve"> </w:t>
      </w:r>
      <w:r>
        <w:rPr>
          <w:lang w:val="en-US"/>
        </w:rPr>
        <w:t>Babylonian and Palestinian (“Jerusalem”).</w:t>
      </w:r>
    </w:p>
  </w:footnote>
  <w:footnote w:id="3">
    <w:p w:rsidR="00C41CDE" w:rsidRPr="007312A3" w:rsidRDefault="00C41CDE">
      <w:pPr>
        <w:pStyle w:val="FootnoteText"/>
        <w:rPr>
          <w:lang w:val="en-US"/>
        </w:rPr>
      </w:pPr>
      <w:r>
        <w:rPr>
          <w:rStyle w:val="FootnoteReference"/>
        </w:rPr>
        <w:footnoteRef/>
      </w:r>
      <w:r w:rsidRPr="00214820">
        <w:rPr>
          <w:lang w:val="en-US"/>
        </w:rPr>
        <w:t xml:space="preserve"> </w:t>
      </w:r>
      <w:r>
        <w:rPr>
          <w:lang w:val="en-US"/>
        </w:rPr>
        <w:t>Deut 4:2.</w:t>
      </w:r>
    </w:p>
  </w:footnote>
  <w:footnote w:id="4">
    <w:p w:rsidR="00C41CDE" w:rsidRPr="00214820" w:rsidRDefault="00C41CDE">
      <w:pPr>
        <w:pStyle w:val="FootnoteText"/>
        <w:rPr>
          <w:lang w:val="en-US"/>
        </w:rPr>
      </w:pPr>
      <w:r>
        <w:rPr>
          <w:rStyle w:val="FootnoteReference"/>
        </w:rPr>
        <w:footnoteRef/>
      </w:r>
      <w:r w:rsidRPr="00214820">
        <w:rPr>
          <w:lang w:val="en-US"/>
        </w:rPr>
        <w:t xml:space="preserve"> </w:t>
      </w:r>
      <w:r>
        <w:rPr>
          <w:lang w:val="en-US"/>
        </w:rPr>
        <w:t>Deut 31:24.</w:t>
      </w:r>
    </w:p>
  </w:footnote>
  <w:footnote w:id="5">
    <w:p w:rsidR="00C41CDE" w:rsidRPr="00214820" w:rsidRDefault="00C41CDE">
      <w:pPr>
        <w:pStyle w:val="FootnoteText"/>
        <w:rPr>
          <w:lang w:val="en-US"/>
        </w:rPr>
      </w:pPr>
      <w:r>
        <w:rPr>
          <w:rStyle w:val="FootnoteReference"/>
        </w:rPr>
        <w:footnoteRef/>
      </w:r>
      <w:r w:rsidRPr="00214820">
        <w:rPr>
          <w:lang w:val="en-US"/>
        </w:rPr>
        <w:t xml:space="preserve"> </w:t>
      </w:r>
      <w:r>
        <w:rPr>
          <w:lang w:val="en-US"/>
        </w:rPr>
        <w:t>Mal 3:22.</w:t>
      </w:r>
    </w:p>
  </w:footnote>
  <w:footnote w:id="6">
    <w:p w:rsidR="00C41CDE" w:rsidRPr="00E32643" w:rsidRDefault="00C41CDE">
      <w:pPr>
        <w:pStyle w:val="FootnoteText"/>
        <w:rPr>
          <w:lang w:val="en-US"/>
        </w:rPr>
      </w:pPr>
      <w:r>
        <w:rPr>
          <w:rStyle w:val="FootnoteReference"/>
        </w:rPr>
        <w:footnoteRef/>
      </w:r>
      <w:r>
        <w:t xml:space="preserve"> </w:t>
      </w:r>
      <w:r>
        <w:rPr>
          <w:lang w:val="en-US"/>
        </w:rPr>
        <w:t>Josh 23:6.</w:t>
      </w:r>
    </w:p>
  </w:footnote>
  <w:footnote w:id="7">
    <w:p w:rsidR="00C41CDE" w:rsidRPr="00E32643" w:rsidRDefault="00C41CDE">
      <w:pPr>
        <w:pStyle w:val="FootnoteText"/>
        <w:rPr>
          <w:lang w:val="en-US"/>
        </w:rPr>
      </w:pPr>
      <w:r>
        <w:rPr>
          <w:rStyle w:val="FootnoteReference"/>
        </w:rPr>
        <w:footnoteRef/>
      </w:r>
      <w:r>
        <w:t xml:space="preserve"> </w:t>
      </w:r>
      <w:r>
        <w:rPr>
          <w:lang w:val="en-US"/>
        </w:rPr>
        <w:t>Ps 19:8.</w:t>
      </w:r>
    </w:p>
  </w:footnote>
  <w:footnote w:id="8">
    <w:p w:rsidR="00C41CDE" w:rsidRPr="00084331" w:rsidRDefault="00C41CDE">
      <w:pPr>
        <w:pStyle w:val="FootnoteText"/>
        <w:rPr>
          <w:lang w:val="en-US"/>
        </w:rPr>
      </w:pPr>
      <w:r>
        <w:rPr>
          <w:rStyle w:val="FootnoteReference"/>
        </w:rPr>
        <w:footnoteRef/>
      </w:r>
      <w:r w:rsidRPr="00084331">
        <w:rPr>
          <w:lang w:val="en-US"/>
        </w:rPr>
        <w:t xml:space="preserve"> </w:t>
      </w:r>
      <w:r>
        <w:rPr>
          <w:lang w:val="en-US"/>
        </w:rPr>
        <w:t xml:space="preserve">An inclusive term for those who believe in the Oral Law (principally Orthodox Jews). </w:t>
      </w:r>
    </w:p>
  </w:footnote>
  <w:footnote w:id="9">
    <w:p w:rsidR="00C41CDE" w:rsidRPr="00C41CDE" w:rsidRDefault="00C41CDE">
      <w:pPr>
        <w:pStyle w:val="FootnoteText"/>
        <w:rPr>
          <w:lang w:val="en-US"/>
        </w:rPr>
      </w:pPr>
      <w:r>
        <w:rPr>
          <w:rStyle w:val="FootnoteReference"/>
        </w:rPr>
        <w:footnoteRef/>
      </w:r>
      <w:r>
        <w:t xml:space="preserve"> </w:t>
      </w:r>
      <w:r>
        <w:rPr>
          <w:lang w:val="en-US"/>
        </w:rPr>
        <w:t>M. Hag. 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1CDE" w:rsidRDefault="00C41C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1CDE" w:rsidRDefault="00C41C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5A9F"/>
    <w:multiLevelType w:val="multilevel"/>
    <w:tmpl w:val="BF92CA0C"/>
    <w:lvl w:ilvl="0">
      <w:start w:val="1"/>
      <w:numFmt w:val="hebrew1"/>
      <w:lvlText w:val="%1."/>
      <w:lvlJc w:val="left"/>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22AA4"/>
    <w:multiLevelType w:val="multilevel"/>
    <w:tmpl w:val="3DDEBB1A"/>
    <w:lvl w:ilvl="0">
      <w:start w:val="1"/>
      <w:numFmt w:val="hebrew1"/>
      <w:lvlText w:val="%1."/>
      <w:lvlJc w:val="left"/>
      <w:rPr>
        <w:rFonts w:ascii="David" w:eastAsia="David" w:hAnsi="David" w:cs="David"/>
        <w:b w:val="0"/>
        <w:bCs w:val="0"/>
        <w:i w:val="0"/>
        <w:iCs w:val="0"/>
        <w:smallCaps w:val="0"/>
        <w:strike w:val="0"/>
        <w:color w:val="000000"/>
        <w:spacing w:val="0"/>
        <w:w w:val="100"/>
        <w:position w:val="0"/>
        <w:sz w:val="28"/>
        <w:szCs w:val="28"/>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415B6"/>
    <w:multiLevelType w:val="multilevel"/>
    <w:tmpl w:val="4A3C3922"/>
    <w:lvl w:ilvl="0">
      <w:start w:val="1"/>
      <w:numFmt w:val="hebrew1"/>
      <w:lvlText w:val="%1."/>
      <w:lvlJc w:val="left"/>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56D62"/>
    <w:multiLevelType w:val="multilevel"/>
    <w:tmpl w:val="4F46B246"/>
    <w:lvl w:ilvl="0">
      <w:start w:val="127"/>
      <w:numFmt w:val="decimal"/>
      <w:lvlText w:val="%1"/>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7585E"/>
    <w:multiLevelType w:val="multilevel"/>
    <w:tmpl w:val="8FF8960C"/>
    <w:lvl w:ilvl="0">
      <w:start w:val="1"/>
      <w:numFmt w:val="hebrew1"/>
      <w:lvlText w:val="%1."/>
      <w:lvlJc w:val="left"/>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E3D06"/>
    <w:multiLevelType w:val="multilevel"/>
    <w:tmpl w:val="8C401EA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57F17"/>
    <w:multiLevelType w:val="multilevel"/>
    <w:tmpl w:val="CC94DFB0"/>
    <w:lvl w:ilvl="0">
      <w:start w:val="1"/>
      <w:numFmt w:val="hebrew1"/>
      <w:lvlText w:val="%1."/>
      <w:lvlJc w:val="left"/>
      <w:rPr>
        <w:rFonts w:ascii="David" w:eastAsia="David" w:hAnsi="David" w:cs="David"/>
        <w:b/>
        <w:bCs/>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03A52"/>
    <w:multiLevelType w:val="multilevel"/>
    <w:tmpl w:val="58669BFA"/>
    <w:lvl w:ilvl="0">
      <w:start w:val="1"/>
      <w:numFmt w:val="hebrew1"/>
      <w:lvlText w:val="%1."/>
      <w:lvlJc w:val="left"/>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FE2A2D"/>
    <w:multiLevelType w:val="multilevel"/>
    <w:tmpl w:val="99EEA52E"/>
    <w:lvl w:ilvl="0">
      <w:start w:val="1"/>
      <w:numFmt w:val="hebrew1"/>
      <w:lvlText w:val="%1."/>
      <w:lvlJc w:val="left"/>
      <w:rPr>
        <w:rFonts w:ascii="David" w:eastAsia="David" w:hAnsi="David" w:cs="David"/>
        <w:b/>
        <w:bCs/>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8A0978"/>
    <w:multiLevelType w:val="multilevel"/>
    <w:tmpl w:val="E25A44B4"/>
    <w:lvl w:ilvl="0">
      <w:start w:val="86"/>
      <w:numFmt w:val="decimal"/>
      <w:lvlText w:val="%1"/>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21875"/>
    <w:multiLevelType w:val="hybridMultilevel"/>
    <w:tmpl w:val="888CE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C5ED9"/>
    <w:multiLevelType w:val="multilevel"/>
    <w:tmpl w:val="C5340304"/>
    <w:lvl w:ilvl="0">
      <w:start w:val="1"/>
      <w:numFmt w:val="hebrew1"/>
      <w:lvlText w:val="%1."/>
      <w:lvlJc w:val="left"/>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8F2357"/>
    <w:multiLevelType w:val="multilevel"/>
    <w:tmpl w:val="10CA75A0"/>
    <w:lvl w:ilvl="0">
      <w:start w:val="1"/>
      <w:numFmt w:val="hebrew1"/>
      <w:lvlText w:val="%1."/>
      <w:lvlJc w:val="left"/>
      <w:rPr>
        <w:rFonts w:ascii="David" w:eastAsia="David" w:hAnsi="David" w:cs="David"/>
        <w:b/>
        <w:bCs/>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4F6459"/>
    <w:multiLevelType w:val="multilevel"/>
    <w:tmpl w:val="0AB62178"/>
    <w:lvl w:ilvl="0">
      <w:start w:val="1"/>
      <w:numFmt w:val="hebrew1"/>
      <w:lvlText w:val="%1."/>
      <w:lvlJc w:val="left"/>
      <w:rPr>
        <w:rFonts w:ascii="David" w:eastAsia="David" w:hAnsi="David" w:cs="David"/>
        <w:b w:val="0"/>
        <w:bCs w:val="0"/>
        <w:i w:val="0"/>
        <w:iCs w:val="0"/>
        <w:smallCaps w:val="0"/>
        <w:strike w:val="0"/>
        <w:color w:val="000000"/>
        <w:spacing w:val="0"/>
        <w:w w:val="100"/>
        <w:position w:val="0"/>
        <w:sz w:val="28"/>
        <w:szCs w:val="28"/>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29018E"/>
    <w:multiLevelType w:val="multilevel"/>
    <w:tmpl w:val="A3602866"/>
    <w:lvl w:ilvl="0">
      <w:start w:val="4"/>
      <w:numFmt w:val="hebrew1"/>
      <w:lvlText w:val="%1."/>
      <w:lvlJc w:val="left"/>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B457E9"/>
    <w:multiLevelType w:val="multilevel"/>
    <w:tmpl w:val="88DA8AAA"/>
    <w:lvl w:ilvl="0">
      <w:start w:val="1"/>
      <w:numFmt w:val="hebrew1"/>
      <w:lvlText w:val="%1."/>
      <w:lvlJc w:val="left"/>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4C3FD2"/>
    <w:multiLevelType w:val="multilevel"/>
    <w:tmpl w:val="1D84D0CA"/>
    <w:lvl w:ilvl="0">
      <w:start w:val="1"/>
      <w:numFmt w:val="hebrew1"/>
      <w:lvlText w:val="%1."/>
      <w:lvlJc w:val="left"/>
      <w:rPr>
        <w:rFonts w:ascii="David" w:eastAsia="David" w:hAnsi="David" w:cs="David"/>
        <w:b w:val="0"/>
        <w:bCs w:val="0"/>
        <w:i w:val="0"/>
        <w:iCs w:val="0"/>
        <w:smallCaps w:val="0"/>
        <w:strike w:val="0"/>
        <w:color w:val="000000"/>
        <w:spacing w:val="0"/>
        <w:w w:val="100"/>
        <w:position w:val="0"/>
        <w:sz w:val="26"/>
        <w:szCs w:val="26"/>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5"/>
  </w:num>
  <w:num w:numId="4">
    <w:abstractNumId w:val="5"/>
  </w:num>
  <w:num w:numId="5">
    <w:abstractNumId w:val="8"/>
  </w:num>
  <w:num w:numId="6">
    <w:abstractNumId w:val="11"/>
  </w:num>
  <w:num w:numId="7">
    <w:abstractNumId w:val="16"/>
  </w:num>
  <w:num w:numId="8">
    <w:abstractNumId w:val="12"/>
  </w:num>
  <w:num w:numId="9">
    <w:abstractNumId w:val="0"/>
  </w:num>
  <w:num w:numId="10">
    <w:abstractNumId w:val="14"/>
  </w:num>
  <w:num w:numId="11">
    <w:abstractNumId w:val="2"/>
  </w:num>
  <w:num w:numId="12">
    <w:abstractNumId w:val="9"/>
  </w:num>
  <w:num w:numId="13">
    <w:abstractNumId w:val="1"/>
  </w:num>
  <w:num w:numId="14">
    <w:abstractNumId w:val="7"/>
  </w:num>
  <w:num w:numId="15">
    <w:abstractNumId w:val="6"/>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31"/>
    <w:rsid w:val="00084331"/>
    <w:rsid w:val="000D6B96"/>
    <w:rsid w:val="000F6FA7"/>
    <w:rsid w:val="001574E1"/>
    <w:rsid w:val="00177D31"/>
    <w:rsid w:val="00214820"/>
    <w:rsid w:val="002B7749"/>
    <w:rsid w:val="00451772"/>
    <w:rsid w:val="004846AA"/>
    <w:rsid w:val="00560EA4"/>
    <w:rsid w:val="007312A3"/>
    <w:rsid w:val="007D02B3"/>
    <w:rsid w:val="007E226B"/>
    <w:rsid w:val="009A0D29"/>
    <w:rsid w:val="00A50153"/>
    <w:rsid w:val="00AA6711"/>
    <w:rsid w:val="00BA67BA"/>
    <w:rsid w:val="00C41CDE"/>
    <w:rsid w:val="00CD347E"/>
    <w:rsid w:val="00D44601"/>
    <w:rsid w:val="00DE5B74"/>
    <w:rsid w:val="00E32643"/>
    <w:rsid w:val="00EA6F37"/>
    <w:rsid w:val="00EE61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A933202"/>
  <w15:docId w15:val="{7B004CB9-8A1D-804E-A1E5-26C30380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David" w:eastAsia="David" w:hAnsi="David" w:cs="David"/>
      <w:b w:val="0"/>
      <w:bCs w:val="0"/>
      <w:i w:val="0"/>
      <w:iCs w:val="0"/>
      <w:smallCaps w:val="0"/>
      <w:strike w:val="0"/>
      <w:sz w:val="20"/>
      <w:szCs w:val="20"/>
      <w:u w:val="none"/>
    </w:rPr>
  </w:style>
  <w:style w:type="character" w:customStyle="1" w:styleId="Bodytext3">
    <w:name w:val="Body text (3)_"/>
    <w:basedOn w:val="DefaultParagraphFont"/>
    <w:link w:val="Bodytext30"/>
    <w:rPr>
      <w:rFonts w:ascii="David" w:eastAsia="David" w:hAnsi="David" w:cs="David"/>
      <w:b w:val="0"/>
      <w:bCs w:val="0"/>
      <w:i w:val="0"/>
      <w:iCs w:val="0"/>
      <w:smallCaps w:val="0"/>
      <w:strike w:val="0"/>
      <w:color w:val="1F497D"/>
      <w:sz w:val="20"/>
      <w:szCs w:val="20"/>
      <w:u w:val="none"/>
    </w:rPr>
  </w:style>
  <w:style w:type="character" w:customStyle="1" w:styleId="Other2">
    <w:name w:val="Other (2)_"/>
    <w:basedOn w:val="DefaultParagraphFont"/>
    <w:link w:val="Other20"/>
    <w:rPr>
      <w:rFonts w:ascii="David" w:eastAsia="David" w:hAnsi="David" w:cs="David"/>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David" w:eastAsia="David" w:hAnsi="David" w:cs="David"/>
      <w:b w:val="0"/>
      <w:bCs w:val="0"/>
      <w:i w:val="0"/>
      <w:iCs w:val="0"/>
      <w:smallCaps w:val="0"/>
      <w:strike w:val="0"/>
      <w:color w:val="685A42"/>
      <w:sz w:val="13"/>
      <w:szCs w:val="13"/>
      <w:u w:val="none"/>
    </w:rPr>
  </w:style>
  <w:style w:type="character" w:customStyle="1" w:styleId="Heading1">
    <w:name w:val="Heading #1_"/>
    <w:basedOn w:val="DefaultParagraphFont"/>
    <w:link w:val="Heading10"/>
    <w:rPr>
      <w:rFonts w:ascii="David" w:eastAsia="David" w:hAnsi="David" w:cs="David"/>
      <w:b/>
      <w:bCs/>
      <w:i w:val="0"/>
      <w:iCs w:val="0"/>
      <w:smallCaps w:val="0"/>
      <w:strike w:val="0"/>
      <w:color w:val="17365D"/>
      <w:sz w:val="56"/>
      <w:szCs w:val="56"/>
      <w:u w:val="none"/>
    </w:rPr>
  </w:style>
  <w:style w:type="character" w:customStyle="1" w:styleId="Headerorfooter3">
    <w:name w:val="Header or footer (3)_"/>
    <w:basedOn w:val="DefaultParagraphFont"/>
    <w:link w:val="Headerorfooter3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ableofcontents">
    <w:name w:val="Table of contents_"/>
    <w:basedOn w:val="DefaultParagraphFont"/>
    <w:link w:val="Tableofcontents0"/>
    <w:rPr>
      <w:rFonts w:ascii="David" w:eastAsia="David" w:hAnsi="David" w:cs="David"/>
      <w:b w:val="0"/>
      <w:bCs w:val="0"/>
      <w:i w:val="0"/>
      <w:iCs w:val="0"/>
      <w:smallCaps w:val="0"/>
      <w:strike w:val="0"/>
      <w:sz w:val="22"/>
      <w:szCs w:val="22"/>
      <w:u w:val="none"/>
    </w:rPr>
  </w:style>
  <w:style w:type="character" w:customStyle="1" w:styleId="Heading2">
    <w:name w:val="Heading #2_"/>
    <w:basedOn w:val="DefaultParagraphFont"/>
    <w:link w:val="Heading20"/>
    <w:rPr>
      <w:rFonts w:ascii="David" w:eastAsia="David" w:hAnsi="David" w:cs="David"/>
      <w:b/>
      <w:bCs/>
      <w:i w:val="0"/>
      <w:iCs w:val="0"/>
      <w:smallCaps w:val="0"/>
      <w:strike w:val="0"/>
      <w:color w:val="365F91"/>
      <w:sz w:val="32"/>
      <w:szCs w:val="32"/>
      <w:u w:val="none"/>
    </w:rPr>
  </w:style>
  <w:style w:type="character" w:customStyle="1" w:styleId="BodyTextChar">
    <w:name w:val="Body Text Char"/>
    <w:basedOn w:val="DefaultParagraphFont"/>
    <w:link w:val="BodyText"/>
    <w:rPr>
      <w:rFonts w:ascii="David" w:eastAsia="David" w:hAnsi="David" w:cs="David"/>
      <w:b w:val="0"/>
      <w:bCs w:val="0"/>
      <w:i w:val="0"/>
      <w:iCs w:val="0"/>
      <w:smallCaps w:val="0"/>
      <w:strike w:val="0"/>
      <w:sz w:val="26"/>
      <w:szCs w:val="26"/>
      <w:u w:val="none"/>
    </w:rPr>
  </w:style>
  <w:style w:type="character" w:customStyle="1" w:styleId="Bodytext2">
    <w:name w:val="Body text (2)_"/>
    <w:basedOn w:val="DefaultParagraphFont"/>
    <w:link w:val="Bodytext20"/>
    <w:rPr>
      <w:rFonts w:ascii="David" w:eastAsia="David" w:hAnsi="David" w:cs="David"/>
      <w:b w:val="0"/>
      <w:bCs w:val="0"/>
      <w:i w:val="0"/>
      <w:iCs w:val="0"/>
      <w:smallCaps w:val="0"/>
      <w:strike w:val="0"/>
      <w:sz w:val="18"/>
      <w:szCs w:val="18"/>
      <w:u w:val="none"/>
    </w:rPr>
  </w:style>
  <w:style w:type="character" w:customStyle="1" w:styleId="Headerorfooter">
    <w:name w:val="Header or footer_"/>
    <w:basedOn w:val="DefaultParagraphFont"/>
    <w:link w:val="Headerorfooter0"/>
    <w:rPr>
      <w:rFonts w:ascii="David" w:eastAsia="David" w:hAnsi="David" w:cs="David"/>
      <w:b w:val="0"/>
      <w:bCs w:val="0"/>
      <w:i w:val="0"/>
      <w:iCs w:val="0"/>
      <w:smallCaps w:val="0"/>
      <w:strike w:val="0"/>
      <w:color w:val="7BA1CC"/>
      <w:sz w:val="26"/>
      <w:szCs w:val="26"/>
      <w:u w:val="none"/>
    </w:rPr>
  </w:style>
  <w:style w:type="character" w:customStyle="1" w:styleId="Bodytext6">
    <w:name w:val="Body text (6)_"/>
    <w:basedOn w:val="DefaultParagraphFont"/>
    <w:link w:val="Bodytext60"/>
    <w:rPr>
      <w:rFonts w:ascii="Calibri" w:eastAsia="Calibri" w:hAnsi="Calibri" w:cs="Calibri"/>
      <w:b w:val="0"/>
      <w:bCs w:val="0"/>
      <w:i w:val="0"/>
      <w:iCs w:val="0"/>
      <w:smallCaps w:val="0"/>
      <w:strike w:val="0"/>
      <w:sz w:val="13"/>
      <w:szCs w:val="13"/>
      <w:u w:val="none"/>
      <w:lang w:val="en-US" w:eastAsia="en-US" w:bidi="en-US"/>
    </w:rPr>
  </w:style>
  <w:style w:type="character" w:customStyle="1" w:styleId="Bodytext7">
    <w:name w:val="Body text (7)_"/>
    <w:basedOn w:val="DefaultParagraphFont"/>
    <w:link w:val="Bodytext70"/>
    <w:rPr>
      <w:rFonts w:ascii="Calibri" w:eastAsia="Calibri" w:hAnsi="Calibri" w:cs="Calibri"/>
      <w:b w:val="0"/>
      <w:bCs w:val="0"/>
      <w:i/>
      <w:iCs/>
      <w:smallCaps w:val="0"/>
      <w:strike w:val="0"/>
      <w:sz w:val="18"/>
      <w:szCs w:val="18"/>
      <w:u w:val="none"/>
      <w:lang w:val="en-US" w:eastAsia="en-US" w:bidi="en-US"/>
    </w:rPr>
  </w:style>
  <w:style w:type="paragraph" w:customStyle="1" w:styleId="Footnote0">
    <w:name w:val="Footnote"/>
    <w:basedOn w:val="Normal"/>
    <w:link w:val="Footnote"/>
    <w:pPr>
      <w:shd w:val="clear" w:color="auto" w:fill="FFFFFF"/>
      <w:bidi/>
    </w:pPr>
    <w:rPr>
      <w:rFonts w:ascii="David" w:eastAsia="David" w:hAnsi="David" w:cs="David"/>
      <w:sz w:val="20"/>
      <w:szCs w:val="20"/>
    </w:rPr>
  </w:style>
  <w:style w:type="paragraph" w:customStyle="1" w:styleId="Bodytext30">
    <w:name w:val="Body text (3)"/>
    <w:basedOn w:val="Normal"/>
    <w:link w:val="Bodytext3"/>
    <w:pPr>
      <w:shd w:val="clear" w:color="auto" w:fill="FFFFFF"/>
      <w:bidi/>
      <w:spacing w:after="40" w:line="269" w:lineRule="auto"/>
      <w:jc w:val="center"/>
    </w:pPr>
    <w:rPr>
      <w:rFonts w:ascii="David" w:eastAsia="David" w:hAnsi="David" w:cs="David"/>
      <w:color w:val="1F497D"/>
      <w:sz w:val="20"/>
      <w:szCs w:val="20"/>
    </w:rPr>
  </w:style>
  <w:style w:type="paragraph" w:customStyle="1" w:styleId="Other20">
    <w:name w:val="Other (2)"/>
    <w:basedOn w:val="Normal"/>
    <w:link w:val="Other2"/>
    <w:pPr>
      <w:shd w:val="clear" w:color="auto" w:fill="FFFFFF"/>
      <w:bidi/>
      <w:spacing w:line="338" w:lineRule="auto"/>
    </w:pPr>
    <w:rPr>
      <w:rFonts w:ascii="David" w:eastAsia="David" w:hAnsi="David" w:cs="David"/>
      <w:sz w:val="26"/>
      <w:szCs w:val="26"/>
    </w:rPr>
  </w:style>
  <w:style w:type="paragraph" w:customStyle="1" w:styleId="Picturecaption0">
    <w:name w:val="Picture caption"/>
    <w:basedOn w:val="Normal"/>
    <w:link w:val="Picturecaption"/>
    <w:pPr>
      <w:shd w:val="clear" w:color="auto" w:fill="FFFFFF"/>
      <w:bidi/>
      <w:spacing w:line="271" w:lineRule="auto"/>
      <w:jc w:val="center"/>
    </w:pPr>
    <w:rPr>
      <w:rFonts w:ascii="David" w:eastAsia="David" w:hAnsi="David" w:cs="David"/>
      <w:color w:val="685A42"/>
      <w:sz w:val="13"/>
      <w:szCs w:val="13"/>
    </w:rPr>
  </w:style>
  <w:style w:type="paragraph" w:customStyle="1" w:styleId="Heading10">
    <w:name w:val="Heading #1"/>
    <w:basedOn w:val="Normal"/>
    <w:link w:val="Heading1"/>
    <w:pPr>
      <w:shd w:val="clear" w:color="auto" w:fill="FFFFFF"/>
      <w:bidi/>
      <w:spacing w:after="560" w:line="360" w:lineRule="auto"/>
      <w:jc w:val="center"/>
      <w:outlineLvl w:val="0"/>
    </w:pPr>
    <w:rPr>
      <w:rFonts w:ascii="David" w:eastAsia="David" w:hAnsi="David" w:cs="David"/>
      <w:b/>
      <w:bCs/>
      <w:color w:val="17365D"/>
      <w:sz w:val="56"/>
      <w:szCs w:val="56"/>
    </w:rPr>
  </w:style>
  <w:style w:type="paragraph" w:customStyle="1" w:styleId="Headerorfooter30">
    <w:name w:val="Header or footer (3)"/>
    <w:basedOn w:val="Normal"/>
    <w:link w:val="Headerorfooter3"/>
    <w:pPr>
      <w:shd w:val="clear" w:color="auto" w:fill="FFFFFF"/>
    </w:pPr>
    <w:rPr>
      <w:rFonts w:ascii="Times New Roman" w:eastAsia="Times New Roman" w:hAnsi="Times New Roman" w:cs="Times New Roman"/>
      <w:sz w:val="20"/>
      <w:szCs w:val="20"/>
      <w:lang w:val="en-US" w:eastAsia="en-US" w:bidi="en-US"/>
    </w:rPr>
  </w:style>
  <w:style w:type="paragraph" w:customStyle="1" w:styleId="Other0">
    <w:name w:val="Other"/>
    <w:basedOn w:val="Normal"/>
    <w:link w:val="Other"/>
    <w:pPr>
      <w:shd w:val="clear" w:color="auto" w:fill="FFFFFF"/>
      <w:jc w:val="right"/>
    </w:pPr>
    <w:rPr>
      <w:rFonts w:ascii="Times New Roman" w:eastAsia="Times New Roman" w:hAnsi="Times New Roman" w:cs="Times New Roman"/>
      <w:sz w:val="20"/>
      <w:szCs w:val="20"/>
      <w:lang w:val="en-US" w:eastAsia="en-US" w:bidi="en-US"/>
    </w:rPr>
  </w:style>
  <w:style w:type="paragraph" w:customStyle="1" w:styleId="Tableofcontents0">
    <w:name w:val="Table of contents"/>
    <w:basedOn w:val="Normal"/>
    <w:link w:val="Tableofcontents"/>
    <w:pPr>
      <w:shd w:val="clear" w:color="auto" w:fill="FFFFFF"/>
      <w:bidi/>
      <w:spacing w:after="180"/>
    </w:pPr>
    <w:rPr>
      <w:rFonts w:ascii="David" w:eastAsia="David" w:hAnsi="David" w:cs="David"/>
      <w:sz w:val="22"/>
      <w:szCs w:val="22"/>
    </w:rPr>
  </w:style>
  <w:style w:type="paragraph" w:customStyle="1" w:styleId="Heading20">
    <w:name w:val="Heading #2"/>
    <w:basedOn w:val="Normal"/>
    <w:link w:val="Heading2"/>
    <w:pPr>
      <w:shd w:val="clear" w:color="auto" w:fill="FFFFFF"/>
      <w:bidi/>
      <w:spacing w:after="480"/>
      <w:outlineLvl w:val="1"/>
    </w:pPr>
    <w:rPr>
      <w:rFonts w:ascii="David" w:eastAsia="David" w:hAnsi="David" w:cs="David"/>
      <w:b/>
      <w:bCs/>
      <w:color w:val="365F91"/>
      <w:sz w:val="32"/>
      <w:szCs w:val="32"/>
    </w:rPr>
  </w:style>
  <w:style w:type="paragraph" w:styleId="BodyText">
    <w:name w:val="Body Text"/>
    <w:basedOn w:val="Normal"/>
    <w:link w:val="BodyTextChar"/>
    <w:qFormat/>
    <w:pPr>
      <w:shd w:val="clear" w:color="auto" w:fill="FFFFFF"/>
      <w:bidi/>
      <w:spacing w:line="338" w:lineRule="auto"/>
    </w:pPr>
    <w:rPr>
      <w:rFonts w:ascii="David" w:eastAsia="David" w:hAnsi="David" w:cs="David"/>
      <w:sz w:val="26"/>
      <w:szCs w:val="26"/>
    </w:rPr>
  </w:style>
  <w:style w:type="paragraph" w:customStyle="1" w:styleId="Bodytext20">
    <w:name w:val="Body text (2)"/>
    <w:basedOn w:val="Normal"/>
    <w:link w:val="Bodytext2"/>
    <w:pPr>
      <w:shd w:val="clear" w:color="auto" w:fill="FFFFFF"/>
      <w:bidi/>
      <w:spacing w:after="260" w:line="276" w:lineRule="auto"/>
      <w:ind w:left="220"/>
    </w:pPr>
    <w:rPr>
      <w:rFonts w:ascii="David" w:eastAsia="David" w:hAnsi="David" w:cs="David"/>
      <w:sz w:val="18"/>
      <w:szCs w:val="18"/>
    </w:rPr>
  </w:style>
  <w:style w:type="paragraph" w:customStyle="1" w:styleId="Headerorfooter0">
    <w:name w:val="Header or footer"/>
    <w:basedOn w:val="Normal"/>
    <w:link w:val="Headerorfooter"/>
    <w:pPr>
      <w:shd w:val="clear" w:color="auto" w:fill="FFFFFF"/>
      <w:spacing w:line="228" w:lineRule="auto"/>
      <w:jc w:val="center"/>
    </w:pPr>
    <w:rPr>
      <w:rFonts w:ascii="David" w:eastAsia="David" w:hAnsi="David" w:cs="David"/>
      <w:color w:val="7BA1CC"/>
      <w:sz w:val="26"/>
      <w:szCs w:val="26"/>
    </w:rPr>
  </w:style>
  <w:style w:type="paragraph" w:customStyle="1" w:styleId="Bodytext60">
    <w:name w:val="Body text (6)"/>
    <w:basedOn w:val="Normal"/>
    <w:link w:val="Bodytext6"/>
    <w:pPr>
      <w:shd w:val="clear" w:color="auto" w:fill="FFFFFF"/>
    </w:pPr>
    <w:rPr>
      <w:rFonts w:ascii="Calibri" w:eastAsia="Calibri" w:hAnsi="Calibri" w:cs="Calibri"/>
      <w:sz w:val="13"/>
      <w:szCs w:val="13"/>
      <w:lang w:val="en-US" w:eastAsia="en-US" w:bidi="en-US"/>
    </w:rPr>
  </w:style>
  <w:style w:type="paragraph" w:customStyle="1" w:styleId="Bodytext70">
    <w:name w:val="Body text (7)"/>
    <w:basedOn w:val="Normal"/>
    <w:link w:val="Bodytext7"/>
    <w:pPr>
      <w:shd w:val="clear" w:color="auto" w:fill="FFFFFF"/>
      <w:spacing w:line="206" w:lineRule="auto"/>
      <w:jc w:val="center"/>
    </w:pPr>
    <w:rPr>
      <w:rFonts w:ascii="Calibri" w:eastAsia="Calibri" w:hAnsi="Calibri" w:cs="Calibri"/>
      <w:i/>
      <w:iCs/>
      <w:sz w:val="18"/>
      <w:szCs w:val="18"/>
      <w:lang w:val="en-US" w:eastAsia="en-US" w:bidi="en-US"/>
    </w:rPr>
  </w:style>
  <w:style w:type="paragraph" w:styleId="FootnoteText">
    <w:name w:val="footnote text"/>
    <w:basedOn w:val="Normal"/>
    <w:link w:val="FootnoteTextChar"/>
    <w:uiPriority w:val="99"/>
    <w:semiHidden/>
    <w:unhideWhenUsed/>
    <w:rsid w:val="002B7749"/>
    <w:rPr>
      <w:sz w:val="20"/>
      <w:szCs w:val="20"/>
    </w:rPr>
  </w:style>
  <w:style w:type="character" w:customStyle="1" w:styleId="FootnoteTextChar">
    <w:name w:val="Footnote Text Char"/>
    <w:basedOn w:val="DefaultParagraphFont"/>
    <w:link w:val="FootnoteText"/>
    <w:uiPriority w:val="99"/>
    <w:semiHidden/>
    <w:rsid w:val="002B7749"/>
    <w:rPr>
      <w:color w:val="000000"/>
      <w:sz w:val="20"/>
      <w:szCs w:val="20"/>
    </w:rPr>
  </w:style>
  <w:style w:type="character" w:styleId="FootnoteReference">
    <w:name w:val="footnote reference"/>
    <w:basedOn w:val="DefaultParagraphFont"/>
    <w:uiPriority w:val="99"/>
    <w:semiHidden/>
    <w:unhideWhenUsed/>
    <w:rsid w:val="002B7749"/>
    <w:rPr>
      <w:vertAlign w:val="superscript"/>
    </w:rPr>
  </w:style>
  <w:style w:type="paragraph" w:styleId="Header">
    <w:name w:val="header"/>
    <w:basedOn w:val="Normal"/>
    <w:link w:val="HeaderChar"/>
    <w:uiPriority w:val="99"/>
    <w:unhideWhenUsed/>
    <w:rsid w:val="00CD347E"/>
    <w:pPr>
      <w:tabs>
        <w:tab w:val="center" w:pos="4680"/>
        <w:tab w:val="right" w:pos="9360"/>
      </w:tabs>
    </w:pPr>
  </w:style>
  <w:style w:type="character" w:customStyle="1" w:styleId="HeaderChar">
    <w:name w:val="Header Char"/>
    <w:basedOn w:val="DefaultParagraphFont"/>
    <w:link w:val="Header"/>
    <w:uiPriority w:val="99"/>
    <w:rsid w:val="00CD347E"/>
    <w:rPr>
      <w:color w:val="000000"/>
    </w:rPr>
  </w:style>
  <w:style w:type="paragraph" w:styleId="Footer">
    <w:name w:val="footer"/>
    <w:basedOn w:val="Normal"/>
    <w:link w:val="FooterChar"/>
    <w:uiPriority w:val="99"/>
    <w:unhideWhenUsed/>
    <w:rsid w:val="00CD347E"/>
    <w:pPr>
      <w:tabs>
        <w:tab w:val="center" w:pos="4680"/>
        <w:tab w:val="right" w:pos="9360"/>
      </w:tabs>
    </w:pPr>
  </w:style>
  <w:style w:type="character" w:customStyle="1" w:styleId="FooterChar">
    <w:name w:val="Footer Char"/>
    <w:basedOn w:val="DefaultParagraphFont"/>
    <w:link w:val="Footer"/>
    <w:uiPriority w:val="99"/>
    <w:rsid w:val="00CD347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Jkaraite</dc:creator>
  <cp:keywords/>
  <cp:lastModifiedBy>Carasik, Michael</cp:lastModifiedBy>
  <cp:revision>3</cp:revision>
  <dcterms:created xsi:type="dcterms:W3CDTF">2021-05-03T20:09:00Z</dcterms:created>
  <dcterms:modified xsi:type="dcterms:W3CDTF">2021-05-03T20:10:00Z</dcterms:modified>
</cp:coreProperties>
</file>