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C0330" w14:textId="14AA4CCA" w:rsidR="00DA3872" w:rsidRDefault="00DA3872" w:rsidP="00F65AC8">
      <w:pPr>
        <w:shd w:val="clear" w:color="auto" w:fill="FFFFFF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65A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Responsa </w:t>
      </w:r>
      <w:proofErr w:type="spellStart"/>
      <w:r w:rsidRPr="00F65A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Hatam</w:t>
      </w:r>
      <w:proofErr w:type="spellEnd"/>
      <w:r w:rsidRPr="00F65A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 w:rsidRPr="00F65AC8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Sofer</w:t>
      </w:r>
      <w:proofErr w:type="spellEnd"/>
      <w:r w:rsidRPr="00F65A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F65A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Orah</w:t>
      </w:r>
      <w:proofErr w:type="spellEnd"/>
      <w:r w:rsidRPr="00F65A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F65A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Hayyim</w:t>
      </w:r>
      <w:proofErr w:type="spellEnd"/>
      <w:r w:rsidRPr="00F65AC8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, no. 28</w:t>
      </w:r>
    </w:p>
    <w:p w14:paraId="6450AF4E" w14:textId="77777777" w:rsidR="00F65AC8" w:rsidRPr="00F65AC8" w:rsidRDefault="00F65AC8" w:rsidP="00F65AC8">
      <w:pPr>
        <w:shd w:val="clear" w:color="auto" w:fill="FFFFFF"/>
        <w:bidi/>
        <w:spacing w:after="0" w:line="240" w:lineRule="auto"/>
        <w:jc w:val="both"/>
        <w:rPr>
          <w:rFonts w:asciiTheme="majorBidi" w:eastAsia="Times New Roman" w:hAnsiTheme="majorBidi" w:cstheme="majorBidi"/>
          <w:color w:val="222222"/>
          <w:sz w:val="24"/>
          <w:szCs w:val="24"/>
          <w:lang/>
        </w:rPr>
      </w:pPr>
    </w:p>
    <w:p w14:paraId="567826CA" w14:textId="0C182CB1" w:rsidR="006C1E87" w:rsidRPr="00F65AC8" w:rsidRDefault="006C1E87" w:rsidP="00F65AC8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65AC8">
        <w:rPr>
          <w:rFonts w:asciiTheme="majorBidi" w:hAnsiTheme="majorBidi" w:cstheme="majorBidi"/>
          <w:sz w:val="24"/>
          <w:szCs w:val="24"/>
          <w:lang w:val="en-US"/>
        </w:rPr>
        <w:t xml:space="preserve">I set the Lord before </w:t>
      </w:r>
      <w:r w:rsidR="00B1196D" w:rsidRPr="00F65AC8">
        <w:rPr>
          <w:rFonts w:asciiTheme="majorBidi" w:hAnsiTheme="majorBidi" w:cstheme="majorBidi"/>
          <w:sz w:val="24"/>
          <w:szCs w:val="24"/>
          <w:lang w:val="en-US"/>
        </w:rPr>
        <w:t>me</w:t>
      </w:r>
      <w:r w:rsidRPr="00F65AC8">
        <w:rPr>
          <w:rFonts w:asciiTheme="majorBidi" w:hAnsiTheme="majorBidi" w:cstheme="majorBidi"/>
          <w:sz w:val="24"/>
          <w:szCs w:val="24"/>
          <w:lang w:val="en-US"/>
        </w:rPr>
        <w:t xml:space="preserve"> always.</w:t>
      </w:r>
      <w:r w:rsidR="00B1196D" w:rsidRPr="00F65AC8">
        <w:rPr>
          <w:rStyle w:val="FootnoteReference"/>
          <w:rFonts w:asciiTheme="majorBidi" w:hAnsiTheme="majorBidi" w:cstheme="majorBidi"/>
          <w:sz w:val="24"/>
          <w:szCs w:val="24"/>
          <w:lang w:val="en-US"/>
        </w:rPr>
        <w:footnoteReference w:id="1"/>
      </w:r>
      <w:r w:rsidRPr="00F6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55DC916D" w14:textId="0EABA0AA" w:rsidR="006C1E87" w:rsidRPr="00F65AC8" w:rsidRDefault="00B1196D" w:rsidP="00F65AC8">
      <w:pPr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proofErr w:type="spellStart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Pressburg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="006C1E8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Tuesday, 7 Adar 5590</w:t>
      </w:r>
      <w:r w:rsidR="006C1E87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2"/>
      </w:r>
    </w:p>
    <w:p w14:paraId="1E191D7A" w14:textId="40A26431" w:rsidR="004C1B7C" w:rsidRPr="00F65AC8" w:rsidRDefault="00DE642E" w:rsidP="00F65AC8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65AC8">
        <w:rPr>
          <w:rFonts w:asciiTheme="majorBidi" w:hAnsiTheme="majorBidi" w:cstheme="majorBidi"/>
          <w:sz w:val="24"/>
          <w:szCs w:val="24"/>
          <w:lang w:val="en-US"/>
        </w:rPr>
        <w:t xml:space="preserve">Peace and </w:t>
      </w:r>
      <w:r w:rsidR="00730EC9" w:rsidRPr="00F65AC8">
        <w:rPr>
          <w:rFonts w:asciiTheme="majorBidi" w:hAnsiTheme="majorBidi" w:cstheme="majorBidi"/>
          <w:sz w:val="24"/>
          <w:szCs w:val="24"/>
          <w:lang w:val="en-US"/>
        </w:rPr>
        <w:t>all good things</w:t>
      </w:r>
      <w:r w:rsidRPr="00F65AC8">
        <w:rPr>
          <w:rFonts w:asciiTheme="majorBidi" w:hAnsiTheme="majorBidi" w:cstheme="majorBidi"/>
          <w:sz w:val="24"/>
          <w:szCs w:val="24"/>
          <w:lang w:val="en-US"/>
        </w:rPr>
        <w:t xml:space="preserve"> to my dear friend, the </w:t>
      </w:r>
      <w:r w:rsidR="006C1E87" w:rsidRPr="00F65AC8">
        <w:rPr>
          <w:rFonts w:asciiTheme="majorBidi" w:hAnsiTheme="majorBidi" w:cstheme="majorBidi"/>
          <w:sz w:val="24"/>
          <w:szCs w:val="24"/>
          <w:lang w:val="en-US"/>
        </w:rPr>
        <w:t xml:space="preserve">famously outstanding, </w:t>
      </w:r>
      <w:r w:rsidR="00B1196D" w:rsidRPr="00F65AC8">
        <w:rPr>
          <w:rFonts w:asciiTheme="majorBidi" w:hAnsiTheme="majorBidi" w:cstheme="majorBidi"/>
          <w:sz w:val="24"/>
          <w:szCs w:val="24"/>
          <w:lang w:val="en-US"/>
        </w:rPr>
        <w:t>sedulous</w:t>
      </w:r>
      <w:r w:rsidR="006C1E87" w:rsidRPr="00F65AC8">
        <w:rPr>
          <w:rFonts w:asciiTheme="majorBidi" w:hAnsiTheme="majorBidi" w:cstheme="majorBidi"/>
          <w:sz w:val="24"/>
          <w:szCs w:val="24"/>
          <w:lang w:val="en-US"/>
        </w:rPr>
        <w:t xml:space="preserve">, and erudite </w:t>
      </w:r>
      <w:r w:rsidRPr="00F65AC8">
        <w:rPr>
          <w:rFonts w:asciiTheme="majorBidi" w:hAnsiTheme="majorBidi" w:cstheme="majorBidi"/>
          <w:sz w:val="24"/>
          <w:szCs w:val="24"/>
          <w:lang w:val="en-US"/>
        </w:rPr>
        <w:t>rabbi and genius (</w:t>
      </w:r>
      <w:proofErr w:type="spellStart"/>
      <w:r w:rsidRPr="00F65AC8">
        <w:rPr>
          <w:rFonts w:asciiTheme="majorBidi" w:hAnsiTheme="majorBidi" w:cstheme="majorBidi"/>
          <w:i/>
          <w:iCs/>
          <w:sz w:val="24"/>
          <w:szCs w:val="24"/>
          <w:lang w:val="en-US"/>
        </w:rPr>
        <w:t>ga’on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/>
        </w:rPr>
        <w:t>), the honorable Torah schol</w:t>
      </w:r>
      <w:r w:rsidR="006C1E87" w:rsidRPr="00F65AC8">
        <w:rPr>
          <w:rFonts w:asciiTheme="majorBidi" w:hAnsiTheme="majorBidi" w:cstheme="majorBidi"/>
          <w:sz w:val="24"/>
          <w:szCs w:val="24"/>
          <w:lang w:val="en-US"/>
        </w:rPr>
        <w:t>ar, my teacher R. Moshe Perles (</w:t>
      </w:r>
      <w:r w:rsidRPr="00F65AC8">
        <w:rPr>
          <w:rFonts w:asciiTheme="majorBidi" w:hAnsiTheme="majorBidi" w:cstheme="majorBidi"/>
          <w:sz w:val="24"/>
          <w:szCs w:val="24"/>
          <w:lang w:val="en-US"/>
        </w:rPr>
        <w:t>may God watch over him</w:t>
      </w:r>
      <w:r w:rsidR="006C1E87" w:rsidRPr="00F65AC8">
        <w:rPr>
          <w:rFonts w:asciiTheme="majorBidi" w:hAnsiTheme="majorBidi" w:cstheme="majorBidi"/>
          <w:sz w:val="24"/>
          <w:szCs w:val="24"/>
          <w:lang w:val="en-US"/>
        </w:rPr>
        <w:t>)</w:t>
      </w:r>
      <w:r w:rsidRPr="00F65AC8">
        <w:rPr>
          <w:rFonts w:asciiTheme="majorBidi" w:hAnsiTheme="majorBidi" w:cstheme="majorBidi"/>
          <w:sz w:val="24"/>
          <w:szCs w:val="24"/>
          <w:lang w:val="en-US"/>
        </w:rPr>
        <w:t xml:space="preserve">, head of the rabbinical court in the holy community of </w:t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>Eisenstadt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(may God protect it).</w:t>
      </w:r>
      <w:r w:rsidRPr="00F65A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1D62B0E0" w14:textId="0AD78C2A" w:rsidR="00473E98" w:rsidRPr="00F65AC8" w:rsidRDefault="006C1E87" w:rsidP="00F65AC8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I have received your precious lette</w:t>
      </w:r>
      <w:r w:rsidR="00B1196D" w:rsidRPr="00F65AC8">
        <w:rPr>
          <w:rFonts w:asciiTheme="majorBidi" w:hAnsiTheme="majorBidi" w:cstheme="majorBidi"/>
          <w:sz w:val="24"/>
          <w:szCs w:val="24"/>
          <w:lang w:val="en-US" w:bidi="he-IL"/>
        </w:rPr>
        <w:t>r concerning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473E9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the </w:t>
      </w:r>
      <w:r w:rsidR="00B1196D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dismantling of the </w:t>
      </w:r>
      <w:r w:rsidR="00473E98" w:rsidRPr="00F65AC8">
        <w:rPr>
          <w:rFonts w:asciiTheme="majorBidi" w:hAnsiTheme="majorBidi" w:cstheme="majorBidi"/>
          <w:sz w:val="24"/>
          <w:szCs w:val="24"/>
          <w:lang w:val="en-US" w:bidi="he-IL"/>
        </w:rPr>
        <w:t>old synagogue</w:t>
      </w:r>
      <w:r w:rsidR="00B1196D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by members of the holy community and the expansion of a</w:t>
      </w:r>
      <w:r w:rsidR="00473E9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new building,</w:t>
      </w:r>
      <w:r w:rsidR="00B1196D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so as</w:t>
      </w:r>
      <w:r w:rsidR="00473E9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to elevate the house of God. They </w:t>
      </w:r>
      <w:r w:rsidR="00B1196D" w:rsidRPr="00F65AC8">
        <w:rPr>
          <w:rFonts w:asciiTheme="majorBidi" w:hAnsiTheme="majorBidi" w:cstheme="majorBidi"/>
          <w:sz w:val="24"/>
          <w:szCs w:val="24"/>
          <w:lang w:val="en-US" w:bidi="he-IL"/>
        </w:rPr>
        <w:t>want</w:t>
      </w:r>
      <w:r w:rsidR="00473E9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to place the podium</w:t>
      </w:r>
      <w:r w:rsidR="00730EC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(</w:t>
      </w:r>
      <w:proofErr w:type="spellStart"/>
      <w:r w:rsidR="00730EC9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bima</w:t>
      </w:r>
      <w:proofErr w:type="spellEnd"/>
      <w:r w:rsidR="00730EC9" w:rsidRPr="00F65AC8">
        <w:rPr>
          <w:rFonts w:asciiTheme="majorBidi" w:hAnsiTheme="majorBidi" w:cstheme="majorBidi"/>
          <w:sz w:val="24"/>
          <w:szCs w:val="24"/>
          <w:lang w:val="en-US" w:bidi="he-IL"/>
        </w:rPr>
        <w:t>)</w:t>
      </w:r>
      <w:r w:rsidR="00473E9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from which the Torah is read at the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front</w:t>
      </w:r>
      <w:r w:rsidR="00DA3872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3"/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of the synagogue</w:t>
      </w:r>
      <w:r w:rsidR="00473E9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near the holy ark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instead of in the middle, as it had been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originally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>.</w:t>
      </w:r>
      <w:r w:rsidR="00DA3872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4"/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They claim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that it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will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be more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aesthetically pleasing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and spacious in the synagogue than when it had been in the middle.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This good man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has asked if this change is </w:t>
      </w:r>
      <w:r w:rsidR="00DA3872" w:rsidRPr="00F65AC8">
        <w:rPr>
          <w:rFonts w:asciiTheme="majorBidi" w:hAnsiTheme="majorBidi" w:cstheme="majorBidi"/>
          <w:sz w:val="24"/>
          <w:szCs w:val="24"/>
          <w:lang w:val="en-US" w:bidi="he-IL"/>
        </w:rPr>
        <w:t>proper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or not.</w:t>
      </w:r>
    </w:p>
    <w:p w14:paraId="16D4E354" w14:textId="11009867" w:rsidR="00B12906" w:rsidRPr="00F65AC8" w:rsidRDefault="00DA3872" w:rsidP="00F65AC8">
      <w:pPr>
        <w:ind w:firstLine="72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 w:rsidRPr="00F65AC8">
        <w:rPr>
          <w:rFonts w:asciiTheme="majorBidi" w:hAnsiTheme="majorBidi" w:cstheme="majorBidi"/>
          <w:b/>
          <w:bCs/>
          <w:i/>
          <w:iCs/>
          <w:sz w:val="24"/>
          <w:szCs w:val="24"/>
          <w:lang w:val="en-US" w:bidi="he-IL"/>
        </w:rPr>
        <w:t>Answer:</w:t>
      </w:r>
      <w:r w:rsidR="00C47771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That which is hidden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>has been</w:t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revealed to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>Your Honor</w:t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>, so the crowning scholar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need not be consulted</w:t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>.</w:t>
      </w:r>
      <w:r w:rsidR="00B91AF4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5"/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He has written well that the Rambam</w:t>
      </w:r>
      <w:r w:rsidR="00B91AF4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6"/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states explicitly that w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>e build the</w:t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podium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>(</w:t>
      </w:r>
      <w:proofErr w:type="spellStart"/>
      <w:r w:rsidR="008D6F48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teva</w:t>
      </w:r>
      <w:proofErr w:type="spellEnd"/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>)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in the middle of the synagogue so all can hear equally. And so wrote the Tur,</w:t>
      </w:r>
      <w:r w:rsidR="00B91AF4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7"/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883BF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and 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>the Rema</w:t>
      </w:r>
      <w:r w:rsidR="00883BF7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8"/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in a gloss</w:t>
      </w:r>
      <w:r w:rsidR="00883BF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on </w:t>
      </w:r>
      <w:proofErr w:type="spellStart"/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Shul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u w:val="single"/>
          <w:lang w:val="en-US" w:bidi="he-IL"/>
        </w:rPr>
        <w:t>h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an</w:t>
      </w:r>
      <w:proofErr w:type="spellEnd"/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 ‘</w:t>
      </w:r>
      <w:proofErr w:type="spellStart"/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Arukh</w:t>
      </w:r>
      <w:proofErr w:type="spellEnd"/>
      <w:r w:rsidR="00883BF7" w:rsidRPr="00F65AC8">
        <w:rPr>
          <w:rFonts w:asciiTheme="majorBidi" w:hAnsiTheme="majorBidi" w:cstheme="majorBidi"/>
          <w:sz w:val="24"/>
          <w:szCs w:val="24"/>
          <w:lang w:val="en-US" w:bidi="he-IL"/>
        </w:rPr>
        <w:t>, end of [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Ora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u w:val="single"/>
          <w:lang w:val="en-US" w:bidi="he-IL"/>
        </w:rPr>
        <w:t>h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 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u w:val="single"/>
          <w:lang w:val="en-US" w:bidi="he-IL"/>
        </w:rPr>
        <w:t>H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ayyim</w:t>
      </w:r>
      <w:r w:rsidR="00883BF7" w:rsidRPr="00F65AC8">
        <w:rPr>
          <w:rFonts w:asciiTheme="majorBidi" w:hAnsiTheme="majorBidi" w:cstheme="majorBidi"/>
          <w:sz w:val="24"/>
          <w:szCs w:val="24"/>
          <w:lang w:val="en-US" w:bidi="he-IL"/>
        </w:rPr>
        <w:t>]</w:t>
      </w:r>
      <w:r w:rsidR="00883BF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 </w:t>
      </w:r>
      <w:r w:rsidR="00883BF7" w:rsidRPr="00F65AC8">
        <w:rPr>
          <w:rFonts w:asciiTheme="majorBidi" w:hAnsiTheme="majorBidi" w:cstheme="majorBidi"/>
          <w:sz w:val="24"/>
          <w:szCs w:val="24"/>
          <w:lang w:val="en-US" w:bidi="he-IL"/>
        </w:rPr>
        <w:t>section 150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>—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>who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>so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ever deviates has </w:t>
      </w:r>
      <w:r w:rsidR="00883BF7" w:rsidRPr="00F65AC8">
        <w:rPr>
          <w:rFonts w:asciiTheme="majorBidi" w:hAnsiTheme="majorBidi" w:cstheme="majorBidi"/>
          <w:sz w:val="24"/>
          <w:szCs w:val="24"/>
          <w:lang w:val="en-US" w:bidi="he-IL"/>
        </w:rPr>
        <w:t>little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support</w:t>
      </w:r>
      <w:r w:rsidR="00B91AF4" w:rsidRPr="00F65AC8">
        <w:rPr>
          <w:rFonts w:asciiTheme="majorBidi" w:hAnsiTheme="majorBidi" w:cstheme="majorBidi"/>
          <w:sz w:val="24"/>
          <w:szCs w:val="24"/>
          <w:lang w:val="en-US" w:bidi="he-IL"/>
        </w:rPr>
        <w:t>.</w:t>
      </w:r>
      <w:r w:rsidR="00B91AF4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9"/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However,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see 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the </w:t>
      </w:r>
      <w:proofErr w:type="spellStart"/>
      <w:r w:rsidR="008D6F48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Kesef</w:t>
      </w:r>
      <w:proofErr w:type="spellEnd"/>
      <w:r w:rsidR="008D6F48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 </w:t>
      </w:r>
      <w:proofErr w:type="spellStart"/>
      <w:r w:rsidR="008D6F48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Mishne</w:t>
      </w:r>
      <w:proofErr w:type="spellEnd"/>
      <w:r w:rsidR="00DC1517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0"/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who 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tried to find justification for the construction of the podium at the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>front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of the synagogue in some of their communities, writing that they</w:t>
      </w:r>
      <w:r w:rsidR="00DC1517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1"/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held this opinion specifically in their time when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>there were many people [in the synagogue] and they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could not hear the voice of the reader, but today, on account of our many sins, we have small communities with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few 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people and so can hear even when the podium is at the </w:t>
      </w:r>
      <w:r w:rsidR="00DC151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front </w:t>
      </w:r>
      <w:r w:rsidR="008D6F48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of the synagogue. </w:t>
      </w:r>
      <w:r w:rsidR="00B12906" w:rsidRPr="00F65AC8">
        <w:rPr>
          <w:rFonts w:asciiTheme="majorBidi" w:hAnsiTheme="majorBidi" w:cstheme="majorBidi"/>
          <w:sz w:val="24"/>
          <w:szCs w:val="24"/>
          <w:lang w:bidi="he-IL"/>
        </w:rPr>
        <w:t xml:space="preserve">Note that the </w:t>
      </w:r>
      <w:r w:rsidR="00B12906" w:rsidRPr="00F65AC8">
        <w:rPr>
          <w:rFonts w:asciiTheme="majorBidi" w:hAnsiTheme="majorBidi" w:cstheme="majorBidi"/>
          <w:i/>
          <w:iCs/>
          <w:sz w:val="24"/>
          <w:szCs w:val="24"/>
          <w:lang w:bidi="he-IL"/>
        </w:rPr>
        <w:t>Kesef Mishne</w:t>
      </w:r>
      <w:r w:rsidR="00B12906" w:rsidRPr="00F65AC8">
        <w:rPr>
          <w:rFonts w:asciiTheme="majorBidi" w:hAnsiTheme="majorBidi" w:cstheme="majorBidi"/>
          <w:sz w:val="24"/>
          <w:szCs w:val="24"/>
          <w:lang w:bidi="he-IL"/>
        </w:rPr>
        <w:t xml:space="preserve"> did not provide the source used for the ruling that the podium ought to be in the middle of the synagogue, but it is a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straightforward</w:t>
      </w:r>
      <w:r w:rsidR="00B12906" w:rsidRPr="00F65AC8">
        <w:rPr>
          <w:rFonts w:asciiTheme="majorBidi" w:hAnsiTheme="majorBidi" w:cstheme="majorBidi"/>
          <w:sz w:val="24"/>
          <w:szCs w:val="24"/>
          <w:lang w:bidi="he-IL"/>
        </w:rPr>
        <w:t xml:space="preserve"> Talmudic passage in </w:t>
      </w:r>
      <w:r w:rsidR="00B12906" w:rsidRPr="00F65AC8">
        <w:rPr>
          <w:rFonts w:asciiTheme="majorBidi" w:hAnsiTheme="majorBidi" w:cstheme="majorBidi"/>
          <w:i/>
          <w:iCs/>
          <w:sz w:val="24"/>
          <w:szCs w:val="24"/>
          <w:lang w:bidi="he-IL"/>
        </w:rPr>
        <w:t>Sukka</w:t>
      </w:r>
      <w:r w:rsidR="00B12906" w:rsidRPr="00F65AC8">
        <w:rPr>
          <w:rFonts w:asciiTheme="majorBidi" w:hAnsiTheme="majorBidi" w:cstheme="majorBidi"/>
          <w:sz w:val="24"/>
          <w:szCs w:val="24"/>
          <w:lang w:bidi="he-IL"/>
        </w:rPr>
        <w:t xml:space="preserve"> 51b about the 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residents</w:t>
      </w:r>
      <w:r w:rsidR="00B12906" w:rsidRPr="00F65AC8">
        <w:rPr>
          <w:rFonts w:asciiTheme="majorBidi" w:hAnsiTheme="majorBidi" w:cstheme="majorBidi"/>
          <w:sz w:val="24"/>
          <w:szCs w:val="24"/>
          <w:lang w:bidi="he-IL"/>
        </w:rPr>
        <w:t xml:space="preserve"> of Alexandria.</w:t>
      </w:r>
    </w:p>
    <w:p w14:paraId="59478012" w14:textId="68BAA6E9" w:rsidR="00573F70" w:rsidRPr="00F65AC8" w:rsidRDefault="00B12906" w:rsidP="00F65AC8">
      <w:pPr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65AC8">
        <w:rPr>
          <w:rFonts w:asciiTheme="majorBidi" w:hAnsiTheme="majorBidi" w:cstheme="majorBidi"/>
          <w:sz w:val="24"/>
          <w:szCs w:val="24"/>
          <w:lang w:bidi="he-IL"/>
        </w:rPr>
        <w:tab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The </w:t>
      </w:r>
      <w:proofErr w:type="spellStart"/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Kesef</w:t>
      </w:r>
      <w:proofErr w:type="spellEnd"/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 </w:t>
      </w:r>
      <w:proofErr w:type="spellStart"/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Mishne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should be commended for trying to find a justification for those communities whose practice contravened the Talmud. But with all due respect to him, I believe that these communities muddled things, for there is an </w:t>
      </w:r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a fortiori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to the contrary! In Alexandria, they had to wave scarves</w:t>
      </w:r>
      <w:r w:rsidRPr="00F65AC8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 xml:space="preserve">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because not everyone could hear, yet they </w:t>
      </w:r>
      <w:r w:rsidR="00730EC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still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kept the podium in the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lastRenderedPageBreak/>
        <w:t>middle and did not move it to the front,</w:t>
      </w:r>
      <w:r w:rsidR="00730EC9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2"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despite the fact that people could see the scarf just as well from the front as from the middle, and </w:t>
      </w:r>
      <w:r w:rsidR="00B223B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two scarves could have been used if one were not enough. The only conclusion to be drawn is that it </w:t>
      </w:r>
      <w:r w:rsidR="00573F70" w:rsidRPr="00F65AC8">
        <w:rPr>
          <w:rFonts w:asciiTheme="majorBidi" w:hAnsiTheme="majorBidi" w:cstheme="majorBidi"/>
          <w:sz w:val="24"/>
          <w:szCs w:val="24"/>
          <w:lang w:val="en-US" w:bidi="he-IL"/>
        </w:rPr>
        <w:t>would have been</w:t>
      </w:r>
      <w:r w:rsidR="00B223B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improper to do so. </w:t>
      </w:r>
    </w:p>
    <w:p w14:paraId="733A6094" w14:textId="14C07203" w:rsidR="001E0186" w:rsidRPr="00F65AC8" w:rsidRDefault="00573F70" w:rsidP="00F65AC8">
      <w:pPr>
        <w:ind w:firstLine="720"/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I would also say the following based on logic.</w:t>
      </w:r>
      <w:r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3"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W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e consider the podium on which we read the pericope</w:t>
      </w:r>
      <w:r w:rsidR="00B12906" w:rsidRPr="00F65AC8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 xml:space="preserve"> 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of the sacrifices as tantamount to the altar, which is why we circle the podi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um on the Festival of Sukkot in the same manner that 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they wou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ld circle the altar.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That altar, which 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stood in the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Holy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before the Holy Ark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w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as the incense altar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, and it was placed in the middle, equidistant </w:t>
      </w:r>
      <w:r w:rsidR="00730EC9" w:rsidRPr="00F65AC8">
        <w:rPr>
          <w:rFonts w:asciiTheme="majorBidi" w:hAnsiTheme="majorBidi" w:cstheme="majorBidi"/>
          <w:sz w:val="24"/>
          <w:szCs w:val="24"/>
          <w:lang w:val="en-US" w:bidi="he-IL"/>
        </w:rPr>
        <w:t>to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the menorah and </w:t>
      </w:r>
      <w:r w:rsidR="00730EC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to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the table (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as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explained by </w:t>
      </w:r>
      <w:proofErr w:type="spellStart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Rashi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on the Torah reading of </w:t>
      </w:r>
      <w:proofErr w:type="spellStart"/>
      <w:r w:rsidR="00B12906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Teruma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4"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and as is clear in the Talmud</w:t>
      </w:r>
      <w:r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5"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and the Rambam</w:t>
      </w:r>
      <w:r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6"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).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S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ince our podium stands inside like the inner altar</w:t>
      </w:r>
      <w:r w:rsidR="00730EC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did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it is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proper that it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be situated in the middle of the synagogue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so it can resemble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the Temple as much as possible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. 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One should not make changes to our minor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T</w:t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>emple!</w:t>
      </w:r>
      <w:r w:rsidR="001E0186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7"/>
      </w:r>
      <w:r w:rsidR="00B1290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</w:p>
    <w:p w14:paraId="5A425A77" w14:textId="52F8FC9B" w:rsidR="007061E3" w:rsidRPr="00F65AC8" w:rsidRDefault="00E41198" w:rsidP="00F65AC8">
      <w:pPr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Even according to the </w:t>
      </w:r>
      <w:proofErr w:type="spellStart"/>
      <w:r w:rsidR="00C47C49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Kesef</w:t>
      </w:r>
      <w:proofErr w:type="spellEnd"/>
      <w:r w:rsidR="00C47C49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 </w:t>
      </w:r>
      <w:proofErr w:type="spellStart"/>
      <w:r w:rsidR="00C47C49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Mishne</w:t>
      </w:r>
      <w:proofErr w:type="spellEnd"/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who offers a justification for those communities, we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have none.</w:t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Did </w:t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our ancestors who built this synagogue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not build</w:t>
      </w:r>
      <w:r w:rsidR="00FB26AA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[the podium]</w:t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in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the middle, indicating that in this way they wanted everyone to hear?</w:t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A</w:t>
      </w:r>
      <w:r w:rsidR="00C47C49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nd, thank God, instead of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dwindling our community has only increased, </w:t>
      </w:r>
      <w:r w:rsidR="007061E3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in which case even if they had originally built it at the 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>front on account of their small number,</w:t>
      </w:r>
      <w:r w:rsidR="007061E3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we would without a doubt need to build it in the middle now. In any case,</w:t>
      </w:r>
      <w:r w:rsidR="001E018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Heaven forfend that we should deviate from what was before.</w:t>
      </w:r>
    </w:p>
    <w:p w14:paraId="201CDD31" w14:textId="63DFFA29" w:rsidR="005375CE" w:rsidRPr="00F65AC8" w:rsidRDefault="005375CE" w:rsidP="00F65AC8">
      <w:pPr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  <w:t xml:space="preserve">It also seems to me that </w:t>
      </w:r>
      <w:r w:rsidR="00684603" w:rsidRPr="00F65AC8">
        <w:rPr>
          <w:rFonts w:asciiTheme="majorBidi" w:hAnsiTheme="majorBidi" w:cstheme="majorBidi"/>
          <w:sz w:val="24"/>
          <w:szCs w:val="24"/>
          <w:lang w:val="en-US" w:bidi="he-IL"/>
        </w:rPr>
        <w:t>even according to the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proofErr w:type="spellStart"/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Kesef</w:t>
      </w:r>
      <w:proofErr w:type="spellEnd"/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 xml:space="preserve"> </w:t>
      </w:r>
      <w:proofErr w:type="spellStart"/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Mishne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684603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it was only when those communities were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build</w:t>
      </w:r>
      <w:r w:rsidR="00684603" w:rsidRPr="00F65AC8">
        <w:rPr>
          <w:rFonts w:asciiTheme="majorBidi" w:hAnsiTheme="majorBidi" w:cstheme="majorBidi"/>
          <w:sz w:val="24"/>
          <w:szCs w:val="24"/>
          <w:lang w:val="en-US" w:bidi="he-IL"/>
        </w:rPr>
        <w:t>ing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a new synagogue where </w:t>
      </w:r>
      <w:r w:rsidR="0088394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there been </w:t>
      </w:r>
      <w:r w:rsidR="00684603" w:rsidRPr="00F65AC8">
        <w:rPr>
          <w:rFonts w:asciiTheme="majorBidi" w:hAnsiTheme="majorBidi" w:cstheme="majorBidi"/>
          <w:sz w:val="24"/>
          <w:szCs w:val="24"/>
          <w:lang w:val="en-US" w:bidi="he-IL"/>
        </w:rPr>
        <w:t>none previously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, but once one had been built there the old synagogue could not </w:t>
      </w:r>
      <w:r w:rsidR="00883947" w:rsidRPr="00F65AC8">
        <w:rPr>
          <w:rFonts w:asciiTheme="majorBidi" w:hAnsiTheme="majorBidi" w:cstheme="majorBidi"/>
          <w:sz w:val="24"/>
          <w:szCs w:val="24"/>
          <w:lang w:val="en-US" w:bidi="he-IL"/>
        </w:rPr>
        <w:t>be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FB26AA" w:rsidRPr="00F65AC8">
        <w:rPr>
          <w:rFonts w:asciiTheme="majorBidi" w:hAnsiTheme="majorBidi" w:cstheme="majorBidi"/>
          <w:sz w:val="24"/>
          <w:szCs w:val="24"/>
          <w:lang w:val="en-US" w:bidi="he-IL"/>
        </w:rPr>
        <w:t>altered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. For it says in the </w:t>
      </w:r>
      <w:proofErr w:type="spellStart"/>
      <w:r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Pesiqta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: “</w:t>
      </w:r>
      <w:r w:rsidR="00883947" w:rsidRPr="00F65AC8">
        <w:rPr>
          <w:rFonts w:asciiTheme="majorBidi" w:hAnsiTheme="majorBidi" w:cstheme="majorBidi"/>
          <w:sz w:val="24"/>
          <w:szCs w:val="24"/>
          <w:lang w:val="en-US" w:bidi="he-IL"/>
        </w:rPr>
        <w:t>‘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You shall erect the Tabernacle according to its law</w:t>
      </w:r>
      <w:r w:rsidR="0088394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(</w:t>
      </w:r>
      <w:proofErr w:type="spellStart"/>
      <w:r w:rsidR="00883947" w:rsidRPr="00F65AC8">
        <w:rPr>
          <w:rFonts w:asciiTheme="majorBidi" w:hAnsiTheme="majorBidi" w:cstheme="majorBidi"/>
          <w:i/>
          <w:iCs/>
          <w:sz w:val="24"/>
          <w:szCs w:val="24"/>
          <w:lang w:val="en-US" w:bidi="he-IL"/>
        </w:rPr>
        <w:t>mishpato</w:t>
      </w:r>
      <w:proofErr w:type="spellEnd"/>
      <w:r w:rsidR="00883947" w:rsidRPr="00F65AC8">
        <w:rPr>
          <w:rFonts w:asciiTheme="majorBidi" w:hAnsiTheme="majorBidi" w:cstheme="majorBidi"/>
          <w:sz w:val="24"/>
          <w:szCs w:val="24"/>
          <w:lang w:val="en-US" w:bidi="he-IL"/>
        </w:rPr>
        <w:t>)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that you were shown on the mountain</w:t>
      </w:r>
      <w:r w:rsidR="00883947" w:rsidRPr="00F65AC8">
        <w:rPr>
          <w:rFonts w:asciiTheme="majorBidi" w:hAnsiTheme="majorBidi" w:cstheme="majorBidi"/>
          <w:sz w:val="24"/>
          <w:szCs w:val="24"/>
          <w:lang w:val="en-US" w:bidi="he-IL"/>
        </w:rPr>
        <w:t>’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(</w:t>
      </w:r>
      <w:r w:rsidR="00883947" w:rsidRPr="00F65AC8">
        <w:rPr>
          <w:rFonts w:asciiTheme="majorBidi" w:hAnsiTheme="majorBidi" w:cstheme="majorBidi"/>
          <w:sz w:val="24"/>
          <w:szCs w:val="24"/>
          <w:lang w:val="en-US" w:bidi="he-IL"/>
        </w:rPr>
        <w:t>Ex. 26:30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)—is there a law for the beams? Rather, the beam that merited being placed in the nor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th shall not be changed to the s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outh.”</w:t>
      </w:r>
      <w:r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8"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proofErr w:type="spellStart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Maharil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FB26AA" w:rsidRPr="00F65AC8">
        <w:rPr>
          <w:rFonts w:asciiTheme="majorBidi" w:hAnsiTheme="majorBidi" w:cstheme="majorBidi"/>
          <w:sz w:val="24"/>
          <w:szCs w:val="24"/>
          <w:lang w:val="en-US" w:bidi="he-IL"/>
        </w:rPr>
        <w:t>inferred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FB26AA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from this 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about 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>the boards</w:t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from which one makes a sukkah.</w:t>
      </w:r>
      <w:r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19"/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Although we may add onto the 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>city [of Jerusalem] and the courtyards</w:t>
      </w:r>
      <w:r w:rsidR="00FB26AA" w:rsidRPr="00F65AC8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="00CD0DA7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20"/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which would entail </w:t>
      </w:r>
      <w:r w:rsidR="00FB26AA" w:rsidRPr="00F65AC8">
        <w:rPr>
          <w:rFonts w:asciiTheme="majorBidi" w:hAnsiTheme="majorBidi" w:cstheme="majorBidi"/>
          <w:sz w:val="24"/>
          <w:szCs w:val="24"/>
          <w:lang w:val="en-US" w:bidi="he-IL"/>
        </w:rPr>
        <w:t>a shift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, it seems to me that it would not 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>mean moving something</w:t>
      </w:r>
      <w:r w:rsidR="00316640" w:rsidRPr="00F65AC8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 xml:space="preserve"> 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from 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the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north to the s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outh, 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>or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moving 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what was in the middle 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>out of place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>. Was not the Second Temple bigger than the First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,</w:t>
      </w:r>
      <w:r w:rsidR="00CD0DA7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21"/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yet the placement of the </w:t>
      </w:r>
      <w:r w:rsidR="00FB26AA" w:rsidRPr="00F65AC8">
        <w:rPr>
          <w:rFonts w:asciiTheme="majorBidi" w:hAnsiTheme="majorBidi" w:cstheme="majorBidi"/>
          <w:sz w:val="24"/>
          <w:szCs w:val="24"/>
          <w:lang w:val="en-US" w:bidi="he-IL"/>
        </w:rPr>
        <w:t>implements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—the altar, menorah, table—was not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changed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from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the middle?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Although the current building plan puts the middle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farther in than it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had been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in the old synagogue, nevertheless, the podium of that synagogue merited being in the middle, like the beam th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at merited being placed in the s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outh etc. The rule is: whatever is new is </w:t>
      </w:r>
      <w:r w:rsidR="006C1E8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always </w:t>
      </w:r>
      <w:r w:rsidR="00316640" w:rsidRPr="00F65AC8">
        <w:rPr>
          <w:rFonts w:asciiTheme="majorBidi" w:hAnsiTheme="majorBidi" w:cstheme="majorBidi"/>
          <w:sz w:val="24"/>
          <w:szCs w:val="24"/>
          <w:lang w:val="en-US" w:bidi="he-IL"/>
        </w:rPr>
        <w:t>forbidden by the Torah.</w:t>
      </w:r>
      <w:r w:rsidR="00316640" w:rsidRPr="00F65AC8">
        <w:rPr>
          <w:rStyle w:val="FootnoteReference"/>
          <w:rFonts w:asciiTheme="majorBidi" w:hAnsiTheme="majorBidi" w:cstheme="majorBidi"/>
          <w:sz w:val="24"/>
          <w:szCs w:val="24"/>
          <w:lang w:val="en-US" w:bidi="he-IL"/>
        </w:rPr>
        <w:footnoteReference w:id="22"/>
      </w:r>
      <w:r w:rsidR="006C1E8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</w:t>
      </w:r>
      <w:commentRangeStart w:id="1"/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May </w:t>
      </w:r>
      <w:r w:rsidR="001903E3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the place of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Your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lastRenderedPageBreak/>
        <w:t>Honor</w:t>
      </w:r>
      <w:r w:rsidR="006C1E87" w:rsidRPr="00F65AC8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 xml:space="preserve"> </w:t>
      </w:r>
      <w:r w:rsidR="00CD0DA7" w:rsidRPr="00F65AC8">
        <w:rPr>
          <w:rFonts w:asciiTheme="majorBidi" w:hAnsiTheme="majorBidi" w:cstheme="majorBidi"/>
          <w:sz w:val="24"/>
          <w:szCs w:val="24"/>
          <w:lang w:val="en-US" w:bidi="he-IL"/>
        </w:rPr>
        <w:t>be mentioned for good,</w:t>
      </w:r>
      <w:r w:rsidR="00CD0DA7" w:rsidRPr="00F65AC8">
        <w:rPr>
          <w:rFonts w:asciiTheme="majorBidi" w:hAnsiTheme="majorBidi" w:cstheme="majorBidi"/>
          <w:b/>
          <w:bCs/>
          <w:sz w:val="24"/>
          <w:szCs w:val="24"/>
          <w:lang w:val="en-US" w:bidi="he-IL"/>
        </w:rPr>
        <w:t xml:space="preserve"> </w:t>
      </w:r>
      <w:r w:rsidR="001903E3" w:rsidRPr="00F65AC8">
        <w:rPr>
          <w:rFonts w:asciiTheme="majorBidi" w:hAnsiTheme="majorBidi" w:cstheme="majorBidi"/>
          <w:sz w:val="24"/>
          <w:szCs w:val="24"/>
          <w:lang w:val="en-US" w:bidi="he-IL"/>
        </w:rPr>
        <w:t>on account of</w:t>
      </w:r>
      <w:r w:rsidR="003E0B2D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protesting</w:t>
      </w:r>
      <w:r w:rsidR="006C1E87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strongly to keep the sanc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tum in </w:t>
      </w:r>
      <w:r w:rsidR="003E0B2D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its </w:t>
      </w:r>
      <w:r w:rsidR="00881BA6"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place, so that everyone </w:t>
      </w:r>
      <w:r w:rsidR="001903E3" w:rsidRPr="00F65AC8">
        <w:rPr>
          <w:rFonts w:asciiTheme="majorBidi" w:hAnsiTheme="majorBidi" w:cstheme="majorBidi"/>
          <w:sz w:val="24"/>
          <w:szCs w:val="24"/>
          <w:lang w:val="en-US" w:bidi="he-IL"/>
        </w:rPr>
        <w:t>can find peace</w:t>
      </w:r>
      <w:r w:rsidR="006C1E87" w:rsidRPr="00F65AC8">
        <w:rPr>
          <w:rFonts w:asciiTheme="majorBidi" w:hAnsiTheme="majorBidi" w:cstheme="majorBidi"/>
          <w:sz w:val="24"/>
          <w:szCs w:val="24"/>
          <w:lang w:val="en-US" w:bidi="he-IL"/>
        </w:rPr>
        <w:t>.</w:t>
      </w:r>
      <w:commentRangeEnd w:id="1"/>
      <w:r w:rsidR="003E0B2D" w:rsidRPr="00F65AC8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</w:p>
    <w:p w14:paraId="33297036" w14:textId="286F068C" w:rsidR="006C1E87" w:rsidRPr="00F65AC8" w:rsidRDefault="006C1E87" w:rsidP="00F65AC8">
      <w:pPr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With blessings for the welfare of the honorable Torah scholar,</w:t>
      </w:r>
    </w:p>
    <w:p w14:paraId="3C5280C8" w14:textId="4860FB3F" w:rsidR="00E41198" w:rsidRPr="00F65AC8" w:rsidRDefault="006C1E87" w:rsidP="00F65AC8">
      <w:pPr>
        <w:jc w:val="both"/>
        <w:rPr>
          <w:rFonts w:asciiTheme="majorBidi" w:hAnsiTheme="majorBidi" w:cstheme="majorBidi"/>
          <w:sz w:val="24"/>
          <w:szCs w:val="24"/>
          <w:lang w:val="en-US" w:bidi="he-IL"/>
        </w:rPr>
      </w:pP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</w:r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ab/>
        <w:t xml:space="preserve">The insignificant Moses </w:t>
      </w:r>
      <w:proofErr w:type="spellStart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>Sofer</w:t>
      </w:r>
      <w:proofErr w:type="spellEnd"/>
      <w:r w:rsidRPr="00F65AC8">
        <w:rPr>
          <w:rFonts w:asciiTheme="majorBidi" w:hAnsiTheme="majorBidi" w:cstheme="majorBidi"/>
          <w:sz w:val="24"/>
          <w:szCs w:val="24"/>
          <w:lang w:val="en-US" w:bidi="he-IL"/>
        </w:rPr>
        <w:t xml:space="preserve"> of Frankfurt-am-Main</w:t>
      </w:r>
    </w:p>
    <w:sectPr w:rsidR="00E41198" w:rsidRPr="00F65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0FAE8161" w14:textId="07BF45B9" w:rsidR="003E0B2D" w:rsidRPr="003E0B2D" w:rsidRDefault="003E0B2D" w:rsidP="001903E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The syntax here is a bit incongruous, and I cannot tell if he is referencing something </w:t>
      </w:r>
      <w:r w:rsidR="001903E3">
        <w:rPr>
          <w:lang w:val="en-US"/>
        </w:rPr>
        <w:t>about Perles or Eisenstadt’s reputation in the fight against Reform. I am happy to adjust based on feedback or additional input.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AE81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AE8161" w16cid:durableId="21691E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8153" w14:textId="77777777" w:rsidR="00F25304" w:rsidRDefault="00F25304" w:rsidP="005375CE">
      <w:pPr>
        <w:spacing w:after="0" w:line="240" w:lineRule="auto"/>
      </w:pPr>
      <w:r>
        <w:separator/>
      </w:r>
    </w:p>
  </w:endnote>
  <w:endnote w:type="continuationSeparator" w:id="0">
    <w:p w14:paraId="0DC54631" w14:textId="77777777" w:rsidR="00F25304" w:rsidRDefault="00F25304" w:rsidP="0053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522C3" w14:textId="77777777" w:rsidR="00F25304" w:rsidRDefault="00F25304" w:rsidP="005375CE">
      <w:pPr>
        <w:spacing w:after="0" w:line="240" w:lineRule="auto"/>
      </w:pPr>
      <w:r>
        <w:separator/>
      </w:r>
    </w:p>
  </w:footnote>
  <w:footnote w:type="continuationSeparator" w:id="0">
    <w:p w14:paraId="7E03BA2C" w14:textId="77777777" w:rsidR="00F25304" w:rsidRDefault="00F25304" w:rsidP="005375CE">
      <w:pPr>
        <w:spacing w:after="0" w:line="240" w:lineRule="auto"/>
      </w:pPr>
      <w:r>
        <w:continuationSeparator/>
      </w:r>
    </w:p>
  </w:footnote>
  <w:footnote w:id="1">
    <w:p w14:paraId="16773208" w14:textId="6AA2166C" w:rsidR="00B1196D" w:rsidRPr="00B1196D" w:rsidRDefault="00B1196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Ps. 16:8.</w:t>
      </w:r>
    </w:p>
  </w:footnote>
  <w:footnote w:id="2">
    <w:p w14:paraId="716695C9" w14:textId="01D73B49" w:rsidR="006C1E87" w:rsidRPr="006C1E87" w:rsidRDefault="006C1E87">
      <w:pPr>
        <w:pStyle w:val="FootnoteText"/>
        <w:rPr>
          <w:rtl/>
          <w:lang w:val="en-US" w:bidi="he-I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2 March 1830.</w:t>
      </w:r>
    </w:p>
  </w:footnote>
  <w:footnote w:id="3">
    <w:p w14:paraId="309C1CB4" w14:textId="42FC3088" w:rsidR="00DA3872" w:rsidRPr="00DA3872" w:rsidRDefault="00DA38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Heb. </w:t>
      </w:r>
      <w:proofErr w:type="spellStart"/>
      <w:r>
        <w:rPr>
          <w:i/>
          <w:iCs/>
          <w:lang w:val="en-US"/>
        </w:rPr>
        <w:t>sof</w:t>
      </w:r>
      <w:proofErr w:type="spellEnd"/>
      <w:r>
        <w:rPr>
          <w:lang w:val="en-US"/>
        </w:rPr>
        <w:t>, lit. “end,” and so below.</w:t>
      </w:r>
    </w:p>
  </w:footnote>
  <w:footnote w:id="4">
    <w:p w14:paraId="1CCBB2EC" w14:textId="313E3104" w:rsidR="00DA3872" w:rsidRPr="00DA3872" w:rsidRDefault="00DA3872" w:rsidP="00DA387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Aramaic </w:t>
      </w:r>
      <w:r>
        <w:rPr>
          <w:i/>
          <w:iCs/>
          <w:lang w:val="en-US"/>
        </w:rPr>
        <w:t>mi-</w:t>
      </w:r>
      <w:proofErr w:type="spellStart"/>
      <w:r>
        <w:rPr>
          <w:i/>
          <w:iCs/>
          <w:lang w:val="en-US"/>
        </w:rPr>
        <w:t>qadmat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dena</w:t>
      </w:r>
      <w:proofErr w:type="spellEnd"/>
      <w:r>
        <w:rPr>
          <w:lang w:val="en-US"/>
        </w:rPr>
        <w:t xml:space="preserve">. As a commonplace rhetorical </w:t>
      </w:r>
      <w:proofErr w:type="gramStart"/>
      <w:r>
        <w:rPr>
          <w:lang w:val="en-US"/>
        </w:rPr>
        <w:t>flourish</w:t>
      </w:r>
      <w:proofErr w:type="gramEnd"/>
      <w:r>
        <w:rPr>
          <w:lang w:val="en-US"/>
        </w:rPr>
        <w:t xml:space="preserve"> it means “previously,” but R. </w:t>
      </w:r>
      <w:proofErr w:type="spellStart"/>
      <w:r>
        <w:rPr>
          <w:lang w:val="en-US"/>
        </w:rPr>
        <w:t>Sofer</w:t>
      </w:r>
      <w:proofErr w:type="spellEnd"/>
      <w:r>
        <w:rPr>
          <w:lang w:val="en-US"/>
        </w:rPr>
        <w:t xml:space="preserve"> most likely also intends the sense of “originally,” since time immemorial. He is invoking Ez. 5:11: “</w:t>
      </w:r>
      <w:r w:rsidRPr="00DA3872">
        <w:t>We are the servants of the God of heaven and earth; we are rebuilding the house that was originally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mi-</w:t>
      </w:r>
      <w:proofErr w:type="spellStart"/>
      <w:r>
        <w:rPr>
          <w:i/>
          <w:iCs/>
          <w:lang w:val="en-US"/>
        </w:rPr>
        <w:t>qadmat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dena</w:t>
      </w:r>
      <w:proofErr w:type="spellEnd"/>
      <w:r>
        <w:rPr>
          <w:lang w:val="en-US"/>
        </w:rPr>
        <w:t>)</w:t>
      </w:r>
      <w:r>
        <w:t xml:space="preserve"> built many years ago</w:t>
      </w:r>
      <w:r>
        <w:rPr>
          <w:lang w:val="en-US"/>
        </w:rPr>
        <w:t>” (NJPS translation).</w:t>
      </w:r>
    </w:p>
  </w:footnote>
  <w:footnote w:id="5">
    <w:p w14:paraId="789CDC06" w14:textId="40E04C72" w:rsidR="00B91AF4" w:rsidRPr="00B91AF4" w:rsidRDefault="00B91AF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Cf. </w:t>
      </w:r>
      <w:r>
        <w:rPr>
          <w:i/>
          <w:iCs/>
          <w:lang w:val="en-US"/>
        </w:rPr>
        <w:t>‘</w:t>
      </w:r>
      <w:proofErr w:type="spellStart"/>
      <w:r>
        <w:rPr>
          <w:i/>
          <w:iCs/>
          <w:lang w:val="en-US"/>
        </w:rPr>
        <w:t>Eruvin</w:t>
      </w:r>
      <w:proofErr w:type="spellEnd"/>
      <w:r>
        <w:rPr>
          <w:lang w:val="en-US"/>
        </w:rPr>
        <w:t xml:space="preserve"> 53b.</w:t>
      </w:r>
    </w:p>
  </w:footnote>
  <w:footnote w:id="6">
    <w:p w14:paraId="07F86855" w14:textId="30EA8BC9" w:rsidR="00B91AF4" w:rsidRPr="00B91AF4" w:rsidRDefault="00B91AF4" w:rsidP="00730EC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73F70">
        <w:rPr>
          <w:lang w:val="en-US"/>
        </w:rPr>
        <w:t xml:space="preserve">R. Moses Maimonides in his </w:t>
      </w:r>
      <w:proofErr w:type="spellStart"/>
      <w:r>
        <w:rPr>
          <w:i/>
          <w:iCs/>
          <w:lang w:val="en-US"/>
        </w:rPr>
        <w:t>Mishne</w:t>
      </w:r>
      <w:proofErr w:type="spellEnd"/>
      <w:r>
        <w:rPr>
          <w:i/>
          <w:iCs/>
          <w:lang w:val="en-US"/>
        </w:rPr>
        <w:t xml:space="preserve"> Torah</w:t>
      </w:r>
      <w:r w:rsidR="00573F70">
        <w:rPr>
          <w:lang w:val="en-US"/>
        </w:rPr>
        <w:t xml:space="preserve">, </w:t>
      </w:r>
      <w:r w:rsidR="00573F70">
        <w:rPr>
          <w:lang w:val="en-US" w:bidi="he-IL"/>
        </w:rPr>
        <w:t>“Laws of Prayer,” 11:3.</w:t>
      </w:r>
    </w:p>
  </w:footnote>
  <w:footnote w:id="7">
    <w:p w14:paraId="452668DC" w14:textId="56544DAF" w:rsidR="00B91AF4" w:rsidRPr="00B91AF4" w:rsidRDefault="00B91AF4" w:rsidP="00883B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R. Jacob b. Asher</w:t>
      </w:r>
      <w:r w:rsidR="00883BF7">
        <w:rPr>
          <w:lang w:val="en-US"/>
        </w:rPr>
        <w:t xml:space="preserve"> in his</w:t>
      </w:r>
      <w:r>
        <w:rPr>
          <w:lang w:val="en-US"/>
        </w:rPr>
        <w:t xml:space="preserve"> </w:t>
      </w:r>
      <w:proofErr w:type="spellStart"/>
      <w:proofErr w:type="gramStart"/>
      <w:r>
        <w:rPr>
          <w:i/>
          <w:iCs/>
          <w:lang w:val="en-US"/>
        </w:rPr>
        <w:t>Arba‘</w:t>
      </w:r>
      <w:proofErr w:type="gramEnd"/>
      <w:r>
        <w:rPr>
          <w:i/>
          <w:iCs/>
          <w:lang w:val="en-US"/>
        </w:rPr>
        <w:t>a</w:t>
      </w:r>
      <w:proofErr w:type="spellEnd"/>
      <w:r>
        <w:rPr>
          <w:i/>
          <w:iCs/>
          <w:lang w:val="en-US"/>
        </w:rPr>
        <w:t xml:space="preserve"> </w:t>
      </w:r>
      <w:proofErr w:type="spellStart"/>
      <w:r>
        <w:rPr>
          <w:i/>
          <w:iCs/>
          <w:lang w:val="en-US"/>
        </w:rPr>
        <w:t>Turim</w:t>
      </w:r>
      <w:proofErr w:type="spellEnd"/>
      <w:r w:rsidR="00883BF7">
        <w:rPr>
          <w:lang w:val="en-US"/>
        </w:rPr>
        <w:t>.</w:t>
      </w:r>
      <w:r>
        <w:rPr>
          <w:lang w:val="en-US"/>
        </w:rPr>
        <w:t xml:space="preserve"> </w:t>
      </w:r>
    </w:p>
  </w:footnote>
  <w:footnote w:id="8">
    <w:p w14:paraId="0DF09771" w14:textId="45D1A218" w:rsidR="00883BF7" w:rsidRPr="00883BF7" w:rsidRDefault="00883BF7" w:rsidP="00883BF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R. Moses Isserles in his glosses on R. Joseph Caro’s </w:t>
      </w:r>
      <w:proofErr w:type="spellStart"/>
      <w:r>
        <w:rPr>
          <w:i/>
          <w:iCs/>
          <w:lang w:val="en-US"/>
        </w:rPr>
        <w:t>Shul</w:t>
      </w:r>
      <w:r>
        <w:rPr>
          <w:i/>
          <w:iCs/>
          <w:u w:val="single"/>
          <w:lang w:val="en-US"/>
        </w:rPr>
        <w:t>h</w:t>
      </w:r>
      <w:r>
        <w:rPr>
          <w:i/>
          <w:iCs/>
          <w:lang w:val="en-US"/>
        </w:rPr>
        <w:t>an</w:t>
      </w:r>
      <w:proofErr w:type="spellEnd"/>
      <w:r>
        <w:rPr>
          <w:i/>
          <w:iCs/>
          <w:lang w:val="en-US"/>
        </w:rPr>
        <w:t xml:space="preserve"> ‘</w:t>
      </w:r>
      <w:proofErr w:type="spellStart"/>
      <w:r>
        <w:rPr>
          <w:i/>
          <w:iCs/>
          <w:lang w:val="en-US"/>
        </w:rPr>
        <w:t>Arukh</w:t>
      </w:r>
      <w:proofErr w:type="spellEnd"/>
      <w:r>
        <w:rPr>
          <w:lang w:val="en-US"/>
        </w:rPr>
        <w:t>.</w:t>
      </w:r>
    </w:p>
  </w:footnote>
  <w:footnote w:id="9">
    <w:p w14:paraId="4444DA4D" w14:textId="1030556C" w:rsidR="00B91AF4" w:rsidRPr="00B91AF4" w:rsidRDefault="00B91AF4" w:rsidP="00DC15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C1517">
        <w:rPr>
          <w:lang w:val="en-US"/>
        </w:rPr>
        <w:t>In monetary law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heb.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yado</w:t>
      </w:r>
      <w:proofErr w:type="spellEnd"/>
      <w:r>
        <w:rPr>
          <w:i/>
          <w:iCs/>
          <w:lang w:val="en-US"/>
        </w:rPr>
        <w:t xml:space="preserve"> ‘al ha-</w:t>
      </w:r>
      <w:proofErr w:type="spellStart"/>
      <w:r>
        <w:rPr>
          <w:i/>
          <w:iCs/>
          <w:lang w:val="en-US"/>
        </w:rPr>
        <w:t>ta</w:t>
      </w:r>
      <w:r>
        <w:rPr>
          <w:i/>
          <w:iCs/>
          <w:u w:val="single"/>
          <w:lang w:val="en-US"/>
        </w:rPr>
        <w:t>h</w:t>
      </w:r>
      <w:r>
        <w:rPr>
          <w:i/>
          <w:iCs/>
          <w:lang w:val="en-US"/>
        </w:rPr>
        <w:t>tona</w:t>
      </w:r>
      <w:proofErr w:type="spellEnd"/>
      <w:r>
        <w:rPr>
          <w:lang w:val="en-US"/>
        </w:rPr>
        <w:t xml:space="preserve"> means one is at a disadvantage and does not have the upper hand. </w:t>
      </w:r>
    </w:p>
  </w:footnote>
  <w:footnote w:id="10">
    <w:p w14:paraId="112D4907" w14:textId="05DC6927" w:rsidR="00DC1517" w:rsidRPr="00DC1517" w:rsidRDefault="00DC15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R. Joseph Caro’s commentary on Maimonides’ </w:t>
      </w:r>
      <w:proofErr w:type="spellStart"/>
      <w:r>
        <w:rPr>
          <w:i/>
          <w:iCs/>
          <w:lang w:val="en-US"/>
        </w:rPr>
        <w:t>Mishne</w:t>
      </w:r>
      <w:proofErr w:type="spellEnd"/>
      <w:r>
        <w:rPr>
          <w:i/>
          <w:iCs/>
          <w:lang w:val="en-US"/>
        </w:rPr>
        <w:t xml:space="preserve"> Torah</w:t>
      </w:r>
      <w:r>
        <w:rPr>
          <w:lang w:val="en-US"/>
        </w:rPr>
        <w:t>.</w:t>
      </w:r>
    </w:p>
  </w:footnote>
  <w:footnote w:id="11">
    <w:p w14:paraId="5AAF9789" w14:textId="0B9A12CE" w:rsidR="00DC1517" w:rsidRPr="00DC1517" w:rsidRDefault="00DC151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Earlier authorities.</w:t>
      </w:r>
    </w:p>
  </w:footnote>
  <w:footnote w:id="12">
    <w:p w14:paraId="5B6C732E" w14:textId="51EC13A6" w:rsidR="00730EC9" w:rsidRPr="00B223B6" w:rsidRDefault="00730EC9" w:rsidP="00730EC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Presumably there would have been </w:t>
      </w:r>
      <w:proofErr w:type="gramStart"/>
      <w:r>
        <w:rPr>
          <w:lang w:val="en-US"/>
        </w:rPr>
        <w:t>strong pressure</w:t>
      </w:r>
      <w:proofErr w:type="gramEnd"/>
      <w:r>
        <w:rPr>
          <w:lang w:val="en-US"/>
        </w:rPr>
        <w:t xml:space="preserve"> to move it forward in order to make more space for the fantastically large congregation described by the Talmud.</w:t>
      </w:r>
    </w:p>
  </w:footnote>
  <w:footnote w:id="13">
    <w:p w14:paraId="0FB3B923" w14:textId="0A7CFAA4" w:rsidR="00573F70" w:rsidRPr="00573F70" w:rsidRDefault="00573F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That is, a non-textual argument.</w:t>
      </w:r>
    </w:p>
  </w:footnote>
  <w:footnote w:id="14">
    <w:p w14:paraId="66783683" w14:textId="1E376506" w:rsidR="00573F70" w:rsidRPr="00573F70" w:rsidRDefault="00573F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R. Solomon </w:t>
      </w:r>
      <w:proofErr w:type="spellStart"/>
      <w:r>
        <w:rPr>
          <w:lang w:val="en-US"/>
        </w:rPr>
        <w:t>Yitz</w:t>
      </w:r>
      <w:r>
        <w:rPr>
          <w:u w:val="single"/>
          <w:lang w:val="en-US"/>
        </w:rPr>
        <w:t>h</w:t>
      </w:r>
      <w:r>
        <w:rPr>
          <w:lang w:val="en-US"/>
        </w:rPr>
        <w:t>aqi</w:t>
      </w:r>
      <w:proofErr w:type="spellEnd"/>
      <w:r>
        <w:rPr>
          <w:lang w:val="en-US"/>
        </w:rPr>
        <w:t xml:space="preserve">, </w:t>
      </w:r>
      <w:r>
        <w:rPr>
          <w:i/>
          <w:iCs/>
          <w:lang w:val="en-US"/>
        </w:rPr>
        <w:t>Commentary on the Torah</w:t>
      </w:r>
      <w:r>
        <w:rPr>
          <w:lang w:val="en-US"/>
        </w:rPr>
        <w:t>, Ex. 26:35.</w:t>
      </w:r>
    </w:p>
  </w:footnote>
  <w:footnote w:id="15">
    <w:p w14:paraId="6D74655B" w14:textId="2C5873CC" w:rsidR="00573F70" w:rsidRPr="00573F70" w:rsidRDefault="00573F7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i/>
          <w:iCs/>
          <w:lang w:val="en-US"/>
        </w:rPr>
        <w:t>Yoma</w:t>
      </w:r>
      <w:proofErr w:type="spellEnd"/>
      <w:r>
        <w:rPr>
          <w:lang w:val="en-US"/>
        </w:rPr>
        <w:t xml:space="preserve"> 33b.</w:t>
      </w:r>
    </w:p>
  </w:footnote>
  <w:footnote w:id="16">
    <w:p w14:paraId="53F3AB53" w14:textId="14F31850" w:rsidR="00573F70" w:rsidRPr="001E0186" w:rsidRDefault="00573F70" w:rsidP="001E018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1E0186">
        <w:rPr>
          <w:i/>
          <w:iCs/>
          <w:lang w:val="en-US"/>
        </w:rPr>
        <w:t>Mishne</w:t>
      </w:r>
      <w:proofErr w:type="spellEnd"/>
      <w:r w:rsidR="001E0186">
        <w:rPr>
          <w:i/>
          <w:iCs/>
          <w:lang w:val="en-US"/>
        </w:rPr>
        <w:t xml:space="preserve"> Torah</w:t>
      </w:r>
      <w:r w:rsidR="001E0186">
        <w:rPr>
          <w:lang w:val="en-US"/>
        </w:rPr>
        <w:t>, “Laws of the Temple,” 1:7.</w:t>
      </w:r>
    </w:p>
  </w:footnote>
  <w:footnote w:id="17">
    <w:p w14:paraId="28779983" w14:textId="3FB975CE" w:rsidR="001E0186" w:rsidRPr="001E0186" w:rsidRDefault="001E018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</w:t>
      </w:r>
      <w:r>
        <w:rPr>
          <w:i/>
          <w:iCs/>
          <w:lang w:val="en-US"/>
        </w:rPr>
        <w:t>Megilla</w:t>
      </w:r>
      <w:r>
        <w:rPr>
          <w:lang w:val="en-US"/>
        </w:rPr>
        <w:t xml:space="preserve"> 29a.</w:t>
      </w:r>
    </w:p>
  </w:footnote>
  <w:footnote w:id="18">
    <w:p w14:paraId="51EF6367" w14:textId="090D89EC" w:rsidR="005375CE" w:rsidRPr="00CD0DA7" w:rsidRDefault="005375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CD0DA7">
        <w:rPr>
          <w:lang w:val="en-US"/>
        </w:rPr>
        <w:t xml:space="preserve">See the Talmud Yerushalmi, </w:t>
      </w:r>
      <w:r w:rsidR="00CD0DA7">
        <w:rPr>
          <w:i/>
          <w:iCs/>
          <w:lang w:val="en-US"/>
        </w:rPr>
        <w:t>Shabbat</w:t>
      </w:r>
      <w:r w:rsidR="00CD0DA7">
        <w:rPr>
          <w:lang w:val="en-US"/>
        </w:rPr>
        <w:t xml:space="preserve"> 12.3.</w:t>
      </w:r>
    </w:p>
  </w:footnote>
  <w:footnote w:id="19">
    <w:p w14:paraId="7D169BDC" w14:textId="4DC95943" w:rsidR="005375CE" w:rsidRPr="00316640" w:rsidRDefault="005375CE" w:rsidP="00FB26AA">
      <w:pPr>
        <w:pStyle w:val="FootnoteText"/>
        <w:rPr>
          <w:rtl/>
          <w:lang w:val="en-US" w:bidi="he-I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R. Yaakov ha-Levi </w:t>
      </w:r>
      <w:proofErr w:type="spellStart"/>
      <w:r>
        <w:rPr>
          <w:lang w:val="en-US"/>
        </w:rPr>
        <w:t>Moelin</w:t>
      </w:r>
      <w:proofErr w:type="spellEnd"/>
      <w:r>
        <w:rPr>
          <w:lang w:val="en-US"/>
        </w:rPr>
        <w:t xml:space="preserve">, </w:t>
      </w:r>
      <w:proofErr w:type="spellStart"/>
      <w:r w:rsidR="00316640">
        <w:rPr>
          <w:i/>
          <w:iCs/>
          <w:lang w:val="en-US" w:bidi="he-IL"/>
        </w:rPr>
        <w:t>Sefer</w:t>
      </w:r>
      <w:proofErr w:type="spellEnd"/>
      <w:r w:rsidR="00316640">
        <w:rPr>
          <w:i/>
          <w:iCs/>
          <w:lang w:val="en-US" w:bidi="he-IL"/>
        </w:rPr>
        <w:t xml:space="preserve"> </w:t>
      </w:r>
      <w:proofErr w:type="spellStart"/>
      <w:r w:rsidR="00316640">
        <w:rPr>
          <w:i/>
          <w:iCs/>
          <w:lang w:val="en-US" w:bidi="he-IL"/>
        </w:rPr>
        <w:t>Maharil</w:t>
      </w:r>
      <w:proofErr w:type="spellEnd"/>
      <w:r w:rsidR="00316640">
        <w:rPr>
          <w:i/>
          <w:iCs/>
          <w:lang w:val="en-US" w:bidi="he-IL"/>
        </w:rPr>
        <w:t xml:space="preserve">: </w:t>
      </w:r>
      <w:proofErr w:type="spellStart"/>
      <w:r w:rsidR="00316640">
        <w:rPr>
          <w:i/>
          <w:iCs/>
          <w:lang w:val="en-US" w:bidi="he-IL"/>
        </w:rPr>
        <w:t>Minhagim</w:t>
      </w:r>
      <w:proofErr w:type="spellEnd"/>
      <w:r w:rsidR="00316640">
        <w:rPr>
          <w:lang w:val="en-US" w:bidi="he-IL"/>
        </w:rPr>
        <w:t xml:space="preserve">, ed. </w:t>
      </w:r>
      <w:proofErr w:type="spellStart"/>
      <w:r w:rsidR="00316640">
        <w:rPr>
          <w:lang w:val="en-US" w:bidi="he-IL"/>
        </w:rPr>
        <w:t>Shlomo</w:t>
      </w:r>
      <w:proofErr w:type="spellEnd"/>
      <w:r w:rsidR="00316640">
        <w:rPr>
          <w:lang w:val="en-US" w:bidi="he-IL"/>
        </w:rPr>
        <w:t xml:space="preserve"> </w:t>
      </w:r>
      <w:proofErr w:type="spellStart"/>
      <w:r w:rsidR="00316640">
        <w:rPr>
          <w:lang w:val="en-US" w:bidi="he-IL"/>
        </w:rPr>
        <w:t>Shpitzer</w:t>
      </w:r>
      <w:proofErr w:type="spellEnd"/>
      <w:r w:rsidR="00316640">
        <w:rPr>
          <w:lang w:val="en-US" w:bidi="he-IL"/>
        </w:rPr>
        <w:t xml:space="preserve"> (Jerusalem: </w:t>
      </w:r>
      <w:proofErr w:type="spellStart"/>
      <w:r w:rsidR="00316640">
        <w:rPr>
          <w:lang w:val="en-US" w:bidi="he-IL"/>
        </w:rPr>
        <w:t>Machon</w:t>
      </w:r>
      <w:proofErr w:type="spellEnd"/>
      <w:r w:rsidR="00316640">
        <w:rPr>
          <w:lang w:val="en-US" w:bidi="he-IL"/>
        </w:rPr>
        <w:t xml:space="preserve"> </w:t>
      </w:r>
      <w:proofErr w:type="spellStart"/>
      <w:r w:rsidR="00316640">
        <w:rPr>
          <w:lang w:val="en-US" w:bidi="he-IL"/>
        </w:rPr>
        <w:t>Yerushalayim</w:t>
      </w:r>
      <w:proofErr w:type="spellEnd"/>
      <w:r w:rsidR="00316640">
        <w:rPr>
          <w:lang w:val="en-US" w:bidi="he-IL"/>
        </w:rPr>
        <w:t xml:space="preserve">, 1989), 362. </w:t>
      </w:r>
      <w:r w:rsidR="00FB26AA">
        <w:rPr>
          <w:lang w:val="en-US" w:bidi="he-IL"/>
        </w:rPr>
        <w:t>The ruling is that one ought</w:t>
      </w:r>
      <w:r w:rsidR="00316640">
        <w:rPr>
          <w:lang w:val="en-US" w:bidi="he-IL"/>
        </w:rPr>
        <w:t xml:space="preserve"> to mark the boards </w:t>
      </w:r>
      <w:r w:rsidR="00FB26AA">
        <w:rPr>
          <w:lang w:val="en-US" w:bidi="he-IL"/>
        </w:rPr>
        <w:t xml:space="preserve">used in constructing the sukkah </w:t>
      </w:r>
      <w:r w:rsidR="00316640">
        <w:rPr>
          <w:lang w:val="en-US" w:bidi="he-IL"/>
        </w:rPr>
        <w:t xml:space="preserve">so that they </w:t>
      </w:r>
      <w:r w:rsidR="00FB26AA">
        <w:rPr>
          <w:lang w:val="en-US" w:bidi="he-IL"/>
        </w:rPr>
        <w:t>are</w:t>
      </w:r>
      <w:r w:rsidR="00316640">
        <w:rPr>
          <w:lang w:val="en-US" w:bidi="he-IL"/>
        </w:rPr>
        <w:t xml:space="preserve"> placed in the same </w:t>
      </w:r>
      <w:r w:rsidR="00FB26AA">
        <w:rPr>
          <w:lang w:val="en-US" w:bidi="he-IL"/>
        </w:rPr>
        <w:t>arrangement</w:t>
      </w:r>
      <w:r w:rsidR="00316640">
        <w:rPr>
          <w:lang w:val="en-US" w:bidi="he-IL"/>
        </w:rPr>
        <w:t xml:space="preserve"> every year.</w:t>
      </w:r>
      <w:bookmarkStart w:id="0" w:name="_GoBack"/>
      <w:bookmarkEnd w:id="0"/>
    </w:p>
  </w:footnote>
  <w:footnote w:id="20">
    <w:p w14:paraId="7636983D" w14:textId="2E9FC9AC" w:rsidR="00CD0DA7" w:rsidRPr="00CD0DA7" w:rsidRDefault="00CD0D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</w:t>
      </w:r>
      <w:proofErr w:type="spellStart"/>
      <w:proofErr w:type="gramStart"/>
      <w:r>
        <w:rPr>
          <w:i/>
          <w:iCs/>
          <w:lang w:val="en-US"/>
        </w:rPr>
        <w:t>Shevu‘</w:t>
      </w:r>
      <w:proofErr w:type="gramEnd"/>
      <w:r>
        <w:rPr>
          <w:i/>
          <w:iCs/>
          <w:lang w:val="en-US"/>
        </w:rPr>
        <w:t>ot</w:t>
      </w:r>
      <w:proofErr w:type="spellEnd"/>
      <w:r>
        <w:rPr>
          <w:lang w:val="en-US"/>
        </w:rPr>
        <w:t xml:space="preserve"> 14a.</w:t>
      </w:r>
    </w:p>
  </w:footnote>
  <w:footnote w:id="21">
    <w:p w14:paraId="59B68BC4" w14:textId="731F9B36" w:rsidR="00CD0DA7" w:rsidRPr="00CD0DA7" w:rsidRDefault="00CD0D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See </w:t>
      </w:r>
      <w:proofErr w:type="spellStart"/>
      <w:r>
        <w:rPr>
          <w:i/>
          <w:iCs/>
          <w:lang w:val="en-US"/>
        </w:rPr>
        <w:t>Bava</w:t>
      </w:r>
      <w:proofErr w:type="spellEnd"/>
      <w:r>
        <w:rPr>
          <w:i/>
          <w:iCs/>
          <w:lang w:val="en-US"/>
        </w:rPr>
        <w:t xml:space="preserve"> Batra</w:t>
      </w:r>
      <w:r>
        <w:rPr>
          <w:lang w:val="en-US"/>
        </w:rPr>
        <w:t xml:space="preserve"> 3a.</w:t>
      </w:r>
    </w:p>
  </w:footnote>
  <w:footnote w:id="22">
    <w:p w14:paraId="6C868F42" w14:textId="3E896CF5" w:rsidR="00316640" w:rsidRPr="00316640" w:rsidRDefault="00316640" w:rsidP="001E018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The mantra of </w:t>
      </w:r>
      <w:r w:rsidR="001E0186">
        <w:rPr>
          <w:lang w:val="en-US"/>
        </w:rPr>
        <w:t xml:space="preserve">R. </w:t>
      </w:r>
      <w:proofErr w:type="spellStart"/>
      <w:r w:rsidR="001E0186">
        <w:rPr>
          <w:lang w:val="en-US"/>
        </w:rPr>
        <w:t>Sofer</w:t>
      </w:r>
      <w:proofErr w:type="spellEnd"/>
      <w:r w:rsidR="001E0186">
        <w:rPr>
          <w:lang w:val="en-US"/>
        </w:rPr>
        <w:t>, which is</w:t>
      </w:r>
      <w:r>
        <w:rPr>
          <w:lang w:val="en-US"/>
        </w:rPr>
        <w:t xml:space="preserve"> based on </w:t>
      </w:r>
      <w:proofErr w:type="spellStart"/>
      <w:r>
        <w:rPr>
          <w:i/>
          <w:iCs/>
          <w:lang w:val="en-US"/>
        </w:rPr>
        <w:t>Qiddushin</w:t>
      </w:r>
      <w:proofErr w:type="spellEnd"/>
      <w:r>
        <w:rPr>
          <w:i/>
          <w:iCs/>
          <w:lang w:val="en-US"/>
        </w:rPr>
        <w:t xml:space="preserve"> </w:t>
      </w:r>
      <w:r>
        <w:rPr>
          <w:lang w:val="en-US"/>
        </w:rPr>
        <w:t>38b.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MTC2MDGxMDOwMDNS0lEKTi0uzszPAykwrAUAKW3HmywAAAA="/>
  </w:docVars>
  <w:rsids>
    <w:rsidRoot w:val="004C1B7C"/>
    <w:rsid w:val="00127E4C"/>
    <w:rsid w:val="001903E3"/>
    <w:rsid w:val="001E0186"/>
    <w:rsid w:val="00316640"/>
    <w:rsid w:val="003E0B2D"/>
    <w:rsid w:val="00473E98"/>
    <w:rsid w:val="004C1B7C"/>
    <w:rsid w:val="005375CE"/>
    <w:rsid w:val="00573F70"/>
    <w:rsid w:val="00684603"/>
    <w:rsid w:val="006C1E87"/>
    <w:rsid w:val="007061E3"/>
    <w:rsid w:val="00730EC9"/>
    <w:rsid w:val="007C171A"/>
    <w:rsid w:val="00881BA6"/>
    <w:rsid w:val="00883947"/>
    <w:rsid w:val="00883BF7"/>
    <w:rsid w:val="008D6F48"/>
    <w:rsid w:val="00B1196D"/>
    <w:rsid w:val="00B12906"/>
    <w:rsid w:val="00B223B6"/>
    <w:rsid w:val="00B91AF4"/>
    <w:rsid w:val="00C47771"/>
    <w:rsid w:val="00C47C49"/>
    <w:rsid w:val="00CD0DA7"/>
    <w:rsid w:val="00DA3872"/>
    <w:rsid w:val="00DC1517"/>
    <w:rsid w:val="00DE642E"/>
    <w:rsid w:val="00E41198"/>
    <w:rsid w:val="00F25304"/>
    <w:rsid w:val="00F5620B"/>
    <w:rsid w:val="00F65AC8"/>
    <w:rsid w:val="00FB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40E36"/>
  <w15:chartTrackingRefBased/>
  <w15:docId w15:val="{37A423E2-F509-4D8E-825C-1A4AEA40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122576236148026966msolistparagraph">
    <w:name w:val="m_7122576236148026966msolistparagraph"/>
    <w:basedOn w:val="Normal"/>
    <w:rsid w:val="004C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75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75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75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83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9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9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9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9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0B"/>
  </w:style>
  <w:style w:type="paragraph" w:styleId="Footer">
    <w:name w:val="footer"/>
    <w:basedOn w:val="Normal"/>
    <w:link w:val="FooterChar"/>
    <w:uiPriority w:val="99"/>
    <w:unhideWhenUsed/>
    <w:rsid w:val="00F562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6476-C464-47A8-B668-0193B8E1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2019-11-03T07:44:00Z</dcterms:created>
  <dcterms:modified xsi:type="dcterms:W3CDTF">2019-11-03T07:48:00Z</dcterms:modified>
</cp:coreProperties>
</file>