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1EA55" w14:textId="77777777" w:rsidR="00142DA3" w:rsidRPr="002B52C0" w:rsidRDefault="00142DA3" w:rsidP="00142DA3">
      <w:pPr>
        <w:tabs>
          <w:tab w:val="left" w:pos="1134"/>
          <w:tab w:val="left" w:pos="4253"/>
        </w:tabs>
        <w:bidi w:val="0"/>
        <w:spacing w:line="360" w:lineRule="auto"/>
        <w:jc w:val="center"/>
        <w:rPr>
          <w:rFonts w:asciiTheme="majorBidi" w:hAnsiTheme="majorBidi" w:cstheme="majorBidi"/>
          <w:smallCaps/>
          <w:sz w:val="28"/>
          <w:szCs w:val="28"/>
          <w:lang w:val="en-GB"/>
        </w:rPr>
      </w:pPr>
      <w:r w:rsidRPr="002B52C0">
        <w:rPr>
          <w:rFonts w:asciiTheme="majorBidi" w:hAnsiTheme="majorBidi" w:cstheme="majorBidi"/>
          <w:smallCaps/>
          <w:sz w:val="28"/>
          <w:szCs w:val="28"/>
          <w:lang w:val="en-GB"/>
        </w:rPr>
        <w:t>Identification of 4Q11 (4QpaleoGenEx</w:t>
      </w:r>
      <w:r w:rsidRPr="002B52C0">
        <w:rPr>
          <w:rFonts w:asciiTheme="majorBidi" w:hAnsiTheme="majorBidi" w:cstheme="majorBidi"/>
          <w:smallCaps/>
          <w:sz w:val="28"/>
          <w:szCs w:val="28"/>
          <w:vertAlign w:val="superscript"/>
          <w:lang w:val="en-GB"/>
        </w:rPr>
        <w:t>l</w:t>
      </w:r>
      <w:r w:rsidRPr="002B52C0">
        <w:rPr>
          <w:rFonts w:asciiTheme="majorBidi" w:hAnsiTheme="majorBidi" w:cstheme="majorBidi"/>
          <w:smallCaps/>
          <w:sz w:val="28"/>
          <w:szCs w:val="28"/>
          <w:lang w:val="en-GB"/>
        </w:rPr>
        <w:t>) Fragments</w:t>
      </w:r>
    </w:p>
    <w:p w14:paraId="1B97835E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1E976161" w14:textId="5D212E63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lang w:val="en"/>
        </w:rPr>
      </w:pPr>
      <w:r>
        <w:rPr>
          <w:rFonts w:asciiTheme="majorBidi" w:hAnsiTheme="majorBidi" w:cstheme="majorBidi"/>
          <w:lang w:val="en"/>
        </w:rPr>
        <w:t>4Q11, also known as 4QpaleoGenEx</w:t>
      </w:r>
      <w:r>
        <w:rPr>
          <w:rFonts w:asciiTheme="majorBidi" w:hAnsiTheme="majorBidi" w:cstheme="majorBidi"/>
          <w:vertAlign w:val="superscript"/>
          <w:lang w:val="en"/>
        </w:rPr>
        <w:t>l</w:t>
      </w:r>
      <w:r>
        <w:rPr>
          <w:rFonts w:asciiTheme="majorBidi" w:hAnsiTheme="majorBidi" w:cstheme="majorBidi"/>
          <w:lang w:val="en"/>
        </w:rPr>
        <w:t xml:space="preserve">, is a fragmentary manuscript that preserves text from the last verse of Genesis and portions of Ex 1:1 to 36:36. </w:t>
      </w:r>
      <w:r>
        <w:rPr>
          <w:rFonts w:asciiTheme="majorBidi" w:hAnsiTheme="majorBidi" w:cstheme="majorBidi"/>
        </w:rPr>
        <w:t xml:space="preserve">This study </w:t>
      </w:r>
      <w:r w:rsidR="00B66B69">
        <w:rPr>
          <w:rFonts w:asciiTheme="majorBidi" w:hAnsiTheme="majorBidi" w:cstheme="majorBidi"/>
        </w:rPr>
        <w:t>identifies</w:t>
      </w:r>
      <w:r>
        <w:rPr>
          <w:rFonts w:asciiTheme="majorBidi" w:hAnsiTheme="majorBidi" w:cstheme="majorBidi"/>
        </w:rPr>
        <w:t xml:space="preserve"> small fragments of </w:t>
      </w:r>
      <w:r w:rsidR="00B66B69">
        <w:rPr>
          <w:rFonts w:asciiTheme="majorBidi" w:hAnsiTheme="majorBidi" w:cstheme="majorBidi"/>
        </w:rPr>
        <w:t>it</w:t>
      </w:r>
      <w:r>
        <w:rPr>
          <w:rFonts w:asciiTheme="majorBidi" w:hAnsiTheme="majorBidi" w:cstheme="majorBidi"/>
        </w:rPr>
        <w:t xml:space="preserve">. </w:t>
      </w:r>
      <w:r w:rsidR="00B66B69">
        <w:rPr>
          <w:rFonts w:asciiTheme="majorBidi" w:hAnsiTheme="majorBidi" w:cstheme="majorBidi"/>
        </w:rPr>
        <w:t xml:space="preserve">Some </w:t>
      </w:r>
      <w:r>
        <w:rPr>
          <w:rFonts w:asciiTheme="majorBidi" w:hAnsiTheme="majorBidi" w:cstheme="majorBidi"/>
        </w:rPr>
        <w:t>of the</w:t>
      </w:r>
      <w:r w:rsidR="00B66B69">
        <w:rPr>
          <w:rFonts w:asciiTheme="majorBidi" w:hAnsiTheme="majorBidi" w:cstheme="majorBidi"/>
        </w:rPr>
        <w:t>se</w:t>
      </w:r>
      <w:r>
        <w:rPr>
          <w:rFonts w:asciiTheme="majorBidi" w:hAnsiTheme="majorBidi" w:cstheme="majorBidi"/>
        </w:rPr>
        <w:t xml:space="preserve"> fragments were transcribed in the official edition of the scroll published in 1992 by </w:t>
      </w:r>
      <w:r>
        <w:rPr>
          <w:rFonts w:asciiTheme="majorBidi" w:hAnsiTheme="majorBidi" w:cstheme="majorBidi"/>
          <w:lang w:val="en"/>
        </w:rPr>
        <w:t>Patrick Skehan, Eugene Ulrich, and Judith Sanderson</w:t>
      </w:r>
      <w:r w:rsidR="00B66B69">
        <w:rPr>
          <w:rFonts w:asciiTheme="majorBidi" w:hAnsiTheme="majorBidi" w:cstheme="majorBidi"/>
          <w:lang w:val="en"/>
        </w:rPr>
        <w:t>,</w:t>
      </w:r>
      <w:r>
        <w:rPr>
          <w:rStyle w:val="FootnoteReference"/>
          <w:rFonts w:asciiTheme="majorBidi" w:hAnsiTheme="majorBidi" w:cstheme="majorBidi"/>
          <w:lang w:val="en"/>
        </w:rPr>
        <w:footnoteReference w:id="1"/>
      </w:r>
      <w:r>
        <w:rPr>
          <w:rFonts w:asciiTheme="majorBidi" w:hAnsiTheme="majorBidi" w:cstheme="majorBidi"/>
          <w:lang w:val="en"/>
        </w:rPr>
        <w:t xml:space="preserve"> </w:t>
      </w:r>
      <w:r w:rsidR="00B66B69">
        <w:rPr>
          <w:rFonts w:asciiTheme="majorBidi" w:hAnsiTheme="majorBidi" w:cstheme="majorBidi"/>
          <w:lang w:val="en"/>
        </w:rPr>
        <w:t>who, however, did</w:t>
      </w:r>
      <w:r>
        <w:rPr>
          <w:rFonts w:asciiTheme="majorBidi" w:hAnsiTheme="majorBidi" w:cstheme="majorBidi"/>
          <w:lang w:val="en"/>
        </w:rPr>
        <w:t xml:space="preserve"> not associat</w:t>
      </w:r>
      <w:r w:rsidR="00B66B69">
        <w:rPr>
          <w:rFonts w:asciiTheme="majorBidi" w:hAnsiTheme="majorBidi" w:cstheme="majorBidi"/>
          <w:lang w:val="en"/>
        </w:rPr>
        <w:t>e them</w:t>
      </w:r>
      <w:r>
        <w:rPr>
          <w:rFonts w:asciiTheme="majorBidi" w:hAnsiTheme="majorBidi" w:cstheme="majorBidi"/>
          <w:lang w:val="en"/>
        </w:rPr>
        <w:t xml:space="preserve"> with a specific text of Genesis or Exodus. Fortunately, we are now privileged to have access to new images that were not accessible to the editors. </w:t>
      </w:r>
      <w:r w:rsidR="00C85D84">
        <w:rPr>
          <w:rFonts w:asciiTheme="majorBidi" w:hAnsiTheme="majorBidi" w:cstheme="majorBidi"/>
          <w:lang w:val="en"/>
        </w:rPr>
        <w:t>A</w:t>
      </w:r>
      <w:r>
        <w:rPr>
          <w:rFonts w:asciiTheme="majorBidi" w:hAnsiTheme="majorBidi" w:cstheme="majorBidi"/>
          <w:lang w:val="en"/>
        </w:rPr>
        <w:t xml:space="preserve">vailable </w:t>
      </w:r>
      <w:r w:rsidR="00C85D84">
        <w:rPr>
          <w:rFonts w:asciiTheme="majorBidi" w:hAnsiTheme="majorBidi" w:cstheme="majorBidi"/>
          <w:lang w:val="en"/>
        </w:rPr>
        <w:t xml:space="preserve">from the </w:t>
      </w:r>
      <w:r w:rsidRPr="00A87454">
        <w:rPr>
          <w:rFonts w:asciiTheme="majorBidi" w:hAnsiTheme="majorBidi" w:cstheme="majorBidi"/>
        </w:rPr>
        <w:t>Leon Levi Dead Sea Scrolls Digital Library of Israel Antiquities Authority</w:t>
      </w:r>
      <w:r>
        <w:rPr>
          <w:rFonts w:asciiTheme="majorBidi" w:hAnsiTheme="majorBidi" w:cstheme="majorBidi"/>
        </w:rPr>
        <w:t xml:space="preserve">, </w:t>
      </w:r>
      <w:r w:rsidR="00C85D84">
        <w:rPr>
          <w:rFonts w:asciiTheme="majorBidi" w:hAnsiTheme="majorBidi" w:cstheme="majorBidi"/>
        </w:rPr>
        <w:t xml:space="preserve">these images </w:t>
      </w:r>
      <w:r w:rsidR="00C85D84">
        <w:rPr>
          <w:rFonts w:asciiTheme="majorBidi" w:hAnsiTheme="majorBidi" w:cstheme="majorBidi"/>
          <w:lang w:val="en"/>
        </w:rPr>
        <w:t xml:space="preserve">allow </w:t>
      </w:r>
      <w:r>
        <w:rPr>
          <w:rFonts w:asciiTheme="majorBidi" w:hAnsiTheme="majorBidi" w:cstheme="majorBidi"/>
          <w:lang w:val="en"/>
        </w:rPr>
        <w:t xml:space="preserve">us to improve </w:t>
      </w:r>
      <w:r w:rsidR="00C85D84">
        <w:rPr>
          <w:rFonts w:asciiTheme="majorBidi" w:hAnsiTheme="majorBidi" w:cstheme="majorBidi"/>
          <w:lang w:val="en"/>
        </w:rPr>
        <w:t xml:space="preserve">our </w:t>
      </w:r>
      <w:r>
        <w:rPr>
          <w:rFonts w:asciiTheme="majorBidi" w:hAnsiTheme="majorBidi" w:cstheme="majorBidi"/>
          <w:lang w:val="en"/>
        </w:rPr>
        <w:t xml:space="preserve">readings and offer new identifications. Other fragments discussed in this study have not yet been published. Some were cataloged </w:t>
      </w:r>
      <w:r w:rsidR="00C85D84">
        <w:rPr>
          <w:rFonts w:asciiTheme="majorBidi" w:hAnsiTheme="majorBidi" w:cstheme="majorBidi"/>
          <w:lang w:val="en"/>
        </w:rPr>
        <w:t xml:space="preserve">but not transcribed </w:t>
      </w:r>
      <w:r>
        <w:rPr>
          <w:rFonts w:asciiTheme="majorBidi" w:hAnsiTheme="majorBidi" w:cstheme="majorBidi"/>
          <w:lang w:val="en"/>
        </w:rPr>
        <w:t>by the editors</w:t>
      </w:r>
      <w:r w:rsidR="00C85D84">
        <w:rPr>
          <w:rFonts w:asciiTheme="majorBidi" w:hAnsiTheme="majorBidi" w:cstheme="majorBidi"/>
          <w:lang w:val="en"/>
        </w:rPr>
        <w:t>,</w:t>
      </w:r>
      <w:r>
        <w:rPr>
          <w:rFonts w:asciiTheme="majorBidi" w:hAnsiTheme="majorBidi" w:cstheme="majorBidi"/>
          <w:lang w:val="en"/>
        </w:rPr>
        <w:t xml:space="preserve"> while others were not assigned to 4Q11 at all.   </w:t>
      </w:r>
    </w:p>
    <w:p w14:paraId="307F8182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lang w:val="en"/>
        </w:rPr>
      </w:pPr>
    </w:p>
    <w:p w14:paraId="269825B4" w14:textId="77777777" w:rsidR="00142DA3" w:rsidRPr="00A51E70" w:rsidRDefault="00142DA3" w:rsidP="00142DA3">
      <w:pPr>
        <w:tabs>
          <w:tab w:val="left" w:pos="1134"/>
          <w:tab w:val="left" w:pos="4253"/>
        </w:tabs>
        <w:bidi w:val="0"/>
        <w:spacing w:line="360" w:lineRule="auto"/>
        <w:jc w:val="center"/>
        <w:rPr>
          <w:rFonts w:asciiTheme="majorBidi" w:hAnsiTheme="majorBidi" w:cstheme="majorBidi"/>
          <w:smallCaps/>
          <w:lang w:val="en-GB"/>
        </w:rPr>
      </w:pPr>
      <w:r>
        <w:rPr>
          <w:rFonts w:asciiTheme="majorBidi" w:hAnsiTheme="majorBidi" w:cstheme="majorBidi"/>
          <w:smallCaps/>
          <w:lang w:val="en-GB"/>
        </w:rPr>
        <w:t>1. Material Evidence and the Official Edition of 4Q11</w:t>
      </w:r>
    </w:p>
    <w:p w14:paraId="35EB3D30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1C972944" w14:textId="6E5D6653" w:rsidR="00142DA3" w:rsidRDefault="00142DA3" w:rsidP="00D60B0F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en"/>
        </w:rPr>
        <w:t xml:space="preserve">According to Skehan, Ulrich, and Sanderson, 4Q11 </w:t>
      </w:r>
      <w:r w:rsidR="00C85D84">
        <w:rPr>
          <w:rFonts w:asciiTheme="majorBidi" w:hAnsiTheme="majorBidi" w:cstheme="majorBidi"/>
        </w:rPr>
        <w:t xml:space="preserve">consists of </w:t>
      </w:r>
      <w:r>
        <w:rPr>
          <w:rFonts w:asciiTheme="majorBidi" w:hAnsiTheme="majorBidi" w:cstheme="majorBidi"/>
        </w:rPr>
        <w:t>sixty-four fragments.</w:t>
      </w:r>
      <w:r>
        <w:rPr>
          <w:rFonts w:asciiTheme="majorBidi" w:hAnsiTheme="majorBidi" w:cstheme="majorBidi"/>
          <w:lang w:val="en"/>
        </w:rPr>
        <w:t xml:space="preserve"> </w:t>
      </w:r>
      <w:r>
        <w:rPr>
          <w:rFonts w:asciiTheme="majorBidi" w:hAnsiTheme="majorBidi" w:cstheme="majorBidi"/>
        </w:rPr>
        <w:t xml:space="preserve">It </w:t>
      </w:r>
      <w:r>
        <w:rPr>
          <w:rFonts w:asciiTheme="majorBidi" w:hAnsiTheme="majorBidi" w:cstheme="majorBidi"/>
          <w:lang w:val="en"/>
        </w:rPr>
        <w:t xml:space="preserve">was written in paleo-Hebrew script, </w:t>
      </w:r>
      <w:r w:rsidR="00DF40B7">
        <w:rPr>
          <w:rFonts w:asciiTheme="majorBidi" w:hAnsiTheme="majorBidi" w:cstheme="majorBidi"/>
          <w:lang w:val="en"/>
        </w:rPr>
        <w:t xml:space="preserve">and has been dated </w:t>
      </w:r>
      <w:r>
        <w:rPr>
          <w:rFonts w:asciiTheme="majorBidi" w:hAnsiTheme="majorBidi" w:cstheme="majorBidi"/>
          <w:lang w:val="en"/>
        </w:rPr>
        <w:t>paleographically to the last century BCE.</w:t>
      </w:r>
      <w:r>
        <w:rPr>
          <w:rStyle w:val="FootnoteReference"/>
          <w:rFonts w:asciiTheme="majorBidi" w:hAnsiTheme="majorBidi" w:cstheme="majorBidi"/>
          <w:lang w:val="en"/>
        </w:rPr>
        <w:footnoteReference w:id="2"/>
      </w:r>
      <w:r>
        <w:rPr>
          <w:rFonts w:asciiTheme="majorBidi" w:hAnsiTheme="majorBidi" w:cstheme="majorBidi"/>
          <w:lang w:val="en"/>
        </w:rPr>
        <w:t xml:space="preserve"> </w:t>
      </w:r>
      <w:r w:rsidR="00AB7E13" w:rsidRPr="00AB7E13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 </w:t>
      </w:r>
      <w:r w:rsidR="003658D5">
        <w:rPr>
          <w:rFonts w:asciiTheme="majorBidi" w:hAnsiTheme="majorBidi" w:cstheme="majorBidi"/>
        </w:rPr>
        <w:t>D</w:t>
      </w:r>
      <w:r w:rsidR="003658D5" w:rsidRPr="00AF22AA">
        <w:rPr>
          <w:rFonts w:asciiTheme="majorBidi" w:hAnsiTheme="majorBidi" w:cstheme="majorBidi"/>
        </w:rPr>
        <w:t xml:space="preserve">ue </w:t>
      </w:r>
      <w:r w:rsidRPr="00AF22AA">
        <w:rPr>
          <w:rFonts w:asciiTheme="majorBidi" w:hAnsiTheme="majorBidi" w:cstheme="majorBidi"/>
        </w:rPr>
        <w:t xml:space="preserve">to the </w:t>
      </w:r>
      <w:r>
        <w:rPr>
          <w:rFonts w:asciiTheme="majorBidi" w:hAnsiTheme="majorBidi" w:cstheme="majorBidi"/>
        </w:rPr>
        <w:t xml:space="preserve">large </w:t>
      </w:r>
      <w:r w:rsidR="00AB7E13">
        <w:rPr>
          <w:rFonts w:asciiTheme="majorBidi" w:hAnsiTheme="majorBidi" w:cstheme="majorBidi"/>
        </w:rPr>
        <w:t xml:space="preserve">size of the writing </w:t>
      </w:r>
      <w:r>
        <w:rPr>
          <w:rFonts w:asciiTheme="majorBidi" w:hAnsiTheme="majorBidi" w:cstheme="majorBidi"/>
        </w:rPr>
        <w:t>block</w:t>
      </w:r>
      <w:r w:rsidRPr="00AF22AA">
        <w:rPr>
          <w:rFonts w:asciiTheme="majorBidi" w:hAnsiTheme="majorBidi" w:cstheme="majorBidi"/>
        </w:rPr>
        <w:t xml:space="preserve">, the </w:t>
      </w:r>
      <w:r w:rsidR="00D60B0F">
        <w:rPr>
          <w:rFonts w:asciiTheme="majorBidi" w:hAnsiTheme="majorBidi" w:cstheme="majorBidi"/>
        </w:rPr>
        <w:t>large bottom margins</w:t>
      </w:r>
      <w:r w:rsidRPr="00AF22AA">
        <w:rPr>
          <w:rFonts w:asciiTheme="majorBidi" w:hAnsiTheme="majorBidi" w:cstheme="majorBidi"/>
        </w:rPr>
        <w:t xml:space="preserve">, the skilled script, and the limited </w:t>
      </w:r>
      <w:r w:rsidR="00AB7E13">
        <w:rPr>
          <w:rFonts w:asciiTheme="majorBidi" w:hAnsiTheme="majorBidi" w:cstheme="majorBidi"/>
        </w:rPr>
        <w:t>number</w:t>
      </w:r>
      <w:r w:rsidR="00AB7E13" w:rsidRPr="00AF22AA">
        <w:rPr>
          <w:rFonts w:asciiTheme="majorBidi" w:hAnsiTheme="majorBidi" w:cstheme="majorBidi"/>
        </w:rPr>
        <w:t xml:space="preserve"> </w:t>
      </w:r>
      <w:r w:rsidRPr="00AF22AA">
        <w:rPr>
          <w:rFonts w:asciiTheme="majorBidi" w:hAnsiTheme="majorBidi" w:cstheme="majorBidi"/>
        </w:rPr>
        <w:t>of scribal interventions</w:t>
      </w:r>
      <w:r w:rsidR="003658D5">
        <w:rPr>
          <w:rFonts w:asciiTheme="majorBidi" w:hAnsiTheme="majorBidi" w:cstheme="majorBidi"/>
        </w:rPr>
        <w:t>,</w:t>
      </w:r>
      <w:r w:rsidR="003658D5" w:rsidRPr="003658D5">
        <w:rPr>
          <w:rFonts w:asciiTheme="majorBidi" w:hAnsiTheme="majorBidi" w:cstheme="majorBidi"/>
        </w:rPr>
        <w:t xml:space="preserve"> </w:t>
      </w:r>
      <w:r w:rsidR="003658D5">
        <w:rPr>
          <w:rFonts w:asciiTheme="majorBidi" w:hAnsiTheme="majorBidi" w:cstheme="majorBidi"/>
        </w:rPr>
        <w:t xml:space="preserve">Emanuel Tov classified 4Q11 as a </w:t>
      </w:r>
      <w:r w:rsidR="003658D5" w:rsidRPr="00445D16">
        <w:rPr>
          <w:rFonts w:asciiTheme="majorBidi" w:hAnsiTheme="majorBidi" w:cstheme="majorBidi"/>
          <w:i/>
          <w:iCs/>
        </w:rPr>
        <w:t>De Luxe</w:t>
      </w:r>
      <w:r w:rsidR="003658D5">
        <w:rPr>
          <w:rFonts w:asciiTheme="majorBidi" w:hAnsiTheme="majorBidi" w:cstheme="majorBidi"/>
        </w:rPr>
        <w:t xml:space="preserve"> edition</w:t>
      </w:r>
      <w:r w:rsidRPr="00AF22AA">
        <w:rPr>
          <w:rFonts w:asciiTheme="majorBidi" w:hAnsiTheme="majorBidi" w:cstheme="majorBidi"/>
        </w:rPr>
        <w:t>.</w:t>
      </w:r>
      <w:r>
        <w:rPr>
          <w:rStyle w:val="FootnoteReference"/>
          <w:rFonts w:asciiTheme="majorBidi" w:hAnsiTheme="majorBidi" w:cstheme="majorBidi"/>
        </w:rPr>
        <w:footnoteReference w:id="3"/>
      </w:r>
      <w:r>
        <w:rPr>
          <w:rFonts w:asciiTheme="majorBidi" w:hAnsiTheme="majorBidi" w:cstheme="majorBidi"/>
        </w:rPr>
        <w:t xml:space="preserve"> </w:t>
      </w:r>
    </w:p>
    <w:p w14:paraId="6E16CC79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7BAF35B0" w14:textId="77777777" w:rsidR="00142DA3" w:rsidRPr="00575222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0BABAB55" w14:textId="68AC3DC0" w:rsidR="00142DA3" w:rsidRDefault="00E51638" w:rsidP="00D60B0F">
      <w:pPr>
        <w:bidi w:val="0"/>
        <w:spacing w:line="360" w:lineRule="auto"/>
        <w:ind w:firstLine="72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T</w:t>
      </w:r>
      <w:r w:rsidR="00142DA3" w:rsidRPr="00E1587A">
        <w:rPr>
          <w:rFonts w:asciiTheme="majorBidi" w:hAnsiTheme="majorBidi" w:cstheme="majorBidi"/>
        </w:rPr>
        <w:t xml:space="preserve">he number of fragments that belong to 4Q11 </w:t>
      </w:r>
      <w:r w:rsidR="003658D5">
        <w:rPr>
          <w:rFonts w:asciiTheme="majorBidi" w:hAnsiTheme="majorBidi" w:cstheme="majorBidi"/>
        </w:rPr>
        <w:t>but</w:t>
      </w:r>
      <w:r w:rsidR="003658D5" w:rsidRPr="00E1587A">
        <w:rPr>
          <w:rFonts w:asciiTheme="majorBidi" w:hAnsiTheme="majorBidi" w:cstheme="majorBidi"/>
        </w:rPr>
        <w:t xml:space="preserve"> </w:t>
      </w:r>
      <w:r w:rsidR="00142DA3" w:rsidRPr="00E1587A">
        <w:rPr>
          <w:rFonts w:asciiTheme="majorBidi" w:hAnsiTheme="majorBidi" w:cstheme="majorBidi"/>
        </w:rPr>
        <w:t>were not included in the official edition is</w:t>
      </w:r>
      <w:r>
        <w:rPr>
          <w:rFonts w:asciiTheme="majorBidi" w:hAnsiTheme="majorBidi" w:cstheme="majorBidi"/>
        </w:rPr>
        <w:t>, in fact,</w:t>
      </w:r>
      <w:r w:rsidR="00142DA3" w:rsidRPr="00E1587A">
        <w:rPr>
          <w:rFonts w:asciiTheme="majorBidi" w:hAnsiTheme="majorBidi" w:cstheme="majorBidi"/>
        </w:rPr>
        <w:t xml:space="preserve"> even greater.</w:t>
      </w:r>
      <w:r w:rsidR="00142DA3">
        <w:rPr>
          <w:rFonts w:asciiTheme="majorBidi" w:hAnsiTheme="majorBidi" w:cstheme="majorBidi"/>
        </w:rPr>
        <w:t xml:space="preserve"> IAA plate 395, </w:t>
      </w:r>
      <w:r>
        <w:rPr>
          <w:rFonts w:asciiTheme="majorBidi" w:hAnsiTheme="majorBidi" w:cstheme="majorBidi"/>
        </w:rPr>
        <w:t xml:space="preserve">which is </w:t>
      </w:r>
      <w:r w:rsidR="00142DA3">
        <w:rPr>
          <w:rFonts w:asciiTheme="majorBidi" w:hAnsiTheme="majorBidi" w:cstheme="majorBidi"/>
        </w:rPr>
        <w:t xml:space="preserve">associated with 4Q11, </w:t>
      </w:r>
      <w:r>
        <w:rPr>
          <w:rFonts w:asciiTheme="majorBidi" w:hAnsiTheme="majorBidi" w:cstheme="majorBidi"/>
        </w:rPr>
        <w:lastRenderedPageBreak/>
        <w:t>comprise</w:t>
      </w:r>
      <w:r w:rsidR="00B53CBC">
        <w:rPr>
          <w:rFonts w:asciiTheme="majorBidi" w:hAnsiTheme="majorBidi" w:cstheme="majorBidi"/>
        </w:rPr>
        <w:t>s</w:t>
      </w:r>
      <w:r>
        <w:rPr>
          <w:rFonts w:asciiTheme="majorBidi" w:hAnsiTheme="majorBidi" w:cstheme="majorBidi"/>
        </w:rPr>
        <w:t xml:space="preserve"> </w:t>
      </w:r>
      <w:r w:rsidR="00142DA3">
        <w:rPr>
          <w:rFonts w:asciiTheme="majorBidi" w:hAnsiTheme="majorBidi" w:cstheme="majorBidi"/>
        </w:rPr>
        <w:t>twenty-eight fragments.</w:t>
      </w:r>
      <w:r w:rsidR="00142DA3">
        <w:rPr>
          <w:rStyle w:val="FootnoteReference"/>
          <w:rFonts w:asciiTheme="majorBidi" w:hAnsiTheme="majorBidi" w:cstheme="majorBidi"/>
        </w:rPr>
        <w:footnoteReference w:id="4"/>
      </w:r>
      <w:r w:rsidR="00142DA3">
        <w:rPr>
          <w:rFonts w:asciiTheme="majorBidi" w:hAnsiTheme="majorBidi" w:cstheme="majorBidi"/>
        </w:rPr>
        <w:t xml:space="preserve"> O</w:t>
      </w:r>
      <w:r w:rsidR="00142DA3" w:rsidRPr="00E1587A">
        <w:rPr>
          <w:rFonts w:asciiTheme="majorBidi" w:hAnsiTheme="majorBidi" w:cstheme="majorBidi"/>
        </w:rPr>
        <w:t>f the</w:t>
      </w:r>
      <w:r w:rsidR="00142DA3">
        <w:rPr>
          <w:rFonts w:asciiTheme="majorBidi" w:hAnsiTheme="majorBidi" w:cstheme="majorBidi"/>
        </w:rPr>
        <w:t xml:space="preserve">se, </w:t>
      </w:r>
      <w:r w:rsidR="00142DA3" w:rsidRPr="00E1587A">
        <w:rPr>
          <w:rFonts w:asciiTheme="majorBidi" w:hAnsiTheme="majorBidi" w:cstheme="majorBidi"/>
        </w:rPr>
        <w:t xml:space="preserve">only </w:t>
      </w:r>
      <w:r w:rsidR="00142DA3">
        <w:rPr>
          <w:rFonts w:asciiTheme="majorBidi" w:hAnsiTheme="majorBidi" w:cstheme="majorBidi"/>
        </w:rPr>
        <w:t>six</w:t>
      </w:r>
      <w:r w:rsidR="00142DA3" w:rsidRPr="00E1587A">
        <w:rPr>
          <w:rFonts w:asciiTheme="majorBidi" w:hAnsiTheme="majorBidi" w:cstheme="majorBidi"/>
        </w:rPr>
        <w:t xml:space="preserve"> fragments </w:t>
      </w:r>
      <w:r w:rsidR="00B53CBC">
        <w:rPr>
          <w:rFonts w:asciiTheme="majorBidi" w:hAnsiTheme="majorBidi" w:cstheme="majorBidi"/>
        </w:rPr>
        <w:t>a</w:t>
      </w:r>
      <w:r w:rsidR="00B53CBC" w:rsidRPr="00E1587A">
        <w:rPr>
          <w:rFonts w:asciiTheme="majorBidi" w:hAnsiTheme="majorBidi" w:cstheme="majorBidi"/>
        </w:rPr>
        <w:t xml:space="preserve">re </w:t>
      </w:r>
      <w:r w:rsidR="00142DA3" w:rsidRPr="00E1587A">
        <w:rPr>
          <w:rFonts w:asciiTheme="majorBidi" w:hAnsiTheme="majorBidi" w:cstheme="majorBidi"/>
        </w:rPr>
        <w:t>assigned to 4Q11 in the official edition.</w:t>
      </w:r>
      <w:r w:rsidR="00142DA3">
        <w:rPr>
          <w:rStyle w:val="FootnoteReference"/>
          <w:rFonts w:asciiTheme="majorBidi" w:hAnsiTheme="majorBidi" w:cstheme="majorBidi"/>
        </w:rPr>
        <w:footnoteReference w:id="5"/>
      </w:r>
      <w:r w:rsidR="00142DA3">
        <w:rPr>
          <w:rFonts w:asciiTheme="majorBidi" w:hAnsiTheme="majorBidi" w:cstheme="majorBidi"/>
        </w:rPr>
        <w:t xml:space="preserve"> However, t</w:t>
      </w:r>
      <w:r w:rsidR="00142DA3" w:rsidRPr="00E1587A">
        <w:rPr>
          <w:rFonts w:asciiTheme="majorBidi" w:hAnsiTheme="majorBidi" w:cstheme="majorBidi"/>
        </w:rPr>
        <w:t xml:space="preserve">he other </w:t>
      </w:r>
      <w:r w:rsidR="00142DA3">
        <w:rPr>
          <w:rFonts w:asciiTheme="majorBidi" w:hAnsiTheme="majorBidi" w:cstheme="majorBidi"/>
        </w:rPr>
        <w:t>twenty-two</w:t>
      </w:r>
      <w:r w:rsidR="00142DA3" w:rsidRPr="00E1587A">
        <w:rPr>
          <w:rFonts w:asciiTheme="majorBidi" w:hAnsiTheme="majorBidi" w:cstheme="majorBidi"/>
        </w:rPr>
        <w:t xml:space="preserve"> belong to 4Q11</w:t>
      </w:r>
      <w:r>
        <w:rPr>
          <w:rFonts w:asciiTheme="majorBidi" w:hAnsiTheme="majorBidi" w:cstheme="majorBidi"/>
        </w:rPr>
        <w:t xml:space="preserve"> as well </w:t>
      </w:r>
      <w:r w:rsidR="003658D5">
        <w:rPr>
          <w:rFonts w:asciiTheme="majorBidi" w:hAnsiTheme="majorBidi" w:cstheme="majorBidi"/>
        </w:rPr>
        <w:t>because</w:t>
      </w:r>
      <w:r w:rsidRPr="00E1587A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they</w:t>
      </w:r>
      <w:r w:rsidR="00142DA3" w:rsidRPr="00E1587A">
        <w:rPr>
          <w:rFonts w:asciiTheme="majorBidi" w:hAnsiTheme="majorBidi" w:cstheme="majorBidi"/>
        </w:rPr>
        <w:t xml:space="preserve"> share material features. The leather surface of these fragments </w:t>
      </w:r>
      <w:r w:rsidR="0038748D">
        <w:rPr>
          <w:rFonts w:asciiTheme="majorBidi" w:hAnsiTheme="majorBidi" w:cstheme="majorBidi"/>
        </w:rPr>
        <w:t xml:space="preserve">and </w:t>
      </w:r>
      <w:r>
        <w:rPr>
          <w:rFonts w:asciiTheme="majorBidi" w:hAnsiTheme="majorBidi" w:cstheme="majorBidi"/>
        </w:rPr>
        <w:t xml:space="preserve">the deterioration of </w:t>
      </w:r>
      <w:r w:rsidR="00142DA3">
        <w:rPr>
          <w:rFonts w:asciiTheme="majorBidi" w:hAnsiTheme="majorBidi" w:cstheme="majorBidi"/>
        </w:rPr>
        <w:t>the in</w:t>
      </w:r>
      <w:r>
        <w:rPr>
          <w:rFonts w:asciiTheme="majorBidi" w:hAnsiTheme="majorBidi" w:cstheme="majorBidi"/>
        </w:rPr>
        <w:t>k in cases where traces of</w:t>
      </w:r>
      <w:r w:rsidR="00142DA3" w:rsidRPr="00E1587A">
        <w:rPr>
          <w:rFonts w:asciiTheme="majorBidi" w:hAnsiTheme="majorBidi" w:cstheme="majorBidi"/>
        </w:rPr>
        <w:t xml:space="preserve"> letters </w:t>
      </w:r>
      <w:r>
        <w:rPr>
          <w:rFonts w:asciiTheme="majorBidi" w:hAnsiTheme="majorBidi" w:cstheme="majorBidi"/>
        </w:rPr>
        <w:t>have been</w:t>
      </w:r>
      <w:r w:rsidRPr="00E1587A">
        <w:rPr>
          <w:rFonts w:asciiTheme="majorBidi" w:hAnsiTheme="majorBidi" w:cstheme="majorBidi"/>
        </w:rPr>
        <w:t xml:space="preserve"> </w:t>
      </w:r>
      <w:r w:rsidR="00142DA3" w:rsidRPr="00E1587A">
        <w:rPr>
          <w:rFonts w:asciiTheme="majorBidi" w:hAnsiTheme="majorBidi" w:cstheme="majorBidi"/>
        </w:rPr>
        <w:t>preserved</w:t>
      </w:r>
      <w:r w:rsidRPr="00E1587A">
        <w:rPr>
          <w:rFonts w:asciiTheme="majorBidi" w:hAnsiTheme="majorBidi" w:cstheme="majorBidi"/>
        </w:rPr>
        <w:t xml:space="preserve"> </w:t>
      </w:r>
      <w:r w:rsidR="00142DA3" w:rsidRPr="00E1587A">
        <w:rPr>
          <w:rFonts w:asciiTheme="majorBidi" w:hAnsiTheme="majorBidi" w:cstheme="majorBidi"/>
        </w:rPr>
        <w:t xml:space="preserve">correspond to the materiality of </w:t>
      </w:r>
      <w:r>
        <w:rPr>
          <w:rFonts w:asciiTheme="majorBidi" w:hAnsiTheme="majorBidi" w:cstheme="majorBidi"/>
        </w:rPr>
        <w:t xml:space="preserve">the </w:t>
      </w:r>
      <w:r w:rsidR="00142DA3" w:rsidRPr="00E1587A">
        <w:rPr>
          <w:rFonts w:asciiTheme="majorBidi" w:hAnsiTheme="majorBidi" w:cstheme="majorBidi"/>
        </w:rPr>
        <w:t xml:space="preserve">4Q11 fragments. </w:t>
      </w:r>
      <w:r w:rsidR="00142DA3" w:rsidRPr="00A45241">
        <w:rPr>
          <w:rFonts w:asciiTheme="majorBidi" w:hAnsiTheme="majorBidi" w:cstheme="majorBidi"/>
        </w:rPr>
        <w:t xml:space="preserve">Some </w:t>
      </w:r>
      <w:r w:rsidR="0038748D">
        <w:rPr>
          <w:rFonts w:asciiTheme="majorBidi" w:hAnsiTheme="majorBidi" w:cstheme="majorBidi"/>
        </w:rPr>
        <w:t xml:space="preserve">of the fragments </w:t>
      </w:r>
      <w:r w:rsidR="00142DA3" w:rsidRPr="00A45241">
        <w:rPr>
          <w:rFonts w:asciiTheme="majorBidi" w:hAnsiTheme="majorBidi" w:cstheme="majorBidi"/>
        </w:rPr>
        <w:t>are also paleog</w:t>
      </w:r>
      <w:r w:rsidR="00142DA3">
        <w:rPr>
          <w:rFonts w:asciiTheme="majorBidi" w:hAnsiTheme="majorBidi" w:cstheme="majorBidi"/>
        </w:rPr>
        <w:t>raphically compatible with 4Q11</w:t>
      </w:r>
      <w:r w:rsidR="00142DA3" w:rsidRPr="00EF1588">
        <w:rPr>
          <w:rFonts w:asciiTheme="majorBidi" w:hAnsiTheme="majorBidi" w:cstheme="majorBidi"/>
        </w:rPr>
        <w:t xml:space="preserve">. Although most of </w:t>
      </w:r>
      <w:r w:rsidR="00317EA8">
        <w:rPr>
          <w:rFonts w:asciiTheme="majorBidi" w:hAnsiTheme="majorBidi" w:cstheme="majorBidi"/>
        </w:rPr>
        <w:t xml:space="preserve">the </w:t>
      </w:r>
      <w:r w:rsidR="00142DA3" w:rsidRPr="00EF1588">
        <w:rPr>
          <w:rFonts w:asciiTheme="majorBidi" w:hAnsiTheme="majorBidi" w:cstheme="majorBidi"/>
        </w:rPr>
        <w:t xml:space="preserve">plate 395 fragments are </w:t>
      </w:r>
      <w:r w:rsidR="00317EA8">
        <w:rPr>
          <w:rFonts w:asciiTheme="majorBidi" w:hAnsiTheme="majorBidi" w:cstheme="majorBidi"/>
        </w:rPr>
        <w:t>barely</w:t>
      </w:r>
      <w:r w:rsidR="00317EA8" w:rsidRPr="00EF1588">
        <w:rPr>
          <w:rFonts w:asciiTheme="majorBidi" w:hAnsiTheme="majorBidi" w:cstheme="majorBidi"/>
        </w:rPr>
        <w:t xml:space="preserve"> </w:t>
      </w:r>
      <w:r w:rsidR="00142DA3" w:rsidRPr="00EF1588">
        <w:rPr>
          <w:rFonts w:asciiTheme="majorBidi" w:hAnsiTheme="majorBidi" w:cstheme="majorBidi"/>
        </w:rPr>
        <w:t xml:space="preserve">legible, </w:t>
      </w:r>
      <w:r w:rsidR="00317EA8" w:rsidRPr="00EF1588">
        <w:rPr>
          <w:rFonts w:asciiTheme="majorBidi" w:hAnsiTheme="majorBidi" w:cstheme="majorBidi"/>
        </w:rPr>
        <w:t>sporadic</w:t>
      </w:r>
      <w:r w:rsidR="00317EA8">
        <w:rPr>
          <w:rFonts w:asciiTheme="majorBidi" w:hAnsiTheme="majorBidi" w:cstheme="majorBidi"/>
        </w:rPr>
        <w:t xml:space="preserve">ally preserved </w:t>
      </w:r>
      <w:r w:rsidR="00142DA3" w:rsidRPr="00EF1588">
        <w:rPr>
          <w:rFonts w:asciiTheme="majorBidi" w:hAnsiTheme="majorBidi" w:cstheme="majorBidi"/>
        </w:rPr>
        <w:t xml:space="preserve">letters </w:t>
      </w:r>
      <w:r w:rsidR="00317EA8">
        <w:rPr>
          <w:rFonts w:asciiTheme="majorBidi" w:hAnsiTheme="majorBidi" w:cstheme="majorBidi"/>
        </w:rPr>
        <w:t>do appear in some</w:t>
      </w:r>
      <w:r w:rsidR="00142DA3" w:rsidRPr="00EF1588">
        <w:rPr>
          <w:rFonts w:asciiTheme="majorBidi" w:hAnsiTheme="majorBidi" w:cstheme="majorBidi"/>
        </w:rPr>
        <w:t>. These letters correspond to the script of 4Q11</w:t>
      </w:r>
      <w:r w:rsidR="00317EA8">
        <w:rPr>
          <w:rFonts w:asciiTheme="majorBidi" w:hAnsiTheme="majorBidi" w:cstheme="majorBidi"/>
        </w:rPr>
        <w:t>,</w:t>
      </w:r>
      <w:r w:rsidR="00142DA3" w:rsidRPr="00EF1588">
        <w:rPr>
          <w:rFonts w:asciiTheme="majorBidi" w:hAnsiTheme="majorBidi" w:cstheme="majorBidi"/>
        </w:rPr>
        <w:t xml:space="preserve"> </w:t>
      </w:r>
      <w:r w:rsidR="00317EA8" w:rsidRPr="00EF1588">
        <w:rPr>
          <w:rFonts w:asciiTheme="majorBidi" w:hAnsiTheme="majorBidi" w:cstheme="majorBidi"/>
        </w:rPr>
        <w:t>indicat</w:t>
      </w:r>
      <w:r w:rsidR="00317EA8">
        <w:rPr>
          <w:rFonts w:asciiTheme="majorBidi" w:hAnsiTheme="majorBidi" w:cstheme="majorBidi"/>
        </w:rPr>
        <w:t>ing</w:t>
      </w:r>
      <w:r w:rsidR="00317EA8" w:rsidRPr="00EF1588">
        <w:rPr>
          <w:rFonts w:asciiTheme="majorBidi" w:hAnsiTheme="majorBidi" w:cstheme="majorBidi"/>
        </w:rPr>
        <w:t xml:space="preserve"> </w:t>
      </w:r>
      <w:r w:rsidR="00142DA3" w:rsidRPr="00EF1588">
        <w:rPr>
          <w:rFonts w:asciiTheme="majorBidi" w:hAnsiTheme="majorBidi" w:cstheme="majorBidi"/>
        </w:rPr>
        <w:t>that the fragments derive from the same manuscript.</w:t>
      </w:r>
      <w:r w:rsidR="00142DA3">
        <w:rPr>
          <w:rFonts w:asciiTheme="majorBidi" w:hAnsiTheme="majorBidi" w:cstheme="majorBidi"/>
        </w:rPr>
        <w:t xml:space="preserve"> </w:t>
      </w:r>
      <w:r w:rsidR="00142DA3" w:rsidRPr="00E1587A">
        <w:rPr>
          <w:rFonts w:asciiTheme="majorBidi" w:hAnsiTheme="majorBidi" w:cstheme="majorBidi"/>
        </w:rPr>
        <w:t xml:space="preserve">Consequently, we </w:t>
      </w:r>
      <w:r w:rsidR="00B53CBC">
        <w:rPr>
          <w:rFonts w:asciiTheme="majorBidi" w:hAnsiTheme="majorBidi" w:cstheme="majorBidi"/>
        </w:rPr>
        <w:t>posit</w:t>
      </w:r>
      <w:r w:rsidR="00B53CBC" w:rsidRPr="00E1587A">
        <w:rPr>
          <w:rFonts w:asciiTheme="majorBidi" w:hAnsiTheme="majorBidi" w:cstheme="majorBidi"/>
        </w:rPr>
        <w:t xml:space="preserve"> </w:t>
      </w:r>
      <w:r w:rsidR="00142DA3" w:rsidRPr="00E1587A">
        <w:rPr>
          <w:rFonts w:asciiTheme="majorBidi" w:hAnsiTheme="majorBidi" w:cstheme="majorBidi"/>
        </w:rPr>
        <w:t xml:space="preserve">that 4Q11 comprises </w:t>
      </w:r>
      <w:r w:rsidR="00142DA3">
        <w:rPr>
          <w:rFonts w:asciiTheme="majorBidi" w:hAnsiTheme="majorBidi" w:cstheme="majorBidi"/>
        </w:rPr>
        <w:t>eighty-six</w:t>
      </w:r>
      <w:r w:rsidR="00142DA3" w:rsidRPr="00E1587A">
        <w:rPr>
          <w:rFonts w:asciiTheme="majorBidi" w:hAnsiTheme="majorBidi" w:cstheme="majorBidi"/>
        </w:rPr>
        <w:t xml:space="preserve"> fragments. </w:t>
      </w:r>
    </w:p>
    <w:p w14:paraId="53D8A23C" w14:textId="053A9FB2" w:rsidR="00142DA3" w:rsidRDefault="00142DA3" w:rsidP="00142DA3">
      <w:pPr>
        <w:bidi w:val="0"/>
        <w:spacing w:line="360" w:lineRule="auto"/>
        <w:ind w:firstLine="72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This study proposes new identifications </w:t>
      </w:r>
      <w:r w:rsidR="00B53CBC">
        <w:rPr>
          <w:rFonts w:asciiTheme="majorBidi" w:hAnsiTheme="majorBidi" w:cstheme="majorBidi"/>
        </w:rPr>
        <w:t xml:space="preserve">for </w:t>
      </w:r>
      <w:r>
        <w:rPr>
          <w:rFonts w:asciiTheme="majorBidi" w:hAnsiTheme="majorBidi" w:cstheme="majorBidi"/>
        </w:rPr>
        <w:t xml:space="preserve">fragments </w:t>
      </w:r>
      <w:r w:rsidR="00B53CBC">
        <w:rPr>
          <w:rFonts w:asciiTheme="majorBidi" w:hAnsiTheme="majorBidi" w:cstheme="majorBidi"/>
        </w:rPr>
        <w:t xml:space="preserve">in </w:t>
      </w:r>
      <w:r>
        <w:rPr>
          <w:rFonts w:asciiTheme="majorBidi" w:hAnsiTheme="majorBidi" w:cstheme="majorBidi"/>
        </w:rPr>
        <w:t xml:space="preserve">three categories: (1) </w:t>
      </w:r>
      <w:r w:rsidR="00B53CBC">
        <w:rPr>
          <w:rFonts w:asciiTheme="majorBidi" w:hAnsiTheme="majorBidi" w:cstheme="majorBidi"/>
        </w:rPr>
        <w:t>those</w:t>
      </w:r>
      <w:r>
        <w:rPr>
          <w:rFonts w:asciiTheme="majorBidi" w:hAnsiTheme="majorBidi" w:cstheme="majorBidi"/>
        </w:rPr>
        <w:t xml:space="preserve"> transcribed</w:t>
      </w:r>
      <w:r w:rsidR="00B53CBC">
        <w:rPr>
          <w:rFonts w:asciiTheme="majorBidi" w:hAnsiTheme="majorBidi" w:cstheme="majorBidi"/>
        </w:rPr>
        <w:t>,</w:t>
      </w:r>
      <w:r>
        <w:rPr>
          <w:rFonts w:asciiTheme="majorBidi" w:hAnsiTheme="majorBidi" w:cstheme="majorBidi"/>
        </w:rPr>
        <w:t xml:space="preserve"> </w:t>
      </w:r>
      <w:r w:rsidR="00B53CBC">
        <w:rPr>
          <w:rFonts w:asciiTheme="majorBidi" w:hAnsiTheme="majorBidi" w:cstheme="majorBidi"/>
        </w:rPr>
        <w:t xml:space="preserve">but not identified in </w:t>
      </w:r>
      <w:r>
        <w:rPr>
          <w:rFonts w:asciiTheme="majorBidi" w:hAnsiTheme="majorBidi" w:cstheme="majorBidi"/>
        </w:rPr>
        <w:t>the official edition (2.1);</w:t>
      </w:r>
      <w:r>
        <w:rPr>
          <w:rStyle w:val="FootnoteReference"/>
          <w:rFonts w:asciiTheme="majorBidi" w:hAnsiTheme="majorBidi" w:cstheme="majorBidi"/>
        </w:rPr>
        <w:footnoteReference w:id="6"/>
      </w:r>
      <w:r>
        <w:rPr>
          <w:rFonts w:asciiTheme="majorBidi" w:hAnsiTheme="majorBidi" w:cstheme="majorBidi"/>
        </w:rPr>
        <w:t xml:space="preserve"> (2) </w:t>
      </w:r>
      <w:r w:rsidR="00B53CBC">
        <w:rPr>
          <w:rFonts w:asciiTheme="majorBidi" w:hAnsiTheme="majorBidi" w:cstheme="majorBidi"/>
        </w:rPr>
        <w:t xml:space="preserve">those </w:t>
      </w:r>
      <w:r>
        <w:rPr>
          <w:rFonts w:asciiTheme="majorBidi" w:hAnsiTheme="majorBidi" w:cstheme="majorBidi"/>
        </w:rPr>
        <w:t>included</w:t>
      </w:r>
      <w:r w:rsidR="00B53CBC">
        <w:rPr>
          <w:rFonts w:asciiTheme="majorBidi" w:hAnsiTheme="majorBidi" w:cstheme="majorBidi"/>
        </w:rPr>
        <w:t>,</w:t>
      </w:r>
      <w:r>
        <w:rPr>
          <w:rFonts w:asciiTheme="majorBidi" w:hAnsiTheme="majorBidi" w:cstheme="majorBidi"/>
        </w:rPr>
        <w:t xml:space="preserve"> </w:t>
      </w:r>
      <w:r w:rsidR="00B53CBC">
        <w:rPr>
          <w:rFonts w:asciiTheme="majorBidi" w:hAnsiTheme="majorBidi" w:cstheme="majorBidi"/>
        </w:rPr>
        <w:t>but not transcribed or identified i</w:t>
      </w:r>
      <w:r>
        <w:rPr>
          <w:rFonts w:asciiTheme="majorBidi" w:hAnsiTheme="majorBidi" w:cstheme="majorBidi"/>
        </w:rPr>
        <w:t xml:space="preserve">n the official edition (2.2); (3) </w:t>
      </w:r>
      <w:r w:rsidR="00B53CBC">
        <w:rPr>
          <w:rFonts w:asciiTheme="majorBidi" w:hAnsiTheme="majorBidi" w:cstheme="majorBidi"/>
        </w:rPr>
        <w:t xml:space="preserve">unpublished </w:t>
      </w:r>
      <w:r>
        <w:rPr>
          <w:rFonts w:asciiTheme="majorBidi" w:hAnsiTheme="majorBidi" w:cstheme="majorBidi"/>
        </w:rPr>
        <w:t>fragments from IAA plate 395 (2.3). Unfortunately,</w:t>
      </w:r>
      <w:r w:rsidR="00B53CBC">
        <w:rPr>
          <w:rFonts w:asciiTheme="majorBidi" w:hAnsiTheme="majorBidi" w:cstheme="majorBidi"/>
        </w:rPr>
        <w:t xml:space="preserve"> of</w:t>
      </w:r>
      <w:r>
        <w:rPr>
          <w:rFonts w:asciiTheme="majorBidi" w:hAnsiTheme="majorBidi" w:cstheme="majorBidi"/>
        </w:rPr>
        <w:t xml:space="preserve"> the unpublished fragments, only three are identifiable. </w:t>
      </w:r>
      <w:r w:rsidRPr="00E1587A">
        <w:rPr>
          <w:rFonts w:asciiTheme="majorBidi" w:hAnsiTheme="majorBidi" w:cstheme="majorBidi"/>
        </w:rPr>
        <w:t xml:space="preserve">We </w:t>
      </w:r>
      <w:r w:rsidR="006830FB" w:rsidRPr="00E1587A">
        <w:rPr>
          <w:rFonts w:asciiTheme="majorBidi" w:hAnsiTheme="majorBidi" w:cstheme="majorBidi"/>
        </w:rPr>
        <w:t>number</w:t>
      </w:r>
      <w:r w:rsidRPr="00E1587A">
        <w:rPr>
          <w:rFonts w:asciiTheme="majorBidi" w:hAnsiTheme="majorBidi" w:cstheme="majorBidi"/>
        </w:rPr>
        <w:t xml:space="preserve"> the</w:t>
      </w:r>
      <w:r w:rsidR="00E15DD0">
        <w:rPr>
          <w:rFonts w:asciiTheme="majorBidi" w:hAnsiTheme="majorBidi" w:cstheme="majorBidi"/>
        </w:rPr>
        <w:t>se</w:t>
      </w:r>
      <w:r w:rsidRPr="00E1587A">
        <w:rPr>
          <w:rFonts w:asciiTheme="majorBidi" w:hAnsiTheme="majorBidi" w:cstheme="majorBidi"/>
        </w:rPr>
        <w:t xml:space="preserve"> fragments 65–67, </w:t>
      </w:r>
      <w:r w:rsidR="00E15DD0">
        <w:rPr>
          <w:rFonts w:asciiTheme="majorBidi" w:hAnsiTheme="majorBidi" w:cstheme="majorBidi"/>
        </w:rPr>
        <w:t>based on their</w:t>
      </w:r>
      <w:r w:rsidRPr="00E1587A">
        <w:rPr>
          <w:rFonts w:asciiTheme="majorBidi" w:hAnsiTheme="majorBidi" w:cstheme="majorBidi"/>
        </w:rPr>
        <w:t xml:space="preserve"> association w</w:t>
      </w:r>
      <w:r>
        <w:rPr>
          <w:rFonts w:asciiTheme="majorBidi" w:hAnsiTheme="majorBidi" w:cstheme="majorBidi"/>
        </w:rPr>
        <w:t>ith the text of Exodus</w:t>
      </w:r>
      <w:r w:rsidRPr="00E1587A">
        <w:rPr>
          <w:rFonts w:asciiTheme="majorBidi" w:hAnsiTheme="majorBidi" w:cstheme="majorBidi"/>
        </w:rPr>
        <w:t>.</w:t>
      </w:r>
    </w:p>
    <w:p w14:paraId="38D4C724" w14:textId="77777777" w:rsidR="00142DA3" w:rsidRPr="00EB1C1A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FF0000"/>
          <w:lang w:val="en"/>
        </w:rPr>
      </w:pPr>
    </w:p>
    <w:p w14:paraId="55E886C5" w14:textId="77777777" w:rsidR="00142DA3" w:rsidRDefault="00142DA3" w:rsidP="00142DA3">
      <w:pPr>
        <w:bidi w:val="0"/>
        <w:spacing w:line="360" w:lineRule="auto"/>
        <w:jc w:val="center"/>
        <w:rPr>
          <w:rFonts w:asciiTheme="majorBidi" w:hAnsiTheme="majorBidi" w:cstheme="majorBidi"/>
          <w:smallCaps/>
          <w:lang w:val="en-GB"/>
        </w:rPr>
      </w:pPr>
      <w:r>
        <w:rPr>
          <w:rFonts w:asciiTheme="majorBidi" w:hAnsiTheme="majorBidi" w:cstheme="majorBidi"/>
          <w:smallCaps/>
          <w:lang w:val="en-GB"/>
        </w:rPr>
        <w:t>2. New Identifications</w:t>
      </w:r>
    </w:p>
    <w:p w14:paraId="54871379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5D02F5FA" w14:textId="56967064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i/>
          <w:iCs/>
          <w:rtl/>
        </w:rPr>
      </w:pPr>
      <w:r w:rsidRPr="0094138B">
        <w:rPr>
          <w:rFonts w:asciiTheme="majorBidi" w:hAnsiTheme="majorBidi" w:cstheme="majorBidi"/>
        </w:rPr>
        <w:t>2.1</w:t>
      </w:r>
      <w:r w:rsidRPr="0094138B">
        <w:rPr>
          <w:rFonts w:asciiTheme="majorBidi" w:hAnsiTheme="majorBidi" w:cstheme="majorBidi"/>
          <w:i/>
          <w:iCs/>
        </w:rPr>
        <w:t xml:space="preserve"> </w:t>
      </w:r>
      <w:r>
        <w:rPr>
          <w:rFonts w:asciiTheme="majorBidi" w:hAnsiTheme="majorBidi" w:cstheme="majorBidi"/>
        </w:rPr>
        <w:t>Fragments transcribed</w:t>
      </w:r>
      <w:r w:rsidR="00CA5359">
        <w:rPr>
          <w:rFonts w:asciiTheme="majorBidi" w:hAnsiTheme="majorBidi" w:cstheme="majorBidi"/>
        </w:rPr>
        <w:t>,</w:t>
      </w:r>
      <w:r w:rsidR="00CA5359" w:rsidRPr="00CA5359">
        <w:rPr>
          <w:rFonts w:asciiTheme="majorBidi" w:hAnsiTheme="majorBidi" w:cstheme="majorBidi"/>
        </w:rPr>
        <w:t xml:space="preserve"> </w:t>
      </w:r>
      <w:r w:rsidR="00CA5359">
        <w:rPr>
          <w:rFonts w:asciiTheme="majorBidi" w:hAnsiTheme="majorBidi" w:cstheme="majorBidi"/>
        </w:rPr>
        <w:t>but not identified</w:t>
      </w:r>
      <w:r>
        <w:rPr>
          <w:rFonts w:asciiTheme="majorBidi" w:hAnsiTheme="majorBidi" w:cstheme="majorBidi"/>
        </w:rPr>
        <w:t xml:space="preserve"> </w:t>
      </w:r>
      <w:r w:rsidR="00CA5359">
        <w:rPr>
          <w:rFonts w:asciiTheme="majorBidi" w:hAnsiTheme="majorBidi" w:cstheme="majorBidi"/>
        </w:rPr>
        <w:t xml:space="preserve">in </w:t>
      </w:r>
      <w:r>
        <w:rPr>
          <w:rFonts w:asciiTheme="majorBidi" w:hAnsiTheme="majorBidi" w:cstheme="majorBidi"/>
        </w:rPr>
        <w:t xml:space="preserve">the official edition </w:t>
      </w:r>
    </w:p>
    <w:p w14:paraId="55A35CAC" w14:textId="77777777" w:rsidR="00142DA3" w:rsidRPr="00C06335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i/>
          <w:iCs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 xml:space="preserve">2.1.1 </w:t>
      </w:r>
      <w:r w:rsidRPr="00C06335">
        <w:rPr>
          <w:rFonts w:asciiTheme="majorBidi" w:hAnsiTheme="majorBidi" w:cstheme="majorBidi"/>
          <w:i/>
          <w:iCs/>
          <w:color w:val="000000" w:themeColor="text1"/>
        </w:rPr>
        <w:t xml:space="preserve">Frag. 44 </w:t>
      </w:r>
      <w:r>
        <w:rPr>
          <w:rFonts w:asciiTheme="majorBidi" w:hAnsiTheme="majorBidi" w:cstheme="majorBidi"/>
          <w:i/>
          <w:iCs/>
          <w:color w:val="000000" w:themeColor="text1"/>
        </w:rPr>
        <w:t>(IAA 398.23</w:t>
      </w:r>
      <w:r w:rsidRPr="00C06335">
        <w:rPr>
          <w:rFonts w:asciiTheme="majorBidi" w:hAnsiTheme="majorBidi" w:cstheme="majorBidi"/>
          <w:i/>
          <w:iCs/>
          <w:color w:val="000000" w:themeColor="text1"/>
        </w:rPr>
        <w:t>; PAM 42.011, 42.803)</w:t>
      </w:r>
      <w:r w:rsidRPr="00C06335">
        <w:rPr>
          <w:rStyle w:val="FootnoteReference"/>
          <w:rFonts w:asciiTheme="majorBidi" w:hAnsiTheme="majorBidi" w:cstheme="majorBidi"/>
          <w:i/>
          <w:iCs/>
          <w:color w:val="000000" w:themeColor="text1"/>
        </w:rPr>
        <w:footnoteReference w:id="7"/>
      </w:r>
    </w:p>
    <w:p w14:paraId="77271F0D" w14:textId="0AD4FCCC" w:rsidR="00142DA3" w:rsidRDefault="00142DA3" w:rsidP="00E36BCF">
      <w:pPr>
        <w:bidi w:val="0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Theme="majorBidi" w:hAnsiTheme="majorBidi" w:cstheme="majorBidi"/>
        </w:rPr>
        <w:t xml:space="preserve">Fragment 44 preserves </w:t>
      </w:r>
      <w:r w:rsidRPr="00A620D4">
        <w:rPr>
          <w:rFonts w:ascii="Times New Roman" w:hAnsi="Times New Roman" w:cs="Times New Roman"/>
        </w:rPr>
        <w:t>trace</w:t>
      </w:r>
      <w:r>
        <w:rPr>
          <w:rFonts w:ascii="Times New Roman" w:hAnsi="Times New Roman" w:cs="Times New Roman"/>
        </w:rPr>
        <w:t>s</w:t>
      </w:r>
      <w:r w:rsidRPr="00A620D4">
        <w:rPr>
          <w:rFonts w:ascii="Times New Roman" w:hAnsi="Times New Roman" w:cs="Times New Roman"/>
        </w:rPr>
        <w:t xml:space="preserve"> of </w:t>
      </w:r>
      <w:r w:rsidR="00CA5359">
        <w:rPr>
          <w:rFonts w:ascii="Times New Roman" w:hAnsi="Times New Roman" w:cs="Times New Roman"/>
        </w:rPr>
        <w:t xml:space="preserve">a </w:t>
      </w:r>
      <w:r w:rsidRPr="00A620D4">
        <w:rPr>
          <w:rFonts w:ascii="Times New Roman" w:hAnsi="Times New Roman" w:cs="Times New Roman"/>
        </w:rPr>
        <w:t xml:space="preserve">seam </w:t>
      </w:r>
      <w:r>
        <w:rPr>
          <w:rFonts w:ascii="Times New Roman" w:hAnsi="Times New Roman" w:cs="Times New Roman"/>
        </w:rPr>
        <w:t>on</w:t>
      </w:r>
      <w:r w:rsidRPr="00A620D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its left side</w:t>
      </w:r>
      <w:r w:rsidRPr="00A620D4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indicating that it belongs to the last column </w:t>
      </w:r>
      <w:r w:rsidR="00CA5359">
        <w:rPr>
          <w:rFonts w:ascii="Times New Roman" w:hAnsi="Times New Roman" w:cs="Times New Roman"/>
        </w:rPr>
        <w:t xml:space="preserve">on </w:t>
      </w:r>
      <w:r>
        <w:rPr>
          <w:rFonts w:ascii="Times New Roman" w:hAnsi="Times New Roman" w:cs="Times New Roman"/>
        </w:rPr>
        <w:t xml:space="preserve">the sheet. </w:t>
      </w:r>
      <w:r w:rsidR="00CA5359">
        <w:rPr>
          <w:rFonts w:ascii="Times New Roman" w:hAnsi="Times New Roman" w:cs="Times New Roman"/>
        </w:rPr>
        <w:t xml:space="preserve">As </w:t>
      </w:r>
      <w:r>
        <w:rPr>
          <w:rFonts w:ascii="Times New Roman" w:hAnsi="Times New Roman" w:cs="Times New Roman"/>
        </w:rPr>
        <w:t xml:space="preserve">only </w:t>
      </w:r>
      <w:r w:rsidR="00E36BCF">
        <w:rPr>
          <w:rFonts w:ascii="Times New Roman" w:hAnsi="Times New Roman" w:cs="Times New Roman"/>
        </w:rPr>
        <w:t xml:space="preserve">isolated </w:t>
      </w:r>
      <w:r>
        <w:rPr>
          <w:rFonts w:ascii="Times New Roman" w:hAnsi="Times New Roman" w:cs="Times New Roman"/>
        </w:rPr>
        <w:t>etters</w:t>
      </w:r>
      <w:r w:rsidR="00CA5359" w:rsidRPr="00CA5359">
        <w:rPr>
          <w:rFonts w:ascii="Times New Roman" w:hAnsi="Times New Roman" w:cs="Times New Roman"/>
        </w:rPr>
        <w:t xml:space="preserve"> </w:t>
      </w:r>
      <w:r w:rsidR="00CA5359">
        <w:rPr>
          <w:rFonts w:ascii="Times New Roman" w:hAnsi="Times New Roman" w:cs="Times New Roman"/>
        </w:rPr>
        <w:t>are preserved on each line</w:t>
      </w:r>
      <w:r>
        <w:rPr>
          <w:rFonts w:ascii="Times New Roman" w:hAnsi="Times New Roman" w:cs="Times New Roman"/>
        </w:rPr>
        <w:t xml:space="preserve">, the identification is based on the successful combination of all legible letters in the five </w:t>
      </w:r>
      <w:r w:rsidR="00CA5359">
        <w:rPr>
          <w:rFonts w:ascii="Times New Roman" w:hAnsi="Times New Roman" w:cs="Times New Roman"/>
        </w:rPr>
        <w:t xml:space="preserve">attested </w:t>
      </w:r>
      <w:r>
        <w:rPr>
          <w:rFonts w:ascii="Times New Roman" w:hAnsi="Times New Roman" w:cs="Times New Roman"/>
        </w:rPr>
        <w:t xml:space="preserve">lines </w:t>
      </w:r>
      <w:r w:rsidR="00CA5359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/>
        </w:rPr>
        <w:t>the fragment.</w:t>
      </w:r>
      <w:r>
        <w:rPr>
          <w:rStyle w:val="FootnoteReference"/>
          <w:rFonts w:ascii="Times New Roman" w:hAnsi="Times New Roman" w:cs="Times New Roman"/>
        </w:rPr>
        <w:footnoteReference w:id="8"/>
      </w:r>
      <w:r>
        <w:rPr>
          <w:rFonts w:ascii="Times New Roman" w:hAnsi="Times New Roman" w:cs="Times New Roman"/>
        </w:rPr>
        <w:t xml:space="preserve">  </w:t>
      </w:r>
    </w:p>
    <w:p w14:paraId="32DF3D7E" w14:textId="2CD70CE1" w:rsidR="00142DA3" w:rsidRDefault="00142DA3" w:rsidP="00142DA3">
      <w:pPr>
        <w:bidi w:val="0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  <w:t xml:space="preserve">Based on the new identification, fragment 44 should be joined with fragment 7ii, </w:t>
      </w:r>
      <w:r w:rsidR="001077C3">
        <w:rPr>
          <w:rFonts w:ascii="Times New Roman" w:hAnsi="Times New Roman" w:cs="Times New Roman"/>
        </w:rPr>
        <w:t xml:space="preserve">on </w:t>
      </w:r>
      <w:r>
        <w:rPr>
          <w:rFonts w:ascii="Times New Roman" w:hAnsi="Times New Roman" w:cs="Times New Roman"/>
        </w:rPr>
        <w:t xml:space="preserve">which </w:t>
      </w:r>
      <w:r w:rsidR="001077C3">
        <w:rPr>
          <w:rFonts w:ascii="Times New Roman" w:hAnsi="Times New Roman" w:cs="Times New Roman"/>
        </w:rPr>
        <w:t>Ex 11:4–12:12 is preserved</w:t>
      </w:r>
      <w:r>
        <w:rPr>
          <w:rFonts w:ascii="Times New Roman" w:hAnsi="Times New Roman" w:cs="Times New Roman"/>
        </w:rPr>
        <w:t>.</w:t>
      </w:r>
      <w:r>
        <w:rPr>
          <w:rStyle w:val="FootnoteReference"/>
          <w:rFonts w:ascii="Times New Roman" w:hAnsi="Times New Roman" w:cs="Times New Roman"/>
        </w:rPr>
        <w:footnoteReference w:id="9"/>
      </w:r>
      <w:r>
        <w:rPr>
          <w:rFonts w:ascii="Times New Roman" w:hAnsi="Times New Roman" w:cs="Times New Roman"/>
        </w:rPr>
        <w:t xml:space="preserve"> The join yields the following transcription of 4Q11 7ii+44 lines 19–23:</w:t>
      </w:r>
      <w:r>
        <w:rPr>
          <w:rStyle w:val="FootnoteReference"/>
          <w:rFonts w:ascii="Times New Roman" w:hAnsi="Times New Roman" w:cs="Times New Roman"/>
        </w:rPr>
        <w:footnoteReference w:id="10"/>
      </w:r>
    </w:p>
    <w:p w14:paraId="3946E9B5" w14:textId="77777777" w:rsidR="00142DA3" w:rsidRPr="00142DA3" w:rsidRDefault="00142DA3" w:rsidP="00142DA3">
      <w:pPr>
        <w:bidi w:val="0"/>
        <w:spacing w:line="360" w:lineRule="auto"/>
        <w:jc w:val="both"/>
        <w:rPr>
          <w:rFonts w:ascii="Times New Roman" w:hAnsi="Times New Roman" w:cs="Times New Roman"/>
        </w:rPr>
      </w:pPr>
    </w:p>
    <w:p w14:paraId="7080A3E9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i/>
          <w:iCs/>
        </w:rPr>
      </w:pPr>
      <w:r>
        <w:rPr>
          <w:rFonts w:asciiTheme="majorBidi" w:hAnsiTheme="majorBidi" w:cstheme="majorBidi"/>
        </w:rPr>
        <w:t xml:space="preserve">2.1.2 </w:t>
      </w:r>
      <w:r w:rsidRPr="00BE784F">
        <w:rPr>
          <w:rFonts w:asciiTheme="majorBidi" w:hAnsiTheme="majorBidi" w:cstheme="majorBidi"/>
          <w:i/>
          <w:iCs/>
        </w:rPr>
        <w:t>Frag. 46</w:t>
      </w:r>
      <w:r>
        <w:rPr>
          <w:rFonts w:asciiTheme="majorBidi" w:hAnsiTheme="majorBidi" w:cstheme="majorBidi"/>
          <w:i/>
          <w:iCs/>
        </w:rPr>
        <w:t xml:space="preserve"> (</w:t>
      </w:r>
      <w:r w:rsidRPr="00BE784F">
        <w:rPr>
          <w:rFonts w:asciiTheme="majorBidi" w:hAnsiTheme="majorBidi" w:cstheme="majorBidi"/>
          <w:i/>
          <w:iCs/>
        </w:rPr>
        <w:t>IAA 398.13; PAM 42.011, 42.803)</w:t>
      </w:r>
      <w:r>
        <w:rPr>
          <w:rStyle w:val="FootnoteReference"/>
          <w:rFonts w:asciiTheme="majorBidi" w:hAnsiTheme="majorBidi" w:cstheme="majorBidi"/>
          <w:i/>
          <w:iCs/>
        </w:rPr>
        <w:footnoteReference w:id="11"/>
      </w:r>
    </w:p>
    <w:p w14:paraId="121D15B6" w14:textId="77777777" w:rsidR="00142DA3" w:rsidRDefault="00142DA3" w:rsidP="00142DA3">
      <w:pPr>
        <w:bidi w:val="0"/>
        <w:spacing w:line="360" w:lineRule="auto"/>
        <w:jc w:val="both"/>
        <w:rPr>
          <w:rFonts w:ascii="SBL Hebrew" w:hAnsi="SBL Hebrew" w:cs="SBL Hebrew"/>
          <w:color w:val="000000" w:themeColor="text1"/>
          <w:rtl/>
        </w:rPr>
      </w:pPr>
      <w:r>
        <w:rPr>
          <w:rFonts w:asciiTheme="majorBidi" w:hAnsiTheme="majorBidi" w:cstheme="majorBidi"/>
          <w:i/>
          <w:iCs/>
        </w:rPr>
        <w:t xml:space="preserve">         </w:t>
      </w:r>
    </w:p>
    <w:p w14:paraId="00D6A889" w14:textId="77777777" w:rsidR="00142DA3" w:rsidRDefault="00142DA3" w:rsidP="00142DA3">
      <w:pPr>
        <w:jc w:val="both"/>
        <w:rPr>
          <w:rFonts w:ascii="SBL Hebrew" w:hAnsi="SBL Hebrew" w:cs="SBL Hebrew"/>
          <w:color w:val="000000" w:themeColor="text1"/>
          <w:rtl/>
        </w:rPr>
      </w:pPr>
    </w:p>
    <w:p w14:paraId="460C32D6" w14:textId="241665D7" w:rsidR="00142DA3" w:rsidRDefault="0000670F" w:rsidP="0000670F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Skehan, Ulrich, and Sanderson </w:t>
      </w:r>
      <w:r w:rsidR="00142DA3">
        <w:rPr>
          <w:rFonts w:asciiTheme="majorBidi" w:hAnsiTheme="majorBidi" w:cstheme="majorBidi"/>
        </w:rPr>
        <w:t xml:space="preserve">did not read </w:t>
      </w:r>
      <w:r w:rsidR="00142DA3" w:rsidRPr="007B6673">
        <w:rPr>
          <w:rFonts w:asciiTheme="majorBidi" w:hAnsiTheme="majorBidi" w:cstheme="majorBidi"/>
        </w:rPr>
        <w:t xml:space="preserve">the letter </w:t>
      </w:r>
      <w:r w:rsidR="00142DA3" w:rsidRPr="00CB4F65">
        <w:rPr>
          <w:rFonts w:asciiTheme="majorBidi" w:hAnsiTheme="majorBidi" w:cstheme="majorBidi"/>
          <w:i/>
          <w:iCs/>
        </w:rPr>
        <w:t>aleph</w:t>
      </w:r>
      <w:r w:rsidR="00142DA3" w:rsidRPr="007B6673">
        <w:rPr>
          <w:rFonts w:asciiTheme="majorBidi" w:hAnsiTheme="majorBidi" w:cstheme="majorBidi"/>
        </w:rPr>
        <w:t xml:space="preserve"> at the end of </w:t>
      </w:r>
      <w:r w:rsidR="001077C3">
        <w:rPr>
          <w:rFonts w:asciiTheme="majorBidi" w:hAnsiTheme="majorBidi" w:cstheme="majorBidi"/>
        </w:rPr>
        <w:t xml:space="preserve">both </w:t>
      </w:r>
      <w:r w:rsidR="00142DA3" w:rsidRPr="007B6673">
        <w:rPr>
          <w:rFonts w:asciiTheme="majorBidi" w:hAnsiTheme="majorBidi" w:cstheme="majorBidi"/>
        </w:rPr>
        <w:t>line 2 and 3</w:t>
      </w:r>
      <w:r w:rsidR="00142DA3">
        <w:rPr>
          <w:rFonts w:asciiTheme="majorBidi" w:hAnsiTheme="majorBidi" w:cstheme="majorBidi"/>
        </w:rPr>
        <w:t xml:space="preserve"> and therefore did not </w:t>
      </w:r>
      <w:r w:rsidR="001077C3">
        <w:rPr>
          <w:rFonts w:asciiTheme="majorBidi" w:hAnsiTheme="majorBidi" w:cstheme="majorBidi"/>
        </w:rPr>
        <w:t>identify</w:t>
      </w:r>
      <w:r w:rsidR="00142DA3">
        <w:rPr>
          <w:rFonts w:asciiTheme="majorBidi" w:hAnsiTheme="majorBidi" w:cstheme="majorBidi"/>
        </w:rPr>
        <w:t xml:space="preserve"> this fragment</w:t>
      </w:r>
      <w:r w:rsidR="00142DA3" w:rsidRPr="007B6673">
        <w:rPr>
          <w:rFonts w:asciiTheme="majorBidi" w:hAnsiTheme="majorBidi" w:cstheme="majorBidi"/>
        </w:rPr>
        <w:t>.</w:t>
      </w:r>
      <w:r w:rsidR="00142DA3">
        <w:rPr>
          <w:rStyle w:val="FootnoteReference"/>
          <w:rFonts w:asciiTheme="majorBidi" w:hAnsiTheme="majorBidi" w:cstheme="majorBidi"/>
        </w:rPr>
        <w:footnoteReference w:id="12"/>
      </w:r>
      <w:r w:rsidR="00142DA3" w:rsidRPr="007B6673">
        <w:rPr>
          <w:rFonts w:asciiTheme="majorBidi" w:hAnsiTheme="majorBidi" w:cstheme="majorBidi"/>
        </w:rPr>
        <w:t xml:space="preserve"> </w:t>
      </w:r>
      <w:r w:rsidR="0038748D">
        <w:rPr>
          <w:rFonts w:asciiTheme="majorBidi" w:hAnsiTheme="majorBidi" w:cstheme="majorBidi"/>
        </w:rPr>
        <w:t>Yet</w:t>
      </w:r>
      <w:r>
        <w:rPr>
          <w:rFonts w:asciiTheme="majorBidi" w:hAnsiTheme="majorBidi" w:cstheme="majorBidi"/>
        </w:rPr>
        <w:t>,</w:t>
      </w:r>
      <w:r w:rsidR="0038748D">
        <w:rPr>
          <w:rFonts w:asciiTheme="majorBidi" w:hAnsiTheme="majorBidi" w:cstheme="majorBidi"/>
        </w:rPr>
        <w:t xml:space="preserve"> </w:t>
      </w:r>
      <w:r w:rsidR="00EF73BD">
        <w:rPr>
          <w:rFonts w:asciiTheme="majorBidi" w:hAnsiTheme="majorBidi" w:cstheme="majorBidi"/>
        </w:rPr>
        <w:t xml:space="preserve">though </w:t>
      </w:r>
      <w:r w:rsidR="00142DA3" w:rsidRPr="00ED5991">
        <w:rPr>
          <w:rFonts w:asciiTheme="majorBidi" w:hAnsiTheme="majorBidi" w:cstheme="majorBidi"/>
        </w:rPr>
        <w:t xml:space="preserve">these letters </w:t>
      </w:r>
      <w:r w:rsidR="00EF73BD">
        <w:rPr>
          <w:rFonts w:asciiTheme="majorBidi" w:hAnsiTheme="majorBidi" w:cstheme="majorBidi"/>
        </w:rPr>
        <w:t xml:space="preserve">are broken, their identity </w:t>
      </w:r>
      <w:r w:rsidR="00142DA3" w:rsidRPr="00ED5991">
        <w:rPr>
          <w:rFonts w:asciiTheme="majorBidi" w:hAnsiTheme="majorBidi" w:cstheme="majorBidi"/>
        </w:rPr>
        <w:t>is probable.</w:t>
      </w:r>
      <w:r w:rsidR="00142DA3">
        <w:rPr>
          <w:rFonts w:asciiTheme="majorBidi" w:hAnsiTheme="majorBidi" w:cstheme="majorBidi"/>
        </w:rPr>
        <w:t xml:space="preserve"> </w:t>
      </w:r>
      <w:r w:rsidR="00142DA3" w:rsidRPr="007B6673">
        <w:rPr>
          <w:rFonts w:asciiTheme="majorBidi" w:hAnsiTheme="majorBidi" w:cstheme="majorBidi"/>
        </w:rPr>
        <w:t xml:space="preserve">The only possible identification </w:t>
      </w:r>
      <w:r w:rsidR="00EF73BD">
        <w:rPr>
          <w:rFonts w:asciiTheme="majorBidi" w:hAnsiTheme="majorBidi" w:cstheme="majorBidi"/>
        </w:rPr>
        <w:t>of such a</w:t>
      </w:r>
      <w:r w:rsidR="00142DA3" w:rsidRPr="007B6673">
        <w:rPr>
          <w:rFonts w:asciiTheme="majorBidi" w:hAnsiTheme="majorBidi" w:cstheme="majorBidi"/>
        </w:rPr>
        <w:t xml:space="preserve"> combination is Ex 19:22–23.</w:t>
      </w:r>
      <w:r w:rsidR="00142DA3">
        <w:rPr>
          <w:rFonts w:asciiTheme="majorBidi" w:hAnsiTheme="majorBidi" w:cstheme="majorBidi"/>
        </w:rPr>
        <w:t xml:space="preserve"> The traces of the letter precede </w:t>
      </w:r>
      <w:r w:rsidR="00142DA3" w:rsidRPr="0050673D">
        <w:rPr>
          <w:rFonts w:asciiTheme="majorBidi" w:hAnsiTheme="majorBidi" w:cstheme="majorBidi"/>
          <w:i/>
          <w:iCs/>
        </w:rPr>
        <w:t>lamed</w:t>
      </w:r>
      <w:r w:rsidR="00142DA3">
        <w:rPr>
          <w:rFonts w:asciiTheme="majorBidi" w:hAnsiTheme="majorBidi" w:cstheme="majorBidi"/>
        </w:rPr>
        <w:t xml:space="preserve"> in line 3</w:t>
      </w:r>
      <w:r w:rsidR="00EF73BD">
        <w:rPr>
          <w:rFonts w:asciiTheme="majorBidi" w:hAnsiTheme="majorBidi" w:cstheme="majorBidi"/>
        </w:rPr>
        <w:t xml:space="preserve"> (as can easily be </w:t>
      </w:r>
      <w:r w:rsidR="00142DA3">
        <w:rPr>
          <w:rFonts w:asciiTheme="majorBidi" w:hAnsiTheme="majorBidi" w:cstheme="majorBidi"/>
        </w:rPr>
        <w:t>seen in the IR image</w:t>
      </w:r>
      <w:r w:rsidR="00EF73BD">
        <w:rPr>
          <w:rFonts w:asciiTheme="majorBidi" w:hAnsiTheme="majorBidi" w:cstheme="majorBidi"/>
        </w:rPr>
        <w:t>)</w:t>
      </w:r>
      <w:r w:rsidR="00142DA3">
        <w:rPr>
          <w:rFonts w:asciiTheme="majorBidi" w:hAnsiTheme="majorBidi" w:cstheme="majorBidi"/>
        </w:rPr>
        <w:t xml:space="preserve">, match the letter </w:t>
      </w:r>
      <w:r w:rsidR="00142DA3">
        <w:rPr>
          <w:rFonts w:asciiTheme="majorBidi" w:hAnsiTheme="majorBidi" w:cstheme="majorBidi"/>
          <w:i/>
          <w:iCs/>
        </w:rPr>
        <w:t>bet</w:t>
      </w:r>
      <w:r w:rsidR="00142DA3">
        <w:rPr>
          <w:rFonts w:asciiTheme="majorBidi" w:hAnsiTheme="majorBidi" w:cstheme="majorBidi"/>
        </w:rPr>
        <w:t xml:space="preserve">, and reinforce the new identification: </w:t>
      </w:r>
      <w:r w:rsidR="00142DA3" w:rsidRPr="007B6673">
        <w:rPr>
          <w:rFonts w:asciiTheme="majorBidi" w:hAnsiTheme="majorBidi" w:cstheme="majorBidi"/>
        </w:rPr>
        <w:t xml:space="preserve"> </w:t>
      </w:r>
    </w:p>
    <w:p w14:paraId="5D0715E1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73DF51BF" w14:textId="60E6D5FE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Fragment 21 attests to Ex 19:24–20:2. According to the new identification of fragment 46, we may conclude that fragments 21 and 46 were close to each other in the original scroll</w:t>
      </w:r>
      <w:r w:rsidR="00EF73BD">
        <w:rPr>
          <w:rFonts w:asciiTheme="majorBidi" w:hAnsiTheme="majorBidi" w:cstheme="majorBidi"/>
        </w:rPr>
        <w:t>, prior to</w:t>
      </w:r>
      <w:r>
        <w:rPr>
          <w:rFonts w:asciiTheme="majorBidi" w:hAnsiTheme="majorBidi" w:cstheme="majorBidi"/>
        </w:rPr>
        <w:t xml:space="preserve"> its deterioration.  </w:t>
      </w:r>
    </w:p>
    <w:p w14:paraId="594FF3A3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6B4299BE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i/>
          <w:iCs/>
        </w:rPr>
      </w:pPr>
      <w:r>
        <w:rPr>
          <w:rFonts w:asciiTheme="majorBidi" w:hAnsiTheme="majorBidi" w:cstheme="majorBidi"/>
        </w:rPr>
        <w:t xml:space="preserve">2.1.3 </w:t>
      </w:r>
      <w:r w:rsidRPr="00526A0F">
        <w:rPr>
          <w:rFonts w:asciiTheme="majorBidi" w:hAnsiTheme="majorBidi" w:cstheme="majorBidi"/>
          <w:i/>
          <w:iCs/>
          <w:color w:val="000000" w:themeColor="text1"/>
        </w:rPr>
        <w:t>Frag. 47</w:t>
      </w:r>
      <w:r w:rsidRPr="00526A0F">
        <w:rPr>
          <w:rFonts w:asciiTheme="majorBidi" w:hAnsiTheme="majorBidi" w:cstheme="majorBidi"/>
          <w:color w:val="000000" w:themeColor="text1"/>
        </w:rPr>
        <w:t xml:space="preserve"> </w:t>
      </w:r>
      <w:r w:rsidRPr="00526A0F">
        <w:rPr>
          <w:rFonts w:asciiTheme="majorBidi" w:hAnsiTheme="majorBidi" w:cstheme="majorBidi"/>
          <w:i/>
          <w:iCs/>
          <w:color w:val="000000" w:themeColor="text1"/>
        </w:rPr>
        <w:t>(</w:t>
      </w:r>
      <w:r>
        <w:rPr>
          <w:rFonts w:asciiTheme="majorBidi" w:hAnsiTheme="majorBidi" w:cstheme="majorBidi"/>
          <w:i/>
          <w:iCs/>
        </w:rPr>
        <w:t xml:space="preserve">IAA </w:t>
      </w:r>
      <w:r w:rsidRPr="00B25E59">
        <w:rPr>
          <w:rFonts w:asciiTheme="majorBidi" w:hAnsiTheme="majorBidi" w:cstheme="majorBidi"/>
          <w:i/>
          <w:iCs/>
        </w:rPr>
        <w:t xml:space="preserve">398.3; PAM </w:t>
      </w:r>
      <w:r>
        <w:rPr>
          <w:rFonts w:asciiTheme="majorBidi" w:hAnsiTheme="majorBidi" w:cstheme="majorBidi"/>
          <w:i/>
          <w:iCs/>
        </w:rPr>
        <w:t xml:space="preserve">42.011, </w:t>
      </w:r>
      <w:r w:rsidRPr="00B25E59">
        <w:rPr>
          <w:rFonts w:asciiTheme="majorBidi" w:hAnsiTheme="majorBidi" w:cstheme="majorBidi"/>
          <w:i/>
          <w:iCs/>
        </w:rPr>
        <w:t>42.802</w:t>
      </w:r>
      <w:r>
        <w:rPr>
          <w:rFonts w:asciiTheme="majorBidi" w:hAnsiTheme="majorBidi" w:cstheme="majorBidi"/>
          <w:i/>
          <w:iCs/>
        </w:rPr>
        <w:t>)</w:t>
      </w:r>
      <w:r>
        <w:rPr>
          <w:rStyle w:val="FootnoteReference"/>
          <w:rFonts w:asciiTheme="majorBidi" w:hAnsiTheme="majorBidi" w:cstheme="majorBidi"/>
          <w:i/>
          <w:iCs/>
        </w:rPr>
        <w:footnoteReference w:id="13"/>
      </w:r>
    </w:p>
    <w:p w14:paraId="7510EC94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2550F2F6" w14:textId="33D70F0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A46D7">
        <w:rPr>
          <w:rFonts w:asciiTheme="majorBidi" w:hAnsiTheme="majorBidi" w:cstheme="majorBidi"/>
          <w:color w:val="000000" w:themeColor="text1"/>
        </w:rPr>
        <w:t xml:space="preserve">Fragment 47 is poorly preserved. It attests to the remains of four lines of text, only two of </w:t>
      </w:r>
      <w:r w:rsidR="00EF73BD">
        <w:rPr>
          <w:rFonts w:asciiTheme="majorBidi" w:hAnsiTheme="majorBidi" w:cstheme="majorBidi"/>
          <w:color w:val="000000" w:themeColor="text1"/>
        </w:rPr>
        <w:t>which</w:t>
      </w:r>
      <w:r w:rsidR="00EF73BD" w:rsidRPr="004A46D7">
        <w:rPr>
          <w:rFonts w:asciiTheme="majorBidi" w:hAnsiTheme="majorBidi" w:cstheme="majorBidi"/>
          <w:color w:val="000000" w:themeColor="text1"/>
        </w:rPr>
        <w:t xml:space="preserve"> </w:t>
      </w:r>
      <w:r w:rsidRPr="004A46D7">
        <w:rPr>
          <w:rFonts w:asciiTheme="majorBidi" w:hAnsiTheme="majorBidi" w:cstheme="majorBidi"/>
          <w:color w:val="000000" w:themeColor="text1"/>
        </w:rPr>
        <w:t>are legible</w:t>
      </w:r>
      <w:r>
        <w:rPr>
          <w:rFonts w:asciiTheme="majorBidi" w:hAnsiTheme="majorBidi" w:cstheme="majorBidi"/>
          <w:color w:val="000000" w:themeColor="text1"/>
        </w:rPr>
        <w:t xml:space="preserve">. </w:t>
      </w:r>
      <w:r w:rsidR="00EF73BD">
        <w:rPr>
          <w:rFonts w:asciiTheme="majorBidi" w:hAnsiTheme="majorBidi" w:cstheme="majorBidi"/>
          <w:color w:val="000000" w:themeColor="text1"/>
        </w:rPr>
        <w:t xml:space="preserve">The reading </w:t>
      </w:r>
      <w:r>
        <w:rPr>
          <w:rFonts w:asciiTheme="majorBidi" w:hAnsiTheme="majorBidi" w:cstheme="majorBidi"/>
          <w:color w:val="000000" w:themeColor="text1"/>
        </w:rPr>
        <w:t xml:space="preserve">of the hitherto </w:t>
      </w:r>
      <w:r w:rsidRPr="00203BA4">
        <w:rPr>
          <w:rFonts w:asciiTheme="majorBidi" w:hAnsiTheme="majorBidi" w:cstheme="majorBidi"/>
          <w:color w:val="000000" w:themeColor="text1"/>
        </w:rPr>
        <w:t>indecipherable</w:t>
      </w:r>
      <w:r>
        <w:rPr>
          <w:rFonts w:asciiTheme="majorBidi" w:hAnsiTheme="majorBidi" w:cstheme="majorBidi"/>
          <w:color w:val="000000" w:themeColor="text1"/>
        </w:rPr>
        <w:t xml:space="preserve"> letters </w:t>
      </w:r>
      <w:r w:rsidRPr="00437CF4">
        <w:rPr>
          <w:rFonts w:asciiTheme="majorBidi" w:hAnsiTheme="majorBidi" w:cstheme="majorBidi"/>
          <w:i/>
          <w:iCs/>
          <w:color w:val="000000" w:themeColor="text1"/>
        </w:rPr>
        <w:t>tsade</w:t>
      </w:r>
      <w:r>
        <w:rPr>
          <w:rFonts w:asciiTheme="majorBidi" w:hAnsiTheme="majorBidi" w:cstheme="majorBidi"/>
          <w:color w:val="000000" w:themeColor="text1"/>
        </w:rPr>
        <w:t xml:space="preserve"> and </w:t>
      </w:r>
      <w:r w:rsidRPr="00437CF4">
        <w:rPr>
          <w:rFonts w:asciiTheme="majorBidi" w:hAnsiTheme="majorBidi" w:cstheme="majorBidi"/>
          <w:i/>
          <w:iCs/>
          <w:color w:val="000000" w:themeColor="text1"/>
        </w:rPr>
        <w:t>samech</w:t>
      </w:r>
      <w:r>
        <w:rPr>
          <w:rFonts w:asciiTheme="majorBidi" w:hAnsiTheme="majorBidi" w:cstheme="majorBidi"/>
          <w:color w:val="000000" w:themeColor="text1"/>
        </w:rPr>
        <w:t xml:space="preserve"> in lines 2 and 3</w:t>
      </w:r>
      <w:r w:rsidR="001D62ED">
        <w:rPr>
          <w:rFonts w:asciiTheme="majorBidi" w:hAnsiTheme="majorBidi" w:cstheme="majorBidi"/>
          <w:color w:val="000000" w:themeColor="text1"/>
        </w:rPr>
        <w:t>,</w:t>
      </w:r>
      <w:r>
        <w:rPr>
          <w:rFonts w:asciiTheme="majorBidi" w:hAnsiTheme="majorBidi" w:cstheme="majorBidi"/>
          <w:color w:val="000000" w:themeColor="text1"/>
        </w:rPr>
        <w:t xml:space="preserve"> respectively</w:t>
      </w:r>
      <w:r w:rsidR="001D62ED">
        <w:rPr>
          <w:rFonts w:asciiTheme="majorBidi" w:hAnsiTheme="majorBidi" w:cstheme="majorBidi"/>
          <w:color w:val="000000" w:themeColor="text1"/>
        </w:rPr>
        <w:t>,</w:t>
      </w:r>
      <w:r>
        <w:rPr>
          <w:rFonts w:asciiTheme="majorBidi" w:hAnsiTheme="majorBidi" w:cstheme="majorBidi"/>
          <w:color w:val="000000" w:themeColor="text1"/>
        </w:rPr>
        <w:t xml:space="preserve"> enables </w:t>
      </w:r>
      <w:r w:rsidR="001D62ED">
        <w:rPr>
          <w:rFonts w:asciiTheme="majorBidi" w:hAnsiTheme="majorBidi" w:cstheme="majorBidi"/>
          <w:color w:val="000000" w:themeColor="text1"/>
        </w:rPr>
        <w:t>the</w:t>
      </w:r>
      <w:r>
        <w:rPr>
          <w:rFonts w:asciiTheme="majorBidi" w:hAnsiTheme="majorBidi" w:cstheme="majorBidi"/>
          <w:color w:val="000000" w:themeColor="text1"/>
        </w:rPr>
        <w:t xml:space="preserve"> </w:t>
      </w:r>
      <w:r w:rsidR="001D62ED">
        <w:rPr>
          <w:rFonts w:asciiTheme="majorBidi" w:hAnsiTheme="majorBidi" w:cstheme="majorBidi"/>
          <w:color w:val="000000" w:themeColor="text1"/>
        </w:rPr>
        <w:t xml:space="preserve">identification of </w:t>
      </w:r>
      <w:r>
        <w:rPr>
          <w:rFonts w:asciiTheme="majorBidi" w:hAnsiTheme="majorBidi" w:cstheme="majorBidi"/>
          <w:color w:val="000000" w:themeColor="text1"/>
        </w:rPr>
        <w:t xml:space="preserve">the text preserved in fragment 47 </w:t>
      </w:r>
      <w:r w:rsidR="001D62ED">
        <w:rPr>
          <w:rFonts w:asciiTheme="majorBidi" w:hAnsiTheme="majorBidi" w:cstheme="majorBidi"/>
          <w:color w:val="000000" w:themeColor="text1"/>
        </w:rPr>
        <w:t xml:space="preserve">as </w:t>
      </w:r>
      <w:r>
        <w:rPr>
          <w:rFonts w:asciiTheme="majorBidi" w:hAnsiTheme="majorBidi" w:cstheme="majorBidi"/>
          <w:color w:val="000000" w:themeColor="text1"/>
        </w:rPr>
        <w:t>Ex 23:9–11.</w:t>
      </w:r>
      <w:r>
        <w:rPr>
          <w:rStyle w:val="FootnoteReference"/>
          <w:rFonts w:asciiTheme="majorBidi" w:hAnsiTheme="majorBidi" w:cstheme="majorBidi"/>
          <w:color w:val="000000" w:themeColor="text1"/>
        </w:rPr>
        <w:footnoteReference w:id="14"/>
      </w:r>
      <w:r>
        <w:rPr>
          <w:rFonts w:asciiTheme="majorBidi" w:hAnsiTheme="majorBidi" w:cstheme="majorBidi"/>
          <w:color w:val="000000" w:themeColor="text1"/>
        </w:rPr>
        <w:t xml:space="preserve"> The new identification yields the following transcription:</w:t>
      </w:r>
    </w:p>
    <w:p w14:paraId="2D859153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7824DB57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8FF8FAB" w14:textId="4116D97D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  <w:rtl/>
        </w:rPr>
      </w:pPr>
      <w:r>
        <w:rPr>
          <w:rFonts w:asciiTheme="majorBidi" w:hAnsiTheme="majorBidi" w:cstheme="majorBidi"/>
          <w:color w:val="000000" w:themeColor="text1"/>
        </w:rPr>
        <w:lastRenderedPageBreak/>
        <w:t xml:space="preserve">The textual identification of fragment 47 is supported by material considerations.  According to the proposed identification, fragment 47 should </w:t>
      </w:r>
      <w:r w:rsidR="00E70BC6">
        <w:rPr>
          <w:rFonts w:asciiTheme="majorBidi" w:hAnsiTheme="majorBidi" w:cstheme="majorBidi"/>
          <w:color w:val="000000" w:themeColor="text1"/>
        </w:rPr>
        <w:t xml:space="preserve">be </w:t>
      </w:r>
      <w:r>
        <w:rPr>
          <w:rFonts w:asciiTheme="majorBidi" w:hAnsiTheme="majorBidi" w:cstheme="majorBidi"/>
          <w:color w:val="000000" w:themeColor="text1"/>
        </w:rPr>
        <w:t>directly join</w:t>
      </w:r>
      <w:r w:rsidR="00E70BC6">
        <w:rPr>
          <w:rFonts w:asciiTheme="majorBidi" w:hAnsiTheme="majorBidi" w:cstheme="majorBidi"/>
          <w:color w:val="000000" w:themeColor="text1"/>
        </w:rPr>
        <w:t>ed</w:t>
      </w:r>
      <w:r>
        <w:rPr>
          <w:rFonts w:asciiTheme="majorBidi" w:hAnsiTheme="majorBidi" w:cstheme="majorBidi"/>
          <w:color w:val="000000" w:themeColor="text1"/>
        </w:rPr>
        <w:t xml:space="preserve"> </w:t>
      </w:r>
      <w:r w:rsidR="00E70BC6">
        <w:rPr>
          <w:rFonts w:asciiTheme="majorBidi" w:hAnsiTheme="majorBidi" w:cstheme="majorBidi"/>
          <w:color w:val="000000" w:themeColor="text1"/>
        </w:rPr>
        <w:t xml:space="preserve">to </w:t>
      </w:r>
      <w:r>
        <w:rPr>
          <w:rFonts w:asciiTheme="majorBidi" w:hAnsiTheme="majorBidi" w:cstheme="majorBidi"/>
          <w:color w:val="000000" w:themeColor="text1"/>
        </w:rPr>
        <w:t>fragment 23</w:t>
      </w:r>
      <w:r w:rsidR="00E70BC6">
        <w:rPr>
          <w:rFonts w:asciiTheme="majorBidi" w:hAnsiTheme="majorBidi" w:cstheme="majorBidi"/>
          <w:color w:val="000000" w:themeColor="text1"/>
        </w:rPr>
        <w:t>,</w:t>
      </w:r>
      <w:r>
        <w:rPr>
          <w:rFonts w:asciiTheme="majorBidi" w:hAnsiTheme="majorBidi" w:cstheme="majorBidi"/>
          <w:color w:val="000000" w:themeColor="text1"/>
        </w:rPr>
        <w:t xml:space="preserve"> which preserves the text of Ex 23:5–16.</w:t>
      </w:r>
      <w:r>
        <w:rPr>
          <w:rStyle w:val="FootnoteReference"/>
          <w:rFonts w:asciiTheme="majorBidi" w:hAnsiTheme="majorBidi" w:cstheme="majorBidi"/>
          <w:color w:val="000000" w:themeColor="text1"/>
        </w:rPr>
        <w:footnoteReference w:id="15"/>
      </w:r>
      <w:r>
        <w:rPr>
          <w:rFonts w:asciiTheme="majorBidi" w:hAnsiTheme="majorBidi" w:cstheme="majorBidi"/>
          <w:color w:val="000000" w:themeColor="text1"/>
        </w:rPr>
        <w:t xml:space="preserve"> Indeed, w</w:t>
      </w:r>
      <w:r>
        <w:rPr>
          <w:rFonts w:ascii="Times New Roman" w:hAnsi="Times New Roman" w:cs="Times New Roman"/>
        </w:rPr>
        <w:t xml:space="preserve">hen the fragments </w:t>
      </w:r>
      <w:r w:rsidR="00E70BC6">
        <w:rPr>
          <w:rFonts w:ascii="Times New Roman" w:hAnsi="Times New Roman" w:cs="Times New Roman"/>
        </w:rPr>
        <w:t xml:space="preserve">are aligned </w:t>
      </w:r>
      <w:r>
        <w:rPr>
          <w:rFonts w:ascii="Times New Roman" w:hAnsi="Times New Roman" w:cs="Times New Roman"/>
        </w:rPr>
        <w:t xml:space="preserve">according to the preserved text, their physical protrusions fit well together (fig. 1). </w:t>
      </w:r>
      <w:r>
        <w:rPr>
          <w:rFonts w:asciiTheme="majorBidi" w:hAnsiTheme="majorBidi" w:cstheme="majorBidi"/>
          <w:color w:val="000000" w:themeColor="text1"/>
        </w:rPr>
        <w:t xml:space="preserve">Consequently, the new identification of fragment 47 </w:t>
      </w:r>
      <w:r w:rsidR="007433A6">
        <w:rPr>
          <w:rFonts w:asciiTheme="majorBidi" w:hAnsiTheme="majorBidi" w:cstheme="majorBidi"/>
          <w:color w:val="000000" w:themeColor="text1"/>
        </w:rPr>
        <w:t xml:space="preserve">as </w:t>
      </w:r>
      <w:r>
        <w:rPr>
          <w:rFonts w:asciiTheme="majorBidi" w:hAnsiTheme="majorBidi" w:cstheme="majorBidi"/>
          <w:color w:val="000000" w:themeColor="text1"/>
        </w:rPr>
        <w:t>Ex 23: 9–11 is certain.</w:t>
      </w:r>
    </w:p>
    <w:p w14:paraId="3F375EB9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  <w:rtl/>
        </w:rPr>
      </w:pPr>
    </w:p>
    <w:p w14:paraId="4A39C39C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  <w:rtl/>
        </w:rPr>
      </w:pPr>
      <w:r>
        <w:rPr>
          <w:rFonts w:asciiTheme="majorBidi" w:hAnsiTheme="majorBidi" w:cstheme="majorBidi" w:hint="cs"/>
          <w:noProof/>
          <w:color w:val="000000" w:themeColor="text1"/>
          <w:rtl/>
        </w:rPr>
        <w:drawing>
          <wp:anchor distT="0" distB="0" distL="114300" distR="114300" simplePos="0" relativeHeight="251659264" behindDoc="0" locked="0" layoutInCell="1" allowOverlap="1" wp14:anchorId="142B791B" wp14:editId="62D1C6DD">
            <wp:simplePos x="0" y="0"/>
            <wp:positionH relativeFrom="column">
              <wp:posOffset>-177800</wp:posOffset>
            </wp:positionH>
            <wp:positionV relativeFrom="paragraph">
              <wp:posOffset>109855</wp:posOffset>
            </wp:positionV>
            <wp:extent cx="2219960" cy="2260600"/>
            <wp:effectExtent l="0" t="0" r="0" b="0"/>
            <wp:wrapTight wrapText="bothSides">
              <wp:wrapPolygon edited="0">
                <wp:start x="12357" y="0"/>
                <wp:lineTo x="0" y="1456"/>
                <wp:lineTo x="741" y="3883"/>
                <wp:lineTo x="741" y="12863"/>
                <wp:lineTo x="5190" y="15533"/>
                <wp:lineTo x="7167" y="15533"/>
                <wp:lineTo x="6920" y="16746"/>
                <wp:lineTo x="6920" y="19416"/>
                <wp:lineTo x="7661" y="21115"/>
                <wp:lineTo x="9391" y="21115"/>
                <wp:lineTo x="13098" y="20629"/>
                <wp:lineTo x="14087" y="20387"/>
                <wp:lineTo x="13840" y="19416"/>
                <wp:lineTo x="15570" y="16261"/>
                <wp:lineTo x="15323" y="11649"/>
                <wp:lineTo x="21254" y="8494"/>
                <wp:lineTo x="21254" y="3883"/>
                <wp:lineTo x="14334" y="3883"/>
                <wp:lineTo x="14087" y="1213"/>
                <wp:lineTo x="13593" y="0"/>
                <wp:lineTo x="12357" y="0"/>
              </wp:wrapPolygon>
            </wp:wrapTight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24C7061F" wp14:editId="02429414">
            <wp:simplePos x="0" y="0"/>
            <wp:positionH relativeFrom="column">
              <wp:posOffset>3336602</wp:posOffset>
            </wp:positionH>
            <wp:positionV relativeFrom="paragraph">
              <wp:posOffset>0</wp:posOffset>
            </wp:positionV>
            <wp:extent cx="2545715" cy="2496185"/>
            <wp:effectExtent l="0" t="0" r="0" b="0"/>
            <wp:wrapTight wrapText="bothSides">
              <wp:wrapPolygon edited="0">
                <wp:start x="0" y="0"/>
                <wp:lineTo x="0" y="21320"/>
                <wp:lineTo x="21336" y="21320"/>
                <wp:lineTo x="21336" y="0"/>
                <wp:lineTo x="0" y="0"/>
              </wp:wrapPolygon>
            </wp:wrapTight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titled-1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71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220CC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438105E1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47CB656D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4F377B50" wp14:editId="1E8280D0">
            <wp:simplePos x="0" y="0"/>
            <wp:positionH relativeFrom="column">
              <wp:posOffset>1649730</wp:posOffset>
            </wp:positionH>
            <wp:positionV relativeFrom="paragraph">
              <wp:posOffset>130810</wp:posOffset>
            </wp:positionV>
            <wp:extent cx="775970" cy="558800"/>
            <wp:effectExtent l="0" t="0" r="0" b="0"/>
            <wp:wrapTight wrapText="bothSides">
              <wp:wrapPolygon edited="0">
                <wp:start x="4242" y="982"/>
                <wp:lineTo x="2121" y="3927"/>
                <wp:lineTo x="2121" y="7855"/>
                <wp:lineTo x="3535" y="16691"/>
                <wp:lineTo x="16969" y="16691"/>
                <wp:lineTo x="17676" y="14727"/>
                <wp:lineTo x="14141" y="982"/>
                <wp:lineTo x="4242" y="982"/>
              </wp:wrapPolygon>
            </wp:wrapTight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ED485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2B2BEEEC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4F79B032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A694D8D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4D0D678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5AC06E91" w14:textId="77777777" w:rsidR="00142DA3" w:rsidRDefault="00142DA3" w:rsidP="00142DA3">
      <w:pPr>
        <w:bidi w:val="0"/>
        <w:spacing w:line="360" w:lineRule="auto"/>
        <w:jc w:val="center"/>
        <w:rPr>
          <w:rFonts w:asciiTheme="majorBidi" w:hAnsiTheme="majorBidi" w:cstheme="majorBidi"/>
          <w:color w:val="000000" w:themeColor="text1"/>
          <w:sz w:val="20"/>
          <w:szCs w:val="20"/>
        </w:rPr>
      </w:pPr>
    </w:p>
    <w:p w14:paraId="235E9AA0" w14:textId="77777777" w:rsidR="00142DA3" w:rsidRPr="00A939D9" w:rsidRDefault="00142DA3" w:rsidP="00142DA3">
      <w:pPr>
        <w:bidi w:val="0"/>
        <w:spacing w:line="360" w:lineRule="auto"/>
        <w:jc w:val="center"/>
        <w:rPr>
          <w:rFonts w:asciiTheme="majorBidi" w:hAnsiTheme="majorBidi" w:cstheme="majorBidi"/>
          <w:color w:val="000000" w:themeColor="text1"/>
          <w:sz w:val="20"/>
          <w:szCs w:val="20"/>
        </w:rPr>
      </w:pPr>
      <w:r>
        <w:rPr>
          <w:rFonts w:asciiTheme="majorBidi" w:hAnsiTheme="majorBidi" w:cstheme="majorBidi"/>
          <w:color w:val="000000" w:themeColor="text1"/>
          <w:sz w:val="20"/>
          <w:szCs w:val="20"/>
        </w:rPr>
        <w:t>Figure 1: 4Q11 23; 4Q11 47; 4Q11 23+47</w:t>
      </w:r>
    </w:p>
    <w:p w14:paraId="7F5EBFD1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70F1B101" w14:textId="22588C23" w:rsidR="00142DA3" w:rsidRDefault="007433A6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  <w:rtl/>
        </w:rPr>
      </w:pPr>
      <w:r>
        <w:rPr>
          <w:rFonts w:asciiTheme="majorBidi" w:hAnsiTheme="majorBidi" w:cstheme="majorBidi"/>
          <w:color w:val="000000" w:themeColor="text1"/>
        </w:rPr>
        <w:t>Given</w:t>
      </w:r>
      <w:r w:rsidR="00142DA3">
        <w:rPr>
          <w:rFonts w:asciiTheme="majorBidi" w:hAnsiTheme="majorBidi" w:cstheme="majorBidi"/>
          <w:color w:val="000000" w:themeColor="text1"/>
        </w:rPr>
        <w:t xml:space="preserve"> </w:t>
      </w:r>
      <w:r>
        <w:rPr>
          <w:rFonts w:asciiTheme="majorBidi" w:hAnsiTheme="majorBidi" w:cstheme="majorBidi"/>
          <w:color w:val="000000" w:themeColor="text1"/>
        </w:rPr>
        <w:t xml:space="preserve">this </w:t>
      </w:r>
      <w:r w:rsidR="00142DA3">
        <w:rPr>
          <w:rFonts w:asciiTheme="majorBidi" w:hAnsiTheme="majorBidi" w:cstheme="majorBidi"/>
          <w:color w:val="000000" w:themeColor="text1"/>
        </w:rPr>
        <w:t xml:space="preserve">new join, one may propose readings for the </w:t>
      </w:r>
      <w:r w:rsidR="00142DA3" w:rsidRPr="00203BA4">
        <w:rPr>
          <w:rFonts w:asciiTheme="majorBidi" w:hAnsiTheme="majorBidi" w:cstheme="majorBidi"/>
          <w:color w:val="000000" w:themeColor="text1"/>
        </w:rPr>
        <w:t>indecipherable</w:t>
      </w:r>
      <w:r w:rsidR="00142DA3">
        <w:rPr>
          <w:rFonts w:asciiTheme="majorBidi" w:hAnsiTheme="majorBidi" w:cstheme="majorBidi"/>
          <w:color w:val="000000" w:themeColor="text1"/>
        </w:rPr>
        <w:t xml:space="preserve"> letters of lines 1 and 4 of fragment 47. This could result in the transcription of 4Q11 47+23 lines 8–11</w:t>
      </w:r>
      <w:r>
        <w:rPr>
          <w:rFonts w:asciiTheme="majorBidi" w:hAnsiTheme="majorBidi" w:cstheme="majorBidi"/>
          <w:color w:val="000000" w:themeColor="text1"/>
        </w:rPr>
        <w:t xml:space="preserve"> as</w:t>
      </w:r>
      <w:r w:rsidR="00142DA3">
        <w:rPr>
          <w:rFonts w:asciiTheme="majorBidi" w:hAnsiTheme="majorBidi" w:cstheme="majorBidi"/>
          <w:color w:val="000000" w:themeColor="text1"/>
        </w:rPr>
        <w:t>:</w:t>
      </w:r>
    </w:p>
    <w:p w14:paraId="03206BC7" w14:textId="77777777" w:rsidR="00142DA3" w:rsidRDefault="00142DA3" w:rsidP="00142DA3">
      <w:pPr>
        <w:bidi w:val="0"/>
        <w:spacing w:line="360" w:lineRule="auto"/>
        <w:jc w:val="both"/>
        <w:rPr>
          <w:rFonts w:ascii="SBL Hebrew" w:hAnsi="SBL Hebrew" w:cs="SBL Hebrew"/>
          <w:color w:val="000000" w:themeColor="text1"/>
        </w:rPr>
      </w:pPr>
    </w:p>
    <w:p w14:paraId="0DD360E0" w14:textId="77777777" w:rsidR="00142DA3" w:rsidRPr="00BB1A1B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013831F8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2.1.4 </w:t>
      </w:r>
      <w:r w:rsidRPr="004F0AF7">
        <w:rPr>
          <w:rFonts w:asciiTheme="majorBidi" w:hAnsiTheme="majorBidi" w:cstheme="majorBidi"/>
          <w:i/>
          <w:iCs/>
        </w:rPr>
        <w:t>Frag. 48 (IAA</w:t>
      </w:r>
      <w:r>
        <w:rPr>
          <w:rFonts w:asciiTheme="majorBidi" w:hAnsiTheme="majorBidi" w:cstheme="majorBidi"/>
          <w:i/>
          <w:iCs/>
        </w:rPr>
        <w:t xml:space="preserve"> </w:t>
      </w:r>
      <w:r w:rsidRPr="00954F0B">
        <w:rPr>
          <w:rFonts w:asciiTheme="majorBidi" w:hAnsiTheme="majorBidi" w:cstheme="majorBidi"/>
          <w:i/>
          <w:iCs/>
        </w:rPr>
        <w:t>398.14</w:t>
      </w:r>
      <w:r>
        <w:rPr>
          <w:rFonts w:asciiTheme="majorBidi" w:hAnsiTheme="majorBidi" w:cstheme="majorBidi"/>
          <w:i/>
          <w:iCs/>
        </w:rPr>
        <w:t xml:space="preserve">; </w:t>
      </w:r>
      <w:r w:rsidRPr="00954F0B">
        <w:rPr>
          <w:rFonts w:asciiTheme="majorBidi" w:hAnsiTheme="majorBidi" w:cstheme="majorBidi"/>
          <w:i/>
          <w:iCs/>
        </w:rPr>
        <w:t>PAM 41.387, 42.803</w:t>
      </w:r>
      <w:r>
        <w:rPr>
          <w:rFonts w:asciiTheme="majorBidi" w:hAnsiTheme="majorBidi" w:cstheme="majorBidi"/>
          <w:i/>
          <w:iCs/>
        </w:rPr>
        <w:t>)</w:t>
      </w:r>
      <w:r>
        <w:rPr>
          <w:rStyle w:val="FootnoteReference"/>
          <w:rFonts w:asciiTheme="majorBidi" w:hAnsiTheme="majorBidi" w:cstheme="majorBidi"/>
          <w:i/>
          <w:iCs/>
        </w:rPr>
        <w:footnoteReference w:id="16"/>
      </w:r>
    </w:p>
    <w:p w14:paraId="63E1B13C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64594933" w14:textId="23F2831B" w:rsidR="00142DA3" w:rsidRDefault="00142DA3" w:rsidP="000A34BA">
      <w:pPr>
        <w:bidi w:val="0"/>
        <w:spacing w:line="360" w:lineRule="auto"/>
        <w:jc w:val="both"/>
        <w:rPr>
          <w:rFonts w:asciiTheme="majorBidi" w:hAnsiTheme="majorBidi" w:cstheme="majorBidi"/>
        </w:rPr>
      </w:pPr>
      <w:r w:rsidRPr="00C56451">
        <w:rPr>
          <w:rFonts w:asciiTheme="majorBidi" w:hAnsiTheme="majorBidi" w:cstheme="majorBidi"/>
        </w:rPr>
        <w:t xml:space="preserve">Fragment </w:t>
      </w:r>
      <w:r>
        <w:rPr>
          <w:rFonts w:asciiTheme="majorBidi" w:hAnsiTheme="majorBidi" w:cstheme="majorBidi"/>
        </w:rPr>
        <w:t>48</w:t>
      </w:r>
      <w:r w:rsidRPr="00C56451">
        <w:rPr>
          <w:rFonts w:asciiTheme="majorBidi" w:hAnsiTheme="majorBidi" w:cstheme="majorBidi"/>
        </w:rPr>
        <w:t xml:space="preserve"> preserves wide</w:t>
      </w:r>
      <w:r w:rsidR="000A34BA">
        <w:rPr>
          <w:rFonts w:asciiTheme="majorBidi" w:hAnsiTheme="majorBidi" w:cstheme="majorBidi"/>
        </w:rPr>
        <w:t xml:space="preserve"> i</w:t>
      </w:r>
      <w:r w:rsidRPr="00C56451">
        <w:rPr>
          <w:rFonts w:asciiTheme="majorBidi" w:hAnsiTheme="majorBidi" w:cstheme="majorBidi"/>
        </w:rPr>
        <w:t>ntercolumnar margins, whose width</w:t>
      </w:r>
      <w:r w:rsidR="007433A6">
        <w:rPr>
          <w:rFonts w:asciiTheme="majorBidi" w:hAnsiTheme="majorBidi" w:cstheme="majorBidi"/>
        </w:rPr>
        <w:t xml:space="preserve"> is</w:t>
      </w:r>
      <w:r w:rsidRPr="00C56451">
        <w:rPr>
          <w:rFonts w:asciiTheme="majorBidi" w:hAnsiTheme="majorBidi" w:cstheme="majorBidi"/>
        </w:rPr>
        <w:t xml:space="preserve"> 2 cm.</w:t>
      </w:r>
      <w:r>
        <w:rPr>
          <w:rStyle w:val="FootnoteReference"/>
          <w:rFonts w:asciiTheme="majorBidi" w:hAnsiTheme="majorBidi" w:cstheme="majorBidi"/>
        </w:rPr>
        <w:footnoteReference w:id="17"/>
      </w:r>
      <w:r>
        <w:rPr>
          <w:rFonts w:asciiTheme="majorBidi" w:hAnsiTheme="majorBidi" w:cstheme="majorBidi"/>
        </w:rPr>
        <w:t xml:space="preserve"> </w:t>
      </w:r>
      <w:r w:rsidRPr="005F1E86">
        <w:rPr>
          <w:rFonts w:asciiTheme="majorBidi" w:hAnsiTheme="majorBidi" w:cstheme="majorBidi"/>
        </w:rPr>
        <w:t xml:space="preserve">Only three partial words </w:t>
      </w:r>
      <w:r>
        <w:rPr>
          <w:rFonts w:asciiTheme="majorBidi" w:hAnsiTheme="majorBidi" w:cstheme="majorBidi"/>
        </w:rPr>
        <w:t xml:space="preserve">have </w:t>
      </w:r>
      <w:r w:rsidRPr="005F1E86">
        <w:rPr>
          <w:rFonts w:asciiTheme="majorBidi" w:hAnsiTheme="majorBidi" w:cstheme="majorBidi"/>
        </w:rPr>
        <w:t xml:space="preserve">survived in this fragment. </w:t>
      </w:r>
      <w:r w:rsidR="00A41325">
        <w:rPr>
          <w:rFonts w:asciiTheme="majorBidi" w:hAnsiTheme="majorBidi" w:cstheme="majorBidi"/>
        </w:rPr>
        <w:t>D</w:t>
      </w:r>
      <w:r w:rsidRPr="005F1E86">
        <w:rPr>
          <w:rFonts w:asciiTheme="majorBidi" w:hAnsiTheme="majorBidi" w:cstheme="majorBidi"/>
        </w:rPr>
        <w:t xml:space="preserve">espite the paucity of evidence, </w:t>
      </w:r>
      <w:r w:rsidR="00A41325">
        <w:rPr>
          <w:rFonts w:asciiTheme="majorBidi" w:hAnsiTheme="majorBidi" w:cstheme="majorBidi"/>
        </w:rPr>
        <w:t xml:space="preserve">however, </w:t>
      </w:r>
      <w:r w:rsidRPr="005F1E86">
        <w:rPr>
          <w:rFonts w:asciiTheme="majorBidi" w:hAnsiTheme="majorBidi" w:cstheme="majorBidi"/>
        </w:rPr>
        <w:lastRenderedPageBreak/>
        <w:t>the fragmentary text</w:t>
      </w:r>
      <w:r w:rsidR="006A6D76">
        <w:rPr>
          <w:rFonts w:asciiTheme="majorBidi" w:hAnsiTheme="majorBidi" w:cstheme="majorBidi"/>
        </w:rPr>
        <w:t xml:space="preserve"> can be identified</w:t>
      </w:r>
      <w:r w:rsidRPr="005F1E86">
        <w:rPr>
          <w:rFonts w:asciiTheme="majorBidi" w:hAnsiTheme="majorBidi" w:cstheme="majorBidi"/>
        </w:rPr>
        <w:t xml:space="preserve">. The particular string of letters </w:t>
      </w:r>
      <w:r>
        <w:rPr>
          <w:rFonts w:asciiTheme="majorBidi" w:hAnsiTheme="majorBidi" w:cstheme="majorBidi"/>
        </w:rPr>
        <w:t xml:space="preserve">and words fits </w:t>
      </w:r>
      <w:r w:rsidR="006A6D76">
        <w:rPr>
          <w:rFonts w:asciiTheme="majorBidi" w:hAnsiTheme="majorBidi" w:cstheme="majorBidi"/>
        </w:rPr>
        <w:t xml:space="preserve">those of </w:t>
      </w:r>
      <w:r>
        <w:rPr>
          <w:rFonts w:asciiTheme="majorBidi" w:hAnsiTheme="majorBidi" w:cstheme="majorBidi"/>
        </w:rPr>
        <w:t>Ex 15:2–4, yielding the following partial reconstruction:</w:t>
      </w:r>
      <w:r>
        <w:rPr>
          <w:rStyle w:val="FootnoteReference"/>
          <w:rFonts w:asciiTheme="majorBidi" w:hAnsiTheme="majorBidi" w:cstheme="majorBidi"/>
        </w:rPr>
        <w:footnoteReference w:id="18"/>
      </w:r>
      <w:r>
        <w:rPr>
          <w:rFonts w:asciiTheme="majorBidi" w:hAnsiTheme="majorBidi" w:cstheme="majorBidi"/>
        </w:rPr>
        <w:t xml:space="preserve"> </w:t>
      </w:r>
    </w:p>
    <w:p w14:paraId="505A1F3D" w14:textId="77777777" w:rsidR="00142DA3" w:rsidRPr="00DB046C" w:rsidRDefault="00142DA3" w:rsidP="00142DA3">
      <w:pPr>
        <w:spacing w:line="360" w:lineRule="auto"/>
        <w:jc w:val="both"/>
        <w:rPr>
          <w:rFonts w:ascii="SBL Hebrew" w:hAnsi="SBL Hebrew" w:cs="SBL Hebrew"/>
        </w:rPr>
      </w:pPr>
    </w:p>
    <w:p w14:paraId="2C6D4EB6" w14:textId="6FB47319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The ink traces in line 1 seem to </w:t>
      </w:r>
      <w:r w:rsidR="00E44B92">
        <w:rPr>
          <w:rFonts w:asciiTheme="majorBidi" w:hAnsiTheme="majorBidi" w:cstheme="majorBidi"/>
        </w:rPr>
        <w:t xml:space="preserve">spell out </w:t>
      </w:r>
      <w:r>
        <w:rPr>
          <w:rFonts w:asciiTheme="majorBidi" w:hAnsiTheme="majorBidi" w:cstheme="majorBidi"/>
        </w:rPr>
        <w:t xml:space="preserve">the word </w:t>
      </w:r>
      <w:r w:rsidRPr="00337445">
        <w:rPr>
          <w:rFonts w:ascii="SBL Hebrew" w:hAnsi="SBL Hebrew" w:cs="SBL Hebrew" w:hint="cs"/>
          <w:rtl/>
        </w:rPr>
        <w:t>יה</w:t>
      </w:r>
      <w:r>
        <w:rPr>
          <w:rFonts w:asciiTheme="majorBidi" w:hAnsiTheme="majorBidi" w:cstheme="majorBidi"/>
        </w:rPr>
        <w:t xml:space="preserve">. </w:t>
      </w:r>
      <w:r w:rsidR="00E44B92">
        <w:rPr>
          <w:rFonts w:asciiTheme="majorBidi" w:hAnsiTheme="majorBidi" w:cstheme="majorBidi"/>
        </w:rPr>
        <w:t xml:space="preserve">Such a </w:t>
      </w:r>
      <w:r>
        <w:rPr>
          <w:rFonts w:asciiTheme="majorBidi" w:hAnsiTheme="majorBidi" w:cstheme="majorBidi"/>
        </w:rPr>
        <w:t xml:space="preserve">reading is </w:t>
      </w:r>
      <w:r w:rsidR="00E44B92">
        <w:rPr>
          <w:rFonts w:asciiTheme="majorBidi" w:hAnsiTheme="majorBidi" w:cstheme="majorBidi"/>
        </w:rPr>
        <w:t xml:space="preserve">also </w:t>
      </w:r>
      <w:r>
        <w:rPr>
          <w:rFonts w:asciiTheme="majorBidi" w:hAnsiTheme="majorBidi" w:cstheme="majorBidi"/>
        </w:rPr>
        <w:t xml:space="preserve">in line with the expected distance between lines 1 and 2, </w:t>
      </w:r>
      <w:r w:rsidR="00E44B92">
        <w:rPr>
          <w:rFonts w:asciiTheme="majorBidi" w:hAnsiTheme="majorBidi" w:cstheme="majorBidi"/>
        </w:rPr>
        <w:t xml:space="preserve">as </w:t>
      </w:r>
      <w:r>
        <w:rPr>
          <w:rFonts w:asciiTheme="majorBidi" w:hAnsiTheme="majorBidi" w:cstheme="majorBidi"/>
        </w:rPr>
        <w:t xml:space="preserve">determined by the textual reconstruction of lines 2 and 3 (fig. 2). </w:t>
      </w:r>
    </w:p>
    <w:p w14:paraId="78717701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0F946064" wp14:editId="4A4291FA">
            <wp:extent cx="5270500" cy="946150"/>
            <wp:effectExtent l="0" t="0" r="1270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צילום מסך 2021.03.15 ב.16.24.1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F47DE" w14:textId="77777777" w:rsidR="00142DA3" w:rsidRPr="005E197B" w:rsidRDefault="00142DA3" w:rsidP="00142DA3">
      <w:pPr>
        <w:bidi w:val="0"/>
        <w:spacing w:line="360" w:lineRule="auto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>Figure 2: Textual reconstruction of 4Q11-Ex 15:2–4 (4Q11 48)</w:t>
      </w:r>
      <w:r>
        <w:rPr>
          <w:rStyle w:val="FootnoteReference"/>
          <w:rFonts w:asciiTheme="majorBidi" w:hAnsiTheme="majorBidi" w:cstheme="majorBidi"/>
          <w:sz w:val="20"/>
          <w:szCs w:val="20"/>
        </w:rPr>
        <w:footnoteReference w:id="19"/>
      </w:r>
    </w:p>
    <w:p w14:paraId="7DA4D5B4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37A7543A" w14:textId="3084DEED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The traces of the last legible letter in line 2 may </w:t>
      </w:r>
      <w:r w:rsidR="00E44B92">
        <w:rPr>
          <w:rFonts w:asciiTheme="majorBidi" w:hAnsiTheme="majorBidi" w:cstheme="majorBidi"/>
        </w:rPr>
        <w:t xml:space="preserve">form </w:t>
      </w:r>
      <w:r>
        <w:rPr>
          <w:rFonts w:asciiTheme="majorBidi" w:hAnsiTheme="majorBidi" w:cstheme="majorBidi"/>
        </w:rPr>
        <w:t xml:space="preserve">the right leg of </w:t>
      </w:r>
      <w:r w:rsidRPr="004808B0">
        <w:rPr>
          <w:rFonts w:asciiTheme="majorBidi" w:hAnsiTheme="majorBidi" w:cstheme="majorBidi"/>
          <w:i/>
          <w:iCs/>
        </w:rPr>
        <w:t>gimel</w:t>
      </w:r>
      <w:r>
        <w:rPr>
          <w:rFonts w:asciiTheme="majorBidi" w:hAnsiTheme="majorBidi" w:cstheme="majorBidi"/>
        </w:rPr>
        <w:t xml:space="preserve">. If this is </w:t>
      </w:r>
      <w:r w:rsidR="00E44B92">
        <w:rPr>
          <w:rFonts w:asciiTheme="majorBidi" w:hAnsiTheme="majorBidi" w:cstheme="majorBidi"/>
        </w:rPr>
        <w:t>the case</w:t>
      </w:r>
      <w:r>
        <w:rPr>
          <w:rFonts w:asciiTheme="majorBidi" w:hAnsiTheme="majorBidi" w:cstheme="majorBidi"/>
        </w:rPr>
        <w:t xml:space="preserve">, </w:t>
      </w:r>
      <w:r w:rsidR="00E44B92">
        <w:rPr>
          <w:rFonts w:asciiTheme="majorBidi" w:hAnsiTheme="majorBidi" w:cstheme="majorBidi"/>
        </w:rPr>
        <w:t xml:space="preserve">then </w:t>
      </w:r>
      <w:r>
        <w:rPr>
          <w:rFonts w:asciiTheme="majorBidi" w:hAnsiTheme="majorBidi" w:cstheme="majorBidi"/>
        </w:rPr>
        <w:t xml:space="preserve">the new identification of fragment 48 reveals a possible agreement </w:t>
      </w:r>
      <w:r w:rsidR="00E44B92">
        <w:rPr>
          <w:rFonts w:asciiTheme="majorBidi" w:hAnsiTheme="majorBidi" w:cstheme="majorBidi"/>
        </w:rPr>
        <w:t xml:space="preserve">between </w:t>
      </w:r>
      <w:r>
        <w:rPr>
          <w:rFonts w:asciiTheme="majorBidi" w:hAnsiTheme="majorBidi" w:cstheme="majorBidi"/>
        </w:rPr>
        <w:t xml:space="preserve">4Q11 </w:t>
      </w:r>
      <w:r w:rsidR="00E44B92">
        <w:rPr>
          <w:rFonts w:asciiTheme="majorBidi" w:hAnsiTheme="majorBidi" w:cstheme="majorBidi"/>
        </w:rPr>
        <w:t xml:space="preserve">and </w:t>
      </w:r>
      <w:r>
        <w:rPr>
          <w:rFonts w:asciiTheme="majorBidi" w:hAnsiTheme="majorBidi" w:cstheme="majorBidi"/>
        </w:rPr>
        <w:t>SP-Ex 15:3, against MT:</w:t>
      </w:r>
      <w:r>
        <w:rPr>
          <w:rStyle w:val="FootnoteReference"/>
          <w:rFonts w:asciiTheme="majorBidi" w:hAnsiTheme="majorBidi" w:cstheme="majorBidi"/>
        </w:rPr>
        <w:footnoteReference w:id="20"/>
      </w:r>
    </w:p>
    <w:p w14:paraId="2956F609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086"/>
        <w:gridCol w:w="2168"/>
        <w:gridCol w:w="2127"/>
        <w:gridCol w:w="2545"/>
      </w:tblGrid>
      <w:tr w:rsidR="00142DA3" w14:paraId="78A719C5" w14:textId="77777777" w:rsidTr="00D375F2">
        <w:tc>
          <w:tcPr>
            <w:tcW w:w="2086" w:type="dxa"/>
          </w:tcPr>
          <w:p w14:paraId="08297D42" w14:textId="77777777" w:rsidR="00142DA3" w:rsidRDefault="00142DA3" w:rsidP="00D375F2">
            <w:pPr>
              <w:bidi w:val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4Q11</w:t>
            </w:r>
          </w:p>
        </w:tc>
        <w:tc>
          <w:tcPr>
            <w:tcW w:w="2168" w:type="dxa"/>
          </w:tcPr>
          <w:p w14:paraId="3AB6F31E" w14:textId="77777777" w:rsidR="00142DA3" w:rsidRDefault="00142DA3" w:rsidP="00D375F2">
            <w:pPr>
              <w:bidi w:val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SP</w:t>
            </w:r>
          </w:p>
        </w:tc>
        <w:tc>
          <w:tcPr>
            <w:tcW w:w="2127" w:type="dxa"/>
          </w:tcPr>
          <w:p w14:paraId="17998AD6" w14:textId="77777777" w:rsidR="00142DA3" w:rsidRDefault="00142DA3" w:rsidP="00D375F2">
            <w:pPr>
              <w:bidi w:val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MT</w:t>
            </w:r>
          </w:p>
        </w:tc>
        <w:tc>
          <w:tcPr>
            <w:tcW w:w="2545" w:type="dxa"/>
          </w:tcPr>
          <w:p w14:paraId="786FEB69" w14:textId="77777777" w:rsidR="00142DA3" w:rsidRDefault="00142DA3" w:rsidP="00D375F2">
            <w:pPr>
              <w:bidi w:val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NRSV</w:t>
            </w:r>
          </w:p>
        </w:tc>
      </w:tr>
      <w:tr w:rsidR="00142DA3" w14:paraId="5B4839AB" w14:textId="77777777" w:rsidTr="00D375F2">
        <w:trPr>
          <w:trHeight w:val="1094"/>
        </w:trPr>
        <w:tc>
          <w:tcPr>
            <w:tcW w:w="2086" w:type="dxa"/>
          </w:tcPr>
          <w:p w14:paraId="3D9499DF" w14:textId="77777777" w:rsidR="00142DA3" w:rsidRDefault="00142DA3" w:rsidP="00D375F2">
            <w:pPr>
              <w:jc w:val="both"/>
              <w:rPr>
                <w:rFonts w:asciiTheme="majorBidi" w:hAnsiTheme="majorBidi" w:cstheme="majorBidi"/>
              </w:rPr>
            </w:pPr>
            <w:r>
              <w:rPr>
                <w:rFonts w:ascii="SBL Hebrew" w:hAnsi="SBL Hebrew" w:cs="SBL Hebrew" w:hint="cs"/>
                <w:rtl/>
              </w:rPr>
              <w:t>יהוה ג</w:t>
            </w:r>
            <w:r w:rsidRPr="00D05602">
              <w:rPr>
                <w:rFonts w:ascii="SBL Hebrew" w:hAnsi="SBL Hebrew" w:cs="SBL Hebrew" w:hint="cs"/>
                <w:color w:val="000000" w:themeColor="text1"/>
                <w:rtl/>
              </w:rPr>
              <w:t>֯</w:t>
            </w:r>
            <w:r>
              <w:rPr>
                <w:rFonts w:ascii="SBL Hebrew" w:hAnsi="SBL Hebrew" w:cs="SBL Hebrew" w:hint="cs"/>
                <w:rtl/>
              </w:rPr>
              <w:t>[בור</w:t>
            </w:r>
          </w:p>
        </w:tc>
        <w:tc>
          <w:tcPr>
            <w:tcW w:w="2168" w:type="dxa"/>
          </w:tcPr>
          <w:p w14:paraId="08DFCADE" w14:textId="77777777" w:rsidR="00142DA3" w:rsidRDefault="00142DA3" w:rsidP="00D375F2">
            <w:pPr>
              <w:jc w:val="both"/>
              <w:rPr>
                <w:rFonts w:ascii="SBL Hebrew" w:hAnsi="SBL Hebrew" w:cs="SBL Hebrew"/>
              </w:rPr>
            </w:pPr>
            <w:r w:rsidRPr="004808B0">
              <w:rPr>
                <w:rFonts w:ascii="SBL Hebrew" w:hAnsi="SBL Hebrew" w:cs="SBL Hebrew"/>
                <w:rtl/>
              </w:rPr>
              <w:t xml:space="preserve">יהוה גיבור במלחמה </w:t>
            </w:r>
          </w:p>
          <w:p w14:paraId="0C766BBC" w14:textId="77777777" w:rsidR="00142DA3" w:rsidRDefault="00142DA3" w:rsidP="00D375F2">
            <w:pPr>
              <w:jc w:val="both"/>
              <w:rPr>
                <w:rFonts w:ascii="SBL Hebrew" w:hAnsi="SBL Hebrew" w:cs="SBL Hebrew"/>
              </w:rPr>
            </w:pPr>
          </w:p>
          <w:p w14:paraId="360FD0E8" w14:textId="77777777" w:rsidR="00142DA3" w:rsidRPr="004808B0" w:rsidRDefault="00142DA3" w:rsidP="00D375F2">
            <w:pPr>
              <w:jc w:val="both"/>
              <w:rPr>
                <w:rFonts w:ascii="SBL Hebrew" w:hAnsi="SBL Hebrew" w:cs="SBL Hebrew"/>
              </w:rPr>
            </w:pPr>
            <w:r w:rsidRPr="004808B0">
              <w:rPr>
                <w:rFonts w:ascii="SBL Hebrew" w:hAnsi="SBL Hebrew" w:cs="SBL Hebrew"/>
                <w:rtl/>
              </w:rPr>
              <w:t>יהוה שמו</w:t>
            </w:r>
          </w:p>
        </w:tc>
        <w:tc>
          <w:tcPr>
            <w:tcW w:w="2127" w:type="dxa"/>
          </w:tcPr>
          <w:p w14:paraId="17CE244F" w14:textId="77777777" w:rsidR="00142DA3" w:rsidRDefault="00142DA3" w:rsidP="00D375F2">
            <w:pPr>
              <w:jc w:val="both"/>
              <w:rPr>
                <w:rFonts w:ascii="SBL Hebrew" w:hAnsi="SBL Hebrew" w:cs="SBL Hebrew"/>
              </w:rPr>
            </w:pPr>
            <w:r w:rsidRPr="004808B0">
              <w:rPr>
                <w:rFonts w:ascii="SBL Hebrew" w:hAnsi="SBL Hebrew" w:cs="SBL Hebrew"/>
                <w:rtl/>
              </w:rPr>
              <w:t xml:space="preserve">‏יְהוָה אִישׁ מִלְחָמָה </w:t>
            </w:r>
          </w:p>
          <w:p w14:paraId="5A539DE0" w14:textId="77777777" w:rsidR="00142DA3" w:rsidRDefault="00142DA3" w:rsidP="00D375F2">
            <w:pPr>
              <w:jc w:val="both"/>
              <w:rPr>
                <w:rFonts w:ascii="SBL Hebrew" w:hAnsi="SBL Hebrew" w:cs="SBL Hebrew"/>
              </w:rPr>
            </w:pPr>
            <w:r w:rsidRPr="004808B0">
              <w:rPr>
                <w:rFonts w:ascii="SBL Hebrew" w:hAnsi="SBL Hebrew" w:cs="SBL Hebrew"/>
                <w:cs/>
              </w:rPr>
              <w:t>‎</w:t>
            </w:r>
          </w:p>
          <w:p w14:paraId="54DC7689" w14:textId="77777777" w:rsidR="00142DA3" w:rsidRPr="004808B0" w:rsidRDefault="00142DA3" w:rsidP="00D375F2">
            <w:pPr>
              <w:jc w:val="both"/>
              <w:rPr>
                <w:rFonts w:ascii="SBL Hebrew" w:hAnsi="SBL Hebrew" w:cs="SBL Hebrew"/>
              </w:rPr>
            </w:pPr>
            <w:r w:rsidRPr="004808B0">
              <w:rPr>
                <w:rFonts w:ascii="SBL Hebrew" w:hAnsi="SBL Hebrew" w:cs="SBL Hebrew"/>
                <w:rtl/>
              </w:rPr>
              <w:t>יְהוָה שְׁמוֹ</w:t>
            </w:r>
          </w:p>
        </w:tc>
        <w:tc>
          <w:tcPr>
            <w:tcW w:w="2545" w:type="dxa"/>
          </w:tcPr>
          <w:p w14:paraId="28BC4FA5" w14:textId="77777777" w:rsidR="00142DA3" w:rsidRPr="003D31AD" w:rsidRDefault="00142DA3" w:rsidP="00D375F2">
            <w:pPr>
              <w:bidi w:val="0"/>
              <w:spacing w:line="528" w:lineRule="auto"/>
              <w:jc w:val="both"/>
              <w:rPr>
                <w:rFonts w:ascii="Times New Roman" w:eastAsia="Times New Roman" w:hAnsi="Times New Roman" w:cs="Times New Roman"/>
                <w:rtl/>
              </w:rPr>
            </w:pPr>
            <w:r w:rsidRPr="003D31AD">
              <w:rPr>
                <w:rFonts w:asciiTheme="majorBidi" w:hAnsiTheme="majorBidi" w:cstheme="majorBidi"/>
              </w:rPr>
              <w:t>The Lord is a warrior;</w:t>
            </w:r>
            <w:r w:rsidRPr="003D31AD">
              <w:rPr>
                <w:rFonts w:asciiTheme="majorBidi" w:hAnsiTheme="majorBidi" w:cstheme="majorBidi"/>
              </w:rPr>
              <w:br/>
              <w:t>the Lord is his name</w:t>
            </w:r>
          </w:p>
        </w:tc>
      </w:tr>
    </w:tbl>
    <w:p w14:paraId="7CD92EF5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32EB650A" w14:textId="7468FBB1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2.2 Fragment included</w:t>
      </w:r>
      <w:r w:rsidR="00E44B92" w:rsidRPr="00E44B92">
        <w:rPr>
          <w:rFonts w:asciiTheme="majorBidi" w:hAnsiTheme="majorBidi" w:cstheme="majorBidi"/>
        </w:rPr>
        <w:t xml:space="preserve"> </w:t>
      </w:r>
      <w:r w:rsidR="00E44B92">
        <w:rPr>
          <w:rFonts w:asciiTheme="majorBidi" w:hAnsiTheme="majorBidi" w:cstheme="majorBidi"/>
        </w:rPr>
        <w:t>but not transcribed or identified</w:t>
      </w:r>
      <w:r>
        <w:rPr>
          <w:rFonts w:asciiTheme="majorBidi" w:hAnsiTheme="majorBidi" w:cstheme="majorBidi"/>
        </w:rPr>
        <w:t xml:space="preserve"> in the official edition </w:t>
      </w:r>
    </w:p>
    <w:p w14:paraId="0B900A2D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i/>
          <w:iCs/>
        </w:rPr>
      </w:pPr>
    </w:p>
    <w:p w14:paraId="2FE31626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2.3 Unpublished fragments from IAA plate 395</w:t>
      </w:r>
    </w:p>
    <w:p w14:paraId="35D57351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i/>
          <w:iCs/>
          <w:color w:val="000000" w:themeColor="text1"/>
        </w:rPr>
      </w:pPr>
      <w:r>
        <w:rPr>
          <w:rFonts w:asciiTheme="majorBidi" w:hAnsiTheme="majorBidi" w:cstheme="majorBidi"/>
        </w:rPr>
        <w:t xml:space="preserve"> 2.3.1 </w:t>
      </w:r>
      <w:r w:rsidRPr="004F0AF7">
        <w:rPr>
          <w:rFonts w:asciiTheme="majorBidi" w:hAnsiTheme="majorBidi" w:cstheme="majorBidi"/>
          <w:i/>
          <w:iCs/>
        </w:rPr>
        <w:t>Frag. 65 (</w:t>
      </w:r>
      <w:r>
        <w:rPr>
          <w:rFonts w:asciiTheme="majorBidi" w:hAnsiTheme="majorBidi" w:cstheme="majorBidi"/>
          <w:i/>
          <w:iCs/>
        </w:rPr>
        <w:t xml:space="preserve">IAA </w:t>
      </w:r>
      <w:r w:rsidRPr="00661B45">
        <w:rPr>
          <w:rFonts w:asciiTheme="majorBidi" w:hAnsiTheme="majorBidi" w:cstheme="majorBidi"/>
          <w:i/>
          <w:iCs/>
          <w:color w:val="000000" w:themeColor="text1"/>
        </w:rPr>
        <w:t xml:space="preserve">395.13; PAM </w:t>
      </w:r>
      <w:r w:rsidRPr="00661B45">
        <w:rPr>
          <w:rFonts w:asciiTheme="majorBidi" w:hAnsiTheme="majorBidi" w:cstheme="majorBidi" w:hint="cs"/>
          <w:i/>
          <w:iCs/>
          <w:color w:val="000000" w:themeColor="text1"/>
          <w:rtl/>
        </w:rPr>
        <w:t>42.803</w:t>
      </w:r>
      <w:r>
        <w:rPr>
          <w:rFonts w:asciiTheme="majorBidi" w:hAnsiTheme="majorBidi" w:cstheme="majorBidi"/>
          <w:i/>
          <w:iCs/>
          <w:color w:val="000000" w:themeColor="text1"/>
        </w:rPr>
        <w:t>)</w:t>
      </w:r>
      <w:r>
        <w:rPr>
          <w:rStyle w:val="FootnoteReference"/>
          <w:rFonts w:asciiTheme="majorBidi" w:hAnsiTheme="majorBidi" w:cstheme="majorBidi"/>
          <w:i/>
          <w:iCs/>
          <w:color w:val="000000" w:themeColor="text1"/>
        </w:rPr>
        <w:footnoteReference w:id="21"/>
      </w:r>
      <w:r>
        <w:rPr>
          <w:rFonts w:asciiTheme="majorBidi" w:hAnsiTheme="majorBidi" w:cstheme="majorBidi"/>
          <w:i/>
          <w:iCs/>
          <w:color w:val="000000" w:themeColor="text1"/>
        </w:rPr>
        <w:t xml:space="preserve"> </w:t>
      </w:r>
    </w:p>
    <w:p w14:paraId="58B5B727" w14:textId="77777777" w:rsidR="00142DA3" w:rsidRPr="000238AF" w:rsidRDefault="00142DA3" w:rsidP="00142DA3">
      <w:pPr>
        <w:bidi w:val="0"/>
        <w:spacing w:line="360" w:lineRule="auto"/>
        <w:jc w:val="both"/>
        <w:rPr>
          <w:rFonts w:ascii="SBL Hebrew" w:hAnsi="SBL Hebrew" w:cs="SBL Hebrew"/>
        </w:rPr>
      </w:pPr>
      <w:r w:rsidRPr="00C55486">
        <w:rPr>
          <w:rFonts w:asciiTheme="majorBidi" w:hAnsiTheme="majorBidi" w:cstheme="majorBidi"/>
          <w:color w:val="000000" w:themeColor="text1"/>
        </w:rPr>
        <w:t xml:space="preserve">      </w:t>
      </w:r>
      <w:r>
        <w:rPr>
          <w:rFonts w:asciiTheme="majorBidi" w:hAnsiTheme="majorBidi" w:cstheme="majorBidi"/>
          <w:color w:val="000000" w:themeColor="text1"/>
        </w:rPr>
        <w:t xml:space="preserve">    </w:t>
      </w:r>
    </w:p>
    <w:p w14:paraId="4E402D02" w14:textId="078C6AEC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Only two partial words surviv</w:t>
      </w:r>
      <w:r w:rsidR="00E44B92">
        <w:rPr>
          <w:rFonts w:asciiTheme="majorBidi" w:hAnsiTheme="majorBidi" w:cstheme="majorBidi"/>
        </w:rPr>
        <w:t>e in</w:t>
      </w:r>
      <w:r>
        <w:rPr>
          <w:rFonts w:asciiTheme="majorBidi" w:hAnsiTheme="majorBidi" w:cstheme="majorBidi"/>
        </w:rPr>
        <w:t xml:space="preserve"> fragment 65, </w:t>
      </w:r>
      <w:r w:rsidR="00E44B92">
        <w:rPr>
          <w:rFonts w:asciiTheme="majorBidi" w:hAnsiTheme="majorBidi" w:cstheme="majorBidi"/>
        </w:rPr>
        <w:t xml:space="preserve">and </w:t>
      </w:r>
      <w:r>
        <w:rPr>
          <w:rFonts w:asciiTheme="majorBidi" w:hAnsiTheme="majorBidi" w:cstheme="majorBidi"/>
        </w:rPr>
        <w:t>the distance between them is approximately one line. The fragment in MT-Ex and SP-Ex</w:t>
      </w:r>
      <w:r w:rsidR="00E44B92">
        <w:rPr>
          <w:rFonts w:asciiTheme="majorBidi" w:hAnsiTheme="majorBidi" w:cstheme="majorBidi"/>
        </w:rPr>
        <w:t xml:space="preserve"> can be </w:t>
      </w:r>
      <w:r w:rsidR="00F73FA6">
        <w:rPr>
          <w:rFonts w:asciiTheme="majorBidi" w:hAnsiTheme="majorBidi" w:cstheme="majorBidi"/>
        </w:rPr>
        <w:t xml:space="preserve">identified in three </w:t>
      </w:r>
      <w:r w:rsidR="00F73FA6">
        <w:rPr>
          <w:rFonts w:asciiTheme="majorBidi" w:hAnsiTheme="majorBidi" w:cstheme="majorBidi"/>
        </w:rPr>
        <w:lastRenderedPageBreak/>
        <w:t>possible ways</w:t>
      </w:r>
      <w:r w:rsidR="00A41325">
        <w:rPr>
          <w:rFonts w:asciiTheme="majorBidi" w:hAnsiTheme="majorBidi" w:cstheme="majorBidi"/>
        </w:rPr>
        <w:t>, namely, as</w:t>
      </w:r>
      <w:r>
        <w:rPr>
          <w:rFonts w:asciiTheme="majorBidi" w:hAnsiTheme="majorBidi" w:cstheme="majorBidi"/>
        </w:rPr>
        <w:t>: (1) Ex 9:23–24 (</w:t>
      </w:r>
      <w:r>
        <w:rPr>
          <w:rFonts w:ascii="SBL Hebrew" w:hAnsi="SBL Hebrew" w:cs="SBL Hebrew" w:hint="cs"/>
          <w:rtl/>
        </w:rPr>
        <w:t>מצרים; היה כמוהו</w:t>
      </w:r>
      <w:r>
        <w:rPr>
          <w:rFonts w:ascii="SBL Hebrew" w:hAnsi="SBL Hebrew" w:cs="SBL Hebrew"/>
        </w:rPr>
        <w:t>)</w:t>
      </w:r>
      <w:r>
        <w:rPr>
          <w:rFonts w:asciiTheme="majorBidi" w:hAnsiTheme="majorBidi" w:cstheme="majorBidi"/>
        </w:rPr>
        <w:t>; (2) Ex 10:14 (</w:t>
      </w:r>
      <w:r w:rsidRPr="004A1A9F">
        <w:rPr>
          <w:rFonts w:ascii="SBL Hebrew" w:hAnsi="SBL Hebrew" w:cs="SBL Hebrew" w:hint="cs"/>
          <w:rtl/>
        </w:rPr>
        <w:t>מצרים; ארבה כמוהו</w:t>
      </w:r>
      <w:r>
        <w:rPr>
          <w:rFonts w:asciiTheme="majorBidi" w:hAnsiTheme="majorBidi" w:cstheme="majorBidi"/>
        </w:rPr>
        <w:t>); (3) Ex 15:10–11 (</w:t>
      </w:r>
      <w:r>
        <w:rPr>
          <w:rFonts w:ascii="SBL Hebrew" w:hAnsi="SBL Hebrew" w:cs="SBL Hebrew" w:hint="cs"/>
          <w:rtl/>
        </w:rPr>
        <w:t>אדירים; מי כמוכה</w:t>
      </w:r>
      <w:r>
        <w:rPr>
          <w:rFonts w:ascii="SBL Hebrew" w:hAnsi="SBL Hebrew" w:cs="SBL Hebrew"/>
        </w:rPr>
        <w:t>)</w:t>
      </w:r>
      <w:r>
        <w:rPr>
          <w:rFonts w:asciiTheme="majorBidi" w:hAnsiTheme="majorBidi" w:cstheme="majorBidi"/>
        </w:rPr>
        <w:t>.</w:t>
      </w:r>
      <w:r>
        <w:rPr>
          <w:rStyle w:val="FootnoteReference"/>
          <w:rFonts w:asciiTheme="majorBidi" w:hAnsiTheme="majorBidi" w:cstheme="majorBidi"/>
        </w:rPr>
        <w:footnoteReference w:id="22"/>
      </w:r>
      <w:r>
        <w:rPr>
          <w:rFonts w:asciiTheme="majorBidi" w:hAnsiTheme="majorBidi" w:cstheme="majorBidi"/>
        </w:rPr>
        <w:t xml:space="preserve"> </w:t>
      </w:r>
    </w:p>
    <w:p w14:paraId="0F0B7767" w14:textId="4CCBA231" w:rsidR="00142DA3" w:rsidRDefault="00BD12AE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T</w:t>
      </w:r>
      <w:r w:rsidR="00142DA3">
        <w:rPr>
          <w:rFonts w:asciiTheme="majorBidi" w:hAnsiTheme="majorBidi" w:cstheme="majorBidi"/>
        </w:rPr>
        <w:t>races of the two uncertain letters in line 2 indicate that the</w:t>
      </w:r>
      <w:r w:rsidR="00F73FA6">
        <w:rPr>
          <w:rFonts w:asciiTheme="majorBidi" w:hAnsiTheme="majorBidi" w:cstheme="majorBidi"/>
        </w:rPr>
        <w:t>ir</w:t>
      </w:r>
      <w:r w:rsidR="00142DA3">
        <w:rPr>
          <w:rFonts w:asciiTheme="majorBidi" w:hAnsiTheme="majorBidi" w:cstheme="majorBidi"/>
        </w:rPr>
        <w:t xml:space="preserve"> identification </w:t>
      </w:r>
      <w:r w:rsidR="00F73FA6">
        <w:rPr>
          <w:rFonts w:asciiTheme="majorBidi" w:hAnsiTheme="majorBidi" w:cstheme="majorBidi"/>
        </w:rPr>
        <w:t xml:space="preserve">as </w:t>
      </w:r>
      <w:r w:rsidR="00142DA3">
        <w:rPr>
          <w:rFonts w:asciiTheme="majorBidi" w:hAnsiTheme="majorBidi" w:cstheme="majorBidi"/>
        </w:rPr>
        <w:t>Ex 10:14 is preferable:</w:t>
      </w:r>
    </w:p>
    <w:p w14:paraId="45F05D72" w14:textId="1E9615BC" w:rsidR="00142DA3" w:rsidRDefault="00142DA3" w:rsidP="0000670F">
      <w:pPr>
        <w:pStyle w:val="ListParagraph"/>
        <w:numPr>
          <w:ilvl w:val="0"/>
          <w:numId w:val="1"/>
        </w:num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The second letter is </w:t>
      </w:r>
      <w:r w:rsidR="00FE3944">
        <w:rPr>
          <w:rFonts w:asciiTheme="majorBidi" w:hAnsiTheme="majorBidi" w:cstheme="majorBidi"/>
        </w:rPr>
        <w:t>evident</w:t>
      </w:r>
      <w:r w:rsidR="00BD12AE">
        <w:rPr>
          <w:rFonts w:asciiTheme="majorBidi" w:hAnsiTheme="majorBidi" w:cstheme="majorBidi"/>
        </w:rPr>
        <w:t xml:space="preserve"> from</w:t>
      </w:r>
      <w:r>
        <w:rPr>
          <w:rFonts w:asciiTheme="majorBidi" w:hAnsiTheme="majorBidi" w:cstheme="majorBidi"/>
        </w:rPr>
        <w:t xml:space="preserve"> traces of </w:t>
      </w:r>
      <w:r w:rsidR="00BD12AE">
        <w:rPr>
          <w:rFonts w:asciiTheme="majorBidi" w:hAnsiTheme="majorBidi" w:cstheme="majorBidi"/>
        </w:rPr>
        <w:t xml:space="preserve">a </w:t>
      </w:r>
      <w:r w:rsidRPr="002826A0">
        <w:rPr>
          <w:rFonts w:asciiTheme="majorBidi" w:hAnsiTheme="majorBidi" w:cstheme="majorBidi"/>
        </w:rPr>
        <w:t>left vertical stroke</w:t>
      </w:r>
      <w:r>
        <w:rPr>
          <w:rFonts w:asciiTheme="majorBidi" w:hAnsiTheme="majorBidi" w:cstheme="majorBidi"/>
        </w:rPr>
        <w:t xml:space="preserve"> and remains of a letter’s head. </w:t>
      </w:r>
      <w:commentRangeStart w:id="0"/>
      <w:commentRangeStart w:id="1"/>
      <w:r>
        <w:rPr>
          <w:rFonts w:asciiTheme="majorBidi" w:hAnsiTheme="majorBidi" w:cstheme="majorBidi"/>
        </w:rPr>
        <w:t xml:space="preserve">These traces do not </w:t>
      </w:r>
      <w:r w:rsidR="007B4900">
        <w:rPr>
          <w:rFonts w:asciiTheme="majorBidi" w:hAnsiTheme="majorBidi" w:cstheme="majorBidi"/>
        </w:rPr>
        <w:t>resemble</w:t>
      </w:r>
      <w:r w:rsidR="00FE3944">
        <w:rPr>
          <w:rFonts w:asciiTheme="majorBidi" w:hAnsiTheme="majorBidi" w:cstheme="majorBidi"/>
        </w:rPr>
        <w:t xml:space="preserve"> a </w:t>
      </w:r>
      <w:r w:rsidRPr="002826A0">
        <w:rPr>
          <w:rFonts w:asciiTheme="majorBidi" w:hAnsiTheme="majorBidi" w:cstheme="majorBidi"/>
          <w:i/>
          <w:iCs/>
        </w:rPr>
        <w:t>yod</w:t>
      </w:r>
      <w:r>
        <w:rPr>
          <w:rFonts w:asciiTheme="majorBidi" w:hAnsiTheme="majorBidi" w:cstheme="majorBidi"/>
        </w:rPr>
        <w:t xml:space="preserve">, which </w:t>
      </w:r>
      <w:r w:rsidR="00FE3944">
        <w:rPr>
          <w:rFonts w:asciiTheme="majorBidi" w:hAnsiTheme="majorBidi" w:cstheme="majorBidi"/>
        </w:rPr>
        <w:t xml:space="preserve">is what one </w:t>
      </w:r>
      <w:r w:rsidR="00A41325">
        <w:rPr>
          <w:rFonts w:asciiTheme="majorBidi" w:hAnsiTheme="majorBidi" w:cstheme="majorBidi"/>
        </w:rPr>
        <w:t>might</w:t>
      </w:r>
      <w:r w:rsidR="00FE3944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expect</w:t>
      </w:r>
      <w:r w:rsidR="00FE3944">
        <w:rPr>
          <w:rFonts w:asciiTheme="majorBidi" w:hAnsiTheme="majorBidi" w:cstheme="majorBidi"/>
        </w:rPr>
        <w:t xml:space="preserve"> </w:t>
      </w:r>
      <w:r w:rsidR="00A41325" w:rsidRPr="00046C6A">
        <w:rPr>
          <w:rFonts w:asciiTheme="majorBidi" w:hAnsiTheme="majorBidi" w:cstheme="majorBidi"/>
        </w:rPr>
        <w:t>were</w:t>
      </w:r>
      <w:r>
        <w:rPr>
          <w:rFonts w:asciiTheme="majorBidi" w:hAnsiTheme="majorBidi" w:cstheme="majorBidi"/>
        </w:rPr>
        <w:t xml:space="preserve"> the </w:t>
      </w:r>
      <w:r w:rsidR="00FE3944">
        <w:rPr>
          <w:rFonts w:asciiTheme="majorBidi" w:hAnsiTheme="majorBidi" w:cstheme="majorBidi"/>
        </w:rPr>
        <w:t xml:space="preserve">text </w:t>
      </w:r>
      <w:r>
        <w:rPr>
          <w:rFonts w:asciiTheme="majorBidi" w:hAnsiTheme="majorBidi" w:cstheme="majorBidi"/>
        </w:rPr>
        <w:t>identifi</w:t>
      </w:r>
      <w:r w:rsidR="00FE3944">
        <w:rPr>
          <w:rFonts w:asciiTheme="majorBidi" w:hAnsiTheme="majorBidi" w:cstheme="majorBidi"/>
        </w:rPr>
        <w:t>ed as</w:t>
      </w:r>
      <w:r>
        <w:rPr>
          <w:rFonts w:asciiTheme="majorBidi" w:hAnsiTheme="majorBidi" w:cstheme="majorBidi"/>
        </w:rPr>
        <w:t xml:space="preserve"> Ex 15:10–11.</w:t>
      </w:r>
      <w:commentRangeEnd w:id="0"/>
      <w:r w:rsidR="007A7F60">
        <w:rPr>
          <w:rStyle w:val="CommentReference"/>
        </w:rPr>
        <w:commentReference w:id="0"/>
      </w:r>
      <w:commentRangeEnd w:id="1"/>
      <w:r w:rsidR="004B27F2">
        <w:rPr>
          <w:rStyle w:val="CommentReference"/>
        </w:rPr>
        <w:commentReference w:id="1"/>
      </w:r>
      <w:r>
        <w:rPr>
          <w:rFonts w:asciiTheme="majorBidi" w:hAnsiTheme="majorBidi" w:cstheme="majorBidi"/>
        </w:rPr>
        <w:t xml:space="preserve"> Instead, </w:t>
      </w:r>
      <w:r w:rsidR="00FE3944">
        <w:rPr>
          <w:rFonts w:asciiTheme="majorBidi" w:hAnsiTheme="majorBidi" w:cstheme="majorBidi"/>
        </w:rPr>
        <w:t>they seem</w:t>
      </w:r>
      <w:r>
        <w:rPr>
          <w:rFonts w:asciiTheme="majorBidi" w:hAnsiTheme="majorBidi" w:cstheme="majorBidi"/>
        </w:rPr>
        <w:t xml:space="preserve"> </w:t>
      </w:r>
      <w:r w:rsidR="00FE3944">
        <w:rPr>
          <w:rFonts w:asciiTheme="majorBidi" w:hAnsiTheme="majorBidi" w:cstheme="majorBidi"/>
        </w:rPr>
        <w:t xml:space="preserve">to </w:t>
      </w:r>
      <w:r w:rsidR="0000670F">
        <w:rPr>
          <w:rFonts w:asciiTheme="majorBidi" w:hAnsiTheme="majorBidi" w:cstheme="majorBidi"/>
        </w:rPr>
        <w:t>represent</w:t>
      </w:r>
      <w:r>
        <w:rPr>
          <w:rFonts w:asciiTheme="majorBidi" w:hAnsiTheme="majorBidi" w:cstheme="majorBidi"/>
        </w:rPr>
        <w:t xml:space="preserve"> the letter </w:t>
      </w:r>
      <w:r w:rsidRPr="00685D4F">
        <w:rPr>
          <w:rFonts w:asciiTheme="majorBidi" w:hAnsiTheme="majorBidi" w:cstheme="majorBidi"/>
          <w:i/>
          <w:iCs/>
        </w:rPr>
        <w:t>he</w:t>
      </w:r>
      <w:r>
        <w:rPr>
          <w:rFonts w:asciiTheme="majorBidi" w:hAnsiTheme="majorBidi" w:cstheme="majorBidi"/>
        </w:rPr>
        <w:t xml:space="preserve">, </w:t>
      </w:r>
      <w:r w:rsidR="00A41325">
        <w:rPr>
          <w:rFonts w:asciiTheme="majorBidi" w:hAnsiTheme="majorBidi" w:cstheme="majorBidi"/>
        </w:rPr>
        <w:t>in accordance with</w:t>
      </w:r>
      <w:r>
        <w:rPr>
          <w:rFonts w:asciiTheme="majorBidi" w:hAnsiTheme="majorBidi" w:cstheme="majorBidi"/>
        </w:rPr>
        <w:t xml:space="preserve"> the proposed identification </w:t>
      </w:r>
      <w:r w:rsidR="00A41325">
        <w:rPr>
          <w:rFonts w:asciiTheme="majorBidi" w:hAnsiTheme="majorBidi" w:cstheme="majorBidi"/>
        </w:rPr>
        <w:t xml:space="preserve">of the text as </w:t>
      </w:r>
      <w:r>
        <w:rPr>
          <w:rFonts w:asciiTheme="majorBidi" w:hAnsiTheme="majorBidi" w:cstheme="majorBidi"/>
        </w:rPr>
        <w:t xml:space="preserve">Ex 9:23–24 or Ex 10:14.  </w:t>
      </w:r>
    </w:p>
    <w:p w14:paraId="313DACA4" w14:textId="10B16AEC" w:rsidR="00142DA3" w:rsidRPr="00685D4F" w:rsidRDefault="00142DA3" w:rsidP="00142DA3">
      <w:pPr>
        <w:pStyle w:val="ListParagraph"/>
        <w:numPr>
          <w:ilvl w:val="0"/>
          <w:numId w:val="1"/>
        </w:numPr>
        <w:bidi w:val="0"/>
        <w:spacing w:line="360" w:lineRule="auto"/>
        <w:jc w:val="both"/>
        <w:rPr>
          <w:rFonts w:asciiTheme="majorBidi" w:hAnsiTheme="majorBidi" w:cstheme="majorBidi"/>
        </w:rPr>
      </w:pPr>
      <w:r w:rsidRPr="00685D4F">
        <w:rPr>
          <w:rFonts w:asciiTheme="majorBidi" w:hAnsiTheme="majorBidi" w:cstheme="majorBidi"/>
        </w:rPr>
        <w:t xml:space="preserve">The traces of the first letter in line 2 </w:t>
      </w:r>
      <w:r w:rsidR="007B4900">
        <w:rPr>
          <w:rFonts w:asciiTheme="majorBidi" w:hAnsiTheme="majorBidi" w:cstheme="majorBidi"/>
        </w:rPr>
        <w:t>look more like</w:t>
      </w:r>
      <w:r w:rsidR="00FE3944" w:rsidRPr="00685D4F">
        <w:rPr>
          <w:rFonts w:asciiTheme="majorBidi" w:hAnsiTheme="majorBidi" w:cstheme="majorBidi"/>
        </w:rPr>
        <w:t xml:space="preserve"> </w:t>
      </w:r>
      <w:r w:rsidRPr="00685D4F">
        <w:rPr>
          <w:rFonts w:asciiTheme="majorBidi" w:hAnsiTheme="majorBidi" w:cstheme="majorBidi"/>
          <w:i/>
          <w:iCs/>
        </w:rPr>
        <w:t>bet</w:t>
      </w:r>
      <w:r w:rsidRPr="00685D4F">
        <w:rPr>
          <w:rFonts w:asciiTheme="majorBidi" w:hAnsiTheme="majorBidi" w:cstheme="majorBidi"/>
        </w:rPr>
        <w:t xml:space="preserve"> than </w:t>
      </w:r>
      <w:r w:rsidR="007B4900">
        <w:rPr>
          <w:rFonts w:asciiTheme="majorBidi" w:hAnsiTheme="majorBidi" w:cstheme="majorBidi"/>
        </w:rPr>
        <w:t>like</w:t>
      </w:r>
      <w:r w:rsidR="00FE3944">
        <w:rPr>
          <w:rFonts w:asciiTheme="majorBidi" w:hAnsiTheme="majorBidi" w:cstheme="majorBidi"/>
        </w:rPr>
        <w:t xml:space="preserve"> </w:t>
      </w:r>
      <w:r w:rsidRPr="00685D4F">
        <w:rPr>
          <w:rFonts w:asciiTheme="majorBidi" w:hAnsiTheme="majorBidi" w:cstheme="majorBidi"/>
          <w:i/>
          <w:iCs/>
        </w:rPr>
        <w:t>yod</w:t>
      </w:r>
      <w:r w:rsidRPr="00685D4F"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/>
        </w:rPr>
        <w:t xml:space="preserve"> </w:t>
      </w:r>
      <w:r w:rsidR="00FE3944">
        <w:rPr>
          <w:rFonts w:asciiTheme="majorBidi" w:hAnsiTheme="majorBidi" w:cstheme="majorBidi"/>
        </w:rPr>
        <w:t>T</w:t>
      </w:r>
      <w:r>
        <w:rPr>
          <w:rFonts w:asciiTheme="majorBidi" w:hAnsiTheme="majorBidi" w:cstheme="majorBidi"/>
        </w:rPr>
        <w:t xml:space="preserve">hey are </w:t>
      </w:r>
      <w:r w:rsidR="007B4900">
        <w:rPr>
          <w:rFonts w:asciiTheme="majorBidi" w:hAnsiTheme="majorBidi" w:cstheme="majorBidi"/>
        </w:rPr>
        <w:t>thus well suited for</w:t>
      </w:r>
      <w:r>
        <w:rPr>
          <w:rFonts w:asciiTheme="majorBidi" w:hAnsiTheme="majorBidi" w:cstheme="majorBidi"/>
        </w:rPr>
        <w:t xml:space="preserve"> the reconstruction </w:t>
      </w:r>
      <w:r w:rsidR="007B4900">
        <w:rPr>
          <w:rFonts w:asciiTheme="majorBidi" w:hAnsiTheme="majorBidi" w:cstheme="majorBidi"/>
        </w:rPr>
        <w:t xml:space="preserve">of the text as </w:t>
      </w:r>
      <w:r>
        <w:rPr>
          <w:rFonts w:ascii="SBL Hebrew" w:hAnsi="SBL Hebrew" w:cs="SBL Hebrew" w:hint="cs"/>
          <w:color w:val="000000" w:themeColor="text1"/>
          <w:rtl/>
        </w:rPr>
        <w:t>אר]</w:t>
      </w:r>
      <w:r>
        <w:rPr>
          <w:rFonts w:ascii="SBL Hebrew" w:hAnsi="SBL Hebrew" w:cs="SBL Hebrew" w:hint="cs"/>
          <w:rtl/>
          <w:lang w:val="el-GR"/>
        </w:rPr>
        <w:t>ב</w:t>
      </w:r>
      <w:r w:rsidRPr="00D05602">
        <w:rPr>
          <w:rFonts w:ascii="SBL Hebrew" w:hAnsi="SBL Hebrew" w:cs="SBL Hebrew" w:hint="cs"/>
          <w:color w:val="000000" w:themeColor="text1"/>
          <w:rtl/>
        </w:rPr>
        <w:t>֯</w:t>
      </w:r>
      <w:r>
        <w:rPr>
          <w:rFonts w:ascii="SBL Hebrew" w:hAnsi="SBL Hebrew" w:cs="SBL Hebrew" w:hint="cs"/>
          <w:color w:val="000000" w:themeColor="text1"/>
          <w:rtl/>
        </w:rPr>
        <w:t>ה</w:t>
      </w:r>
      <w:r w:rsidRPr="00D05602">
        <w:rPr>
          <w:rFonts w:ascii="SBL Hebrew" w:hAnsi="SBL Hebrew" w:cs="SBL Hebrew" w:hint="cs"/>
          <w:color w:val="000000" w:themeColor="text1"/>
          <w:rtl/>
        </w:rPr>
        <w:t>֯</w:t>
      </w:r>
      <w:r>
        <w:rPr>
          <w:rFonts w:asciiTheme="majorBidi" w:hAnsiTheme="majorBidi" w:cstheme="majorBidi"/>
          <w:color w:val="000000" w:themeColor="text1"/>
        </w:rPr>
        <w:t xml:space="preserve"> (Ex 10:14), rather than </w:t>
      </w:r>
      <w:r>
        <w:rPr>
          <w:rFonts w:ascii="SBL Hebrew" w:hAnsi="SBL Hebrew" w:cs="SBL Hebrew" w:hint="cs"/>
          <w:color w:val="000000" w:themeColor="text1"/>
          <w:rtl/>
        </w:rPr>
        <w:t>ה]י</w:t>
      </w:r>
      <w:r w:rsidRPr="00D05602">
        <w:rPr>
          <w:rFonts w:ascii="SBL Hebrew" w:hAnsi="SBL Hebrew" w:cs="SBL Hebrew" w:hint="cs"/>
          <w:color w:val="000000" w:themeColor="text1"/>
          <w:rtl/>
        </w:rPr>
        <w:t>֯</w:t>
      </w:r>
      <w:r>
        <w:rPr>
          <w:rFonts w:ascii="SBL Hebrew" w:hAnsi="SBL Hebrew" w:cs="SBL Hebrew" w:hint="cs"/>
          <w:color w:val="000000" w:themeColor="text1"/>
          <w:rtl/>
        </w:rPr>
        <w:t>ה</w:t>
      </w:r>
      <w:r w:rsidRPr="00D05602">
        <w:rPr>
          <w:rFonts w:ascii="SBL Hebrew" w:hAnsi="SBL Hebrew" w:cs="SBL Hebrew" w:hint="cs"/>
          <w:color w:val="000000" w:themeColor="text1"/>
          <w:rtl/>
        </w:rPr>
        <w:t>֯</w:t>
      </w:r>
      <w:r>
        <w:rPr>
          <w:rFonts w:ascii="SBL Hebrew" w:hAnsi="SBL Hebrew" w:cs="SBL Hebrew"/>
          <w:color w:val="000000" w:themeColor="text1"/>
        </w:rPr>
        <w:t xml:space="preserve"> </w:t>
      </w:r>
      <w:r>
        <w:rPr>
          <w:rFonts w:asciiTheme="majorBidi" w:hAnsiTheme="majorBidi" w:cstheme="majorBidi"/>
          <w:color w:val="000000" w:themeColor="text1"/>
        </w:rPr>
        <w:t xml:space="preserve">(Ex 9:24). </w:t>
      </w:r>
    </w:p>
    <w:p w14:paraId="2614DB55" w14:textId="0681509E" w:rsidR="00142DA3" w:rsidRDefault="007B4900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T</w:t>
      </w:r>
      <w:r w:rsidR="00142DA3">
        <w:rPr>
          <w:rFonts w:asciiTheme="majorBidi" w:hAnsiTheme="majorBidi" w:cstheme="majorBidi"/>
        </w:rPr>
        <w:t xml:space="preserve">he identification of fragment 65 </w:t>
      </w:r>
      <w:r>
        <w:rPr>
          <w:rFonts w:asciiTheme="majorBidi" w:hAnsiTheme="majorBidi" w:cstheme="majorBidi"/>
        </w:rPr>
        <w:t xml:space="preserve">as </w:t>
      </w:r>
      <w:r w:rsidR="00142DA3">
        <w:rPr>
          <w:rFonts w:asciiTheme="majorBidi" w:hAnsiTheme="majorBidi" w:cstheme="majorBidi"/>
        </w:rPr>
        <w:t>Ex 10:14 results in the following transcription:</w:t>
      </w:r>
      <w:r w:rsidR="00142DA3">
        <w:rPr>
          <w:rStyle w:val="FootnoteReference"/>
          <w:rFonts w:asciiTheme="majorBidi" w:hAnsiTheme="majorBidi" w:cstheme="majorBidi"/>
        </w:rPr>
        <w:footnoteReference w:id="23"/>
      </w:r>
    </w:p>
    <w:p w14:paraId="092F17DC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6EB30D70" w14:textId="0BD14FAC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The new</w:t>
      </w:r>
      <w:r w:rsidRPr="00ED345B">
        <w:rPr>
          <w:rFonts w:asciiTheme="majorBidi" w:hAnsiTheme="majorBidi" w:cstheme="majorBidi"/>
        </w:rPr>
        <w:t xml:space="preserve"> identification may be reinforced by the materiality of fragment 65 and </w:t>
      </w:r>
      <w:r>
        <w:rPr>
          <w:rFonts w:asciiTheme="majorBidi" w:hAnsiTheme="majorBidi" w:cstheme="majorBidi"/>
        </w:rPr>
        <w:t>closed</w:t>
      </w:r>
      <w:r w:rsidRPr="00ED345B">
        <w:rPr>
          <w:rFonts w:asciiTheme="majorBidi" w:hAnsiTheme="majorBidi" w:cstheme="majorBidi"/>
        </w:rPr>
        <w:t xml:space="preserve"> preserved fragments. </w:t>
      </w:r>
      <w:r>
        <w:rPr>
          <w:rFonts w:asciiTheme="majorBidi" w:hAnsiTheme="majorBidi" w:cstheme="majorBidi"/>
        </w:rPr>
        <w:t>According to the new identification, f</w:t>
      </w:r>
      <w:r w:rsidRPr="00ED345B">
        <w:rPr>
          <w:rFonts w:asciiTheme="majorBidi" w:hAnsiTheme="majorBidi" w:cstheme="majorBidi"/>
        </w:rPr>
        <w:t xml:space="preserve">ragment 65 belongs to the column of fragments 7i+8, </w:t>
      </w:r>
      <w:commentRangeStart w:id="2"/>
      <w:commentRangeStart w:id="3"/>
      <w:commentRangeStart w:id="4"/>
      <w:del w:id="5" w:author="Adrian Sackson" w:date="2021-04-22T11:32:00Z">
        <w:r w:rsidRPr="00ED345B" w:rsidDel="004B27F2">
          <w:rPr>
            <w:rFonts w:asciiTheme="majorBidi" w:hAnsiTheme="majorBidi" w:cstheme="majorBidi"/>
          </w:rPr>
          <w:delText>the later</w:delText>
        </w:r>
      </w:del>
      <w:ins w:id="6" w:author="Adrian Sackson" w:date="2021-04-22T11:32:00Z">
        <w:r w:rsidR="004B27F2">
          <w:rPr>
            <w:rFonts w:asciiTheme="majorBidi" w:hAnsiTheme="majorBidi" w:cstheme="majorBidi"/>
          </w:rPr>
          <w:t>which</w:t>
        </w:r>
      </w:ins>
      <w:r w:rsidRPr="00ED345B">
        <w:rPr>
          <w:rFonts w:asciiTheme="majorBidi" w:hAnsiTheme="majorBidi" w:cstheme="majorBidi"/>
        </w:rPr>
        <w:t xml:space="preserve"> preserve </w:t>
      </w:r>
      <w:ins w:id="7" w:author="Adrian Sackson" w:date="2021-04-22T11:32:00Z">
        <w:r w:rsidR="004B27F2">
          <w:rPr>
            <w:rFonts w:asciiTheme="majorBidi" w:hAnsiTheme="majorBidi" w:cstheme="majorBidi"/>
          </w:rPr>
          <w:t xml:space="preserve">the text of </w:t>
        </w:r>
      </w:ins>
      <w:r w:rsidRPr="00ED345B">
        <w:rPr>
          <w:rFonts w:asciiTheme="majorBidi" w:hAnsiTheme="majorBidi" w:cstheme="majorBidi"/>
        </w:rPr>
        <w:t>Ex 9:33–10:5.</w:t>
      </w:r>
      <w:commentRangeEnd w:id="2"/>
      <w:r w:rsidR="002B202D">
        <w:rPr>
          <w:rStyle w:val="CommentReference"/>
        </w:rPr>
        <w:commentReference w:id="2"/>
      </w:r>
      <w:commentRangeEnd w:id="3"/>
      <w:r w:rsidR="007A7F60">
        <w:rPr>
          <w:rStyle w:val="CommentReference"/>
        </w:rPr>
        <w:commentReference w:id="3"/>
      </w:r>
      <w:commentRangeEnd w:id="4"/>
      <w:r w:rsidR="00A17342">
        <w:rPr>
          <w:rStyle w:val="CommentReference"/>
        </w:rPr>
        <w:commentReference w:id="4"/>
      </w:r>
      <w:r>
        <w:rPr>
          <w:rStyle w:val="FootnoteReference"/>
          <w:rFonts w:asciiTheme="majorBidi" w:hAnsiTheme="majorBidi" w:cstheme="majorBidi"/>
        </w:rPr>
        <w:footnoteReference w:id="24"/>
      </w:r>
      <w:r w:rsidRPr="00ED345B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Based on the textual reconstruction of the fragmentary lines preserved in fr</w:t>
      </w:r>
      <w:r w:rsidR="000768FE">
        <w:rPr>
          <w:rFonts w:asciiTheme="majorBidi" w:hAnsiTheme="majorBidi" w:cstheme="majorBidi"/>
        </w:rPr>
        <w:t>agment</w:t>
      </w:r>
      <w:r>
        <w:rPr>
          <w:rFonts w:asciiTheme="majorBidi" w:hAnsiTheme="majorBidi" w:cstheme="majorBidi"/>
        </w:rPr>
        <w:t xml:space="preserve"> 7i, the width of this column is approximately 50–55 characters. This </w:t>
      </w:r>
      <w:r w:rsidR="002B202D">
        <w:rPr>
          <w:rFonts w:asciiTheme="majorBidi" w:hAnsiTheme="majorBidi" w:cstheme="majorBidi"/>
        </w:rPr>
        <w:t xml:space="preserve">estimate </w:t>
      </w:r>
      <w:r>
        <w:rPr>
          <w:rFonts w:asciiTheme="majorBidi" w:hAnsiTheme="majorBidi" w:cstheme="majorBidi"/>
        </w:rPr>
        <w:t xml:space="preserve">is in line with the column width of fragment 65, </w:t>
      </w:r>
      <w:r w:rsidR="002B0568">
        <w:rPr>
          <w:rFonts w:asciiTheme="majorBidi" w:hAnsiTheme="majorBidi" w:cstheme="majorBidi"/>
        </w:rPr>
        <w:t xml:space="preserve">as calculated from </w:t>
      </w:r>
      <w:r>
        <w:rPr>
          <w:rFonts w:asciiTheme="majorBidi" w:hAnsiTheme="majorBidi" w:cstheme="majorBidi"/>
        </w:rPr>
        <w:t xml:space="preserve">the reconstruction of the missing text between the lines.  </w:t>
      </w:r>
    </w:p>
    <w:p w14:paraId="66177C91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2E12C2AF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i/>
          <w:iCs/>
        </w:rPr>
      </w:pPr>
      <w:r>
        <w:rPr>
          <w:rFonts w:asciiTheme="majorBidi" w:hAnsiTheme="majorBidi" w:cstheme="majorBidi"/>
        </w:rPr>
        <w:t xml:space="preserve">2.3.2 </w:t>
      </w:r>
      <w:r w:rsidRPr="004F0AF7">
        <w:rPr>
          <w:rFonts w:asciiTheme="majorBidi" w:hAnsiTheme="majorBidi" w:cstheme="majorBidi"/>
          <w:i/>
          <w:iCs/>
        </w:rPr>
        <w:t>Frag. 66 (IAA</w:t>
      </w:r>
      <w:r>
        <w:rPr>
          <w:rFonts w:asciiTheme="majorBidi" w:hAnsiTheme="majorBidi" w:cstheme="majorBidi"/>
          <w:i/>
          <w:iCs/>
        </w:rPr>
        <w:t xml:space="preserve"> </w:t>
      </w:r>
      <w:r w:rsidRPr="00883AD1">
        <w:rPr>
          <w:rFonts w:asciiTheme="majorBidi" w:hAnsiTheme="majorBidi" w:cstheme="majorBidi"/>
          <w:i/>
          <w:iCs/>
        </w:rPr>
        <w:t>395.25</w:t>
      </w:r>
      <w:r>
        <w:rPr>
          <w:rFonts w:asciiTheme="majorBidi" w:hAnsiTheme="majorBidi" w:cstheme="majorBidi"/>
          <w:i/>
          <w:iCs/>
        </w:rPr>
        <w:t xml:space="preserve">; </w:t>
      </w:r>
      <w:r w:rsidRPr="00883AD1">
        <w:rPr>
          <w:rFonts w:asciiTheme="majorBidi" w:hAnsiTheme="majorBidi" w:cstheme="majorBidi"/>
          <w:i/>
          <w:iCs/>
        </w:rPr>
        <w:t>PAM 41.388</w:t>
      </w:r>
      <w:r>
        <w:rPr>
          <w:rFonts w:asciiTheme="majorBidi" w:hAnsiTheme="majorBidi" w:cstheme="majorBidi"/>
          <w:i/>
          <w:iCs/>
        </w:rPr>
        <w:t>, 42.803)</w:t>
      </w:r>
      <w:r>
        <w:rPr>
          <w:rStyle w:val="FootnoteReference"/>
          <w:rFonts w:asciiTheme="majorBidi" w:hAnsiTheme="majorBidi" w:cstheme="majorBidi"/>
          <w:i/>
          <w:iCs/>
        </w:rPr>
        <w:footnoteReference w:id="25"/>
      </w:r>
    </w:p>
    <w:p w14:paraId="20C37EA8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06DEA6A9" w14:textId="01B0EBC6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Fragment 66 </w:t>
      </w:r>
      <w:r w:rsidR="002B0568">
        <w:rPr>
          <w:rFonts w:asciiTheme="majorBidi" w:hAnsiTheme="majorBidi" w:cstheme="majorBidi"/>
        </w:rPr>
        <w:t xml:space="preserve">contains </w:t>
      </w:r>
      <w:r>
        <w:rPr>
          <w:rFonts w:asciiTheme="majorBidi" w:hAnsiTheme="majorBidi" w:cstheme="majorBidi"/>
        </w:rPr>
        <w:t xml:space="preserve">three lines. Lines 1 and 3 are poorly preserved and </w:t>
      </w:r>
      <w:r w:rsidR="002B0568">
        <w:rPr>
          <w:rFonts w:asciiTheme="majorBidi" w:hAnsiTheme="majorBidi" w:cstheme="majorBidi"/>
        </w:rPr>
        <w:t xml:space="preserve">barely </w:t>
      </w:r>
      <w:r>
        <w:rPr>
          <w:rFonts w:asciiTheme="majorBidi" w:hAnsiTheme="majorBidi" w:cstheme="majorBidi"/>
        </w:rPr>
        <w:t xml:space="preserve">legible. </w:t>
      </w:r>
      <w:r w:rsidR="002B0568">
        <w:rPr>
          <w:rFonts w:asciiTheme="majorBidi" w:hAnsiTheme="majorBidi" w:cstheme="majorBidi"/>
        </w:rPr>
        <w:t>Nonetheless, t</w:t>
      </w:r>
      <w:r>
        <w:rPr>
          <w:rFonts w:asciiTheme="majorBidi" w:hAnsiTheme="majorBidi" w:cstheme="majorBidi"/>
        </w:rPr>
        <w:t xml:space="preserve">he identification of the fragment is possible due to the reading of line 2. Traces of the oblique stroke of the </w:t>
      </w:r>
      <w:r>
        <w:rPr>
          <w:rFonts w:asciiTheme="majorBidi" w:hAnsiTheme="majorBidi" w:cstheme="majorBidi"/>
          <w:i/>
          <w:iCs/>
        </w:rPr>
        <w:t>aleph</w:t>
      </w:r>
      <w:r>
        <w:rPr>
          <w:rFonts w:asciiTheme="majorBidi" w:hAnsiTheme="majorBidi" w:cstheme="majorBidi"/>
        </w:rPr>
        <w:t xml:space="preserve"> are best seen in the PAM image. Moreover, the ink of the letters </w:t>
      </w:r>
      <w:r>
        <w:rPr>
          <w:rFonts w:asciiTheme="majorBidi" w:hAnsiTheme="majorBidi" w:cstheme="majorBidi"/>
          <w:i/>
          <w:iCs/>
        </w:rPr>
        <w:t>resh</w:t>
      </w:r>
      <w:r>
        <w:rPr>
          <w:rFonts w:asciiTheme="majorBidi" w:hAnsiTheme="majorBidi" w:cstheme="majorBidi"/>
        </w:rPr>
        <w:t xml:space="preserve"> and </w:t>
      </w:r>
      <w:r>
        <w:rPr>
          <w:rFonts w:asciiTheme="majorBidi" w:hAnsiTheme="majorBidi" w:cstheme="majorBidi"/>
          <w:i/>
          <w:iCs/>
        </w:rPr>
        <w:t>vav</w:t>
      </w:r>
      <w:r>
        <w:rPr>
          <w:rFonts w:asciiTheme="majorBidi" w:hAnsiTheme="majorBidi" w:cstheme="majorBidi"/>
        </w:rPr>
        <w:t xml:space="preserve"> </w:t>
      </w:r>
      <w:r w:rsidR="002B0568">
        <w:rPr>
          <w:rFonts w:asciiTheme="majorBidi" w:hAnsiTheme="majorBidi" w:cstheme="majorBidi"/>
        </w:rPr>
        <w:t xml:space="preserve">has </w:t>
      </w:r>
      <w:r>
        <w:rPr>
          <w:rFonts w:asciiTheme="majorBidi" w:hAnsiTheme="majorBidi" w:cstheme="majorBidi"/>
        </w:rPr>
        <w:t xml:space="preserve">peeled away. </w:t>
      </w:r>
      <w:r w:rsidR="002B0568">
        <w:rPr>
          <w:rFonts w:asciiTheme="majorBidi" w:hAnsiTheme="majorBidi" w:cstheme="majorBidi"/>
        </w:rPr>
        <w:t>T</w:t>
      </w:r>
      <w:r>
        <w:rPr>
          <w:rFonts w:asciiTheme="majorBidi" w:hAnsiTheme="majorBidi" w:cstheme="majorBidi"/>
        </w:rPr>
        <w:t>hese letters</w:t>
      </w:r>
      <w:r w:rsidR="002B0568">
        <w:rPr>
          <w:rFonts w:asciiTheme="majorBidi" w:hAnsiTheme="majorBidi" w:cstheme="majorBidi"/>
        </w:rPr>
        <w:t>, however, can be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lastRenderedPageBreak/>
        <w:t xml:space="preserve">recognized by their outlines, </w:t>
      </w:r>
      <w:r w:rsidR="002B0568">
        <w:rPr>
          <w:rFonts w:asciiTheme="majorBidi" w:hAnsiTheme="majorBidi" w:cstheme="majorBidi"/>
        </w:rPr>
        <w:t>which are clearly visible</w:t>
      </w:r>
      <w:r>
        <w:rPr>
          <w:rFonts w:asciiTheme="majorBidi" w:hAnsiTheme="majorBidi" w:cstheme="majorBidi"/>
        </w:rPr>
        <w:t xml:space="preserve"> in the IR image. Based on these readings, fragment 66 can only be identified </w:t>
      </w:r>
      <w:r w:rsidR="002B0568">
        <w:rPr>
          <w:rFonts w:asciiTheme="majorBidi" w:hAnsiTheme="majorBidi" w:cstheme="majorBidi"/>
        </w:rPr>
        <w:t xml:space="preserve">as </w:t>
      </w:r>
      <w:r>
        <w:rPr>
          <w:rFonts w:asciiTheme="majorBidi" w:hAnsiTheme="majorBidi" w:cstheme="majorBidi"/>
        </w:rPr>
        <w:t xml:space="preserve">Ex 25:21–22, yielding the following transcription of lines 2–3:    </w:t>
      </w:r>
    </w:p>
    <w:p w14:paraId="26AC5AA4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3D1E16BA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According to this identification, fragment 66 should be joined with fragment 29, which preserves Ex 25:19–21 (fig. 3).</w:t>
      </w:r>
      <w:r>
        <w:rPr>
          <w:rStyle w:val="FootnoteReference"/>
          <w:rFonts w:asciiTheme="majorBidi" w:hAnsiTheme="majorBidi" w:cstheme="majorBidi"/>
          <w:sz w:val="20"/>
          <w:szCs w:val="20"/>
        </w:rPr>
        <w:footnoteReference w:id="26"/>
      </w:r>
      <w:r>
        <w:rPr>
          <w:rFonts w:asciiTheme="majorBidi" w:hAnsiTheme="majorBidi" w:cstheme="majorBidi"/>
        </w:rPr>
        <w:t xml:space="preserve"> </w:t>
      </w:r>
    </w:p>
    <w:p w14:paraId="465AAC8B" w14:textId="77777777" w:rsidR="00142DA3" w:rsidRDefault="00142DA3" w:rsidP="00142DA3">
      <w:pPr>
        <w:bidi w:val="0"/>
        <w:jc w:val="both"/>
        <w:rPr>
          <w:rFonts w:asciiTheme="majorBidi" w:hAnsiTheme="majorBidi" w:cstheme="majorBidi"/>
        </w:rPr>
      </w:pPr>
    </w:p>
    <w:p w14:paraId="1F9A3B92" w14:textId="77777777" w:rsidR="00142DA3" w:rsidRDefault="00142DA3" w:rsidP="00142DA3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76E6FFC1" wp14:editId="16EE8A73">
            <wp:extent cx="5418324" cy="605155"/>
            <wp:effectExtent l="0" t="0" r="0" b="4445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צילום מסך 2021.04.11 ב.15.33.0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311" cy="60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C192A" w14:textId="77777777" w:rsidR="00142DA3" w:rsidRDefault="00142DA3" w:rsidP="00142DA3">
      <w:pPr>
        <w:jc w:val="center"/>
        <w:rPr>
          <w:rFonts w:asciiTheme="majorBidi" w:hAnsiTheme="majorBidi" w:cstheme="majorBidi"/>
          <w:sz w:val="20"/>
          <w:szCs w:val="20"/>
        </w:rPr>
      </w:pPr>
    </w:p>
    <w:p w14:paraId="4E8E6B40" w14:textId="77777777" w:rsidR="00142DA3" w:rsidRPr="00C9726F" w:rsidRDefault="00142DA3" w:rsidP="00142DA3">
      <w:pPr>
        <w:jc w:val="center"/>
        <w:rPr>
          <w:rFonts w:asciiTheme="majorBidi" w:hAnsiTheme="majorBidi" w:cstheme="majorBidi"/>
          <w:sz w:val="20"/>
          <w:szCs w:val="20"/>
          <w:rtl/>
        </w:rPr>
      </w:pPr>
      <w:r>
        <w:rPr>
          <w:rFonts w:asciiTheme="majorBidi" w:hAnsiTheme="majorBidi" w:cstheme="majorBidi"/>
          <w:sz w:val="20"/>
          <w:szCs w:val="20"/>
        </w:rPr>
        <w:t>Figure 3</w:t>
      </w:r>
      <w:r w:rsidRPr="00C9726F">
        <w:rPr>
          <w:rFonts w:asciiTheme="majorBidi" w:hAnsiTheme="majorBidi" w:cstheme="majorBidi"/>
          <w:sz w:val="20"/>
          <w:szCs w:val="20"/>
        </w:rPr>
        <w:t>:</w:t>
      </w:r>
      <w:r>
        <w:rPr>
          <w:rFonts w:asciiTheme="majorBidi" w:hAnsiTheme="majorBidi" w:cstheme="majorBidi"/>
          <w:sz w:val="20"/>
          <w:szCs w:val="20"/>
        </w:rPr>
        <w:t xml:space="preserve"> Join of</w:t>
      </w:r>
      <w:r w:rsidRPr="00C9726F">
        <w:rPr>
          <w:rFonts w:asciiTheme="majorBidi" w:hAnsiTheme="majorBidi" w:cstheme="majorBidi"/>
          <w:sz w:val="20"/>
          <w:szCs w:val="20"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>4Q11 66 with 4Q11 29</w:t>
      </w:r>
    </w:p>
    <w:p w14:paraId="48B54DFE" w14:textId="77777777" w:rsidR="00142DA3" w:rsidRDefault="00142DA3" w:rsidP="00142DA3">
      <w:pPr>
        <w:spacing w:line="360" w:lineRule="auto"/>
        <w:jc w:val="both"/>
        <w:rPr>
          <w:rFonts w:asciiTheme="majorBidi" w:hAnsiTheme="majorBidi" w:cstheme="majorBidi"/>
          <w:rtl/>
        </w:rPr>
      </w:pPr>
    </w:p>
    <w:p w14:paraId="6E7DD7A5" w14:textId="77777777" w:rsidR="00142DA3" w:rsidRPr="004B27F2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i/>
          <w:iCs/>
          <w:lang w:val="fr-FR"/>
        </w:rPr>
      </w:pPr>
      <w:r w:rsidRPr="004B27F2">
        <w:rPr>
          <w:rFonts w:asciiTheme="majorBidi" w:hAnsiTheme="majorBidi" w:cstheme="majorBidi"/>
          <w:lang w:val="fr-FR"/>
        </w:rPr>
        <w:t xml:space="preserve">2.3.3 </w:t>
      </w:r>
      <w:r w:rsidRPr="004B27F2">
        <w:rPr>
          <w:rFonts w:asciiTheme="majorBidi" w:hAnsiTheme="majorBidi" w:cstheme="majorBidi"/>
          <w:i/>
          <w:iCs/>
          <w:lang w:val="fr-FR"/>
        </w:rPr>
        <w:t>Frag. 67 (IAA 395.9; PAM 42.803)</w:t>
      </w:r>
      <w:r>
        <w:rPr>
          <w:rStyle w:val="FootnoteReference"/>
          <w:rFonts w:asciiTheme="majorBidi" w:hAnsiTheme="majorBidi" w:cstheme="majorBidi"/>
          <w:i/>
          <w:iCs/>
          <w:lang w:val="el-GR"/>
        </w:rPr>
        <w:footnoteReference w:id="27"/>
      </w:r>
    </w:p>
    <w:p w14:paraId="6CC6D4FE" w14:textId="77777777" w:rsidR="00142DA3" w:rsidRPr="004B27F2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lang w:val="fr-FR"/>
        </w:rPr>
      </w:pPr>
      <w:r w:rsidRPr="004B27F2">
        <w:rPr>
          <w:rFonts w:asciiTheme="majorBidi" w:hAnsiTheme="majorBidi" w:cstheme="majorBidi"/>
          <w:i/>
          <w:iCs/>
          <w:lang w:val="fr-FR"/>
        </w:rPr>
        <w:t xml:space="preserve">         </w:t>
      </w:r>
      <w:r w:rsidRPr="004B27F2">
        <w:rPr>
          <w:rFonts w:asciiTheme="majorBidi" w:hAnsiTheme="majorBidi" w:cstheme="majorBidi"/>
          <w:lang w:val="fr-FR"/>
        </w:rPr>
        <w:t>Identification: Ex 28:28 (possible)</w:t>
      </w:r>
    </w:p>
    <w:p w14:paraId="22E5FE73" w14:textId="77777777" w:rsidR="00142DA3" w:rsidRPr="004B27F2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lang w:val="fr-FR"/>
        </w:rPr>
      </w:pPr>
    </w:p>
    <w:p w14:paraId="6C5F4416" w14:textId="77777777" w:rsidR="00142DA3" w:rsidRP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rtl/>
        </w:rPr>
      </w:pPr>
    </w:p>
    <w:p w14:paraId="1DC3F6AE" w14:textId="284DC98A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Fragment 67 is tiny</w:t>
      </w:r>
      <w:r w:rsidR="002B0568">
        <w:rPr>
          <w:rFonts w:asciiTheme="majorBidi" w:hAnsiTheme="majorBidi" w:cstheme="majorBidi"/>
          <w:color w:val="000000" w:themeColor="text1"/>
        </w:rPr>
        <w:t xml:space="preserve"> and amounts </w:t>
      </w:r>
      <w:r>
        <w:rPr>
          <w:rFonts w:asciiTheme="majorBidi" w:hAnsiTheme="majorBidi" w:cstheme="majorBidi"/>
          <w:color w:val="000000" w:themeColor="text1"/>
        </w:rPr>
        <w:t xml:space="preserve">to three fragmentary lines. Of </w:t>
      </w:r>
      <w:r w:rsidR="002B0568">
        <w:rPr>
          <w:rFonts w:asciiTheme="majorBidi" w:hAnsiTheme="majorBidi" w:cstheme="majorBidi"/>
          <w:color w:val="000000" w:themeColor="text1"/>
        </w:rPr>
        <w:t>these</w:t>
      </w:r>
      <w:r>
        <w:rPr>
          <w:rFonts w:asciiTheme="majorBidi" w:hAnsiTheme="majorBidi" w:cstheme="majorBidi"/>
          <w:color w:val="000000" w:themeColor="text1"/>
        </w:rPr>
        <w:t xml:space="preserve">, only line 2 is legible. The ink marks in line 1 are probably remnants of </w:t>
      </w:r>
      <w:r w:rsidR="002B0568">
        <w:rPr>
          <w:rFonts w:asciiTheme="majorBidi" w:hAnsiTheme="majorBidi" w:cstheme="majorBidi"/>
          <w:color w:val="000000" w:themeColor="text1"/>
        </w:rPr>
        <w:t xml:space="preserve">the </w:t>
      </w:r>
      <w:r>
        <w:rPr>
          <w:rFonts w:asciiTheme="majorBidi" w:hAnsiTheme="majorBidi" w:cstheme="majorBidi"/>
          <w:color w:val="000000" w:themeColor="text1"/>
        </w:rPr>
        <w:t xml:space="preserve">base of a letter, possibly </w:t>
      </w:r>
      <w:r w:rsidRPr="00C5747C">
        <w:rPr>
          <w:rFonts w:asciiTheme="majorBidi" w:hAnsiTheme="majorBidi" w:cstheme="majorBidi"/>
          <w:i/>
          <w:iCs/>
          <w:color w:val="000000" w:themeColor="text1"/>
        </w:rPr>
        <w:t>bet</w:t>
      </w:r>
      <w:r>
        <w:rPr>
          <w:rFonts w:asciiTheme="majorBidi" w:hAnsiTheme="majorBidi" w:cstheme="majorBidi"/>
          <w:color w:val="000000" w:themeColor="text1"/>
        </w:rPr>
        <w:t xml:space="preserve">, </w:t>
      </w:r>
      <w:r w:rsidRPr="00003096">
        <w:rPr>
          <w:rFonts w:asciiTheme="majorBidi" w:hAnsiTheme="majorBidi" w:cstheme="majorBidi"/>
          <w:i/>
          <w:iCs/>
          <w:color w:val="000000" w:themeColor="text1"/>
        </w:rPr>
        <w:t>kaf</w:t>
      </w:r>
      <w:r>
        <w:rPr>
          <w:rFonts w:asciiTheme="majorBidi" w:hAnsiTheme="majorBidi" w:cstheme="majorBidi"/>
          <w:color w:val="000000" w:themeColor="text1"/>
        </w:rPr>
        <w:t xml:space="preserve">, </w:t>
      </w:r>
      <w:r w:rsidRPr="00C5747C">
        <w:rPr>
          <w:rFonts w:asciiTheme="majorBidi" w:hAnsiTheme="majorBidi" w:cstheme="majorBidi"/>
          <w:i/>
          <w:iCs/>
          <w:color w:val="000000" w:themeColor="text1"/>
        </w:rPr>
        <w:t>mem</w:t>
      </w:r>
      <w:r>
        <w:rPr>
          <w:rFonts w:asciiTheme="majorBidi" w:hAnsiTheme="majorBidi" w:cstheme="majorBidi"/>
          <w:color w:val="000000" w:themeColor="text1"/>
        </w:rPr>
        <w:t xml:space="preserve">, </w:t>
      </w:r>
      <w:r w:rsidRPr="00C5747C">
        <w:rPr>
          <w:rFonts w:asciiTheme="majorBidi" w:hAnsiTheme="majorBidi" w:cstheme="majorBidi"/>
          <w:i/>
          <w:iCs/>
          <w:color w:val="000000" w:themeColor="text1"/>
        </w:rPr>
        <w:t>nun</w:t>
      </w:r>
      <w:r>
        <w:rPr>
          <w:rFonts w:asciiTheme="majorBidi" w:hAnsiTheme="majorBidi" w:cstheme="majorBidi"/>
          <w:color w:val="000000" w:themeColor="text1"/>
        </w:rPr>
        <w:t xml:space="preserve">, or </w:t>
      </w:r>
      <w:r w:rsidRPr="00C5747C">
        <w:rPr>
          <w:rFonts w:asciiTheme="majorBidi" w:hAnsiTheme="majorBidi" w:cstheme="majorBidi"/>
          <w:i/>
          <w:iCs/>
          <w:color w:val="000000" w:themeColor="text1"/>
        </w:rPr>
        <w:t>pe</w:t>
      </w:r>
      <w:r>
        <w:rPr>
          <w:rFonts w:asciiTheme="majorBidi" w:hAnsiTheme="majorBidi" w:cstheme="majorBidi"/>
          <w:color w:val="000000" w:themeColor="text1"/>
        </w:rPr>
        <w:t xml:space="preserve">. </w:t>
      </w:r>
      <w:r w:rsidR="00D1666A">
        <w:rPr>
          <w:rFonts w:asciiTheme="majorBidi" w:hAnsiTheme="majorBidi" w:cstheme="majorBidi"/>
          <w:color w:val="000000" w:themeColor="text1"/>
        </w:rPr>
        <w:t xml:space="preserve">Given </w:t>
      </w:r>
      <w:r>
        <w:rPr>
          <w:rFonts w:asciiTheme="majorBidi" w:hAnsiTheme="majorBidi" w:cstheme="majorBidi"/>
          <w:color w:val="000000" w:themeColor="text1"/>
        </w:rPr>
        <w:t xml:space="preserve">the </w:t>
      </w:r>
      <w:r w:rsidR="00D1666A">
        <w:rPr>
          <w:rFonts w:asciiTheme="majorBidi" w:hAnsiTheme="majorBidi" w:cstheme="majorBidi"/>
          <w:color w:val="000000" w:themeColor="text1"/>
        </w:rPr>
        <w:t xml:space="preserve">secure </w:t>
      </w:r>
      <w:r>
        <w:rPr>
          <w:rFonts w:asciiTheme="majorBidi" w:hAnsiTheme="majorBidi" w:cstheme="majorBidi"/>
          <w:color w:val="000000" w:themeColor="text1"/>
        </w:rPr>
        <w:t xml:space="preserve">reading of line 2, </w:t>
      </w:r>
      <w:r w:rsidR="00D1666A">
        <w:rPr>
          <w:rFonts w:asciiTheme="majorBidi" w:hAnsiTheme="majorBidi" w:cstheme="majorBidi"/>
          <w:color w:val="000000" w:themeColor="text1"/>
        </w:rPr>
        <w:t>it can be identified in</w:t>
      </w:r>
      <w:r>
        <w:rPr>
          <w:rFonts w:asciiTheme="majorBidi" w:hAnsiTheme="majorBidi" w:cstheme="majorBidi"/>
          <w:color w:val="000000" w:themeColor="text1"/>
        </w:rPr>
        <w:t xml:space="preserve"> two possible </w:t>
      </w:r>
      <w:r w:rsidR="00D1666A">
        <w:rPr>
          <w:rFonts w:asciiTheme="majorBidi" w:hAnsiTheme="majorBidi" w:cstheme="majorBidi"/>
          <w:color w:val="000000" w:themeColor="text1"/>
        </w:rPr>
        <w:t>ways</w:t>
      </w:r>
      <w:r w:rsidR="00A41325">
        <w:rPr>
          <w:rFonts w:asciiTheme="majorBidi" w:hAnsiTheme="majorBidi" w:cstheme="majorBidi"/>
          <w:color w:val="000000" w:themeColor="text1"/>
        </w:rPr>
        <w:t>, namely, as</w:t>
      </w:r>
      <w:r>
        <w:rPr>
          <w:rFonts w:asciiTheme="majorBidi" w:hAnsiTheme="majorBidi" w:cstheme="majorBidi"/>
          <w:color w:val="000000" w:themeColor="text1"/>
        </w:rPr>
        <w:t xml:space="preserve">: (1) Ex 28:28; (2) Ex 39:21. Both may fit the additional traces </w:t>
      </w:r>
      <w:r w:rsidR="00D1666A">
        <w:rPr>
          <w:rFonts w:asciiTheme="majorBidi" w:hAnsiTheme="majorBidi" w:cstheme="majorBidi"/>
          <w:color w:val="000000" w:themeColor="text1"/>
        </w:rPr>
        <w:t xml:space="preserve">on </w:t>
      </w:r>
      <w:r>
        <w:rPr>
          <w:rFonts w:asciiTheme="majorBidi" w:hAnsiTheme="majorBidi" w:cstheme="majorBidi"/>
          <w:color w:val="000000" w:themeColor="text1"/>
        </w:rPr>
        <w:t xml:space="preserve">the fragment. </w:t>
      </w:r>
    </w:p>
    <w:p w14:paraId="01DB4044" w14:textId="55FA8789" w:rsidR="00142DA3" w:rsidRDefault="00142DA3" w:rsidP="00142DA3">
      <w:pPr>
        <w:bidi w:val="0"/>
        <w:spacing w:line="360" w:lineRule="auto"/>
        <w:ind w:firstLine="720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 xml:space="preserve">4Q11 does not preserve </w:t>
      </w:r>
      <w:r w:rsidR="00D1666A">
        <w:rPr>
          <w:rFonts w:asciiTheme="majorBidi" w:hAnsiTheme="majorBidi" w:cstheme="majorBidi"/>
          <w:color w:val="000000" w:themeColor="text1"/>
        </w:rPr>
        <w:t xml:space="preserve">any </w:t>
      </w:r>
      <w:r>
        <w:rPr>
          <w:rFonts w:asciiTheme="majorBidi" w:hAnsiTheme="majorBidi" w:cstheme="majorBidi"/>
          <w:color w:val="000000" w:themeColor="text1"/>
        </w:rPr>
        <w:t xml:space="preserve">text from Ex 36:36 onwards, </w:t>
      </w:r>
      <w:r w:rsidR="00D1666A">
        <w:rPr>
          <w:rFonts w:asciiTheme="majorBidi" w:hAnsiTheme="majorBidi" w:cstheme="majorBidi"/>
          <w:color w:val="000000" w:themeColor="text1"/>
        </w:rPr>
        <w:t xml:space="preserve">though </w:t>
      </w:r>
      <w:r>
        <w:rPr>
          <w:rFonts w:asciiTheme="majorBidi" w:hAnsiTheme="majorBidi" w:cstheme="majorBidi"/>
          <w:color w:val="000000" w:themeColor="text1"/>
        </w:rPr>
        <w:t>two additional fragments preserve the text of Ex 28.</w:t>
      </w:r>
      <w:r>
        <w:rPr>
          <w:rStyle w:val="FootnoteReference"/>
          <w:rFonts w:asciiTheme="majorBidi" w:hAnsiTheme="majorBidi" w:cstheme="majorBidi"/>
          <w:color w:val="000000" w:themeColor="text1"/>
        </w:rPr>
        <w:footnoteReference w:id="28"/>
      </w:r>
      <w:r>
        <w:rPr>
          <w:rFonts w:asciiTheme="majorBidi" w:hAnsiTheme="majorBidi" w:cstheme="majorBidi"/>
          <w:color w:val="000000" w:themeColor="text1"/>
        </w:rPr>
        <w:t xml:space="preserve"> </w:t>
      </w:r>
      <w:r w:rsidR="00D1666A">
        <w:rPr>
          <w:rFonts w:asciiTheme="majorBidi" w:hAnsiTheme="majorBidi" w:cstheme="majorBidi"/>
          <w:color w:val="000000" w:themeColor="text1"/>
        </w:rPr>
        <w:t>T</w:t>
      </w:r>
      <w:r>
        <w:rPr>
          <w:rFonts w:asciiTheme="majorBidi" w:hAnsiTheme="majorBidi" w:cstheme="majorBidi"/>
          <w:color w:val="000000" w:themeColor="text1"/>
        </w:rPr>
        <w:t xml:space="preserve">he identification of fragment 67 </w:t>
      </w:r>
      <w:r w:rsidR="00D1666A">
        <w:rPr>
          <w:rFonts w:asciiTheme="majorBidi" w:hAnsiTheme="majorBidi" w:cstheme="majorBidi"/>
          <w:color w:val="000000" w:themeColor="text1"/>
        </w:rPr>
        <w:t xml:space="preserve">as </w:t>
      </w:r>
      <w:r>
        <w:rPr>
          <w:rFonts w:asciiTheme="majorBidi" w:hAnsiTheme="majorBidi" w:cstheme="majorBidi"/>
          <w:color w:val="000000" w:themeColor="text1"/>
        </w:rPr>
        <w:t xml:space="preserve">Ex 28:28 </w:t>
      </w:r>
      <w:r w:rsidR="00D1666A">
        <w:rPr>
          <w:rFonts w:asciiTheme="majorBidi" w:hAnsiTheme="majorBidi" w:cstheme="majorBidi"/>
          <w:color w:val="000000" w:themeColor="text1"/>
        </w:rPr>
        <w:t xml:space="preserve">thus </w:t>
      </w:r>
      <w:r>
        <w:rPr>
          <w:rFonts w:asciiTheme="majorBidi" w:hAnsiTheme="majorBidi" w:cstheme="majorBidi"/>
          <w:color w:val="000000" w:themeColor="text1"/>
        </w:rPr>
        <w:t xml:space="preserve">seems plausible. </w:t>
      </w:r>
      <w:r w:rsidR="00D1666A">
        <w:rPr>
          <w:rFonts w:asciiTheme="majorBidi" w:hAnsiTheme="majorBidi" w:cstheme="majorBidi"/>
          <w:color w:val="000000" w:themeColor="text1"/>
        </w:rPr>
        <w:t xml:space="preserve">This potential </w:t>
      </w:r>
      <w:r>
        <w:rPr>
          <w:rFonts w:asciiTheme="majorBidi" w:hAnsiTheme="majorBidi" w:cstheme="majorBidi"/>
          <w:color w:val="000000" w:themeColor="text1"/>
        </w:rPr>
        <w:t xml:space="preserve">new identification yields the following transcription:  </w:t>
      </w:r>
    </w:p>
    <w:p w14:paraId="533D1604" w14:textId="77777777" w:rsidR="00142DA3" w:rsidRDefault="00142DA3" w:rsidP="00142DA3">
      <w:pPr>
        <w:bidi w:val="0"/>
        <w:spacing w:line="360" w:lineRule="auto"/>
        <w:rPr>
          <w:rFonts w:ascii="SBL Hebrew" w:hAnsi="SBL Hebrew" w:cs="SBL Hebrew"/>
          <w:color w:val="000000" w:themeColor="text1"/>
        </w:rPr>
      </w:pPr>
    </w:p>
    <w:p w14:paraId="698282D3" w14:textId="77777777" w:rsidR="00142DA3" w:rsidRDefault="00142DA3" w:rsidP="00142DA3">
      <w:pPr>
        <w:bidi w:val="0"/>
        <w:spacing w:line="360" w:lineRule="auto"/>
        <w:rPr>
          <w:rFonts w:asciiTheme="majorBidi" w:hAnsiTheme="majorBidi" w:cstheme="majorBidi"/>
          <w:smallCaps/>
          <w:lang w:val="en-GB"/>
        </w:rPr>
      </w:pPr>
      <w:r>
        <w:rPr>
          <w:rFonts w:asciiTheme="majorBidi" w:hAnsiTheme="majorBidi" w:cstheme="majorBidi"/>
          <w:smallCaps/>
          <w:lang w:val="en-GB"/>
        </w:rPr>
        <w:t>3. Conclusions</w:t>
      </w:r>
    </w:p>
    <w:p w14:paraId="4EE1D4A8" w14:textId="77777777" w:rsidR="00142DA3" w:rsidRDefault="00142DA3" w:rsidP="00142DA3">
      <w:pPr>
        <w:bidi w:val="0"/>
        <w:spacing w:line="360" w:lineRule="auto"/>
        <w:jc w:val="both"/>
        <w:rPr>
          <w:rFonts w:asciiTheme="majorBidi" w:hAnsiTheme="majorBidi" w:cstheme="majorBidi"/>
          <w:smallCaps/>
          <w:lang w:val="en-GB"/>
        </w:rPr>
      </w:pPr>
    </w:p>
    <w:p w14:paraId="48A82279" w14:textId="7A8C4D52" w:rsidR="00142DA3" w:rsidRDefault="00142DA3" w:rsidP="003C5661">
      <w:pPr>
        <w:bidi w:val="0"/>
        <w:spacing w:line="360" w:lineRule="auto"/>
        <w:jc w:val="both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/>
        </w:rPr>
        <w:t xml:space="preserve">In this study, we have </w:t>
      </w:r>
      <w:r w:rsidRPr="00490BEC">
        <w:rPr>
          <w:rFonts w:asciiTheme="majorBidi" w:hAnsiTheme="majorBidi" w:cstheme="majorBidi"/>
        </w:rPr>
        <w:t>propo</w:t>
      </w:r>
      <w:r>
        <w:rPr>
          <w:rFonts w:asciiTheme="majorBidi" w:hAnsiTheme="majorBidi" w:cstheme="majorBidi"/>
        </w:rPr>
        <w:t xml:space="preserve">sed new </w:t>
      </w:r>
      <w:r w:rsidRPr="00490BEC">
        <w:rPr>
          <w:rFonts w:asciiTheme="majorBidi" w:hAnsiTheme="majorBidi" w:cstheme="majorBidi"/>
        </w:rPr>
        <w:t>identification</w:t>
      </w:r>
      <w:r>
        <w:rPr>
          <w:rFonts w:asciiTheme="majorBidi" w:hAnsiTheme="majorBidi" w:cstheme="majorBidi"/>
        </w:rPr>
        <w:t>s</w:t>
      </w:r>
      <w:r w:rsidRPr="00490BEC">
        <w:rPr>
          <w:rFonts w:asciiTheme="majorBidi" w:hAnsiTheme="majorBidi" w:cstheme="majorBidi"/>
        </w:rPr>
        <w:t xml:space="preserve"> </w:t>
      </w:r>
      <w:r w:rsidR="00D1666A">
        <w:rPr>
          <w:rFonts w:asciiTheme="majorBidi" w:hAnsiTheme="majorBidi" w:cstheme="majorBidi"/>
        </w:rPr>
        <w:t>for</w:t>
      </w:r>
      <w:r w:rsidR="00D1666A" w:rsidRPr="00490BE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eight</w:t>
      </w:r>
      <w:r w:rsidRPr="00490BEC">
        <w:rPr>
          <w:rFonts w:asciiTheme="majorBidi" w:hAnsiTheme="majorBidi" w:cstheme="majorBidi"/>
        </w:rPr>
        <w:t xml:space="preserve"> </w:t>
      </w:r>
      <w:r w:rsidRPr="00C54027">
        <w:rPr>
          <w:rFonts w:asciiTheme="majorBidi" w:hAnsiTheme="majorBidi" w:cstheme="majorBidi"/>
        </w:rPr>
        <w:t xml:space="preserve">hitherto </w:t>
      </w:r>
      <w:r>
        <w:rPr>
          <w:rFonts w:asciiTheme="majorBidi" w:hAnsiTheme="majorBidi" w:cstheme="majorBidi"/>
        </w:rPr>
        <w:t xml:space="preserve">unidentified fragments of 4Q11: </w:t>
      </w:r>
      <w:r w:rsidRPr="00490BE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frags. 44; 46–48; 52; 65; 66; 67. </w:t>
      </w:r>
      <w:r w:rsidR="00C435F2">
        <w:rPr>
          <w:rFonts w:asciiTheme="majorBidi" w:hAnsiTheme="majorBidi" w:cstheme="majorBidi"/>
        </w:rPr>
        <w:t>T</w:t>
      </w:r>
      <w:r w:rsidR="00D1666A" w:rsidRPr="007F703A">
        <w:rPr>
          <w:rFonts w:asciiTheme="majorBidi" w:hAnsiTheme="majorBidi" w:cstheme="majorBidi"/>
        </w:rPr>
        <w:t>he</w:t>
      </w:r>
      <w:r w:rsidR="00D1666A">
        <w:rPr>
          <w:rFonts w:asciiTheme="majorBidi" w:hAnsiTheme="majorBidi" w:cstheme="majorBidi"/>
        </w:rPr>
        <w:t>se</w:t>
      </w:r>
      <w:r w:rsidR="00D1666A" w:rsidRPr="007F703A">
        <w:rPr>
          <w:rFonts w:asciiTheme="majorBidi" w:hAnsiTheme="majorBidi" w:cstheme="majorBidi"/>
        </w:rPr>
        <w:t xml:space="preserve"> </w:t>
      </w:r>
      <w:r w:rsidRPr="007F703A">
        <w:rPr>
          <w:rFonts w:asciiTheme="majorBidi" w:hAnsiTheme="majorBidi" w:cstheme="majorBidi"/>
        </w:rPr>
        <w:t>new identifications</w:t>
      </w:r>
      <w:r w:rsidR="00C435F2" w:rsidRPr="00C435F2">
        <w:rPr>
          <w:rFonts w:asciiTheme="majorBidi" w:hAnsiTheme="majorBidi" w:cstheme="majorBidi"/>
        </w:rPr>
        <w:t xml:space="preserve"> </w:t>
      </w:r>
      <w:r w:rsidR="00C435F2">
        <w:rPr>
          <w:rFonts w:asciiTheme="majorBidi" w:hAnsiTheme="majorBidi" w:cstheme="majorBidi"/>
        </w:rPr>
        <w:t xml:space="preserve">first </w:t>
      </w:r>
      <w:r w:rsidR="00C435F2">
        <w:rPr>
          <w:rFonts w:asciiTheme="majorBidi" w:hAnsiTheme="majorBidi" w:cstheme="majorBidi"/>
        </w:rPr>
        <w:lastRenderedPageBreak/>
        <w:t xml:space="preserve">and foremost </w:t>
      </w:r>
      <w:r>
        <w:rPr>
          <w:rFonts w:asciiTheme="majorBidi" w:hAnsiTheme="majorBidi" w:cstheme="majorBidi"/>
        </w:rPr>
        <w:t xml:space="preserve">shed light on the </w:t>
      </w:r>
      <w:r w:rsidR="003C5661">
        <w:rPr>
          <w:rFonts w:asciiTheme="majorBidi" w:hAnsiTheme="majorBidi" w:cstheme="majorBidi"/>
        </w:rPr>
        <w:t xml:space="preserve">textuality of the </w:t>
      </w:r>
      <w:r>
        <w:rPr>
          <w:rFonts w:asciiTheme="majorBidi" w:hAnsiTheme="majorBidi" w:cstheme="majorBidi"/>
        </w:rPr>
        <w:t xml:space="preserve">scroll before its deterioration and </w:t>
      </w:r>
      <w:r w:rsidR="00C435F2">
        <w:rPr>
          <w:rFonts w:asciiTheme="majorBidi" w:hAnsiTheme="majorBidi" w:cstheme="majorBidi"/>
        </w:rPr>
        <w:t xml:space="preserve">grant us </w:t>
      </w:r>
      <w:r>
        <w:rPr>
          <w:rFonts w:asciiTheme="majorBidi" w:hAnsiTheme="majorBidi" w:cstheme="majorBidi"/>
        </w:rPr>
        <w:t xml:space="preserve">a better understanding of its </w:t>
      </w:r>
      <w:r w:rsidR="003C5661">
        <w:rPr>
          <w:rFonts w:asciiTheme="majorBidi" w:hAnsiTheme="majorBidi" w:cstheme="majorBidi"/>
        </w:rPr>
        <w:t>content</w:t>
      </w:r>
      <w:r>
        <w:rPr>
          <w:rFonts w:asciiTheme="majorBidi" w:hAnsiTheme="majorBidi" w:cstheme="majorBidi"/>
        </w:rPr>
        <w:t xml:space="preserve">. </w:t>
      </w:r>
    </w:p>
    <w:p w14:paraId="753F55F1" w14:textId="5FF87CAC" w:rsidR="00142DA3" w:rsidRDefault="00C435F2" w:rsidP="003C5661">
      <w:pPr>
        <w:bidi w:val="0"/>
        <w:spacing w:line="360" w:lineRule="auto"/>
        <w:ind w:firstLine="72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T</w:t>
      </w:r>
      <w:r w:rsidR="00142DA3">
        <w:rPr>
          <w:rFonts w:asciiTheme="majorBidi" w:hAnsiTheme="majorBidi" w:cstheme="majorBidi"/>
        </w:rPr>
        <w:t xml:space="preserve">he proposed identifications </w:t>
      </w:r>
      <w:r>
        <w:rPr>
          <w:rFonts w:asciiTheme="majorBidi" w:hAnsiTheme="majorBidi" w:cstheme="majorBidi"/>
        </w:rPr>
        <w:t xml:space="preserve">also </w:t>
      </w:r>
      <w:r w:rsidR="00142DA3" w:rsidRPr="007F703A">
        <w:rPr>
          <w:rFonts w:asciiTheme="majorBidi" w:hAnsiTheme="majorBidi" w:cstheme="majorBidi"/>
        </w:rPr>
        <w:t xml:space="preserve">provide insight </w:t>
      </w:r>
      <w:r w:rsidR="00A41325">
        <w:rPr>
          <w:rFonts w:asciiTheme="majorBidi" w:hAnsiTheme="majorBidi" w:cstheme="majorBidi"/>
        </w:rPr>
        <w:t>on</w:t>
      </w:r>
      <w:r w:rsidR="00A41325" w:rsidRPr="007F703A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the </w:t>
      </w:r>
      <w:r w:rsidR="00142DA3">
        <w:rPr>
          <w:rFonts w:asciiTheme="majorBidi" w:hAnsiTheme="majorBidi" w:cstheme="majorBidi"/>
        </w:rPr>
        <w:t xml:space="preserve">textual and material </w:t>
      </w:r>
      <w:r w:rsidR="003C5661">
        <w:rPr>
          <w:rFonts w:asciiTheme="majorBidi" w:hAnsiTheme="majorBidi" w:cstheme="majorBidi"/>
        </w:rPr>
        <w:t>analysis</w:t>
      </w:r>
      <w:r w:rsidR="00142DA3">
        <w:rPr>
          <w:rFonts w:asciiTheme="majorBidi" w:hAnsiTheme="majorBidi" w:cstheme="majorBidi"/>
        </w:rPr>
        <w:t xml:space="preserve"> of 4Q11. Textually</w:t>
      </w:r>
      <w:r>
        <w:rPr>
          <w:rFonts w:asciiTheme="majorBidi" w:hAnsiTheme="majorBidi" w:cstheme="majorBidi"/>
        </w:rPr>
        <w:t xml:space="preserve"> speaking</w:t>
      </w:r>
      <w:r w:rsidR="00142DA3">
        <w:rPr>
          <w:rFonts w:asciiTheme="majorBidi" w:hAnsiTheme="majorBidi" w:cstheme="majorBidi"/>
        </w:rPr>
        <w:t>, f</w:t>
      </w:r>
      <w:r w:rsidR="00142DA3" w:rsidRPr="007F703A">
        <w:rPr>
          <w:rFonts w:asciiTheme="majorBidi" w:hAnsiTheme="majorBidi" w:cstheme="majorBidi"/>
        </w:rPr>
        <w:t>ragment 48 reveals a possible agr</w:t>
      </w:r>
      <w:r w:rsidR="00142DA3">
        <w:rPr>
          <w:rFonts w:asciiTheme="majorBidi" w:hAnsiTheme="majorBidi" w:cstheme="majorBidi"/>
        </w:rPr>
        <w:t xml:space="preserve">eement </w:t>
      </w:r>
      <w:r>
        <w:rPr>
          <w:rFonts w:asciiTheme="majorBidi" w:hAnsiTheme="majorBidi" w:cstheme="majorBidi"/>
        </w:rPr>
        <w:t xml:space="preserve">between </w:t>
      </w:r>
      <w:r w:rsidR="00142DA3">
        <w:rPr>
          <w:rFonts w:asciiTheme="majorBidi" w:hAnsiTheme="majorBidi" w:cstheme="majorBidi"/>
        </w:rPr>
        <w:t xml:space="preserve">4Q11 </w:t>
      </w:r>
      <w:r>
        <w:rPr>
          <w:rFonts w:asciiTheme="majorBidi" w:hAnsiTheme="majorBidi" w:cstheme="majorBidi"/>
        </w:rPr>
        <w:t xml:space="preserve">and </w:t>
      </w:r>
      <w:r w:rsidR="00142DA3">
        <w:rPr>
          <w:rFonts w:asciiTheme="majorBidi" w:hAnsiTheme="majorBidi" w:cstheme="majorBidi"/>
        </w:rPr>
        <w:t>SP in Ex</w:t>
      </w:r>
      <w:r w:rsidR="00142DA3" w:rsidRPr="007F703A">
        <w:rPr>
          <w:rFonts w:asciiTheme="majorBidi" w:hAnsiTheme="majorBidi" w:cstheme="majorBidi"/>
        </w:rPr>
        <w:t xml:space="preserve"> 15:3. Given the fragment</w:t>
      </w:r>
      <w:r w:rsidR="00142DA3">
        <w:rPr>
          <w:rFonts w:asciiTheme="majorBidi" w:hAnsiTheme="majorBidi" w:cstheme="majorBidi"/>
        </w:rPr>
        <w:t xml:space="preserve">ary </w:t>
      </w:r>
      <w:r>
        <w:rPr>
          <w:rFonts w:asciiTheme="majorBidi" w:hAnsiTheme="majorBidi" w:cstheme="majorBidi"/>
        </w:rPr>
        <w:t xml:space="preserve">state </w:t>
      </w:r>
      <w:r w:rsidR="00142DA3">
        <w:rPr>
          <w:rFonts w:asciiTheme="majorBidi" w:hAnsiTheme="majorBidi" w:cstheme="majorBidi"/>
        </w:rPr>
        <w:t xml:space="preserve">of the scroll </w:t>
      </w:r>
      <w:r w:rsidR="00142DA3" w:rsidRPr="007F703A">
        <w:rPr>
          <w:rFonts w:asciiTheme="majorBidi" w:hAnsiTheme="majorBidi" w:cstheme="majorBidi"/>
        </w:rPr>
        <w:t xml:space="preserve">and the inconclusive situation regarding its textual classification, this agreement </w:t>
      </w:r>
      <w:r w:rsidR="002A34C5">
        <w:rPr>
          <w:rFonts w:asciiTheme="majorBidi" w:hAnsiTheme="majorBidi" w:cstheme="majorBidi"/>
        </w:rPr>
        <w:t xml:space="preserve">may prove </w:t>
      </w:r>
      <w:r w:rsidR="00142DA3" w:rsidRPr="007F703A">
        <w:rPr>
          <w:rFonts w:asciiTheme="majorBidi" w:hAnsiTheme="majorBidi" w:cstheme="majorBidi"/>
        </w:rPr>
        <w:t xml:space="preserve">valuable to the analysis of the </w:t>
      </w:r>
      <w:r w:rsidR="00A41325">
        <w:rPr>
          <w:rFonts w:asciiTheme="majorBidi" w:hAnsiTheme="majorBidi" w:cstheme="majorBidi"/>
        </w:rPr>
        <w:t xml:space="preserve">scroll’s </w:t>
      </w:r>
      <w:r w:rsidR="00142DA3" w:rsidRPr="007F703A">
        <w:rPr>
          <w:rFonts w:asciiTheme="majorBidi" w:hAnsiTheme="majorBidi" w:cstheme="majorBidi"/>
        </w:rPr>
        <w:t xml:space="preserve">text and </w:t>
      </w:r>
      <w:r w:rsidR="00142DA3">
        <w:rPr>
          <w:rFonts w:asciiTheme="majorBidi" w:hAnsiTheme="majorBidi" w:cstheme="majorBidi"/>
        </w:rPr>
        <w:t>its relation</w:t>
      </w:r>
      <w:r w:rsidR="002A34C5">
        <w:rPr>
          <w:rFonts w:asciiTheme="majorBidi" w:hAnsiTheme="majorBidi" w:cstheme="majorBidi"/>
        </w:rPr>
        <w:t xml:space="preserve"> to </w:t>
      </w:r>
      <w:r w:rsidR="00142DA3">
        <w:rPr>
          <w:rFonts w:asciiTheme="majorBidi" w:hAnsiTheme="majorBidi" w:cstheme="majorBidi"/>
        </w:rPr>
        <w:t>other copies of Exodus from Qumran</w:t>
      </w:r>
      <w:r w:rsidR="00142DA3" w:rsidRPr="007F703A">
        <w:rPr>
          <w:rFonts w:asciiTheme="majorBidi" w:hAnsiTheme="majorBidi" w:cstheme="majorBidi"/>
        </w:rPr>
        <w:t>.</w:t>
      </w:r>
      <w:r w:rsidR="00142DA3">
        <w:rPr>
          <w:rStyle w:val="FootnoteReference"/>
          <w:rFonts w:asciiTheme="majorBidi" w:hAnsiTheme="majorBidi" w:cstheme="majorBidi"/>
        </w:rPr>
        <w:footnoteReference w:id="29"/>
      </w:r>
    </w:p>
    <w:p w14:paraId="19D10486" w14:textId="2D39740F" w:rsidR="00142DA3" w:rsidRDefault="00142DA3" w:rsidP="004079C1">
      <w:pPr>
        <w:bidi w:val="0"/>
        <w:spacing w:line="360" w:lineRule="auto"/>
        <w:ind w:firstLine="720"/>
        <w:jc w:val="both"/>
        <w:rPr>
          <w:rFonts w:asciiTheme="majorBidi" w:hAnsiTheme="majorBidi" w:cstheme="majorBidi"/>
        </w:rPr>
      </w:pPr>
      <w:r w:rsidRPr="009921C1">
        <w:rPr>
          <w:rFonts w:asciiTheme="majorBidi" w:hAnsiTheme="majorBidi" w:cstheme="majorBidi"/>
        </w:rPr>
        <w:t>The new identifications also contribute to</w:t>
      </w:r>
      <w:r>
        <w:rPr>
          <w:rFonts w:asciiTheme="majorBidi" w:hAnsiTheme="majorBidi" w:cstheme="majorBidi"/>
        </w:rPr>
        <w:t xml:space="preserve"> the </w:t>
      </w:r>
      <w:r w:rsidR="002A34C5">
        <w:rPr>
          <w:rFonts w:asciiTheme="majorBidi" w:hAnsiTheme="majorBidi" w:cstheme="majorBidi"/>
        </w:rPr>
        <w:t xml:space="preserve">matter </w:t>
      </w:r>
      <w:r>
        <w:rPr>
          <w:rFonts w:asciiTheme="majorBidi" w:hAnsiTheme="majorBidi" w:cstheme="majorBidi"/>
        </w:rPr>
        <w:t>of the materiality of 4Q11. In some cases, they</w:t>
      </w:r>
      <w:r w:rsidRPr="009921C1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reveal direct or distant joins of the fragments </w:t>
      </w:r>
      <w:r w:rsidR="002A34C5">
        <w:rPr>
          <w:rFonts w:asciiTheme="majorBidi" w:hAnsiTheme="majorBidi" w:cstheme="majorBidi"/>
        </w:rPr>
        <w:t>discussed and other</w:t>
      </w:r>
      <w:r>
        <w:rPr>
          <w:rFonts w:asciiTheme="majorBidi" w:hAnsiTheme="majorBidi" w:cstheme="majorBidi"/>
        </w:rPr>
        <w:t xml:space="preserve"> preserved fragments. The new joins provide </w:t>
      </w:r>
      <w:r w:rsidR="002A34C5">
        <w:rPr>
          <w:rFonts w:asciiTheme="majorBidi" w:hAnsiTheme="majorBidi" w:cstheme="majorBidi"/>
        </w:rPr>
        <w:t xml:space="preserve">useful </w:t>
      </w:r>
      <w:r>
        <w:rPr>
          <w:rFonts w:asciiTheme="majorBidi" w:hAnsiTheme="majorBidi" w:cstheme="majorBidi"/>
        </w:rPr>
        <w:t xml:space="preserve">information </w:t>
      </w:r>
      <w:r w:rsidR="002A34C5">
        <w:rPr>
          <w:rFonts w:asciiTheme="majorBidi" w:hAnsiTheme="majorBidi" w:cstheme="majorBidi"/>
        </w:rPr>
        <w:t xml:space="preserve">on the </w:t>
      </w:r>
      <w:r w:rsidR="00C05456">
        <w:rPr>
          <w:rFonts w:asciiTheme="majorBidi" w:hAnsiTheme="majorBidi" w:cstheme="majorBidi"/>
        </w:rPr>
        <w:t xml:space="preserve">processes that cause </w:t>
      </w:r>
      <w:r>
        <w:rPr>
          <w:rFonts w:asciiTheme="majorBidi" w:hAnsiTheme="majorBidi" w:cstheme="majorBidi"/>
        </w:rPr>
        <w:t>repeated damage t</w:t>
      </w:r>
      <w:r w:rsidR="00C05456">
        <w:rPr>
          <w:rFonts w:asciiTheme="majorBidi" w:hAnsiTheme="majorBidi" w:cstheme="majorBidi"/>
        </w:rPr>
        <w:t>o</w:t>
      </w:r>
      <w:r>
        <w:rPr>
          <w:rFonts w:asciiTheme="majorBidi" w:hAnsiTheme="majorBidi" w:cstheme="majorBidi"/>
        </w:rPr>
        <w:t xml:space="preserve"> the scroll </w:t>
      </w:r>
      <w:r w:rsidR="00C05456">
        <w:rPr>
          <w:rFonts w:asciiTheme="majorBidi" w:hAnsiTheme="majorBidi" w:cstheme="majorBidi"/>
        </w:rPr>
        <w:t xml:space="preserve">when it was </w:t>
      </w:r>
      <w:r>
        <w:rPr>
          <w:rFonts w:asciiTheme="majorBidi" w:hAnsiTheme="majorBidi" w:cstheme="majorBidi"/>
        </w:rPr>
        <w:t xml:space="preserve">rolled up. </w:t>
      </w:r>
      <w:r w:rsidRPr="009921C1">
        <w:rPr>
          <w:rFonts w:asciiTheme="majorBidi" w:hAnsiTheme="majorBidi" w:cstheme="majorBidi"/>
        </w:rPr>
        <w:t xml:space="preserve">These, as well as material </w:t>
      </w:r>
      <w:r w:rsidR="004079C1">
        <w:rPr>
          <w:rFonts w:asciiTheme="majorBidi" w:hAnsiTheme="majorBidi" w:cstheme="majorBidi"/>
        </w:rPr>
        <w:t xml:space="preserve">signs on particular fragments, </w:t>
      </w:r>
      <w:r w:rsidR="00C05456">
        <w:rPr>
          <w:rFonts w:asciiTheme="majorBidi" w:hAnsiTheme="majorBidi" w:cstheme="majorBidi"/>
        </w:rPr>
        <w:t>such as seam remains (fr</w:t>
      </w:r>
      <w:r w:rsidR="000768FE">
        <w:rPr>
          <w:rFonts w:asciiTheme="majorBidi" w:hAnsiTheme="majorBidi" w:cstheme="majorBidi"/>
        </w:rPr>
        <w:t>agment</w:t>
      </w:r>
      <w:r w:rsidR="00C05456">
        <w:rPr>
          <w:rFonts w:asciiTheme="majorBidi" w:hAnsiTheme="majorBidi" w:cstheme="majorBidi"/>
        </w:rPr>
        <w:t xml:space="preserve"> 44) and bottom margins (fr</w:t>
      </w:r>
      <w:r w:rsidR="000768FE">
        <w:rPr>
          <w:rFonts w:asciiTheme="majorBidi" w:hAnsiTheme="majorBidi" w:cstheme="majorBidi"/>
        </w:rPr>
        <w:t>agment</w:t>
      </w:r>
      <w:r w:rsidR="00C05456">
        <w:rPr>
          <w:rFonts w:asciiTheme="majorBidi" w:hAnsiTheme="majorBidi" w:cstheme="majorBidi"/>
        </w:rPr>
        <w:t xml:space="preserve"> 52)</w:t>
      </w:r>
      <w:r w:rsidR="00A41325">
        <w:rPr>
          <w:rFonts w:asciiTheme="majorBidi" w:hAnsiTheme="majorBidi" w:cstheme="majorBidi"/>
        </w:rPr>
        <w:t>,</w:t>
      </w:r>
      <w:r>
        <w:rPr>
          <w:rFonts w:asciiTheme="majorBidi" w:hAnsiTheme="majorBidi" w:cstheme="majorBidi"/>
        </w:rPr>
        <w:t xml:space="preserve"> may </w:t>
      </w:r>
      <w:r w:rsidRPr="009921C1">
        <w:rPr>
          <w:rFonts w:asciiTheme="majorBidi" w:hAnsiTheme="majorBidi" w:cstheme="majorBidi"/>
        </w:rPr>
        <w:t xml:space="preserve">contribute to </w:t>
      </w:r>
      <w:r>
        <w:rPr>
          <w:rFonts w:asciiTheme="majorBidi" w:hAnsiTheme="majorBidi" w:cstheme="majorBidi"/>
        </w:rPr>
        <w:t>the</w:t>
      </w:r>
      <w:r w:rsidRPr="009921C1">
        <w:rPr>
          <w:rFonts w:asciiTheme="majorBidi" w:hAnsiTheme="majorBidi" w:cstheme="majorBidi"/>
        </w:rPr>
        <w:t xml:space="preserve"> material reconstruction of </w:t>
      </w:r>
      <w:r>
        <w:rPr>
          <w:rFonts w:asciiTheme="majorBidi" w:hAnsiTheme="majorBidi" w:cstheme="majorBidi"/>
        </w:rPr>
        <w:t>4Q11</w:t>
      </w:r>
      <w:r w:rsidRPr="009921C1">
        <w:rPr>
          <w:rFonts w:asciiTheme="majorBidi" w:hAnsiTheme="majorBidi" w:cstheme="majorBidi"/>
        </w:rPr>
        <w:t>.</w:t>
      </w:r>
    </w:p>
    <w:p w14:paraId="02A759D5" w14:textId="77777777" w:rsidR="00142DA3" w:rsidRDefault="00142DA3" w:rsidP="00142DA3">
      <w:pPr>
        <w:bidi w:val="0"/>
        <w:rPr>
          <w:rFonts w:asciiTheme="majorBidi" w:hAnsiTheme="majorBidi" w:cstheme="majorBidi"/>
        </w:rPr>
      </w:pPr>
    </w:p>
    <w:p w14:paraId="692DE8FD" w14:textId="77777777" w:rsidR="00E73BBB" w:rsidRPr="00142DA3" w:rsidRDefault="009E14CE"/>
    <w:sectPr w:rsidR="00E73BBB" w:rsidRPr="00142DA3" w:rsidSect="00FC4E52">
      <w:pgSz w:w="11900" w:h="16840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Hila Dayfani" w:date="2021-04-21T16:05:00Z" w:initials="HD">
    <w:p w14:paraId="6C335F15" w14:textId="71A606A2" w:rsidR="007A7F60" w:rsidRDefault="007A7F60">
      <w:pPr>
        <w:pStyle w:val="CommentText"/>
      </w:pPr>
      <w:r>
        <w:rPr>
          <w:rStyle w:val="CommentReference"/>
        </w:rPr>
        <w:annotationRef/>
      </w:r>
      <w:r>
        <w:t xml:space="preserve">Is this sentence correct? </w:t>
      </w:r>
    </w:p>
  </w:comment>
  <w:comment w:id="1" w:author="Adrian Sackson" w:date="2021-04-22T11:31:00Z" w:initials="AS">
    <w:p w14:paraId="7E838609" w14:textId="258FFC25" w:rsidR="004B27F2" w:rsidRDefault="004B27F2" w:rsidP="004B27F2">
      <w:pPr>
        <w:pStyle w:val="CommentText"/>
        <w:bidi w:val="0"/>
      </w:pPr>
      <w:r>
        <w:rPr>
          <w:rStyle w:val="CommentReference"/>
        </w:rPr>
        <w:annotationRef/>
      </w:r>
      <w:r>
        <w:t>Yes.</w:t>
      </w:r>
      <w:r w:rsidR="00CB3C57">
        <w:t xml:space="preserve"> (MS Word’s grammar check is probably just confused by the word ‘remains’ which can also be a verb).</w:t>
      </w:r>
    </w:p>
  </w:comment>
  <w:comment w:id="2" w:author="Irina" w:date="2021-04-19T22:19:00Z" w:initials="I">
    <w:p w14:paraId="30F5299E" w14:textId="5E701B4A" w:rsidR="002B202D" w:rsidRPr="002B202D" w:rsidRDefault="002B202D" w:rsidP="002B202D">
      <w:pPr>
        <w:pStyle w:val="CommentText"/>
        <w:bidi w:val="0"/>
      </w:pPr>
      <w:r>
        <w:rPr>
          <w:rStyle w:val="CommentReference"/>
        </w:rPr>
        <w:annotationRef/>
      </w:r>
      <w:r>
        <w:rPr>
          <w:rFonts w:hint="cs"/>
          <w:rtl/>
        </w:rPr>
        <w:t>Here too, the wording is confusing . Do you mean "the later preserve</w:t>
      </w:r>
      <w:r>
        <w:rPr>
          <w:rFonts w:hint="cs"/>
          <w:i/>
          <w:iCs/>
          <w:rtl/>
        </w:rPr>
        <w:t>d</w:t>
      </w:r>
      <w:r>
        <w:rPr>
          <w:rFonts w:hint="cs"/>
          <w:rtl/>
        </w:rPr>
        <w:t xml:space="preserve">? A copy of Ex 9:33 that was preserved later?  Needs clarification.  </w:t>
      </w:r>
    </w:p>
  </w:comment>
  <w:comment w:id="3" w:author="Hila Dayfani" w:date="2021-04-21T16:05:00Z" w:initials="HD">
    <w:p w14:paraId="09596FE3" w14:textId="1AFA0027" w:rsidR="007A7F60" w:rsidRDefault="007A7F60">
      <w:pPr>
        <w:pStyle w:val="CommentText"/>
      </w:pPr>
      <w:r>
        <w:rPr>
          <w:rStyle w:val="CommentReference"/>
        </w:rPr>
        <w:annotationRef/>
      </w:r>
      <w:r>
        <w:t>Fragments 7i+8 preserve the text of Ex 9:33-10:5</w:t>
      </w:r>
    </w:p>
  </w:comment>
  <w:comment w:id="4" w:author="Adrian Sackson" w:date="2021-04-22T11:32:00Z" w:initials="AS">
    <w:p w14:paraId="7C0A4330" w14:textId="6C2CB317" w:rsidR="00A17342" w:rsidRDefault="00A17342" w:rsidP="00A17342">
      <w:pPr>
        <w:pStyle w:val="CommentText"/>
        <w:bidi w:val="0"/>
      </w:pPr>
      <w:r>
        <w:rPr>
          <w:rStyle w:val="CommentReference"/>
        </w:rPr>
        <w:annotationRef/>
      </w:r>
      <w:r>
        <w:t>In that case I think this simple adjustment should work.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C335F15" w15:done="0"/>
  <w15:commentEx w15:paraId="7E838609" w15:paraIdParent="6C335F15" w15:done="0"/>
  <w15:commentEx w15:paraId="30F5299E" w15:done="0"/>
  <w15:commentEx w15:paraId="09596FE3" w15:paraIdParent="30F5299E" w15:done="0"/>
  <w15:commentEx w15:paraId="7C0A4330" w15:paraIdParent="30F5299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2BDD15" w16cex:dateUtc="2021-04-22T08:31:00Z"/>
  <w16cex:commentExtensible w16cex:durableId="2428806D" w16cex:dateUtc="2021-04-20T02:19:00Z"/>
  <w16cex:commentExtensible w16cex:durableId="242BDD61" w16cex:dateUtc="2021-04-22T08:3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C335F15" w16cid:durableId="242BDCE0"/>
  <w16cid:commentId w16cid:paraId="7E838609" w16cid:durableId="242BDD15"/>
  <w16cid:commentId w16cid:paraId="30F5299E" w16cid:durableId="2428806D"/>
  <w16cid:commentId w16cid:paraId="09596FE3" w16cid:durableId="242BDCE2"/>
  <w16cid:commentId w16cid:paraId="7C0A4330" w16cid:durableId="242BDD6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0D82F" w14:textId="77777777" w:rsidR="009E14CE" w:rsidRDefault="009E14CE" w:rsidP="00142DA3">
      <w:r>
        <w:separator/>
      </w:r>
    </w:p>
  </w:endnote>
  <w:endnote w:type="continuationSeparator" w:id="0">
    <w:p w14:paraId="4A43D136" w14:textId="77777777" w:rsidR="009E14CE" w:rsidRDefault="009E14CE" w:rsidP="00142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BL Hebrew">
    <w:altName w:val="Arial"/>
    <w:charset w:val="B1"/>
    <w:family w:val="auto"/>
    <w:pitch w:val="variable"/>
    <w:sig w:usb0="8000086F" w:usb1="4000204A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2E3D8" w14:textId="77777777" w:rsidR="009E14CE" w:rsidRDefault="009E14CE" w:rsidP="00142DA3">
      <w:r>
        <w:separator/>
      </w:r>
    </w:p>
  </w:footnote>
  <w:footnote w:type="continuationSeparator" w:id="0">
    <w:p w14:paraId="7E8A97AC" w14:textId="77777777" w:rsidR="009E14CE" w:rsidRDefault="009E14CE" w:rsidP="00142DA3">
      <w:r>
        <w:continuationSeparator/>
      </w:r>
    </w:p>
  </w:footnote>
  <w:footnote w:id="1">
    <w:p w14:paraId="75F36FDB" w14:textId="77777777" w:rsidR="00142DA3" w:rsidRPr="007175B7" w:rsidRDefault="00142DA3" w:rsidP="00142DA3">
      <w:pPr>
        <w:pStyle w:val="FootnoteText"/>
        <w:bidi w:val="0"/>
        <w:jc w:val="both"/>
        <w:rPr>
          <w:sz w:val="20"/>
          <w:szCs w:val="20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4B27F2">
        <w:rPr>
          <w:rFonts w:asciiTheme="majorBidi" w:hAnsiTheme="majorBidi" w:cstheme="majorBidi"/>
          <w:sz w:val="20"/>
          <w:szCs w:val="20"/>
          <w:lang w:val="de-DE"/>
        </w:rPr>
        <w:t xml:space="preserve">Patrick Skehan, Eugene Ulrich, Judith Sanderson, “11. </w:t>
      </w:r>
      <w:r>
        <w:rPr>
          <w:rFonts w:asciiTheme="majorBidi" w:hAnsiTheme="majorBidi" w:cstheme="majorBidi"/>
          <w:sz w:val="20"/>
          <w:szCs w:val="20"/>
        </w:rPr>
        <w:t>4QpaleoGenesis-Exodus</w:t>
      </w:r>
      <w:r>
        <w:rPr>
          <w:rFonts w:asciiTheme="majorBidi" w:hAnsiTheme="majorBidi" w:cstheme="majorBidi"/>
          <w:sz w:val="20"/>
          <w:szCs w:val="20"/>
          <w:vertAlign w:val="superscript"/>
        </w:rPr>
        <w:t>l</w:t>
      </w:r>
      <w:r>
        <w:rPr>
          <w:rFonts w:asciiTheme="majorBidi" w:hAnsiTheme="majorBidi" w:cstheme="majorBidi"/>
          <w:sz w:val="20"/>
          <w:szCs w:val="20"/>
        </w:rPr>
        <w:t xml:space="preserve">,” in </w:t>
      </w:r>
      <w:r>
        <w:rPr>
          <w:rFonts w:asciiTheme="majorBidi" w:hAnsiTheme="majorBidi" w:cstheme="majorBidi"/>
          <w:i/>
          <w:iCs/>
          <w:sz w:val="20"/>
          <w:szCs w:val="20"/>
        </w:rPr>
        <w:t>Qumran Cave 4 IV: Paleo-Hebrew and Greek Biblical Manuscripts</w:t>
      </w:r>
      <w:r>
        <w:rPr>
          <w:rFonts w:asciiTheme="majorBidi" w:hAnsiTheme="majorBidi" w:cstheme="majorBidi"/>
          <w:sz w:val="20"/>
          <w:szCs w:val="20"/>
        </w:rPr>
        <w:t xml:space="preserve"> (DJD 9; Oxford: Clarendon Press, 1992). </w:t>
      </w:r>
    </w:p>
  </w:footnote>
  <w:footnote w:id="2">
    <w:p w14:paraId="17171DF2" w14:textId="3C861A76" w:rsidR="00142DA3" w:rsidRPr="00547ED5" w:rsidRDefault="00142DA3" w:rsidP="00DF40B7">
      <w:pPr>
        <w:bidi w:val="0"/>
        <w:jc w:val="both"/>
        <w:rPr>
          <w:rFonts w:asciiTheme="majorBidi" w:hAnsiTheme="majorBidi" w:cstheme="majorBidi"/>
        </w:rPr>
      </w:pPr>
      <w:r>
        <w:rPr>
          <w:rStyle w:val="FootnoteReference"/>
        </w:rPr>
        <w:footnoteRef/>
      </w:r>
      <w:r>
        <w:rPr>
          <w:rFonts w:asciiTheme="majorBidi" w:hAnsiTheme="majorBidi" w:cstheme="majorBidi"/>
          <w:sz w:val="20"/>
          <w:szCs w:val="20"/>
        </w:rPr>
        <w:t xml:space="preserve"> Mark David McLean, </w:t>
      </w:r>
      <w:r>
        <w:rPr>
          <w:rFonts w:asciiTheme="majorBidi" w:hAnsiTheme="majorBidi" w:cstheme="majorBidi"/>
          <w:i/>
          <w:iCs/>
          <w:sz w:val="20"/>
          <w:szCs w:val="20"/>
        </w:rPr>
        <w:t xml:space="preserve">The Use and Development of Paleo-Hebrew in the Hellenistic and Roman Periods </w:t>
      </w:r>
      <w:r>
        <w:rPr>
          <w:rFonts w:asciiTheme="majorBidi" w:hAnsiTheme="majorBidi" w:cstheme="majorBidi"/>
          <w:sz w:val="20"/>
          <w:szCs w:val="20"/>
        </w:rPr>
        <w:t xml:space="preserve">(Harvard University, 1982), 66. Despite the time elapsed, McLean’s study is the most </w:t>
      </w:r>
      <w:r w:rsidR="00DF40B7" w:rsidRPr="00DF40B7">
        <w:rPr>
          <w:rFonts w:asciiTheme="majorBidi" w:hAnsiTheme="majorBidi" w:cstheme="majorBidi"/>
          <w:sz w:val="20"/>
          <w:szCs w:val="20"/>
        </w:rPr>
        <w:t>highly developed and comprehensive typological assessment of</w:t>
      </w:r>
      <w:r>
        <w:rPr>
          <w:rFonts w:asciiTheme="majorBidi" w:hAnsiTheme="majorBidi" w:cstheme="majorBidi"/>
          <w:sz w:val="20"/>
          <w:szCs w:val="20"/>
        </w:rPr>
        <w:t xml:space="preserve"> paleo-Hebrew script attested in the Dead Sea scrolls. Cf. </w:t>
      </w:r>
      <w:r w:rsidRPr="00B55119">
        <w:rPr>
          <w:rFonts w:asciiTheme="majorBidi" w:hAnsiTheme="majorBidi" w:cstheme="majorBidi"/>
          <w:sz w:val="20"/>
          <w:szCs w:val="20"/>
        </w:rPr>
        <w:t xml:space="preserve">Michael Langlois, “Dead Sea Scrolls Paleography and the Samaritan Pentateuch,” in </w:t>
      </w:r>
      <w:r w:rsidRPr="00B55119">
        <w:rPr>
          <w:rFonts w:asciiTheme="majorBidi" w:hAnsiTheme="majorBidi" w:cstheme="majorBidi"/>
          <w:i/>
          <w:iCs/>
          <w:sz w:val="20"/>
          <w:szCs w:val="20"/>
        </w:rPr>
        <w:t>The Samaritan Pentateuch and the Dead Sea Scrolls</w:t>
      </w:r>
      <w:r w:rsidRPr="00B55119">
        <w:rPr>
          <w:rFonts w:asciiTheme="majorBidi" w:hAnsiTheme="majorBidi" w:cstheme="majorBidi"/>
          <w:sz w:val="20"/>
          <w:szCs w:val="20"/>
        </w:rPr>
        <w:t>, ed. Michael L</w:t>
      </w:r>
      <w:r>
        <w:rPr>
          <w:rFonts w:asciiTheme="majorBidi" w:hAnsiTheme="majorBidi" w:cstheme="majorBidi"/>
          <w:sz w:val="20"/>
          <w:szCs w:val="20"/>
        </w:rPr>
        <w:t xml:space="preserve">anglois (Leuven: Peeters 2019), 272. Langlois </w:t>
      </w:r>
      <w:r w:rsidR="00D62644">
        <w:rPr>
          <w:rFonts w:asciiTheme="majorBidi" w:hAnsiTheme="majorBidi" w:cstheme="majorBidi"/>
          <w:sz w:val="20"/>
          <w:szCs w:val="20"/>
        </w:rPr>
        <w:t xml:space="preserve">dates </w:t>
      </w:r>
      <w:r>
        <w:rPr>
          <w:rFonts w:asciiTheme="majorBidi" w:hAnsiTheme="majorBidi" w:cstheme="majorBidi"/>
          <w:sz w:val="20"/>
          <w:szCs w:val="20"/>
        </w:rPr>
        <w:t xml:space="preserve">4Q11 to the third century BCE, </w:t>
      </w:r>
      <w:r w:rsidRPr="002B52C0">
        <w:rPr>
          <w:rFonts w:asciiTheme="majorBidi" w:hAnsiTheme="majorBidi" w:cstheme="majorBidi"/>
          <w:sz w:val="20"/>
          <w:szCs w:val="20"/>
          <w:lang w:val="en"/>
        </w:rPr>
        <w:t>“</w:t>
      </w:r>
      <w:r w:rsidRPr="002B52C0">
        <w:rPr>
          <w:rFonts w:asciiTheme="majorBidi" w:hAnsiTheme="majorBidi" w:cstheme="majorBidi"/>
          <w:sz w:val="20"/>
          <w:szCs w:val="20"/>
        </w:rPr>
        <w:t>though earlier and later dates are possible</w:t>
      </w:r>
      <w:r>
        <w:rPr>
          <w:rFonts w:asciiTheme="majorBidi" w:hAnsiTheme="majorBidi" w:cstheme="majorBidi"/>
          <w:sz w:val="20"/>
          <w:szCs w:val="20"/>
        </w:rPr>
        <w:t>.</w:t>
      </w:r>
      <w:r w:rsidRPr="002B52C0">
        <w:rPr>
          <w:rFonts w:asciiTheme="majorBidi" w:hAnsiTheme="majorBidi" w:cstheme="majorBidi"/>
          <w:sz w:val="20"/>
          <w:szCs w:val="20"/>
        </w:rPr>
        <w:t>”</w:t>
      </w:r>
    </w:p>
  </w:footnote>
  <w:footnote w:id="3">
    <w:p w14:paraId="6CE495D1" w14:textId="77777777" w:rsidR="00142DA3" w:rsidRPr="00445D16" w:rsidRDefault="00142DA3" w:rsidP="00142DA3">
      <w:pPr>
        <w:pStyle w:val="FootnoteText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Emanuel Tov, </w:t>
      </w:r>
      <w:r>
        <w:rPr>
          <w:rFonts w:asciiTheme="majorBidi" w:hAnsiTheme="majorBidi" w:cstheme="majorBidi"/>
          <w:i/>
          <w:iCs/>
          <w:sz w:val="20"/>
          <w:szCs w:val="20"/>
        </w:rPr>
        <w:t xml:space="preserve">Scribal Practices and Approaches Reflected in the texts Found in the Judean Desert </w:t>
      </w:r>
      <w:r>
        <w:rPr>
          <w:rFonts w:asciiTheme="majorBidi" w:hAnsiTheme="majorBidi" w:cstheme="majorBidi"/>
          <w:sz w:val="20"/>
          <w:szCs w:val="20"/>
        </w:rPr>
        <w:t xml:space="preserve">(STDJ 54; Leiden: Brill, 2004), 119. </w:t>
      </w:r>
    </w:p>
  </w:footnote>
  <w:footnote w:id="4">
    <w:p w14:paraId="18546904" w14:textId="3BEB5F5A" w:rsidR="00142DA3" w:rsidRPr="00142B37" w:rsidRDefault="00142DA3" w:rsidP="00142DA3">
      <w:pPr>
        <w:pStyle w:val="FootnoteText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395B21">
        <w:rPr>
          <w:rFonts w:asciiTheme="majorBidi" w:hAnsiTheme="majorBidi" w:cstheme="majorBidi"/>
          <w:sz w:val="20"/>
          <w:szCs w:val="20"/>
        </w:rPr>
        <w:t xml:space="preserve">Image </w:t>
      </w:r>
      <w:r w:rsidR="00D62644">
        <w:rPr>
          <w:rFonts w:asciiTheme="majorBidi" w:hAnsiTheme="majorBidi" w:cstheme="majorBidi"/>
          <w:sz w:val="20"/>
          <w:szCs w:val="20"/>
        </w:rPr>
        <w:t>i</w:t>
      </w:r>
      <w:r w:rsidR="00D62644" w:rsidRPr="00395B21">
        <w:rPr>
          <w:rFonts w:asciiTheme="majorBidi" w:hAnsiTheme="majorBidi" w:cstheme="majorBidi"/>
          <w:sz w:val="20"/>
          <w:szCs w:val="20"/>
        </w:rPr>
        <w:t xml:space="preserve">n </w:t>
      </w:r>
      <w:hyperlink r:id="rId1" w:history="1">
        <w:r w:rsidRPr="00395B21">
          <w:rPr>
            <w:rStyle w:val="Hyperlink"/>
            <w:rFonts w:asciiTheme="majorBidi" w:hAnsiTheme="majorBidi" w:cstheme="majorBidi"/>
            <w:sz w:val="20"/>
            <w:szCs w:val="20"/>
          </w:rPr>
          <w:t>https://www.deadseascrolls.org.il/explore-the-archive/image/B-371331</w:t>
        </w:r>
      </w:hyperlink>
      <w:r w:rsidRPr="00395B21">
        <w:rPr>
          <w:rFonts w:asciiTheme="majorBidi" w:hAnsiTheme="majorBidi" w:cstheme="majorBidi"/>
          <w:sz w:val="20"/>
          <w:szCs w:val="20"/>
        </w:rPr>
        <w:t>. For the association of plate</w:t>
      </w:r>
      <w:r>
        <w:rPr>
          <w:rFonts w:asciiTheme="majorBidi" w:hAnsiTheme="majorBidi" w:cstheme="majorBidi"/>
          <w:sz w:val="20"/>
          <w:szCs w:val="20"/>
        </w:rPr>
        <w:t xml:space="preserve"> 395</w:t>
      </w:r>
      <w:r w:rsidRPr="00395B21">
        <w:rPr>
          <w:rFonts w:asciiTheme="majorBidi" w:hAnsiTheme="majorBidi" w:cstheme="majorBidi"/>
          <w:sz w:val="20"/>
          <w:szCs w:val="20"/>
        </w:rPr>
        <w:t xml:space="preserve"> with 4Q11, see </w:t>
      </w:r>
      <w:r>
        <w:rPr>
          <w:rFonts w:asciiTheme="majorBidi" w:hAnsiTheme="majorBidi" w:cstheme="majorBidi"/>
          <w:sz w:val="20"/>
          <w:szCs w:val="20"/>
        </w:rPr>
        <w:t xml:space="preserve">Stephen A. Reed, </w:t>
      </w:r>
      <w:r>
        <w:rPr>
          <w:rFonts w:asciiTheme="majorBidi" w:hAnsiTheme="majorBidi" w:cstheme="majorBidi"/>
          <w:i/>
          <w:iCs/>
          <w:sz w:val="20"/>
          <w:szCs w:val="20"/>
        </w:rPr>
        <w:t>The Dead Sea Scrolls Catalogue: Documents, Photographs, and Museum Inventory Numbers</w:t>
      </w:r>
      <w:r>
        <w:rPr>
          <w:rFonts w:asciiTheme="majorBidi" w:hAnsiTheme="majorBidi" w:cstheme="majorBidi"/>
          <w:sz w:val="20"/>
          <w:szCs w:val="20"/>
        </w:rPr>
        <w:t xml:space="preserve"> (Atlanta: Scholars Press, 1994), 44; Tov, </w:t>
      </w:r>
      <w:r>
        <w:rPr>
          <w:rFonts w:asciiTheme="majorBidi" w:hAnsiTheme="majorBidi" w:cstheme="majorBidi"/>
          <w:i/>
          <w:iCs/>
          <w:sz w:val="20"/>
          <w:szCs w:val="20"/>
        </w:rPr>
        <w:t>Revised Lists of the Text from the Judean Desert</w:t>
      </w:r>
      <w:r>
        <w:rPr>
          <w:rFonts w:asciiTheme="majorBidi" w:hAnsiTheme="majorBidi" w:cstheme="majorBidi"/>
          <w:sz w:val="20"/>
          <w:szCs w:val="20"/>
        </w:rPr>
        <w:t xml:space="preserve"> (Leiden: Brill, 2010), 22. </w:t>
      </w:r>
    </w:p>
  </w:footnote>
  <w:footnote w:id="5">
    <w:p w14:paraId="794D7C1E" w14:textId="0E3667A5" w:rsidR="00142DA3" w:rsidRPr="00880151" w:rsidRDefault="00142DA3" w:rsidP="00142DA3">
      <w:pPr>
        <w:pStyle w:val="FootnoteText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FootnoteReference"/>
        </w:rPr>
        <w:footnoteRef/>
      </w:r>
      <w:r w:rsidR="006830FB">
        <w:rPr>
          <w:rFonts w:asciiTheme="majorBidi" w:hAnsiTheme="majorBidi" w:cstheme="majorBidi"/>
          <w:sz w:val="20"/>
          <w:szCs w:val="20"/>
        </w:rPr>
        <w:t xml:space="preserve"> Fragments</w:t>
      </w:r>
      <w:r>
        <w:rPr>
          <w:rFonts w:asciiTheme="majorBidi" w:hAnsiTheme="majorBidi" w:cstheme="majorBidi"/>
          <w:sz w:val="20"/>
          <w:szCs w:val="20"/>
        </w:rPr>
        <w:t xml:space="preserve"> 51 (IAA 395.17); 52 (IAA 395.26); 53 (IAA 395.11); 56 (IAA 395.15); 59 (IAA 395.12); 62 (IAA 395.22). </w:t>
      </w:r>
    </w:p>
  </w:footnote>
  <w:footnote w:id="6">
    <w:p w14:paraId="2C9F778C" w14:textId="5832EE98" w:rsidR="00142DA3" w:rsidRPr="00980BFA" w:rsidRDefault="00142DA3" w:rsidP="00142DA3">
      <w:pPr>
        <w:pStyle w:val="FootnoteText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The identification of fragments 44, 47, and 48 was firstly proposed </w:t>
      </w:r>
      <w:r w:rsidR="00D62644">
        <w:rPr>
          <w:rFonts w:asciiTheme="majorBidi" w:hAnsiTheme="majorBidi" w:cstheme="majorBidi"/>
          <w:sz w:val="20"/>
          <w:szCs w:val="20"/>
        </w:rPr>
        <w:t xml:space="preserve">by </w:t>
      </w:r>
      <w:r w:rsidRPr="00BE09AA">
        <w:rPr>
          <w:rFonts w:asciiTheme="majorBidi" w:hAnsiTheme="majorBidi" w:cstheme="majorBidi"/>
          <w:sz w:val="20"/>
          <w:szCs w:val="20"/>
        </w:rPr>
        <w:t xml:space="preserve">Drew Longacre, </w:t>
      </w:r>
      <w:r w:rsidRPr="00BE09AA">
        <w:rPr>
          <w:rFonts w:asciiTheme="majorBidi" w:hAnsiTheme="majorBidi" w:cstheme="majorBidi"/>
          <w:i/>
          <w:iCs/>
          <w:sz w:val="20"/>
          <w:szCs w:val="20"/>
        </w:rPr>
        <w:t>A Contextualized Approach to the Dead Sea Scrolls Containing Exodus</w:t>
      </w:r>
      <w:r>
        <w:rPr>
          <w:rFonts w:asciiTheme="majorBidi" w:hAnsiTheme="majorBidi" w:cstheme="majorBidi"/>
          <w:sz w:val="20"/>
          <w:szCs w:val="20"/>
        </w:rPr>
        <w:t xml:space="preserve"> (PhD Thesis: University of Birmingham, 2015), 108.</w:t>
      </w:r>
    </w:p>
  </w:footnote>
  <w:footnote w:id="7">
    <w:p w14:paraId="7CB9F805" w14:textId="13247D61" w:rsidR="00142DA3" w:rsidRPr="0094138B" w:rsidRDefault="00142DA3" w:rsidP="00D60B0F">
      <w:pPr>
        <w:pStyle w:val="FootnoteText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Image </w:t>
      </w:r>
      <w:r w:rsidR="00D60B0F">
        <w:rPr>
          <w:rFonts w:asciiTheme="majorBidi" w:hAnsiTheme="majorBidi" w:cstheme="majorBidi"/>
          <w:sz w:val="20"/>
          <w:szCs w:val="20"/>
        </w:rPr>
        <w:t>i</w:t>
      </w:r>
      <w:r>
        <w:rPr>
          <w:rFonts w:asciiTheme="majorBidi" w:hAnsiTheme="majorBidi" w:cstheme="majorBidi"/>
          <w:sz w:val="20"/>
          <w:szCs w:val="20"/>
        </w:rPr>
        <w:t xml:space="preserve">n </w:t>
      </w:r>
      <w:hyperlink r:id="rId2" w:history="1">
        <w:r w:rsidRPr="00292D0A">
          <w:rPr>
            <w:rStyle w:val="Hyperlink"/>
            <w:rFonts w:asciiTheme="majorBidi" w:hAnsiTheme="majorBidi" w:cstheme="majorBidi"/>
            <w:sz w:val="20"/>
            <w:szCs w:val="20"/>
          </w:rPr>
          <w:t>https://www.deadseascrolls.org.il/explore-the-archive/image/B-475414</w:t>
        </w:r>
      </w:hyperlink>
      <w:r>
        <w:rPr>
          <w:rFonts w:asciiTheme="majorBidi" w:hAnsiTheme="majorBidi" w:cstheme="majorBidi"/>
          <w:sz w:val="20"/>
          <w:szCs w:val="20"/>
        </w:rPr>
        <w:t xml:space="preserve">. </w:t>
      </w:r>
    </w:p>
  </w:footnote>
  <w:footnote w:id="8">
    <w:p w14:paraId="056CC092" w14:textId="34F82C43" w:rsidR="00142DA3" w:rsidRPr="00D14766" w:rsidRDefault="00142DA3" w:rsidP="00142DA3">
      <w:pPr>
        <w:pStyle w:val="FootnoteText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Cf. Skehan, Ulrich, and Sanderson, </w:t>
      </w:r>
      <w:r w:rsidRPr="00387F29">
        <w:rPr>
          <w:rFonts w:asciiTheme="majorBidi" w:hAnsiTheme="majorBidi" w:cstheme="majorBidi"/>
          <w:sz w:val="20"/>
          <w:szCs w:val="20"/>
        </w:rPr>
        <w:t>“4QpaleoGenesis-Exodus</w:t>
      </w:r>
      <w:r w:rsidRPr="00387F29">
        <w:rPr>
          <w:rFonts w:asciiTheme="majorBidi" w:hAnsiTheme="majorBidi" w:cstheme="majorBidi"/>
          <w:sz w:val="20"/>
          <w:szCs w:val="20"/>
          <w:vertAlign w:val="superscript"/>
        </w:rPr>
        <w:t>l</w:t>
      </w:r>
      <w:r w:rsidRPr="00387F29">
        <w:rPr>
          <w:rFonts w:asciiTheme="majorBidi" w:hAnsiTheme="majorBidi" w:cstheme="majorBidi"/>
          <w:sz w:val="20"/>
          <w:szCs w:val="20"/>
        </w:rPr>
        <w:t>,”</w:t>
      </w:r>
      <w:r>
        <w:rPr>
          <w:rFonts w:asciiTheme="majorBidi" w:hAnsiTheme="majorBidi" w:cstheme="majorBidi"/>
          <w:sz w:val="20"/>
          <w:szCs w:val="20"/>
        </w:rPr>
        <w:t xml:space="preserve"> 49. The editors read the first legible letter in line 2 as </w:t>
      </w:r>
      <w:r>
        <w:rPr>
          <w:rFonts w:asciiTheme="majorBidi" w:hAnsiTheme="majorBidi" w:cstheme="majorBidi"/>
          <w:i/>
          <w:iCs/>
          <w:sz w:val="20"/>
          <w:szCs w:val="20"/>
        </w:rPr>
        <w:t>ayin</w:t>
      </w:r>
      <w:r>
        <w:rPr>
          <w:rFonts w:asciiTheme="majorBidi" w:hAnsiTheme="majorBidi" w:cstheme="majorBidi"/>
          <w:sz w:val="20"/>
          <w:szCs w:val="20"/>
        </w:rPr>
        <w:t xml:space="preserve">. In addition, they </w:t>
      </w:r>
      <w:r w:rsidR="00D62644">
        <w:rPr>
          <w:rFonts w:asciiTheme="majorBidi" w:hAnsiTheme="majorBidi" w:cstheme="majorBidi"/>
          <w:sz w:val="20"/>
          <w:szCs w:val="20"/>
        </w:rPr>
        <w:t xml:space="preserve">do </w:t>
      </w:r>
      <w:r>
        <w:rPr>
          <w:rFonts w:asciiTheme="majorBidi" w:hAnsiTheme="majorBidi" w:cstheme="majorBidi"/>
          <w:sz w:val="20"/>
          <w:szCs w:val="20"/>
        </w:rPr>
        <w:t xml:space="preserve">not offer readings for the letters </w:t>
      </w:r>
      <w:r w:rsidRPr="00D14766">
        <w:rPr>
          <w:rFonts w:asciiTheme="majorBidi" w:hAnsiTheme="majorBidi" w:cstheme="majorBidi"/>
          <w:i/>
          <w:iCs/>
          <w:sz w:val="20"/>
          <w:szCs w:val="20"/>
        </w:rPr>
        <w:t>het</w:t>
      </w:r>
      <w:r>
        <w:rPr>
          <w:rFonts w:asciiTheme="majorBidi" w:hAnsiTheme="majorBidi" w:cstheme="majorBidi"/>
          <w:sz w:val="20"/>
          <w:szCs w:val="20"/>
        </w:rPr>
        <w:t xml:space="preserve">, </w:t>
      </w:r>
      <w:r w:rsidRPr="00D14766">
        <w:rPr>
          <w:rFonts w:asciiTheme="majorBidi" w:hAnsiTheme="majorBidi" w:cstheme="majorBidi"/>
          <w:i/>
          <w:iCs/>
          <w:sz w:val="20"/>
          <w:szCs w:val="20"/>
        </w:rPr>
        <w:t>resh</w:t>
      </w:r>
      <w:r>
        <w:rPr>
          <w:rFonts w:asciiTheme="majorBidi" w:hAnsiTheme="majorBidi" w:cstheme="majorBidi"/>
          <w:sz w:val="20"/>
          <w:szCs w:val="20"/>
        </w:rPr>
        <w:t xml:space="preserve">, and </w:t>
      </w:r>
      <w:r w:rsidRPr="00D14766">
        <w:rPr>
          <w:rFonts w:asciiTheme="majorBidi" w:hAnsiTheme="majorBidi" w:cstheme="majorBidi"/>
          <w:i/>
          <w:iCs/>
          <w:sz w:val="20"/>
          <w:szCs w:val="20"/>
        </w:rPr>
        <w:t>vav</w:t>
      </w:r>
      <w:r>
        <w:rPr>
          <w:rFonts w:asciiTheme="majorBidi" w:hAnsiTheme="majorBidi" w:cstheme="majorBidi"/>
          <w:sz w:val="20"/>
          <w:szCs w:val="20"/>
        </w:rPr>
        <w:t xml:space="preserve"> in lines 3, 4, and 5, respectively. </w:t>
      </w:r>
    </w:p>
  </w:footnote>
  <w:footnote w:id="9">
    <w:p w14:paraId="3824521E" w14:textId="256918CD" w:rsidR="00142DA3" w:rsidRDefault="00142DA3" w:rsidP="00142DA3">
      <w:pPr>
        <w:pStyle w:val="FootnoteText"/>
        <w:bidi w:val="0"/>
        <w:jc w:val="both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>I</w:t>
      </w:r>
      <w:r w:rsidRPr="00580975">
        <w:rPr>
          <w:rFonts w:asciiTheme="majorBidi" w:hAnsiTheme="majorBidi" w:cstheme="majorBidi"/>
          <w:sz w:val="20"/>
          <w:szCs w:val="20"/>
        </w:rPr>
        <w:t xml:space="preserve">mage </w:t>
      </w:r>
      <w:r w:rsidR="00D62644">
        <w:rPr>
          <w:rFonts w:asciiTheme="majorBidi" w:hAnsiTheme="majorBidi" w:cstheme="majorBidi"/>
          <w:sz w:val="20"/>
          <w:szCs w:val="20"/>
        </w:rPr>
        <w:t>i</w:t>
      </w:r>
      <w:r w:rsidR="00D62644" w:rsidRPr="00580975">
        <w:rPr>
          <w:rFonts w:asciiTheme="majorBidi" w:hAnsiTheme="majorBidi" w:cstheme="majorBidi"/>
          <w:sz w:val="20"/>
          <w:szCs w:val="20"/>
        </w:rPr>
        <w:t>n</w:t>
      </w:r>
      <w:r w:rsidR="00D62644">
        <w:t xml:space="preserve"> </w:t>
      </w:r>
      <w:hyperlink r:id="rId3" w:history="1">
        <w:r w:rsidRPr="00580975">
          <w:rPr>
            <w:rStyle w:val="Hyperlink"/>
            <w:rFonts w:asciiTheme="majorBidi" w:hAnsiTheme="majorBidi" w:cstheme="majorBidi"/>
            <w:sz w:val="20"/>
            <w:szCs w:val="20"/>
          </w:rPr>
          <w:t>https://www.deadseascrolls.org.il/explore-the-archive/image/B-499664</w:t>
        </w:r>
      </w:hyperlink>
      <w:r w:rsidRPr="00580975">
        <w:rPr>
          <w:rFonts w:asciiTheme="majorBidi" w:hAnsiTheme="majorBidi" w:cstheme="majorBidi"/>
          <w:sz w:val="20"/>
          <w:szCs w:val="20"/>
        </w:rPr>
        <w:t>;</w:t>
      </w:r>
      <w: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For the transcription, see Skehan, Ulrich, and Sanderson, </w:t>
      </w:r>
      <w:r w:rsidRPr="00387F29">
        <w:rPr>
          <w:rFonts w:asciiTheme="majorBidi" w:hAnsiTheme="majorBidi" w:cstheme="majorBidi"/>
          <w:sz w:val="20"/>
          <w:szCs w:val="20"/>
        </w:rPr>
        <w:t>“4QpaleoGenesis-Exodus</w:t>
      </w:r>
      <w:r w:rsidRPr="00387F29">
        <w:rPr>
          <w:rFonts w:asciiTheme="majorBidi" w:hAnsiTheme="majorBidi" w:cstheme="majorBidi"/>
          <w:sz w:val="20"/>
          <w:szCs w:val="20"/>
          <w:vertAlign w:val="superscript"/>
        </w:rPr>
        <w:t>l</w:t>
      </w:r>
      <w:r w:rsidRPr="00387F29">
        <w:rPr>
          <w:rFonts w:asciiTheme="majorBidi" w:hAnsiTheme="majorBidi" w:cstheme="majorBidi"/>
          <w:sz w:val="20"/>
          <w:szCs w:val="20"/>
        </w:rPr>
        <w:t>,”</w:t>
      </w:r>
      <w:r>
        <w:rPr>
          <w:rFonts w:asciiTheme="majorBidi" w:hAnsiTheme="majorBidi" w:cstheme="majorBidi"/>
          <w:sz w:val="20"/>
          <w:szCs w:val="20"/>
        </w:rPr>
        <w:t xml:space="preserve"> 31–32. </w:t>
      </w:r>
    </w:p>
  </w:footnote>
  <w:footnote w:id="10">
    <w:p w14:paraId="646F21C3" w14:textId="01B267C2" w:rsidR="00142DA3" w:rsidRPr="00FA3B43" w:rsidRDefault="00142DA3" w:rsidP="00142DA3">
      <w:pPr>
        <w:pStyle w:val="FootnoteText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Note that 4Q11 reads </w:t>
      </w:r>
      <w:r w:rsidRPr="000372F6">
        <w:rPr>
          <w:rFonts w:ascii="SBL Hebrew" w:hAnsi="SBL Hebrew" w:cs="SBL Hebrew" w:hint="cs"/>
          <w:sz w:val="20"/>
          <w:szCs w:val="20"/>
          <w:rtl/>
        </w:rPr>
        <w:t>מן [העזים]</w:t>
      </w:r>
      <w:r>
        <w:rPr>
          <w:rFonts w:asciiTheme="majorBidi" w:hAnsiTheme="majorBidi" w:cstheme="majorBidi"/>
          <w:sz w:val="20"/>
          <w:szCs w:val="20"/>
        </w:rPr>
        <w:t xml:space="preserve"> in Ex 12:5 (</w:t>
      </w:r>
      <w:r w:rsidR="006830FB">
        <w:rPr>
          <w:rFonts w:asciiTheme="majorBidi" w:hAnsiTheme="majorBidi" w:cstheme="majorBidi"/>
          <w:sz w:val="20"/>
          <w:szCs w:val="20"/>
        </w:rPr>
        <w:t>fragments</w:t>
      </w:r>
      <w:r>
        <w:rPr>
          <w:rFonts w:asciiTheme="majorBidi" w:hAnsiTheme="majorBidi" w:cstheme="majorBidi"/>
          <w:sz w:val="20"/>
          <w:szCs w:val="20"/>
        </w:rPr>
        <w:t>. 7ii+44, 19–20),</w:t>
      </w:r>
      <w:r>
        <w:rPr>
          <w:rFonts w:ascii="SBL Hebrew" w:hAnsi="SBL Hebrew" w:cs="SBL Hebrew"/>
        </w:rPr>
        <w:t xml:space="preserve"> </w:t>
      </w:r>
      <w:r w:rsidRPr="000372F6">
        <w:rPr>
          <w:rFonts w:asciiTheme="majorBidi" w:hAnsiTheme="majorBidi" w:cstheme="majorBidi"/>
          <w:sz w:val="20"/>
          <w:szCs w:val="20"/>
        </w:rPr>
        <w:t xml:space="preserve">while MT and SP reads </w:t>
      </w:r>
      <w:r w:rsidRPr="000372F6">
        <w:rPr>
          <w:rFonts w:ascii="SBL Hebrew" w:hAnsi="SBL Hebrew" w:cs="SBL Hebrew" w:hint="cs"/>
          <w:sz w:val="20"/>
          <w:szCs w:val="20"/>
          <w:rtl/>
        </w:rPr>
        <w:t>ומן העזים</w:t>
      </w:r>
      <w:r w:rsidRPr="000372F6">
        <w:rPr>
          <w:rFonts w:asciiTheme="majorBidi" w:hAnsiTheme="majorBidi" w:cstheme="majorBidi"/>
          <w:sz w:val="20"/>
          <w:szCs w:val="20"/>
        </w:rPr>
        <w:t xml:space="preserve">. </w:t>
      </w:r>
      <w:r>
        <w:rPr>
          <w:rFonts w:asciiTheme="majorBidi" w:hAnsiTheme="majorBidi" w:cstheme="majorBidi"/>
          <w:sz w:val="20"/>
          <w:szCs w:val="20"/>
        </w:rPr>
        <w:t xml:space="preserve">LXX </w:t>
      </w:r>
      <w:r w:rsidR="00D62644">
        <w:rPr>
          <w:rFonts w:asciiTheme="majorBidi" w:hAnsiTheme="majorBidi" w:cstheme="majorBidi"/>
          <w:sz w:val="20"/>
          <w:szCs w:val="20"/>
        </w:rPr>
        <w:t>i</w:t>
      </w:r>
      <w:r>
        <w:rPr>
          <w:rFonts w:asciiTheme="majorBidi" w:hAnsiTheme="majorBidi" w:cstheme="majorBidi"/>
          <w:sz w:val="20"/>
          <w:szCs w:val="20"/>
        </w:rPr>
        <w:t xml:space="preserve">s </w:t>
      </w:r>
      <w:r w:rsidR="00D62644">
        <w:rPr>
          <w:rFonts w:asciiTheme="majorBidi" w:hAnsiTheme="majorBidi" w:cstheme="majorBidi"/>
          <w:sz w:val="20"/>
          <w:szCs w:val="20"/>
        </w:rPr>
        <w:t xml:space="preserve">in </w:t>
      </w:r>
      <w:r>
        <w:rPr>
          <w:rFonts w:asciiTheme="majorBidi" w:hAnsiTheme="majorBidi" w:cstheme="majorBidi"/>
          <w:sz w:val="20"/>
          <w:szCs w:val="20"/>
        </w:rPr>
        <w:t>agreement with MT/SP (</w:t>
      </w:r>
      <w:r w:rsidRPr="00FA3B43">
        <w:rPr>
          <w:rFonts w:asciiTheme="majorBidi" w:hAnsiTheme="majorBidi" w:cstheme="majorBidi"/>
          <w:sz w:val="20"/>
          <w:szCs w:val="20"/>
        </w:rPr>
        <w:t>καὶ τῶν ἐρίφων</w:t>
      </w:r>
      <w:r>
        <w:rPr>
          <w:rFonts w:asciiTheme="majorBidi" w:hAnsiTheme="majorBidi" w:cstheme="majorBidi"/>
          <w:sz w:val="20"/>
          <w:szCs w:val="20"/>
        </w:rPr>
        <w:t xml:space="preserve">). </w:t>
      </w:r>
      <w:r w:rsidRPr="000372F6">
        <w:rPr>
          <w:rFonts w:ascii="SBL Hebrew" w:hAnsi="SBL Hebrew" w:cs="SBL Hebrew"/>
          <w:sz w:val="20"/>
          <w:szCs w:val="20"/>
        </w:rPr>
        <w:t xml:space="preserve"> </w:t>
      </w:r>
    </w:p>
  </w:footnote>
  <w:footnote w:id="11">
    <w:p w14:paraId="166F2004" w14:textId="26C26612" w:rsidR="00142DA3" w:rsidRPr="00BE784F" w:rsidRDefault="00142DA3" w:rsidP="00142DA3">
      <w:pPr>
        <w:pStyle w:val="FootnoteText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="004079C1">
        <w:rPr>
          <w:rFonts w:asciiTheme="majorBidi" w:hAnsiTheme="majorBidi" w:cstheme="majorBidi"/>
          <w:sz w:val="20"/>
          <w:szCs w:val="20"/>
        </w:rPr>
        <w:t>Image i</w:t>
      </w:r>
      <w:r>
        <w:rPr>
          <w:rFonts w:asciiTheme="majorBidi" w:hAnsiTheme="majorBidi" w:cstheme="majorBidi"/>
          <w:sz w:val="20"/>
          <w:szCs w:val="20"/>
        </w:rPr>
        <w:t xml:space="preserve">n </w:t>
      </w:r>
      <w:hyperlink r:id="rId4" w:history="1">
        <w:r w:rsidRPr="00292D0A">
          <w:rPr>
            <w:rStyle w:val="Hyperlink"/>
            <w:rFonts w:asciiTheme="majorBidi" w:hAnsiTheme="majorBidi" w:cstheme="majorBidi"/>
            <w:sz w:val="20"/>
            <w:szCs w:val="20"/>
          </w:rPr>
          <w:t>https://www.deadseascrolls.org.il/explore-the-archive/image/B-475374</w:t>
        </w:r>
      </w:hyperlink>
      <w:r>
        <w:rPr>
          <w:rFonts w:asciiTheme="majorBidi" w:hAnsiTheme="majorBidi" w:cstheme="majorBidi"/>
          <w:sz w:val="20"/>
          <w:szCs w:val="20"/>
        </w:rPr>
        <w:t xml:space="preserve">. </w:t>
      </w:r>
    </w:p>
  </w:footnote>
  <w:footnote w:id="12">
    <w:p w14:paraId="402BFBB1" w14:textId="77777777" w:rsidR="00142DA3" w:rsidRDefault="00142DA3" w:rsidP="00142DA3">
      <w:pPr>
        <w:pStyle w:val="FootnoteText"/>
        <w:bidi w:val="0"/>
        <w:jc w:val="both"/>
      </w:pPr>
      <w:r>
        <w:rPr>
          <w:rStyle w:val="FootnoteReference"/>
        </w:rPr>
        <w:footnoteRef/>
      </w:r>
      <w:r>
        <w:rPr>
          <w:rFonts w:asciiTheme="majorBidi" w:hAnsiTheme="majorBidi" w:cstheme="majorBidi"/>
          <w:sz w:val="20"/>
          <w:szCs w:val="20"/>
        </w:rPr>
        <w:t xml:space="preserve"> Skehan, Ulrich, and Sanderson, </w:t>
      </w:r>
      <w:r w:rsidRPr="00387F29">
        <w:rPr>
          <w:rFonts w:asciiTheme="majorBidi" w:hAnsiTheme="majorBidi" w:cstheme="majorBidi"/>
          <w:sz w:val="20"/>
          <w:szCs w:val="20"/>
        </w:rPr>
        <w:t>“4QpaleoGenesis-Exodus</w:t>
      </w:r>
      <w:r w:rsidRPr="00387F29">
        <w:rPr>
          <w:rFonts w:asciiTheme="majorBidi" w:hAnsiTheme="majorBidi" w:cstheme="majorBidi"/>
          <w:sz w:val="20"/>
          <w:szCs w:val="20"/>
          <w:vertAlign w:val="superscript"/>
        </w:rPr>
        <w:t>l</w:t>
      </w:r>
      <w:r w:rsidRPr="00387F29">
        <w:rPr>
          <w:rFonts w:asciiTheme="majorBidi" w:hAnsiTheme="majorBidi" w:cstheme="majorBidi"/>
          <w:sz w:val="20"/>
          <w:szCs w:val="20"/>
        </w:rPr>
        <w:t>,”</w:t>
      </w:r>
      <w:r>
        <w:rPr>
          <w:rFonts w:asciiTheme="majorBidi" w:hAnsiTheme="majorBidi" w:cstheme="majorBidi"/>
          <w:sz w:val="20"/>
          <w:szCs w:val="20"/>
        </w:rPr>
        <w:t xml:space="preserve"> 49. </w:t>
      </w:r>
      <w:r>
        <w:rPr>
          <w:rtl/>
        </w:rPr>
        <w:t xml:space="preserve"> </w:t>
      </w:r>
    </w:p>
  </w:footnote>
  <w:footnote w:id="13">
    <w:p w14:paraId="72637EA7" w14:textId="77777777" w:rsidR="00142DA3" w:rsidRPr="00B25E59" w:rsidRDefault="00142DA3" w:rsidP="00142DA3">
      <w:pPr>
        <w:pStyle w:val="FootnoteText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This fragment is not available on the website of the Leon Levy Dead Sea Scrolls Digital Library. For the PAM image, see </w:t>
      </w:r>
      <w:hyperlink r:id="rId5" w:history="1">
        <w:r w:rsidRPr="00292D0A">
          <w:rPr>
            <w:rStyle w:val="Hyperlink"/>
            <w:rFonts w:asciiTheme="majorBidi" w:hAnsiTheme="majorBidi" w:cstheme="majorBidi"/>
            <w:sz w:val="20"/>
            <w:szCs w:val="20"/>
          </w:rPr>
          <w:t>https://www.deadseascrolls.org.il/explore-the-archive/image/B-284767</w:t>
        </w:r>
      </w:hyperlink>
      <w:r>
        <w:rPr>
          <w:rFonts w:asciiTheme="majorBidi" w:hAnsiTheme="majorBidi" w:cstheme="majorBidi"/>
          <w:sz w:val="20"/>
          <w:szCs w:val="20"/>
        </w:rPr>
        <w:t xml:space="preserve">.  </w:t>
      </w:r>
    </w:p>
  </w:footnote>
  <w:footnote w:id="14">
    <w:p w14:paraId="6DFEC633" w14:textId="4AE6DF04" w:rsidR="00142DA3" w:rsidRPr="002B2D33" w:rsidRDefault="00142DA3" w:rsidP="00142DA3">
      <w:pPr>
        <w:pStyle w:val="FootnoteText"/>
        <w:bidi w:val="0"/>
        <w:jc w:val="both"/>
        <w:rPr>
          <w:rFonts w:asciiTheme="majorBidi" w:hAnsiTheme="majorBidi" w:cstheme="majorBidi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>Cf. Skehan, Ulrich, and Sanderson, “11. 4QpaleoGenesis-Exodus</w:t>
      </w:r>
      <w:r>
        <w:rPr>
          <w:rFonts w:asciiTheme="majorBidi" w:hAnsiTheme="majorBidi" w:cstheme="majorBidi"/>
          <w:sz w:val="20"/>
          <w:szCs w:val="20"/>
          <w:vertAlign w:val="superscript"/>
        </w:rPr>
        <w:t>l</w:t>
      </w:r>
      <w:r>
        <w:rPr>
          <w:rFonts w:asciiTheme="majorBidi" w:hAnsiTheme="majorBidi" w:cstheme="majorBidi"/>
          <w:sz w:val="20"/>
          <w:szCs w:val="20"/>
        </w:rPr>
        <w:t xml:space="preserve">,” 49. The editors incorrectly read the second word in line 2 as two words:  </w:t>
      </w:r>
      <w:r w:rsidRPr="002B2D33">
        <w:rPr>
          <w:rFonts w:ascii="SBL Hebrew" w:hAnsi="SBL Hebrew" w:cs="SBL Hebrew" w:hint="cs"/>
          <w:sz w:val="20"/>
          <w:szCs w:val="20"/>
          <w:rtl/>
        </w:rPr>
        <w:t>מ</w:t>
      </w:r>
      <w:r w:rsidRPr="002B2D33">
        <w:rPr>
          <w:rFonts w:ascii="SBL Hebrew" w:hAnsi="SBL Hebrew" w:cs="SBL Hebrew" w:hint="cs"/>
          <w:sz w:val="20"/>
          <w:szCs w:val="20"/>
          <w:rtl/>
          <w:lang w:val="el-GR"/>
        </w:rPr>
        <w:t>◦ וֹיֹכֹ[</w:t>
      </w:r>
      <w:r>
        <w:rPr>
          <w:rFonts w:asciiTheme="majorBidi" w:hAnsiTheme="majorBidi" w:cstheme="majorBidi"/>
          <w:sz w:val="20"/>
          <w:szCs w:val="20"/>
        </w:rPr>
        <w:t xml:space="preserve">. In addition, they read the first word in line 3 as </w:t>
      </w:r>
      <w:r w:rsidRPr="002B2D33">
        <w:rPr>
          <w:rFonts w:ascii="SBL Hebrew" w:hAnsi="SBL Hebrew" w:cs="SBL Hebrew" w:hint="cs"/>
          <w:sz w:val="20"/>
          <w:szCs w:val="20"/>
          <w:rtl/>
          <w:lang w:val="el-GR"/>
        </w:rPr>
        <w:t>◦בת</w:t>
      </w:r>
      <w:r w:rsidRPr="002B2D33">
        <w:rPr>
          <w:rFonts w:ascii="SBL Hebrew" w:hAnsi="SBL Hebrew" w:cs="SBL Hebrew"/>
          <w:sz w:val="20"/>
          <w:szCs w:val="20"/>
        </w:rPr>
        <w:t xml:space="preserve">. </w:t>
      </w:r>
      <w:r>
        <w:rPr>
          <w:rFonts w:asciiTheme="majorBidi" w:hAnsiTheme="majorBidi" w:cstheme="majorBidi"/>
          <w:sz w:val="20"/>
          <w:szCs w:val="20"/>
        </w:rPr>
        <w:t xml:space="preserve">Therefore, they </w:t>
      </w:r>
      <w:r w:rsidR="003658D5">
        <w:rPr>
          <w:rFonts w:asciiTheme="majorBidi" w:hAnsiTheme="majorBidi" w:cstheme="majorBidi"/>
          <w:sz w:val="20"/>
          <w:szCs w:val="20"/>
        </w:rPr>
        <w:t xml:space="preserve">are </w:t>
      </w:r>
      <w:r>
        <w:rPr>
          <w:rFonts w:asciiTheme="majorBidi" w:hAnsiTheme="majorBidi" w:cstheme="majorBidi"/>
          <w:sz w:val="20"/>
          <w:szCs w:val="20"/>
        </w:rPr>
        <w:t xml:space="preserve">not able to </w:t>
      </w:r>
      <w:r w:rsidR="003658D5">
        <w:rPr>
          <w:rFonts w:asciiTheme="majorBidi" w:hAnsiTheme="majorBidi" w:cstheme="majorBidi"/>
          <w:sz w:val="20"/>
          <w:szCs w:val="20"/>
        </w:rPr>
        <w:t xml:space="preserve">offer a tentative </w:t>
      </w:r>
      <w:r>
        <w:rPr>
          <w:rFonts w:asciiTheme="majorBidi" w:hAnsiTheme="majorBidi" w:cstheme="majorBidi"/>
          <w:sz w:val="20"/>
          <w:szCs w:val="20"/>
        </w:rPr>
        <w:t xml:space="preserve">identification of this fragment. </w:t>
      </w:r>
    </w:p>
  </w:footnote>
  <w:footnote w:id="15">
    <w:p w14:paraId="62068457" w14:textId="77777777" w:rsidR="00142DA3" w:rsidRDefault="00142DA3" w:rsidP="00142DA3">
      <w:pPr>
        <w:pStyle w:val="FootnoteText"/>
        <w:bidi w:val="0"/>
        <w:jc w:val="both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>Skehan, Ulrich, and Sanderson, “11. 4QpaleoGenesis-Exodus</w:t>
      </w:r>
      <w:r>
        <w:rPr>
          <w:rFonts w:asciiTheme="majorBidi" w:hAnsiTheme="majorBidi" w:cstheme="majorBidi"/>
          <w:sz w:val="20"/>
          <w:szCs w:val="20"/>
          <w:vertAlign w:val="superscript"/>
        </w:rPr>
        <w:t>l</w:t>
      </w:r>
      <w:r>
        <w:rPr>
          <w:rFonts w:asciiTheme="majorBidi" w:hAnsiTheme="majorBidi" w:cstheme="majorBidi"/>
          <w:sz w:val="20"/>
          <w:szCs w:val="20"/>
        </w:rPr>
        <w:t>,” 42.</w:t>
      </w:r>
    </w:p>
  </w:footnote>
  <w:footnote w:id="16">
    <w:p w14:paraId="2F0FFA83" w14:textId="270B973B" w:rsidR="00142DA3" w:rsidRPr="002C4D65" w:rsidRDefault="00142DA3" w:rsidP="00142DA3">
      <w:pPr>
        <w:pStyle w:val="FootnoteText"/>
        <w:bidi w:val="0"/>
        <w:jc w:val="both"/>
        <w:rPr>
          <w:rStyle w:val="FootnoteReference"/>
        </w:rPr>
      </w:pPr>
      <w:r>
        <w:rPr>
          <w:rStyle w:val="FootnoteReference"/>
        </w:rPr>
        <w:footnoteRef/>
      </w:r>
      <w:r>
        <w:rPr>
          <w:rFonts w:asciiTheme="majorBidi" w:hAnsiTheme="majorBidi" w:cstheme="majorBidi"/>
          <w:sz w:val="20"/>
          <w:szCs w:val="20"/>
        </w:rPr>
        <w:t xml:space="preserve"> Image </w:t>
      </w:r>
      <w:r w:rsidR="004079C1">
        <w:rPr>
          <w:rFonts w:asciiTheme="majorBidi" w:hAnsiTheme="majorBidi" w:cstheme="majorBidi"/>
          <w:sz w:val="20"/>
          <w:szCs w:val="20"/>
        </w:rPr>
        <w:t>i</w:t>
      </w:r>
      <w:r w:rsidRPr="002C4D65">
        <w:rPr>
          <w:rFonts w:asciiTheme="majorBidi" w:hAnsiTheme="majorBidi" w:cstheme="majorBidi"/>
          <w:sz w:val="20"/>
          <w:szCs w:val="20"/>
        </w:rPr>
        <w:t>n</w:t>
      </w:r>
      <w:r w:rsidRPr="002C4D65">
        <w:rPr>
          <w:rFonts w:asciiTheme="majorBidi" w:hAnsiTheme="majorBidi" w:cstheme="majorBidi"/>
          <w:sz w:val="20"/>
          <w:szCs w:val="20"/>
          <w:rtl/>
        </w:rPr>
        <w:t xml:space="preserve"> </w:t>
      </w:r>
      <w:hyperlink r:id="rId6" w:history="1">
        <w:r w:rsidRPr="00292D0A">
          <w:rPr>
            <w:rStyle w:val="Hyperlink"/>
            <w:rFonts w:asciiTheme="majorBidi" w:hAnsiTheme="majorBidi" w:cstheme="majorBidi"/>
            <w:sz w:val="20"/>
            <w:szCs w:val="20"/>
          </w:rPr>
          <w:t>https://www.deadseascrolls.org.il/explore-the-archive/image/B-475378</w:t>
        </w:r>
      </w:hyperlink>
      <w:r w:rsidRPr="002C4D65">
        <w:rPr>
          <w:rFonts w:asciiTheme="majorBidi" w:hAnsiTheme="majorBidi" w:cstheme="majorBidi"/>
          <w:sz w:val="20"/>
          <w:szCs w:val="20"/>
        </w:rPr>
        <w:t>.</w:t>
      </w:r>
      <w:r>
        <w:rPr>
          <w:rStyle w:val="FootnoteReference"/>
        </w:rPr>
        <w:t xml:space="preserve"> </w:t>
      </w:r>
      <w:r w:rsidRPr="002C4D65">
        <w:rPr>
          <w:rStyle w:val="FootnoteReference"/>
        </w:rPr>
        <w:t xml:space="preserve"> </w:t>
      </w:r>
    </w:p>
  </w:footnote>
  <w:footnote w:id="17">
    <w:p w14:paraId="130A4591" w14:textId="6DC697C4" w:rsidR="00142DA3" w:rsidRDefault="00142DA3" w:rsidP="00142DA3">
      <w:pPr>
        <w:pStyle w:val="FootnoteText"/>
        <w:bidi w:val="0"/>
        <w:jc w:val="both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>Skehan, Ulrich, and Sanderson, “11. 4QpaleoGenesis-Exodus</w:t>
      </w:r>
      <w:r>
        <w:rPr>
          <w:rFonts w:asciiTheme="majorBidi" w:hAnsiTheme="majorBidi" w:cstheme="majorBidi"/>
          <w:sz w:val="20"/>
          <w:szCs w:val="20"/>
          <w:vertAlign w:val="superscript"/>
        </w:rPr>
        <w:t>l</w:t>
      </w:r>
      <w:r>
        <w:rPr>
          <w:rFonts w:asciiTheme="majorBidi" w:hAnsiTheme="majorBidi" w:cstheme="majorBidi"/>
          <w:sz w:val="20"/>
          <w:szCs w:val="20"/>
        </w:rPr>
        <w:t xml:space="preserve">,” 50, suggest that ink </w:t>
      </w:r>
      <w:r w:rsidR="003658D5">
        <w:rPr>
          <w:rFonts w:asciiTheme="majorBidi" w:hAnsiTheme="majorBidi" w:cstheme="majorBidi"/>
          <w:sz w:val="20"/>
          <w:szCs w:val="20"/>
        </w:rPr>
        <w:t xml:space="preserve">from the </w:t>
      </w:r>
      <w:r>
        <w:rPr>
          <w:rFonts w:asciiTheme="majorBidi" w:hAnsiTheme="majorBidi" w:cstheme="majorBidi"/>
          <w:sz w:val="20"/>
          <w:szCs w:val="20"/>
        </w:rPr>
        <w:t xml:space="preserve">letters of the preceding column survived on the right edge of the fragment, but traces </w:t>
      </w:r>
      <w:r w:rsidR="003658D5">
        <w:rPr>
          <w:rFonts w:asciiTheme="majorBidi" w:hAnsiTheme="majorBidi" w:cstheme="majorBidi"/>
          <w:sz w:val="20"/>
          <w:szCs w:val="20"/>
        </w:rPr>
        <w:t xml:space="preserve">of it are not evident </w:t>
      </w:r>
      <w:r>
        <w:rPr>
          <w:rFonts w:asciiTheme="majorBidi" w:hAnsiTheme="majorBidi" w:cstheme="majorBidi"/>
          <w:sz w:val="20"/>
          <w:szCs w:val="20"/>
        </w:rPr>
        <w:t xml:space="preserve">in PAM and IAA images. </w:t>
      </w:r>
    </w:p>
  </w:footnote>
  <w:footnote w:id="18">
    <w:p w14:paraId="0C1B7437" w14:textId="26BB6C0C" w:rsidR="00142DA3" w:rsidRPr="00FA25F0" w:rsidRDefault="00142DA3" w:rsidP="00142DA3">
      <w:pPr>
        <w:pStyle w:val="FootnoteText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>Cf. Skehan, Ulrich, and Sanderson, “11. 4QpaleoGenesis-Exodus</w:t>
      </w:r>
      <w:r>
        <w:rPr>
          <w:rFonts w:asciiTheme="majorBidi" w:hAnsiTheme="majorBidi" w:cstheme="majorBidi"/>
          <w:sz w:val="20"/>
          <w:szCs w:val="20"/>
          <w:vertAlign w:val="superscript"/>
        </w:rPr>
        <w:t>l</w:t>
      </w:r>
      <w:r>
        <w:rPr>
          <w:rFonts w:asciiTheme="majorBidi" w:hAnsiTheme="majorBidi" w:cstheme="majorBidi"/>
          <w:sz w:val="20"/>
          <w:szCs w:val="20"/>
        </w:rPr>
        <w:t xml:space="preserve">,” 50. The editors </w:t>
      </w:r>
      <w:r w:rsidR="003658D5">
        <w:rPr>
          <w:rFonts w:asciiTheme="majorBidi" w:hAnsiTheme="majorBidi" w:cstheme="majorBidi"/>
          <w:sz w:val="20"/>
          <w:szCs w:val="20"/>
        </w:rPr>
        <w:t xml:space="preserve">do </w:t>
      </w:r>
      <w:r>
        <w:rPr>
          <w:rFonts w:asciiTheme="majorBidi" w:hAnsiTheme="majorBidi" w:cstheme="majorBidi"/>
          <w:sz w:val="20"/>
          <w:szCs w:val="20"/>
        </w:rPr>
        <w:t xml:space="preserve">not propose an identification </w:t>
      </w:r>
      <w:r w:rsidR="008D352E">
        <w:rPr>
          <w:rFonts w:asciiTheme="majorBidi" w:hAnsiTheme="majorBidi" w:cstheme="majorBidi"/>
          <w:sz w:val="20"/>
          <w:szCs w:val="20"/>
        </w:rPr>
        <w:t xml:space="preserve">for </w:t>
      </w:r>
      <w:r>
        <w:rPr>
          <w:rFonts w:asciiTheme="majorBidi" w:hAnsiTheme="majorBidi" w:cstheme="majorBidi"/>
          <w:sz w:val="20"/>
          <w:szCs w:val="20"/>
        </w:rPr>
        <w:t>fragment 48 as they read line 3</w:t>
      </w:r>
      <w:r w:rsidR="008D352E" w:rsidRPr="008D352E">
        <w:rPr>
          <w:rFonts w:asciiTheme="majorBidi" w:hAnsiTheme="majorBidi" w:cstheme="majorBidi"/>
          <w:sz w:val="20"/>
          <w:szCs w:val="20"/>
        </w:rPr>
        <w:t xml:space="preserve"> </w:t>
      </w:r>
      <w:r w:rsidR="008D352E">
        <w:rPr>
          <w:rFonts w:asciiTheme="majorBidi" w:hAnsiTheme="majorBidi" w:cstheme="majorBidi"/>
          <w:sz w:val="20"/>
          <w:szCs w:val="20"/>
        </w:rPr>
        <w:t>incorrectly</w:t>
      </w:r>
      <w:r>
        <w:rPr>
          <w:rFonts w:asciiTheme="majorBidi" w:hAnsiTheme="majorBidi" w:cstheme="majorBidi"/>
          <w:sz w:val="20"/>
          <w:szCs w:val="20"/>
        </w:rPr>
        <w:t xml:space="preserve">: </w:t>
      </w:r>
      <w:r w:rsidRPr="009562A1">
        <w:rPr>
          <w:rFonts w:ascii="SBL Hebrew" w:hAnsi="SBL Hebrew" w:cs="SBL Hebrew" w:hint="cs"/>
          <w:sz w:val="20"/>
          <w:szCs w:val="20"/>
          <w:rtl/>
        </w:rPr>
        <w:t>בב[   ] כֹל</w:t>
      </w:r>
      <w:r w:rsidRPr="009562A1">
        <w:rPr>
          <w:rFonts w:ascii="SBL Hebrew" w:hAnsi="SBL Hebrew" w:cs="SBL Hebrew" w:hint="cs"/>
          <w:color w:val="000000" w:themeColor="text1"/>
          <w:sz w:val="20"/>
          <w:szCs w:val="20"/>
          <w:rtl/>
        </w:rPr>
        <w:t>֯י[</w:t>
      </w:r>
      <w:r w:rsidRPr="009562A1">
        <w:rPr>
          <w:rFonts w:asciiTheme="majorBidi" w:hAnsiTheme="majorBidi" w:cstheme="majorBidi"/>
          <w:color w:val="000000" w:themeColor="text1"/>
          <w:sz w:val="20"/>
          <w:szCs w:val="20"/>
        </w:rPr>
        <w:t>.</w:t>
      </w:r>
    </w:p>
  </w:footnote>
  <w:footnote w:id="19">
    <w:p w14:paraId="14461FB9" w14:textId="77777777" w:rsidR="00142DA3" w:rsidRPr="00C56451" w:rsidRDefault="00142DA3" w:rsidP="00142DA3">
      <w:pPr>
        <w:pStyle w:val="FootnoteText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Font design: Einat Tamir. </w:t>
      </w:r>
    </w:p>
  </w:footnote>
  <w:footnote w:id="20">
    <w:p w14:paraId="613BC975" w14:textId="77777777" w:rsidR="00142DA3" w:rsidRPr="003D31AD" w:rsidRDefault="00142DA3" w:rsidP="00142DA3">
      <w:pPr>
        <w:pStyle w:val="FootnoteText"/>
        <w:bidi w:val="0"/>
        <w:jc w:val="both"/>
        <w:rPr>
          <w:rFonts w:ascii="SBL Hebrew" w:hAnsi="SBL Hebrew" w:cs="SBL Hebrew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3D31AD">
        <w:rPr>
          <w:rFonts w:asciiTheme="majorBidi" w:hAnsiTheme="majorBidi" w:cstheme="majorBidi"/>
          <w:sz w:val="20"/>
          <w:szCs w:val="20"/>
        </w:rPr>
        <w:t>Cf. LXX-Ex 15:3:</w:t>
      </w:r>
      <w:r w:rsidRPr="003D31AD">
        <w:t xml:space="preserve"> </w:t>
      </w:r>
      <w:r w:rsidRPr="003D31AD">
        <w:rPr>
          <w:rFonts w:asciiTheme="majorBidi" w:hAnsiTheme="majorBidi" w:cstheme="majorBidi"/>
          <w:sz w:val="20"/>
          <w:szCs w:val="20"/>
          <w:lang w:val="el-GR"/>
        </w:rPr>
        <w:t>κύριος</w:t>
      </w:r>
      <w:r w:rsidRPr="003D31AD">
        <w:rPr>
          <w:rFonts w:asciiTheme="majorBidi" w:hAnsiTheme="majorBidi" w:cstheme="majorBidi"/>
          <w:sz w:val="20"/>
          <w:szCs w:val="20"/>
        </w:rPr>
        <w:t xml:space="preserve"> </w:t>
      </w:r>
      <w:r w:rsidRPr="003D31AD">
        <w:rPr>
          <w:rFonts w:asciiTheme="majorBidi" w:hAnsiTheme="majorBidi" w:cstheme="majorBidi"/>
          <w:sz w:val="20"/>
          <w:szCs w:val="20"/>
          <w:lang w:val="el-GR"/>
        </w:rPr>
        <w:t>συντρίβων</w:t>
      </w:r>
      <w:r w:rsidRPr="003D31AD">
        <w:rPr>
          <w:rFonts w:asciiTheme="majorBidi" w:hAnsiTheme="majorBidi" w:cstheme="majorBidi"/>
          <w:sz w:val="20"/>
          <w:szCs w:val="20"/>
        </w:rPr>
        <w:t xml:space="preserve"> </w:t>
      </w:r>
      <w:r w:rsidRPr="003D31AD">
        <w:rPr>
          <w:rFonts w:asciiTheme="majorBidi" w:hAnsiTheme="majorBidi" w:cstheme="majorBidi"/>
          <w:sz w:val="20"/>
          <w:szCs w:val="20"/>
          <w:lang w:val="el-GR"/>
        </w:rPr>
        <w:t>πολέμους</w:t>
      </w:r>
      <w:r>
        <w:rPr>
          <w:rFonts w:asciiTheme="majorBidi" w:hAnsiTheme="majorBidi" w:cstheme="majorBidi"/>
          <w:sz w:val="20"/>
          <w:szCs w:val="20"/>
        </w:rPr>
        <w:t xml:space="preserve">, that possibly reflects the Hebrew </w:t>
      </w:r>
      <w:r>
        <w:rPr>
          <w:rFonts w:ascii="SBL Hebrew" w:hAnsi="SBL Hebrew" w:cs="SBL Hebrew" w:hint="cs"/>
          <w:sz w:val="20"/>
          <w:szCs w:val="20"/>
          <w:rtl/>
        </w:rPr>
        <w:t>ה' גובר במלחמה</w:t>
      </w:r>
      <w:r>
        <w:rPr>
          <w:rFonts w:ascii="SBL Hebrew" w:hAnsi="SBL Hebrew" w:cs="SBL Hebrew"/>
          <w:sz w:val="20"/>
          <w:szCs w:val="20"/>
        </w:rPr>
        <w:t xml:space="preserve">. </w:t>
      </w:r>
    </w:p>
  </w:footnote>
  <w:footnote w:id="21">
    <w:p w14:paraId="4DAC71C2" w14:textId="2C4F1561" w:rsidR="00142DA3" w:rsidRPr="00661B45" w:rsidRDefault="00142DA3" w:rsidP="00142DA3">
      <w:pPr>
        <w:pStyle w:val="FootnoteText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="00D553A4">
        <w:rPr>
          <w:rFonts w:asciiTheme="majorBidi" w:hAnsiTheme="majorBidi" w:cstheme="majorBidi"/>
          <w:sz w:val="20"/>
          <w:szCs w:val="20"/>
        </w:rPr>
        <w:t>Image i</w:t>
      </w:r>
      <w:r>
        <w:rPr>
          <w:rFonts w:asciiTheme="majorBidi" w:hAnsiTheme="majorBidi" w:cstheme="majorBidi"/>
          <w:sz w:val="20"/>
          <w:szCs w:val="20"/>
        </w:rPr>
        <w:t xml:space="preserve">n </w:t>
      </w:r>
      <w:hyperlink r:id="rId7" w:history="1">
        <w:r w:rsidRPr="00292D0A">
          <w:rPr>
            <w:rStyle w:val="Hyperlink"/>
            <w:rFonts w:asciiTheme="majorBidi" w:hAnsiTheme="majorBidi" w:cstheme="majorBidi"/>
            <w:sz w:val="20"/>
            <w:szCs w:val="20"/>
          </w:rPr>
          <w:t>https://www.deadseascrolls.org.il/explore-the-archive/image/B-362147</w:t>
        </w:r>
      </w:hyperlink>
      <w:r>
        <w:rPr>
          <w:rFonts w:asciiTheme="majorBidi" w:hAnsiTheme="majorBidi" w:cstheme="majorBidi"/>
          <w:sz w:val="20"/>
          <w:szCs w:val="20"/>
        </w:rPr>
        <w:t xml:space="preserve">. </w:t>
      </w:r>
    </w:p>
  </w:footnote>
  <w:footnote w:id="22">
    <w:p w14:paraId="6B94FAA9" w14:textId="733466A5" w:rsidR="00142DA3" w:rsidRPr="00D94BAD" w:rsidRDefault="00142DA3" w:rsidP="00142DA3">
      <w:pPr>
        <w:pStyle w:val="FootnoteText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The word </w:t>
      </w:r>
      <w:r>
        <w:rPr>
          <w:rFonts w:ascii="SBL Hebrew" w:hAnsi="SBL Hebrew" w:cs="SBL Hebrew" w:hint="cs"/>
          <w:sz w:val="20"/>
          <w:szCs w:val="20"/>
          <w:rtl/>
        </w:rPr>
        <w:t>מצרים</w:t>
      </w:r>
      <w:r>
        <w:rPr>
          <w:rFonts w:ascii="SBL Hebrew" w:hAnsi="SBL Hebrew" w:cs="SBL Hebrew"/>
          <w:sz w:val="20"/>
          <w:szCs w:val="20"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occurs twice in Ex 11:5–6, alongside the word </w:t>
      </w:r>
      <w:r>
        <w:rPr>
          <w:rFonts w:ascii="SBL Hebrew" w:hAnsi="SBL Hebrew" w:cs="SBL Hebrew" w:hint="cs"/>
          <w:sz w:val="20"/>
          <w:szCs w:val="20"/>
          <w:rtl/>
        </w:rPr>
        <w:t>כמהו</w:t>
      </w:r>
      <w:r>
        <w:rPr>
          <w:rFonts w:ascii="SBL Hebrew" w:hAnsi="SBL Hebrew" w:cs="SBL Hebrew"/>
          <w:sz w:val="20"/>
          <w:szCs w:val="20"/>
        </w:rPr>
        <w:t xml:space="preserve">. </w:t>
      </w:r>
      <w:r>
        <w:rPr>
          <w:rFonts w:asciiTheme="majorBidi" w:hAnsiTheme="majorBidi" w:cstheme="majorBidi"/>
          <w:sz w:val="20"/>
          <w:szCs w:val="20"/>
        </w:rPr>
        <w:t>However, the distance between the words is too short or too long to encompass a complete line. The line length is estimated by the text of fr</w:t>
      </w:r>
      <w:r w:rsidR="003658D5">
        <w:rPr>
          <w:rFonts w:asciiTheme="majorBidi" w:hAnsiTheme="majorBidi" w:cstheme="majorBidi"/>
          <w:sz w:val="20"/>
          <w:szCs w:val="20"/>
        </w:rPr>
        <w:t>agment</w:t>
      </w:r>
      <w:r>
        <w:rPr>
          <w:rFonts w:asciiTheme="majorBidi" w:hAnsiTheme="majorBidi" w:cstheme="majorBidi"/>
          <w:sz w:val="20"/>
          <w:szCs w:val="20"/>
        </w:rPr>
        <w:t xml:space="preserve"> 7ii, which </w:t>
      </w:r>
      <w:r w:rsidR="003658D5">
        <w:rPr>
          <w:rFonts w:asciiTheme="majorBidi" w:hAnsiTheme="majorBidi" w:cstheme="majorBidi"/>
          <w:sz w:val="20"/>
          <w:szCs w:val="20"/>
        </w:rPr>
        <w:t xml:space="preserve">contains </w:t>
      </w:r>
      <w:r>
        <w:rPr>
          <w:rFonts w:asciiTheme="majorBidi" w:hAnsiTheme="majorBidi" w:cstheme="majorBidi"/>
          <w:sz w:val="20"/>
          <w:szCs w:val="20"/>
        </w:rPr>
        <w:t xml:space="preserve">Ex 11:4–12:12 (see n. 10).  </w:t>
      </w:r>
    </w:p>
  </w:footnote>
  <w:footnote w:id="23">
    <w:p w14:paraId="4D6127C5" w14:textId="77777777" w:rsidR="00142DA3" w:rsidRPr="00647FCB" w:rsidRDefault="00142DA3" w:rsidP="00142DA3">
      <w:pPr>
        <w:pStyle w:val="FootnoteText"/>
        <w:bidi w:val="0"/>
        <w:jc w:val="both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647FCB">
        <w:rPr>
          <w:rFonts w:asciiTheme="majorBidi" w:hAnsiTheme="majorBidi" w:cstheme="majorBidi"/>
          <w:sz w:val="20"/>
          <w:szCs w:val="20"/>
        </w:rPr>
        <w:t xml:space="preserve">Note the spelling of the word </w:t>
      </w:r>
      <w:r w:rsidRPr="007403CB">
        <w:rPr>
          <w:rFonts w:ascii="SBL Hebrew" w:hAnsi="SBL Hebrew" w:cs="SBL Hebrew" w:hint="cs"/>
          <w:sz w:val="20"/>
          <w:szCs w:val="20"/>
          <w:rtl/>
        </w:rPr>
        <w:t>כמוהו</w:t>
      </w:r>
      <w:r>
        <w:rPr>
          <w:rFonts w:asciiTheme="majorBidi" w:hAnsiTheme="majorBidi" w:cstheme="majorBidi"/>
          <w:sz w:val="20"/>
          <w:szCs w:val="20"/>
        </w:rPr>
        <w:t xml:space="preserve"> with </w:t>
      </w:r>
      <w:r w:rsidRPr="0098783D">
        <w:rPr>
          <w:rFonts w:asciiTheme="majorBidi" w:hAnsiTheme="majorBidi" w:cstheme="majorBidi"/>
          <w:i/>
          <w:iCs/>
          <w:sz w:val="20"/>
          <w:szCs w:val="20"/>
        </w:rPr>
        <w:t>vav</w:t>
      </w:r>
      <w:r>
        <w:rPr>
          <w:rFonts w:asciiTheme="majorBidi" w:hAnsiTheme="majorBidi" w:cstheme="majorBidi"/>
          <w:sz w:val="20"/>
          <w:szCs w:val="20"/>
        </w:rPr>
        <w:t xml:space="preserve">, </w:t>
      </w:r>
      <w:r w:rsidRPr="00647FCB">
        <w:rPr>
          <w:rFonts w:asciiTheme="majorBidi" w:hAnsiTheme="majorBidi" w:cstheme="majorBidi"/>
          <w:sz w:val="20"/>
          <w:szCs w:val="20"/>
        </w:rPr>
        <w:t xml:space="preserve">as opposed to </w:t>
      </w:r>
      <w:r w:rsidRPr="007403CB">
        <w:rPr>
          <w:rFonts w:ascii="SBL Hebrew" w:hAnsi="SBL Hebrew" w:cs="SBL Hebrew" w:hint="cs"/>
          <w:sz w:val="20"/>
          <w:szCs w:val="20"/>
          <w:rtl/>
        </w:rPr>
        <w:t>כמהו</w:t>
      </w:r>
      <w:r w:rsidRPr="00647FCB">
        <w:rPr>
          <w:rFonts w:asciiTheme="majorBidi" w:hAnsiTheme="majorBidi" w:cstheme="majorBidi"/>
          <w:sz w:val="20"/>
          <w:szCs w:val="20"/>
        </w:rPr>
        <w:t xml:space="preserve"> in MT-Ex and SP-Ex.</w:t>
      </w:r>
    </w:p>
  </w:footnote>
  <w:footnote w:id="24">
    <w:p w14:paraId="233F8C81" w14:textId="4A51792D" w:rsidR="00142DA3" w:rsidRDefault="00142DA3" w:rsidP="00142DA3">
      <w:pPr>
        <w:pStyle w:val="FootnoteText"/>
        <w:bidi w:val="0"/>
        <w:jc w:val="both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>I</w:t>
      </w:r>
      <w:r w:rsidRPr="00580975">
        <w:rPr>
          <w:rFonts w:asciiTheme="majorBidi" w:hAnsiTheme="majorBidi" w:cstheme="majorBidi"/>
          <w:sz w:val="20"/>
          <w:szCs w:val="20"/>
        </w:rPr>
        <w:t xml:space="preserve">mage </w:t>
      </w:r>
      <w:r w:rsidR="003658D5">
        <w:rPr>
          <w:rFonts w:asciiTheme="majorBidi" w:hAnsiTheme="majorBidi" w:cstheme="majorBidi"/>
          <w:sz w:val="20"/>
          <w:szCs w:val="20"/>
        </w:rPr>
        <w:t>i</w:t>
      </w:r>
      <w:r w:rsidR="003658D5" w:rsidRPr="00580975">
        <w:rPr>
          <w:rFonts w:asciiTheme="majorBidi" w:hAnsiTheme="majorBidi" w:cstheme="majorBidi"/>
          <w:sz w:val="20"/>
          <w:szCs w:val="20"/>
        </w:rPr>
        <w:t>n</w:t>
      </w:r>
      <w:r w:rsidR="003658D5">
        <w:t xml:space="preserve"> </w:t>
      </w:r>
      <w:hyperlink r:id="rId8" w:history="1">
        <w:r w:rsidRPr="00580975">
          <w:rPr>
            <w:rStyle w:val="Hyperlink"/>
            <w:rFonts w:asciiTheme="majorBidi" w:hAnsiTheme="majorBidi" w:cstheme="majorBidi"/>
            <w:sz w:val="20"/>
            <w:szCs w:val="20"/>
          </w:rPr>
          <w:t>https://www.deadseascrolls.org.il/explore-the-archive/image/B-499664</w:t>
        </w:r>
      </w:hyperlink>
      <w:r w:rsidRPr="00580975">
        <w:rPr>
          <w:rFonts w:asciiTheme="majorBidi" w:hAnsiTheme="majorBidi" w:cstheme="majorBidi"/>
          <w:sz w:val="20"/>
          <w:szCs w:val="20"/>
        </w:rPr>
        <w:t>;</w:t>
      </w:r>
      <w: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For the transcription, see Skehan, Ulrich, and Sanderson, </w:t>
      </w:r>
      <w:r w:rsidRPr="00387F29">
        <w:rPr>
          <w:rFonts w:asciiTheme="majorBidi" w:hAnsiTheme="majorBidi" w:cstheme="majorBidi"/>
          <w:sz w:val="20"/>
          <w:szCs w:val="20"/>
        </w:rPr>
        <w:t>“4QpaleoGenesis-Exodus</w:t>
      </w:r>
      <w:r w:rsidRPr="00387F29">
        <w:rPr>
          <w:rFonts w:asciiTheme="majorBidi" w:hAnsiTheme="majorBidi" w:cstheme="majorBidi"/>
          <w:sz w:val="20"/>
          <w:szCs w:val="20"/>
          <w:vertAlign w:val="superscript"/>
        </w:rPr>
        <w:t>l</w:t>
      </w:r>
      <w:r w:rsidRPr="00387F29">
        <w:rPr>
          <w:rFonts w:asciiTheme="majorBidi" w:hAnsiTheme="majorBidi" w:cstheme="majorBidi"/>
          <w:sz w:val="20"/>
          <w:szCs w:val="20"/>
        </w:rPr>
        <w:t>,”</w:t>
      </w:r>
      <w:r>
        <w:rPr>
          <w:rFonts w:asciiTheme="majorBidi" w:hAnsiTheme="majorBidi" w:cstheme="majorBidi"/>
          <w:sz w:val="20"/>
          <w:szCs w:val="20"/>
        </w:rPr>
        <w:t xml:space="preserve"> 30–31.</w:t>
      </w:r>
    </w:p>
  </w:footnote>
  <w:footnote w:id="25">
    <w:p w14:paraId="57FE05D5" w14:textId="7350F21E" w:rsidR="00142DA3" w:rsidRPr="00883AD1" w:rsidRDefault="00142DA3" w:rsidP="003C5661">
      <w:pPr>
        <w:pStyle w:val="FootnoteText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Image </w:t>
      </w:r>
      <w:r w:rsidR="003C5661">
        <w:rPr>
          <w:rFonts w:asciiTheme="majorBidi" w:hAnsiTheme="majorBidi" w:cstheme="majorBidi"/>
          <w:sz w:val="20"/>
          <w:szCs w:val="20"/>
        </w:rPr>
        <w:t>in</w:t>
      </w:r>
      <w:r>
        <w:rPr>
          <w:rFonts w:asciiTheme="majorBidi" w:hAnsiTheme="majorBidi" w:cstheme="majorBidi"/>
          <w:sz w:val="20"/>
          <w:szCs w:val="20"/>
        </w:rPr>
        <w:t xml:space="preserve"> </w:t>
      </w:r>
      <w:hyperlink r:id="rId9" w:history="1">
        <w:r w:rsidRPr="00292D0A">
          <w:rPr>
            <w:rStyle w:val="Hyperlink"/>
            <w:rFonts w:asciiTheme="majorBidi" w:hAnsiTheme="majorBidi" w:cstheme="majorBidi"/>
            <w:sz w:val="20"/>
            <w:szCs w:val="20"/>
          </w:rPr>
          <w:t>https://www.deadseascrolls.org.il/explore-the-archive/image/B-362171</w:t>
        </w:r>
      </w:hyperlink>
      <w:r>
        <w:rPr>
          <w:rFonts w:asciiTheme="majorBidi" w:hAnsiTheme="majorBidi" w:cstheme="majorBidi"/>
          <w:sz w:val="20"/>
          <w:szCs w:val="20"/>
        </w:rPr>
        <w:t xml:space="preserve">. </w:t>
      </w:r>
    </w:p>
  </w:footnote>
  <w:footnote w:id="26">
    <w:p w14:paraId="47329578" w14:textId="32A29AC0" w:rsidR="00142DA3" w:rsidRPr="007C7BAF" w:rsidRDefault="00142DA3" w:rsidP="00142DA3">
      <w:pPr>
        <w:pStyle w:val="FootnoteText"/>
        <w:bidi w:val="0"/>
        <w:jc w:val="both"/>
        <w:rPr>
          <w:rFonts w:asciiTheme="majorBidi" w:hAnsiTheme="majorBidi" w:cstheme="majorBidi"/>
          <w:sz w:val="20"/>
          <w:szCs w:val="20"/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Image </w:t>
      </w:r>
      <w:r w:rsidR="003658D5">
        <w:rPr>
          <w:rFonts w:asciiTheme="majorBidi" w:hAnsiTheme="majorBidi" w:cstheme="majorBidi"/>
          <w:sz w:val="20"/>
          <w:szCs w:val="20"/>
        </w:rPr>
        <w:t xml:space="preserve">in </w:t>
      </w:r>
      <w:hyperlink r:id="rId10" w:history="1">
        <w:r w:rsidRPr="008352DE">
          <w:rPr>
            <w:rStyle w:val="Hyperlink"/>
            <w:rFonts w:asciiTheme="majorBidi" w:hAnsiTheme="majorBidi" w:cstheme="majorBidi"/>
            <w:sz w:val="20"/>
            <w:szCs w:val="20"/>
          </w:rPr>
          <w:t>https://www.deadseascrolls.org.il/explore-the-archive/image/B-475422</w:t>
        </w:r>
      </w:hyperlink>
      <w:r>
        <w:rPr>
          <w:rFonts w:asciiTheme="majorBidi" w:hAnsiTheme="majorBidi" w:cstheme="majorBidi"/>
          <w:sz w:val="20"/>
          <w:szCs w:val="20"/>
        </w:rPr>
        <w:t>. For the transcription, see Skehan, Ulrich, and Sanderson, “11. 4QpaleoGenesis-Exodus</w:t>
      </w:r>
      <w:r>
        <w:rPr>
          <w:rFonts w:asciiTheme="majorBidi" w:hAnsiTheme="majorBidi" w:cstheme="majorBidi"/>
          <w:sz w:val="20"/>
          <w:szCs w:val="20"/>
          <w:vertAlign w:val="superscript"/>
        </w:rPr>
        <w:t>l</w:t>
      </w:r>
      <w:r>
        <w:rPr>
          <w:rFonts w:asciiTheme="majorBidi" w:hAnsiTheme="majorBidi" w:cstheme="majorBidi"/>
          <w:sz w:val="20"/>
          <w:szCs w:val="20"/>
        </w:rPr>
        <w:t xml:space="preserve">,” 43. </w:t>
      </w:r>
    </w:p>
  </w:footnote>
  <w:footnote w:id="27">
    <w:p w14:paraId="7A9CF54E" w14:textId="231784B4" w:rsidR="00142DA3" w:rsidRPr="002C4D65" w:rsidRDefault="00142DA3" w:rsidP="00142DA3">
      <w:pPr>
        <w:pStyle w:val="FootnoteText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Image </w:t>
      </w:r>
      <w:r w:rsidR="003658D5">
        <w:rPr>
          <w:rFonts w:asciiTheme="majorBidi" w:hAnsiTheme="majorBidi" w:cstheme="majorBidi"/>
          <w:sz w:val="20"/>
          <w:szCs w:val="20"/>
        </w:rPr>
        <w:t xml:space="preserve">in </w:t>
      </w:r>
      <w:hyperlink r:id="rId11" w:history="1">
        <w:r w:rsidRPr="00292D0A">
          <w:rPr>
            <w:rStyle w:val="Hyperlink"/>
            <w:rFonts w:asciiTheme="majorBidi" w:hAnsiTheme="majorBidi" w:cstheme="majorBidi"/>
            <w:sz w:val="20"/>
            <w:szCs w:val="20"/>
          </w:rPr>
          <w:t>https://www.deadseascrolls.org.il/explore-the-archive/image/B-362139</w:t>
        </w:r>
      </w:hyperlink>
      <w:r>
        <w:rPr>
          <w:rFonts w:asciiTheme="majorBidi" w:hAnsiTheme="majorBidi" w:cstheme="majorBidi"/>
          <w:sz w:val="20"/>
          <w:szCs w:val="20"/>
        </w:rPr>
        <w:t xml:space="preserve">. </w:t>
      </w:r>
    </w:p>
  </w:footnote>
  <w:footnote w:id="28">
    <w:p w14:paraId="727BB3EF" w14:textId="584AB5C5" w:rsidR="00142DA3" w:rsidRPr="00477F1A" w:rsidRDefault="00142DA3" w:rsidP="00142DA3">
      <w:pPr>
        <w:pStyle w:val="FootnoteText"/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Fragments 36, 37. See images </w:t>
      </w:r>
      <w:r w:rsidR="003658D5">
        <w:rPr>
          <w:rFonts w:asciiTheme="majorBidi" w:hAnsiTheme="majorBidi" w:cstheme="majorBidi"/>
          <w:sz w:val="20"/>
          <w:szCs w:val="20"/>
        </w:rPr>
        <w:t xml:space="preserve">in </w:t>
      </w:r>
      <w:hyperlink r:id="rId12" w:history="1">
        <w:r w:rsidRPr="008352DE">
          <w:rPr>
            <w:rStyle w:val="Hyperlink"/>
            <w:rFonts w:asciiTheme="majorBidi" w:hAnsiTheme="majorBidi" w:cstheme="majorBidi"/>
            <w:sz w:val="20"/>
            <w:szCs w:val="20"/>
          </w:rPr>
          <w:t>https://www.deadseascrolls.org.il/explore-the-archive/image/B-475382</w:t>
        </w:r>
      </w:hyperlink>
      <w:r>
        <w:rPr>
          <w:rFonts w:asciiTheme="majorBidi" w:hAnsiTheme="majorBidi" w:cstheme="majorBidi"/>
          <w:sz w:val="20"/>
          <w:szCs w:val="20"/>
        </w:rPr>
        <w:t xml:space="preserve">; </w:t>
      </w:r>
      <w:hyperlink r:id="rId13" w:history="1">
        <w:r w:rsidRPr="008352DE">
          <w:rPr>
            <w:rStyle w:val="Hyperlink"/>
            <w:rFonts w:asciiTheme="majorBidi" w:hAnsiTheme="majorBidi" w:cstheme="majorBidi"/>
            <w:sz w:val="20"/>
            <w:szCs w:val="20"/>
          </w:rPr>
          <w:t>https://www.deadseascrolls.org.il/explore-the-archive/image/B-475350</w:t>
        </w:r>
      </w:hyperlink>
      <w:r>
        <w:rPr>
          <w:rFonts w:asciiTheme="majorBidi" w:hAnsiTheme="majorBidi" w:cstheme="majorBidi"/>
          <w:sz w:val="20"/>
          <w:szCs w:val="20"/>
        </w:rPr>
        <w:t>, respectively. For the transcription, see Skehan, Ulrich, and Sanderson, “11. 4QpaleoGenesis-Exodus</w:t>
      </w:r>
      <w:r>
        <w:rPr>
          <w:rFonts w:asciiTheme="majorBidi" w:hAnsiTheme="majorBidi" w:cstheme="majorBidi"/>
          <w:sz w:val="20"/>
          <w:szCs w:val="20"/>
          <w:vertAlign w:val="superscript"/>
        </w:rPr>
        <w:t>l</w:t>
      </w:r>
      <w:r>
        <w:rPr>
          <w:rFonts w:asciiTheme="majorBidi" w:hAnsiTheme="majorBidi" w:cstheme="majorBidi"/>
          <w:sz w:val="20"/>
          <w:szCs w:val="20"/>
        </w:rPr>
        <w:t xml:space="preserve">,” 46–47. </w:t>
      </w:r>
    </w:p>
  </w:footnote>
  <w:footnote w:id="29">
    <w:p w14:paraId="0EB2C8BF" w14:textId="77777777" w:rsidR="00142DA3" w:rsidRPr="00652B8C" w:rsidRDefault="00142DA3" w:rsidP="00142DA3">
      <w:pPr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 xml:space="preserve">For a discussion of the </w:t>
      </w:r>
      <w:r w:rsidRPr="00652B8C">
        <w:rPr>
          <w:rFonts w:asciiTheme="majorBidi" w:hAnsiTheme="majorBidi" w:cstheme="majorBidi"/>
          <w:sz w:val="20"/>
          <w:szCs w:val="20"/>
        </w:rPr>
        <w:t xml:space="preserve">textual classification of </w:t>
      </w:r>
      <w:r>
        <w:rPr>
          <w:rFonts w:asciiTheme="majorBidi" w:hAnsiTheme="majorBidi" w:cstheme="majorBidi"/>
          <w:sz w:val="20"/>
          <w:szCs w:val="20"/>
        </w:rPr>
        <w:t xml:space="preserve">4Q11, see e.g. Tov, “The Biblical Texts from the Judaean Desert: An Overview and Analysis of Published Texts,” in </w:t>
      </w:r>
      <w:r>
        <w:rPr>
          <w:rFonts w:asciiTheme="majorBidi" w:hAnsiTheme="majorBidi" w:cstheme="majorBidi"/>
          <w:i/>
          <w:iCs/>
          <w:sz w:val="20"/>
          <w:szCs w:val="20"/>
        </w:rPr>
        <w:t>The Bible as Book: The Hebrew Bible and the Judaean Desert Discoveries</w:t>
      </w:r>
      <w:r>
        <w:rPr>
          <w:rFonts w:asciiTheme="majorBidi" w:hAnsiTheme="majorBidi" w:cstheme="majorBidi"/>
          <w:sz w:val="20"/>
          <w:szCs w:val="20"/>
        </w:rPr>
        <w:t xml:space="preserve">, ed. Edward D. Herbert, Emanuel Tov (London: British Library, 2002), 154; </w:t>
      </w:r>
      <w:r w:rsidRPr="00652B8C">
        <w:rPr>
          <w:rFonts w:asciiTheme="majorBidi" w:hAnsiTheme="majorBidi" w:cstheme="majorBidi"/>
          <w:sz w:val="20"/>
          <w:szCs w:val="20"/>
        </w:rPr>
        <w:t>Armin Lange</w:t>
      </w:r>
      <w:r>
        <w:rPr>
          <w:rFonts w:asciiTheme="majorBidi" w:hAnsiTheme="majorBidi" w:cstheme="majorBidi"/>
          <w:sz w:val="20"/>
          <w:szCs w:val="20"/>
        </w:rPr>
        <w:t xml:space="preserve">, </w:t>
      </w:r>
      <w:r w:rsidRPr="00210997">
        <w:rPr>
          <w:rFonts w:asciiTheme="majorBidi" w:hAnsiTheme="majorBidi" w:cstheme="majorBidi"/>
          <w:sz w:val="20"/>
          <w:szCs w:val="20"/>
        </w:rPr>
        <w:t>“2.2.1 Ancient, Late Ancient, and Early Me</w:t>
      </w:r>
      <w:r>
        <w:rPr>
          <w:rFonts w:asciiTheme="majorBidi" w:hAnsiTheme="majorBidi" w:cstheme="majorBidi"/>
          <w:sz w:val="20"/>
          <w:szCs w:val="20"/>
        </w:rPr>
        <w:t xml:space="preserve">dieval Manuscript Evidence”, in </w:t>
      </w:r>
      <w:r w:rsidRPr="00210997">
        <w:rPr>
          <w:rFonts w:asciiTheme="majorBidi" w:hAnsiTheme="majorBidi" w:cstheme="majorBidi"/>
          <w:i/>
          <w:iCs/>
          <w:sz w:val="20"/>
          <w:szCs w:val="20"/>
        </w:rPr>
        <w:t>Textual History of the Bible</w:t>
      </w:r>
      <w:r w:rsidRPr="00210997">
        <w:rPr>
          <w:rFonts w:asciiTheme="majorBidi" w:hAnsiTheme="majorBidi" w:cstheme="majorBidi"/>
          <w:sz w:val="20"/>
          <w:szCs w:val="20"/>
        </w:rPr>
        <w:t xml:space="preserve">, General Editor Armin Lange. Consulted online on 11 March 2021 </w:t>
      </w:r>
      <w:hyperlink r:id="rId14" w:history="1">
        <w:r w:rsidRPr="008352DE">
          <w:rPr>
            <w:rStyle w:val="Hyperlink"/>
            <w:rFonts w:asciiTheme="majorBidi" w:hAnsiTheme="majorBidi" w:cstheme="majorBidi"/>
            <w:sz w:val="20"/>
            <w:szCs w:val="20"/>
          </w:rPr>
          <w:t>http://dx.doi.org.rproxy.tau.ac.il/10.1163/2452-4107_thb_COM_0002020100</w:t>
        </w:r>
      </w:hyperlink>
      <w:r>
        <w:rPr>
          <w:rFonts w:asciiTheme="majorBidi" w:hAnsiTheme="majorBidi" w:cstheme="majorBidi"/>
          <w:sz w:val="20"/>
          <w:szCs w:val="20"/>
        </w:rPr>
        <w:t>.</w:t>
      </w:r>
      <w:r w:rsidRPr="00652B8C">
        <w:rPr>
          <w:rFonts w:asciiTheme="majorBidi" w:hAnsiTheme="majorBidi" w:cstheme="majorBidi"/>
          <w:sz w:val="20"/>
          <w:szCs w:val="20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06B49"/>
    <w:multiLevelType w:val="hybridMultilevel"/>
    <w:tmpl w:val="88721E70"/>
    <w:lvl w:ilvl="0" w:tplc="22C6585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drian Sackson">
    <w15:presenceInfo w15:providerId="Windows Live" w15:userId="74aa8495d3bca7b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Y1NbYwMTQzsbQ0NzJW0lEKTi0uzszPAykwrAUAlc4T6SwAAAA="/>
  </w:docVars>
  <w:rsids>
    <w:rsidRoot w:val="00142DA3"/>
    <w:rsid w:val="0000670F"/>
    <w:rsid w:val="000405E0"/>
    <w:rsid w:val="00046C6A"/>
    <w:rsid w:val="000768FE"/>
    <w:rsid w:val="000A34BA"/>
    <w:rsid w:val="000C481D"/>
    <w:rsid w:val="001077C3"/>
    <w:rsid w:val="00142DA3"/>
    <w:rsid w:val="001D62ED"/>
    <w:rsid w:val="002A34C5"/>
    <w:rsid w:val="002B0568"/>
    <w:rsid w:val="002B202D"/>
    <w:rsid w:val="00317EA8"/>
    <w:rsid w:val="003658D5"/>
    <w:rsid w:val="0038748D"/>
    <w:rsid w:val="003C5661"/>
    <w:rsid w:val="004079C1"/>
    <w:rsid w:val="004B27F2"/>
    <w:rsid w:val="0058214A"/>
    <w:rsid w:val="005B3524"/>
    <w:rsid w:val="006830FB"/>
    <w:rsid w:val="006A6D76"/>
    <w:rsid w:val="006E6825"/>
    <w:rsid w:val="007223F9"/>
    <w:rsid w:val="007433A6"/>
    <w:rsid w:val="007A7F60"/>
    <w:rsid w:val="007B4900"/>
    <w:rsid w:val="008D352E"/>
    <w:rsid w:val="009E14CE"/>
    <w:rsid w:val="00A17342"/>
    <w:rsid w:val="00A315A5"/>
    <w:rsid w:val="00A41325"/>
    <w:rsid w:val="00A44292"/>
    <w:rsid w:val="00AB7E13"/>
    <w:rsid w:val="00B53CBC"/>
    <w:rsid w:val="00B66B69"/>
    <w:rsid w:val="00BD12AE"/>
    <w:rsid w:val="00C05456"/>
    <w:rsid w:val="00C435F2"/>
    <w:rsid w:val="00C85D84"/>
    <w:rsid w:val="00C924FB"/>
    <w:rsid w:val="00CA5359"/>
    <w:rsid w:val="00CB3C57"/>
    <w:rsid w:val="00CE0863"/>
    <w:rsid w:val="00D1666A"/>
    <w:rsid w:val="00D553A4"/>
    <w:rsid w:val="00D60B0F"/>
    <w:rsid w:val="00D62644"/>
    <w:rsid w:val="00DF40B7"/>
    <w:rsid w:val="00E15DD0"/>
    <w:rsid w:val="00E36BCF"/>
    <w:rsid w:val="00E44B92"/>
    <w:rsid w:val="00E51638"/>
    <w:rsid w:val="00E70BC6"/>
    <w:rsid w:val="00EF73BD"/>
    <w:rsid w:val="00F72E5C"/>
    <w:rsid w:val="00F73FA6"/>
    <w:rsid w:val="00FC4E52"/>
    <w:rsid w:val="00FE3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A9A6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42DA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142DA3"/>
  </w:style>
  <w:style w:type="character" w:customStyle="1" w:styleId="FootnoteTextChar">
    <w:name w:val="Footnote Text Char"/>
    <w:basedOn w:val="DefaultParagraphFont"/>
    <w:link w:val="FootnoteText"/>
    <w:uiPriority w:val="99"/>
    <w:rsid w:val="00142DA3"/>
  </w:style>
  <w:style w:type="character" w:styleId="FootnoteReference">
    <w:name w:val="footnote reference"/>
    <w:basedOn w:val="DefaultParagraphFont"/>
    <w:uiPriority w:val="99"/>
    <w:unhideWhenUsed/>
    <w:rsid w:val="00142DA3"/>
    <w:rPr>
      <w:vertAlign w:val="superscript"/>
    </w:rPr>
  </w:style>
  <w:style w:type="paragraph" w:styleId="ListParagraph">
    <w:name w:val="List Paragraph"/>
    <w:basedOn w:val="Normal"/>
    <w:uiPriority w:val="34"/>
    <w:qFormat/>
    <w:rsid w:val="00142DA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42DA3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42D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42DA3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B7E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7E1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7E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7E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7E1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0B0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B0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16/09/relationships/commentsIds" Target="commentsIds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11/relationships/commentsExtended" Target="commentsExtended.xml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omments" Target="comments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18/08/relationships/commentsExtensible" Target="commentsExtensible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adseascrolls.org.il/explore-the-archive/image/B-499664" TargetMode="External"/><Relationship Id="rId13" Type="http://schemas.openxmlformats.org/officeDocument/2006/relationships/hyperlink" Target="https://www.deadseascrolls.org.il/explore-the-archive/image/B-475350" TargetMode="External"/><Relationship Id="rId3" Type="http://schemas.openxmlformats.org/officeDocument/2006/relationships/hyperlink" Target="https://www.deadseascrolls.org.il/explore-the-archive/image/B-499664" TargetMode="External"/><Relationship Id="rId7" Type="http://schemas.openxmlformats.org/officeDocument/2006/relationships/hyperlink" Target="https://www.deadseascrolls.org.il/explore-the-archive/image/B-362147" TargetMode="External"/><Relationship Id="rId12" Type="http://schemas.openxmlformats.org/officeDocument/2006/relationships/hyperlink" Target="https://www.deadseascrolls.org.il/explore-the-archive/image/B-475382" TargetMode="External"/><Relationship Id="rId2" Type="http://schemas.openxmlformats.org/officeDocument/2006/relationships/hyperlink" Target="https://www.deadseascrolls.org.il/explore-the-archive/image/B-475414" TargetMode="External"/><Relationship Id="rId1" Type="http://schemas.openxmlformats.org/officeDocument/2006/relationships/hyperlink" Target="https://www.deadseascrolls.org.il/explore-the-archive/image/B-371331" TargetMode="External"/><Relationship Id="rId6" Type="http://schemas.openxmlformats.org/officeDocument/2006/relationships/hyperlink" Target="https://www.deadseascrolls.org.il/explore-the-archive/image/B-475378" TargetMode="External"/><Relationship Id="rId11" Type="http://schemas.openxmlformats.org/officeDocument/2006/relationships/hyperlink" Target="https://www.deadseascrolls.org.il/explore-the-archive/image/B-362139" TargetMode="External"/><Relationship Id="rId5" Type="http://schemas.openxmlformats.org/officeDocument/2006/relationships/hyperlink" Target="https://www.deadseascrolls.org.il/explore-the-archive/image/B-284767" TargetMode="External"/><Relationship Id="rId10" Type="http://schemas.openxmlformats.org/officeDocument/2006/relationships/hyperlink" Target="https://www.deadseascrolls.org.il/explore-the-archive/image/B-475422" TargetMode="External"/><Relationship Id="rId4" Type="http://schemas.openxmlformats.org/officeDocument/2006/relationships/hyperlink" Target="https://www.deadseascrolls.org.il/explore-the-archive/image/B-475374" TargetMode="External"/><Relationship Id="rId9" Type="http://schemas.openxmlformats.org/officeDocument/2006/relationships/hyperlink" Target="https://www.deadseascrolls.org.il/explore-the-archive/image/B-362171" TargetMode="External"/><Relationship Id="rId14" Type="http://schemas.openxmlformats.org/officeDocument/2006/relationships/hyperlink" Target="http://dx.doi.org.rproxy.tau.ac.il/10.1163/2452-4107_thb_COM_0002020100" TargetMode="External"/></Relationships>
</file>

<file path=word/theme/theme1.xml><?xml version="1.0" encoding="utf-8"?>
<a:theme xmlns:a="http://schemas.openxmlformats.org/drawingml/2006/main" name="ערכת נושא של Office">
  <a:themeElements>
    <a:clrScheme name="משרד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משרד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משרד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8</Pages>
  <Words>1582</Words>
  <Characters>9018</Characters>
  <Application>Microsoft Office Word</Application>
  <DocSecurity>0</DocSecurity>
  <Lines>75</Lines>
  <Paragraphs>21</Paragraphs>
  <ScaleCrop>false</ScaleCrop>
  <HeadingPairs>
    <vt:vector size="2" baseType="variant">
      <vt:variant>
        <vt:lpstr>כותרת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Hila Dayfani</dc:creator>
  <cp:keywords/>
  <dc:description/>
  <cp:lastModifiedBy>Adrian Sackson</cp:lastModifiedBy>
  <cp:revision>15</cp:revision>
  <dcterms:created xsi:type="dcterms:W3CDTF">2021-04-11T13:11:00Z</dcterms:created>
  <dcterms:modified xsi:type="dcterms:W3CDTF">2021-04-22T08:33:00Z</dcterms:modified>
</cp:coreProperties>
</file>