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DDE04" w14:textId="271C1824" w:rsidR="007B0A20" w:rsidRPr="007B0A20" w:rsidRDefault="007B0A20" w:rsidP="007B0A20">
      <w:pPr>
        <w:spacing w:line="480" w:lineRule="auto"/>
        <w:contextualSpacing/>
        <w:rPr>
          <w:rFonts w:ascii="Times New Roman" w:hAnsi="Times New Roman" w:cs="Times New Roman"/>
          <w:color w:val="FF0000"/>
          <w:sz w:val="24"/>
          <w:szCs w:val="24"/>
        </w:rPr>
      </w:pPr>
      <w:r w:rsidRPr="007B0A20">
        <w:rPr>
          <w:rFonts w:ascii="Times New Roman" w:eastAsia="Palatino Linotype" w:hAnsi="Times New Roman" w:cs="Times New Roman"/>
          <w:color w:val="FF0000"/>
          <w:sz w:val="24"/>
          <w:szCs w:val="24"/>
        </w:rPr>
        <w:t xml:space="preserve">Whereas </w:t>
      </w:r>
      <w:r w:rsidRPr="007B0A20">
        <w:rPr>
          <w:rFonts w:ascii="Times New Roman" w:hAnsi="Times New Roman" w:cs="Times New Roman"/>
          <w:color w:val="FF0000"/>
          <w:sz w:val="24"/>
          <w:szCs w:val="24"/>
        </w:rPr>
        <w:t xml:space="preserve">any attention paid in the past to the eighth book of the </w:t>
      </w:r>
      <w:r w:rsidRPr="007B0A20">
        <w:rPr>
          <w:rFonts w:ascii="Times New Roman" w:hAnsi="Times New Roman" w:cs="Times New Roman"/>
          <w:i/>
          <w:iCs/>
          <w:color w:val="FF0000"/>
          <w:sz w:val="24"/>
          <w:szCs w:val="24"/>
        </w:rPr>
        <w:t>Palatine Anthology</w:t>
      </w:r>
      <w:r w:rsidRPr="007B0A20">
        <w:rPr>
          <w:rFonts w:ascii="Times New Roman" w:hAnsi="Times New Roman" w:cs="Times New Roman"/>
          <w:color w:val="FF0000"/>
          <w:sz w:val="24"/>
          <w:szCs w:val="24"/>
        </w:rPr>
        <w:t xml:space="preserve"> was traditionally perfunctory if not outright disdainful, a more sophisticated attitude has developed recently, whereby the book is evaluated as a whole – a coherent collection of epigrams focusing on the theme of death and burial. Even the author’s marked tendency toward </w:t>
      </w:r>
      <w:proofErr w:type="spellStart"/>
      <w:r w:rsidRPr="007B0A20">
        <w:rPr>
          <w:rFonts w:ascii="Times New Roman" w:hAnsi="Times New Roman" w:cs="Times New Roman"/>
          <w:color w:val="FF0000"/>
          <w:sz w:val="24"/>
          <w:szCs w:val="24"/>
        </w:rPr>
        <w:t>repetitif</w:t>
      </w:r>
      <w:proofErr w:type="spellEnd"/>
      <w:r w:rsidRPr="007B0A20">
        <w:rPr>
          <w:rFonts w:ascii="Times New Roman" w:hAnsi="Times New Roman" w:cs="Times New Roman"/>
          <w:color w:val="FF0000"/>
          <w:sz w:val="24"/>
          <w:szCs w:val="24"/>
        </w:rPr>
        <w:t xml:space="preserve"> motifs, which has undoubtedly hampered a positive perception of the collection, is now explained by the work’s didactic aim. </w:t>
      </w:r>
    </w:p>
    <w:p w14:paraId="0EE1EEA9" w14:textId="5F6EEFCD" w:rsidR="00B44026" w:rsidRPr="00463606" w:rsidRDefault="00B44026" w:rsidP="004D36AC">
      <w:pPr>
        <w:spacing w:line="480" w:lineRule="auto"/>
        <w:rPr>
          <w:rFonts w:ascii="Times New Roman" w:hAnsi="Times New Roman" w:cs="Times New Roman"/>
          <w:sz w:val="24"/>
          <w:szCs w:val="24"/>
        </w:rPr>
      </w:pPr>
      <w:r w:rsidRPr="00463606">
        <w:rPr>
          <w:rFonts w:ascii="Times New Roman" w:hAnsi="Times New Roman" w:cs="Times New Roman"/>
          <w:sz w:val="24"/>
          <w:szCs w:val="24"/>
        </w:rPr>
        <w:t xml:space="preserve">Any attention paid to the eighth book of the Palatine Anthology has traditionally been perfunctory if not </w:t>
      </w:r>
      <w:r w:rsidR="007D2CE1" w:rsidRPr="00463606">
        <w:rPr>
          <w:rFonts w:ascii="Times New Roman" w:hAnsi="Times New Roman" w:cs="Times New Roman"/>
          <w:sz w:val="24"/>
          <w:szCs w:val="24"/>
        </w:rPr>
        <w:t>outright disdainful</w:t>
      </w:r>
      <w:r w:rsidRPr="00463606">
        <w:rPr>
          <w:rFonts w:ascii="Times New Roman" w:hAnsi="Times New Roman" w:cs="Times New Roman"/>
          <w:sz w:val="24"/>
          <w:szCs w:val="24"/>
        </w:rPr>
        <w:t xml:space="preserve">. </w:t>
      </w:r>
      <w:r w:rsidR="004D36AC">
        <w:rPr>
          <w:rFonts w:ascii="Times New Roman" w:hAnsi="Times New Roman" w:cs="Times New Roman"/>
          <w:sz w:val="24"/>
          <w:szCs w:val="24"/>
        </w:rPr>
        <w:t>Recently</w:t>
      </w:r>
      <w:r w:rsidRPr="00463606">
        <w:rPr>
          <w:rFonts w:ascii="Times New Roman" w:hAnsi="Times New Roman" w:cs="Times New Roman"/>
          <w:sz w:val="24"/>
          <w:szCs w:val="24"/>
        </w:rPr>
        <w:t xml:space="preserve">, however, </w:t>
      </w:r>
      <w:r w:rsidR="006C0AB5" w:rsidRPr="00463606">
        <w:rPr>
          <w:rFonts w:ascii="Times New Roman" w:hAnsi="Times New Roman" w:cs="Times New Roman"/>
          <w:sz w:val="24"/>
          <w:szCs w:val="24"/>
        </w:rPr>
        <w:t>a more sophisticated attitude has developed, wh</w:t>
      </w:r>
      <w:r w:rsidR="00981EF6" w:rsidRPr="00463606">
        <w:rPr>
          <w:rFonts w:ascii="Times New Roman" w:hAnsi="Times New Roman" w:cs="Times New Roman"/>
          <w:sz w:val="24"/>
          <w:szCs w:val="24"/>
        </w:rPr>
        <w:t>ereby</w:t>
      </w:r>
      <w:r w:rsidR="006C0AB5" w:rsidRPr="00463606">
        <w:rPr>
          <w:rFonts w:ascii="Times New Roman" w:hAnsi="Times New Roman" w:cs="Times New Roman"/>
          <w:sz w:val="24"/>
          <w:szCs w:val="24"/>
        </w:rPr>
        <w:t xml:space="preserve"> the book </w:t>
      </w:r>
      <w:r w:rsidR="00981EF6" w:rsidRPr="00463606">
        <w:rPr>
          <w:rFonts w:ascii="Times New Roman" w:hAnsi="Times New Roman" w:cs="Times New Roman"/>
          <w:sz w:val="24"/>
          <w:szCs w:val="24"/>
        </w:rPr>
        <w:t xml:space="preserve">is evaluated </w:t>
      </w:r>
      <w:r w:rsidR="006C0AB5" w:rsidRPr="00463606">
        <w:rPr>
          <w:rFonts w:ascii="Times New Roman" w:hAnsi="Times New Roman" w:cs="Times New Roman"/>
          <w:sz w:val="24"/>
          <w:szCs w:val="24"/>
        </w:rPr>
        <w:t>as a whole</w:t>
      </w:r>
      <w:r w:rsidR="004D36AC">
        <w:rPr>
          <w:rFonts w:ascii="Times New Roman" w:hAnsi="Times New Roman" w:cs="Times New Roman"/>
          <w:sz w:val="24"/>
          <w:szCs w:val="24"/>
        </w:rPr>
        <w:t xml:space="preserve"> –</w:t>
      </w:r>
      <w:r w:rsidR="006C0AB5" w:rsidRPr="00463606">
        <w:rPr>
          <w:rFonts w:ascii="Times New Roman" w:hAnsi="Times New Roman" w:cs="Times New Roman"/>
          <w:sz w:val="24"/>
          <w:szCs w:val="24"/>
        </w:rPr>
        <w:t xml:space="preserve"> a coherent collection of epigrams </w:t>
      </w:r>
      <w:r w:rsidR="004D36AC">
        <w:rPr>
          <w:rFonts w:ascii="Times New Roman" w:hAnsi="Times New Roman" w:cs="Times New Roman"/>
          <w:sz w:val="24"/>
          <w:szCs w:val="24"/>
        </w:rPr>
        <w:t xml:space="preserve">focusing </w:t>
      </w:r>
      <w:r w:rsidR="006C0AB5" w:rsidRPr="00463606">
        <w:rPr>
          <w:rFonts w:ascii="Times New Roman" w:hAnsi="Times New Roman" w:cs="Times New Roman"/>
          <w:sz w:val="24"/>
          <w:szCs w:val="24"/>
        </w:rPr>
        <w:t>on the theme of death and burial.</w:t>
      </w:r>
      <w:r w:rsidRPr="00463606">
        <w:rPr>
          <w:rFonts w:ascii="Times New Roman" w:hAnsi="Times New Roman" w:cs="Times New Roman"/>
          <w:sz w:val="24"/>
          <w:szCs w:val="24"/>
        </w:rPr>
        <w:t xml:space="preserve"> </w:t>
      </w:r>
      <w:r w:rsidR="00564003" w:rsidRPr="00463606">
        <w:rPr>
          <w:rFonts w:ascii="Times New Roman" w:hAnsi="Times New Roman" w:cs="Times New Roman"/>
          <w:sz w:val="24"/>
          <w:szCs w:val="24"/>
        </w:rPr>
        <w:t xml:space="preserve">The </w:t>
      </w:r>
      <w:r w:rsidR="004D36AC">
        <w:rPr>
          <w:rFonts w:ascii="Times New Roman" w:hAnsi="Times New Roman" w:cs="Times New Roman"/>
          <w:sz w:val="24"/>
          <w:szCs w:val="24"/>
        </w:rPr>
        <w:t xml:space="preserve">author’s marked tendency toward </w:t>
      </w:r>
      <w:proofErr w:type="spellStart"/>
      <w:r w:rsidR="004D36AC">
        <w:rPr>
          <w:rFonts w:ascii="Times New Roman" w:hAnsi="Times New Roman" w:cs="Times New Roman"/>
          <w:sz w:val="24"/>
          <w:szCs w:val="24"/>
        </w:rPr>
        <w:t>repetitif</w:t>
      </w:r>
      <w:proofErr w:type="spellEnd"/>
      <w:r w:rsidR="00564003" w:rsidRPr="00463606">
        <w:rPr>
          <w:rFonts w:ascii="Times New Roman" w:hAnsi="Times New Roman" w:cs="Times New Roman"/>
          <w:sz w:val="24"/>
          <w:szCs w:val="24"/>
        </w:rPr>
        <w:t xml:space="preserve"> motifs has undoubtedly hampered a positive </w:t>
      </w:r>
      <w:r w:rsidR="00AA6048" w:rsidRPr="00463606">
        <w:rPr>
          <w:rFonts w:ascii="Times New Roman" w:hAnsi="Times New Roman" w:cs="Times New Roman"/>
          <w:sz w:val="24"/>
          <w:szCs w:val="24"/>
        </w:rPr>
        <w:t>perception of</w:t>
      </w:r>
      <w:r w:rsidR="00564003" w:rsidRPr="00463606">
        <w:rPr>
          <w:rFonts w:ascii="Times New Roman" w:hAnsi="Times New Roman" w:cs="Times New Roman"/>
          <w:sz w:val="24"/>
          <w:szCs w:val="24"/>
        </w:rPr>
        <w:t xml:space="preserve"> the </w:t>
      </w:r>
      <w:r w:rsidR="00556339" w:rsidRPr="00463606">
        <w:rPr>
          <w:rFonts w:ascii="Times New Roman" w:hAnsi="Times New Roman" w:cs="Times New Roman"/>
          <w:sz w:val="24"/>
          <w:szCs w:val="24"/>
        </w:rPr>
        <w:t>collection</w:t>
      </w:r>
      <w:r w:rsidR="00564003" w:rsidRPr="00463606">
        <w:rPr>
          <w:rFonts w:ascii="Times New Roman" w:hAnsi="Times New Roman" w:cs="Times New Roman"/>
          <w:sz w:val="24"/>
          <w:szCs w:val="24"/>
        </w:rPr>
        <w:t>. However, th</w:t>
      </w:r>
      <w:r w:rsidR="00AA6048" w:rsidRPr="00463606">
        <w:rPr>
          <w:rFonts w:ascii="Times New Roman" w:hAnsi="Times New Roman" w:cs="Times New Roman"/>
          <w:sz w:val="24"/>
          <w:szCs w:val="24"/>
        </w:rPr>
        <w:t xml:space="preserve">is propensity can be explained by the work’s didactic aim. </w:t>
      </w:r>
      <w:r w:rsidR="007D2CE1" w:rsidRPr="00463606">
        <w:rPr>
          <w:rFonts w:ascii="Times New Roman" w:hAnsi="Times New Roman" w:cs="Times New Roman"/>
          <w:sz w:val="24"/>
          <w:szCs w:val="24"/>
        </w:rPr>
        <w:t>B</w:t>
      </w:r>
      <w:r w:rsidR="0090525E" w:rsidRPr="00463606">
        <w:rPr>
          <w:rFonts w:ascii="Times New Roman" w:hAnsi="Times New Roman" w:cs="Times New Roman"/>
          <w:sz w:val="24"/>
          <w:szCs w:val="24"/>
        </w:rPr>
        <w:t xml:space="preserve">eyond any consideration of the contents and the </w:t>
      </w:r>
      <w:r w:rsidR="000E5091">
        <w:rPr>
          <w:rFonts w:ascii="Times New Roman" w:hAnsi="Times New Roman" w:cs="Times New Roman"/>
          <w:sz w:val="24"/>
          <w:szCs w:val="24"/>
        </w:rPr>
        <w:t>valuable</w:t>
      </w:r>
      <w:r w:rsidR="0090525E" w:rsidRPr="00463606">
        <w:rPr>
          <w:rFonts w:ascii="Times New Roman" w:hAnsi="Times New Roman" w:cs="Times New Roman"/>
          <w:sz w:val="24"/>
          <w:szCs w:val="24"/>
        </w:rPr>
        <w:t xml:space="preserve"> historical and social references </w:t>
      </w:r>
      <w:r w:rsidR="005C30E7" w:rsidRPr="00463606">
        <w:rPr>
          <w:rFonts w:ascii="Times New Roman" w:hAnsi="Times New Roman" w:cs="Times New Roman"/>
          <w:sz w:val="24"/>
          <w:szCs w:val="24"/>
        </w:rPr>
        <w:t>they</w:t>
      </w:r>
      <w:r w:rsidR="0090525E" w:rsidRPr="00463606">
        <w:rPr>
          <w:rFonts w:ascii="Times New Roman" w:hAnsi="Times New Roman" w:cs="Times New Roman"/>
          <w:sz w:val="24"/>
          <w:szCs w:val="24"/>
        </w:rPr>
        <w:t xml:space="preserve"> contain, not least the </w:t>
      </w:r>
      <w:r w:rsidR="005C30E7" w:rsidRPr="00463606">
        <w:rPr>
          <w:rFonts w:ascii="Times New Roman" w:hAnsi="Times New Roman" w:cs="Times New Roman"/>
          <w:sz w:val="24"/>
          <w:szCs w:val="24"/>
        </w:rPr>
        <w:t>allusions</w:t>
      </w:r>
      <w:r w:rsidR="0090525E" w:rsidRPr="00463606">
        <w:rPr>
          <w:rFonts w:ascii="Times New Roman" w:hAnsi="Times New Roman" w:cs="Times New Roman"/>
          <w:sz w:val="24"/>
          <w:szCs w:val="24"/>
        </w:rPr>
        <w:t xml:space="preserve"> to certain funerary practices</w:t>
      </w:r>
      <w:r w:rsidR="004D36AC">
        <w:rPr>
          <w:rFonts w:ascii="Times New Roman" w:hAnsi="Times New Roman" w:cs="Times New Roman"/>
          <w:sz w:val="24"/>
          <w:szCs w:val="24"/>
        </w:rPr>
        <w:t xml:space="preserve"> of the </w:t>
      </w:r>
      <w:r w:rsidR="004D36AC" w:rsidRPr="004D36AC">
        <w:rPr>
          <w:rFonts w:ascii="Times New Roman" w:hAnsi="Times New Roman" w:cs="Times New Roman"/>
          <w:sz w:val="24"/>
          <w:szCs w:val="24"/>
        </w:rPr>
        <w:t>4</w:t>
      </w:r>
      <w:r w:rsidR="004D36AC" w:rsidRPr="004D36AC">
        <w:rPr>
          <w:rFonts w:ascii="Times New Roman" w:hAnsi="Times New Roman" w:cs="Times New Roman"/>
          <w:sz w:val="24"/>
          <w:szCs w:val="24"/>
          <w:vertAlign w:val="superscript"/>
        </w:rPr>
        <w:t>th</w:t>
      </w:r>
      <w:r w:rsidR="004D36AC" w:rsidRPr="004D36AC">
        <w:rPr>
          <w:rFonts w:ascii="Times New Roman" w:hAnsi="Times New Roman" w:cs="Times New Roman"/>
          <w:sz w:val="24"/>
          <w:szCs w:val="24"/>
        </w:rPr>
        <w:t xml:space="preserve"> century AD</w:t>
      </w:r>
      <w:r w:rsidR="005C30E7" w:rsidRPr="00463606">
        <w:rPr>
          <w:rFonts w:ascii="Times New Roman" w:hAnsi="Times New Roman" w:cs="Times New Roman"/>
          <w:sz w:val="24"/>
          <w:szCs w:val="24"/>
        </w:rPr>
        <w:t xml:space="preserve">, </w:t>
      </w:r>
      <w:r w:rsidR="007D2CE1" w:rsidRPr="00463606">
        <w:rPr>
          <w:rFonts w:ascii="Times New Roman" w:hAnsi="Times New Roman" w:cs="Times New Roman"/>
          <w:sz w:val="24"/>
          <w:szCs w:val="24"/>
        </w:rPr>
        <w:t xml:space="preserve">another clear reason for interest in these epigrams </w:t>
      </w:r>
      <w:r w:rsidR="005C30E7" w:rsidRPr="00463606">
        <w:rPr>
          <w:rFonts w:ascii="Times New Roman" w:hAnsi="Times New Roman" w:cs="Times New Roman"/>
          <w:sz w:val="24"/>
          <w:szCs w:val="24"/>
        </w:rPr>
        <w:t>lies in their classical inspiration.</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With amplified attention paid to</w:t>
      </w:r>
      <w:r w:rsidR="007D2CE1" w:rsidRPr="00463606">
        <w:rPr>
          <w:rFonts w:ascii="Times New Roman" w:hAnsi="Times New Roman" w:cs="Times New Roman"/>
          <w:sz w:val="24"/>
          <w:szCs w:val="24"/>
        </w:rPr>
        <w:t xml:space="preserve"> the author’s formal techniques and literary models, it has become increasingly clear that Gregory is more classicizing in his epigrams than in the rest of his poetry. In the case of this epigram, as we shall see, </w:t>
      </w:r>
      <w:r w:rsidR="004D36AC">
        <w:rPr>
          <w:rFonts w:ascii="Times New Roman" w:hAnsi="Times New Roman" w:cs="Times New Roman"/>
          <w:sz w:val="24"/>
          <w:szCs w:val="24"/>
        </w:rPr>
        <w:t>the</w:t>
      </w:r>
      <w:r w:rsidR="007D2CE1" w:rsidRPr="00463606">
        <w:rPr>
          <w:rFonts w:ascii="Times New Roman" w:hAnsi="Times New Roman" w:cs="Times New Roman"/>
          <w:sz w:val="24"/>
          <w:szCs w:val="24"/>
        </w:rPr>
        <w:t xml:space="preserve"> kind of desecration involved, </w:t>
      </w:r>
      <w:r w:rsidR="004D36AC">
        <w:rPr>
          <w:rFonts w:ascii="Times New Roman" w:hAnsi="Times New Roman" w:cs="Times New Roman"/>
          <w:sz w:val="24"/>
          <w:szCs w:val="24"/>
        </w:rPr>
        <w:t>whether</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of pagan tombs by Christians or vice versa, has long been a matter of perplexity.</w:t>
      </w:r>
    </w:p>
    <w:p w14:paraId="1334AE42" w14:textId="3EC8C597" w:rsidR="00E34488" w:rsidRPr="00463606" w:rsidRDefault="00E34488" w:rsidP="008A5E16">
      <w:pPr>
        <w:spacing w:line="480" w:lineRule="auto"/>
        <w:rPr>
          <w:sz w:val="24"/>
          <w:szCs w:val="24"/>
        </w:rPr>
      </w:pPr>
    </w:p>
    <w:p w14:paraId="390436D0" w14:textId="675F795A" w:rsidR="00E34488" w:rsidRPr="007B0A20" w:rsidRDefault="00E34488" w:rsidP="008A5E16">
      <w:pPr>
        <w:spacing w:line="480" w:lineRule="auto"/>
        <w:rPr>
          <w:rFonts w:ascii="Times New Roman" w:hAnsi="Times New Roman" w:cs="Times New Roman"/>
          <w:color w:val="0070C0"/>
          <w:sz w:val="24"/>
          <w:szCs w:val="24"/>
        </w:rPr>
      </w:pPr>
      <w:r w:rsidRPr="007B0A20">
        <w:rPr>
          <w:rFonts w:ascii="Times New Roman" w:hAnsi="Times New Roman" w:cs="Times New Roman"/>
          <w:i/>
          <w:iCs/>
          <w:color w:val="0070C0"/>
          <w:sz w:val="24"/>
          <w:szCs w:val="24"/>
        </w:rPr>
        <w:t xml:space="preserve">Conspectus </w:t>
      </w:r>
      <w:proofErr w:type="spellStart"/>
      <w:r w:rsidRPr="007B0A20">
        <w:rPr>
          <w:rFonts w:ascii="Times New Roman" w:hAnsi="Times New Roman" w:cs="Times New Roman"/>
          <w:i/>
          <w:iCs/>
          <w:color w:val="0070C0"/>
          <w:sz w:val="24"/>
          <w:szCs w:val="24"/>
        </w:rPr>
        <w:t>siglorum</w:t>
      </w:r>
      <w:proofErr w:type="spellEnd"/>
      <w:r w:rsidRPr="007B0A20">
        <w:rPr>
          <w:rFonts w:ascii="Times New Roman" w:hAnsi="Times New Roman" w:cs="Times New Roman"/>
          <w:color w:val="0070C0"/>
          <w:sz w:val="24"/>
          <w:szCs w:val="24"/>
        </w:rPr>
        <w:t xml:space="preserve">. </w:t>
      </w:r>
      <w:r w:rsidRPr="007B0A20">
        <w:rPr>
          <w:rFonts w:ascii="Times New Roman" w:hAnsi="Times New Roman" w:cs="Times New Roman"/>
          <w:i/>
          <w:iCs/>
          <w:color w:val="0070C0"/>
          <w:sz w:val="24"/>
          <w:szCs w:val="24"/>
        </w:rPr>
        <w:t>m</w:t>
      </w:r>
      <w:r w:rsidRPr="007B0A20">
        <w:rPr>
          <w:rFonts w:ascii="Times New Roman" w:hAnsi="Times New Roman" w:cs="Times New Roman"/>
          <w:color w:val="0070C0"/>
          <w:sz w:val="24"/>
          <w:szCs w:val="24"/>
        </w:rPr>
        <w:t xml:space="preserve">. = standard reading in all manuscripts; </w:t>
      </w:r>
      <w:proofErr w:type="spellStart"/>
      <w:r w:rsidRPr="007B0A20">
        <w:rPr>
          <w:rFonts w:ascii="Times New Roman" w:hAnsi="Times New Roman" w:cs="Times New Roman"/>
          <w:i/>
          <w:iCs/>
          <w:color w:val="0070C0"/>
          <w:sz w:val="24"/>
          <w:szCs w:val="24"/>
        </w:rPr>
        <w:t>codd</w:t>
      </w:r>
      <w:proofErr w:type="spellEnd"/>
      <w:r w:rsidRPr="007B0A20">
        <w:rPr>
          <w:rFonts w:ascii="Times New Roman" w:hAnsi="Times New Roman" w:cs="Times New Roman"/>
          <w:color w:val="0070C0"/>
          <w:sz w:val="24"/>
          <w:szCs w:val="24"/>
        </w:rPr>
        <w:t xml:space="preserve">. = reading found in all codices except P; P = </w:t>
      </w:r>
      <w:proofErr w:type="spellStart"/>
      <w:r w:rsidRPr="007B0A20">
        <w:rPr>
          <w:rFonts w:ascii="Times New Roman" w:hAnsi="Times New Roman" w:cs="Times New Roman"/>
          <w:i/>
          <w:iCs/>
          <w:color w:val="0070C0"/>
          <w:sz w:val="24"/>
          <w:szCs w:val="24"/>
        </w:rPr>
        <w:t>Palatinus</w:t>
      </w:r>
      <w:proofErr w:type="spellEnd"/>
      <w:r w:rsidRPr="007B0A20">
        <w:rPr>
          <w:rFonts w:ascii="Times New Roman" w:hAnsi="Times New Roman" w:cs="Times New Roman"/>
          <w:i/>
          <w:iCs/>
          <w:color w:val="0070C0"/>
          <w:sz w:val="24"/>
          <w:szCs w:val="24"/>
        </w:rPr>
        <w:t xml:space="preserve"> gr.</w:t>
      </w:r>
      <w:r w:rsidRPr="007B0A20">
        <w:rPr>
          <w:rFonts w:ascii="Times New Roman" w:hAnsi="Times New Roman" w:cs="Times New Roman"/>
          <w:color w:val="0070C0"/>
          <w:sz w:val="24"/>
          <w:szCs w:val="24"/>
        </w:rPr>
        <w:t xml:space="preserve"> 23. </w:t>
      </w:r>
      <w:r w:rsidR="00463606" w:rsidRPr="007B0A20">
        <w:rPr>
          <w:rFonts w:ascii="Times New Roman" w:hAnsi="Times New Roman" w:cs="Times New Roman"/>
          <w:color w:val="0070C0"/>
          <w:sz w:val="24"/>
          <w:szCs w:val="24"/>
        </w:rPr>
        <w:t xml:space="preserve">Apart from this, the four most important manuscripts for reconstructing the text are the </w:t>
      </w:r>
      <w:proofErr w:type="spellStart"/>
      <w:r w:rsidRPr="007B0A20">
        <w:rPr>
          <w:rFonts w:ascii="Times New Roman" w:hAnsi="Times New Roman" w:cs="Times New Roman"/>
          <w:i/>
          <w:iCs/>
          <w:color w:val="0070C0"/>
          <w:sz w:val="24"/>
          <w:szCs w:val="24"/>
        </w:rPr>
        <w:t>Laurentianus</w:t>
      </w:r>
      <w:proofErr w:type="spellEnd"/>
      <w:r w:rsidRPr="007B0A20">
        <w:rPr>
          <w:rFonts w:ascii="Times New Roman" w:hAnsi="Times New Roman" w:cs="Times New Roman"/>
          <w:i/>
          <w:iCs/>
          <w:color w:val="0070C0"/>
          <w:sz w:val="24"/>
          <w:szCs w:val="24"/>
        </w:rPr>
        <w:t xml:space="preserve"> </w:t>
      </w:r>
      <w:r w:rsidRPr="007B0A20">
        <w:rPr>
          <w:rFonts w:ascii="Times New Roman" w:hAnsi="Times New Roman" w:cs="Times New Roman"/>
          <w:color w:val="0070C0"/>
          <w:sz w:val="24"/>
          <w:szCs w:val="24"/>
        </w:rPr>
        <w:t xml:space="preserve">7,10, </w:t>
      </w:r>
      <w:r w:rsidR="00463606" w:rsidRPr="007B0A20">
        <w:rPr>
          <w:rFonts w:ascii="Times New Roman" w:hAnsi="Times New Roman" w:cs="Times New Roman"/>
          <w:color w:val="0070C0"/>
          <w:sz w:val="24"/>
          <w:szCs w:val="24"/>
        </w:rPr>
        <w:t xml:space="preserve">the </w:t>
      </w:r>
      <w:proofErr w:type="spellStart"/>
      <w:r w:rsidRPr="007B0A20">
        <w:rPr>
          <w:rFonts w:ascii="Times New Roman" w:hAnsi="Times New Roman" w:cs="Times New Roman"/>
          <w:i/>
          <w:iCs/>
          <w:color w:val="0070C0"/>
          <w:sz w:val="24"/>
          <w:szCs w:val="24"/>
        </w:rPr>
        <w:t>Ambrosianus</w:t>
      </w:r>
      <w:proofErr w:type="spellEnd"/>
      <w:r w:rsidRPr="007B0A20">
        <w:rPr>
          <w:rFonts w:ascii="Times New Roman" w:hAnsi="Times New Roman" w:cs="Times New Roman"/>
          <w:color w:val="0070C0"/>
          <w:sz w:val="24"/>
          <w:szCs w:val="24"/>
        </w:rPr>
        <w:t xml:space="preserve"> gr. 433 (H 45 </w:t>
      </w:r>
      <w:r w:rsidRPr="007B0A20">
        <w:rPr>
          <w:rFonts w:ascii="Times New Roman" w:hAnsi="Times New Roman" w:cs="Times New Roman"/>
          <w:i/>
          <w:iCs/>
          <w:color w:val="0070C0"/>
          <w:sz w:val="24"/>
          <w:szCs w:val="24"/>
        </w:rPr>
        <w:t>Sup</w:t>
      </w:r>
      <w:r w:rsidRPr="007B0A20">
        <w:rPr>
          <w:rFonts w:ascii="Times New Roman" w:hAnsi="Times New Roman" w:cs="Times New Roman"/>
          <w:color w:val="0070C0"/>
          <w:sz w:val="24"/>
          <w:szCs w:val="24"/>
        </w:rPr>
        <w:t xml:space="preserve">.), </w:t>
      </w:r>
      <w:r w:rsidR="00463606" w:rsidRPr="007B0A20">
        <w:rPr>
          <w:rFonts w:ascii="Times New Roman" w:hAnsi="Times New Roman" w:cs="Times New Roman"/>
          <w:color w:val="0070C0"/>
          <w:sz w:val="24"/>
          <w:szCs w:val="24"/>
        </w:rPr>
        <w:t>the</w:t>
      </w:r>
      <w:r w:rsidRPr="007B0A20">
        <w:rPr>
          <w:rFonts w:ascii="Times New Roman" w:hAnsi="Times New Roman" w:cs="Times New Roman"/>
          <w:color w:val="0070C0"/>
          <w:sz w:val="24"/>
          <w:szCs w:val="24"/>
        </w:rPr>
        <w:t xml:space="preserve"> </w:t>
      </w:r>
      <w:proofErr w:type="spellStart"/>
      <w:r w:rsidRPr="007B0A20">
        <w:rPr>
          <w:rFonts w:ascii="Times New Roman" w:hAnsi="Times New Roman" w:cs="Times New Roman"/>
          <w:i/>
          <w:iCs/>
          <w:color w:val="0070C0"/>
          <w:sz w:val="24"/>
          <w:szCs w:val="24"/>
        </w:rPr>
        <w:lastRenderedPageBreak/>
        <w:t>Parisini</w:t>
      </w:r>
      <w:proofErr w:type="spellEnd"/>
      <w:r w:rsidRPr="007B0A20">
        <w:rPr>
          <w:rFonts w:ascii="Times New Roman" w:hAnsi="Times New Roman" w:cs="Times New Roman"/>
          <w:color w:val="0070C0"/>
          <w:sz w:val="24"/>
          <w:szCs w:val="24"/>
        </w:rPr>
        <w:t xml:space="preserve"> gr. 991 </w:t>
      </w:r>
      <w:r w:rsidR="008C2B90" w:rsidRPr="007B0A20">
        <w:rPr>
          <w:rFonts w:ascii="Times New Roman" w:hAnsi="Times New Roman" w:cs="Times New Roman"/>
          <w:color w:val="0070C0"/>
          <w:sz w:val="24"/>
          <w:szCs w:val="24"/>
        </w:rPr>
        <w:t>and</w:t>
      </w:r>
      <w:r w:rsidRPr="007B0A20">
        <w:rPr>
          <w:rFonts w:ascii="Times New Roman" w:hAnsi="Times New Roman" w:cs="Times New Roman"/>
          <w:color w:val="0070C0"/>
          <w:sz w:val="24"/>
          <w:szCs w:val="24"/>
        </w:rPr>
        <w:t xml:space="preserve"> 992. </w:t>
      </w:r>
      <w:r w:rsidR="008C2B90" w:rsidRPr="007B0A20">
        <w:rPr>
          <w:rFonts w:ascii="Times New Roman" w:hAnsi="Times New Roman" w:cs="Times New Roman"/>
          <w:color w:val="0070C0"/>
          <w:sz w:val="24"/>
          <w:szCs w:val="24"/>
        </w:rPr>
        <w:t xml:space="preserve">For further </w:t>
      </w:r>
      <w:r w:rsidR="000369F3" w:rsidRPr="007B0A20">
        <w:rPr>
          <w:rFonts w:ascii="Times New Roman" w:hAnsi="Times New Roman" w:cs="Times New Roman"/>
          <w:color w:val="0070C0"/>
          <w:sz w:val="24"/>
          <w:szCs w:val="24"/>
        </w:rPr>
        <w:t>discussion</w:t>
      </w:r>
      <w:r w:rsidR="008C2B90" w:rsidRPr="007B0A20">
        <w:rPr>
          <w:rFonts w:ascii="Times New Roman" w:hAnsi="Times New Roman" w:cs="Times New Roman"/>
          <w:color w:val="0070C0"/>
          <w:sz w:val="24"/>
          <w:szCs w:val="24"/>
        </w:rPr>
        <w:t xml:space="preserve"> o</w:t>
      </w:r>
      <w:r w:rsidR="000369F3" w:rsidRPr="007B0A20">
        <w:rPr>
          <w:rFonts w:ascii="Times New Roman" w:hAnsi="Times New Roman" w:cs="Times New Roman"/>
          <w:color w:val="0070C0"/>
          <w:sz w:val="24"/>
          <w:szCs w:val="24"/>
        </w:rPr>
        <w:t>f</w:t>
      </w:r>
      <w:r w:rsidR="008C2B90" w:rsidRPr="007B0A20">
        <w:rPr>
          <w:rFonts w:ascii="Times New Roman" w:hAnsi="Times New Roman" w:cs="Times New Roman"/>
          <w:color w:val="0070C0"/>
          <w:sz w:val="24"/>
          <w:szCs w:val="24"/>
        </w:rPr>
        <w:t xml:space="preserve"> the manuscript tradition, see</w:t>
      </w:r>
      <w:r w:rsidRPr="007B0A20">
        <w:rPr>
          <w:rFonts w:ascii="Times New Roman" w:hAnsi="Times New Roman" w:cs="Times New Roman"/>
          <w:color w:val="0070C0"/>
          <w:sz w:val="24"/>
          <w:szCs w:val="24"/>
        </w:rPr>
        <w:t xml:space="preserve"> Waltz, </w:t>
      </w:r>
      <w:r w:rsidRPr="007B0A20">
        <w:rPr>
          <w:rFonts w:ascii="Times New Roman" w:hAnsi="Times New Roman" w:cs="Times New Roman"/>
          <w:i/>
          <w:iCs/>
          <w:color w:val="0070C0"/>
          <w:sz w:val="24"/>
          <w:szCs w:val="24"/>
        </w:rPr>
        <w:t>op. cit</w:t>
      </w:r>
      <w:r w:rsidRPr="007B0A20">
        <w:rPr>
          <w:rFonts w:ascii="Times New Roman" w:hAnsi="Times New Roman" w:cs="Times New Roman"/>
          <w:color w:val="0070C0"/>
          <w:sz w:val="24"/>
          <w:szCs w:val="24"/>
        </w:rPr>
        <w:t>., pp. 3-10 e 32-33.</w:t>
      </w:r>
    </w:p>
    <w:p w14:paraId="3750FCEF" w14:textId="77777777" w:rsidR="00E34488" w:rsidRPr="00463606" w:rsidRDefault="00E34488" w:rsidP="008A5E16">
      <w:pPr>
        <w:spacing w:line="480" w:lineRule="auto"/>
        <w:rPr>
          <w:sz w:val="24"/>
          <w:szCs w:val="24"/>
        </w:rPr>
      </w:pPr>
    </w:p>
    <w:p w14:paraId="1692B832" w14:textId="15B11A94" w:rsidR="00E34488" w:rsidRPr="00463606" w:rsidRDefault="00E34488" w:rsidP="008A5E16">
      <w:pPr>
        <w:spacing w:line="480" w:lineRule="auto"/>
        <w:rPr>
          <w:sz w:val="24"/>
          <w:szCs w:val="24"/>
        </w:rPr>
      </w:pPr>
    </w:p>
    <w:p w14:paraId="46554D06" w14:textId="77777777" w:rsidR="00E34488" w:rsidRPr="00463606" w:rsidRDefault="00E34488" w:rsidP="008A5E16">
      <w:pPr>
        <w:spacing w:line="480" w:lineRule="auto"/>
        <w:rPr>
          <w:sz w:val="24"/>
          <w:szCs w:val="24"/>
        </w:rPr>
      </w:pPr>
    </w:p>
    <w:sectPr w:rsidR="00E34488" w:rsidRPr="004636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BE0EF" w14:textId="77777777" w:rsidR="00C95509" w:rsidRDefault="00C95509" w:rsidP="007B0A20">
      <w:pPr>
        <w:spacing w:after="0" w:line="240" w:lineRule="auto"/>
      </w:pPr>
      <w:r>
        <w:separator/>
      </w:r>
    </w:p>
  </w:endnote>
  <w:endnote w:type="continuationSeparator" w:id="0">
    <w:p w14:paraId="3BF2E747" w14:textId="77777777" w:rsidR="00C95509" w:rsidRDefault="00C95509" w:rsidP="007B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98562" w14:textId="77777777" w:rsidR="00C95509" w:rsidRDefault="00C95509" w:rsidP="007B0A20">
      <w:pPr>
        <w:spacing w:after="0" w:line="240" w:lineRule="auto"/>
      </w:pPr>
      <w:r>
        <w:separator/>
      </w:r>
    </w:p>
  </w:footnote>
  <w:footnote w:type="continuationSeparator" w:id="0">
    <w:p w14:paraId="73DF47FD" w14:textId="77777777" w:rsidR="00C95509" w:rsidRDefault="00C95509" w:rsidP="007B0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bQwNzcyMTc2MzVS0lEKTi0uzszPAykwrAUA2hIA2SwAAAA="/>
  </w:docVars>
  <w:rsids>
    <w:rsidRoot w:val="00B44026"/>
    <w:rsid w:val="000369F3"/>
    <w:rsid w:val="000E5091"/>
    <w:rsid w:val="00143C00"/>
    <w:rsid w:val="00463606"/>
    <w:rsid w:val="004D36AC"/>
    <w:rsid w:val="00556339"/>
    <w:rsid w:val="00564003"/>
    <w:rsid w:val="005C30E7"/>
    <w:rsid w:val="006C0AB5"/>
    <w:rsid w:val="007B0A20"/>
    <w:rsid w:val="007D2CE1"/>
    <w:rsid w:val="008A5E16"/>
    <w:rsid w:val="008C2B90"/>
    <w:rsid w:val="0090525E"/>
    <w:rsid w:val="00981EF6"/>
    <w:rsid w:val="009D717F"/>
    <w:rsid w:val="00AA6048"/>
    <w:rsid w:val="00B44026"/>
    <w:rsid w:val="00BE662B"/>
    <w:rsid w:val="00C95509"/>
    <w:rsid w:val="00E34488"/>
    <w:rsid w:val="00F06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9B91"/>
  <w15:docId w15:val="{2447882E-ECF1-8D41-83C0-4B2B1E15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uiPriority w:val="99"/>
    <w:semiHidden/>
    <w:unhideWhenUsed/>
    <w:rsid w:val="007B0A20"/>
    <w:rPr>
      <w:vertAlign w:val="superscript"/>
    </w:rPr>
  </w:style>
  <w:style w:type="paragraph" w:styleId="Nessunaspaziatura">
    <w:name w:val="No Spacing"/>
    <w:uiPriority w:val="1"/>
    <w:qFormat/>
    <w:rsid w:val="007B0A2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1723</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bercusson</dc:creator>
  <cp:lastModifiedBy>Enrico Cerroni</cp:lastModifiedBy>
  <cp:revision>2</cp:revision>
  <dcterms:created xsi:type="dcterms:W3CDTF">2021-05-26T09:03:00Z</dcterms:created>
  <dcterms:modified xsi:type="dcterms:W3CDTF">2021-05-26T09:03:00Z</dcterms:modified>
</cp:coreProperties>
</file>