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5969F" w14:textId="77777777" w:rsidR="009D5A8F" w:rsidRPr="00D9106B" w:rsidRDefault="004D7462" w:rsidP="00D9106B">
      <w:pPr>
        <w:pStyle w:val="Bodytext30"/>
        <w:shd w:val="clear" w:color="auto" w:fill="auto"/>
        <w:spacing w:line="240" w:lineRule="auto"/>
        <w:ind w:left="1020" w:right="4576"/>
        <w:rPr>
          <w:sz w:val="20"/>
          <w:szCs w:val="24"/>
          <w:lang w:val="en-US"/>
        </w:rPr>
      </w:pPr>
      <w:r w:rsidRPr="00D9106B">
        <w:rPr>
          <w:sz w:val="20"/>
          <w:szCs w:val="24"/>
          <w:lang w:val="en-US"/>
        </w:rPr>
        <w:t>Published by Giornale Italiano Malattie del Torace Italian Journal of Chest Diseases</w:t>
      </w:r>
    </w:p>
    <w:p w14:paraId="0EA03E1D" w14:textId="77777777" w:rsidR="009D5A8F" w:rsidRPr="00D9106B" w:rsidRDefault="004D7462" w:rsidP="00C178EC">
      <w:pPr>
        <w:pStyle w:val="Bodytext30"/>
        <w:shd w:val="clear" w:color="auto" w:fill="auto"/>
        <w:spacing w:line="240" w:lineRule="auto"/>
        <w:ind w:left="1020" w:right="0"/>
        <w:jc w:val="both"/>
        <w:rPr>
          <w:sz w:val="20"/>
          <w:szCs w:val="24"/>
          <w:lang w:val="en-US"/>
        </w:rPr>
      </w:pPr>
      <w:r w:rsidRPr="00D9106B">
        <w:rPr>
          <w:sz w:val="20"/>
          <w:szCs w:val="24"/>
          <w:lang w:val="en-US"/>
        </w:rPr>
        <w:t>Milan (Italy) Via Luca Comerio 5 - tel. +39 02/3495026</w:t>
      </w:r>
    </w:p>
    <w:p w14:paraId="347B84AD" w14:textId="77777777" w:rsidR="009D5A8F" w:rsidRPr="00D9106B" w:rsidRDefault="004D7462" w:rsidP="00C178EC">
      <w:pPr>
        <w:pStyle w:val="Bodytext30"/>
        <w:shd w:val="clear" w:color="auto" w:fill="auto"/>
        <w:spacing w:line="240" w:lineRule="auto"/>
        <w:ind w:left="1020" w:right="0"/>
        <w:jc w:val="both"/>
        <w:rPr>
          <w:sz w:val="20"/>
          <w:szCs w:val="24"/>
          <w:lang w:val="en-US"/>
        </w:rPr>
      </w:pPr>
      <w:r w:rsidRPr="00D9106B">
        <w:rPr>
          <w:sz w:val="20"/>
          <w:szCs w:val="24"/>
          <w:lang w:val="en-US"/>
        </w:rPr>
        <w:t>Vol. 43 - no. 5 - 1989, pages 372-374</w:t>
      </w:r>
    </w:p>
    <w:p w14:paraId="019DA5C9" w14:textId="77777777" w:rsidR="009D5A8F" w:rsidRPr="00326DB1" w:rsidRDefault="004D7462">
      <w:pPr>
        <w:pStyle w:val="Heading10"/>
        <w:keepNext/>
        <w:keepLines/>
        <w:shd w:val="clear" w:color="auto" w:fill="auto"/>
        <w:rPr>
          <w:sz w:val="24"/>
          <w:szCs w:val="24"/>
          <w:lang w:val="en-US"/>
        </w:rPr>
      </w:pPr>
      <w:bookmarkStart w:id="0" w:name="bookmark0"/>
      <w:r w:rsidRPr="00326DB1">
        <w:rPr>
          <w:sz w:val="24"/>
          <w:szCs w:val="24"/>
          <w:lang w:val="en-US"/>
        </w:rPr>
        <w:t>TREATMENT OF SPONTANEOUS PNEUMOTHORAX WITH A NARROW GAUGE TUBE</w:t>
      </w:r>
      <w:bookmarkEnd w:id="0"/>
    </w:p>
    <w:p w14:paraId="17EDC7B2" w14:textId="77777777" w:rsidR="009D5A8F" w:rsidRPr="00326DB1" w:rsidRDefault="004D7462">
      <w:pPr>
        <w:pStyle w:val="Heading20"/>
        <w:keepNext/>
        <w:keepLines/>
        <w:shd w:val="clear" w:color="auto" w:fill="auto"/>
        <w:rPr>
          <w:lang w:val="en-US"/>
        </w:rPr>
      </w:pPr>
      <w:bookmarkStart w:id="1" w:name="bookmark1"/>
      <w:r w:rsidRPr="00326DB1">
        <w:rPr>
          <w:lang w:val="en-US"/>
        </w:rPr>
        <w:t>S. Nardini, A. Rainer, G. Mantovan, L. Scaggiante</w:t>
      </w:r>
      <w:bookmarkEnd w:id="1"/>
    </w:p>
    <w:p w14:paraId="1812A992" w14:textId="77777777" w:rsidR="009D5A8F" w:rsidRPr="00326DB1" w:rsidRDefault="004D7462">
      <w:pPr>
        <w:pStyle w:val="BodyText"/>
        <w:shd w:val="clear" w:color="auto" w:fill="auto"/>
        <w:spacing w:line="226" w:lineRule="auto"/>
        <w:ind w:firstLine="0"/>
        <w:rPr>
          <w:sz w:val="24"/>
          <w:szCs w:val="24"/>
          <w:lang w:val="en-US"/>
        </w:rPr>
      </w:pPr>
      <w:r w:rsidRPr="00326DB1">
        <w:rPr>
          <w:sz w:val="24"/>
          <w:szCs w:val="24"/>
          <w:lang w:val="en-US"/>
        </w:rPr>
        <w:t>U.S.L. (Local Health Authority) 36 - Terraferma Veneziana, Ospedale Civile di Mestre</w:t>
      </w:r>
    </w:p>
    <w:p w14:paraId="1F0003F8" w14:textId="77777777" w:rsidR="009D5A8F" w:rsidRPr="00326DB1" w:rsidRDefault="004D7462">
      <w:pPr>
        <w:pStyle w:val="BodyText"/>
        <w:shd w:val="clear" w:color="auto" w:fill="auto"/>
        <w:spacing w:after="200" w:line="226" w:lineRule="auto"/>
        <w:ind w:firstLine="0"/>
        <w:rPr>
          <w:sz w:val="24"/>
          <w:szCs w:val="24"/>
          <w:lang w:val="en-US"/>
        </w:rPr>
      </w:pPr>
      <w:r w:rsidRPr="00326DB1">
        <w:rPr>
          <w:sz w:val="24"/>
          <w:szCs w:val="24"/>
          <w:lang w:val="en-US"/>
        </w:rPr>
        <w:t>Pneumology Department</w:t>
      </w:r>
    </w:p>
    <w:p w14:paraId="5EA50C95" w14:textId="67CB1A3D" w:rsidR="009D5A8F" w:rsidRPr="00326DB1" w:rsidRDefault="004D7462">
      <w:pPr>
        <w:pStyle w:val="BodyText"/>
        <w:shd w:val="clear" w:color="auto" w:fill="auto"/>
        <w:spacing w:after="200" w:line="226" w:lineRule="auto"/>
        <w:ind w:firstLine="0"/>
        <w:rPr>
          <w:sz w:val="24"/>
          <w:szCs w:val="24"/>
          <w:lang w:val="en-US"/>
        </w:rPr>
      </w:pPr>
      <w:r w:rsidRPr="00326DB1">
        <w:rPr>
          <w:b/>
          <w:sz w:val="24"/>
          <w:szCs w:val="24"/>
          <w:lang w:val="en-US"/>
        </w:rPr>
        <w:t xml:space="preserve">Summary </w:t>
      </w:r>
      <w:r w:rsidR="0073718A">
        <w:rPr>
          <w:b/>
          <w:sz w:val="24"/>
          <w:szCs w:val="24"/>
          <w:lang w:val="en-US"/>
        </w:rPr>
        <w:t xml:space="preserve">– </w:t>
      </w:r>
      <w:r w:rsidRPr="00326DB1">
        <w:rPr>
          <w:sz w:val="24"/>
          <w:szCs w:val="24"/>
          <w:lang w:val="en-US"/>
        </w:rPr>
        <w:t>Based on their statistical analysis of the clinical data relating to the different treatment methods used in 88 cases of spontaneous pneumothorax admitted to a Respiratory Department, the authors conclude that the use of a narrow gauge chest tube is at least as effective from a therapeutic and prognostic point of view as a large gauge tube. The latter are more traumatic and have a greater percentage of potential complications.</w:t>
      </w:r>
    </w:p>
    <w:p w14:paraId="7CE09D42" w14:textId="411C9D55" w:rsidR="009D5A8F" w:rsidRPr="00326DB1" w:rsidRDefault="004D7462">
      <w:pPr>
        <w:pStyle w:val="BodyText"/>
        <w:shd w:val="clear" w:color="auto" w:fill="auto"/>
        <w:spacing w:after="400" w:line="226" w:lineRule="auto"/>
        <w:ind w:firstLine="0"/>
        <w:rPr>
          <w:sz w:val="24"/>
          <w:szCs w:val="24"/>
          <w:lang w:val="en-US"/>
        </w:rPr>
      </w:pPr>
      <w:commentRangeStart w:id="2"/>
      <w:r w:rsidRPr="00326DB1">
        <w:rPr>
          <w:b/>
          <w:bCs/>
          <w:sz w:val="24"/>
          <w:szCs w:val="24"/>
          <w:lang w:val="en-US"/>
        </w:rPr>
        <w:t>Key words</w:t>
      </w:r>
      <w:r w:rsidRPr="00326DB1">
        <w:rPr>
          <w:sz w:val="24"/>
          <w:szCs w:val="24"/>
          <w:lang w:val="en-US"/>
        </w:rPr>
        <w:t xml:space="preserve"> </w:t>
      </w:r>
      <w:r w:rsidR="0073718A">
        <w:rPr>
          <w:b/>
          <w:sz w:val="24"/>
          <w:szCs w:val="24"/>
          <w:lang w:val="en-US"/>
        </w:rPr>
        <w:t>–</w:t>
      </w:r>
      <w:r w:rsidRPr="00326DB1">
        <w:rPr>
          <w:sz w:val="24"/>
          <w:szCs w:val="24"/>
          <w:lang w:val="en-US"/>
        </w:rPr>
        <w:t xml:space="preserve"> Pneumothorax (PNX), collapsed lung, surgical chest tube, chest drain, thoracic catheter, pleural catheter, narrow gauge tube</w:t>
      </w:r>
      <w:commentRangeEnd w:id="2"/>
      <w:r w:rsidR="00326DB1" w:rsidRPr="00326DB1">
        <w:rPr>
          <w:rStyle w:val="CommentReference"/>
          <w:rFonts w:ascii="Microsoft Sans Serif" w:eastAsia="Microsoft Sans Serif" w:hAnsi="Microsoft Sans Serif" w:cs="Microsoft Sans Serif"/>
          <w:sz w:val="24"/>
          <w:szCs w:val="24"/>
          <w:lang w:val="en-US"/>
        </w:rPr>
        <w:commentReference w:id="2"/>
      </w:r>
    </w:p>
    <w:p w14:paraId="4FFDEF80" w14:textId="1D20A294" w:rsidR="009D5A8F" w:rsidRDefault="009D5A8F">
      <w:pPr>
        <w:pStyle w:val="Heading30"/>
        <w:keepNext/>
        <w:keepLines/>
        <w:shd w:val="clear" w:color="auto" w:fill="auto"/>
        <w:rPr>
          <w:sz w:val="24"/>
          <w:szCs w:val="24"/>
          <w:lang w:val="en-US"/>
        </w:rPr>
      </w:pPr>
      <w:bookmarkStart w:id="3" w:name="bookmark2"/>
      <w:bookmarkEnd w:id="3"/>
    </w:p>
    <w:p w14:paraId="0809DB50" w14:textId="7D2F53D7" w:rsidR="00156F1B" w:rsidRDefault="00156F1B">
      <w:pPr>
        <w:pStyle w:val="Heading30"/>
        <w:keepNext/>
        <w:keepLines/>
        <w:shd w:val="clear" w:color="auto" w:fill="auto"/>
        <w:rPr>
          <w:sz w:val="24"/>
          <w:szCs w:val="24"/>
          <w:lang w:val="en-US"/>
        </w:rPr>
      </w:pPr>
    </w:p>
    <w:p w14:paraId="5BD9EB86" w14:textId="77777777" w:rsidR="009D5A8F" w:rsidRPr="00326DB1" w:rsidRDefault="009D5A8F">
      <w:pPr>
        <w:pStyle w:val="BodyText"/>
        <w:shd w:val="clear" w:color="auto" w:fill="auto"/>
        <w:spacing w:line="233" w:lineRule="auto"/>
        <w:ind w:firstLine="0"/>
        <w:rPr>
          <w:sz w:val="24"/>
          <w:szCs w:val="24"/>
          <w:lang w:val="en-US"/>
        </w:rPr>
      </w:pPr>
    </w:p>
    <w:p w14:paraId="522D4E58" w14:textId="77777777" w:rsidR="009D5A8F" w:rsidRPr="00326DB1" w:rsidRDefault="009D5A8F" w:rsidP="00326DB1">
      <w:pPr>
        <w:pStyle w:val="BodyText"/>
        <w:shd w:val="clear" w:color="auto" w:fill="auto"/>
        <w:spacing w:line="458" w:lineRule="auto"/>
        <w:ind w:firstLine="0"/>
        <w:rPr>
          <w:i/>
          <w:iCs/>
          <w:sz w:val="24"/>
          <w:szCs w:val="24"/>
          <w:lang w:val="en-US"/>
        </w:rPr>
        <w:sectPr w:rsidR="009D5A8F" w:rsidRPr="00326DB1" w:rsidSect="006106BA">
          <w:footerReference w:type="default" r:id="rId10"/>
          <w:pgSz w:w="11906" w:h="16838" w:code="9"/>
          <w:pgMar w:top="262" w:right="1287" w:bottom="1547" w:left="940" w:header="0" w:footer="3" w:gutter="0"/>
          <w:pgNumType w:start="372"/>
          <w:cols w:space="720"/>
          <w:noEndnote/>
          <w:docGrid w:linePitch="360"/>
        </w:sectPr>
      </w:pPr>
    </w:p>
    <w:p w14:paraId="2F235791" w14:textId="77777777" w:rsidR="009D5A8F" w:rsidRPr="00326DB1" w:rsidRDefault="009D5A8F">
      <w:pPr>
        <w:spacing w:line="14" w:lineRule="exact"/>
        <w:rPr>
          <w:lang w:val="en-US"/>
        </w:rPr>
        <w:sectPr w:rsidR="009D5A8F" w:rsidRPr="00326DB1" w:rsidSect="00C178EC">
          <w:type w:val="continuous"/>
          <w:pgSz w:w="11906" w:h="16838" w:code="9"/>
          <w:pgMar w:top="262" w:right="0" w:bottom="1419" w:left="0" w:header="0" w:footer="3" w:gutter="0"/>
          <w:cols w:space="720"/>
          <w:noEndnote/>
          <w:docGrid w:linePitch="360"/>
        </w:sectPr>
      </w:pPr>
    </w:p>
    <w:p w14:paraId="79E32818" w14:textId="77777777" w:rsidR="009D5A8F" w:rsidRPr="00326DB1" w:rsidRDefault="004D7462" w:rsidP="00326DB1">
      <w:pPr>
        <w:pStyle w:val="Heading40"/>
        <w:keepNext/>
        <w:keepLines/>
        <w:shd w:val="clear" w:color="auto" w:fill="auto"/>
        <w:rPr>
          <w:sz w:val="24"/>
          <w:szCs w:val="24"/>
          <w:lang w:val="en-US"/>
        </w:rPr>
      </w:pPr>
      <w:bookmarkStart w:id="4" w:name="bookmark3"/>
      <w:r w:rsidRPr="00326DB1">
        <w:rPr>
          <w:sz w:val="24"/>
          <w:szCs w:val="24"/>
          <w:lang w:val="en-US"/>
        </w:rPr>
        <w:t>Introduction</w:t>
      </w:r>
      <w:bookmarkEnd w:id="4"/>
    </w:p>
    <w:p w14:paraId="1A86196E" w14:textId="4BD2A4B9" w:rsidR="009D5A8F" w:rsidRPr="00326DB1" w:rsidRDefault="004D7462" w:rsidP="00326DB1">
      <w:pPr>
        <w:pStyle w:val="BodyText"/>
        <w:shd w:val="clear" w:color="auto" w:fill="auto"/>
        <w:rPr>
          <w:sz w:val="24"/>
          <w:szCs w:val="24"/>
          <w:lang w:val="en-US"/>
        </w:rPr>
      </w:pPr>
      <w:r w:rsidRPr="00326DB1">
        <w:rPr>
          <w:sz w:val="24"/>
          <w:szCs w:val="24"/>
          <w:lang w:val="en-US"/>
        </w:rPr>
        <w:t>Pneumothorax (PNX) is always a common occurrence in hospital practice and the frequency, particularly of secondary PNX, is constantly increasing. This seems to be due to the rise in road traffic accidents, increased drug use</w:t>
      </w:r>
      <w:r w:rsidR="00E938D6">
        <w:rPr>
          <w:sz w:val="24"/>
          <w:szCs w:val="24"/>
          <w:lang w:val="en-US"/>
        </w:rPr>
        <w:t>,</w:t>
      </w:r>
      <w:r w:rsidRPr="00326DB1">
        <w:rPr>
          <w:sz w:val="24"/>
          <w:szCs w:val="24"/>
          <w:lang w:val="en-US"/>
        </w:rPr>
        <w:t xml:space="preserve"> and greater number of invasive diagnostic and therapeutic procedures (1). It is, in fact, estimated, that the incidence varies from 1-6% in subclavian vein cannulation, from 1-5% in transbronchial biopsies</w:t>
      </w:r>
      <w:r w:rsidR="00E938D6">
        <w:rPr>
          <w:sz w:val="24"/>
          <w:szCs w:val="24"/>
          <w:lang w:val="en-US"/>
        </w:rPr>
        <w:t>,</w:t>
      </w:r>
      <w:r w:rsidRPr="00326DB1">
        <w:rPr>
          <w:sz w:val="24"/>
          <w:szCs w:val="24"/>
          <w:lang w:val="en-US"/>
        </w:rPr>
        <w:t xml:space="preserve"> and is about 30% in transparietal needle aspiration (2).</w:t>
      </w:r>
    </w:p>
    <w:p w14:paraId="258A5C6A" w14:textId="77777777" w:rsidR="009D5A8F" w:rsidRPr="00326DB1" w:rsidRDefault="004D7462" w:rsidP="00326DB1">
      <w:pPr>
        <w:pStyle w:val="BodyText"/>
        <w:shd w:val="clear" w:color="auto" w:fill="auto"/>
        <w:rPr>
          <w:sz w:val="24"/>
          <w:szCs w:val="24"/>
          <w:lang w:val="en-US"/>
        </w:rPr>
      </w:pPr>
      <w:r w:rsidRPr="00326DB1">
        <w:rPr>
          <w:sz w:val="24"/>
          <w:szCs w:val="24"/>
          <w:lang w:val="en-US"/>
        </w:rPr>
        <w:t>Nowadays, PNX, regardless of its cause, is treated with watchful waiting in the case of a small pneumothorax and with a chest drain if larger or characterized by positive pressure.</w:t>
      </w:r>
    </w:p>
    <w:p w14:paraId="480824FA" w14:textId="77777777" w:rsidR="009D5A8F" w:rsidRPr="00326DB1" w:rsidRDefault="004D7462" w:rsidP="00326DB1">
      <w:pPr>
        <w:pStyle w:val="BodyText"/>
        <w:shd w:val="clear" w:color="auto" w:fill="auto"/>
        <w:spacing w:after="200"/>
        <w:rPr>
          <w:sz w:val="24"/>
          <w:szCs w:val="24"/>
          <w:lang w:val="en-US"/>
        </w:rPr>
      </w:pPr>
      <w:r w:rsidRPr="00326DB1">
        <w:rPr>
          <w:sz w:val="24"/>
          <w:szCs w:val="24"/>
          <w:lang w:val="en-US"/>
        </w:rPr>
        <w:t xml:space="preserve">We </w:t>
      </w:r>
      <w:r w:rsidR="00326DB1" w:rsidRPr="00326DB1">
        <w:rPr>
          <w:sz w:val="24"/>
          <w:szCs w:val="24"/>
          <w:lang w:val="en-US"/>
        </w:rPr>
        <w:t>analyzed</w:t>
      </w:r>
      <w:r w:rsidRPr="00326DB1">
        <w:rPr>
          <w:sz w:val="24"/>
          <w:szCs w:val="24"/>
          <w:lang w:val="en-US"/>
        </w:rPr>
        <w:t xml:space="preserve"> cases of spontaneous pneumothorax admitted to our department in the last five years, particularly with regard to the treatment conducted and the results obtained.</w:t>
      </w:r>
    </w:p>
    <w:p w14:paraId="7B7F55D2" w14:textId="77777777" w:rsidR="009D5A8F" w:rsidRPr="00326DB1" w:rsidRDefault="004D7462" w:rsidP="00326DB1">
      <w:pPr>
        <w:pStyle w:val="Heading40"/>
        <w:keepNext/>
        <w:keepLines/>
        <w:shd w:val="clear" w:color="auto" w:fill="auto"/>
        <w:rPr>
          <w:sz w:val="24"/>
          <w:szCs w:val="24"/>
          <w:lang w:val="en-US"/>
        </w:rPr>
      </w:pPr>
      <w:bookmarkStart w:id="5" w:name="bookmark4"/>
      <w:r w:rsidRPr="00326DB1">
        <w:rPr>
          <w:sz w:val="24"/>
          <w:szCs w:val="24"/>
          <w:lang w:val="en-US"/>
        </w:rPr>
        <w:t>Material</w:t>
      </w:r>
      <w:r w:rsidR="00326DB1" w:rsidRPr="00326DB1">
        <w:rPr>
          <w:sz w:val="24"/>
          <w:szCs w:val="24"/>
          <w:lang w:val="en-US"/>
        </w:rPr>
        <w:t>s</w:t>
      </w:r>
      <w:r w:rsidRPr="00326DB1">
        <w:rPr>
          <w:sz w:val="24"/>
          <w:szCs w:val="24"/>
          <w:lang w:val="en-US"/>
        </w:rPr>
        <w:t xml:space="preserve"> and methods</w:t>
      </w:r>
      <w:bookmarkEnd w:id="5"/>
    </w:p>
    <w:p w14:paraId="5F0C52AC" w14:textId="77777777" w:rsidR="009D5A8F" w:rsidRPr="00326DB1" w:rsidRDefault="004D7462" w:rsidP="00326DB1">
      <w:pPr>
        <w:pStyle w:val="BodyText"/>
        <w:shd w:val="clear" w:color="auto" w:fill="auto"/>
        <w:rPr>
          <w:sz w:val="24"/>
          <w:szCs w:val="24"/>
          <w:lang w:val="en-US"/>
        </w:rPr>
      </w:pPr>
      <w:r w:rsidRPr="00326DB1">
        <w:rPr>
          <w:sz w:val="24"/>
          <w:szCs w:val="24"/>
          <w:lang w:val="en-US"/>
        </w:rPr>
        <w:t>The research featured patients admitted to our department in the last five years suffering from a spontaneous PNX.</w:t>
      </w:r>
    </w:p>
    <w:p w14:paraId="76CC7436" w14:textId="77777777" w:rsidR="009D5A8F" w:rsidRPr="00326DB1" w:rsidRDefault="004D7462" w:rsidP="00326DB1">
      <w:pPr>
        <w:pStyle w:val="BodyText"/>
        <w:shd w:val="clear" w:color="auto" w:fill="auto"/>
        <w:rPr>
          <w:sz w:val="24"/>
          <w:szCs w:val="24"/>
          <w:lang w:val="en-US"/>
        </w:rPr>
      </w:pPr>
      <w:r w:rsidRPr="00326DB1">
        <w:rPr>
          <w:sz w:val="24"/>
          <w:szCs w:val="24"/>
          <w:lang w:val="en-US"/>
        </w:rPr>
        <w:t>As far as treatment is concerned, watchful waiting is conducted, with complete bed rest, possibly supplemented by the prone posture to facilitate adhesion of the two pleural membranes.</w:t>
      </w:r>
    </w:p>
    <w:p w14:paraId="1C9332C1" w14:textId="77777777" w:rsidR="006106BA" w:rsidRPr="00326DB1" w:rsidRDefault="006106BA">
      <w:pPr>
        <w:pStyle w:val="BodyText"/>
        <w:shd w:val="clear" w:color="auto" w:fill="auto"/>
        <w:spacing w:line="226" w:lineRule="auto"/>
        <w:rPr>
          <w:sz w:val="24"/>
          <w:szCs w:val="24"/>
          <w:lang w:val="en-US"/>
        </w:rPr>
      </w:pPr>
    </w:p>
    <w:p w14:paraId="0647101F" w14:textId="77777777" w:rsidR="00156F1B" w:rsidRDefault="00156F1B" w:rsidP="00326DB1">
      <w:pPr>
        <w:pStyle w:val="BodyText"/>
        <w:shd w:val="clear" w:color="auto" w:fill="auto"/>
        <w:rPr>
          <w:sz w:val="24"/>
          <w:szCs w:val="24"/>
          <w:lang w:val="en-US"/>
        </w:rPr>
      </w:pPr>
    </w:p>
    <w:p w14:paraId="560EE8C2" w14:textId="58566AAB" w:rsidR="009D5A8F" w:rsidRPr="00326DB1" w:rsidRDefault="004D7462" w:rsidP="00326DB1">
      <w:pPr>
        <w:pStyle w:val="BodyText"/>
        <w:shd w:val="clear" w:color="auto" w:fill="auto"/>
        <w:rPr>
          <w:sz w:val="24"/>
          <w:szCs w:val="24"/>
          <w:lang w:val="en-US"/>
        </w:rPr>
      </w:pPr>
      <w:r w:rsidRPr="00326DB1">
        <w:rPr>
          <w:sz w:val="24"/>
          <w:szCs w:val="24"/>
          <w:lang w:val="en-US"/>
        </w:rPr>
        <w:t xml:space="preserve">Chest drainage is performed with a ‘surgical’ large gauge Argyle catheter or with a Matthys catheter (3) (manufactured by Plastimed, fig. 1). Both types of chest drain are inserted after preparation with intramuscular Atropine and local </w:t>
      </w:r>
      <w:r w:rsidR="00326DB1" w:rsidRPr="00326DB1">
        <w:rPr>
          <w:sz w:val="24"/>
          <w:szCs w:val="24"/>
          <w:lang w:val="en-US"/>
        </w:rPr>
        <w:t>anesthesia</w:t>
      </w:r>
      <w:r w:rsidRPr="00326DB1">
        <w:rPr>
          <w:sz w:val="24"/>
          <w:szCs w:val="24"/>
          <w:lang w:val="en-US"/>
        </w:rPr>
        <w:t xml:space="preserve"> with Carbocaine in an intercostal space between the third and sixth rib on the mid or anterior axillary line. In the case of Matthys, no surgical incision of the skin is required due to the small size of the instrument.</w:t>
      </w:r>
    </w:p>
    <w:p w14:paraId="150441BB" w14:textId="77777777" w:rsidR="009D5A8F" w:rsidRPr="00326DB1" w:rsidRDefault="004D7462" w:rsidP="00326DB1">
      <w:pPr>
        <w:pStyle w:val="BodyText"/>
        <w:shd w:val="clear" w:color="auto" w:fill="auto"/>
        <w:rPr>
          <w:sz w:val="24"/>
          <w:szCs w:val="24"/>
          <w:lang w:val="en-US"/>
        </w:rPr>
      </w:pPr>
      <w:r w:rsidRPr="00326DB1">
        <w:rPr>
          <w:sz w:val="24"/>
          <w:szCs w:val="24"/>
          <w:lang w:val="en-US"/>
        </w:rPr>
        <w:t>After inserting the drain, we connect the outer end, equipped with a three-way tap, with a tube ending in a sterile vessel, containing saline up to two centimeters above that end. A control x-ray is immediately conducted and the patient is started on broad-spectrum antibiotics.</w:t>
      </w:r>
    </w:p>
    <w:p w14:paraId="5F5A61F2" w14:textId="77777777" w:rsidR="009D5A8F" w:rsidRPr="00326DB1" w:rsidRDefault="004D7462" w:rsidP="00326DB1">
      <w:pPr>
        <w:pStyle w:val="BodyText"/>
        <w:shd w:val="clear" w:color="auto" w:fill="auto"/>
        <w:rPr>
          <w:sz w:val="24"/>
          <w:szCs w:val="24"/>
          <w:lang w:val="en-US"/>
        </w:rPr>
      </w:pPr>
      <w:r w:rsidRPr="00326DB1">
        <w:rPr>
          <w:sz w:val="24"/>
          <w:szCs w:val="24"/>
          <w:lang w:val="en-US"/>
        </w:rPr>
        <w:t>X-ray controls are repeated on clinical indication and in any case every 48 or 72 hours.</w:t>
      </w:r>
    </w:p>
    <w:p w14:paraId="296C77E7" w14:textId="77777777" w:rsidR="009D5A8F" w:rsidRPr="00326DB1" w:rsidRDefault="004D7462" w:rsidP="00326DB1">
      <w:pPr>
        <w:pStyle w:val="BodyText"/>
        <w:shd w:val="clear" w:color="auto" w:fill="auto"/>
        <w:rPr>
          <w:sz w:val="24"/>
          <w:szCs w:val="24"/>
          <w:lang w:val="en-US"/>
        </w:rPr>
      </w:pPr>
      <w:r w:rsidRPr="00326DB1">
        <w:rPr>
          <w:sz w:val="24"/>
          <w:szCs w:val="24"/>
          <w:lang w:val="en-US"/>
        </w:rPr>
        <w:t>Once the lung has completely re-inflated, the tube is closed for 24 hours. If healing continues, the tube is removed.</w:t>
      </w:r>
    </w:p>
    <w:p w14:paraId="41409D7A" w14:textId="6B063189" w:rsidR="00D07FDD" w:rsidRPr="00326DB1" w:rsidRDefault="004D7462" w:rsidP="00326DB1">
      <w:pPr>
        <w:pStyle w:val="BodyText"/>
        <w:shd w:val="clear" w:color="auto" w:fill="auto"/>
        <w:rPr>
          <w:sz w:val="24"/>
          <w:szCs w:val="24"/>
          <w:lang w:val="en-US"/>
        </w:rPr>
      </w:pPr>
      <w:r w:rsidRPr="00326DB1">
        <w:rPr>
          <w:sz w:val="24"/>
          <w:szCs w:val="24"/>
          <w:lang w:val="en-US"/>
        </w:rPr>
        <w:t xml:space="preserve">We </w:t>
      </w:r>
      <w:r w:rsidR="00326DB1" w:rsidRPr="00326DB1">
        <w:rPr>
          <w:sz w:val="24"/>
          <w:szCs w:val="24"/>
          <w:lang w:val="en-US"/>
        </w:rPr>
        <w:t>analyzed</w:t>
      </w:r>
      <w:r w:rsidRPr="00326DB1">
        <w:rPr>
          <w:sz w:val="24"/>
          <w:szCs w:val="24"/>
          <w:lang w:val="en-US"/>
        </w:rPr>
        <w:t xml:space="preserve"> the data relating to the type of treatment performed, comparing the results obtained, particularly in relation to the number of days until resolution, any complications</w:t>
      </w:r>
      <w:r w:rsidR="00E938D6">
        <w:rPr>
          <w:sz w:val="24"/>
          <w:szCs w:val="24"/>
          <w:lang w:val="en-US"/>
        </w:rPr>
        <w:t>,</w:t>
      </w:r>
      <w:r w:rsidRPr="00326DB1">
        <w:rPr>
          <w:sz w:val="24"/>
          <w:szCs w:val="24"/>
          <w:lang w:val="en-US"/>
        </w:rPr>
        <w:t xml:space="preserve"> and the number of relapses following hospitalization.</w:t>
      </w:r>
      <w:r w:rsidRPr="00326DB1">
        <w:rPr>
          <w:sz w:val="24"/>
          <w:szCs w:val="24"/>
          <w:lang w:val="en-US"/>
        </w:rPr>
        <w:br w:type="page"/>
      </w:r>
    </w:p>
    <w:p w14:paraId="66E632E0" w14:textId="77777777" w:rsidR="009D5A8F" w:rsidRPr="00326DB1" w:rsidRDefault="009D5A8F">
      <w:pPr>
        <w:pStyle w:val="BodyText"/>
        <w:shd w:val="clear" w:color="auto" w:fill="auto"/>
        <w:spacing w:line="226" w:lineRule="auto"/>
        <w:rPr>
          <w:sz w:val="24"/>
          <w:szCs w:val="24"/>
          <w:lang w:val="en-US"/>
        </w:rPr>
        <w:sectPr w:rsidR="009D5A8F" w:rsidRPr="00326DB1" w:rsidSect="006106BA">
          <w:type w:val="continuous"/>
          <w:pgSz w:w="11906" w:h="16838" w:code="9"/>
          <w:pgMar w:top="262" w:right="1287" w:bottom="1419" w:left="940" w:header="0" w:footer="2002" w:gutter="0"/>
          <w:cols w:num="2" w:space="208"/>
          <w:noEndnote/>
          <w:docGrid w:linePitch="360"/>
        </w:sectPr>
      </w:pPr>
    </w:p>
    <w:p w14:paraId="283AA83F" w14:textId="77777777" w:rsidR="00D07FDD" w:rsidRPr="00326DB1" w:rsidRDefault="00D07FDD" w:rsidP="00D07FDD">
      <w:pPr>
        <w:pStyle w:val="Heading40"/>
        <w:keepNext/>
        <w:keepLines/>
        <w:shd w:val="clear" w:color="auto" w:fill="auto"/>
        <w:rPr>
          <w:sz w:val="24"/>
          <w:szCs w:val="24"/>
          <w:lang w:val="en-US"/>
        </w:rPr>
      </w:pPr>
      <w:bookmarkStart w:id="6" w:name="bookmark5"/>
      <w:r w:rsidRPr="00326DB1">
        <w:rPr>
          <w:sz w:val="24"/>
          <w:szCs w:val="24"/>
          <w:lang w:val="en-US"/>
        </w:rPr>
        <w:lastRenderedPageBreak/>
        <w:t>Results</w:t>
      </w:r>
      <w:bookmarkEnd w:id="6"/>
    </w:p>
    <w:p w14:paraId="6D554FCD" w14:textId="77777777" w:rsidR="00D07FDD" w:rsidRPr="00326DB1" w:rsidRDefault="00D07FDD" w:rsidP="00326DB1">
      <w:pPr>
        <w:pStyle w:val="BodyText"/>
        <w:shd w:val="clear" w:color="auto" w:fill="auto"/>
        <w:rPr>
          <w:sz w:val="24"/>
          <w:szCs w:val="24"/>
          <w:lang w:val="en-US"/>
        </w:rPr>
      </w:pPr>
      <w:r w:rsidRPr="00326DB1">
        <w:rPr>
          <w:sz w:val="24"/>
          <w:szCs w:val="24"/>
          <w:lang w:val="en-US"/>
        </w:rPr>
        <w:t xml:space="preserve">The results obtained are shown in tables 1, 2, 3, 4, and 5. Table 1 shows the characteristics of the population studied. Treatment type is </w:t>
      </w:r>
      <w:r w:rsidR="00326DB1" w:rsidRPr="00326DB1">
        <w:rPr>
          <w:sz w:val="24"/>
          <w:szCs w:val="24"/>
          <w:lang w:val="en-US"/>
        </w:rPr>
        <w:t>analyzed</w:t>
      </w:r>
      <w:r w:rsidRPr="00326DB1">
        <w:rPr>
          <w:sz w:val="24"/>
          <w:szCs w:val="24"/>
          <w:lang w:val="en-US"/>
        </w:rPr>
        <w:t xml:space="preserve"> in table 2.</w:t>
      </w:r>
    </w:p>
    <w:p w14:paraId="7CE36048" w14:textId="77777777" w:rsidR="00D07FDD" w:rsidRPr="00326DB1" w:rsidRDefault="00D07FDD" w:rsidP="00326DB1">
      <w:pPr>
        <w:pStyle w:val="BodyText"/>
        <w:shd w:val="clear" w:color="auto" w:fill="auto"/>
        <w:rPr>
          <w:sz w:val="24"/>
          <w:szCs w:val="24"/>
          <w:lang w:val="en-US"/>
        </w:rPr>
      </w:pPr>
      <w:r w:rsidRPr="00326DB1">
        <w:rPr>
          <w:sz w:val="24"/>
          <w:szCs w:val="24"/>
          <w:lang w:val="en-US"/>
        </w:rPr>
        <w:t>Table 3 shows the number of days until resolution of pneumothorax for each type of treatment performed. This table features fewer cases compared to the total, as for 14 patients it was not possible to accurately establish the time the pathological process took to resolve. Table 4 records the number and type of complication observed, whilst table 5 shows the total number of relapses observed within one year of hospitalization.</w:t>
      </w:r>
    </w:p>
    <w:p w14:paraId="39F1B141" w14:textId="77777777" w:rsidR="00D07FDD" w:rsidRPr="00326DB1" w:rsidRDefault="00D07FDD" w:rsidP="00326DB1">
      <w:pPr>
        <w:pStyle w:val="BodyText"/>
        <w:shd w:val="clear" w:color="auto" w:fill="auto"/>
        <w:rPr>
          <w:sz w:val="24"/>
          <w:szCs w:val="24"/>
          <w:lang w:val="en-US"/>
        </w:rPr>
      </w:pPr>
      <w:r w:rsidRPr="00326DB1">
        <w:rPr>
          <w:sz w:val="24"/>
          <w:szCs w:val="24"/>
          <w:lang w:val="en-US"/>
        </w:rPr>
        <w:t>Comparisons were made between the various treatments and statistically significant results are shown in bold.</w:t>
      </w:r>
    </w:p>
    <w:p w14:paraId="0829D146" w14:textId="77777777" w:rsidR="00D07FDD" w:rsidRPr="00326DB1" w:rsidRDefault="00D07FDD" w:rsidP="00326DB1">
      <w:pPr>
        <w:pStyle w:val="BodyText"/>
        <w:shd w:val="clear" w:color="auto" w:fill="auto"/>
        <w:rPr>
          <w:sz w:val="24"/>
          <w:szCs w:val="24"/>
          <w:lang w:val="en-US"/>
        </w:rPr>
      </w:pPr>
      <w:r w:rsidRPr="00326DB1">
        <w:rPr>
          <w:sz w:val="24"/>
          <w:szCs w:val="24"/>
          <w:lang w:val="en-US"/>
        </w:rPr>
        <w:t>As you can see, there are no significant differences between the various treatments in terms of the number of complications and relapses.</w:t>
      </w:r>
    </w:p>
    <w:p w14:paraId="474E28EB" w14:textId="77777777" w:rsidR="00D07FDD" w:rsidRPr="00326DB1" w:rsidRDefault="00326DB1" w:rsidP="00326DB1">
      <w:pPr>
        <w:pStyle w:val="BodyText"/>
        <w:shd w:val="clear" w:color="auto" w:fill="auto"/>
        <w:rPr>
          <w:sz w:val="24"/>
          <w:szCs w:val="24"/>
          <w:lang w:val="en-US"/>
        </w:rPr>
      </w:pPr>
      <w:r>
        <w:rPr>
          <w:sz w:val="24"/>
          <w:szCs w:val="24"/>
          <w:lang w:val="en-US"/>
        </w:rPr>
        <w:t>T</w:t>
      </w:r>
      <w:r w:rsidR="00D07FDD" w:rsidRPr="00326DB1">
        <w:rPr>
          <w:sz w:val="24"/>
          <w:szCs w:val="24"/>
          <w:lang w:val="en-US"/>
        </w:rPr>
        <w:t>he number of days taken for resolution of the pneumothorax were</w:t>
      </w:r>
      <w:r>
        <w:rPr>
          <w:sz w:val="24"/>
          <w:szCs w:val="24"/>
          <w:lang w:val="en-US"/>
        </w:rPr>
        <w:t>, however,</w:t>
      </w:r>
      <w:r w:rsidR="00D07FDD" w:rsidRPr="00326DB1">
        <w:rPr>
          <w:sz w:val="24"/>
          <w:szCs w:val="24"/>
          <w:lang w:val="en-US"/>
        </w:rPr>
        <w:t xml:space="preserve"> significantly reduced using the Matthys catheter compared to the two other methods. Whilst this result is easy to explain when compared to watchful waiting,</w:t>
      </w:r>
    </w:p>
    <w:p w14:paraId="1C84ABF2" w14:textId="77777777" w:rsidR="00D07FDD" w:rsidRPr="00326DB1" w:rsidRDefault="00D07FDD" w:rsidP="00326DB1">
      <w:pPr>
        <w:pStyle w:val="BodyText"/>
        <w:shd w:val="clear" w:color="auto" w:fill="auto"/>
        <w:rPr>
          <w:sz w:val="24"/>
          <w:szCs w:val="24"/>
          <w:lang w:val="en-US"/>
        </w:rPr>
      </w:pPr>
    </w:p>
    <w:tbl>
      <w:tblPr>
        <w:tblpPr w:leftFromText="180" w:rightFromText="180" w:vertAnchor="text" w:horzAnchor="margin" w:tblpY="193"/>
        <w:tblW w:w="4929" w:type="dxa"/>
        <w:tblLayout w:type="fixed"/>
        <w:tblCellMar>
          <w:left w:w="10" w:type="dxa"/>
          <w:right w:w="10" w:type="dxa"/>
        </w:tblCellMar>
        <w:tblLook w:val="0000" w:firstRow="0" w:lastRow="0" w:firstColumn="0" w:lastColumn="0" w:noHBand="0" w:noVBand="0"/>
      </w:tblPr>
      <w:tblGrid>
        <w:gridCol w:w="683"/>
        <w:gridCol w:w="978"/>
        <w:gridCol w:w="797"/>
        <w:gridCol w:w="529"/>
        <w:gridCol w:w="663"/>
        <w:gridCol w:w="603"/>
        <w:gridCol w:w="676"/>
      </w:tblGrid>
      <w:tr w:rsidR="00D07FDD" w:rsidRPr="009B002C" w14:paraId="2D1B1EF1" w14:textId="77777777" w:rsidTr="009B002C">
        <w:trPr>
          <w:trHeight w:hRule="exact" w:val="289"/>
        </w:trPr>
        <w:tc>
          <w:tcPr>
            <w:tcW w:w="4929" w:type="dxa"/>
            <w:gridSpan w:val="7"/>
            <w:tcBorders>
              <w:top w:val="single" w:sz="4" w:space="0" w:color="auto"/>
            </w:tcBorders>
            <w:shd w:val="clear" w:color="auto" w:fill="FFFFFF"/>
          </w:tcPr>
          <w:p w14:paraId="28C51DF6" w14:textId="4A6B8579" w:rsidR="00D07FDD" w:rsidRPr="009B002C" w:rsidRDefault="00D07FDD" w:rsidP="009B002C">
            <w:pPr>
              <w:pStyle w:val="Other0"/>
              <w:shd w:val="clear" w:color="auto" w:fill="auto"/>
              <w:ind w:firstLine="0"/>
              <w:jc w:val="left"/>
              <w:rPr>
                <w:szCs w:val="24"/>
                <w:lang w:val="en-US"/>
              </w:rPr>
            </w:pPr>
            <w:r w:rsidRPr="009B002C">
              <w:rPr>
                <w:szCs w:val="24"/>
                <w:lang w:val="en-US"/>
              </w:rPr>
              <w:t xml:space="preserve">Table 1 </w:t>
            </w:r>
            <w:r w:rsidR="0073718A" w:rsidRPr="0073718A">
              <w:rPr>
                <w:rFonts w:eastAsia="Microsoft Sans Serif"/>
                <w:sz w:val="16"/>
                <w:szCs w:val="24"/>
                <w:lang w:val="en-US"/>
              </w:rPr>
              <w:t>–</w:t>
            </w:r>
            <w:r w:rsidRPr="009B002C">
              <w:rPr>
                <w:szCs w:val="24"/>
                <w:lang w:val="en-US"/>
              </w:rPr>
              <w:t xml:space="preserve"> Cases by age and sex.</w:t>
            </w:r>
          </w:p>
        </w:tc>
      </w:tr>
      <w:tr w:rsidR="00D07FDD" w:rsidRPr="009B002C" w14:paraId="46A94F85" w14:textId="77777777" w:rsidTr="00D07FDD">
        <w:trPr>
          <w:trHeight w:hRule="exact" w:val="429"/>
        </w:trPr>
        <w:tc>
          <w:tcPr>
            <w:tcW w:w="683" w:type="dxa"/>
            <w:tcBorders>
              <w:top w:val="single" w:sz="4" w:space="0" w:color="auto"/>
            </w:tcBorders>
            <w:shd w:val="clear" w:color="auto" w:fill="FFFFFF"/>
          </w:tcPr>
          <w:p w14:paraId="047EBC5A" w14:textId="77777777" w:rsidR="00D07FDD" w:rsidRPr="009B002C" w:rsidRDefault="00D07FDD" w:rsidP="00D07FDD">
            <w:pPr>
              <w:rPr>
                <w:sz w:val="20"/>
                <w:lang w:val="en-US"/>
              </w:rPr>
            </w:pPr>
          </w:p>
        </w:tc>
        <w:tc>
          <w:tcPr>
            <w:tcW w:w="978" w:type="dxa"/>
            <w:tcBorders>
              <w:top w:val="single" w:sz="4" w:space="0" w:color="auto"/>
            </w:tcBorders>
            <w:shd w:val="clear" w:color="auto" w:fill="FFFFFF"/>
            <w:vAlign w:val="center"/>
          </w:tcPr>
          <w:p w14:paraId="0D0C7009" w14:textId="77777777" w:rsidR="00D07FDD" w:rsidRPr="009B002C" w:rsidRDefault="00D07FDD" w:rsidP="00D07FDD">
            <w:pPr>
              <w:pStyle w:val="Other0"/>
              <w:shd w:val="clear" w:color="auto" w:fill="auto"/>
              <w:ind w:right="180" w:firstLine="0"/>
              <w:jc w:val="right"/>
              <w:rPr>
                <w:szCs w:val="24"/>
                <w:lang w:val="en-US"/>
              </w:rPr>
            </w:pPr>
            <w:r w:rsidRPr="009B002C">
              <w:rPr>
                <w:szCs w:val="24"/>
                <w:lang w:val="en-US"/>
              </w:rPr>
              <w:t>20</w:t>
            </w:r>
          </w:p>
        </w:tc>
        <w:tc>
          <w:tcPr>
            <w:tcW w:w="797" w:type="dxa"/>
            <w:tcBorders>
              <w:top w:val="single" w:sz="4" w:space="0" w:color="auto"/>
            </w:tcBorders>
            <w:shd w:val="clear" w:color="auto" w:fill="FFFFFF"/>
            <w:vAlign w:val="center"/>
          </w:tcPr>
          <w:p w14:paraId="3132CA9C"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21-30</w:t>
            </w:r>
          </w:p>
        </w:tc>
        <w:tc>
          <w:tcPr>
            <w:tcW w:w="529" w:type="dxa"/>
            <w:tcBorders>
              <w:top w:val="single" w:sz="4" w:space="0" w:color="auto"/>
            </w:tcBorders>
            <w:shd w:val="clear" w:color="auto" w:fill="FFFFFF"/>
            <w:vAlign w:val="center"/>
          </w:tcPr>
          <w:p w14:paraId="04938523" w14:textId="77777777" w:rsidR="00D07FDD" w:rsidRPr="009B002C" w:rsidRDefault="00D07FDD" w:rsidP="00D07FDD">
            <w:pPr>
              <w:pStyle w:val="Other0"/>
              <w:shd w:val="clear" w:color="auto" w:fill="auto"/>
              <w:ind w:left="20" w:firstLine="0"/>
              <w:jc w:val="center"/>
              <w:rPr>
                <w:szCs w:val="24"/>
                <w:lang w:val="en-US"/>
              </w:rPr>
            </w:pPr>
            <w:r w:rsidRPr="009B002C">
              <w:rPr>
                <w:szCs w:val="24"/>
                <w:lang w:val="en-US"/>
              </w:rPr>
              <w:t>31-50</w:t>
            </w:r>
          </w:p>
        </w:tc>
        <w:tc>
          <w:tcPr>
            <w:tcW w:w="663" w:type="dxa"/>
            <w:tcBorders>
              <w:top w:val="single" w:sz="4" w:space="0" w:color="auto"/>
            </w:tcBorders>
            <w:shd w:val="clear" w:color="auto" w:fill="FFFFFF"/>
            <w:vAlign w:val="center"/>
          </w:tcPr>
          <w:p w14:paraId="2A67479D"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51-70</w:t>
            </w:r>
          </w:p>
        </w:tc>
        <w:tc>
          <w:tcPr>
            <w:tcW w:w="603" w:type="dxa"/>
            <w:tcBorders>
              <w:top w:val="single" w:sz="4" w:space="0" w:color="auto"/>
            </w:tcBorders>
            <w:shd w:val="clear" w:color="auto" w:fill="FFFFFF"/>
            <w:vAlign w:val="center"/>
          </w:tcPr>
          <w:p w14:paraId="573318D7"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&gt;71</w:t>
            </w:r>
          </w:p>
        </w:tc>
        <w:tc>
          <w:tcPr>
            <w:tcW w:w="676" w:type="dxa"/>
            <w:tcBorders>
              <w:top w:val="single" w:sz="4" w:space="0" w:color="auto"/>
            </w:tcBorders>
            <w:shd w:val="clear" w:color="auto" w:fill="FFFFFF"/>
            <w:vAlign w:val="center"/>
          </w:tcPr>
          <w:p w14:paraId="5E4CE2E5"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Tot.</w:t>
            </w:r>
          </w:p>
        </w:tc>
      </w:tr>
      <w:tr w:rsidR="00D07FDD" w:rsidRPr="009B002C" w14:paraId="57E06DEF" w14:textId="77777777" w:rsidTr="00D07FDD">
        <w:trPr>
          <w:trHeight w:hRule="exact" w:val="281"/>
        </w:trPr>
        <w:tc>
          <w:tcPr>
            <w:tcW w:w="683" w:type="dxa"/>
            <w:tcBorders>
              <w:top w:val="single" w:sz="4" w:space="0" w:color="auto"/>
            </w:tcBorders>
            <w:shd w:val="clear" w:color="auto" w:fill="FFFFFF"/>
            <w:vAlign w:val="bottom"/>
          </w:tcPr>
          <w:p w14:paraId="685C8378" w14:textId="77777777" w:rsidR="00D07FDD" w:rsidRPr="009B002C" w:rsidRDefault="00D07FDD" w:rsidP="00D07FDD">
            <w:pPr>
              <w:pStyle w:val="Other0"/>
              <w:shd w:val="clear" w:color="auto" w:fill="auto"/>
              <w:ind w:firstLine="0"/>
              <w:jc w:val="left"/>
              <w:rPr>
                <w:szCs w:val="24"/>
                <w:lang w:val="en-US"/>
              </w:rPr>
            </w:pPr>
            <w:r w:rsidRPr="009B002C">
              <w:rPr>
                <w:szCs w:val="24"/>
                <w:lang w:val="en-US"/>
              </w:rPr>
              <w:t>M</w:t>
            </w:r>
          </w:p>
        </w:tc>
        <w:tc>
          <w:tcPr>
            <w:tcW w:w="978" w:type="dxa"/>
            <w:tcBorders>
              <w:top w:val="single" w:sz="4" w:space="0" w:color="auto"/>
            </w:tcBorders>
            <w:shd w:val="clear" w:color="auto" w:fill="FFFFFF"/>
            <w:vAlign w:val="bottom"/>
          </w:tcPr>
          <w:p w14:paraId="402C90D9" w14:textId="77777777" w:rsidR="00D07FDD" w:rsidRPr="009B002C" w:rsidRDefault="00D07FDD" w:rsidP="00D07FDD">
            <w:pPr>
              <w:pStyle w:val="Other0"/>
              <w:shd w:val="clear" w:color="auto" w:fill="auto"/>
              <w:ind w:right="180" w:firstLine="0"/>
              <w:jc w:val="right"/>
              <w:rPr>
                <w:szCs w:val="24"/>
                <w:lang w:val="en-US"/>
              </w:rPr>
            </w:pPr>
            <w:r w:rsidRPr="009B002C">
              <w:rPr>
                <w:szCs w:val="24"/>
                <w:lang w:val="en-US"/>
              </w:rPr>
              <w:t>9</w:t>
            </w:r>
          </w:p>
        </w:tc>
        <w:tc>
          <w:tcPr>
            <w:tcW w:w="797" w:type="dxa"/>
            <w:tcBorders>
              <w:top w:val="single" w:sz="4" w:space="0" w:color="auto"/>
            </w:tcBorders>
            <w:shd w:val="clear" w:color="auto" w:fill="FFFFFF"/>
            <w:vAlign w:val="bottom"/>
          </w:tcPr>
          <w:p w14:paraId="08BDB126"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15</w:t>
            </w:r>
          </w:p>
        </w:tc>
        <w:tc>
          <w:tcPr>
            <w:tcW w:w="529" w:type="dxa"/>
            <w:tcBorders>
              <w:top w:val="single" w:sz="4" w:space="0" w:color="auto"/>
            </w:tcBorders>
            <w:shd w:val="clear" w:color="auto" w:fill="FFFFFF"/>
            <w:vAlign w:val="bottom"/>
          </w:tcPr>
          <w:p w14:paraId="7041A9E3" w14:textId="77777777" w:rsidR="00D07FDD" w:rsidRPr="009B002C" w:rsidRDefault="00D07FDD" w:rsidP="00D07FDD">
            <w:pPr>
              <w:pStyle w:val="Other0"/>
              <w:shd w:val="clear" w:color="auto" w:fill="auto"/>
              <w:ind w:left="20" w:firstLine="0"/>
              <w:jc w:val="center"/>
              <w:rPr>
                <w:szCs w:val="24"/>
                <w:lang w:val="en-US"/>
              </w:rPr>
            </w:pPr>
            <w:r w:rsidRPr="009B002C">
              <w:rPr>
                <w:szCs w:val="24"/>
                <w:lang w:val="en-US"/>
              </w:rPr>
              <w:t>17</w:t>
            </w:r>
          </w:p>
        </w:tc>
        <w:tc>
          <w:tcPr>
            <w:tcW w:w="663" w:type="dxa"/>
            <w:tcBorders>
              <w:top w:val="single" w:sz="4" w:space="0" w:color="auto"/>
            </w:tcBorders>
            <w:shd w:val="clear" w:color="auto" w:fill="FFFFFF"/>
            <w:vAlign w:val="bottom"/>
          </w:tcPr>
          <w:p w14:paraId="221F5451"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17</w:t>
            </w:r>
          </w:p>
        </w:tc>
        <w:tc>
          <w:tcPr>
            <w:tcW w:w="603" w:type="dxa"/>
            <w:tcBorders>
              <w:top w:val="single" w:sz="4" w:space="0" w:color="auto"/>
            </w:tcBorders>
            <w:shd w:val="clear" w:color="auto" w:fill="FFFFFF"/>
            <w:vAlign w:val="bottom"/>
          </w:tcPr>
          <w:p w14:paraId="26F25BCD"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7</w:t>
            </w:r>
          </w:p>
        </w:tc>
        <w:tc>
          <w:tcPr>
            <w:tcW w:w="676" w:type="dxa"/>
            <w:tcBorders>
              <w:top w:val="single" w:sz="4" w:space="0" w:color="auto"/>
            </w:tcBorders>
            <w:shd w:val="clear" w:color="auto" w:fill="FFFFFF"/>
            <w:vAlign w:val="bottom"/>
          </w:tcPr>
          <w:p w14:paraId="3AB8A00A"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65</w:t>
            </w:r>
          </w:p>
        </w:tc>
      </w:tr>
      <w:tr w:rsidR="00D07FDD" w:rsidRPr="009B002C" w14:paraId="52E404A8" w14:textId="77777777" w:rsidTr="00D07FDD">
        <w:trPr>
          <w:trHeight w:hRule="exact" w:val="321"/>
        </w:trPr>
        <w:tc>
          <w:tcPr>
            <w:tcW w:w="683" w:type="dxa"/>
            <w:shd w:val="clear" w:color="auto" w:fill="FFFFFF"/>
          </w:tcPr>
          <w:p w14:paraId="57E63C8B" w14:textId="77777777" w:rsidR="00D07FDD" w:rsidRPr="009B002C" w:rsidRDefault="00D07FDD" w:rsidP="00D07FDD">
            <w:pPr>
              <w:pStyle w:val="Other0"/>
              <w:shd w:val="clear" w:color="auto" w:fill="auto"/>
              <w:ind w:firstLine="0"/>
              <w:jc w:val="left"/>
              <w:rPr>
                <w:szCs w:val="24"/>
                <w:lang w:val="en-US"/>
              </w:rPr>
            </w:pPr>
            <w:r w:rsidRPr="009B002C">
              <w:rPr>
                <w:szCs w:val="24"/>
                <w:lang w:val="en-US"/>
              </w:rPr>
              <w:t>F</w:t>
            </w:r>
          </w:p>
        </w:tc>
        <w:tc>
          <w:tcPr>
            <w:tcW w:w="978" w:type="dxa"/>
            <w:shd w:val="clear" w:color="auto" w:fill="FFFFFF"/>
          </w:tcPr>
          <w:p w14:paraId="36AD8EB7" w14:textId="77777777" w:rsidR="00D07FDD" w:rsidRPr="009B002C" w:rsidRDefault="00D07FDD" w:rsidP="00D07FDD">
            <w:pPr>
              <w:pStyle w:val="Other0"/>
              <w:shd w:val="clear" w:color="auto" w:fill="auto"/>
              <w:ind w:right="180" w:firstLine="0"/>
              <w:jc w:val="right"/>
              <w:rPr>
                <w:szCs w:val="24"/>
                <w:lang w:val="en-US"/>
              </w:rPr>
            </w:pPr>
            <w:r w:rsidRPr="009B002C">
              <w:rPr>
                <w:szCs w:val="24"/>
                <w:lang w:val="en-US"/>
              </w:rPr>
              <w:t>7</w:t>
            </w:r>
          </w:p>
        </w:tc>
        <w:tc>
          <w:tcPr>
            <w:tcW w:w="797" w:type="dxa"/>
            <w:shd w:val="clear" w:color="auto" w:fill="FFFFFF"/>
          </w:tcPr>
          <w:p w14:paraId="3B48E3BD"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8</w:t>
            </w:r>
          </w:p>
        </w:tc>
        <w:tc>
          <w:tcPr>
            <w:tcW w:w="529" w:type="dxa"/>
            <w:shd w:val="clear" w:color="auto" w:fill="FFFFFF"/>
          </w:tcPr>
          <w:p w14:paraId="76559AA8"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6</w:t>
            </w:r>
          </w:p>
        </w:tc>
        <w:tc>
          <w:tcPr>
            <w:tcW w:w="663" w:type="dxa"/>
            <w:shd w:val="clear" w:color="auto" w:fill="FFFFFF"/>
          </w:tcPr>
          <w:p w14:paraId="4D1B066F"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2</w:t>
            </w:r>
          </w:p>
        </w:tc>
        <w:tc>
          <w:tcPr>
            <w:tcW w:w="603" w:type="dxa"/>
            <w:shd w:val="clear" w:color="auto" w:fill="FFFFFF"/>
          </w:tcPr>
          <w:p w14:paraId="20D29D47"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0</w:t>
            </w:r>
          </w:p>
        </w:tc>
        <w:tc>
          <w:tcPr>
            <w:tcW w:w="676" w:type="dxa"/>
            <w:shd w:val="clear" w:color="auto" w:fill="FFFFFF"/>
          </w:tcPr>
          <w:p w14:paraId="4AE8752C"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23</w:t>
            </w:r>
          </w:p>
        </w:tc>
      </w:tr>
      <w:tr w:rsidR="00D07FDD" w:rsidRPr="009B002C" w14:paraId="030406E2" w14:textId="77777777" w:rsidTr="00D07FDD">
        <w:trPr>
          <w:trHeight w:hRule="exact" w:val="449"/>
        </w:trPr>
        <w:tc>
          <w:tcPr>
            <w:tcW w:w="683" w:type="dxa"/>
            <w:tcBorders>
              <w:top w:val="single" w:sz="4" w:space="0" w:color="auto"/>
              <w:bottom w:val="single" w:sz="4" w:space="0" w:color="auto"/>
            </w:tcBorders>
            <w:shd w:val="clear" w:color="auto" w:fill="FFFFFF"/>
            <w:vAlign w:val="center"/>
          </w:tcPr>
          <w:p w14:paraId="10937B8C" w14:textId="77777777" w:rsidR="00D07FDD" w:rsidRPr="009B002C" w:rsidRDefault="00D07FDD" w:rsidP="00D07FDD">
            <w:pPr>
              <w:pStyle w:val="Other0"/>
              <w:shd w:val="clear" w:color="auto" w:fill="auto"/>
              <w:ind w:firstLine="0"/>
              <w:jc w:val="left"/>
              <w:rPr>
                <w:szCs w:val="24"/>
                <w:lang w:val="en-US"/>
              </w:rPr>
            </w:pPr>
            <w:r w:rsidRPr="009B002C">
              <w:rPr>
                <w:szCs w:val="24"/>
                <w:lang w:val="en-US"/>
              </w:rPr>
              <w:t>Tot.</w:t>
            </w:r>
          </w:p>
        </w:tc>
        <w:tc>
          <w:tcPr>
            <w:tcW w:w="978" w:type="dxa"/>
            <w:tcBorders>
              <w:top w:val="single" w:sz="4" w:space="0" w:color="auto"/>
              <w:bottom w:val="single" w:sz="4" w:space="0" w:color="auto"/>
            </w:tcBorders>
            <w:shd w:val="clear" w:color="auto" w:fill="FFFFFF"/>
            <w:vAlign w:val="center"/>
          </w:tcPr>
          <w:p w14:paraId="04F76D86" w14:textId="77777777" w:rsidR="00D07FDD" w:rsidRPr="009B002C" w:rsidRDefault="00D07FDD" w:rsidP="00D07FDD">
            <w:pPr>
              <w:pStyle w:val="Other0"/>
              <w:shd w:val="clear" w:color="auto" w:fill="auto"/>
              <w:ind w:right="180" w:firstLine="0"/>
              <w:jc w:val="right"/>
              <w:rPr>
                <w:szCs w:val="24"/>
                <w:lang w:val="en-US"/>
              </w:rPr>
            </w:pPr>
            <w:r w:rsidRPr="009B002C">
              <w:rPr>
                <w:szCs w:val="24"/>
                <w:lang w:val="en-US"/>
              </w:rPr>
              <w:t>16</w:t>
            </w:r>
          </w:p>
        </w:tc>
        <w:tc>
          <w:tcPr>
            <w:tcW w:w="797" w:type="dxa"/>
            <w:tcBorders>
              <w:top w:val="single" w:sz="4" w:space="0" w:color="auto"/>
              <w:bottom w:val="single" w:sz="4" w:space="0" w:color="auto"/>
            </w:tcBorders>
            <w:shd w:val="clear" w:color="auto" w:fill="FFFFFF"/>
            <w:vAlign w:val="center"/>
          </w:tcPr>
          <w:p w14:paraId="233161FB"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23</w:t>
            </w:r>
          </w:p>
        </w:tc>
        <w:tc>
          <w:tcPr>
            <w:tcW w:w="529" w:type="dxa"/>
            <w:tcBorders>
              <w:top w:val="single" w:sz="4" w:space="0" w:color="auto"/>
              <w:bottom w:val="single" w:sz="4" w:space="0" w:color="auto"/>
            </w:tcBorders>
            <w:shd w:val="clear" w:color="auto" w:fill="FFFFFF"/>
            <w:vAlign w:val="center"/>
          </w:tcPr>
          <w:p w14:paraId="3888ABC8" w14:textId="77777777" w:rsidR="00D07FDD" w:rsidRPr="009B002C" w:rsidRDefault="00D07FDD" w:rsidP="00D07FDD">
            <w:pPr>
              <w:pStyle w:val="Other0"/>
              <w:shd w:val="clear" w:color="auto" w:fill="auto"/>
              <w:ind w:left="80" w:firstLine="0"/>
              <w:jc w:val="center"/>
              <w:rPr>
                <w:szCs w:val="24"/>
                <w:lang w:val="en-US"/>
              </w:rPr>
            </w:pPr>
            <w:r w:rsidRPr="009B002C">
              <w:rPr>
                <w:szCs w:val="24"/>
                <w:lang w:val="en-US"/>
              </w:rPr>
              <w:t>23</w:t>
            </w:r>
          </w:p>
        </w:tc>
        <w:tc>
          <w:tcPr>
            <w:tcW w:w="663" w:type="dxa"/>
            <w:tcBorders>
              <w:top w:val="single" w:sz="4" w:space="0" w:color="auto"/>
              <w:bottom w:val="single" w:sz="4" w:space="0" w:color="auto"/>
            </w:tcBorders>
            <w:shd w:val="clear" w:color="auto" w:fill="FFFFFF"/>
            <w:vAlign w:val="center"/>
          </w:tcPr>
          <w:p w14:paraId="6E32EA13"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19</w:t>
            </w:r>
          </w:p>
        </w:tc>
        <w:tc>
          <w:tcPr>
            <w:tcW w:w="603" w:type="dxa"/>
            <w:tcBorders>
              <w:top w:val="single" w:sz="4" w:space="0" w:color="auto"/>
              <w:bottom w:val="single" w:sz="4" w:space="0" w:color="auto"/>
            </w:tcBorders>
            <w:shd w:val="clear" w:color="auto" w:fill="FFFFFF"/>
            <w:vAlign w:val="center"/>
          </w:tcPr>
          <w:p w14:paraId="324AD39D"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7</w:t>
            </w:r>
          </w:p>
        </w:tc>
        <w:tc>
          <w:tcPr>
            <w:tcW w:w="676" w:type="dxa"/>
            <w:tcBorders>
              <w:top w:val="single" w:sz="4" w:space="0" w:color="auto"/>
              <w:bottom w:val="single" w:sz="4" w:space="0" w:color="auto"/>
            </w:tcBorders>
            <w:shd w:val="clear" w:color="auto" w:fill="FFFFFF"/>
            <w:vAlign w:val="center"/>
          </w:tcPr>
          <w:p w14:paraId="7BA4F97C"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88</w:t>
            </w:r>
          </w:p>
        </w:tc>
      </w:tr>
    </w:tbl>
    <w:p w14:paraId="4C88B0E4" w14:textId="19EC551E" w:rsidR="00D07FDD" w:rsidRDefault="00D07FDD">
      <w:pPr>
        <w:spacing w:line="360" w:lineRule="exact"/>
        <w:rPr>
          <w:lang w:val="en-US"/>
        </w:rPr>
      </w:pPr>
    </w:p>
    <w:p w14:paraId="1A8A116E" w14:textId="77777777" w:rsidR="0073718A" w:rsidRDefault="0073718A">
      <w:pPr>
        <w:spacing w:line="360" w:lineRule="exact"/>
        <w:rPr>
          <w:lang w:val="en-US"/>
        </w:rPr>
      </w:pPr>
    </w:p>
    <w:p w14:paraId="48264083" w14:textId="23379A96" w:rsidR="00D07FDD" w:rsidRPr="009B002C" w:rsidRDefault="00D07FDD" w:rsidP="00D07FDD">
      <w:pPr>
        <w:pBdr>
          <w:top w:val="single" w:sz="4" w:space="1" w:color="auto"/>
        </w:pBdr>
        <w:rPr>
          <w:rFonts w:ascii="Times New Roman" w:hAnsi="Times New Roman" w:cs="Times New Roman"/>
          <w:sz w:val="20"/>
          <w:lang w:val="en-US"/>
        </w:rPr>
      </w:pPr>
      <w:r w:rsidRPr="009B002C">
        <w:rPr>
          <w:rFonts w:ascii="Times New Roman" w:hAnsi="Times New Roman"/>
          <w:sz w:val="20"/>
          <w:lang w:val="en-US"/>
        </w:rPr>
        <w:t xml:space="preserve">Table 2 </w:t>
      </w:r>
      <w:r w:rsidR="0073718A" w:rsidRPr="0073718A">
        <w:rPr>
          <w:rFonts w:ascii="Times New Roman" w:hAnsi="Times New Roman" w:cs="Times New Roman"/>
          <w:sz w:val="16"/>
          <w:lang w:val="en-US"/>
        </w:rPr>
        <w:t>–</w:t>
      </w:r>
      <w:r w:rsidRPr="0073718A">
        <w:rPr>
          <w:rFonts w:ascii="Times New Roman" w:hAnsi="Times New Roman" w:cs="Times New Roman"/>
          <w:sz w:val="16"/>
          <w:lang w:val="en-US"/>
        </w:rPr>
        <w:t xml:space="preserve"> </w:t>
      </w:r>
      <w:r w:rsidRPr="009B002C">
        <w:rPr>
          <w:rFonts w:ascii="Times New Roman" w:hAnsi="Times New Roman"/>
          <w:sz w:val="20"/>
          <w:lang w:val="en-US"/>
        </w:rPr>
        <w:t>Treatment types.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750"/>
        <w:gridCol w:w="883"/>
        <w:gridCol w:w="978"/>
        <w:gridCol w:w="1216"/>
      </w:tblGrid>
      <w:tr w:rsidR="009B002C" w:rsidRPr="009B002C" w14:paraId="09753BD5" w14:textId="77777777" w:rsidTr="009B002C">
        <w:tc>
          <w:tcPr>
            <w:tcW w:w="1750" w:type="dxa"/>
            <w:tcBorders>
              <w:top w:val="single" w:sz="4" w:space="0" w:color="auto"/>
              <w:left w:val="nil"/>
              <w:bottom w:val="nil"/>
            </w:tcBorders>
          </w:tcPr>
          <w:p w14:paraId="7E85AA0B" w14:textId="77777777" w:rsidR="009B002C" w:rsidRPr="009B002C" w:rsidRDefault="009B002C" w:rsidP="00D07FDD">
            <w:pPr>
              <w:rPr>
                <w:rFonts w:ascii="Times New Roman" w:hAnsi="Times New Roman" w:cs="Times New Roman"/>
                <w:sz w:val="20"/>
                <w:lang w:val="en-US"/>
              </w:rPr>
            </w:pPr>
            <w:r w:rsidRPr="009B002C">
              <w:rPr>
                <w:rFonts w:ascii="Times New Roman" w:hAnsi="Times New Roman"/>
                <w:sz w:val="20"/>
                <w:lang w:val="en-US"/>
              </w:rPr>
              <w:t>MATTHYS</w:t>
            </w:r>
          </w:p>
        </w:tc>
        <w:tc>
          <w:tcPr>
            <w:tcW w:w="883" w:type="dxa"/>
          </w:tcPr>
          <w:p w14:paraId="68D95AA2" w14:textId="77777777" w:rsidR="009B002C" w:rsidRPr="009B002C" w:rsidRDefault="009B002C" w:rsidP="00D07FDD">
            <w:pPr>
              <w:jc w:val="right"/>
              <w:rPr>
                <w:rFonts w:ascii="Times New Roman" w:hAnsi="Times New Roman"/>
                <w:sz w:val="20"/>
                <w:lang w:val="en-US"/>
              </w:rPr>
            </w:pPr>
          </w:p>
        </w:tc>
        <w:tc>
          <w:tcPr>
            <w:tcW w:w="978" w:type="dxa"/>
          </w:tcPr>
          <w:p w14:paraId="7576F5C1" w14:textId="77777777" w:rsidR="009B002C" w:rsidRPr="009B002C" w:rsidRDefault="009B002C" w:rsidP="00D07FDD">
            <w:pPr>
              <w:jc w:val="right"/>
              <w:rPr>
                <w:rFonts w:ascii="Times New Roman" w:hAnsi="Times New Roman" w:cs="Times New Roman"/>
                <w:sz w:val="20"/>
                <w:lang w:val="en-US"/>
              </w:rPr>
            </w:pPr>
            <w:r w:rsidRPr="009B002C">
              <w:rPr>
                <w:rFonts w:ascii="Times New Roman" w:hAnsi="Times New Roman"/>
                <w:sz w:val="20"/>
                <w:lang w:val="en-US"/>
              </w:rPr>
              <w:t>27</w:t>
            </w:r>
          </w:p>
        </w:tc>
        <w:tc>
          <w:tcPr>
            <w:tcW w:w="1216" w:type="dxa"/>
            <w:tcBorders>
              <w:top w:val="single" w:sz="4" w:space="0" w:color="auto"/>
              <w:bottom w:val="nil"/>
              <w:right w:val="nil"/>
            </w:tcBorders>
          </w:tcPr>
          <w:p w14:paraId="6FBEE572" w14:textId="77777777" w:rsidR="009B002C" w:rsidRPr="009B002C" w:rsidRDefault="009B002C" w:rsidP="00D07FDD">
            <w:pPr>
              <w:jc w:val="center"/>
              <w:rPr>
                <w:rFonts w:ascii="Times New Roman" w:hAnsi="Times New Roman" w:cs="Times New Roman"/>
                <w:sz w:val="20"/>
                <w:lang w:val="en-US"/>
              </w:rPr>
            </w:pPr>
            <w:r w:rsidRPr="009B002C">
              <w:rPr>
                <w:rFonts w:ascii="Times New Roman" w:hAnsi="Times New Roman"/>
                <w:sz w:val="20"/>
                <w:lang w:val="en-US"/>
              </w:rPr>
              <w:t>(30.7%)</w:t>
            </w:r>
          </w:p>
        </w:tc>
      </w:tr>
      <w:tr w:rsidR="009B002C" w:rsidRPr="009B002C" w14:paraId="05D665E8" w14:textId="77777777" w:rsidTr="009B002C">
        <w:tc>
          <w:tcPr>
            <w:tcW w:w="1750" w:type="dxa"/>
            <w:tcBorders>
              <w:top w:val="nil"/>
              <w:left w:val="nil"/>
              <w:bottom w:val="nil"/>
            </w:tcBorders>
          </w:tcPr>
          <w:p w14:paraId="7184FFC4" w14:textId="77777777" w:rsidR="009B002C" w:rsidRPr="009B002C" w:rsidRDefault="009B002C" w:rsidP="00D07FDD">
            <w:pPr>
              <w:rPr>
                <w:rFonts w:ascii="Times New Roman" w:hAnsi="Times New Roman" w:cs="Times New Roman"/>
                <w:sz w:val="20"/>
                <w:lang w:val="en-US"/>
              </w:rPr>
            </w:pPr>
            <w:r w:rsidRPr="009B002C">
              <w:rPr>
                <w:rFonts w:ascii="Times New Roman" w:hAnsi="Times New Roman"/>
                <w:sz w:val="20"/>
                <w:lang w:val="en-US"/>
              </w:rPr>
              <w:t>ARGYLE</w:t>
            </w:r>
          </w:p>
        </w:tc>
        <w:tc>
          <w:tcPr>
            <w:tcW w:w="883" w:type="dxa"/>
          </w:tcPr>
          <w:p w14:paraId="1654F48C" w14:textId="77777777" w:rsidR="009B002C" w:rsidRPr="009B002C" w:rsidRDefault="009B002C" w:rsidP="00D07FDD">
            <w:pPr>
              <w:jc w:val="right"/>
              <w:rPr>
                <w:rFonts w:ascii="Times New Roman" w:hAnsi="Times New Roman"/>
                <w:sz w:val="20"/>
                <w:lang w:val="en-US"/>
              </w:rPr>
            </w:pPr>
          </w:p>
        </w:tc>
        <w:tc>
          <w:tcPr>
            <w:tcW w:w="978" w:type="dxa"/>
          </w:tcPr>
          <w:p w14:paraId="54365987" w14:textId="77777777" w:rsidR="009B002C" w:rsidRPr="009B002C" w:rsidRDefault="009B002C" w:rsidP="00D07FDD">
            <w:pPr>
              <w:jc w:val="right"/>
              <w:rPr>
                <w:rFonts w:ascii="Times New Roman" w:hAnsi="Times New Roman" w:cs="Times New Roman"/>
                <w:sz w:val="20"/>
                <w:lang w:val="en-US"/>
              </w:rPr>
            </w:pPr>
            <w:r w:rsidRPr="009B002C">
              <w:rPr>
                <w:rFonts w:ascii="Times New Roman" w:hAnsi="Times New Roman"/>
                <w:sz w:val="20"/>
                <w:lang w:val="en-US"/>
              </w:rPr>
              <w:t>21</w:t>
            </w:r>
          </w:p>
        </w:tc>
        <w:tc>
          <w:tcPr>
            <w:tcW w:w="1216" w:type="dxa"/>
            <w:tcBorders>
              <w:top w:val="nil"/>
              <w:bottom w:val="nil"/>
              <w:right w:val="nil"/>
            </w:tcBorders>
          </w:tcPr>
          <w:p w14:paraId="44157280" w14:textId="77777777" w:rsidR="009B002C" w:rsidRPr="009B002C" w:rsidRDefault="009B002C" w:rsidP="00D07FDD">
            <w:pPr>
              <w:jc w:val="center"/>
              <w:rPr>
                <w:rFonts w:ascii="Times New Roman" w:hAnsi="Times New Roman" w:cs="Times New Roman"/>
                <w:sz w:val="20"/>
                <w:lang w:val="en-US"/>
              </w:rPr>
            </w:pPr>
            <w:r w:rsidRPr="009B002C">
              <w:rPr>
                <w:rFonts w:ascii="Times New Roman" w:hAnsi="Times New Roman"/>
                <w:sz w:val="20"/>
                <w:lang w:val="en-US"/>
              </w:rPr>
              <w:t>(23.9%)</w:t>
            </w:r>
          </w:p>
        </w:tc>
      </w:tr>
      <w:tr w:rsidR="009B002C" w:rsidRPr="009B002C" w14:paraId="1CAE5115" w14:textId="77777777" w:rsidTr="009B002C">
        <w:tc>
          <w:tcPr>
            <w:tcW w:w="1750" w:type="dxa"/>
            <w:tcBorders>
              <w:top w:val="nil"/>
              <w:left w:val="nil"/>
              <w:bottom w:val="nil"/>
            </w:tcBorders>
          </w:tcPr>
          <w:p w14:paraId="0D101AC0" w14:textId="77777777" w:rsidR="009B002C" w:rsidRPr="009B002C" w:rsidRDefault="009B002C" w:rsidP="00D07FDD">
            <w:pPr>
              <w:rPr>
                <w:rFonts w:ascii="Times New Roman" w:hAnsi="Times New Roman" w:cs="Times New Roman"/>
                <w:sz w:val="20"/>
                <w:lang w:val="en-US"/>
              </w:rPr>
            </w:pPr>
            <w:r w:rsidRPr="009B002C">
              <w:rPr>
                <w:rFonts w:ascii="Times New Roman" w:hAnsi="Times New Roman"/>
                <w:sz w:val="20"/>
                <w:lang w:val="en-US"/>
              </w:rPr>
              <w:t>CONSERVATIVE</w:t>
            </w:r>
          </w:p>
        </w:tc>
        <w:tc>
          <w:tcPr>
            <w:tcW w:w="883" w:type="dxa"/>
          </w:tcPr>
          <w:p w14:paraId="3DDEE455" w14:textId="77777777" w:rsidR="009B002C" w:rsidRPr="009B002C" w:rsidRDefault="009B002C" w:rsidP="00D07FDD">
            <w:pPr>
              <w:jc w:val="right"/>
              <w:rPr>
                <w:rFonts w:ascii="Times New Roman" w:hAnsi="Times New Roman"/>
                <w:sz w:val="20"/>
                <w:lang w:val="en-US"/>
              </w:rPr>
            </w:pPr>
          </w:p>
        </w:tc>
        <w:tc>
          <w:tcPr>
            <w:tcW w:w="978" w:type="dxa"/>
          </w:tcPr>
          <w:p w14:paraId="2AEA6DA4" w14:textId="77777777" w:rsidR="009B002C" w:rsidRPr="009B002C" w:rsidRDefault="009B002C" w:rsidP="00D07FDD">
            <w:pPr>
              <w:jc w:val="right"/>
              <w:rPr>
                <w:rFonts w:ascii="Times New Roman" w:hAnsi="Times New Roman" w:cs="Times New Roman"/>
                <w:sz w:val="20"/>
                <w:lang w:val="en-US"/>
              </w:rPr>
            </w:pPr>
            <w:r w:rsidRPr="009B002C">
              <w:rPr>
                <w:rFonts w:ascii="Times New Roman" w:hAnsi="Times New Roman"/>
                <w:sz w:val="20"/>
                <w:lang w:val="en-US"/>
              </w:rPr>
              <w:t>36</w:t>
            </w:r>
          </w:p>
        </w:tc>
        <w:tc>
          <w:tcPr>
            <w:tcW w:w="1216" w:type="dxa"/>
            <w:tcBorders>
              <w:top w:val="nil"/>
              <w:bottom w:val="nil"/>
              <w:right w:val="nil"/>
            </w:tcBorders>
          </w:tcPr>
          <w:p w14:paraId="7E7D0178" w14:textId="77777777" w:rsidR="009B002C" w:rsidRPr="009B002C" w:rsidRDefault="009B002C" w:rsidP="00D07FDD">
            <w:pPr>
              <w:jc w:val="center"/>
              <w:rPr>
                <w:rFonts w:ascii="Times New Roman" w:hAnsi="Times New Roman" w:cs="Times New Roman"/>
                <w:sz w:val="20"/>
                <w:lang w:val="en-US"/>
              </w:rPr>
            </w:pPr>
            <w:r w:rsidRPr="009B002C">
              <w:rPr>
                <w:rFonts w:ascii="Times New Roman" w:hAnsi="Times New Roman"/>
                <w:sz w:val="20"/>
                <w:lang w:val="en-US"/>
              </w:rPr>
              <w:t>(40.9%)</w:t>
            </w:r>
          </w:p>
        </w:tc>
      </w:tr>
      <w:tr w:rsidR="009B002C" w:rsidRPr="009B002C" w14:paraId="797FEE5E" w14:textId="77777777" w:rsidTr="009B002C">
        <w:trPr>
          <w:trHeight w:val="378"/>
        </w:trPr>
        <w:tc>
          <w:tcPr>
            <w:tcW w:w="1750" w:type="dxa"/>
            <w:tcBorders>
              <w:top w:val="nil"/>
              <w:left w:val="nil"/>
              <w:bottom w:val="single" w:sz="4" w:space="0" w:color="auto"/>
            </w:tcBorders>
          </w:tcPr>
          <w:p w14:paraId="6669491A" w14:textId="77777777" w:rsidR="009B002C" w:rsidRPr="009B002C" w:rsidRDefault="009B002C" w:rsidP="00D07FDD">
            <w:pPr>
              <w:rPr>
                <w:rFonts w:ascii="Times New Roman" w:hAnsi="Times New Roman" w:cs="Times New Roman"/>
                <w:sz w:val="20"/>
                <w:lang w:val="en-US"/>
              </w:rPr>
            </w:pPr>
            <w:r w:rsidRPr="009B002C">
              <w:rPr>
                <w:rFonts w:ascii="Times New Roman" w:hAnsi="Times New Roman"/>
                <w:sz w:val="20"/>
                <w:lang w:val="en-US"/>
              </w:rPr>
              <w:t>COMBINED</w:t>
            </w:r>
          </w:p>
        </w:tc>
        <w:tc>
          <w:tcPr>
            <w:tcW w:w="883" w:type="dxa"/>
          </w:tcPr>
          <w:p w14:paraId="7026464E" w14:textId="77777777" w:rsidR="009B002C" w:rsidRPr="009B002C" w:rsidRDefault="009B002C" w:rsidP="00D07FDD">
            <w:pPr>
              <w:jc w:val="right"/>
              <w:rPr>
                <w:rFonts w:ascii="Times New Roman" w:hAnsi="Times New Roman"/>
                <w:sz w:val="20"/>
                <w:lang w:val="en-US"/>
              </w:rPr>
            </w:pPr>
          </w:p>
        </w:tc>
        <w:tc>
          <w:tcPr>
            <w:tcW w:w="978" w:type="dxa"/>
          </w:tcPr>
          <w:p w14:paraId="076412B4" w14:textId="77777777" w:rsidR="009B002C" w:rsidRPr="009B002C" w:rsidRDefault="009B002C" w:rsidP="00D07FDD">
            <w:pPr>
              <w:jc w:val="right"/>
              <w:rPr>
                <w:rFonts w:ascii="Times New Roman" w:hAnsi="Times New Roman" w:cs="Times New Roman"/>
                <w:sz w:val="20"/>
                <w:lang w:val="en-US"/>
              </w:rPr>
            </w:pPr>
            <w:r w:rsidRPr="009B002C">
              <w:rPr>
                <w:rFonts w:ascii="Times New Roman" w:hAnsi="Times New Roman"/>
                <w:sz w:val="20"/>
                <w:lang w:val="en-US"/>
              </w:rPr>
              <w:t>4</w:t>
            </w:r>
          </w:p>
        </w:tc>
        <w:tc>
          <w:tcPr>
            <w:tcW w:w="1216" w:type="dxa"/>
            <w:tcBorders>
              <w:top w:val="nil"/>
              <w:bottom w:val="single" w:sz="4" w:space="0" w:color="auto"/>
              <w:right w:val="nil"/>
            </w:tcBorders>
          </w:tcPr>
          <w:p w14:paraId="252E3A51" w14:textId="77777777" w:rsidR="009B002C" w:rsidRPr="009B002C" w:rsidRDefault="009B002C" w:rsidP="00D07FDD">
            <w:pPr>
              <w:jc w:val="center"/>
              <w:rPr>
                <w:rFonts w:ascii="Times New Roman" w:hAnsi="Times New Roman" w:cs="Times New Roman"/>
                <w:sz w:val="20"/>
                <w:lang w:val="en-US"/>
              </w:rPr>
            </w:pPr>
            <w:r w:rsidRPr="009B002C">
              <w:rPr>
                <w:rFonts w:ascii="Times New Roman" w:hAnsi="Times New Roman"/>
                <w:sz w:val="20"/>
                <w:lang w:val="en-US"/>
              </w:rPr>
              <w:t>(4.5%)</w:t>
            </w:r>
          </w:p>
        </w:tc>
      </w:tr>
    </w:tbl>
    <w:p w14:paraId="3BE88E26" w14:textId="77777777" w:rsidR="00D07FDD" w:rsidRPr="00326DB1" w:rsidRDefault="00D07FDD" w:rsidP="00D07FDD">
      <w:pPr>
        <w:rPr>
          <w:rFonts w:ascii="Times New Roman" w:hAnsi="Times New Roman" w:cs="Times New Roman"/>
          <w:i/>
          <w:lang w:val="en-US"/>
        </w:rPr>
      </w:pPr>
    </w:p>
    <w:p w14:paraId="63A22756" w14:textId="77777777" w:rsidR="00D07FDD" w:rsidRDefault="00D07FDD" w:rsidP="00D07FDD">
      <w:pPr>
        <w:rPr>
          <w:rFonts w:ascii="Times New Roman" w:hAnsi="Times New Roman" w:cs="Times New Roman"/>
          <w:i/>
          <w:lang w:val="en-US"/>
        </w:rPr>
      </w:pPr>
    </w:p>
    <w:p w14:paraId="52FA381D" w14:textId="3E04E218" w:rsidR="00D07FDD" w:rsidRPr="009B002C" w:rsidRDefault="00D07FDD" w:rsidP="00D07FDD">
      <w:pPr>
        <w:pBdr>
          <w:top w:val="single" w:sz="4" w:space="1" w:color="auto"/>
        </w:pBdr>
        <w:rPr>
          <w:rFonts w:ascii="Times New Roman" w:hAnsi="Times New Roman" w:cs="Times New Roman"/>
          <w:sz w:val="20"/>
          <w:lang w:val="en-US"/>
        </w:rPr>
      </w:pPr>
      <w:r w:rsidRPr="009B002C">
        <w:rPr>
          <w:rFonts w:ascii="Times New Roman" w:hAnsi="Times New Roman"/>
          <w:sz w:val="20"/>
          <w:lang w:val="en-US"/>
        </w:rPr>
        <w:t>Table 3</w:t>
      </w:r>
      <w:r w:rsidRPr="0073718A">
        <w:rPr>
          <w:rFonts w:ascii="Times New Roman" w:hAnsi="Times New Roman" w:cs="Times New Roman"/>
          <w:sz w:val="16"/>
          <w:lang w:val="en-US"/>
        </w:rPr>
        <w:t xml:space="preserve"> </w:t>
      </w:r>
      <w:r w:rsidR="0073718A" w:rsidRPr="0073718A">
        <w:rPr>
          <w:rFonts w:ascii="Times New Roman" w:hAnsi="Times New Roman" w:cs="Times New Roman"/>
          <w:b/>
          <w:sz w:val="20"/>
          <w:lang w:val="en-US"/>
        </w:rPr>
        <w:t>–</w:t>
      </w:r>
      <w:r w:rsidRPr="0073718A">
        <w:rPr>
          <w:rFonts w:ascii="Times New Roman" w:hAnsi="Times New Roman"/>
          <w:sz w:val="16"/>
          <w:lang w:val="en-US"/>
        </w:rPr>
        <w:t xml:space="preserve"> </w:t>
      </w:r>
      <w:r w:rsidRPr="009B002C">
        <w:rPr>
          <w:rFonts w:ascii="Times New Roman" w:hAnsi="Times New Roman"/>
          <w:sz w:val="20"/>
          <w:lang w:val="en-US"/>
        </w:rPr>
        <w:t xml:space="preserve">Days for resolution by treatment type 2 = 34.0278 (signif.) p &lt;0.01. </w:t>
      </w:r>
    </w:p>
    <w:tbl>
      <w:tblPr>
        <w:tblpPr w:leftFromText="180" w:rightFromText="180" w:vertAnchor="text" w:horzAnchor="margin" w:tblpY="98"/>
        <w:tblW w:w="0" w:type="auto"/>
        <w:tblCellMar>
          <w:left w:w="10" w:type="dxa"/>
          <w:right w:w="10" w:type="dxa"/>
        </w:tblCellMar>
        <w:tblLook w:val="0000" w:firstRow="0" w:lastRow="0" w:firstColumn="0" w:lastColumn="0" w:noHBand="0" w:noVBand="0"/>
      </w:tblPr>
      <w:tblGrid>
        <w:gridCol w:w="578"/>
        <w:gridCol w:w="950"/>
        <w:gridCol w:w="895"/>
        <w:gridCol w:w="920"/>
        <w:gridCol w:w="715"/>
        <w:gridCol w:w="762"/>
      </w:tblGrid>
      <w:tr w:rsidR="009B002C" w:rsidRPr="00326DB1" w14:paraId="16A0D844" w14:textId="77777777" w:rsidTr="009B002C">
        <w:tc>
          <w:tcPr>
            <w:tcW w:w="0" w:type="auto"/>
            <w:tcBorders>
              <w:top w:val="single" w:sz="4" w:space="0" w:color="auto"/>
            </w:tcBorders>
            <w:shd w:val="clear" w:color="auto" w:fill="FFFFFF"/>
            <w:vAlign w:val="center"/>
          </w:tcPr>
          <w:p w14:paraId="64479B3B" w14:textId="77777777" w:rsidR="009B002C" w:rsidRPr="00326DB1" w:rsidRDefault="009B002C" w:rsidP="009B002C">
            <w:pPr>
              <w:pStyle w:val="Other0"/>
              <w:shd w:val="clear" w:color="auto" w:fill="auto"/>
              <w:ind w:firstLine="0"/>
              <w:jc w:val="left"/>
              <w:rPr>
                <w:szCs w:val="24"/>
                <w:lang w:val="en-US"/>
              </w:rPr>
            </w:pPr>
            <w:r w:rsidRPr="00326DB1">
              <w:rPr>
                <w:szCs w:val="24"/>
                <w:lang w:val="en-US"/>
              </w:rPr>
              <w:t>Days</w:t>
            </w:r>
          </w:p>
        </w:tc>
        <w:tc>
          <w:tcPr>
            <w:tcW w:w="0" w:type="auto"/>
            <w:tcBorders>
              <w:top w:val="single" w:sz="4" w:space="0" w:color="auto"/>
            </w:tcBorders>
            <w:shd w:val="clear" w:color="auto" w:fill="FFFFFF"/>
            <w:vAlign w:val="center"/>
          </w:tcPr>
          <w:p w14:paraId="2A1B1973" w14:textId="77777777" w:rsidR="009B002C" w:rsidRPr="00326DB1" w:rsidRDefault="009B002C" w:rsidP="009B002C">
            <w:pPr>
              <w:pStyle w:val="Other0"/>
              <w:shd w:val="clear" w:color="auto" w:fill="auto"/>
              <w:ind w:right="80" w:firstLine="0"/>
              <w:jc w:val="center"/>
              <w:rPr>
                <w:szCs w:val="24"/>
                <w:lang w:val="en-US"/>
              </w:rPr>
            </w:pPr>
            <w:r w:rsidRPr="00326DB1">
              <w:rPr>
                <w:szCs w:val="24"/>
                <w:lang w:val="en-US"/>
              </w:rPr>
              <w:t>Matthys</w:t>
            </w:r>
          </w:p>
        </w:tc>
        <w:tc>
          <w:tcPr>
            <w:tcW w:w="0" w:type="auto"/>
            <w:tcBorders>
              <w:top w:val="single" w:sz="4" w:space="0" w:color="auto"/>
            </w:tcBorders>
            <w:shd w:val="clear" w:color="auto" w:fill="FFFFFF"/>
            <w:vAlign w:val="center"/>
          </w:tcPr>
          <w:p w14:paraId="6CAC23A5" w14:textId="77777777" w:rsidR="009B002C" w:rsidRPr="00326DB1" w:rsidRDefault="009B002C" w:rsidP="009B002C">
            <w:pPr>
              <w:pStyle w:val="Other0"/>
              <w:shd w:val="clear" w:color="auto" w:fill="auto"/>
              <w:ind w:firstLine="0"/>
              <w:jc w:val="center"/>
              <w:rPr>
                <w:szCs w:val="24"/>
                <w:lang w:val="en-US"/>
              </w:rPr>
            </w:pPr>
            <w:r w:rsidRPr="00326DB1">
              <w:rPr>
                <w:szCs w:val="24"/>
                <w:lang w:val="en-US"/>
              </w:rPr>
              <w:t>Argyle</w:t>
            </w:r>
          </w:p>
        </w:tc>
        <w:tc>
          <w:tcPr>
            <w:tcW w:w="0" w:type="auto"/>
            <w:tcBorders>
              <w:top w:val="single" w:sz="4" w:space="0" w:color="auto"/>
            </w:tcBorders>
            <w:shd w:val="clear" w:color="auto" w:fill="FFFFFF"/>
            <w:vAlign w:val="center"/>
          </w:tcPr>
          <w:p w14:paraId="22E06D1A" w14:textId="77777777" w:rsidR="009B002C" w:rsidRPr="00326DB1" w:rsidRDefault="009B002C" w:rsidP="009B002C">
            <w:pPr>
              <w:pStyle w:val="Other0"/>
              <w:shd w:val="clear" w:color="auto" w:fill="auto"/>
              <w:ind w:firstLine="0"/>
              <w:jc w:val="center"/>
              <w:rPr>
                <w:szCs w:val="24"/>
                <w:lang w:val="en-US"/>
              </w:rPr>
            </w:pPr>
            <w:r w:rsidRPr="00326DB1">
              <w:rPr>
                <w:szCs w:val="24"/>
                <w:lang w:val="en-US"/>
              </w:rPr>
              <w:t>Conserv.</w:t>
            </w:r>
          </w:p>
        </w:tc>
        <w:tc>
          <w:tcPr>
            <w:tcW w:w="0" w:type="auto"/>
            <w:tcBorders>
              <w:top w:val="single" w:sz="4" w:space="0" w:color="auto"/>
            </w:tcBorders>
            <w:shd w:val="clear" w:color="auto" w:fill="FFFFFF"/>
            <w:vAlign w:val="center"/>
          </w:tcPr>
          <w:p w14:paraId="16C6312D" w14:textId="77777777" w:rsidR="009B002C" w:rsidRPr="00326DB1" w:rsidRDefault="009B002C" w:rsidP="009B002C">
            <w:pPr>
              <w:pStyle w:val="Other0"/>
              <w:shd w:val="clear" w:color="auto" w:fill="auto"/>
              <w:ind w:firstLine="0"/>
              <w:jc w:val="left"/>
              <w:rPr>
                <w:szCs w:val="24"/>
                <w:lang w:val="en-US"/>
              </w:rPr>
            </w:pPr>
            <w:r w:rsidRPr="00326DB1">
              <w:rPr>
                <w:szCs w:val="24"/>
                <w:lang w:val="en-US"/>
              </w:rPr>
              <w:t>Combin</w:t>
            </w:r>
            <w:r>
              <w:rPr>
                <w:szCs w:val="24"/>
                <w:lang w:val="en-US"/>
              </w:rPr>
              <w:t>.</w:t>
            </w:r>
          </w:p>
        </w:tc>
        <w:tc>
          <w:tcPr>
            <w:tcW w:w="762" w:type="dxa"/>
            <w:tcBorders>
              <w:top w:val="single" w:sz="4" w:space="0" w:color="auto"/>
            </w:tcBorders>
            <w:shd w:val="clear" w:color="auto" w:fill="FFFFFF"/>
            <w:vAlign w:val="center"/>
          </w:tcPr>
          <w:p w14:paraId="4C593DB3" w14:textId="77777777" w:rsidR="009B002C" w:rsidRPr="00326DB1" w:rsidRDefault="009B002C" w:rsidP="009B002C">
            <w:pPr>
              <w:pStyle w:val="Other0"/>
              <w:shd w:val="clear" w:color="auto" w:fill="auto"/>
              <w:ind w:firstLine="0"/>
              <w:jc w:val="center"/>
              <w:rPr>
                <w:szCs w:val="24"/>
                <w:lang w:val="en-US"/>
              </w:rPr>
            </w:pPr>
            <w:r w:rsidRPr="00326DB1">
              <w:rPr>
                <w:szCs w:val="24"/>
                <w:lang w:val="en-US"/>
              </w:rPr>
              <w:t>Total</w:t>
            </w:r>
          </w:p>
        </w:tc>
      </w:tr>
      <w:tr w:rsidR="009B002C" w:rsidRPr="00326DB1" w14:paraId="3616D828" w14:textId="77777777" w:rsidTr="009B002C">
        <w:trPr>
          <w:trHeight w:val="315"/>
        </w:trPr>
        <w:tc>
          <w:tcPr>
            <w:tcW w:w="0" w:type="auto"/>
            <w:tcBorders>
              <w:top w:val="single" w:sz="4" w:space="0" w:color="auto"/>
            </w:tcBorders>
            <w:shd w:val="clear" w:color="auto" w:fill="FFFFFF"/>
            <w:vAlign w:val="bottom"/>
          </w:tcPr>
          <w:p w14:paraId="3395732F" w14:textId="77777777" w:rsidR="009B002C" w:rsidRPr="00326DB1" w:rsidRDefault="009B002C" w:rsidP="009B002C">
            <w:pPr>
              <w:pStyle w:val="Other0"/>
              <w:shd w:val="clear" w:color="auto" w:fill="auto"/>
              <w:ind w:hanging="9"/>
              <w:jc w:val="left"/>
              <w:rPr>
                <w:szCs w:val="24"/>
                <w:lang w:val="en-US"/>
              </w:rPr>
            </w:pPr>
            <w:r>
              <w:rPr>
                <w:szCs w:val="24"/>
                <w:lang w:val="en-US"/>
              </w:rPr>
              <w:t>&lt;</w:t>
            </w:r>
            <w:r w:rsidRPr="00326DB1">
              <w:rPr>
                <w:szCs w:val="24"/>
                <w:lang w:val="en-US"/>
              </w:rPr>
              <w:t xml:space="preserve"> 8</w:t>
            </w:r>
          </w:p>
        </w:tc>
        <w:tc>
          <w:tcPr>
            <w:tcW w:w="0" w:type="auto"/>
            <w:tcBorders>
              <w:top w:val="single" w:sz="4" w:space="0" w:color="auto"/>
            </w:tcBorders>
            <w:shd w:val="clear" w:color="auto" w:fill="FFFFFF"/>
            <w:vAlign w:val="bottom"/>
          </w:tcPr>
          <w:p w14:paraId="07709AAF" w14:textId="77777777" w:rsidR="009B002C" w:rsidRPr="00326DB1" w:rsidRDefault="009B002C" w:rsidP="009B002C">
            <w:pPr>
              <w:pStyle w:val="Other0"/>
              <w:shd w:val="clear" w:color="auto" w:fill="auto"/>
              <w:ind w:firstLine="0"/>
              <w:jc w:val="center"/>
              <w:rPr>
                <w:szCs w:val="24"/>
                <w:lang w:val="en-US"/>
              </w:rPr>
            </w:pPr>
            <w:r w:rsidRPr="00326DB1">
              <w:rPr>
                <w:szCs w:val="24"/>
                <w:lang w:val="en-US"/>
              </w:rPr>
              <w:t>17 (70.8%)</w:t>
            </w:r>
          </w:p>
        </w:tc>
        <w:tc>
          <w:tcPr>
            <w:tcW w:w="0" w:type="auto"/>
            <w:tcBorders>
              <w:top w:val="single" w:sz="4" w:space="0" w:color="auto"/>
            </w:tcBorders>
            <w:shd w:val="clear" w:color="auto" w:fill="FFFFFF"/>
            <w:vAlign w:val="bottom"/>
          </w:tcPr>
          <w:p w14:paraId="05EADF6E" w14:textId="77777777" w:rsidR="009B002C" w:rsidRPr="00326DB1" w:rsidRDefault="009B002C" w:rsidP="009B002C">
            <w:pPr>
              <w:pStyle w:val="Other0"/>
              <w:shd w:val="clear" w:color="auto" w:fill="auto"/>
              <w:ind w:firstLine="0"/>
              <w:jc w:val="center"/>
              <w:rPr>
                <w:szCs w:val="24"/>
                <w:lang w:val="en-US"/>
              </w:rPr>
            </w:pPr>
            <w:r w:rsidRPr="00326DB1">
              <w:rPr>
                <w:szCs w:val="24"/>
                <w:lang w:val="en-US"/>
              </w:rPr>
              <w:t>8 (47%)</w:t>
            </w:r>
          </w:p>
        </w:tc>
        <w:tc>
          <w:tcPr>
            <w:tcW w:w="0" w:type="auto"/>
            <w:tcBorders>
              <w:top w:val="single" w:sz="4" w:space="0" w:color="auto"/>
            </w:tcBorders>
            <w:shd w:val="clear" w:color="auto" w:fill="FFFFFF"/>
            <w:vAlign w:val="bottom"/>
          </w:tcPr>
          <w:p w14:paraId="1E8A26C0" w14:textId="77777777" w:rsidR="009B002C" w:rsidRPr="00326DB1" w:rsidRDefault="009B002C" w:rsidP="009B002C">
            <w:pPr>
              <w:pStyle w:val="Other0"/>
              <w:shd w:val="clear" w:color="auto" w:fill="auto"/>
              <w:ind w:left="40" w:firstLine="0"/>
              <w:jc w:val="center"/>
              <w:rPr>
                <w:szCs w:val="24"/>
                <w:lang w:val="en-US"/>
              </w:rPr>
            </w:pPr>
            <w:r w:rsidRPr="00326DB1">
              <w:rPr>
                <w:szCs w:val="24"/>
                <w:lang w:val="en-US"/>
              </w:rPr>
              <w:t>2 (6.7%)</w:t>
            </w:r>
          </w:p>
        </w:tc>
        <w:tc>
          <w:tcPr>
            <w:tcW w:w="0" w:type="auto"/>
            <w:tcBorders>
              <w:top w:val="single" w:sz="4" w:space="0" w:color="auto"/>
            </w:tcBorders>
            <w:shd w:val="clear" w:color="auto" w:fill="FFFFFF"/>
            <w:vAlign w:val="bottom"/>
          </w:tcPr>
          <w:p w14:paraId="34FD5889" w14:textId="77777777" w:rsidR="009B002C" w:rsidRPr="00326DB1" w:rsidRDefault="009B002C" w:rsidP="009B002C">
            <w:pPr>
              <w:pStyle w:val="Other0"/>
              <w:shd w:val="clear" w:color="auto" w:fill="auto"/>
              <w:ind w:left="100" w:firstLine="0"/>
              <w:jc w:val="center"/>
              <w:rPr>
                <w:szCs w:val="24"/>
                <w:lang w:val="en-US"/>
              </w:rPr>
            </w:pPr>
            <w:r w:rsidRPr="00326DB1">
              <w:rPr>
                <w:szCs w:val="24"/>
                <w:lang w:val="en-US"/>
              </w:rPr>
              <w:t>1</w:t>
            </w:r>
          </w:p>
        </w:tc>
        <w:tc>
          <w:tcPr>
            <w:tcW w:w="762" w:type="dxa"/>
            <w:tcBorders>
              <w:top w:val="single" w:sz="4" w:space="0" w:color="auto"/>
            </w:tcBorders>
            <w:shd w:val="clear" w:color="auto" w:fill="FFFFFF"/>
            <w:vAlign w:val="bottom"/>
          </w:tcPr>
          <w:p w14:paraId="763A4FDD" w14:textId="77777777" w:rsidR="009B002C" w:rsidRPr="00326DB1" w:rsidRDefault="009B002C" w:rsidP="009B002C">
            <w:pPr>
              <w:pStyle w:val="Other0"/>
              <w:shd w:val="clear" w:color="auto" w:fill="auto"/>
              <w:ind w:firstLine="0"/>
              <w:jc w:val="center"/>
              <w:rPr>
                <w:szCs w:val="24"/>
                <w:lang w:val="en-US"/>
              </w:rPr>
            </w:pPr>
            <w:r w:rsidRPr="00326DB1">
              <w:rPr>
                <w:szCs w:val="24"/>
                <w:lang w:val="en-US"/>
              </w:rPr>
              <w:t>28</w:t>
            </w:r>
          </w:p>
        </w:tc>
      </w:tr>
      <w:tr w:rsidR="009B002C" w:rsidRPr="00326DB1" w14:paraId="306AEDC3" w14:textId="77777777" w:rsidTr="009B002C">
        <w:tc>
          <w:tcPr>
            <w:tcW w:w="0" w:type="auto"/>
            <w:shd w:val="clear" w:color="auto" w:fill="FFFFFF"/>
            <w:vAlign w:val="center"/>
          </w:tcPr>
          <w:p w14:paraId="256F4E93" w14:textId="77777777" w:rsidR="009B002C" w:rsidRPr="00326DB1" w:rsidRDefault="009B002C" w:rsidP="009B002C">
            <w:pPr>
              <w:pStyle w:val="Other0"/>
              <w:shd w:val="clear" w:color="auto" w:fill="auto"/>
              <w:ind w:hanging="9"/>
              <w:jc w:val="left"/>
              <w:rPr>
                <w:szCs w:val="24"/>
                <w:lang w:val="en-US"/>
              </w:rPr>
            </w:pPr>
            <w:r w:rsidRPr="00326DB1">
              <w:rPr>
                <w:szCs w:val="24"/>
                <w:lang w:val="en-US"/>
              </w:rPr>
              <w:t>8-15</w:t>
            </w:r>
          </w:p>
        </w:tc>
        <w:tc>
          <w:tcPr>
            <w:tcW w:w="0" w:type="auto"/>
            <w:shd w:val="clear" w:color="auto" w:fill="FFFFFF"/>
            <w:vAlign w:val="center"/>
          </w:tcPr>
          <w:p w14:paraId="3A26214A" w14:textId="77777777" w:rsidR="009B002C" w:rsidRPr="00326DB1" w:rsidRDefault="009B002C" w:rsidP="009B002C">
            <w:pPr>
              <w:pStyle w:val="Other0"/>
              <w:shd w:val="clear" w:color="auto" w:fill="auto"/>
              <w:ind w:right="80" w:firstLine="0"/>
              <w:jc w:val="center"/>
              <w:rPr>
                <w:szCs w:val="24"/>
                <w:lang w:val="en-US"/>
              </w:rPr>
            </w:pPr>
            <w:r w:rsidRPr="00326DB1">
              <w:rPr>
                <w:szCs w:val="24"/>
                <w:lang w:val="en-US"/>
              </w:rPr>
              <w:t>6 (25 %)</w:t>
            </w:r>
          </w:p>
        </w:tc>
        <w:tc>
          <w:tcPr>
            <w:tcW w:w="0" w:type="auto"/>
            <w:shd w:val="clear" w:color="auto" w:fill="FFFFFF"/>
            <w:vAlign w:val="center"/>
          </w:tcPr>
          <w:p w14:paraId="63D7DD16" w14:textId="77777777" w:rsidR="009B002C" w:rsidRPr="00326DB1" w:rsidRDefault="009B002C" w:rsidP="009B002C">
            <w:pPr>
              <w:pStyle w:val="Other0"/>
              <w:shd w:val="clear" w:color="auto" w:fill="auto"/>
              <w:ind w:right="75" w:firstLine="0"/>
              <w:jc w:val="center"/>
              <w:rPr>
                <w:szCs w:val="24"/>
                <w:lang w:val="en-US"/>
              </w:rPr>
            </w:pPr>
            <w:r w:rsidRPr="00326DB1">
              <w:rPr>
                <w:szCs w:val="24"/>
                <w:lang w:val="en-US"/>
              </w:rPr>
              <w:t>7 (41.2%)</w:t>
            </w:r>
          </w:p>
        </w:tc>
        <w:tc>
          <w:tcPr>
            <w:tcW w:w="0" w:type="auto"/>
            <w:shd w:val="clear" w:color="auto" w:fill="FFFFFF"/>
            <w:vAlign w:val="center"/>
          </w:tcPr>
          <w:p w14:paraId="6B498096" w14:textId="77777777" w:rsidR="009B002C" w:rsidRPr="00326DB1" w:rsidRDefault="009B002C" w:rsidP="009B002C">
            <w:pPr>
              <w:pStyle w:val="Other0"/>
              <w:shd w:val="clear" w:color="auto" w:fill="auto"/>
              <w:ind w:firstLine="0"/>
              <w:jc w:val="center"/>
              <w:rPr>
                <w:szCs w:val="24"/>
                <w:lang w:val="en-US"/>
              </w:rPr>
            </w:pPr>
            <w:r w:rsidRPr="00326DB1">
              <w:rPr>
                <w:szCs w:val="24"/>
                <w:lang w:val="en-US"/>
              </w:rPr>
              <w:t>20 (66.7%)</w:t>
            </w:r>
          </w:p>
        </w:tc>
        <w:tc>
          <w:tcPr>
            <w:tcW w:w="0" w:type="auto"/>
            <w:shd w:val="clear" w:color="auto" w:fill="FFFFFF"/>
            <w:vAlign w:val="center"/>
          </w:tcPr>
          <w:p w14:paraId="7DD6F466" w14:textId="77777777" w:rsidR="009B002C" w:rsidRPr="00326DB1" w:rsidRDefault="009B002C" w:rsidP="009B002C">
            <w:pPr>
              <w:pStyle w:val="Other0"/>
              <w:shd w:val="clear" w:color="auto" w:fill="auto"/>
              <w:ind w:left="100" w:firstLine="0"/>
              <w:jc w:val="center"/>
              <w:rPr>
                <w:szCs w:val="24"/>
                <w:lang w:val="en-US"/>
              </w:rPr>
            </w:pPr>
            <w:r w:rsidRPr="00326DB1">
              <w:rPr>
                <w:szCs w:val="24"/>
                <w:lang w:val="en-US"/>
              </w:rPr>
              <w:t>0</w:t>
            </w:r>
          </w:p>
        </w:tc>
        <w:tc>
          <w:tcPr>
            <w:tcW w:w="762" w:type="dxa"/>
            <w:shd w:val="clear" w:color="auto" w:fill="FFFFFF"/>
            <w:vAlign w:val="center"/>
          </w:tcPr>
          <w:p w14:paraId="3A6ADB46" w14:textId="77777777" w:rsidR="009B002C" w:rsidRPr="00326DB1" w:rsidRDefault="009B002C" w:rsidP="009B002C">
            <w:pPr>
              <w:pStyle w:val="Other0"/>
              <w:shd w:val="clear" w:color="auto" w:fill="auto"/>
              <w:ind w:firstLine="0"/>
              <w:jc w:val="center"/>
              <w:rPr>
                <w:szCs w:val="24"/>
                <w:lang w:val="en-US"/>
              </w:rPr>
            </w:pPr>
            <w:r w:rsidRPr="00326DB1">
              <w:rPr>
                <w:szCs w:val="24"/>
                <w:lang w:val="en-US"/>
              </w:rPr>
              <w:t>33</w:t>
            </w:r>
          </w:p>
        </w:tc>
      </w:tr>
      <w:tr w:rsidR="009B002C" w:rsidRPr="00326DB1" w14:paraId="5163E860" w14:textId="77777777" w:rsidTr="009B002C">
        <w:tc>
          <w:tcPr>
            <w:tcW w:w="0" w:type="auto"/>
            <w:shd w:val="clear" w:color="auto" w:fill="FFFFFF"/>
            <w:vAlign w:val="center"/>
          </w:tcPr>
          <w:p w14:paraId="113029CF" w14:textId="77777777" w:rsidR="009B002C" w:rsidRPr="00326DB1" w:rsidRDefault="009B002C" w:rsidP="009B002C">
            <w:pPr>
              <w:pStyle w:val="Other0"/>
              <w:shd w:val="clear" w:color="auto" w:fill="auto"/>
              <w:ind w:hanging="9"/>
              <w:jc w:val="left"/>
              <w:rPr>
                <w:szCs w:val="24"/>
                <w:lang w:val="en-US"/>
              </w:rPr>
            </w:pPr>
            <w:r w:rsidRPr="00326DB1">
              <w:rPr>
                <w:szCs w:val="24"/>
                <w:lang w:val="en-US"/>
              </w:rPr>
              <w:t>15-25</w:t>
            </w:r>
          </w:p>
        </w:tc>
        <w:tc>
          <w:tcPr>
            <w:tcW w:w="0" w:type="auto"/>
            <w:shd w:val="clear" w:color="auto" w:fill="FFFFFF"/>
            <w:vAlign w:val="center"/>
          </w:tcPr>
          <w:p w14:paraId="7FC0A71D" w14:textId="77777777" w:rsidR="009B002C" w:rsidRPr="00326DB1" w:rsidRDefault="009B002C" w:rsidP="009B002C">
            <w:pPr>
              <w:pStyle w:val="Other0"/>
              <w:shd w:val="clear" w:color="auto" w:fill="auto"/>
              <w:ind w:right="80" w:firstLine="0"/>
              <w:jc w:val="center"/>
              <w:rPr>
                <w:szCs w:val="24"/>
                <w:lang w:val="en-US"/>
              </w:rPr>
            </w:pPr>
            <w:r w:rsidRPr="00326DB1">
              <w:rPr>
                <w:szCs w:val="24"/>
                <w:lang w:val="en-US"/>
              </w:rPr>
              <w:t>0</w:t>
            </w:r>
          </w:p>
        </w:tc>
        <w:tc>
          <w:tcPr>
            <w:tcW w:w="0" w:type="auto"/>
            <w:shd w:val="clear" w:color="auto" w:fill="FFFFFF"/>
            <w:vAlign w:val="center"/>
          </w:tcPr>
          <w:p w14:paraId="1CD7F73A" w14:textId="77777777" w:rsidR="009B002C" w:rsidRPr="00326DB1" w:rsidRDefault="009B002C" w:rsidP="009B002C">
            <w:pPr>
              <w:pStyle w:val="Other0"/>
              <w:shd w:val="clear" w:color="auto" w:fill="auto"/>
              <w:ind w:firstLine="0"/>
              <w:jc w:val="center"/>
              <w:rPr>
                <w:szCs w:val="24"/>
                <w:lang w:val="en-US"/>
              </w:rPr>
            </w:pPr>
            <w:r w:rsidRPr="00326DB1">
              <w:rPr>
                <w:szCs w:val="24"/>
                <w:lang w:val="en-US"/>
              </w:rPr>
              <w:t>1 (5.9%)</w:t>
            </w:r>
          </w:p>
        </w:tc>
        <w:tc>
          <w:tcPr>
            <w:tcW w:w="0" w:type="auto"/>
            <w:shd w:val="clear" w:color="auto" w:fill="FFFFFF"/>
            <w:vAlign w:val="center"/>
          </w:tcPr>
          <w:p w14:paraId="243430EE" w14:textId="77777777" w:rsidR="009B002C" w:rsidRPr="00326DB1" w:rsidRDefault="009B002C" w:rsidP="009B002C">
            <w:pPr>
              <w:pStyle w:val="Other0"/>
              <w:shd w:val="clear" w:color="auto" w:fill="auto"/>
              <w:ind w:left="100" w:firstLine="0"/>
              <w:jc w:val="center"/>
              <w:rPr>
                <w:szCs w:val="24"/>
                <w:lang w:val="en-US"/>
              </w:rPr>
            </w:pPr>
            <w:r w:rsidRPr="00326DB1">
              <w:rPr>
                <w:szCs w:val="24"/>
                <w:lang w:val="en-US"/>
              </w:rPr>
              <w:t>7 (23.3%)</w:t>
            </w:r>
          </w:p>
        </w:tc>
        <w:tc>
          <w:tcPr>
            <w:tcW w:w="0" w:type="auto"/>
            <w:shd w:val="clear" w:color="auto" w:fill="FFFFFF"/>
            <w:vAlign w:val="center"/>
          </w:tcPr>
          <w:p w14:paraId="0145F188" w14:textId="77777777" w:rsidR="009B002C" w:rsidRPr="00326DB1" w:rsidRDefault="009B002C" w:rsidP="009B002C">
            <w:pPr>
              <w:pStyle w:val="Other0"/>
              <w:shd w:val="clear" w:color="auto" w:fill="auto"/>
              <w:ind w:left="100" w:firstLine="0"/>
              <w:jc w:val="center"/>
              <w:rPr>
                <w:szCs w:val="24"/>
                <w:lang w:val="en-US"/>
              </w:rPr>
            </w:pPr>
            <w:r w:rsidRPr="00326DB1">
              <w:rPr>
                <w:szCs w:val="24"/>
                <w:lang w:val="en-US"/>
              </w:rPr>
              <w:t>1</w:t>
            </w:r>
          </w:p>
        </w:tc>
        <w:tc>
          <w:tcPr>
            <w:tcW w:w="762" w:type="dxa"/>
            <w:shd w:val="clear" w:color="auto" w:fill="FFFFFF"/>
            <w:vAlign w:val="center"/>
          </w:tcPr>
          <w:p w14:paraId="734FA46D" w14:textId="77777777" w:rsidR="009B002C" w:rsidRPr="00326DB1" w:rsidRDefault="009B002C" w:rsidP="009B002C">
            <w:pPr>
              <w:pStyle w:val="Other0"/>
              <w:shd w:val="clear" w:color="auto" w:fill="auto"/>
              <w:ind w:right="60" w:firstLine="0"/>
              <w:jc w:val="center"/>
              <w:rPr>
                <w:szCs w:val="24"/>
                <w:lang w:val="en-US"/>
              </w:rPr>
            </w:pPr>
            <w:r w:rsidRPr="00326DB1">
              <w:rPr>
                <w:szCs w:val="24"/>
                <w:lang w:val="en-US"/>
              </w:rPr>
              <w:t>9</w:t>
            </w:r>
          </w:p>
        </w:tc>
      </w:tr>
      <w:tr w:rsidR="009B002C" w:rsidRPr="00326DB1" w14:paraId="08B64F7F" w14:textId="77777777" w:rsidTr="009B002C">
        <w:trPr>
          <w:trHeight w:val="394"/>
        </w:trPr>
        <w:tc>
          <w:tcPr>
            <w:tcW w:w="0" w:type="auto"/>
            <w:shd w:val="clear" w:color="auto" w:fill="FFFFFF"/>
          </w:tcPr>
          <w:p w14:paraId="00D69D25" w14:textId="77777777" w:rsidR="009B002C" w:rsidRPr="00326DB1" w:rsidRDefault="009B002C" w:rsidP="009B002C">
            <w:pPr>
              <w:pStyle w:val="Other0"/>
              <w:shd w:val="clear" w:color="auto" w:fill="auto"/>
              <w:ind w:hanging="9"/>
              <w:jc w:val="center"/>
              <w:rPr>
                <w:szCs w:val="24"/>
                <w:lang w:val="en-US"/>
              </w:rPr>
            </w:pPr>
            <w:r>
              <w:rPr>
                <w:szCs w:val="24"/>
                <w:lang w:val="en-US"/>
              </w:rPr>
              <w:t>&gt;</w:t>
            </w:r>
            <w:r w:rsidRPr="00326DB1">
              <w:rPr>
                <w:szCs w:val="24"/>
                <w:lang w:val="en-US"/>
              </w:rPr>
              <w:t xml:space="preserve"> 25</w:t>
            </w:r>
          </w:p>
        </w:tc>
        <w:tc>
          <w:tcPr>
            <w:tcW w:w="0" w:type="auto"/>
            <w:shd w:val="clear" w:color="auto" w:fill="FFFFFF"/>
          </w:tcPr>
          <w:p w14:paraId="445747FE" w14:textId="77777777" w:rsidR="009B002C" w:rsidRPr="00326DB1" w:rsidRDefault="009B002C" w:rsidP="009B002C">
            <w:pPr>
              <w:pStyle w:val="Other0"/>
              <w:shd w:val="clear" w:color="auto" w:fill="auto"/>
              <w:ind w:right="80" w:firstLine="0"/>
              <w:jc w:val="center"/>
              <w:rPr>
                <w:szCs w:val="24"/>
                <w:lang w:val="en-US"/>
              </w:rPr>
            </w:pPr>
            <w:r w:rsidRPr="00326DB1">
              <w:rPr>
                <w:szCs w:val="24"/>
                <w:lang w:val="en-US"/>
              </w:rPr>
              <w:t>1 (4.2%)</w:t>
            </w:r>
          </w:p>
        </w:tc>
        <w:tc>
          <w:tcPr>
            <w:tcW w:w="0" w:type="auto"/>
            <w:shd w:val="clear" w:color="auto" w:fill="FFFFFF"/>
          </w:tcPr>
          <w:p w14:paraId="6371B3EA" w14:textId="77777777" w:rsidR="009B002C" w:rsidRPr="00326DB1" w:rsidRDefault="009B002C" w:rsidP="009B002C">
            <w:pPr>
              <w:pStyle w:val="Other0"/>
              <w:shd w:val="clear" w:color="auto" w:fill="auto"/>
              <w:ind w:firstLine="0"/>
              <w:jc w:val="center"/>
              <w:rPr>
                <w:szCs w:val="24"/>
                <w:lang w:val="en-US"/>
              </w:rPr>
            </w:pPr>
            <w:r w:rsidRPr="00326DB1">
              <w:rPr>
                <w:szCs w:val="24"/>
                <w:lang w:val="en-US"/>
              </w:rPr>
              <w:t>1 (5.9%)</w:t>
            </w:r>
          </w:p>
        </w:tc>
        <w:tc>
          <w:tcPr>
            <w:tcW w:w="0" w:type="auto"/>
            <w:shd w:val="clear" w:color="auto" w:fill="FFFFFF"/>
          </w:tcPr>
          <w:p w14:paraId="1C0FF8BE" w14:textId="77777777" w:rsidR="009B002C" w:rsidRPr="00326DB1" w:rsidRDefault="009B002C" w:rsidP="009B002C">
            <w:pPr>
              <w:pStyle w:val="Other0"/>
              <w:shd w:val="clear" w:color="auto" w:fill="auto"/>
              <w:ind w:left="80" w:firstLine="0"/>
              <w:jc w:val="center"/>
              <w:rPr>
                <w:szCs w:val="24"/>
                <w:lang w:val="en-US"/>
              </w:rPr>
            </w:pPr>
            <w:r w:rsidRPr="00326DB1">
              <w:rPr>
                <w:szCs w:val="24"/>
                <w:lang w:val="en-US"/>
              </w:rPr>
              <w:t>1 (3.3%)</w:t>
            </w:r>
          </w:p>
        </w:tc>
        <w:tc>
          <w:tcPr>
            <w:tcW w:w="0" w:type="auto"/>
            <w:shd w:val="clear" w:color="auto" w:fill="FFFFFF"/>
          </w:tcPr>
          <w:p w14:paraId="2BC6579C" w14:textId="77777777" w:rsidR="009B002C" w:rsidRPr="00326DB1" w:rsidRDefault="009B002C" w:rsidP="009B002C">
            <w:pPr>
              <w:pStyle w:val="Other0"/>
              <w:shd w:val="clear" w:color="auto" w:fill="auto"/>
              <w:ind w:left="100" w:firstLine="0"/>
              <w:jc w:val="center"/>
              <w:rPr>
                <w:szCs w:val="24"/>
                <w:lang w:val="en-US"/>
              </w:rPr>
            </w:pPr>
            <w:r w:rsidRPr="00326DB1">
              <w:rPr>
                <w:szCs w:val="24"/>
                <w:lang w:val="en-US"/>
              </w:rPr>
              <w:t>1</w:t>
            </w:r>
          </w:p>
        </w:tc>
        <w:tc>
          <w:tcPr>
            <w:tcW w:w="762" w:type="dxa"/>
            <w:shd w:val="clear" w:color="auto" w:fill="FFFFFF"/>
          </w:tcPr>
          <w:p w14:paraId="731BB331" w14:textId="77777777" w:rsidR="009B002C" w:rsidRPr="00326DB1" w:rsidRDefault="009B002C" w:rsidP="009B002C">
            <w:pPr>
              <w:pStyle w:val="Other0"/>
              <w:shd w:val="clear" w:color="auto" w:fill="auto"/>
              <w:ind w:right="60" w:firstLine="0"/>
              <w:jc w:val="center"/>
              <w:rPr>
                <w:szCs w:val="24"/>
                <w:lang w:val="en-US"/>
              </w:rPr>
            </w:pPr>
            <w:r w:rsidRPr="00326DB1">
              <w:rPr>
                <w:szCs w:val="24"/>
                <w:lang w:val="en-US"/>
              </w:rPr>
              <w:t>4</w:t>
            </w:r>
          </w:p>
        </w:tc>
      </w:tr>
      <w:tr w:rsidR="009B002C" w:rsidRPr="00326DB1" w14:paraId="500A7468" w14:textId="77777777" w:rsidTr="009B002C">
        <w:trPr>
          <w:trHeight w:val="514"/>
        </w:trPr>
        <w:tc>
          <w:tcPr>
            <w:tcW w:w="0" w:type="auto"/>
            <w:tcBorders>
              <w:top w:val="single" w:sz="4" w:space="0" w:color="auto"/>
              <w:bottom w:val="single" w:sz="4" w:space="0" w:color="auto"/>
            </w:tcBorders>
            <w:shd w:val="clear" w:color="auto" w:fill="FFFFFF"/>
            <w:vAlign w:val="center"/>
          </w:tcPr>
          <w:p w14:paraId="551475CE" w14:textId="77777777" w:rsidR="009B002C" w:rsidRPr="00326DB1" w:rsidRDefault="009B002C" w:rsidP="009B002C">
            <w:pPr>
              <w:pStyle w:val="Other0"/>
              <w:shd w:val="clear" w:color="auto" w:fill="auto"/>
              <w:ind w:firstLine="0"/>
              <w:jc w:val="left"/>
              <w:rPr>
                <w:szCs w:val="24"/>
                <w:lang w:val="en-US"/>
              </w:rPr>
            </w:pPr>
            <w:r w:rsidRPr="00326DB1">
              <w:rPr>
                <w:szCs w:val="24"/>
                <w:lang w:val="en-US"/>
              </w:rPr>
              <w:t>Total</w:t>
            </w:r>
          </w:p>
        </w:tc>
        <w:tc>
          <w:tcPr>
            <w:tcW w:w="0" w:type="auto"/>
            <w:tcBorders>
              <w:top w:val="single" w:sz="4" w:space="0" w:color="auto"/>
              <w:bottom w:val="single" w:sz="4" w:space="0" w:color="auto"/>
            </w:tcBorders>
            <w:shd w:val="clear" w:color="auto" w:fill="FFFFFF"/>
            <w:vAlign w:val="center"/>
          </w:tcPr>
          <w:p w14:paraId="0CF8424C" w14:textId="77777777" w:rsidR="009B002C" w:rsidRPr="00326DB1" w:rsidRDefault="009B002C" w:rsidP="009B002C">
            <w:pPr>
              <w:pStyle w:val="Other0"/>
              <w:shd w:val="clear" w:color="auto" w:fill="auto"/>
              <w:ind w:right="80" w:firstLine="0"/>
              <w:jc w:val="center"/>
              <w:rPr>
                <w:szCs w:val="24"/>
                <w:lang w:val="en-US"/>
              </w:rPr>
            </w:pPr>
            <w:r w:rsidRPr="00326DB1">
              <w:rPr>
                <w:szCs w:val="24"/>
                <w:lang w:val="en-US"/>
              </w:rPr>
              <w:t>24 (100%)</w:t>
            </w:r>
          </w:p>
        </w:tc>
        <w:tc>
          <w:tcPr>
            <w:tcW w:w="0" w:type="auto"/>
            <w:tcBorders>
              <w:top w:val="single" w:sz="4" w:space="0" w:color="auto"/>
              <w:bottom w:val="single" w:sz="4" w:space="0" w:color="auto"/>
            </w:tcBorders>
            <w:shd w:val="clear" w:color="auto" w:fill="FFFFFF"/>
            <w:vAlign w:val="center"/>
          </w:tcPr>
          <w:p w14:paraId="2B1404A6" w14:textId="77777777" w:rsidR="009B002C" w:rsidRPr="00326DB1" w:rsidRDefault="009B002C" w:rsidP="009B002C">
            <w:pPr>
              <w:pStyle w:val="Other0"/>
              <w:shd w:val="clear" w:color="auto" w:fill="auto"/>
              <w:ind w:firstLine="0"/>
              <w:jc w:val="left"/>
              <w:rPr>
                <w:szCs w:val="24"/>
                <w:lang w:val="en-US"/>
              </w:rPr>
            </w:pPr>
            <w:r w:rsidRPr="00326DB1">
              <w:rPr>
                <w:szCs w:val="24"/>
                <w:lang w:val="en-US"/>
              </w:rPr>
              <w:t>17 (100%)</w:t>
            </w:r>
          </w:p>
        </w:tc>
        <w:tc>
          <w:tcPr>
            <w:tcW w:w="0" w:type="auto"/>
            <w:tcBorders>
              <w:top w:val="single" w:sz="4" w:space="0" w:color="auto"/>
              <w:bottom w:val="single" w:sz="4" w:space="0" w:color="auto"/>
            </w:tcBorders>
            <w:shd w:val="clear" w:color="auto" w:fill="FFFFFF"/>
            <w:vAlign w:val="center"/>
          </w:tcPr>
          <w:p w14:paraId="3A032022" w14:textId="77777777" w:rsidR="009B002C" w:rsidRPr="00326DB1" w:rsidRDefault="009B002C" w:rsidP="009B002C">
            <w:pPr>
              <w:pStyle w:val="Other0"/>
              <w:shd w:val="clear" w:color="auto" w:fill="auto"/>
              <w:ind w:left="40" w:firstLine="0"/>
              <w:jc w:val="center"/>
              <w:rPr>
                <w:szCs w:val="24"/>
                <w:lang w:val="en-US"/>
              </w:rPr>
            </w:pPr>
            <w:r w:rsidRPr="00326DB1">
              <w:rPr>
                <w:szCs w:val="24"/>
                <w:lang w:val="en-US"/>
              </w:rPr>
              <w:t>30 (100%)</w:t>
            </w:r>
          </w:p>
        </w:tc>
        <w:tc>
          <w:tcPr>
            <w:tcW w:w="0" w:type="auto"/>
            <w:tcBorders>
              <w:top w:val="single" w:sz="4" w:space="0" w:color="auto"/>
              <w:bottom w:val="single" w:sz="4" w:space="0" w:color="auto"/>
            </w:tcBorders>
            <w:shd w:val="clear" w:color="auto" w:fill="FFFFFF"/>
            <w:vAlign w:val="center"/>
          </w:tcPr>
          <w:p w14:paraId="24F48B4D" w14:textId="77777777" w:rsidR="009B002C" w:rsidRPr="00326DB1" w:rsidRDefault="009B002C" w:rsidP="009B002C">
            <w:pPr>
              <w:pStyle w:val="Other0"/>
              <w:shd w:val="clear" w:color="auto" w:fill="auto"/>
              <w:ind w:left="100" w:firstLine="0"/>
              <w:jc w:val="center"/>
              <w:rPr>
                <w:szCs w:val="24"/>
                <w:lang w:val="en-US"/>
              </w:rPr>
            </w:pPr>
            <w:r w:rsidRPr="00326DB1">
              <w:rPr>
                <w:szCs w:val="24"/>
                <w:lang w:val="en-US"/>
              </w:rPr>
              <w:t>3</w:t>
            </w:r>
          </w:p>
        </w:tc>
        <w:tc>
          <w:tcPr>
            <w:tcW w:w="762" w:type="dxa"/>
            <w:tcBorders>
              <w:top w:val="single" w:sz="4" w:space="0" w:color="auto"/>
              <w:bottom w:val="single" w:sz="4" w:space="0" w:color="auto"/>
            </w:tcBorders>
            <w:shd w:val="clear" w:color="auto" w:fill="FFFFFF"/>
            <w:vAlign w:val="center"/>
          </w:tcPr>
          <w:p w14:paraId="5490BF5F" w14:textId="77777777" w:rsidR="009B002C" w:rsidRPr="00326DB1" w:rsidRDefault="009B002C" w:rsidP="009B002C">
            <w:pPr>
              <w:pStyle w:val="Other0"/>
              <w:shd w:val="clear" w:color="auto" w:fill="auto"/>
              <w:ind w:firstLine="0"/>
              <w:jc w:val="center"/>
              <w:rPr>
                <w:szCs w:val="24"/>
                <w:lang w:val="en-US"/>
              </w:rPr>
            </w:pPr>
            <w:r w:rsidRPr="00326DB1">
              <w:rPr>
                <w:szCs w:val="24"/>
                <w:lang w:val="en-US"/>
              </w:rPr>
              <w:t>74</w:t>
            </w:r>
          </w:p>
        </w:tc>
      </w:tr>
    </w:tbl>
    <w:p w14:paraId="3C208BE7" w14:textId="77777777" w:rsidR="00D07FDD" w:rsidRPr="00326DB1" w:rsidRDefault="00D07FDD" w:rsidP="00D07FDD">
      <w:pPr>
        <w:rPr>
          <w:rFonts w:ascii="Times New Roman" w:hAnsi="Times New Roman" w:cs="Times New Roman"/>
          <w:i/>
          <w:lang w:val="en-US"/>
        </w:rPr>
      </w:pPr>
    </w:p>
    <w:p w14:paraId="47A3F9C1" w14:textId="77777777" w:rsidR="00D07FDD" w:rsidRPr="00326DB1" w:rsidRDefault="00D07FDD" w:rsidP="009B002C">
      <w:pPr>
        <w:pStyle w:val="BodyText"/>
        <w:shd w:val="clear" w:color="auto" w:fill="auto"/>
        <w:ind w:firstLine="0"/>
        <w:rPr>
          <w:sz w:val="24"/>
          <w:szCs w:val="24"/>
          <w:lang w:val="en-US"/>
        </w:rPr>
      </w:pPr>
      <w:r w:rsidRPr="00326DB1">
        <w:rPr>
          <w:sz w:val="24"/>
          <w:szCs w:val="24"/>
          <w:lang w:val="en-US"/>
        </w:rPr>
        <w:t xml:space="preserve">it is less easy to understand the disadvantage of the larger tube. Our interpretation is that, </w:t>
      </w:r>
      <w:r w:rsidR="00326DB1">
        <w:rPr>
          <w:sz w:val="24"/>
          <w:szCs w:val="24"/>
          <w:lang w:val="en-US"/>
        </w:rPr>
        <w:t>e</w:t>
      </w:r>
      <w:r w:rsidRPr="00326DB1">
        <w:rPr>
          <w:sz w:val="24"/>
          <w:szCs w:val="24"/>
          <w:lang w:val="en-US"/>
        </w:rPr>
        <w:t xml:space="preserve">specially in the early days, we used Matthys in smaller pneumothoraxes, while larger ones, which were therefore more prolonged in terms of resolution, were treated with Argyle. The latter therapy, as was predictable, </w:t>
      </w:r>
      <w:r w:rsidR="00326DB1">
        <w:rPr>
          <w:sz w:val="24"/>
          <w:szCs w:val="24"/>
          <w:lang w:val="en-US"/>
        </w:rPr>
        <w:t xml:space="preserve">does, however, have </w:t>
      </w:r>
      <w:r w:rsidRPr="00326DB1">
        <w:rPr>
          <w:sz w:val="24"/>
          <w:szCs w:val="24"/>
          <w:lang w:val="en-US"/>
        </w:rPr>
        <w:t>a statistically significant lower resolution time compared to conservative treatment.</w:t>
      </w:r>
    </w:p>
    <w:p w14:paraId="78B13CF9" w14:textId="77777777" w:rsidR="00D07FDD" w:rsidRPr="00326DB1" w:rsidRDefault="00D07FDD" w:rsidP="00326DB1">
      <w:pPr>
        <w:pStyle w:val="BodyText"/>
        <w:shd w:val="clear" w:color="auto" w:fill="auto"/>
        <w:rPr>
          <w:sz w:val="24"/>
          <w:szCs w:val="24"/>
          <w:lang w:val="en-US"/>
        </w:rPr>
      </w:pPr>
      <w:r w:rsidRPr="00326DB1">
        <w:rPr>
          <w:sz w:val="24"/>
          <w:szCs w:val="24"/>
          <w:lang w:val="en-US"/>
        </w:rPr>
        <w:t>We did not evaluate the results of ‘combined’ pleurodesis treatments due to the small number of cases.</w:t>
      </w:r>
    </w:p>
    <w:p w14:paraId="427D10D2" w14:textId="77777777" w:rsidR="00D07FDD" w:rsidRPr="00326DB1" w:rsidRDefault="00D07FDD" w:rsidP="00D07FDD">
      <w:pPr>
        <w:pStyle w:val="Heading40"/>
        <w:keepNext/>
        <w:keepLines/>
        <w:shd w:val="clear" w:color="auto" w:fill="auto"/>
        <w:jc w:val="both"/>
        <w:rPr>
          <w:sz w:val="24"/>
          <w:szCs w:val="24"/>
          <w:lang w:val="en-US"/>
        </w:rPr>
      </w:pPr>
      <w:bookmarkStart w:id="7" w:name="bookmark6"/>
    </w:p>
    <w:p w14:paraId="52FB2593" w14:textId="77777777" w:rsidR="00D07FDD" w:rsidRPr="00326DB1" w:rsidRDefault="00D07FDD" w:rsidP="009B002C">
      <w:pPr>
        <w:pStyle w:val="Heading40"/>
        <w:keepNext/>
        <w:keepLines/>
        <w:shd w:val="clear" w:color="auto" w:fill="auto"/>
        <w:jc w:val="both"/>
        <w:rPr>
          <w:sz w:val="24"/>
          <w:szCs w:val="24"/>
          <w:lang w:val="en-US"/>
        </w:rPr>
      </w:pPr>
      <w:r w:rsidRPr="00326DB1">
        <w:rPr>
          <w:sz w:val="24"/>
          <w:szCs w:val="24"/>
          <w:lang w:val="en-US"/>
        </w:rPr>
        <w:t>Discussion</w:t>
      </w:r>
      <w:bookmarkEnd w:id="7"/>
    </w:p>
    <w:p w14:paraId="07DD57B7" w14:textId="77777777" w:rsidR="00D07FDD" w:rsidRPr="00326DB1" w:rsidRDefault="00D07FDD" w:rsidP="009B002C">
      <w:pPr>
        <w:pStyle w:val="BodyText"/>
        <w:shd w:val="clear" w:color="auto" w:fill="auto"/>
        <w:rPr>
          <w:sz w:val="24"/>
          <w:szCs w:val="24"/>
          <w:lang w:val="en-US"/>
        </w:rPr>
      </w:pPr>
      <w:r w:rsidRPr="00326DB1">
        <w:rPr>
          <w:sz w:val="24"/>
          <w:szCs w:val="24"/>
          <w:lang w:val="en-US"/>
        </w:rPr>
        <w:t>The alternatives currently available in the treatment of pneumothorax are:</w:t>
      </w:r>
    </w:p>
    <w:p w14:paraId="517ABCC1" w14:textId="77777777" w:rsidR="00D07FDD" w:rsidRPr="00326DB1" w:rsidRDefault="00D07FDD" w:rsidP="009B002C">
      <w:pPr>
        <w:pStyle w:val="BodyText"/>
        <w:numPr>
          <w:ilvl w:val="0"/>
          <w:numId w:val="3"/>
        </w:numPr>
        <w:shd w:val="clear" w:color="auto" w:fill="auto"/>
        <w:rPr>
          <w:sz w:val="24"/>
          <w:szCs w:val="24"/>
          <w:lang w:val="en-US"/>
        </w:rPr>
      </w:pPr>
      <w:r w:rsidRPr="00326DB1">
        <w:rPr>
          <w:sz w:val="24"/>
          <w:szCs w:val="24"/>
          <w:lang w:val="en-US"/>
        </w:rPr>
        <w:t>Watchful waiting</w:t>
      </w:r>
    </w:p>
    <w:p w14:paraId="6CA81792" w14:textId="77777777" w:rsidR="00D07FDD" w:rsidRPr="00326DB1" w:rsidRDefault="00D07FDD" w:rsidP="009B002C">
      <w:pPr>
        <w:pStyle w:val="BodyText"/>
        <w:numPr>
          <w:ilvl w:val="0"/>
          <w:numId w:val="3"/>
        </w:numPr>
        <w:shd w:val="clear" w:color="auto" w:fill="auto"/>
        <w:tabs>
          <w:tab w:val="left" w:pos="231"/>
        </w:tabs>
        <w:rPr>
          <w:sz w:val="24"/>
          <w:szCs w:val="24"/>
          <w:lang w:val="en-US"/>
        </w:rPr>
      </w:pPr>
      <w:r w:rsidRPr="00326DB1">
        <w:rPr>
          <w:sz w:val="24"/>
          <w:szCs w:val="24"/>
          <w:lang w:val="en-US"/>
        </w:rPr>
        <w:t>Pleural catheter placement with or without 'negative pressure' aspiration</w:t>
      </w:r>
    </w:p>
    <w:p w14:paraId="079D259E" w14:textId="77777777" w:rsidR="00D07FDD" w:rsidRPr="00326DB1" w:rsidRDefault="00D07FDD" w:rsidP="009B002C">
      <w:pPr>
        <w:pStyle w:val="BodyText"/>
        <w:numPr>
          <w:ilvl w:val="0"/>
          <w:numId w:val="3"/>
        </w:numPr>
        <w:shd w:val="clear" w:color="auto" w:fill="auto"/>
        <w:rPr>
          <w:sz w:val="24"/>
          <w:szCs w:val="24"/>
          <w:lang w:val="en-US"/>
        </w:rPr>
      </w:pPr>
      <w:r w:rsidRPr="00326DB1">
        <w:rPr>
          <w:sz w:val="24"/>
          <w:szCs w:val="24"/>
          <w:lang w:val="en-US"/>
        </w:rPr>
        <w:t>Surgery</w:t>
      </w:r>
    </w:p>
    <w:p w14:paraId="32B8CF54" w14:textId="67A736EC" w:rsidR="00D07FDD" w:rsidRPr="00326DB1" w:rsidRDefault="00D07FDD" w:rsidP="009B002C">
      <w:pPr>
        <w:pStyle w:val="BodyText"/>
        <w:shd w:val="clear" w:color="auto" w:fill="auto"/>
        <w:rPr>
          <w:sz w:val="24"/>
          <w:szCs w:val="24"/>
          <w:lang w:val="en-US"/>
        </w:rPr>
      </w:pPr>
      <w:r w:rsidRPr="00326DB1">
        <w:rPr>
          <w:sz w:val="24"/>
          <w:szCs w:val="24"/>
          <w:lang w:val="en-US"/>
        </w:rPr>
        <w:t xml:space="preserve">In our experience, the first option is rarely </w:t>
      </w:r>
      <w:r w:rsidR="009B002C" w:rsidRPr="00326DB1">
        <w:rPr>
          <w:sz w:val="24"/>
          <w:szCs w:val="24"/>
          <w:lang w:val="en-US"/>
        </w:rPr>
        <w:t>practiced</w:t>
      </w:r>
      <w:r w:rsidRPr="00326DB1">
        <w:rPr>
          <w:sz w:val="24"/>
          <w:szCs w:val="24"/>
          <w:lang w:val="en-US"/>
        </w:rPr>
        <w:t>. The second option is generally preferred and in recent years, therefore, treatment of PNX has become the domain of surgeons. A 'surgical' chest tube is not very comfortable, is painful</w:t>
      </w:r>
      <w:r w:rsidR="00E938D6">
        <w:rPr>
          <w:sz w:val="24"/>
          <w:szCs w:val="24"/>
          <w:lang w:val="en-US"/>
        </w:rPr>
        <w:t>,</w:t>
      </w:r>
      <w:r w:rsidRPr="00326DB1">
        <w:rPr>
          <w:sz w:val="24"/>
          <w:szCs w:val="24"/>
          <w:lang w:val="en-US"/>
        </w:rPr>
        <w:t xml:space="preserve"> and can be a source of more serious and frequent complications, depending on its diameter. Leaving aside clinical rarities, the most frequent drawbacks seem to be hemothorax, empyema, parenchymal lacerations or injuries to intercostal vessels (4).</w:t>
      </w:r>
    </w:p>
    <w:p w14:paraId="76F69471" w14:textId="77777777" w:rsidR="00D07FDD" w:rsidRPr="00326DB1" w:rsidRDefault="00D07FDD" w:rsidP="009B002C">
      <w:pPr>
        <w:pStyle w:val="BodyText"/>
        <w:shd w:val="clear" w:color="auto" w:fill="auto"/>
        <w:rPr>
          <w:sz w:val="24"/>
          <w:szCs w:val="24"/>
          <w:lang w:val="en-US"/>
        </w:rPr>
      </w:pPr>
      <w:r w:rsidRPr="00326DB1">
        <w:rPr>
          <w:sz w:val="24"/>
          <w:szCs w:val="24"/>
          <w:lang w:val="en-US"/>
        </w:rPr>
        <w:t>In recent years, we have used</w:t>
      </w:r>
    </w:p>
    <w:p w14:paraId="6CA9A577" w14:textId="77777777" w:rsidR="009D5A8F" w:rsidRPr="00326DB1" w:rsidRDefault="009D5A8F">
      <w:pPr>
        <w:spacing w:line="360" w:lineRule="exact"/>
        <w:rPr>
          <w:lang w:val="en-US"/>
        </w:rPr>
      </w:pPr>
    </w:p>
    <w:p w14:paraId="433DAE28" w14:textId="7DF8C3B0" w:rsidR="009D5A8F" w:rsidRPr="009B002C" w:rsidRDefault="00D07FDD" w:rsidP="009B002C">
      <w:pPr>
        <w:pStyle w:val="BodyText"/>
        <w:pBdr>
          <w:top w:val="single" w:sz="4" w:space="1" w:color="auto"/>
        </w:pBdr>
        <w:shd w:val="clear" w:color="auto" w:fill="auto"/>
        <w:spacing w:line="226" w:lineRule="auto"/>
        <w:ind w:firstLine="0"/>
        <w:rPr>
          <w:szCs w:val="24"/>
          <w:lang w:val="en-US"/>
        </w:rPr>
      </w:pPr>
      <w:r w:rsidRPr="009B002C">
        <w:rPr>
          <w:szCs w:val="24"/>
          <w:lang w:val="en-US"/>
        </w:rPr>
        <w:t>Table 4</w:t>
      </w:r>
      <w:r w:rsidR="0073718A">
        <w:rPr>
          <w:szCs w:val="24"/>
          <w:lang w:val="en-US"/>
        </w:rPr>
        <w:t xml:space="preserve"> </w:t>
      </w:r>
      <w:r w:rsidR="0073718A" w:rsidRPr="0073718A">
        <w:rPr>
          <w:rFonts w:eastAsia="Microsoft Sans Serif"/>
          <w:sz w:val="16"/>
          <w:szCs w:val="24"/>
          <w:lang w:val="en-US"/>
        </w:rPr>
        <w:t>–</w:t>
      </w:r>
      <w:r w:rsidRPr="009B002C">
        <w:rPr>
          <w:szCs w:val="24"/>
          <w:lang w:val="en-US"/>
        </w:rPr>
        <w:t xml:space="preserve"> Complications observed by treatment type 2 = 11.1425 (N 8) p&gt;0.01.</w:t>
      </w:r>
    </w:p>
    <w:tbl>
      <w:tblPr>
        <w:tblW w:w="0" w:type="auto"/>
        <w:tblCellMar>
          <w:left w:w="10" w:type="dxa"/>
          <w:right w:w="10" w:type="dxa"/>
        </w:tblCellMar>
        <w:tblLook w:val="0000" w:firstRow="0" w:lastRow="0" w:firstColumn="0" w:lastColumn="0" w:noHBand="0" w:noVBand="0"/>
      </w:tblPr>
      <w:tblGrid>
        <w:gridCol w:w="993"/>
        <w:gridCol w:w="850"/>
        <w:gridCol w:w="992"/>
        <w:gridCol w:w="834"/>
        <w:gridCol w:w="715"/>
        <w:gridCol w:w="443"/>
      </w:tblGrid>
      <w:tr w:rsidR="006106BA" w:rsidRPr="009B002C" w14:paraId="6C96BBF6" w14:textId="77777777" w:rsidTr="009B002C">
        <w:tc>
          <w:tcPr>
            <w:tcW w:w="0" w:type="auto"/>
            <w:gridSpan w:val="5"/>
            <w:tcBorders>
              <w:top w:val="single" w:sz="4" w:space="0" w:color="auto"/>
            </w:tcBorders>
            <w:shd w:val="clear" w:color="auto" w:fill="FFFFFF"/>
          </w:tcPr>
          <w:p w14:paraId="304F0BF9" w14:textId="77777777" w:rsidR="006106BA" w:rsidRPr="009B002C" w:rsidRDefault="006106BA" w:rsidP="00D07FDD">
            <w:pPr>
              <w:rPr>
                <w:sz w:val="20"/>
                <w:lang w:val="en-US"/>
              </w:rPr>
            </w:pPr>
          </w:p>
        </w:tc>
        <w:tc>
          <w:tcPr>
            <w:tcW w:w="0" w:type="auto"/>
            <w:tcBorders>
              <w:top w:val="single" w:sz="4" w:space="0" w:color="auto"/>
            </w:tcBorders>
            <w:shd w:val="clear" w:color="auto" w:fill="FFFFFF"/>
          </w:tcPr>
          <w:p w14:paraId="638B2852" w14:textId="77777777" w:rsidR="006106BA" w:rsidRPr="009B002C" w:rsidRDefault="006106BA" w:rsidP="00D07FDD">
            <w:pPr>
              <w:rPr>
                <w:sz w:val="20"/>
                <w:lang w:val="en-US"/>
              </w:rPr>
            </w:pPr>
          </w:p>
        </w:tc>
      </w:tr>
      <w:tr w:rsidR="006106BA" w:rsidRPr="009B002C" w14:paraId="3E4FC350" w14:textId="77777777" w:rsidTr="009B002C">
        <w:tc>
          <w:tcPr>
            <w:tcW w:w="993" w:type="dxa"/>
            <w:tcBorders>
              <w:bottom w:val="single" w:sz="4" w:space="0" w:color="auto"/>
            </w:tcBorders>
            <w:shd w:val="clear" w:color="auto" w:fill="FFFFFF"/>
            <w:vAlign w:val="center"/>
          </w:tcPr>
          <w:p w14:paraId="6DB5B4F7" w14:textId="77777777" w:rsidR="006106BA" w:rsidRPr="009B002C" w:rsidRDefault="006106BA" w:rsidP="00D07FDD">
            <w:pPr>
              <w:pStyle w:val="Other0"/>
              <w:shd w:val="clear" w:color="auto" w:fill="auto"/>
              <w:ind w:firstLine="0"/>
              <w:jc w:val="left"/>
              <w:rPr>
                <w:szCs w:val="24"/>
                <w:lang w:val="en-US"/>
              </w:rPr>
            </w:pPr>
            <w:r w:rsidRPr="009B002C">
              <w:rPr>
                <w:szCs w:val="24"/>
                <w:lang w:val="en-US"/>
              </w:rPr>
              <w:t>Complic.</w:t>
            </w:r>
          </w:p>
        </w:tc>
        <w:tc>
          <w:tcPr>
            <w:tcW w:w="850" w:type="dxa"/>
            <w:tcBorders>
              <w:bottom w:val="single" w:sz="4" w:space="0" w:color="auto"/>
            </w:tcBorders>
            <w:shd w:val="clear" w:color="auto" w:fill="FFFFFF"/>
            <w:vAlign w:val="center"/>
          </w:tcPr>
          <w:p w14:paraId="6EEC5772" w14:textId="77777777" w:rsidR="006106BA" w:rsidRPr="009B002C" w:rsidRDefault="006106BA" w:rsidP="00D07FDD">
            <w:pPr>
              <w:pStyle w:val="Other0"/>
              <w:shd w:val="clear" w:color="auto" w:fill="auto"/>
              <w:ind w:firstLine="0"/>
              <w:jc w:val="center"/>
              <w:rPr>
                <w:szCs w:val="24"/>
                <w:lang w:val="en-US"/>
              </w:rPr>
            </w:pPr>
            <w:r w:rsidRPr="009B002C">
              <w:rPr>
                <w:szCs w:val="24"/>
                <w:lang w:val="en-US"/>
              </w:rPr>
              <w:t>Matthys</w:t>
            </w:r>
          </w:p>
        </w:tc>
        <w:tc>
          <w:tcPr>
            <w:tcW w:w="992" w:type="dxa"/>
            <w:tcBorders>
              <w:bottom w:val="single" w:sz="4" w:space="0" w:color="auto"/>
            </w:tcBorders>
            <w:shd w:val="clear" w:color="auto" w:fill="FFFFFF"/>
            <w:vAlign w:val="center"/>
          </w:tcPr>
          <w:p w14:paraId="7BE3AA05" w14:textId="77777777" w:rsidR="006106BA" w:rsidRPr="009B002C" w:rsidRDefault="006106BA" w:rsidP="00D07FDD">
            <w:pPr>
              <w:pStyle w:val="Other0"/>
              <w:shd w:val="clear" w:color="auto" w:fill="auto"/>
              <w:ind w:firstLine="0"/>
              <w:jc w:val="center"/>
              <w:rPr>
                <w:szCs w:val="24"/>
                <w:lang w:val="en-US"/>
              </w:rPr>
            </w:pPr>
            <w:r w:rsidRPr="009B002C">
              <w:rPr>
                <w:szCs w:val="24"/>
                <w:lang w:val="en-US"/>
              </w:rPr>
              <w:t>Argyle</w:t>
            </w:r>
          </w:p>
        </w:tc>
        <w:tc>
          <w:tcPr>
            <w:tcW w:w="834" w:type="dxa"/>
            <w:tcBorders>
              <w:bottom w:val="single" w:sz="4" w:space="0" w:color="auto"/>
            </w:tcBorders>
            <w:shd w:val="clear" w:color="auto" w:fill="FFFFFF"/>
            <w:vAlign w:val="center"/>
          </w:tcPr>
          <w:p w14:paraId="67FE7A86" w14:textId="77777777" w:rsidR="006106BA" w:rsidRPr="009B002C" w:rsidRDefault="006106BA" w:rsidP="00D07FDD">
            <w:pPr>
              <w:pStyle w:val="Other0"/>
              <w:shd w:val="clear" w:color="auto" w:fill="auto"/>
              <w:ind w:firstLine="0"/>
              <w:jc w:val="center"/>
              <w:rPr>
                <w:szCs w:val="24"/>
                <w:lang w:val="en-US"/>
              </w:rPr>
            </w:pPr>
            <w:r w:rsidRPr="009B002C">
              <w:rPr>
                <w:szCs w:val="24"/>
                <w:lang w:val="en-US"/>
              </w:rPr>
              <w:t>Conserv.</w:t>
            </w:r>
          </w:p>
        </w:tc>
        <w:tc>
          <w:tcPr>
            <w:tcW w:w="0" w:type="auto"/>
            <w:tcBorders>
              <w:bottom w:val="single" w:sz="4" w:space="0" w:color="auto"/>
            </w:tcBorders>
            <w:shd w:val="clear" w:color="auto" w:fill="FFFFFF"/>
            <w:vAlign w:val="center"/>
          </w:tcPr>
          <w:p w14:paraId="28AF587F" w14:textId="77777777" w:rsidR="006106BA" w:rsidRPr="009B002C" w:rsidRDefault="006106BA" w:rsidP="00D07FDD">
            <w:pPr>
              <w:pStyle w:val="Other0"/>
              <w:shd w:val="clear" w:color="auto" w:fill="auto"/>
              <w:ind w:firstLine="0"/>
              <w:jc w:val="left"/>
              <w:rPr>
                <w:szCs w:val="24"/>
                <w:lang w:val="en-US"/>
              </w:rPr>
            </w:pPr>
            <w:r w:rsidRPr="009B002C">
              <w:rPr>
                <w:szCs w:val="24"/>
                <w:lang w:val="en-US"/>
              </w:rPr>
              <w:t>Combin.</w:t>
            </w:r>
          </w:p>
        </w:tc>
        <w:tc>
          <w:tcPr>
            <w:tcW w:w="0" w:type="auto"/>
            <w:tcBorders>
              <w:bottom w:val="single" w:sz="4" w:space="0" w:color="auto"/>
            </w:tcBorders>
            <w:shd w:val="clear" w:color="auto" w:fill="FFFFFF"/>
            <w:vAlign w:val="center"/>
          </w:tcPr>
          <w:p w14:paraId="69E2D69A"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Total</w:t>
            </w:r>
          </w:p>
        </w:tc>
      </w:tr>
      <w:tr w:rsidR="006106BA" w:rsidRPr="009B002C" w14:paraId="562BF117" w14:textId="77777777" w:rsidTr="009B002C">
        <w:tc>
          <w:tcPr>
            <w:tcW w:w="993" w:type="dxa"/>
            <w:tcBorders>
              <w:top w:val="single" w:sz="4" w:space="0" w:color="auto"/>
            </w:tcBorders>
            <w:shd w:val="clear" w:color="auto" w:fill="FFFFFF"/>
            <w:vAlign w:val="bottom"/>
          </w:tcPr>
          <w:p w14:paraId="1504A716" w14:textId="77777777" w:rsidR="006106BA" w:rsidRPr="009B002C" w:rsidRDefault="006106BA" w:rsidP="00D07FDD">
            <w:pPr>
              <w:pStyle w:val="Other0"/>
              <w:shd w:val="clear" w:color="auto" w:fill="auto"/>
              <w:ind w:firstLine="0"/>
              <w:jc w:val="left"/>
              <w:rPr>
                <w:szCs w:val="24"/>
                <w:lang w:val="en-US"/>
              </w:rPr>
            </w:pPr>
            <w:r w:rsidRPr="009B002C">
              <w:rPr>
                <w:szCs w:val="24"/>
                <w:lang w:val="en-US"/>
              </w:rPr>
              <w:t>no</w:t>
            </w:r>
          </w:p>
          <w:p w14:paraId="6E8AB45B" w14:textId="77777777" w:rsidR="006106BA" w:rsidRPr="009B002C" w:rsidRDefault="006106BA" w:rsidP="00D07FDD">
            <w:pPr>
              <w:pStyle w:val="Other0"/>
              <w:shd w:val="clear" w:color="auto" w:fill="auto"/>
              <w:spacing w:line="221" w:lineRule="auto"/>
              <w:ind w:firstLine="0"/>
              <w:jc w:val="left"/>
              <w:rPr>
                <w:szCs w:val="24"/>
                <w:lang w:val="en-US"/>
              </w:rPr>
            </w:pPr>
            <w:r w:rsidRPr="009B002C">
              <w:rPr>
                <w:szCs w:val="24"/>
                <w:lang w:val="en-US"/>
              </w:rPr>
              <w:t>Subcut.</w:t>
            </w:r>
          </w:p>
        </w:tc>
        <w:tc>
          <w:tcPr>
            <w:tcW w:w="850" w:type="dxa"/>
            <w:tcBorders>
              <w:top w:val="single" w:sz="4" w:space="0" w:color="auto"/>
            </w:tcBorders>
            <w:shd w:val="clear" w:color="auto" w:fill="FFFFFF"/>
            <w:vAlign w:val="center"/>
          </w:tcPr>
          <w:p w14:paraId="5A35FE31" w14:textId="77777777" w:rsidR="006106BA" w:rsidRPr="009B002C" w:rsidRDefault="006106BA" w:rsidP="009B002C">
            <w:pPr>
              <w:pStyle w:val="Other0"/>
              <w:shd w:val="clear" w:color="auto" w:fill="auto"/>
              <w:ind w:left="-11" w:firstLine="0"/>
              <w:jc w:val="center"/>
              <w:rPr>
                <w:sz w:val="18"/>
                <w:szCs w:val="19"/>
                <w:lang w:val="en-US"/>
              </w:rPr>
            </w:pPr>
            <w:r w:rsidRPr="009B002C">
              <w:rPr>
                <w:sz w:val="18"/>
                <w:szCs w:val="19"/>
                <w:lang w:val="en-US"/>
              </w:rPr>
              <w:t>21 (77.8%)</w:t>
            </w:r>
          </w:p>
        </w:tc>
        <w:tc>
          <w:tcPr>
            <w:tcW w:w="992" w:type="dxa"/>
            <w:tcBorders>
              <w:top w:val="single" w:sz="4" w:space="0" w:color="auto"/>
            </w:tcBorders>
            <w:shd w:val="clear" w:color="auto" w:fill="FFFFFF"/>
            <w:vAlign w:val="center"/>
          </w:tcPr>
          <w:p w14:paraId="646596CF" w14:textId="77777777" w:rsidR="006106BA" w:rsidRPr="009B002C" w:rsidRDefault="006106BA" w:rsidP="009B002C">
            <w:pPr>
              <w:pStyle w:val="Other0"/>
              <w:shd w:val="clear" w:color="auto" w:fill="auto"/>
              <w:ind w:left="-152" w:right="-199" w:firstLine="0"/>
              <w:jc w:val="center"/>
              <w:rPr>
                <w:sz w:val="18"/>
                <w:szCs w:val="19"/>
                <w:lang w:val="en-US"/>
              </w:rPr>
            </w:pPr>
            <w:r w:rsidRPr="009B002C">
              <w:rPr>
                <w:sz w:val="18"/>
                <w:szCs w:val="19"/>
                <w:lang w:val="en-US"/>
              </w:rPr>
              <w:t>1</w:t>
            </w:r>
            <w:r w:rsidR="009B002C">
              <w:rPr>
                <w:sz w:val="18"/>
                <w:szCs w:val="19"/>
                <w:lang w:val="en-US"/>
              </w:rPr>
              <w:t xml:space="preserve">5 </w:t>
            </w:r>
            <w:r w:rsidRPr="009B002C">
              <w:rPr>
                <w:sz w:val="18"/>
                <w:szCs w:val="19"/>
                <w:lang w:val="en-US"/>
              </w:rPr>
              <w:t>(71.43%)</w:t>
            </w:r>
          </w:p>
        </w:tc>
        <w:tc>
          <w:tcPr>
            <w:tcW w:w="834" w:type="dxa"/>
            <w:tcBorders>
              <w:top w:val="single" w:sz="4" w:space="0" w:color="auto"/>
            </w:tcBorders>
            <w:shd w:val="clear" w:color="auto" w:fill="FFFFFF"/>
            <w:vAlign w:val="center"/>
          </w:tcPr>
          <w:p w14:paraId="28576A74" w14:textId="77777777" w:rsidR="006106BA" w:rsidRPr="009B002C" w:rsidRDefault="006106BA" w:rsidP="009B002C">
            <w:pPr>
              <w:pStyle w:val="Other0"/>
              <w:shd w:val="clear" w:color="auto" w:fill="auto"/>
              <w:ind w:right="-26" w:firstLine="0"/>
              <w:jc w:val="center"/>
              <w:rPr>
                <w:sz w:val="18"/>
                <w:szCs w:val="19"/>
                <w:lang w:val="en-US"/>
              </w:rPr>
            </w:pPr>
            <w:r w:rsidRPr="009B002C">
              <w:rPr>
                <w:sz w:val="18"/>
                <w:szCs w:val="19"/>
                <w:lang w:val="en-US"/>
              </w:rPr>
              <w:t>33 (91.7%)</w:t>
            </w:r>
          </w:p>
        </w:tc>
        <w:tc>
          <w:tcPr>
            <w:tcW w:w="0" w:type="auto"/>
            <w:tcBorders>
              <w:top w:val="single" w:sz="4" w:space="0" w:color="auto"/>
            </w:tcBorders>
            <w:shd w:val="clear" w:color="auto" w:fill="FFFFFF"/>
            <w:vAlign w:val="center"/>
          </w:tcPr>
          <w:p w14:paraId="3C9BA328" w14:textId="77777777" w:rsidR="006106BA" w:rsidRPr="009B002C" w:rsidRDefault="006106BA" w:rsidP="006106BA">
            <w:pPr>
              <w:pStyle w:val="Other0"/>
              <w:shd w:val="clear" w:color="auto" w:fill="auto"/>
              <w:tabs>
                <w:tab w:val="left" w:pos="906"/>
              </w:tabs>
              <w:ind w:left="-15" w:firstLine="0"/>
              <w:jc w:val="center"/>
              <w:rPr>
                <w:sz w:val="18"/>
                <w:szCs w:val="19"/>
                <w:lang w:val="en-US"/>
              </w:rPr>
            </w:pPr>
            <w:r w:rsidRPr="009B002C">
              <w:rPr>
                <w:sz w:val="18"/>
                <w:szCs w:val="19"/>
                <w:lang w:val="en-US"/>
              </w:rPr>
              <w:t>3</w:t>
            </w:r>
          </w:p>
        </w:tc>
        <w:tc>
          <w:tcPr>
            <w:tcW w:w="0" w:type="auto"/>
            <w:tcBorders>
              <w:top w:val="single" w:sz="4" w:space="0" w:color="auto"/>
            </w:tcBorders>
            <w:shd w:val="clear" w:color="auto" w:fill="FFFFFF"/>
            <w:vAlign w:val="center"/>
          </w:tcPr>
          <w:p w14:paraId="39CF0628" w14:textId="77777777" w:rsidR="006106BA" w:rsidRPr="009B002C" w:rsidRDefault="006106BA" w:rsidP="006106BA">
            <w:pPr>
              <w:pStyle w:val="Other0"/>
              <w:shd w:val="clear" w:color="auto" w:fill="auto"/>
              <w:tabs>
                <w:tab w:val="left" w:pos="906"/>
              </w:tabs>
              <w:ind w:firstLine="0"/>
              <w:jc w:val="center"/>
              <w:rPr>
                <w:sz w:val="18"/>
                <w:szCs w:val="19"/>
                <w:lang w:val="en-US"/>
              </w:rPr>
            </w:pPr>
            <w:r w:rsidRPr="009B002C">
              <w:rPr>
                <w:sz w:val="18"/>
                <w:szCs w:val="19"/>
                <w:lang w:val="en-US"/>
              </w:rPr>
              <w:t>72</w:t>
            </w:r>
          </w:p>
        </w:tc>
      </w:tr>
      <w:tr w:rsidR="006106BA" w:rsidRPr="009B002C" w14:paraId="29410568" w14:textId="77777777" w:rsidTr="009B002C">
        <w:tc>
          <w:tcPr>
            <w:tcW w:w="993" w:type="dxa"/>
            <w:shd w:val="clear" w:color="auto" w:fill="FFFFFF"/>
            <w:vAlign w:val="bottom"/>
          </w:tcPr>
          <w:p w14:paraId="6ECCE0E9" w14:textId="77777777" w:rsidR="006106BA" w:rsidRPr="009B002C" w:rsidRDefault="006106BA" w:rsidP="00D07FDD">
            <w:pPr>
              <w:pStyle w:val="Other0"/>
              <w:shd w:val="clear" w:color="auto" w:fill="auto"/>
              <w:ind w:firstLine="0"/>
              <w:jc w:val="left"/>
              <w:rPr>
                <w:szCs w:val="24"/>
                <w:lang w:val="en-US"/>
              </w:rPr>
            </w:pPr>
            <w:r w:rsidRPr="009B002C">
              <w:rPr>
                <w:szCs w:val="24"/>
                <w:lang w:val="en-US"/>
              </w:rPr>
              <w:t>emphysema</w:t>
            </w:r>
          </w:p>
        </w:tc>
        <w:tc>
          <w:tcPr>
            <w:tcW w:w="850" w:type="dxa"/>
            <w:shd w:val="clear" w:color="auto" w:fill="FFFFFF"/>
            <w:vAlign w:val="center"/>
          </w:tcPr>
          <w:p w14:paraId="44DD3784" w14:textId="77777777" w:rsidR="006106BA" w:rsidRPr="009B002C" w:rsidRDefault="006106BA" w:rsidP="006106BA">
            <w:pPr>
              <w:pStyle w:val="Other0"/>
              <w:shd w:val="clear" w:color="auto" w:fill="auto"/>
              <w:ind w:right="80" w:firstLine="0"/>
              <w:jc w:val="center"/>
              <w:rPr>
                <w:sz w:val="18"/>
                <w:szCs w:val="19"/>
                <w:lang w:val="en-US"/>
              </w:rPr>
            </w:pPr>
            <w:r w:rsidRPr="009B002C">
              <w:rPr>
                <w:sz w:val="18"/>
                <w:szCs w:val="19"/>
                <w:lang w:val="en-US"/>
              </w:rPr>
              <w:t>1 (3.7%)</w:t>
            </w:r>
          </w:p>
        </w:tc>
        <w:tc>
          <w:tcPr>
            <w:tcW w:w="992" w:type="dxa"/>
            <w:shd w:val="clear" w:color="auto" w:fill="FFFFFF"/>
            <w:vAlign w:val="center"/>
          </w:tcPr>
          <w:p w14:paraId="75A799F1"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3 (14.3%)</w:t>
            </w:r>
          </w:p>
        </w:tc>
        <w:tc>
          <w:tcPr>
            <w:tcW w:w="834" w:type="dxa"/>
            <w:shd w:val="clear" w:color="auto" w:fill="FFFFFF"/>
            <w:vAlign w:val="center"/>
          </w:tcPr>
          <w:p w14:paraId="39C9AE55"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2 (5.5%)</w:t>
            </w:r>
          </w:p>
        </w:tc>
        <w:tc>
          <w:tcPr>
            <w:tcW w:w="0" w:type="auto"/>
            <w:shd w:val="clear" w:color="auto" w:fill="FFFFFF"/>
            <w:vAlign w:val="center"/>
          </w:tcPr>
          <w:p w14:paraId="0931CF6B" w14:textId="77777777" w:rsidR="006106BA" w:rsidRPr="009B002C" w:rsidRDefault="006106BA" w:rsidP="006106BA">
            <w:pPr>
              <w:pStyle w:val="Other0"/>
              <w:shd w:val="clear" w:color="auto" w:fill="auto"/>
              <w:ind w:left="-15" w:firstLine="0"/>
              <w:jc w:val="center"/>
              <w:rPr>
                <w:sz w:val="18"/>
                <w:szCs w:val="19"/>
                <w:lang w:val="en-US"/>
              </w:rPr>
            </w:pPr>
            <w:r w:rsidRPr="009B002C">
              <w:rPr>
                <w:sz w:val="18"/>
                <w:szCs w:val="19"/>
                <w:lang w:val="en-US"/>
              </w:rPr>
              <w:t>0</w:t>
            </w:r>
          </w:p>
        </w:tc>
        <w:tc>
          <w:tcPr>
            <w:tcW w:w="0" w:type="auto"/>
            <w:shd w:val="clear" w:color="auto" w:fill="FFFFFF"/>
            <w:vAlign w:val="center"/>
          </w:tcPr>
          <w:p w14:paraId="56EEFBDC"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6</w:t>
            </w:r>
          </w:p>
        </w:tc>
      </w:tr>
      <w:tr w:rsidR="006106BA" w:rsidRPr="009B002C" w14:paraId="0327BEBC" w14:textId="77777777" w:rsidTr="009B002C">
        <w:tc>
          <w:tcPr>
            <w:tcW w:w="993" w:type="dxa"/>
            <w:shd w:val="clear" w:color="auto" w:fill="FFFFFF"/>
          </w:tcPr>
          <w:p w14:paraId="3E79427E" w14:textId="77777777" w:rsidR="006106BA" w:rsidRPr="009B002C" w:rsidRDefault="006106BA" w:rsidP="00D07FDD">
            <w:pPr>
              <w:pStyle w:val="Other0"/>
              <w:shd w:val="clear" w:color="auto" w:fill="auto"/>
              <w:ind w:firstLine="0"/>
              <w:jc w:val="left"/>
              <w:rPr>
                <w:szCs w:val="24"/>
                <w:lang w:val="en-US"/>
              </w:rPr>
            </w:pPr>
            <w:r w:rsidRPr="009B002C">
              <w:rPr>
                <w:szCs w:val="24"/>
                <w:lang w:val="en-US"/>
              </w:rPr>
              <w:t>Chest</w:t>
            </w:r>
          </w:p>
          <w:p w14:paraId="4CF8C233" w14:textId="77777777" w:rsidR="006106BA" w:rsidRPr="009B002C" w:rsidRDefault="006106BA" w:rsidP="00D07FDD">
            <w:pPr>
              <w:pStyle w:val="Other0"/>
              <w:shd w:val="clear" w:color="auto" w:fill="auto"/>
              <w:spacing w:line="221" w:lineRule="auto"/>
              <w:ind w:firstLine="0"/>
              <w:jc w:val="left"/>
              <w:rPr>
                <w:szCs w:val="24"/>
                <w:lang w:val="en-US"/>
              </w:rPr>
            </w:pPr>
            <w:r w:rsidRPr="009B002C">
              <w:rPr>
                <w:szCs w:val="24"/>
                <w:lang w:val="en-US"/>
              </w:rPr>
              <w:t>pain</w:t>
            </w:r>
          </w:p>
        </w:tc>
        <w:tc>
          <w:tcPr>
            <w:tcW w:w="850" w:type="dxa"/>
            <w:shd w:val="clear" w:color="auto" w:fill="FFFFFF"/>
            <w:vAlign w:val="center"/>
          </w:tcPr>
          <w:p w14:paraId="7E3F03FA"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1</w:t>
            </w:r>
          </w:p>
        </w:tc>
        <w:tc>
          <w:tcPr>
            <w:tcW w:w="992" w:type="dxa"/>
            <w:shd w:val="clear" w:color="auto" w:fill="FFFFFF"/>
            <w:vAlign w:val="center"/>
          </w:tcPr>
          <w:p w14:paraId="52888BC6"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0</w:t>
            </w:r>
          </w:p>
        </w:tc>
        <w:tc>
          <w:tcPr>
            <w:tcW w:w="834" w:type="dxa"/>
            <w:shd w:val="clear" w:color="auto" w:fill="FFFFFF"/>
            <w:vAlign w:val="center"/>
          </w:tcPr>
          <w:p w14:paraId="5B6711CE"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0</w:t>
            </w:r>
          </w:p>
        </w:tc>
        <w:tc>
          <w:tcPr>
            <w:tcW w:w="0" w:type="auto"/>
            <w:shd w:val="clear" w:color="auto" w:fill="FFFFFF"/>
            <w:vAlign w:val="center"/>
          </w:tcPr>
          <w:p w14:paraId="1C22F4BD" w14:textId="77777777" w:rsidR="006106BA" w:rsidRPr="009B002C" w:rsidRDefault="006106BA" w:rsidP="006106BA">
            <w:pPr>
              <w:pStyle w:val="Other0"/>
              <w:shd w:val="clear" w:color="auto" w:fill="auto"/>
              <w:ind w:left="-15" w:firstLine="0"/>
              <w:jc w:val="center"/>
              <w:rPr>
                <w:sz w:val="18"/>
                <w:szCs w:val="19"/>
                <w:lang w:val="en-US"/>
              </w:rPr>
            </w:pPr>
            <w:r w:rsidRPr="009B002C">
              <w:rPr>
                <w:sz w:val="18"/>
                <w:szCs w:val="19"/>
                <w:lang w:val="en-US"/>
              </w:rPr>
              <w:t>0</w:t>
            </w:r>
          </w:p>
        </w:tc>
        <w:tc>
          <w:tcPr>
            <w:tcW w:w="0" w:type="auto"/>
            <w:shd w:val="clear" w:color="auto" w:fill="FFFFFF"/>
            <w:vAlign w:val="center"/>
          </w:tcPr>
          <w:p w14:paraId="0413B587"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1</w:t>
            </w:r>
          </w:p>
        </w:tc>
      </w:tr>
      <w:tr w:rsidR="006106BA" w:rsidRPr="009B002C" w14:paraId="51726DE1" w14:textId="77777777" w:rsidTr="009B002C">
        <w:tc>
          <w:tcPr>
            <w:tcW w:w="993" w:type="dxa"/>
            <w:shd w:val="clear" w:color="auto" w:fill="FFFFFF"/>
          </w:tcPr>
          <w:p w14:paraId="26CCD8BD" w14:textId="77777777" w:rsidR="006106BA" w:rsidRPr="009B002C" w:rsidRDefault="006106BA" w:rsidP="009B002C">
            <w:pPr>
              <w:pStyle w:val="Other0"/>
              <w:shd w:val="clear" w:color="auto" w:fill="auto"/>
              <w:ind w:firstLine="0"/>
              <w:jc w:val="left"/>
              <w:rPr>
                <w:szCs w:val="24"/>
                <w:lang w:val="en-US"/>
              </w:rPr>
            </w:pPr>
            <w:r w:rsidRPr="009B002C">
              <w:rPr>
                <w:szCs w:val="24"/>
                <w:lang w:val="en-US"/>
              </w:rPr>
              <w:t>No resolution</w:t>
            </w:r>
          </w:p>
        </w:tc>
        <w:tc>
          <w:tcPr>
            <w:tcW w:w="850" w:type="dxa"/>
            <w:shd w:val="clear" w:color="auto" w:fill="FFFFFF"/>
            <w:vAlign w:val="center"/>
          </w:tcPr>
          <w:p w14:paraId="1BA3851C" w14:textId="77777777" w:rsidR="006106BA" w:rsidRPr="009B002C" w:rsidRDefault="006106BA" w:rsidP="006106BA">
            <w:pPr>
              <w:pStyle w:val="Other0"/>
              <w:shd w:val="clear" w:color="auto" w:fill="auto"/>
              <w:ind w:right="80" w:firstLine="0"/>
              <w:jc w:val="center"/>
              <w:rPr>
                <w:sz w:val="18"/>
                <w:szCs w:val="19"/>
                <w:lang w:val="en-US"/>
              </w:rPr>
            </w:pPr>
            <w:r w:rsidRPr="009B002C">
              <w:rPr>
                <w:sz w:val="18"/>
                <w:szCs w:val="19"/>
                <w:lang w:val="en-US"/>
              </w:rPr>
              <w:t>3 (11.1%)</w:t>
            </w:r>
          </w:p>
        </w:tc>
        <w:tc>
          <w:tcPr>
            <w:tcW w:w="992" w:type="dxa"/>
            <w:shd w:val="clear" w:color="auto" w:fill="FFFFFF"/>
            <w:vAlign w:val="center"/>
          </w:tcPr>
          <w:p w14:paraId="6B36415C"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2 (9.5%)</w:t>
            </w:r>
          </w:p>
        </w:tc>
        <w:tc>
          <w:tcPr>
            <w:tcW w:w="834" w:type="dxa"/>
            <w:shd w:val="clear" w:color="auto" w:fill="FFFFFF"/>
            <w:vAlign w:val="center"/>
          </w:tcPr>
          <w:p w14:paraId="1B765D7C"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0</w:t>
            </w:r>
          </w:p>
        </w:tc>
        <w:tc>
          <w:tcPr>
            <w:tcW w:w="0" w:type="auto"/>
            <w:shd w:val="clear" w:color="auto" w:fill="FFFFFF"/>
            <w:vAlign w:val="center"/>
          </w:tcPr>
          <w:p w14:paraId="26ED29A7" w14:textId="77777777" w:rsidR="006106BA" w:rsidRPr="009B002C" w:rsidRDefault="006106BA" w:rsidP="006106BA">
            <w:pPr>
              <w:pStyle w:val="Other0"/>
              <w:shd w:val="clear" w:color="auto" w:fill="auto"/>
              <w:ind w:left="-15" w:firstLine="0"/>
              <w:jc w:val="center"/>
              <w:rPr>
                <w:sz w:val="18"/>
                <w:szCs w:val="19"/>
                <w:lang w:val="en-US"/>
              </w:rPr>
            </w:pPr>
            <w:r w:rsidRPr="009B002C">
              <w:rPr>
                <w:sz w:val="18"/>
                <w:szCs w:val="19"/>
                <w:lang w:val="en-US"/>
              </w:rPr>
              <w:t>1</w:t>
            </w:r>
          </w:p>
        </w:tc>
        <w:tc>
          <w:tcPr>
            <w:tcW w:w="0" w:type="auto"/>
            <w:shd w:val="clear" w:color="auto" w:fill="FFFFFF"/>
            <w:vAlign w:val="center"/>
          </w:tcPr>
          <w:p w14:paraId="7363A9B5"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6</w:t>
            </w:r>
          </w:p>
        </w:tc>
      </w:tr>
      <w:tr w:rsidR="006106BA" w:rsidRPr="00326DB1" w14:paraId="43156458" w14:textId="77777777" w:rsidTr="009B002C">
        <w:tc>
          <w:tcPr>
            <w:tcW w:w="993" w:type="dxa"/>
            <w:tcBorders>
              <w:top w:val="single" w:sz="4" w:space="0" w:color="auto"/>
              <w:bottom w:val="single" w:sz="4" w:space="0" w:color="auto"/>
            </w:tcBorders>
            <w:shd w:val="clear" w:color="auto" w:fill="FFFFFF"/>
            <w:vAlign w:val="center"/>
          </w:tcPr>
          <w:p w14:paraId="2DEE2496" w14:textId="77777777" w:rsidR="006106BA" w:rsidRPr="009B002C" w:rsidRDefault="006106BA" w:rsidP="00D07FDD">
            <w:pPr>
              <w:pStyle w:val="Other0"/>
              <w:shd w:val="clear" w:color="auto" w:fill="auto"/>
              <w:ind w:firstLine="0"/>
              <w:jc w:val="left"/>
              <w:rPr>
                <w:szCs w:val="24"/>
                <w:lang w:val="en-US"/>
              </w:rPr>
            </w:pPr>
            <w:r w:rsidRPr="009B002C">
              <w:rPr>
                <w:szCs w:val="24"/>
                <w:lang w:val="en-US"/>
              </w:rPr>
              <w:t>Total</w:t>
            </w:r>
          </w:p>
        </w:tc>
        <w:tc>
          <w:tcPr>
            <w:tcW w:w="850" w:type="dxa"/>
            <w:tcBorders>
              <w:top w:val="single" w:sz="4" w:space="0" w:color="auto"/>
              <w:bottom w:val="single" w:sz="4" w:space="0" w:color="auto"/>
            </w:tcBorders>
            <w:shd w:val="clear" w:color="auto" w:fill="FFFFFF"/>
            <w:vAlign w:val="center"/>
          </w:tcPr>
          <w:p w14:paraId="23FE4BC9"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27</w:t>
            </w:r>
          </w:p>
        </w:tc>
        <w:tc>
          <w:tcPr>
            <w:tcW w:w="992" w:type="dxa"/>
            <w:tcBorders>
              <w:top w:val="single" w:sz="4" w:space="0" w:color="auto"/>
              <w:bottom w:val="single" w:sz="4" w:space="0" w:color="auto"/>
            </w:tcBorders>
            <w:shd w:val="clear" w:color="auto" w:fill="FFFFFF"/>
            <w:vAlign w:val="center"/>
          </w:tcPr>
          <w:p w14:paraId="6DAE27D2"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21</w:t>
            </w:r>
          </w:p>
        </w:tc>
        <w:tc>
          <w:tcPr>
            <w:tcW w:w="834" w:type="dxa"/>
            <w:tcBorders>
              <w:top w:val="single" w:sz="4" w:space="0" w:color="auto"/>
              <w:bottom w:val="single" w:sz="4" w:space="0" w:color="auto"/>
            </w:tcBorders>
            <w:shd w:val="clear" w:color="auto" w:fill="FFFFFF"/>
            <w:vAlign w:val="center"/>
          </w:tcPr>
          <w:p w14:paraId="4D3AA045"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36</w:t>
            </w:r>
          </w:p>
        </w:tc>
        <w:tc>
          <w:tcPr>
            <w:tcW w:w="0" w:type="auto"/>
            <w:tcBorders>
              <w:top w:val="single" w:sz="4" w:space="0" w:color="auto"/>
              <w:bottom w:val="single" w:sz="4" w:space="0" w:color="auto"/>
            </w:tcBorders>
            <w:shd w:val="clear" w:color="auto" w:fill="FFFFFF"/>
            <w:vAlign w:val="center"/>
          </w:tcPr>
          <w:p w14:paraId="5D235001" w14:textId="77777777" w:rsidR="006106BA" w:rsidRPr="009B002C" w:rsidRDefault="006106BA" w:rsidP="006106BA">
            <w:pPr>
              <w:pStyle w:val="Other0"/>
              <w:shd w:val="clear" w:color="auto" w:fill="auto"/>
              <w:tabs>
                <w:tab w:val="left" w:pos="916"/>
              </w:tabs>
              <w:ind w:left="-15" w:firstLine="0"/>
              <w:jc w:val="center"/>
              <w:rPr>
                <w:sz w:val="18"/>
                <w:szCs w:val="19"/>
                <w:lang w:val="en-US"/>
              </w:rPr>
            </w:pPr>
            <w:r w:rsidRPr="009B002C">
              <w:rPr>
                <w:sz w:val="18"/>
                <w:szCs w:val="19"/>
                <w:lang w:val="en-US"/>
              </w:rPr>
              <w:t>4</w:t>
            </w:r>
          </w:p>
        </w:tc>
        <w:tc>
          <w:tcPr>
            <w:tcW w:w="0" w:type="auto"/>
            <w:tcBorders>
              <w:top w:val="single" w:sz="4" w:space="0" w:color="auto"/>
              <w:bottom w:val="single" w:sz="4" w:space="0" w:color="auto"/>
            </w:tcBorders>
            <w:shd w:val="clear" w:color="auto" w:fill="FFFFFF"/>
            <w:vAlign w:val="center"/>
          </w:tcPr>
          <w:p w14:paraId="2EC12782" w14:textId="77777777" w:rsidR="006106BA" w:rsidRPr="009B002C" w:rsidRDefault="006106BA" w:rsidP="006106BA">
            <w:pPr>
              <w:pStyle w:val="Other0"/>
              <w:shd w:val="clear" w:color="auto" w:fill="auto"/>
              <w:tabs>
                <w:tab w:val="left" w:pos="916"/>
              </w:tabs>
              <w:ind w:firstLine="0"/>
              <w:jc w:val="center"/>
              <w:rPr>
                <w:sz w:val="18"/>
                <w:szCs w:val="19"/>
                <w:lang w:val="en-US"/>
              </w:rPr>
            </w:pPr>
            <w:r w:rsidRPr="009B002C">
              <w:rPr>
                <w:sz w:val="18"/>
                <w:szCs w:val="19"/>
                <w:lang w:val="en-US"/>
              </w:rPr>
              <w:t>88</w:t>
            </w:r>
          </w:p>
        </w:tc>
      </w:tr>
    </w:tbl>
    <w:p w14:paraId="26B74DB3" w14:textId="77777777" w:rsidR="00D07FDD" w:rsidRDefault="00D07FDD">
      <w:pPr>
        <w:spacing w:line="360" w:lineRule="exact"/>
        <w:rPr>
          <w:lang w:val="en-US"/>
        </w:rPr>
      </w:pPr>
    </w:p>
    <w:p w14:paraId="612C9BAD" w14:textId="77777777" w:rsidR="009B002C" w:rsidRPr="00326DB1" w:rsidRDefault="009B002C">
      <w:pPr>
        <w:spacing w:line="360" w:lineRule="exact"/>
        <w:rPr>
          <w:lang w:val="en-US"/>
        </w:rPr>
      </w:pPr>
      <w:bookmarkStart w:id="8" w:name="_GoBack"/>
      <w:bookmarkEnd w:id="8"/>
    </w:p>
    <w:p w14:paraId="075D18EA" w14:textId="5BA38BF3" w:rsidR="006106BA" w:rsidRPr="009B002C" w:rsidRDefault="006106BA" w:rsidP="009B002C">
      <w:pPr>
        <w:pStyle w:val="Bodytext20"/>
        <w:pBdr>
          <w:top w:val="single" w:sz="4" w:space="1" w:color="auto"/>
        </w:pBdr>
        <w:shd w:val="clear" w:color="auto" w:fill="auto"/>
        <w:spacing w:line="218" w:lineRule="auto"/>
        <w:ind w:left="0" w:firstLine="0"/>
        <w:rPr>
          <w:sz w:val="20"/>
          <w:szCs w:val="24"/>
          <w:lang w:val="en-US"/>
        </w:rPr>
      </w:pPr>
      <w:r w:rsidRPr="009B002C">
        <w:rPr>
          <w:sz w:val="20"/>
          <w:szCs w:val="24"/>
          <w:lang w:val="en-US"/>
        </w:rPr>
        <w:t xml:space="preserve">Table 5 </w:t>
      </w:r>
      <w:r w:rsidR="0073718A" w:rsidRPr="0073718A">
        <w:rPr>
          <w:rFonts w:eastAsia="Microsoft Sans Serif"/>
          <w:szCs w:val="24"/>
          <w:lang w:val="en-US"/>
        </w:rPr>
        <w:t>–</w:t>
      </w:r>
      <w:r w:rsidRPr="009B002C">
        <w:rPr>
          <w:sz w:val="20"/>
          <w:szCs w:val="24"/>
          <w:lang w:val="en-US"/>
        </w:rPr>
        <w:t xml:space="preserve"> Number of relapses by treatment type 2 = 6.3430 (N 8) p&gt;0.01.</w:t>
      </w:r>
    </w:p>
    <w:tbl>
      <w:tblPr>
        <w:tblW w:w="0" w:type="auto"/>
        <w:tblCellMar>
          <w:left w:w="10" w:type="dxa"/>
          <w:right w:w="10" w:type="dxa"/>
        </w:tblCellMar>
        <w:tblLook w:val="0000" w:firstRow="0" w:lastRow="0" w:firstColumn="0" w:lastColumn="0" w:noHBand="0" w:noVBand="0"/>
      </w:tblPr>
      <w:tblGrid>
        <w:gridCol w:w="731"/>
        <w:gridCol w:w="980"/>
        <w:gridCol w:w="920"/>
        <w:gridCol w:w="920"/>
        <w:gridCol w:w="715"/>
        <w:gridCol w:w="443"/>
      </w:tblGrid>
      <w:tr w:rsidR="006106BA" w:rsidRPr="009B002C" w14:paraId="5532A0BD" w14:textId="77777777" w:rsidTr="009B002C">
        <w:trPr>
          <w:trHeight w:val="495"/>
        </w:trPr>
        <w:tc>
          <w:tcPr>
            <w:tcW w:w="0" w:type="auto"/>
            <w:tcBorders>
              <w:top w:val="single" w:sz="4" w:space="0" w:color="auto"/>
            </w:tcBorders>
            <w:shd w:val="clear" w:color="auto" w:fill="FFFFFF"/>
            <w:vAlign w:val="center"/>
          </w:tcPr>
          <w:p w14:paraId="19916D0D" w14:textId="77777777" w:rsidR="006106BA" w:rsidRPr="009B002C" w:rsidRDefault="006106BA" w:rsidP="006106BA">
            <w:pPr>
              <w:pStyle w:val="Other0"/>
              <w:shd w:val="clear" w:color="auto" w:fill="auto"/>
              <w:ind w:firstLine="0"/>
              <w:jc w:val="left"/>
              <w:rPr>
                <w:szCs w:val="24"/>
                <w:lang w:val="en-US"/>
              </w:rPr>
            </w:pPr>
            <w:r w:rsidRPr="009B002C">
              <w:rPr>
                <w:szCs w:val="24"/>
                <w:lang w:val="en-US"/>
              </w:rPr>
              <w:t>Relapses</w:t>
            </w:r>
          </w:p>
        </w:tc>
        <w:tc>
          <w:tcPr>
            <w:tcW w:w="0" w:type="auto"/>
            <w:tcBorders>
              <w:top w:val="single" w:sz="4" w:space="0" w:color="auto"/>
            </w:tcBorders>
            <w:shd w:val="clear" w:color="auto" w:fill="FFFFFF"/>
            <w:vAlign w:val="center"/>
          </w:tcPr>
          <w:p w14:paraId="7B114D5B" w14:textId="77777777" w:rsidR="006106BA" w:rsidRPr="009B002C" w:rsidRDefault="006106BA" w:rsidP="006106BA">
            <w:pPr>
              <w:pStyle w:val="Other0"/>
              <w:shd w:val="clear" w:color="auto" w:fill="auto"/>
              <w:ind w:right="60" w:firstLine="0"/>
              <w:jc w:val="center"/>
              <w:rPr>
                <w:szCs w:val="24"/>
                <w:lang w:val="en-US"/>
              </w:rPr>
            </w:pPr>
            <w:r w:rsidRPr="009B002C">
              <w:rPr>
                <w:szCs w:val="24"/>
                <w:lang w:val="en-US"/>
              </w:rPr>
              <w:t>Matthys</w:t>
            </w:r>
          </w:p>
        </w:tc>
        <w:tc>
          <w:tcPr>
            <w:tcW w:w="0" w:type="auto"/>
            <w:tcBorders>
              <w:top w:val="single" w:sz="4" w:space="0" w:color="auto"/>
            </w:tcBorders>
            <w:shd w:val="clear" w:color="auto" w:fill="FFFFFF"/>
            <w:vAlign w:val="center"/>
          </w:tcPr>
          <w:p w14:paraId="61D1A0C1"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Argyle</w:t>
            </w:r>
          </w:p>
        </w:tc>
        <w:tc>
          <w:tcPr>
            <w:tcW w:w="0" w:type="auto"/>
            <w:tcBorders>
              <w:top w:val="single" w:sz="4" w:space="0" w:color="auto"/>
            </w:tcBorders>
            <w:shd w:val="clear" w:color="auto" w:fill="FFFFFF"/>
            <w:vAlign w:val="center"/>
          </w:tcPr>
          <w:p w14:paraId="42110054"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Conserv.</w:t>
            </w:r>
          </w:p>
        </w:tc>
        <w:tc>
          <w:tcPr>
            <w:tcW w:w="0" w:type="auto"/>
            <w:tcBorders>
              <w:top w:val="single" w:sz="4" w:space="0" w:color="auto"/>
            </w:tcBorders>
            <w:shd w:val="clear" w:color="auto" w:fill="FFFFFF"/>
            <w:vAlign w:val="center"/>
          </w:tcPr>
          <w:p w14:paraId="214665CB" w14:textId="77777777" w:rsidR="006106BA" w:rsidRPr="009B002C" w:rsidRDefault="006106BA" w:rsidP="006106BA">
            <w:pPr>
              <w:pStyle w:val="Other0"/>
              <w:shd w:val="clear" w:color="auto" w:fill="auto"/>
              <w:ind w:firstLine="0"/>
              <w:jc w:val="left"/>
              <w:rPr>
                <w:szCs w:val="24"/>
                <w:lang w:val="en-US"/>
              </w:rPr>
            </w:pPr>
            <w:r w:rsidRPr="009B002C">
              <w:rPr>
                <w:szCs w:val="24"/>
                <w:lang w:val="en-US"/>
              </w:rPr>
              <w:t>Combin.</w:t>
            </w:r>
          </w:p>
        </w:tc>
        <w:tc>
          <w:tcPr>
            <w:tcW w:w="0" w:type="auto"/>
            <w:tcBorders>
              <w:top w:val="single" w:sz="4" w:space="0" w:color="auto"/>
            </w:tcBorders>
            <w:shd w:val="clear" w:color="auto" w:fill="FFFFFF"/>
            <w:vAlign w:val="center"/>
          </w:tcPr>
          <w:p w14:paraId="24BBD6F8"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Total</w:t>
            </w:r>
          </w:p>
        </w:tc>
      </w:tr>
      <w:tr w:rsidR="006106BA" w:rsidRPr="009B002C" w14:paraId="5B529A13" w14:textId="77777777" w:rsidTr="009B002C">
        <w:tc>
          <w:tcPr>
            <w:tcW w:w="0" w:type="auto"/>
            <w:tcBorders>
              <w:top w:val="single" w:sz="4" w:space="0" w:color="auto"/>
            </w:tcBorders>
            <w:shd w:val="clear" w:color="auto" w:fill="FFFFFF"/>
            <w:vAlign w:val="center"/>
          </w:tcPr>
          <w:p w14:paraId="124D58CA" w14:textId="77777777" w:rsidR="006106BA" w:rsidRPr="009B002C" w:rsidRDefault="006106BA" w:rsidP="006106BA">
            <w:pPr>
              <w:pStyle w:val="Other0"/>
              <w:shd w:val="clear" w:color="auto" w:fill="auto"/>
              <w:ind w:firstLine="0"/>
              <w:jc w:val="left"/>
              <w:rPr>
                <w:szCs w:val="24"/>
                <w:lang w:val="en-US"/>
              </w:rPr>
            </w:pPr>
            <w:r w:rsidRPr="009B002C">
              <w:rPr>
                <w:szCs w:val="24"/>
                <w:lang w:val="en-US"/>
              </w:rPr>
              <w:t>no</w:t>
            </w:r>
          </w:p>
        </w:tc>
        <w:tc>
          <w:tcPr>
            <w:tcW w:w="0" w:type="auto"/>
            <w:tcBorders>
              <w:top w:val="single" w:sz="4" w:space="0" w:color="auto"/>
            </w:tcBorders>
            <w:shd w:val="clear" w:color="auto" w:fill="FFFFFF"/>
            <w:vAlign w:val="center"/>
          </w:tcPr>
          <w:p w14:paraId="3C5406F7" w14:textId="77777777" w:rsidR="006106BA" w:rsidRPr="009B002C" w:rsidRDefault="006106BA" w:rsidP="006106BA">
            <w:pPr>
              <w:pStyle w:val="Other0"/>
              <w:shd w:val="clear" w:color="auto" w:fill="auto"/>
              <w:ind w:right="60" w:firstLine="0"/>
              <w:jc w:val="center"/>
              <w:rPr>
                <w:szCs w:val="24"/>
                <w:lang w:val="en-US"/>
              </w:rPr>
            </w:pPr>
            <w:r w:rsidRPr="009B002C">
              <w:rPr>
                <w:szCs w:val="24"/>
                <w:lang w:val="en-US"/>
              </w:rPr>
              <w:t>24 (88.9%)</w:t>
            </w:r>
          </w:p>
        </w:tc>
        <w:tc>
          <w:tcPr>
            <w:tcW w:w="0" w:type="auto"/>
            <w:tcBorders>
              <w:top w:val="single" w:sz="4" w:space="0" w:color="auto"/>
            </w:tcBorders>
            <w:shd w:val="clear" w:color="auto" w:fill="FFFFFF"/>
            <w:vAlign w:val="center"/>
          </w:tcPr>
          <w:p w14:paraId="7E9BF370"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18 (85.7%)</w:t>
            </w:r>
          </w:p>
        </w:tc>
        <w:tc>
          <w:tcPr>
            <w:tcW w:w="0" w:type="auto"/>
            <w:tcBorders>
              <w:top w:val="single" w:sz="4" w:space="0" w:color="auto"/>
            </w:tcBorders>
            <w:shd w:val="clear" w:color="auto" w:fill="FFFFFF"/>
            <w:vAlign w:val="center"/>
          </w:tcPr>
          <w:p w14:paraId="3FD71B5B"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35 (97.2%)</w:t>
            </w:r>
          </w:p>
        </w:tc>
        <w:tc>
          <w:tcPr>
            <w:tcW w:w="0" w:type="auto"/>
            <w:tcBorders>
              <w:top w:val="single" w:sz="4" w:space="0" w:color="auto"/>
            </w:tcBorders>
            <w:shd w:val="clear" w:color="auto" w:fill="FFFFFF"/>
            <w:vAlign w:val="bottom"/>
          </w:tcPr>
          <w:p w14:paraId="3A413BB7"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3</w:t>
            </w:r>
          </w:p>
        </w:tc>
        <w:tc>
          <w:tcPr>
            <w:tcW w:w="0" w:type="auto"/>
            <w:tcBorders>
              <w:top w:val="single" w:sz="4" w:space="0" w:color="auto"/>
            </w:tcBorders>
            <w:shd w:val="clear" w:color="auto" w:fill="FFFFFF"/>
            <w:vAlign w:val="center"/>
          </w:tcPr>
          <w:p w14:paraId="739CA428"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80</w:t>
            </w:r>
          </w:p>
        </w:tc>
      </w:tr>
      <w:tr w:rsidR="006106BA" w:rsidRPr="009B002C" w14:paraId="04132D73" w14:textId="77777777" w:rsidTr="009B002C">
        <w:tc>
          <w:tcPr>
            <w:tcW w:w="0" w:type="auto"/>
            <w:shd w:val="clear" w:color="auto" w:fill="FFFFFF"/>
            <w:vAlign w:val="center"/>
          </w:tcPr>
          <w:p w14:paraId="0AEDBB60" w14:textId="77777777" w:rsidR="006106BA" w:rsidRPr="009B002C" w:rsidRDefault="006106BA" w:rsidP="006106BA">
            <w:pPr>
              <w:pStyle w:val="Other0"/>
              <w:shd w:val="clear" w:color="auto" w:fill="auto"/>
              <w:ind w:firstLine="0"/>
              <w:jc w:val="left"/>
              <w:rPr>
                <w:szCs w:val="24"/>
                <w:lang w:val="en-US"/>
              </w:rPr>
            </w:pPr>
            <w:r w:rsidRPr="009B002C">
              <w:rPr>
                <w:szCs w:val="24"/>
                <w:lang w:val="en-US"/>
              </w:rPr>
              <w:t>one</w:t>
            </w:r>
          </w:p>
        </w:tc>
        <w:tc>
          <w:tcPr>
            <w:tcW w:w="0" w:type="auto"/>
            <w:shd w:val="clear" w:color="auto" w:fill="FFFFFF"/>
            <w:vAlign w:val="center"/>
          </w:tcPr>
          <w:p w14:paraId="5D39F7A3" w14:textId="77777777" w:rsidR="006106BA" w:rsidRPr="009B002C" w:rsidRDefault="006106BA" w:rsidP="006106BA">
            <w:pPr>
              <w:pStyle w:val="Other0"/>
              <w:shd w:val="clear" w:color="auto" w:fill="auto"/>
              <w:ind w:right="60" w:firstLine="0"/>
              <w:jc w:val="center"/>
              <w:rPr>
                <w:szCs w:val="24"/>
                <w:lang w:val="en-US"/>
              </w:rPr>
            </w:pPr>
            <w:r w:rsidRPr="009B002C">
              <w:rPr>
                <w:szCs w:val="24"/>
                <w:lang w:val="en-US"/>
              </w:rPr>
              <w:t>2 (7.4%)</w:t>
            </w:r>
          </w:p>
        </w:tc>
        <w:tc>
          <w:tcPr>
            <w:tcW w:w="0" w:type="auto"/>
            <w:shd w:val="clear" w:color="auto" w:fill="FFFFFF"/>
            <w:vAlign w:val="center"/>
          </w:tcPr>
          <w:p w14:paraId="13DE1709"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3 (4.28%)</w:t>
            </w:r>
          </w:p>
        </w:tc>
        <w:tc>
          <w:tcPr>
            <w:tcW w:w="0" w:type="auto"/>
            <w:shd w:val="clear" w:color="auto" w:fill="FFFFFF"/>
            <w:vAlign w:val="center"/>
          </w:tcPr>
          <w:p w14:paraId="4A26808C"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1 (2.8%)</w:t>
            </w:r>
          </w:p>
        </w:tc>
        <w:tc>
          <w:tcPr>
            <w:tcW w:w="0" w:type="auto"/>
            <w:shd w:val="clear" w:color="auto" w:fill="FFFFFF"/>
            <w:vAlign w:val="bottom"/>
          </w:tcPr>
          <w:p w14:paraId="421E5140"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1</w:t>
            </w:r>
          </w:p>
        </w:tc>
        <w:tc>
          <w:tcPr>
            <w:tcW w:w="0" w:type="auto"/>
            <w:shd w:val="clear" w:color="auto" w:fill="FFFFFF"/>
            <w:vAlign w:val="center"/>
          </w:tcPr>
          <w:p w14:paraId="201FEEA7"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7</w:t>
            </w:r>
          </w:p>
        </w:tc>
      </w:tr>
      <w:tr w:rsidR="006106BA" w:rsidRPr="009B002C" w14:paraId="134B1195" w14:textId="77777777" w:rsidTr="009B002C">
        <w:tc>
          <w:tcPr>
            <w:tcW w:w="0" w:type="auto"/>
            <w:shd w:val="clear" w:color="auto" w:fill="FFFFFF"/>
            <w:vAlign w:val="center"/>
          </w:tcPr>
          <w:p w14:paraId="6EC351C4" w14:textId="77777777" w:rsidR="006106BA" w:rsidRPr="009B002C" w:rsidRDefault="006106BA" w:rsidP="006106BA">
            <w:pPr>
              <w:pStyle w:val="Other0"/>
              <w:shd w:val="clear" w:color="auto" w:fill="auto"/>
              <w:ind w:firstLine="0"/>
              <w:jc w:val="left"/>
              <w:rPr>
                <w:szCs w:val="24"/>
                <w:lang w:val="en-US"/>
              </w:rPr>
            </w:pPr>
            <w:r w:rsidRPr="009B002C">
              <w:rPr>
                <w:szCs w:val="24"/>
                <w:lang w:val="en-US"/>
              </w:rPr>
              <w:t>two</w:t>
            </w:r>
          </w:p>
        </w:tc>
        <w:tc>
          <w:tcPr>
            <w:tcW w:w="0" w:type="auto"/>
            <w:shd w:val="clear" w:color="auto" w:fill="FFFFFF"/>
            <w:vAlign w:val="center"/>
          </w:tcPr>
          <w:p w14:paraId="5624C6DC" w14:textId="77777777" w:rsidR="006106BA" w:rsidRPr="009B002C" w:rsidRDefault="006106BA" w:rsidP="006106BA">
            <w:pPr>
              <w:pStyle w:val="Other0"/>
              <w:shd w:val="clear" w:color="auto" w:fill="auto"/>
              <w:ind w:right="80" w:firstLine="0"/>
              <w:jc w:val="center"/>
              <w:rPr>
                <w:szCs w:val="24"/>
                <w:lang w:val="en-US"/>
              </w:rPr>
            </w:pPr>
            <w:r w:rsidRPr="009B002C">
              <w:rPr>
                <w:szCs w:val="24"/>
                <w:lang w:val="en-US"/>
              </w:rPr>
              <w:t>1</w:t>
            </w:r>
          </w:p>
        </w:tc>
        <w:tc>
          <w:tcPr>
            <w:tcW w:w="0" w:type="auto"/>
            <w:shd w:val="clear" w:color="auto" w:fill="FFFFFF"/>
            <w:vAlign w:val="center"/>
          </w:tcPr>
          <w:p w14:paraId="5BEDCD19"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0</w:t>
            </w:r>
          </w:p>
        </w:tc>
        <w:tc>
          <w:tcPr>
            <w:tcW w:w="0" w:type="auto"/>
            <w:shd w:val="clear" w:color="auto" w:fill="FFFFFF"/>
            <w:vAlign w:val="center"/>
          </w:tcPr>
          <w:p w14:paraId="4CE2167E"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0</w:t>
            </w:r>
          </w:p>
        </w:tc>
        <w:tc>
          <w:tcPr>
            <w:tcW w:w="0" w:type="auto"/>
            <w:shd w:val="clear" w:color="auto" w:fill="FFFFFF"/>
            <w:vAlign w:val="center"/>
          </w:tcPr>
          <w:p w14:paraId="1885B485"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0</w:t>
            </w:r>
          </w:p>
        </w:tc>
        <w:tc>
          <w:tcPr>
            <w:tcW w:w="0" w:type="auto"/>
            <w:shd w:val="clear" w:color="auto" w:fill="FFFFFF"/>
            <w:vAlign w:val="center"/>
          </w:tcPr>
          <w:p w14:paraId="5C6B1680"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1</w:t>
            </w:r>
          </w:p>
        </w:tc>
      </w:tr>
      <w:tr w:rsidR="006106BA" w:rsidRPr="009B002C" w14:paraId="2BBBDE02" w14:textId="77777777" w:rsidTr="009B002C">
        <w:trPr>
          <w:trHeight w:val="425"/>
        </w:trPr>
        <w:tc>
          <w:tcPr>
            <w:tcW w:w="0" w:type="auto"/>
            <w:tcBorders>
              <w:top w:val="single" w:sz="4" w:space="0" w:color="auto"/>
              <w:bottom w:val="single" w:sz="4" w:space="0" w:color="auto"/>
            </w:tcBorders>
            <w:shd w:val="clear" w:color="auto" w:fill="FFFFFF"/>
            <w:vAlign w:val="center"/>
          </w:tcPr>
          <w:p w14:paraId="41EE35E1" w14:textId="77777777" w:rsidR="006106BA" w:rsidRPr="009B002C" w:rsidRDefault="006106BA" w:rsidP="006106BA">
            <w:pPr>
              <w:pStyle w:val="Other0"/>
              <w:shd w:val="clear" w:color="auto" w:fill="auto"/>
              <w:ind w:firstLine="0"/>
              <w:jc w:val="left"/>
              <w:rPr>
                <w:szCs w:val="24"/>
                <w:lang w:val="en-US"/>
              </w:rPr>
            </w:pPr>
            <w:r w:rsidRPr="009B002C">
              <w:rPr>
                <w:szCs w:val="24"/>
                <w:lang w:val="en-US"/>
              </w:rPr>
              <w:t>Total</w:t>
            </w:r>
          </w:p>
        </w:tc>
        <w:tc>
          <w:tcPr>
            <w:tcW w:w="0" w:type="auto"/>
            <w:tcBorders>
              <w:top w:val="single" w:sz="4" w:space="0" w:color="auto"/>
              <w:bottom w:val="single" w:sz="4" w:space="0" w:color="auto"/>
            </w:tcBorders>
            <w:shd w:val="clear" w:color="auto" w:fill="FFFFFF"/>
            <w:vAlign w:val="center"/>
          </w:tcPr>
          <w:p w14:paraId="6A95CDC8" w14:textId="77777777" w:rsidR="006106BA" w:rsidRPr="009B002C" w:rsidRDefault="006106BA" w:rsidP="006106BA">
            <w:pPr>
              <w:pStyle w:val="Other0"/>
              <w:shd w:val="clear" w:color="auto" w:fill="auto"/>
              <w:ind w:right="60" w:firstLine="0"/>
              <w:jc w:val="center"/>
              <w:rPr>
                <w:szCs w:val="24"/>
                <w:lang w:val="en-US"/>
              </w:rPr>
            </w:pPr>
            <w:r w:rsidRPr="009B002C">
              <w:rPr>
                <w:szCs w:val="24"/>
                <w:lang w:val="en-US"/>
              </w:rPr>
              <w:t>27 (100%)</w:t>
            </w:r>
          </w:p>
        </w:tc>
        <w:tc>
          <w:tcPr>
            <w:tcW w:w="0" w:type="auto"/>
            <w:tcBorders>
              <w:top w:val="single" w:sz="4" w:space="0" w:color="auto"/>
              <w:bottom w:val="single" w:sz="4" w:space="0" w:color="auto"/>
            </w:tcBorders>
            <w:shd w:val="clear" w:color="auto" w:fill="FFFFFF"/>
            <w:vAlign w:val="center"/>
          </w:tcPr>
          <w:p w14:paraId="100451B8"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21 (100%)</w:t>
            </w:r>
          </w:p>
        </w:tc>
        <w:tc>
          <w:tcPr>
            <w:tcW w:w="0" w:type="auto"/>
            <w:tcBorders>
              <w:top w:val="single" w:sz="4" w:space="0" w:color="auto"/>
              <w:bottom w:val="single" w:sz="4" w:space="0" w:color="auto"/>
            </w:tcBorders>
            <w:shd w:val="clear" w:color="auto" w:fill="FFFFFF"/>
            <w:vAlign w:val="center"/>
          </w:tcPr>
          <w:p w14:paraId="10BFAE14"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36 (100%)</w:t>
            </w:r>
          </w:p>
        </w:tc>
        <w:tc>
          <w:tcPr>
            <w:tcW w:w="0" w:type="auto"/>
            <w:tcBorders>
              <w:top w:val="single" w:sz="4" w:space="0" w:color="auto"/>
              <w:bottom w:val="single" w:sz="4" w:space="0" w:color="auto"/>
            </w:tcBorders>
            <w:shd w:val="clear" w:color="auto" w:fill="FFFFFF"/>
            <w:vAlign w:val="center"/>
          </w:tcPr>
          <w:p w14:paraId="2485EB84"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4</w:t>
            </w:r>
          </w:p>
        </w:tc>
        <w:tc>
          <w:tcPr>
            <w:tcW w:w="0" w:type="auto"/>
            <w:tcBorders>
              <w:top w:val="single" w:sz="4" w:space="0" w:color="auto"/>
              <w:bottom w:val="single" w:sz="4" w:space="0" w:color="auto"/>
            </w:tcBorders>
            <w:shd w:val="clear" w:color="auto" w:fill="FFFFFF"/>
            <w:vAlign w:val="center"/>
          </w:tcPr>
          <w:p w14:paraId="40A8EDE9"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88</w:t>
            </w:r>
          </w:p>
        </w:tc>
      </w:tr>
    </w:tbl>
    <w:p w14:paraId="6140CED0" w14:textId="77777777" w:rsidR="009D5A8F" w:rsidRPr="00326DB1" w:rsidRDefault="009D5A8F">
      <w:pPr>
        <w:spacing w:line="14" w:lineRule="exact"/>
        <w:rPr>
          <w:lang w:val="en-US"/>
        </w:rPr>
        <w:sectPr w:rsidR="009D5A8F" w:rsidRPr="00326DB1" w:rsidSect="0073718A">
          <w:footerReference w:type="default" r:id="rId11"/>
          <w:pgSz w:w="11906" w:h="16838" w:code="9"/>
          <w:pgMar w:top="971" w:right="759" w:bottom="971" w:left="772" w:header="543" w:footer="543" w:gutter="0"/>
          <w:cols w:num="2" w:space="275"/>
          <w:noEndnote/>
          <w:docGrid w:linePitch="360"/>
        </w:sectPr>
      </w:pPr>
    </w:p>
    <w:p w14:paraId="0E4AE479" w14:textId="77777777" w:rsidR="009D5A8F" w:rsidRPr="00326DB1" w:rsidRDefault="004D7462" w:rsidP="002E6266">
      <w:pPr>
        <w:rPr>
          <w:lang w:val="en-US"/>
        </w:rPr>
      </w:pPr>
      <w:r w:rsidRPr="00326DB1">
        <w:rPr>
          <w:noProof/>
          <w:lang w:val="en-US"/>
        </w:rPr>
        <w:lastRenderedPageBreak/>
        <w:drawing>
          <wp:inline distT="0" distB="0" distL="0" distR="0" wp14:anchorId="51D06487" wp14:editId="42AD771E">
            <wp:extent cx="3163110" cy="4081517"/>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stretch/>
                  </pic:blipFill>
                  <pic:spPr>
                    <a:xfrm>
                      <a:off x="0" y="0"/>
                      <a:ext cx="3173482" cy="4094900"/>
                    </a:xfrm>
                    <a:prstGeom prst="rect">
                      <a:avLst/>
                    </a:prstGeom>
                  </pic:spPr>
                </pic:pic>
              </a:graphicData>
            </a:graphic>
          </wp:inline>
        </w:drawing>
      </w:r>
    </w:p>
    <w:p w14:paraId="6A2BA070" w14:textId="5CFE1286" w:rsidR="009D5A8F" w:rsidRPr="009B002C" w:rsidRDefault="004D7462" w:rsidP="006106BA">
      <w:pPr>
        <w:pStyle w:val="Picturecaption0"/>
        <w:shd w:val="clear" w:color="auto" w:fill="auto"/>
        <w:ind w:right="135"/>
        <w:rPr>
          <w:sz w:val="20"/>
          <w:szCs w:val="24"/>
          <w:lang w:val="en-US"/>
        </w:rPr>
      </w:pPr>
      <w:r w:rsidRPr="009B002C">
        <w:rPr>
          <w:i w:val="0"/>
          <w:iCs w:val="0"/>
          <w:sz w:val="20"/>
          <w:szCs w:val="24"/>
          <w:lang w:val="en-US"/>
        </w:rPr>
        <w:t xml:space="preserve">Figure 1 </w:t>
      </w:r>
      <w:r w:rsidR="0073718A" w:rsidRPr="0073718A">
        <w:rPr>
          <w:i w:val="0"/>
          <w:iCs w:val="0"/>
          <w:sz w:val="20"/>
          <w:szCs w:val="24"/>
          <w:lang w:val="en-US"/>
        </w:rPr>
        <w:t>–</w:t>
      </w:r>
      <w:r w:rsidRPr="009B002C">
        <w:rPr>
          <w:i w:val="0"/>
          <w:iCs w:val="0"/>
          <w:sz w:val="20"/>
          <w:szCs w:val="24"/>
          <w:lang w:val="en-US"/>
        </w:rPr>
        <w:t xml:space="preserve"> Matthys narrow gauge disposable chest tube ready for insertion. The arrow shows the point mentioned in the text.</w:t>
      </w:r>
    </w:p>
    <w:p w14:paraId="26B6E884" w14:textId="77777777" w:rsidR="009D5A8F" w:rsidRPr="00326DB1" w:rsidRDefault="004D7462" w:rsidP="006106BA">
      <w:pPr>
        <w:pStyle w:val="Picturecaption0"/>
        <w:shd w:val="clear" w:color="auto" w:fill="auto"/>
        <w:ind w:right="135"/>
        <w:rPr>
          <w:sz w:val="24"/>
          <w:szCs w:val="24"/>
          <w:lang w:val="en-US"/>
        </w:rPr>
      </w:pPr>
      <w:r w:rsidRPr="00326DB1">
        <w:rPr>
          <w:sz w:val="24"/>
          <w:szCs w:val="24"/>
          <w:lang w:val="en-US"/>
        </w:rPr>
        <w:t xml:space="preserve"> </w:t>
      </w:r>
    </w:p>
    <w:p w14:paraId="541DAA6F" w14:textId="77777777" w:rsidR="009D5A8F" w:rsidRPr="0073718A" w:rsidRDefault="004D7462" w:rsidP="00E938D6">
      <w:pPr>
        <w:pStyle w:val="BodyText"/>
        <w:shd w:val="clear" w:color="auto" w:fill="auto"/>
        <w:ind w:right="135" w:firstLine="0"/>
        <w:rPr>
          <w:sz w:val="24"/>
          <w:szCs w:val="24"/>
          <w:lang w:val="en-US"/>
        </w:rPr>
      </w:pPr>
      <w:r w:rsidRPr="0073718A">
        <w:rPr>
          <w:sz w:val="24"/>
          <w:szCs w:val="24"/>
          <w:lang w:val="en-US"/>
        </w:rPr>
        <w:t>Matthys narrow gauge tubes in treatment of spontaneous pneumothorax. They are smaller and less traumatic. As far as complications and subsequent relapses are concerned, we have not seen any statistically significant difference with the use of this medical aid compared to the other more tried and tested methods. The fact that there was no difference leads us to doubt the fact that chest drains, by 'irritating' the pleura, actually prevent subsequent relapses.</w:t>
      </w:r>
    </w:p>
    <w:p w14:paraId="1120570B" w14:textId="0BB80216" w:rsidR="009D5A8F" w:rsidRPr="0073718A" w:rsidRDefault="004D7462" w:rsidP="00E938D6">
      <w:pPr>
        <w:pStyle w:val="BodyText"/>
        <w:shd w:val="clear" w:color="auto" w:fill="auto"/>
        <w:ind w:right="135"/>
        <w:rPr>
          <w:sz w:val="24"/>
          <w:szCs w:val="24"/>
          <w:lang w:val="en-US"/>
        </w:rPr>
      </w:pPr>
      <w:r w:rsidRPr="0073718A">
        <w:rPr>
          <w:sz w:val="24"/>
          <w:szCs w:val="24"/>
          <w:lang w:val="en-US"/>
        </w:rPr>
        <w:t xml:space="preserve">We attributed the three deaths that occurred to concomitant diseases; two bronchogenic neoplasms and one bilateral bronchopneumonia with unilateral parapneumonic empyema </w:t>
      </w:r>
      <w:r w:rsidR="0073718A" w:rsidRPr="0073718A">
        <w:rPr>
          <w:i/>
          <w:iCs/>
          <w:sz w:val="24"/>
          <w:szCs w:val="24"/>
          <w:lang w:val="en-US"/>
        </w:rPr>
        <w:t>–</w:t>
      </w:r>
      <w:r w:rsidR="0073718A" w:rsidRPr="0073718A">
        <w:rPr>
          <w:sz w:val="24"/>
          <w:szCs w:val="24"/>
          <w:lang w:val="en-US"/>
        </w:rPr>
        <w:t xml:space="preserve"> </w:t>
      </w:r>
      <w:r w:rsidRPr="0073718A">
        <w:rPr>
          <w:sz w:val="24"/>
          <w:szCs w:val="24"/>
          <w:lang w:val="en-US"/>
        </w:rPr>
        <w:t>not to the treatment of the PNX.</w:t>
      </w:r>
    </w:p>
    <w:p w14:paraId="20B7F7FF" w14:textId="77777777" w:rsidR="009D5A8F" w:rsidRPr="0073718A" w:rsidRDefault="004D7462" w:rsidP="00E938D6">
      <w:pPr>
        <w:pStyle w:val="BodyText"/>
        <w:shd w:val="clear" w:color="auto" w:fill="auto"/>
        <w:ind w:right="135"/>
        <w:rPr>
          <w:sz w:val="24"/>
          <w:szCs w:val="24"/>
          <w:lang w:val="en-US"/>
        </w:rPr>
      </w:pPr>
      <w:r w:rsidRPr="0073718A">
        <w:rPr>
          <w:sz w:val="24"/>
          <w:szCs w:val="24"/>
          <w:lang w:val="en-US"/>
        </w:rPr>
        <w:t>The therapeutic usefulness of this pleural catheter, evaluated through the number of days taken to resolve the PNX, was found to be at least comparable to that of large gauge catheters and superior to watchful waiting alone.</w:t>
      </w:r>
    </w:p>
    <w:p w14:paraId="4CB1B18D" w14:textId="14F2FA24" w:rsidR="009D5A8F" w:rsidRPr="00326DB1" w:rsidRDefault="004D7462" w:rsidP="00E938D6">
      <w:pPr>
        <w:pStyle w:val="BodyText"/>
        <w:shd w:val="clear" w:color="auto" w:fill="auto"/>
        <w:ind w:right="-6"/>
        <w:rPr>
          <w:sz w:val="24"/>
          <w:szCs w:val="24"/>
          <w:lang w:val="en-US"/>
        </w:rPr>
      </w:pPr>
      <w:r w:rsidRPr="0073718A">
        <w:rPr>
          <w:sz w:val="24"/>
          <w:szCs w:val="24"/>
          <w:lang w:val="en-US"/>
        </w:rPr>
        <w:t>The use of the Matthys pleural catheter can bring the majority of pneumothorax patients back under the umbrella of Pneumology, allowing hospital stays to be contained and fewer days to be lost by the patient</w:t>
      </w:r>
      <w:r w:rsidR="00E938D6" w:rsidRPr="0073718A">
        <w:rPr>
          <w:sz w:val="24"/>
          <w:szCs w:val="24"/>
          <w:lang w:val="en-US"/>
        </w:rPr>
        <w:t>,</w:t>
      </w:r>
      <w:r w:rsidRPr="0073718A">
        <w:rPr>
          <w:sz w:val="24"/>
          <w:szCs w:val="24"/>
          <w:lang w:val="en-US"/>
        </w:rPr>
        <w:t xml:space="preserve"> and, therefore, an economic advantage for both</w:t>
      </w:r>
      <w:r w:rsidRPr="00326DB1">
        <w:rPr>
          <w:sz w:val="24"/>
          <w:szCs w:val="24"/>
          <w:lang w:val="en-US"/>
        </w:rPr>
        <w:t xml:space="preserve"> the hospital and the patient. In our experience, all PNXs </w:t>
      </w:r>
      <w:r w:rsidRPr="00326DB1">
        <w:rPr>
          <w:sz w:val="24"/>
          <w:szCs w:val="24"/>
          <w:lang w:val="en-US"/>
        </w:rPr>
        <w:t>that arise in young people, even complete PNXs</w:t>
      </w:r>
      <w:r w:rsidR="002E6266">
        <w:rPr>
          <w:sz w:val="24"/>
          <w:szCs w:val="24"/>
          <w:lang w:val="en-US"/>
        </w:rPr>
        <w:t>, where</w:t>
      </w:r>
      <w:r w:rsidRPr="00326DB1">
        <w:rPr>
          <w:sz w:val="24"/>
          <w:szCs w:val="24"/>
          <w:lang w:val="en-US"/>
        </w:rPr>
        <w:t xml:space="preserve"> not complicated by bleeding, can be treated with this type of chest drain, with a favorable result in a short period of time. Older people can also be treated with this therapeutic aid, provided that the lung does not need to be re-inflated very quickly (which is not always without risk). In </w:t>
      </w:r>
      <w:r w:rsidR="002E6266" w:rsidRPr="00326DB1">
        <w:rPr>
          <w:sz w:val="24"/>
          <w:szCs w:val="24"/>
          <w:lang w:val="en-US"/>
        </w:rPr>
        <w:t>practice</w:t>
      </w:r>
      <w:r w:rsidRPr="00326DB1">
        <w:rPr>
          <w:sz w:val="24"/>
          <w:szCs w:val="24"/>
          <w:lang w:val="en-US"/>
        </w:rPr>
        <w:t>, the only contraindication to the use of a narrow gauge catheter was the coexistence of a massive pleural effusion, particularly a bloody effusion, due to the eas</w:t>
      </w:r>
      <w:r w:rsidR="002E6266">
        <w:rPr>
          <w:sz w:val="24"/>
          <w:szCs w:val="24"/>
          <w:lang w:val="en-US"/>
        </w:rPr>
        <w:t xml:space="preserve">e with which </w:t>
      </w:r>
      <w:r w:rsidRPr="00326DB1">
        <w:rPr>
          <w:sz w:val="24"/>
          <w:szCs w:val="24"/>
          <w:lang w:val="en-US"/>
        </w:rPr>
        <w:t>it becomes blocked</w:t>
      </w:r>
      <w:r w:rsidR="002E6266">
        <w:rPr>
          <w:sz w:val="24"/>
          <w:szCs w:val="24"/>
          <w:lang w:val="en-US"/>
        </w:rPr>
        <w:t xml:space="preserve"> </w:t>
      </w:r>
      <w:r w:rsidR="002E6266" w:rsidRPr="00326DB1">
        <w:rPr>
          <w:sz w:val="24"/>
          <w:szCs w:val="24"/>
          <w:lang w:val="en-US"/>
        </w:rPr>
        <w:t>compared to larger gauge drains</w:t>
      </w:r>
      <w:r w:rsidRPr="00326DB1">
        <w:rPr>
          <w:sz w:val="24"/>
          <w:szCs w:val="24"/>
          <w:lang w:val="en-US"/>
        </w:rPr>
        <w:t>. In all cases where the exploratory puncture of the pleura detected the presence of bloody effusion, we did not use Matthys. In reality, it is not a contraindication, but rather a prudent exclusion (5,6).</w:t>
      </w:r>
    </w:p>
    <w:p w14:paraId="57F545BD" w14:textId="36C9AAF5" w:rsidR="009D5A8F" w:rsidRPr="00326DB1" w:rsidRDefault="004D7462" w:rsidP="002E6266">
      <w:pPr>
        <w:pStyle w:val="BodyText"/>
        <w:shd w:val="clear" w:color="auto" w:fill="auto"/>
        <w:spacing w:after="200"/>
        <w:ind w:right="-6"/>
        <w:rPr>
          <w:sz w:val="24"/>
          <w:szCs w:val="24"/>
          <w:lang w:val="en-US"/>
        </w:rPr>
      </w:pPr>
      <w:r w:rsidRPr="00326DB1">
        <w:rPr>
          <w:sz w:val="24"/>
          <w:szCs w:val="24"/>
          <w:lang w:val="en-US"/>
        </w:rPr>
        <w:t xml:space="preserve">Based on our experience, it is advisable following placement of the chest drain to take care (and </w:t>
      </w:r>
      <w:r w:rsidRPr="0073718A">
        <w:rPr>
          <w:sz w:val="24"/>
          <w:szCs w:val="24"/>
          <w:lang w:val="en-US"/>
        </w:rPr>
        <w:t xml:space="preserve">encourage the patient to take care) not to bend the catheter at the point where it connects with the tap (see fig. </w:t>
      </w:r>
      <w:r w:rsidR="0073718A" w:rsidRPr="0073718A">
        <w:rPr>
          <w:sz w:val="24"/>
          <w:szCs w:val="24"/>
          <w:lang w:val="en-US"/>
        </w:rPr>
        <w:t xml:space="preserve">1 </w:t>
      </w:r>
      <w:r w:rsidR="0073718A" w:rsidRPr="0073718A">
        <w:rPr>
          <w:i/>
          <w:iCs/>
          <w:sz w:val="24"/>
          <w:szCs w:val="24"/>
          <w:lang w:val="en-US"/>
        </w:rPr>
        <w:t>–</w:t>
      </w:r>
      <w:r w:rsidR="0073718A" w:rsidRPr="0073718A">
        <w:rPr>
          <w:sz w:val="24"/>
          <w:szCs w:val="24"/>
          <w:lang w:val="en-US"/>
        </w:rPr>
        <w:t xml:space="preserve"> </w:t>
      </w:r>
      <w:r w:rsidR="0073718A" w:rsidRPr="0073718A">
        <w:rPr>
          <w:sz w:val="24"/>
          <w:szCs w:val="24"/>
          <w:lang w:val="en-US"/>
        </w:rPr>
        <w:t>ar</w:t>
      </w:r>
      <w:r w:rsidRPr="0073718A">
        <w:rPr>
          <w:sz w:val="24"/>
          <w:szCs w:val="24"/>
          <w:lang w:val="en-US"/>
        </w:rPr>
        <w:t>row), which represents a "locus minoris resistenteae" and</w:t>
      </w:r>
      <w:r w:rsidRPr="00326DB1">
        <w:rPr>
          <w:sz w:val="24"/>
          <w:szCs w:val="24"/>
          <w:lang w:val="en-US"/>
        </w:rPr>
        <w:t xml:space="preserve"> may easily become deformed, reducing its evacuating effectiveness.</w:t>
      </w:r>
    </w:p>
    <w:p w14:paraId="7781437E" w14:textId="77777777" w:rsidR="009D5A8F" w:rsidRPr="00326DB1" w:rsidRDefault="004D7462" w:rsidP="002E6266">
      <w:pPr>
        <w:pStyle w:val="Heading40"/>
        <w:keepNext/>
        <w:keepLines/>
        <w:shd w:val="clear" w:color="auto" w:fill="auto"/>
        <w:ind w:left="200" w:hanging="200"/>
        <w:jc w:val="both"/>
        <w:rPr>
          <w:sz w:val="24"/>
          <w:szCs w:val="24"/>
          <w:lang w:val="en-US"/>
        </w:rPr>
      </w:pPr>
      <w:bookmarkStart w:id="9" w:name="bookmark7"/>
      <w:r w:rsidRPr="00326DB1">
        <w:rPr>
          <w:sz w:val="24"/>
          <w:szCs w:val="24"/>
          <w:lang w:val="en-US"/>
        </w:rPr>
        <w:t>Conclusions</w:t>
      </w:r>
      <w:bookmarkEnd w:id="9"/>
    </w:p>
    <w:p w14:paraId="35071ED4" w14:textId="77777777" w:rsidR="002E6266" w:rsidRDefault="004D7462" w:rsidP="002E6266">
      <w:pPr>
        <w:pStyle w:val="BodyText"/>
        <w:shd w:val="clear" w:color="auto" w:fill="auto"/>
        <w:rPr>
          <w:sz w:val="24"/>
          <w:szCs w:val="24"/>
          <w:lang w:val="en-US"/>
        </w:rPr>
      </w:pPr>
      <w:r w:rsidRPr="00326DB1">
        <w:rPr>
          <w:sz w:val="24"/>
          <w:szCs w:val="24"/>
          <w:lang w:val="en-US"/>
        </w:rPr>
        <w:t>In the last five years, our department treated 88 cases of PNX using different treatment methods depending on the area effected. The statistical analysis of the results highlighted that treatment with smaller catheters (Matthys type) is at least as effective from a therapeutic and prognostic point of view as the use of large gauge tubes, which are more traumatic. The use of Matthys tubes, in light of our experience, therefore appears justified in all cases of PNX, including large cases, provided that they are not complicated by effusions of a certain size, in order to reduce the time spent in hospital and therefore the inconvenience and cost of treating this disease.</w:t>
      </w:r>
    </w:p>
    <w:p w14:paraId="6D366DC6" w14:textId="54FD5CC7" w:rsidR="002E6266" w:rsidRDefault="002E6266" w:rsidP="002E6266">
      <w:pPr>
        <w:pStyle w:val="BodyText"/>
        <w:shd w:val="clear" w:color="auto" w:fill="auto"/>
        <w:rPr>
          <w:sz w:val="24"/>
          <w:szCs w:val="24"/>
          <w:lang w:val="en-US"/>
        </w:rPr>
      </w:pPr>
    </w:p>
    <w:p w14:paraId="0F6625A7" w14:textId="77777777" w:rsidR="009D5A8F" w:rsidRPr="00852E49" w:rsidRDefault="004D7462" w:rsidP="002E6266">
      <w:pPr>
        <w:pStyle w:val="BodyText"/>
        <w:shd w:val="clear" w:color="auto" w:fill="auto"/>
        <w:rPr>
          <w:szCs w:val="18"/>
          <w:lang w:val="en-US"/>
        </w:rPr>
      </w:pPr>
      <w:r w:rsidRPr="00852E49">
        <w:rPr>
          <w:b/>
          <w:bCs/>
          <w:szCs w:val="18"/>
          <w:lang w:val="en-US"/>
        </w:rPr>
        <w:t>Bibliography</w:t>
      </w:r>
    </w:p>
    <w:p w14:paraId="5CBF2D2A" w14:textId="77777777" w:rsidR="009D5A8F" w:rsidRPr="00852E49" w:rsidRDefault="004D7462" w:rsidP="002E6266">
      <w:pPr>
        <w:pStyle w:val="Bodytext20"/>
        <w:numPr>
          <w:ilvl w:val="0"/>
          <w:numId w:val="2"/>
        </w:numPr>
        <w:shd w:val="clear" w:color="auto" w:fill="auto"/>
        <w:tabs>
          <w:tab w:val="left" w:pos="247"/>
        </w:tabs>
        <w:spacing w:line="240" w:lineRule="auto"/>
        <w:rPr>
          <w:sz w:val="19"/>
          <w:szCs w:val="19"/>
          <w:lang w:val="en-US"/>
        </w:rPr>
      </w:pPr>
      <w:r w:rsidRPr="00852E49">
        <w:rPr>
          <w:sz w:val="19"/>
          <w:szCs w:val="19"/>
          <w:lang w:val="en-US"/>
        </w:rPr>
        <w:t xml:space="preserve">Muiesan G., Sorbini C.A., Grassi V.: </w:t>
      </w:r>
      <w:r w:rsidRPr="00852E49">
        <w:rPr>
          <w:i/>
          <w:iCs/>
          <w:sz w:val="19"/>
          <w:szCs w:val="19"/>
          <w:lang w:val="en-US"/>
        </w:rPr>
        <w:t>Pneumologia.</w:t>
      </w:r>
      <w:r w:rsidRPr="00852E49">
        <w:rPr>
          <w:sz w:val="19"/>
          <w:szCs w:val="19"/>
          <w:lang w:val="en-US"/>
        </w:rPr>
        <w:t xml:space="preserve"> Utet, Turin, 1982.</w:t>
      </w:r>
    </w:p>
    <w:p w14:paraId="2D34989F" w14:textId="77777777" w:rsidR="009D5A8F" w:rsidRPr="00852E49" w:rsidRDefault="004D7462" w:rsidP="002E6266">
      <w:pPr>
        <w:pStyle w:val="Bodytext20"/>
        <w:numPr>
          <w:ilvl w:val="0"/>
          <w:numId w:val="2"/>
        </w:numPr>
        <w:shd w:val="clear" w:color="auto" w:fill="auto"/>
        <w:tabs>
          <w:tab w:val="left" w:pos="264"/>
        </w:tabs>
        <w:spacing w:line="240" w:lineRule="auto"/>
        <w:rPr>
          <w:sz w:val="19"/>
          <w:szCs w:val="19"/>
          <w:lang w:val="en-US"/>
        </w:rPr>
      </w:pPr>
      <w:r w:rsidRPr="00852E49">
        <w:rPr>
          <w:sz w:val="19"/>
          <w:szCs w:val="19"/>
          <w:lang w:val="en-US"/>
        </w:rPr>
        <w:t>Bordow R.A., Stool E. W., Moser K.M.:</w:t>
      </w:r>
      <w:r w:rsidRPr="00852E49">
        <w:rPr>
          <w:i/>
          <w:iCs/>
          <w:sz w:val="19"/>
          <w:szCs w:val="19"/>
          <w:lang w:val="en-US"/>
        </w:rPr>
        <w:t xml:space="preserve"> Manual of clinical problems in Pulmonary Medicine.</w:t>
      </w:r>
      <w:r w:rsidRPr="00852E49">
        <w:rPr>
          <w:sz w:val="19"/>
          <w:szCs w:val="19"/>
          <w:lang w:val="en-US"/>
        </w:rPr>
        <w:t xml:space="preserve"> Little Brow &amp; Co., Boston, 1980.</w:t>
      </w:r>
    </w:p>
    <w:p w14:paraId="55CFE8F9" w14:textId="77777777" w:rsidR="009D5A8F" w:rsidRPr="00852E49" w:rsidRDefault="004D7462" w:rsidP="002E6266">
      <w:pPr>
        <w:pStyle w:val="Bodytext20"/>
        <w:numPr>
          <w:ilvl w:val="0"/>
          <w:numId w:val="2"/>
        </w:numPr>
        <w:shd w:val="clear" w:color="auto" w:fill="auto"/>
        <w:tabs>
          <w:tab w:val="left" w:pos="264"/>
        </w:tabs>
        <w:spacing w:line="240" w:lineRule="auto"/>
        <w:rPr>
          <w:sz w:val="19"/>
          <w:szCs w:val="19"/>
          <w:lang w:val="en-US"/>
        </w:rPr>
      </w:pPr>
      <w:r w:rsidRPr="00852E49">
        <w:rPr>
          <w:sz w:val="19"/>
          <w:szCs w:val="19"/>
          <w:lang w:val="en-US"/>
        </w:rPr>
        <w:t xml:space="preserve">Matthys H., Overrath G., Bauer H.: </w:t>
      </w:r>
      <w:r w:rsidRPr="00852E49">
        <w:rPr>
          <w:i/>
          <w:iCs/>
          <w:sz w:val="19"/>
          <w:szCs w:val="19"/>
          <w:lang w:val="en-US"/>
        </w:rPr>
        <w:t>Behandlung von Pneumothorax undpleuraerguessen mit einem speziellen saugdrain.</w:t>
      </w:r>
      <w:r w:rsidRPr="00852E49">
        <w:rPr>
          <w:sz w:val="19"/>
          <w:szCs w:val="19"/>
          <w:lang w:val="en-US"/>
        </w:rPr>
        <w:t xml:space="preserve"> Schweiz. Med. Woche 1973, 103, 1557-1560.</w:t>
      </w:r>
    </w:p>
    <w:p w14:paraId="242970CD" w14:textId="77777777" w:rsidR="009D5A8F" w:rsidRPr="00852E49" w:rsidRDefault="004D7462">
      <w:pPr>
        <w:pStyle w:val="Bodytext20"/>
        <w:numPr>
          <w:ilvl w:val="0"/>
          <w:numId w:val="2"/>
        </w:numPr>
        <w:shd w:val="clear" w:color="auto" w:fill="auto"/>
        <w:tabs>
          <w:tab w:val="left" w:pos="264"/>
        </w:tabs>
        <w:rPr>
          <w:sz w:val="19"/>
          <w:szCs w:val="19"/>
          <w:lang w:val="en-US"/>
        </w:rPr>
      </w:pPr>
      <w:r w:rsidRPr="00852E49">
        <w:rPr>
          <w:sz w:val="19"/>
          <w:szCs w:val="19"/>
          <w:lang w:val="en-US"/>
        </w:rPr>
        <w:t xml:space="preserve">Schroeder D., Thermann M.: </w:t>
      </w:r>
      <w:r w:rsidRPr="00852E49">
        <w:rPr>
          <w:i/>
          <w:iCs/>
          <w:sz w:val="19"/>
          <w:szCs w:val="19"/>
          <w:lang w:val="en-US"/>
        </w:rPr>
        <w:t>Aetiologie und therapie des spontan- pneumothorax. Diskussion des konservativen oder chirurgischen Vorgehens anhand eigener ergebnisse.</w:t>
      </w:r>
      <w:r w:rsidRPr="00852E49">
        <w:rPr>
          <w:sz w:val="19"/>
          <w:szCs w:val="19"/>
          <w:lang w:val="en-US"/>
        </w:rPr>
        <w:t xml:space="preserve"> Fortschr. Med. 1984, 102, 31-40.</w:t>
      </w:r>
    </w:p>
    <w:p w14:paraId="64D921DE" w14:textId="77777777" w:rsidR="009D5A8F" w:rsidRPr="00852E49" w:rsidRDefault="004D7462">
      <w:pPr>
        <w:pStyle w:val="Bodytext20"/>
        <w:numPr>
          <w:ilvl w:val="0"/>
          <w:numId w:val="2"/>
        </w:numPr>
        <w:shd w:val="clear" w:color="auto" w:fill="auto"/>
        <w:tabs>
          <w:tab w:val="left" w:pos="264"/>
        </w:tabs>
        <w:rPr>
          <w:sz w:val="19"/>
          <w:szCs w:val="19"/>
          <w:lang w:val="en-US"/>
        </w:rPr>
      </w:pPr>
      <w:r w:rsidRPr="00852E49">
        <w:rPr>
          <w:sz w:val="19"/>
          <w:szCs w:val="19"/>
          <w:lang w:val="en-US"/>
        </w:rPr>
        <w:t xml:space="preserve">Peters J., Kubitschek K.R.: </w:t>
      </w:r>
      <w:r w:rsidRPr="00852E49">
        <w:rPr>
          <w:i/>
          <w:iCs/>
          <w:sz w:val="19"/>
          <w:szCs w:val="19"/>
          <w:lang w:val="en-US"/>
        </w:rPr>
        <w:t>Clinical evaluation of a percutaneous pneumothorax catheter.</w:t>
      </w:r>
      <w:r w:rsidRPr="00852E49">
        <w:rPr>
          <w:sz w:val="19"/>
          <w:szCs w:val="19"/>
          <w:lang w:val="en-US"/>
        </w:rPr>
        <w:t xml:space="preserve"> Chest 1984, 86, 714-717.</w:t>
      </w:r>
    </w:p>
    <w:p w14:paraId="78F520BB" w14:textId="77777777" w:rsidR="009D5A8F" w:rsidRPr="00852E49" w:rsidRDefault="004D7462">
      <w:pPr>
        <w:pStyle w:val="Bodytext20"/>
        <w:numPr>
          <w:ilvl w:val="0"/>
          <w:numId w:val="2"/>
        </w:numPr>
        <w:shd w:val="clear" w:color="auto" w:fill="auto"/>
        <w:tabs>
          <w:tab w:val="left" w:pos="264"/>
        </w:tabs>
        <w:rPr>
          <w:sz w:val="20"/>
          <w:szCs w:val="18"/>
          <w:lang w:val="en-US"/>
        </w:rPr>
      </w:pPr>
      <w:r w:rsidRPr="00852E49">
        <w:rPr>
          <w:sz w:val="19"/>
          <w:szCs w:val="19"/>
          <w:lang w:val="en-US"/>
        </w:rPr>
        <w:t xml:space="preserve">Archer G.J., Hamilton A.A.D., Upadhayay R. et al.: </w:t>
      </w:r>
      <w:r w:rsidRPr="00852E49">
        <w:rPr>
          <w:i/>
          <w:iCs/>
          <w:sz w:val="19"/>
          <w:szCs w:val="19"/>
          <w:lang w:val="en-US"/>
        </w:rPr>
        <w:t>Results ofsim- ple aspiration of pneumothoraces.</w:t>
      </w:r>
      <w:r w:rsidRPr="00852E49">
        <w:rPr>
          <w:sz w:val="19"/>
          <w:szCs w:val="19"/>
          <w:lang w:val="en-US"/>
        </w:rPr>
        <w:t xml:space="preserve"> Br. J. Dis. Chest</w:t>
      </w:r>
      <w:r w:rsidRPr="00852E49">
        <w:rPr>
          <w:sz w:val="20"/>
          <w:szCs w:val="18"/>
          <w:lang w:val="en-US"/>
        </w:rPr>
        <w:t xml:space="preserve"> </w:t>
      </w:r>
      <w:r w:rsidRPr="00852E49">
        <w:rPr>
          <w:sz w:val="19"/>
          <w:szCs w:val="19"/>
          <w:lang w:val="en-US"/>
        </w:rPr>
        <w:t>1985, 179, 177-182.</w:t>
      </w:r>
    </w:p>
    <w:sectPr w:rsidR="009D5A8F" w:rsidRPr="00852E49" w:rsidSect="002E6266">
      <w:footerReference w:type="default" r:id="rId13"/>
      <w:pgSz w:w="11906" w:h="16838" w:code="9"/>
      <w:pgMar w:top="966" w:right="849" w:bottom="1418" w:left="851" w:header="538" w:footer="3" w:gutter="0"/>
      <w:cols w:num="2" w:space="12"/>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Jenny" w:date="2018-05-29T11:25:00Z" w:initials="JB">
    <w:p w14:paraId="13BF9F34" w14:textId="77777777" w:rsidR="00326DB1" w:rsidRPr="00326DB1" w:rsidRDefault="00326DB1">
      <w:pPr>
        <w:pStyle w:val="CommentText"/>
        <w:rPr>
          <w:lang w:val="it-IT"/>
        </w:rPr>
      </w:pPr>
      <w:r>
        <w:rPr>
          <w:rStyle w:val="CommentReference"/>
        </w:rPr>
        <w:annotationRef/>
      </w:r>
      <w:r w:rsidRPr="00326DB1">
        <w:rPr>
          <w:lang w:val="it-IT"/>
        </w:rPr>
        <w:t>Ho suggerito alcune integrazioni alle parole chiave</w:t>
      </w:r>
      <w:r>
        <w:rPr>
          <w:lang w:val="it-IT"/>
        </w:rPr>
        <w:t xml:space="preserve"> per riflettere i termini usati in inglese</w:t>
      </w:r>
      <w:r w:rsidRPr="00326DB1">
        <w:rPr>
          <w:lang w:val="it-IT"/>
        </w:rPr>
        <w:t>. Le originali sarebbero: Pneumothorax, surgical chest tube, narrow gauge tube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BF9F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BF9F34" w16cid:durableId="1EB7B7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2BB99" w14:textId="77777777" w:rsidR="003D5236" w:rsidRDefault="003D5236">
      <w:r>
        <w:separator/>
      </w:r>
    </w:p>
  </w:endnote>
  <w:endnote w:type="continuationSeparator" w:id="0">
    <w:p w14:paraId="71E94B81" w14:textId="77777777" w:rsidR="003D5236" w:rsidRDefault="003D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337522"/>
      <w:docPartObj>
        <w:docPartGallery w:val="Page Numbers (Bottom of Page)"/>
        <w:docPartUnique/>
      </w:docPartObj>
    </w:sdtPr>
    <w:sdtEndPr>
      <w:rPr>
        <w:rFonts w:ascii="Times New Roman" w:hAnsi="Times New Roman" w:cs="Times New Roman"/>
        <w:noProof/>
      </w:rPr>
    </w:sdtEndPr>
    <w:sdtContent>
      <w:p w14:paraId="4ECC78BB" w14:textId="77777777" w:rsidR="006106BA" w:rsidRDefault="006106BA">
        <w:pPr>
          <w:pStyle w:val="Footer"/>
          <w:rPr>
            <w:rFonts w:ascii="Times New Roman" w:hAnsi="Times New Roman" w:cs="Times New Roman"/>
            <w:noProof/>
          </w:rPr>
        </w:pPr>
        <w:r w:rsidRPr="006106BA">
          <w:rPr>
            <w:rFonts w:ascii="Times New Roman" w:hAnsi="Times New Roman" w:cs="Times New Roman"/>
          </w:rPr>
          <w:fldChar w:fldCharType="begin"/>
        </w:r>
        <w:r w:rsidRPr="006106BA">
          <w:rPr>
            <w:rFonts w:ascii="Times New Roman" w:hAnsi="Times New Roman" w:cs="Times New Roman"/>
          </w:rPr>
          <w:instrText xml:space="preserve"> PAGE   \* MERGEFORMAT </w:instrText>
        </w:r>
        <w:r w:rsidRPr="006106BA">
          <w:rPr>
            <w:rFonts w:ascii="Times New Roman" w:hAnsi="Times New Roman" w:cs="Times New Roman"/>
          </w:rPr>
          <w:fldChar w:fldCharType="separate"/>
        </w:r>
        <w:r w:rsidRPr="006106BA">
          <w:rPr>
            <w:rFonts w:ascii="Times New Roman" w:hAnsi="Times New Roman" w:cs="Times New Roman"/>
          </w:rPr>
          <w:t>2</w:t>
        </w:r>
        <w:r w:rsidRPr="006106BA">
          <w:rPr>
            <w:rFonts w:ascii="Times New Roman" w:hAnsi="Times New Roman" w:cs="Times New Roman"/>
          </w:rPr>
          <w:fldChar w:fldCharType="end"/>
        </w:r>
      </w:p>
      <w:p w14:paraId="15406C76" w14:textId="77777777" w:rsidR="006106BA" w:rsidRDefault="006106BA">
        <w:pPr>
          <w:pStyle w:val="Footer"/>
          <w:rPr>
            <w:rFonts w:ascii="Times New Roman" w:hAnsi="Times New Roman" w:cs="Times New Roman"/>
            <w:noProof/>
          </w:rPr>
        </w:pPr>
      </w:p>
      <w:p w14:paraId="638DAC21" w14:textId="77777777" w:rsidR="006106BA" w:rsidRDefault="006106BA">
        <w:pPr>
          <w:pStyle w:val="Footer"/>
          <w:rPr>
            <w:rFonts w:ascii="Times New Roman" w:hAnsi="Times New Roman" w:cs="Times New Roman"/>
            <w:noProof/>
          </w:rPr>
        </w:pPr>
      </w:p>
      <w:p w14:paraId="4D114FD8" w14:textId="77777777" w:rsidR="006106BA" w:rsidRPr="006106BA" w:rsidRDefault="003D5236">
        <w:pPr>
          <w:pStyle w:val="Footer"/>
          <w:rPr>
            <w:rFonts w:ascii="Times New Roman" w:hAnsi="Times New Roman" w:cs="Times New Roman"/>
          </w:rPr>
        </w:pPr>
      </w:p>
    </w:sdtContent>
  </w:sdt>
  <w:p w14:paraId="2C30F3DA" w14:textId="77777777" w:rsidR="009D5A8F" w:rsidRDefault="009D5A8F">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077369"/>
      <w:docPartObj>
        <w:docPartGallery w:val="Page Numbers (Bottom of Page)"/>
        <w:docPartUnique/>
      </w:docPartObj>
    </w:sdtPr>
    <w:sdtEndPr>
      <w:rPr>
        <w:rFonts w:ascii="Times New Roman" w:hAnsi="Times New Roman" w:cs="Times New Roman"/>
        <w:noProof/>
      </w:rPr>
    </w:sdtEndPr>
    <w:sdtContent>
      <w:p w14:paraId="5C42C86F" w14:textId="77777777" w:rsidR="006106BA" w:rsidRPr="006106BA" w:rsidRDefault="006106BA">
        <w:pPr>
          <w:pStyle w:val="Footer"/>
          <w:jc w:val="right"/>
          <w:rPr>
            <w:rFonts w:ascii="Times New Roman" w:hAnsi="Times New Roman" w:cs="Times New Roman"/>
          </w:rPr>
        </w:pPr>
        <w:r w:rsidRPr="006106BA">
          <w:rPr>
            <w:rFonts w:ascii="Times New Roman" w:hAnsi="Times New Roman" w:cs="Times New Roman"/>
          </w:rPr>
          <w:fldChar w:fldCharType="begin"/>
        </w:r>
        <w:r w:rsidRPr="006106BA">
          <w:rPr>
            <w:rFonts w:ascii="Times New Roman" w:hAnsi="Times New Roman" w:cs="Times New Roman"/>
          </w:rPr>
          <w:instrText xml:space="preserve"> PAGE   \* MERGEFORMAT </w:instrText>
        </w:r>
        <w:r w:rsidRPr="006106BA">
          <w:rPr>
            <w:rFonts w:ascii="Times New Roman" w:hAnsi="Times New Roman" w:cs="Times New Roman"/>
          </w:rPr>
          <w:fldChar w:fldCharType="separate"/>
        </w:r>
        <w:r w:rsidRPr="006106BA">
          <w:rPr>
            <w:rFonts w:ascii="Times New Roman" w:hAnsi="Times New Roman" w:cs="Times New Roman"/>
          </w:rPr>
          <w:t>2</w:t>
        </w:r>
        <w:r w:rsidRPr="006106BA">
          <w:rPr>
            <w:rFonts w:ascii="Times New Roman" w:hAnsi="Times New Roman" w:cs="Times New Roman"/>
          </w:rPr>
          <w:fldChar w:fldCharType="end"/>
        </w:r>
      </w:p>
    </w:sdtContent>
  </w:sdt>
  <w:p w14:paraId="09104356" w14:textId="77777777" w:rsidR="009D5A8F" w:rsidRDefault="009D5A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04703"/>
      <w:docPartObj>
        <w:docPartGallery w:val="Page Numbers (Bottom of Page)"/>
        <w:docPartUnique/>
      </w:docPartObj>
    </w:sdtPr>
    <w:sdtEndPr>
      <w:rPr>
        <w:rFonts w:ascii="Times New Roman" w:hAnsi="Times New Roman" w:cs="Times New Roman"/>
        <w:noProof/>
      </w:rPr>
    </w:sdtEndPr>
    <w:sdtContent>
      <w:p w14:paraId="5DF6065D" w14:textId="77777777" w:rsidR="006106BA" w:rsidRDefault="006106BA">
        <w:pPr>
          <w:pStyle w:val="Footer"/>
          <w:rPr>
            <w:rFonts w:ascii="Times New Roman" w:hAnsi="Times New Roman" w:cs="Times New Roman"/>
            <w:noProof/>
          </w:rPr>
        </w:pPr>
        <w:r w:rsidRPr="006106BA">
          <w:rPr>
            <w:rFonts w:ascii="Times New Roman" w:hAnsi="Times New Roman" w:cs="Times New Roman"/>
          </w:rPr>
          <w:fldChar w:fldCharType="begin"/>
        </w:r>
        <w:r w:rsidRPr="006106BA">
          <w:rPr>
            <w:rFonts w:ascii="Times New Roman" w:hAnsi="Times New Roman" w:cs="Times New Roman"/>
          </w:rPr>
          <w:instrText xml:space="preserve"> PAGE   \* MERGEFORMAT </w:instrText>
        </w:r>
        <w:r w:rsidRPr="006106BA">
          <w:rPr>
            <w:rFonts w:ascii="Times New Roman" w:hAnsi="Times New Roman" w:cs="Times New Roman"/>
          </w:rPr>
          <w:fldChar w:fldCharType="separate"/>
        </w:r>
        <w:r w:rsidRPr="006106BA">
          <w:rPr>
            <w:rFonts w:ascii="Times New Roman" w:hAnsi="Times New Roman" w:cs="Times New Roman"/>
          </w:rPr>
          <w:t>2</w:t>
        </w:r>
        <w:r w:rsidRPr="006106BA">
          <w:rPr>
            <w:rFonts w:ascii="Times New Roman" w:hAnsi="Times New Roman" w:cs="Times New Roman"/>
          </w:rPr>
          <w:fldChar w:fldCharType="end"/>
        </w:r>
      </w:p>
      <w:p w14:paraId="425F14C5" w14:textId="77777777" w:rsidR="006106BA" w:rsidRDefault="006106BA">
        <w:pPr>
          <w:pStyle w:val="Footer"/>
          <w:rPr>
            <w:rFonts w:ascii="Times New Roman" w:hAnsi="Times New Roman" w:cs="Times New Roman"/>
          </w:rPr>
        </w:pPr>
      </w:p>
      <w:p w14:paraId="54ACB47D" w14:textId="77777777" w:rsidR="006106BA" w:rsidRDefault="006106BA">
        <w:pPr>
          <w:pStyle w:val="Footer"/>
          <w:rPr>
            <w:rFonts w:ascii="Times New Roman" w:hAnsi="Times New Roman" w:cs="Times New Roman"/>
          </w:rPr>
        </w:pPr>
      </w:p>
      <w:p w14:paraId="009500F9" w14:textId="77777777" w:rsidR="006106BA" w:rsidRPr="006106BA" w:rsidRDefault="003D5236">
        <w:pPr>
          <w:pStyle w:val="Footer"/>
          <w:rPr>
            <w:rFonts w:ascii="Times New Roman" w:hAnsi="Times New Roman" w:cs="Times New Roman"/>
          </w:rPr>
        </w:pPr>
      </w:p>
    </w:sdtContent>
  </w:sdt>
  <w:p w14:paraId="6F52F099" w14:textId="77777777" w:rsidR="009D5A8F" w:rsidRDefault="009D5A8F">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2C7FD" w14:textId="77777777" w:rsidR="003D5236" w:rsidRDefault="003D5236"/>
  </w:footnote>
  <w:footnote w:type="continuationSeparator" w:id="0">
    <w:p w14:paraId="37489DD9" w14:textId="77777777" w:rsidR="003D5236" w:rsidRDefault="003D52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1592B"/>
    <w:multiLevelType w:val="multilevel"/>
    <w:tmpl w:val="2AA2D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687BF1"/>
    <w:multiLevelType w:val="hybridMultilevel"/>
    <w:tmpl w:val="864A28AA"/>
    <w:lvl w:ilvl="0" w:tplc="8830FBE8">
      <w:start w:val="1"/>
      <w:numFmt w:val="decimal"/>
      <w:lvlText w:val="%1)"/>
      <w:lvlJc w:val="left"/>
      <w:pPr>
        <w:ind w:left="580" w:hanging="360"/>
      </w:pPr>
      <w:rPr>
        <w:rFonts w:hint="default"/>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2" w15:restartNumberingAfterBreak="0">
    <w:nsid w:val="7B76332C"/>
    <w:multiLevelType w:val="multilevel"/>
    <w:tmpl w:val="9D5A1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y">
    <w15:presenceInfo w15:providerId="None" w15:userId="Jen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A8F"/>
    <w:rsid w:val="00156F1B"/>
    <w:rsid w:val="002E6266"/>
    <w:rsid w:val="00326DB1"/>
    <w:rsid w:val="003D5236"/>
    <w:rsid w:val="004D7462"/>
    <w:rsid w:val="006106BA"/>
    <w:rsid w:val="0073718A"/>
    <w:rsid w:val="007F7FB2"/>
    <w:rsid w:val="00852E49"/>
    <w:rsid w:val="009B002C"/>
    <w:rsid w:val="009D5A8F"/>
    <w:rsid w:val="00C178EC"/>
    <w:rsid w:val="00D07FDD"/>
    <w:rsid w:val="00D9106B"/>
    <w:rsid w:val="00E93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F10E1"/>
  <w15:docId w15:val="{4C6D406C-32BB-46FE-8A7C-FDCAED16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en-GB" w:eastAsia="it-IT" w:bidi="it-IT"/>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4"/>
      <w:szCs w:val="14"/>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4"/>
      <w:szCs w:val="34"/>
      <w:u w:val="none"/>
    </w:rPr>
  </w:style>
  <w:style w:type="character" w:customStyle="1" w:styleId="Heading2">
    <w:name w:val="Heading #2_"/>
    <w:basedOn w:val="DefaultParagraphFont"/>
    <w:link w:val="Heading20"/>
    <w:rPr>
      <w:rFonts w:ascii="Times New Roman" w:eastAsia="Times New Roman" w:hAnsi="Times New Roman" w:cs="Times New Roman"/>
      <w:b w:val="0"/>
      <w:bCs w:val="0"/>
      <w:i/>
      <w:iCs/>
      <w:smallCaps w:val="0"/>
      <w:strike w:val="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0"/>
      <w:szCs w:val="20"/>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2"/>
      <w:szCs w:val="22"/>
      <w:u w:val="none"/>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19"/>
      <w:szCs w:val="19"/>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6"/>
      <w:szCs w:val="1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6"/>
      <w:szCs w:val="16"/>
      <w:u w:val="none"/>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iCs/>
      <w:smallCaps w:val="0"/>
      <w:strike w:val="0"/>
      <w:sz w:val="16"/>
      <w:szCs w:val="16"/>
      <w:u w:val="none"/>
    </w:rPr>
  </w:style>
  <w:style w:type="paragraph" w:customStyle="1" w:styleId="Bodytext30">
    <w:name w:val="Body text (3)"/>
    <w:basedOn w:val="Normal"/>
    <w:link w:val="Bodytext3"/>
    <w:pPr>
      <w:shd w:val="clear" w:color="auto" w:fill="FFFFFF"/>
      <w:spacing w:line="221" w:lineRule="auto"/>
      <w:ind w:left="510" w:right="2910"/>
    </w:pPr>
    <w:rPr>
      <w:rFonts w:ascii="Times New Roman" w:eastAsia="Times New Roman" w:hAnsi="Times New Roman" w:cs="Times New Roman"/>
      <w:sz w:val="14"/>
      <w:szCs w:val="14"/>
    </w:rPr>
  </w:style>
  <w:style w:type="paragraph" w:customStyle="1" w:styleId="Headerorfooter0">
    <w:name w:val="Header or footer"/>
    <w:basedOn w:val="Normal"/>
    <w:link w:val="Headerorfooter"/>
    <w:pPr>
      <w:shd w:val="clear" w:color="auto" w:fill="FFFFFF"/>
    </w:pPr>
    <w:rPr>
      <w:rFonts w:ascii="Times New Roman" w:eastAsia="Times New Roman" w:hAnsi="Times New Roman" w:cs="Times New Roman"/>
      <w:sz w:val="20"/>
      <w:szCs w:val="20"/>
    </w:rPr>
  </w:style>
  <w:style w:type="paragraph" w:customStyle="1" w:styleId="Heading10">
    <w:name w:val="Heading #1"/>
    <w:basedOn w:val="Normal"/>
    <w:link w:val="Heading1"/>
    <w:pPr>
      <w:shd w:val="clear" w:color="auto" w:fill="FFFFFF"/>
      <w:spacing w:after="460"/>
      <w:outlineLvl w:val="0"/>
    </w:pPr>
    <w:rPr>
      <w:rFonts w:ascii="Times New Roman" w:eastAsia="Times New Roman" w:hAnsi="Times New Roman" w:cs="Times New Roman"/>
      <w:b/>
      <w:bCs/>
      <w:sz w:val="34"/>
      <w:szCs w:val="34"/>
    </w:rPr>
  </w:style>
  <w:style w:type="paragraph" w:customStyle="1" w:styleId="Heading20">
    <w:name w:val="Heading #2"/>
    <w:basedOn w:val="Normal"/>
    <w:link w:val="Heading2"/>
    <w:pPr>
      <w:shd w:val="clear" w:color="auto" w:fill="FFFFFF"/>
      <w:spacing w:after="120"/>
      <w:jc w:val="both"/>
      <w:outlineLvl w:val="1"/>
    </w:pPr>
    <w:rPr>
      <w:rFonts w:ascii="Times New Roman" w:eastAsia="Times New Roman" w:hAnsi="Times New Roman" w:cs="Times New Roman"/>
      <w:i/>
      <w:iCs/>
    </w:rPr>
  </w:style>
  <w:style w:type="paragraph" w:styleId="BodyText">
    <w:name w:val="Body Text"/>
    <w:basedOn w:val="Normal"/>
    <w:link w:val="BodyTextChar"/>
    <w:qFormat/>
    <w:pPr>
      <w:shd w:val="clear" w:color="auto" w:fill="FFFFFF"/>
      <w:ind w:firstLine="220"/>
      <w:jc w:val="both"/>
    </w:pPr>
    <w:rPr>
      <w:rFonts w:ascii="Times New Roman" w:eastAsia="Times New Roman" w:hAnsi="Times New Roman" w:cs="Times New Roman"/>
      <w:sz w:val="20"/>
      <w:szCs w:val="20"/>
    </w:rPr>
  </w:style>
  <w:style w:type="paragraph" w:customStyle="1" w:styleId="Heading30">
    <w:name w:val="Heading #3"/>
    <w:basedOn w:val="Normal"/>
    <w:link w:val="Heading3"/>
    <w:pPr>
      <w:shd w:val="clear" w:color="auto" w:fill="FFFFFF"/>
      <w:spacing w:after="280" w:line="211" w:lineRule="auto"/>
      <w:jc w:val="both"/>
      <w:outlineLvl w:val="2"/>
    </w:pPr>
    <w:rPr>
      <w:rFonts w:ascii="Times New Roman" w:eastAsia="Times New Roman" w:hAnsi="Times New Roman" w:cs="Times New Roman"/>
      <w:b/>
      <w:bCs/>
      <w:sz w:val="22"/>
      <w:szCs w:val="22"/>
    </w:rPr>
  </w:style>
  <w:style w:type="paragraph" w:customStyle="1" w:styleId="Heading40">
    <w:name w:val="Heading #4"/>
    <w:basedOn w:val="Normal"/>
    <w:link w:val="Heading4"/>
    <w:pPr>
      <w:shd w:val="clear" w:color="auto" w:fill="FFFFFF"/>
      <w:outlineLvl w:val="3"/>
    </w:pPr>
    <w:rPr>
      <w:rFonts w:ascii="Times New Roman" w:eastAsia="Times New Roman" w:hAnsi="Times New Roman" w:cs="Times New Roman"/>
      <w:b/>
      <w:bCs/>
      <w:sz w:val="19"/>
      <w:szCs w:val="19"/>
    </w:rPr>
  </w:style>
  <w:style w:type="paragraph" w:customStyle="1" w:styleId="Other0">
    <w:name w:val="Other"/>
    <w:basedOn w:val="Normal"/>
    <w:link w:val="Other"/>
    <w:pPr>
      <w:shd w:val="clear" w:color="auto" w:fill="FFFFFF"/>
      <w:ind w:firstLine="220"/>
      <w:jc w:val="both"/>
    </w:pPr>
    <w:rPr>
      <w:rFonts w:ascii="Times New Roman" w:eastAsia="Times New Roman" w:hAnsi="Times New Roman" w:cs="Times New Roman"/>
      <w:sz w:val="20"/>
      <w:szCs w:val="20"/>
    </w:rPr>
  </w:style>
  <w:style w:type="paragraph" w:customStyle="1" w:styleId="Tablecaption0">
    <w:name w:val="Table caption"/>
    <w:basedOn w:val="Normal"/>
    <w:link w:val="Tablecaption"/>
    <w:pPr>
      <w:shd w:val="clear" w:color="auto" w:fill="FFFFFF"/>
      <w:spacing w:line="233" w:lineRule="auto"/>
    </w:pPr>
    <w:rPr>
      <w:rFonts w:ascii="Times New Roman" w:eastAsia="Times New Roman" w:hAnsi="Times New Roman" w:cs="Times New Roman"/>
      <w:sz w:val="16"/>
      <w:szCs w:val="16"/>
    </w:rPr>
  </w:style>
  <w:style w:type="paragraph" w:customStyle="1" w:styleId="Bodytext20">
    <w:name w:val="Body text (2)"/>
    <w:basedOn w:val="Normal"/>
    <w:link w:val="Bodytext2"/>
    <w:pPr>
      <w:shd w:val="clear" w:color="auto" w:fill="FFFFFF"/>
      <w:spacing w:line="228" w:lineRule="auto"/>
      <w:ind w:left="200" w:hanging="200"/>
      <w:jc w:val="both"/>
    </w:pPr>
    <w:rPr>
      <w:rFonts w:ascii="Times New Roman" w:eastAsia="Times New Roman" w:hAnsi="Times New Roman" w:cs="Times New Roman"/>
      <w:sz w:val="16"/>
      <w:szCs w:val="16"/>
    </w:rPr>
  </w:style>
  <w:style w:type="paragraph" w:customStyle="1" w:styleId="Picturecaption0">
    <w:name w:val="Picture caption"/>
    <w:basedOn w:val="Normal"/>
    <w:link w:val="Picturecaption"/>
    <w:pPr>
      <w:shd w:val="clear" w:color="auto" w:fill="FFFFFF"/>
      <w:spacing w:line="228" w:lineRule="auto"/>
      <w:jc w:val="both"/>
    </w:pPr>
    <w:rPr>
      <w:rFonts w:ascii="Times New Roman" w:eastAsia="Times New Roman" w:hAnsi="Times New Roman" w:cs="Times New Roman"/>
      <w:i/>
      <w:iCs/>
      <w:sz w:val="16"/>
      <w:szCs w:val="16"/>
    </w:rPr>
  </w:style>
  <w:style w:type="table" w:styleId="TableGrid">
    <w:name w:val="Table Grid"/>
    <w:basedOn w:val="TableNormal"/>
    <w:uiPriority w:val="39"/>
    <w:rsid w:val="00D07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6BA"/>
    <w:pPr>
      <w:tabs>
        <w:tab w:val="center" w:pos="4513"/>
        <w:tab w:val="right" w:pos="9026"/>
      </w:tabs>
    </w:pPr>
  </w:style>
  <w:style w:type="character" w:customStyle="1" w:styleId="HeaderChar">
    <w:name w:val="Header Char"/>
    <w:basedOn w:val="DefaultParagraphFont"/>
    <w:link w:val="Header"/>
    <w:uiPriority w:val="99"/>
    <w:rsid w:val="006106BA"/>
    <w:rPr>
      <w:color w:val="000000"/>
    </w:rPr>
  </w:style>
  <w:style w:type="paragraph" w:styleId="Footer">
    <w:name w:val="footer"/>
    <w:basedOn w:val="Normal"/>
    <w:link w:val="FooterChar"/>
    <w:uiPriority w:val="99"/>
    <w:unhideWhenUsed/>
    <w:rsid w:val="006106BA"/>
    <w:pPr>
      <w:tabs>
        <w:tab w:val="center" w:pos="4513"/>
        <w:tab w:val="right" w:pos="9026"/>
      </w:tabs>
    </w:pPr>
  </w:style>
  <w:style w:type="character" w:customStyle="1" w:styleId="FooterChar">
    <w:name w:val="Footer Char"/>
    <w:basedOn w:val="DefaultParagraphFont"/>
    <w:link w:val="Footer"/>
    <w:uiPriority w:val="99"/>
    <w:rsid w:val="006106BA"/>
    <w:rPr>
      <w:color w:val="000000"/>
    </w:rPr>
  </w:style>
  <w:style w:type="paragraph" w:styleId="CommentText">
    <w:name w:val="annotation text"/>
    <w:basedOn w:val="Normal"/>
    <w:link w:val="CommentTextChar"/>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26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DB1"/>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326DB1"/>
    <w:rPr>
      <w:b/>
      <w:bCs/>
    </w:rPr>
  </w:style>
  <w:style w:type="character" w:customStyle="1" w:styleId="CommentTextChar">
    <w:name w:val="Comment Text Char"/>
    <w:basedOn w:val="DefaultParagraphFont"/>
    <w:link w:val="CommentText"/>
    <w:uiPriority w:val="99"/>
    <w:semiHidden/>
    <w:rsid w:val="00326DB1"/>
    <w:rPr>
      <w:color w:val="000000"/>
      <w:sz w:val="20"/>
      <w:szCs w:val="20"/>
    </w:rPr>
  </w:style>
  <w:style w:type="character" w:customStyle="1" w:styleId="CommentSubjectChar">
    <w:name w:val="Comment Subject Char"/>
    <w:basedOn w:val="CommentTextChar"/>
    <w:link w:val="CommentSubject"/>
    <w:uiPriority w:val="99"/>
    <w:semiHidden/>
    <w:rsid w:val="00326DB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cp:lastModifiedBy>
  <cp:revision>9</cp:revision>
  <dcterms:created xsi:type="dcterms:W3CDTF">2018-05-28T08:04:00Z</dcterms:created>
  <dcterms:modified xsi:type="dcterms:W3CDTF">2018-05-29T10:59:00Z</dcterms:modified>
</cp:coreProperties>
</file>