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0FD" w:rsidRDefault="00AA50FD" w:rsidP="00333B39">
      <w:pPr>
        <w:bidi w:val="0"/>
        <w:spacing w:after="0" w:line="360" w:lineRule="auto"/>
        <w:jc w:val="center"/>
        <w:rPr>
          <w:rFonts w:eastAsia="Times New Roman" w:cs="David"/>
          <w:b/>
          <w:bCs/>
          <w:color w:val="000000"/>
          <w:sz w:val="44"/>
          <w:szCs w:val="44"/>
          <w:lang w:eastAsia="he-IL"/>
        </w:rPr>
      </w:pPr>
      <w:bookmarkStart w:id="0" w:name="_Hlk491167994"/>
    </w:p>
    <w:p w:rsidR="00AA50FD" w:rsidRPr="000214B6" w:rsidRDefault="00AA50FD" w:rsidP="00333B39">
      <w:pPr>
        <w:bidi w:val="0"/>
        <w:spacing w:after="0" w:line="360" w:lineRule="auto"/>
        <w:jc w:val="center"/>
        <w:rPr>
          <w:rFonts w:eastAsia="Times New Roman" w:cs="David"/>
          <w:b/>
          <w:bCs/>
          <w:color w:val="000000"/>
          <w:sz w:val="40"/>
          <w:szCs w:val="40"/>
          <w:lang w:eastAsia="he-IL"/>
        </w:rPr>
      </w:pPr>
      <w:r w:rsidRPr="00031FD4">
        <w:rPr>
          <w:rFonts w:eastAsia="Times New Roman" w:cs="David"/>
          <w:b/>
          <w:bCs/>
          <w:color w:val="000000"/>
          <w:sz w:val="40"/>
          <w:szCs w:val="40"/>
          <w:lang w:eastAsia="he-IL"/>
        </w:rPr>
        <w:t xml:space="preserve">The Elijah Narratives: Polarity or </w:t>
      </w:r>
      <w:r w:rsidR="002676C0" w:rsidRPr="000214B6">
        <w:rPr>
          <w:rFonts w:eastAsia="Times New Roman" w:cs="David"/>
          <w:b/>
          <w:bCs/>
          <w:color w:val="000000"/>
          <w:sz w:val="40"/>
          <w:szCs w:val="40"/>
          <w:lang w:eastAsia="he-IL"/>
        </w:rPr>
        <w:t>Integration</w:t>
      </w:r>
      <w:r w:rsidRPr="000214B6">
        <w:rPr>
          <w:rFonts w:eastAsia="Times New Roman" w:cs="David"/>
          <w:b/>
          <w:bCs/>
          <w:color w:val="000000"/>
          <w:sz w:val="40"/>
          <w:szCs w:val="40"/>
          <w:lang w:eastAsia="he-IL"/>
        </w:rPr>
        <w:t>?</w:t>
      </w:r>
    </w:p>
    <w:p w:rsidR="008E00BB" w:rsidRPr="000214B6" w:rsidRDefault="008E00BB" w:rsidP="00333B39">
      <w:pPr>
        <w:bidi w:val="0"/>
        <w:spacing w:after="0" w:line="360" w:lineRule="auto"/>
        <w:jc w:val="both"/>
        <w:rPr>
          <w:rFonts w:eastAsia="Times New Roman" w:cs="David"/>
          <w:b/>
          <w:bCs/>
          <w:color w:val="000000"/>
          <w:lang w:eastAsia="he-IL"/>
        </w:rPr>
      </w:pPr>
    </w:p>
    <w:p w:rsidR="00F77EDA" w:rsidRPr="00F77EDA" w:rsidRDefault="00F77EDA" w:rsidP="00333B39">
      <w:pPr>
        <w:bidi w:val="0"/>
        <w:spacing w:after="0" w:line="360" w:lineRule="auto"/>
        <w:jc w:val="both"/>
        <w:rPr>
          <w:rFonts w:eastAsia="Times New Roman" w:cs="David"/>
          <w:b/>
          <w:bCs/>
          <w:sz w:val="32"/>
          <w:szCs w:val="32"/>
          <w:lang w:eastAsia="he-IL"/>
        </w:rPr>
      </w:pPr>
      <w:r w:rsidRPr="00F77EDA">
        <w:rPr>
          <w:rFonts w:eastAsia="Times New Roman" w:cs="David"/>
          <w:b/>
          <w:bCs/>
          <w:color w:val="000000"/>
          <w:sz w:val="32"/>
          <w:szCs w:val="32"/>
          <w:lang w:eastAsia="he-IL"/>
        </w:rPr>
        <w:t>The Stark Contrast</w:t>
      </w:r>
      <w:r w:rsidRPr="00F77EDA">
        <w:rPr>
          <w:rFonts w:eastAsia="Times New Roman" w:cs="David"/>
          <w:b/>
          <w:bCs/>
          <w:sz w:val="32"/>
          <w:szCs w:val="32"/>
          <w:lang w:eastAsia="he-IL"/>
        </w:rPr>
        <w:t xml:space="preserve"> between Elijah and Jezebel</w:t>
      </w:r>
    </w:p>
    <w:p w:rsidR="00F77EDA" w:rsidRPr="00F77EDA" w:rsidRDefault="00F77EDA" w:rsidP="00333B39">
      <w:pPr>
        <w:bidi w:val="0"/>
        <w:spacing w:after="0" w:line="360" w:lineRule="auto"/>
        <w:jc w:val="both"/>
        <w:rPr>
          <w:rFonts w:eastAsia="Times New Roman" w:cs="David"/>
          <w:lang w:eastAsia="he-IL"/>
        </w:rPr>
      </w:pPr>
    </w:p>
    <w:p w:rsidR="00463209" w:rsidRDefault="0056776D" w:rsidP="00333B39">
      <w:pPr>
        <w:bidi w:val="0"/>
        <w:spacing w:line="360" w:lineRule="auto"/>
        <w:ind w:firstLine="720"/>
        <w:rPr>
          <w:rFonts w:eastAsia="Times New Roman" w:cs="David"/>
          <w:lang w:eastAsia="he-IL"/>
        </w:rPr>
      </w:pPr>
      <w:r>
        <w:rPr>
          <w:rFonts w:eastAsia="Times New Roman" w:cs="David"/>
          <w:lang w:eastAsia="he-IL"/>
        </w:rPr>
        <w:t xml:space="preserve">The contrast between </w:t>
      </w:r>
      <w:r w:rsidRPr="0056776D">
        <w:rPr>
          <w:rFonts w:eastAsia="Times New Roman" w:cs="David"/>
          <w:lang w:eastAsia="he-IL"/>
        </w:rPr>
        <w:t xml:space="preserve">Elijah </w:t>
      </w:r>
      <w:r w:rsidR="00016851">
        <w:rPr>
          <w:rFonts w:eastAsia="Times New Roman" w:cs="David"/>
          <w:lang w:eastAsia="he-IL"/>
        </w:rPr>
        <w:t xml:space="preserve">the prophet </w:t>
      </w:r>
      <w:r w:rsidRPr="0056776D">
        <w:rPr>
          <w:rFonts w:eastAsia="Times New Roman" w:cs="David"/>
          <w:lang w:eastAsia="he-IL"/>
        </w:rPr>
        <w:t xml:space="preserve">and </w:t>
      </w:r>
      <w:r w:rsidR="00016851">
        <w:rPr>
          <w:rFonts w:eastAsia="Times New Roman" w:cs="David"/>
          <w:lang w:eastAsia="he-IL"/>
        </w:rPr>
        <w:t xml:space="preserve">Queen </w:t>
      </w:r>
      <w:r w:rsidRPr="0056776D">
        <w:rPr>
          <w:rFonts w:eastAsia="Times New Roman" w:cs="David"/>
          <w:lang w:eastAsia="he-IL"/>
        </w:rPr>
        <w:t>Jezebel</w:t>
      </w:r>
      <w:r w:rsidR="00016851">
        <w:rPr>
          <w:rFonts w:eastAsia="Times New Roman" w:cs="David"/>
          <w:lang w:eastAsia="he-IL"/>
        </w:rPr>
        <w:t xml:space="preserve"> is o</w:t>
      </w:r>
      <w:r w:rsidR="00EB0381">
        <w:rPr>
          <w:rFonts w:eastAsia="Times New Roman" w:cs="David"/>
          <w:lang w:eastAsia="he-IL"/>
        </w:rPr>
        <w:t xml:space="preserve">ne of the starkest </w:t>
      </w:r>
      <w:r w:rsidR="00EB0381" w:rsidRPr="00484E5C">
        <w:rPr>
          <w:rFonts w:eastAsia="Times New Roman" w:cs="David"/>
          <w:color w:val="000000"/>
          <w:lang w:eastAsia="he-IL"/>
        </w:rPr>
        <w:t xml:space="preserve">between </w:t>
      </w:r>
      <w:r w:rsidR="00EB0381">
        <w:rPr>
          <w:rFonts w:eastAsia="Times New Roman" w:cs="David"/>
          <w:lang w:eastAsia="he-IL"/>
        </w:rPr>
        <w:t xml:space="preserve">biblical </w:t>
      </w:r>
      <w:r w:rsidR="00300CC5">
        <w:rPr>
          <w:rFonts w:eastAsia="Times New Roman" w:cs="David"/>
          <w:lang w:eastAsia="he-IL"/>
        </w:rPr>
        <w:t>figure</w:t>
      </w:r>
      <w:r w:rsidR="00E00E1E">
        <w:rPr>
          <w:rFonts w:eastAsia="Times New Roman" w:cs="David"/>
          <w:lang w:eastAsia="he-IL"/>
        </w:rPr>
        <w:t>s</w:t>
      </w:r>
      <w:r w:rsidR="00EB0381">
        <w:rPr>
          <w:rFonts w:eastAsia="Times New Roman" w:cs="David"/>
          <w:lang w:eastAsia="he-IL"/>
        </w:rPr>
        <w:t xml:space="preserve">. </w:t>
      </w:r>
      <w:r w:rsidR="005F179B">
        <w:rPr>
          <w:rFonts w:eastAsia="Times New Roman" w:cs="David"/>
          <w:lang w:eastAsia="he-IL"/>
        </w:rPr>
        <w:t xml:space="preserve">According to </w:t>
      </w:r>
      <w:proofErr w:type="spellStart"/>
      <w:r w:rsidR="005F179B" w:rsidRPr="002F0FD6">
        <w:rPr>
          <w:rFonts w:eastAsia="Times New Roman" w:cs="David"/>
          <w:color w:val="000000"/>
          <w:lang w:eastAsia="he-IL"/>
        </w:rPr>
        <w:t>Triebel</w:t>
      </w:r>
      <w:proofErr w:type="spellEnd"/>
      <w:r w:rsidR="002F0FD6">
        <w:rPr>
          <w:rFonts w:eastAsia="Times New Roman" w:cs="David"/>
          <w:lang w:eastAsia="he-IL"/>
        </w:rPr>
        <w:t xml:space="preserve">, </w:t>
      </w:r>
      <w:r w:rsidR="009C2658">
        <w:rPr>
          <w:rFonts w:eastAsia="Times New Roman" w:cs="David"/>
          <w:lang w:eastAsia="he-IL"/>
        </w:rPr>
        <w:t>the</w:t>
      </w:r>
      <w:r w:rsidR="00FD2FC9">
        <w:rPr>
          <w:rFonts w:eastAsia="Times New Roman" w:cs="David"/>
          <w:lang w:eastAsia="he-IL"/>
        </w:rPr>
        <w:t>ir very biographical details stand in stark contrast</w:t>
      </w:r>
      <w:bookmarkEnd w:id="0"/>
      <w:r w:rsidR="00FC180B">
        <w:rPr>
          <w:rFonts w:eastAsia="Times New Roman" w:cs="David"/>
          <w:lang w:eastAsia="he-IL"/>
        </w:rPr>
        <w:t xml:space="preserve">: </w:t>
      </w:r>
    </w:p>
    <w:p w:rsidR="00333B39" w:rsidRDefault="00333B39" w:rsidP="00333B39">
      <w:pPr>
        <w:bidi w:val="0"/>
        <w:spacing w:line="340" w:lineRule="exact"/>
        <w:ind w:firstLine="720"/>
        <w:rPr>
          <w:rtl/>
        </w:rPr>
      </w:pPr>
    </w:p>
    <w:p w:rsidR="00333B39" w:rsidRDefault="00333B39" w:rsidP="00333B39">
      <w:pPr>
        <w:bidi w:val="0"/>
        <w:spacing w:line="340" w:lineRule="exact"/>
        <w:ind w:left="720"/>
        <w:rPr>
          <w:rtl/>
        </w:rPr>
      </w:pPr>
      <w:r>
        <w:t>[quote originally in English]</w:t>
      </w:r>
      <w:r>
        <w:rPr>
          <w:rStyle w:val="FootnoteReference"/>
        </w:rPr>
        <w:footnoteReference w:id="1"/>
      </w:r>
      <w:r>
        <w:rPr>
          <w:rFonts w:hint="cs"/>
          <w:rtl/>
        </w:rPr>
        <w:t>.</w:t>
      </w:r>
    </w:p>
    <w:p w:rsidR="00333B39" w:rsidRDefault="00333B39" w:rsidP="00333B39">
      <w:pPr>
        <w:bidi w:val="0"/>
        <w:spacing w:line="340" w:lineRule="exact"/>
        <w:ind w:left="720"/>
        <w:rPr>
          <w:rtl/>
        </w:rPr>
      </w:pPr>
    </w:p>
    <w:p w:rsidR="00ED48C5" w:rsidRDefault="00333B39" w:rsidP="00ED48C5">
      <w:pPr>
        <w:bidi w:val="0"/>
        <w:spacing w:line="360" w:lineRule="auto"/>
        <w:ind w:firstLine="720"/>
        <w:rPr>
          <w:rFonts w:eastAsia="Times New Roman" w:cs="David"/>
          <w:lang w:eastAsia="he-IL"/>
        </w:rPr>
      </w:pPr>
      <w:r>
        <w:rPr>
          <w:rFonts w:eastAsia="Times New Roman" w:cs="David"/>
          <w:lang w:eastAsia="he-IL"/>
        </w:rPr>
        <w:t xml:space="preserve">Gender, </w:t>
      </w:r>
      <w:r w:rsidR="00D8134D">
        <w:rPr>
          <w:rFonts w:eastAsia="Times New Roman" w:cs="David"/>
          <w:lang w:eastAsia="he-IL"/>
        </w:rPr>
        <w:t>land of origin (including</w:t>
      </w:r>
      <w:r w:rsidR="00514B2D">
        <w:rPr>
          <w:rFonts w:eastAsia="Times New Roman" w:cs="David"/>
          <w:lang w:eastAsia="he-IL"/>
        </w:rPr>
        <w:t xml:space="preserve"> geography and climate), socia</w:t>
      </w:r>
      <w:r w:rsidR="00D8134D">
        <w:rPr>
          <w:rFonts w:eastAsia="Times New Roman" w:cs="David"/>
          <w:lang w:eastAsia="he-IL"/>
        </w:rPr>
        <w:t xml:space="preserve">l status and even </w:t>
      </w:r>
      <w:r w:rsidR="00965FD5" w:rsidRPr="00350AEA">
        <w:rPr>
          <w:rFonts w:eastAsia="Times New Roman" w:cs="David"/>
          <w:color w:val="000000"/>
          <w:lang w:eastAsia="he-IL"/>
        </w:rPr>
        <w:t>personal</w:t>
      </w:r>
      <w:r w:rsidR="00965FD5" w:rsidRPr="005438B8">
        <w:rPr>
          <w:rFonts w:eastAsia="Times New Roman" w:cs="David"/>
          <w:color w:val="FF0000"/>
          <w:lang w:eastAsia="he-IL"/>
        </w:rPr>
        <w:t xml:space="preserve"> </w:t>
      </w:r>
      <w:r w:rsidR="00965FD5">
        <w:rPr>
          <w:rFonts w:eastAsia="Times New Roman" w:cs="David"/>
          <w:lang w:eastAsia="he-IL"/>
        </w:rPr>
        <w:t>names</w:t>
      </w:r>
      <w:r w:rsidR="005438B8">
        <w:rPr>
          <w:rFonts w:eastAsia="Times New Roman" w:cs="David"/>
          <w:lang w:eastAsia="he-IL"/>
        </w:rPr>
        <w:t xml:space="preserve"> all contribute to the</w:t>
      </w:r>
      <w:r w:rsidR="00E00E1E">
        <w:rPr>
          <w:rFonts w:eastAsia="Times New Roman" w:cs="David"/>
          <w:lang w:eastAsia="he-IL"/>
        </w:rPr>
        <w:t xml:space="preserve"> </w:t>
      </w:r>
      <w:r w:rsidR="001F2DEA">
        <w:rPr>
          <w:rFonts w:eastAsia="Times New Roman" w:cs="David"/>
          <w:lang w:eastAsia="he-IL"/>
        </w:rPr>
        <w:t xml:space="preserve">framework of polar contrast between the </w:t>
      </w:r>
      <w:r w:rsidR="00300CC5">
        <w:rPr>
          <w:rFonts w:eastAsia="Times New Roman" w:cs="David"/>
          <w:lang w:eastAsia="he-IL"/>
        </w:rPr>
        <w:t>figure</w:t>
      </w:r>
      <w:r w:rsidR="001F2DEA">
        <w:rPr>
          <w:rFonts w:eastAsia="Times New Roman" w:cs="David"/>
          <w:lang w:eastAsia="he-IL"/>
        </w:rPr>
        <w:t xml:space="preserve">s. </w:t>
      </w:r>
      <w:r w:rsidR="00231A0D">
        <w:rPr>
          <w:rFonts w:eastAsia="Times New Roman" w:cs="David"/>
          <w:lang w:eastAsia="he-IL"/>
        </w:rPr>
        <w:t xml:space="preserve">As </w:t>
      </w:r>
      <w:r w:rsidR="00FE3220">
        <w:rPr>
          <w:rFonts w:eastAsia="Times New Roman" w:cs="David"/>
          <w:lang w:eastAsia="he-IL"/>
        </w:rPr>
        <w:t>noted</w:t>
      </w:r>
      <w:r w:rsidR="00231A0D">
        <w:rPr>
          <w:rFonts w:eastAsia="Times New Roman" w:cs="David"/>
          <w:lang w:eastAsia="he-IL"/>
        </w:rPr>
        <w:t xml:space="preserve"> by </w:t>
      </w:r>
      <w:proofErr w:type="spellStart"/>
      <w:r w:rsidR="00231A0D" w:rsidRPr="002F0FD6">
        <w:rPr>
          <w:rFonts w:eastAsia="Times New Roman" w:cs="David"/>
          <w:color w:val="000000"/>
          <w:lang w:eastAsia="he-IL"/>
        </w:rPr>
        <w:t>Triebel</w:t>
      </w:r>
      <w:proofErr w:type="spellEnd"/>
      <w:r w:rsidR="00231A0D">
        <w:rPr>
          <w:rFonts w:eastAsia="Times New Roman" w:cs="David"/>
          <w:color w:val="000000"/>
          <w:lang w:eastAsia="he-IL"/>
        </w:rPr>
        <w:t xml:space="preserve">, </w:t>
      </w:r>
      <w:r w:rsidR="00231A0D">
        <w:rPr>
          <w:rFonts w:eastAsia="Times New Roman" w:cs="David"/>
          <w:lang w:eastAsia="he-IL"/>
        </w:rPr>
        <w:t>the stark</w:t>
      </w:r>
      <w:r w:rsidR="008D2782">
        <w:rPr>
          <w:rFonts w:eastAsia="Times New Roman" w:cs="David"/>
          <w:lang w:eastAsia="he-IL"/>
        </w:rPr>
        <w:t xml:space="preserve">ness of </w:t>
      </w:r>
      <w:r w:rsidR="00DB0E2C">
        <w:rPr>
          <w:rFonts w:eastAsia="Times New Roman" w:cs="David"/>
          <w:lang w:eastAsia="he-IL"/>
        </w:rPr>
        <w:t>the</w:t>
      </w:r>
      <w:r w:rsidR="008D2782">
        <w:rPr>
          <w:rFonts w:eastAsia="Times New Roman" w:cs="David"/>
          <w:lang w:eastAsia="he-IL"/>
        </w:rPr>
        <w:t xml:space="preserve"> contrast </w:t>
      </w:r>
      <w:r w:rsidR="00DB0E2C">
        <w:rPr>
          <w:rFonts w:eastAsia="Times New Roman" w:cs="David"/>
          <w:lang w:eastAsia="he-IL"/>
        </w:rPr>
        <w:t xml:space="preserve">between </w:t>
      </w:r>
      <w:r w:rsidR="00DB0E2C">
        <w:rPr>
          <w:rFonts w:eastAsia="Times New Roman" w:cs="David"/>
          <w:lang w:eastAsia="he-IL"/>
        </w:rPr>
        <w:t>the</w:t>
      </w:r>
      <w:r w:rsidR="00DB0E2C">
        <w:rPr>
          <w:rFonts w:eastAsia="Times New Roman" w:cs="David"/>
          <w:lang w:eastAsia="he-IL"/>
        </w:rPr>
        <w:t>se</w:t>
      </w:r>
      <w:r w:rsidR="00DB0E2C">
        <w:rPr>
          <w:rFonts w:eastAsia="Times New Roman" w:cs="David"/>
          <w:lang w:eastAsia="he-IL"/>
        </w:rPr>
        <w:t xml:space="preserve"> figure</w:t>
      </w:r>
      <w:r w:rsidR="00DB0E2C">
        <w:rPr>
          <w:rFonts w:eastAsia="Times New Roman" w:cs="David"/>
          <w:lang w:eastAsia="he-IL"/>
        </w:rPr>
        <w:t>s</w:t>
      </w:r>
      <w:r w:rsidR="00DB0E2C">
        <w:rPr>
          <w:rFonts w:eastAsia="Times New Roman" w:cs="David"/>
          <w:lang w:eastAsia="he-IL"/>
        </w:rPr>
        <w:t xml:space="preserve"> </w:t>
      </w:r>
      <w:r w:rsidR="008D2782">
        <w:rPr>
          <w:rFonts w:eastAsia="Times New Roman" w:cs="David"/>
          <w:lang w:eastAsia="he-IL"/>
        </w:rPr>
        <w:t xml:space="preserve">emerges from </w:t>
      </w:r>
      <w:r w:rsidR="00DB0E2C">
        <w:rPr>
          <w:rFonts w:eastAsia="Times New Roman" w:cs="David"/>
          <w:lang w:eastAsia="he-IL"/>
        </w:rPr>
        <w:t xml:space="preserve">their </w:t>
      </w:r>
      <w:r w:rsidR="008D2782">
        <w:rPr>
          <w:rFonts w:eastAsia="Times New Roman" w:cs="David"/>
          <w:lang w:eastAsia="he-IL"/>
        </w:rPr>
        <w:t xml:space="preserve">very names. </w:t>
      </w:r>
      <w:r w:rsidR="00740FE3">
        <w:rPr>
          <w:rFonts w:eastAsia="Times New Roman" w:cs="David"/>
          <w:lang w:eastAsia="he-IL"/>
        </w:rPr>
        <w:t>The name Elijah means ‘the Lord is God’, or ‘my God is the Lord.’</w:t>
      </w:r>
      <w:r w:rsidR="006B1DF5">
        <w:rPr>
          <w:rStyle w:val="FootnoteReference"/>
          <w:rFonts w:eastAsia="Times New Roman" w:cs="David"/>
          <w:lang w:eastAsia="he-IL"/>
        </w:rPr>
        <w:footnoteReference w:id="2"/>
      </w:r>
      <w:r w:rsidR="006B1DF5">
        <w:rPr>
          <w:rFonts w:eastAsia="Times New Roman" w:cs="David"/>
          <w:lang w:eastAsia="he-IL"/>
        </w:rPr>
        <w:t xml:space="preserve"> </w:t>
      </w:r>
      <w:r w:rsidR="004856FA">
        <w:rPr>
          <w:rFonts w:eastAsia="Times New Roman" w:cs="David"/>
          <w:lang w:eastAsia="he-IL"/>
        </w:rPr>
        <w:t xml:space="preserve">This name </w:t>
      </w:r>
      <w:r w:rsidR="00FC5954">
        <w:rPr>
          <w:rFonts w:eastAsia="Times New Roman" w:cs="David"/>
          <w:lang w:eastAsia="he-IL"/>
        </w:rPr>
        <w:t xml:space="preserve">is reflected in the </w:t>
      </w:r>
      <w:r w:rsidR="0055621D">
        <w:rPr>
          <w:rFonts w:eastAsia="Times New Roman" w:cs="David"/>
          <w:lang w:eastAsia="he-IL"/>
        </w:rPr>
        <w:t xml:space="preserve">narrative </w:t>
      </w:r>
      <w:r w:rsidR="00DB0E2C">
        <w:rPr>
          <w:rFonts w:eastAsia="Times New Roman" w:cs="David"/>
          <w:lang w:eastAsia="he-IL"/>
        </w:rPr>
        <w:t>of</w:t>
      </w:r>
      <w:r w:rsidR="0055621D">
        <w:rPr>
          <w:rFonts w:eastAsia="Times New Roman" w:cs="David"/>
          <w:lang w:eastAsia="he-IL"/>
        </w:rPr>
        <w:t xml:space="preserve"> mount Carmel. During that event, after the fire came down from heaven, the people cry out: “</w:t>
      </w:r>
      <w:r w:rsidR="00E30B02">
        <w:rPr>
          <w:rFonts w:eastAsia="Times New Roman" w:cs="David"/>
          <w:lang w:eastAsia="he-IL"/>
        </w:rPr>
        <w:t>[</w:t>
      </w:r>
      <w:r w:rsidR="00E30B02">
        <w:rPr>
          <w:rFonts w:eastAsia="Times New Roman" w:cs="David"/>
          <w:i/>
          <w:iCs/>
          <w:lang w:eastAsia="he-IL"/>
        </w:rPr>
        <w:t>verse</w:t>
      </w:r>
      <w:r w:rsidR="00E30B02">
        <w:rPr>
          <w:rFonts w:eastAsia="Times New Roman" w:cs="David"/>
          <w:lang w:eastAsia="he-IL"/>
        </w:rPr>
        <w:t xml:space="preserve">]” (18:39). The name Jezebel </w:t>
      </w:r>
      <w:r w:rsidR="00C8366F">
        <w:rPr>
          <w:rFonts w:eastAsia="Times New Roman" w:cs="David"/>
          <w:lang w:eastAsia="he-IL"/>
        </w:rPr>
        <w:t>is c</w:t>
      </w:r>
      <w:r w:rsidR="00172446">
        <w:rPr>
          <w:rFonts w:eastAsia="Times New Roman" w:cs="David"/>
          <w:lang w:eastAsia="he-IL"/>
        </w:rPr>
        <w:t xml:space="preserve">omposed of the words </w:t>
      </w:r>
      <w:proofErr w:type="spellStart"/>
      <w:r w:rsidR="00172446" w:rsidRPr="00172446">
        <w:rPr>
          <w:rFonts w:eastAsia="Times New Roman" w:cs="David"/>
          <w:i/>
          <w:iCs/>
          <w:lang w:eastAsia="he-IL"/>
        </w:rPr>
        <w:t>iy-zbl</w:t>
      </w:r>
      <w:proofErr w:type="spellEnd"/>
      <w:r w:rsidR="00172446">
        <w:rPr>
          <w:rFonts w:eastAsia="Times New Roman" w:cs="David"/>
          <w:lang w:eastAsia="he-IL"/>
        </w:rPr>
        <w:t xml:space="preserve">. </w:t>
      </w:r>
      <w:r w:rsidR="00172446">
        <w:rPr>
          <w:rStyle w:val="FootnoteReference"/>
          <w:rFonts w:eastAsia="Times New Roman" w:cs="David"/>
          <w:lang w:eastAsia="he-IL"/>
        </w:rPr>
        <w:footnoteReference w:id="3"/>
      </w:r>
      <w:r w:rsidR="00172446">
        <w:rPr>
          <w:rFonts w:eastAsia="Times New Roman" w:cs="David"/>
          <w:lang w:eastAsia="he-IL"/>
        </w:rPr>
        <w:t xml:space="preserve"> </w:t>
      </w:r>
      <w:r w:rsidR="00DE7432">
        <w:rPr>
          <w:rFonts w:eastAsia="Times New Roman" w:cs="David"/>
          <w:lang w:eastAsia="he-IL"/>
        </w:rPr>
        <w:t xml:space="preserve">The component </w:t>
      </w:r>
      <w:proofErr w:type="spellStart"/>
      <w:r w:rsidR="00DE7432" w:rsidRPr="00172446">
        <w:rPr>
          <w:rFonts w:eastAsia="Times New Roman" w:cs="David"/>
          <w:i/>
          <w:iCs/>
          <w:lang w:eastAsia="he-IL"/>
        </w:rPr>
        <w:t>zbl</w:t>
      </w:r>
      <w:proofErr w:type="spellEnd"/>
      <w:r w:rsidR="00DE7432">
        <w:rPr>
          <w:rFonts w:eastAsia="Times New Roman" w:cs="David"/>
          <w:lang w:eastAsia="he-IL"/>
        </w:rPr>
        <w:t xml:space="preserve"> is apparently the western-Semitic</w:t>
      </w:r>
      <w:r w:rsidR="00882683">
        <w:rPr>
          <w:rFonts w:eastAsia="Times New Roman" w:cs="David"/>
          <w:lang w:eastAsia="he-IL"/>
        </w:rPr>
        <w:t xml:space="preserve"> word</w:t>
      </w:r>
      <w:r w:rsidR="00CE39C8">
        <w:rPr>
          <w:rFonts w:eastAsia="Times New Roman" w:cs="David"/>
          <w:lang w:eastAsia="he-IL"/>
        </w:rPr>
        <w:t xml:space="preserve"> </w:t>
      </w:r>
      <w:proofErr w:type="spellStart"/>
      <w:r w:rsidR="00CE39C8" w:rsidRPr="00FD1398">
        <w:rPr>
          <w:rFonts w:eastAsia="Times New Roman" w:cs="David"/>
          <w:i/>
          <w:iCs/>
          <w:color w:val="000000"/>
          <w:lang w:eastAsia="he-IL"/>
        </w:rPr>
        <w:t>z</w:t>
      </w:r>
      <w:r w:rsidR="00FD1398" w:rsidRPr="00FD1398">
        <w:rPr>
          <w:rFonts w:eastAsia="Times New Roman" w:cs="David"/>
          <w:i/>
          <w:iCs/>
          <w:color w:val="000000"/>
          <w:lang w:eastAsia="he-IL"/>
        </w:rPr>
        <w:t>a</w:t>
      </w:r>
      <w:r w:rsidR="00CE39C8" w:rsidRPr="00FD1398">
        <w:rPr>
          <w:rFonts w:eastAsia="Times New Roman" w:cs="David"/>
          <w:i/>
          <w:iCs/>
          <w:color w:val="000000"/>
          <w:lang w:eastAsia="he-IL"/>
        </w:rPr>
        <w:t>b</w:t>
      </w:r>
      <w:r w:rsidR="00FD1398" w:rsidRPr="00FD1398">
        <w:rPr>
          <w:rFonts w:eastAsia="Times New Roman" w:cs="David"/>
          <w:i/>
          <w:iCs/>
          <w:color w:val="000000"/>
          <w:lang w:eastAsia="he-IL"/>
        </w:rPr>
        <w:t>u</w:t>
      </w:r>
      <w:r w:rsidR="00CE39C8" w:rsidRPr="00FD1398">
        <w:rPr>
          <w:rFonts w:eastAsia="Times New Roman" w:cs="David"/>
          <w:i/>
          <w:iCs/>
          <w:color w:val="000000"/>
          <w:lang w:eastAsia="he-IL"/>
        </w:rPr>
        <w:t>l</w:t>
      </w:r>
      <w:proofErr w:type="spellEnd"/>
      <w:r w:rsidR="00882683">
        <w:rPr>
          <w:rFonts w:eastAsia="Times New Roman" w:cs="David"/>
          <w:lang w:eastAsia="he-IL"/>
        </w:rPr>
        <w:t xml:space="preserve">, </w:t>
      </w:r>
      <w:r w:rsidR="00CE39C8">
        <w:rPr>
          <w:rFonts w:eastAsia="Times New Roman" w:cs="David"/>
          <w:lang w:eastAsia="he-IL"/>
        </w:rPr>
        <w:t>common in Ugaritic writings and in Phoenician documents</w:t>
      </w:r>
      <w:r w:rsidR="005D5CE8">
        <w:rPr>
          <w:rFonts w:eastAsia="Times New Roman" w:cs="David"/>
          <w:lang w:eastAsia="he-IL"/>
        </w:rPr>
        <w:t xml:space="preserve">. It means ‘prince’ </w:t>
      </w:r>
      <w:r w:rsidR="00DB0E2C">
        <w:rPr>
          <w:rFonts w:eastAsia="Times New Roman" w:cs="David"/>
          <w:lang w:eastAsia="he-IL"/>
        </w:rPr>
        <w:t>and serves</w:t>
      </w:r>
      <w:r w:rsidR="00FD1398">
        <w:rPr>
          <w:rFonts w:eastAsia="Times New Roman" w:cs="David"/>
          <w:lang w:eastAsia="he-IL"/>
        </w:rPr>
        <w:t>, inter alia</w:t>
      </w:r>
      <w:r w:rsidR="00754267">
        <w:rPr>
          <w:rFonts w:eastAsia="Times New Roman" w:cs="David"/>
          <w:lang w:eastAsia="he-IL"/>
        </w:rPr>
        <w:t>,</w:t>
      </w:r>
      <w:r w:rsidR="00FD1398">
        <w:rPr>
          <w:rFonts w:eastAsia="Times New Roman" w:cs="David"/>
          <w:lang w:eastAsia="he-IL"/>
        </w:rPr>
        <w:t xml:space="preserve"> as </w:t>
      </w:r>
      <w:r w:rsidR="00754267">
        <w:rPr>
          <w:rFonts w:eastAsia="Times New Roman" w:cs="David"/>
          <w:lang w:eastAsia="he-IL"/>
        </w:rPr>
        <w:t>an honorific term</w:t>
      </w:r>
      <w:r w:rsidR="00114274">
        <w:rPr>
          <w:rStyle w:val="FootnoteReference"/>
          <w:rFonts w:eastAsia="Times New Roman" w:cs="David"/>
          <w:lang w:eastAsia="he-IL"/>
        </w:rPr>
        <w:footnoteReference w:id="4"/>
      </w:r>
      <w:r w:rsidR="00754267">
        <w:rPr>
          <w:rFonts w:eastAsia="Times New Roman" w:cs="David"/>
          <w:lang w:eastAsia="he-IL"/>
        </w:rPr>
        <w:t xml:space="preserve"> for the god Baal.</w:t>
      </w:r>
      <w:r w:rsidR="00754267">
        <w:rPr>
          <w:rStyle w:val="FootnoteReference"/>
          <w:rFonts w:eastAsia="Times New Roman" w:cs="David"/>
          <w:lang w:eastAsia="he-IL"/>
        </w:rPr>
        <w:footnoteReference w:id="5"/>
      </w:r>
      <w:r w:rsidR="00A841E1">
        <w:rPr>
          <w:rFonts w:eastAsia="Times New Roman" w:cs="David"/>
          <w:lang w:eastAsia="he-IL"/>
        </w:rPr>
        <w:t xml:space="preserve"> </w:t>
      </w:r>
      <w:r w:rsidR="00114274">
        <w:rPr>
          <w:rFonts w:eastAsia="Times New Roman" w:cs="David"/>
          <w:lang w:eastAsia="he-IL"/>
        </w:rPr>
        <w:t xml:space="preserve">Her name expresses </w:t>
      </w:r>
      <w:r w:rsidR="002E7AA7">
        <w:rPr>
          <w:rFonts w:eastAsia="Times New Roman" w:cs="David"/>
          <w:lang w:eastAsia="he-IL"/>
        </w:rPr>
        <w:t>the inquiry: ’W</w:t>
      </w:r>
      <w:r w:rsidR="00DA335A">
        <w:rPr>
          <w:rFonts w:eastAsia="Times New Roman" w:cs="David"/>
          <w:lang w:eastAsia="he-IL"/>
        </w:rPr>
        <w:t xml:space="preserve">here </w:t>
      </w:r>
      <w:r w:rsidR="002E7AA7">
        <w:rPr>
          <w:rFonts w:eastAsia="Times New Roman" w:cs="David"/>
          <w:lang w:eastAsia="he-IL"/>
        </w:rPr>
        <w:t>is the prince?’</w:t>
      </w:r>
      <w:r w:rsidR="002E7AA7">
        <w:rPr>
          <w:rFonts w:eastAsia="Times New Roman" w:cs="David" w:hint="cs"/>
          <w:rtl/>
          <w:lang w:eastAsia="he-IL"/>
        </w:rPr>
        <w:t xml:space="preserve"> </w:t>
      </w:r>
      <w:r w:rsidR="002E7AA7">
        <w:rPr>
          <w:rFonts w:eastAsia="Times New Roman" w:cs="David" w:hint="cs"/>
          <w:lang w:eastAsia="he-IL"/>
        </w:rPr>
        <w:t>T</w:t>
      </w:r>
      <w:r w:rsidR="002E7AA7">
        <w:rPr>
          <w:rFonts w:eastAsia="Times New Roman" w:cs="David"/>
          <w:lang w:eastAsia="he-IL"/>
        </w:rPr>
        <w:t xml:space="preserve">his name, which </w:t>
      </w:r>
      <w:r w:rsidR="000868B5">
        <w:rPr>
          <w:rFonts w:eastAsia="Times New Roman" w:cs="David"/>
          <w:lang w:eastAsia="he-IL"/>
        </w:rPr>
        <w:t xml:space="preserve">attests to the </w:t>
      </w:r>
      <w:r w:rsidR="00905E63">
        <w:rPr>
          <w:rFonts w:eastAsia="Times New Roman" w:cs="David"/>
          <w:lang w:eastAsia="he-IL"/>
        </w:rPr>
        <w:t>worship</w:t>
      </w:r>
      <w:r w:rsidR="000868B5">
        <w:rPr>
          <w:rFonts w:eastAsia="Times New Roman" w:cs="David"/>
          <w:lang w:eastAsia="he-IL"/>
        </w:rPr>
        <w:t xml:space="preserve"> of Baal</w:t>
      </w:r>
      <w:r w:rsidR="00912E88">
        <w:rPr>
          <w:rFonts w:eastAsia="Times New Roman" w:cs="David"/>
          <w:lang w:eastAsia="he-IL"/>
        </w:rPr>
        <w:t>,</w:t>
      </w:r>
      <w:r w:rsidR="000868B5">
        <w:rPr>
          <w:rFonts w:eastAsia="Times New Roman" w:cs="David"/>
          <w:lang w:eastAsia="he-IL"/>
        </w:rPr>
        <w:t xml:space="preserve"> </w:t>
      </w:r>
      <w:r w:rsidR="000868B5" w:rsidRPr="00300CC5">
        <w:rPr>
          <w:rFonts w:eastAsia="Times New Roman" w:cs="David"/>
          <w:color w:val="000000"/>
          <w:lang w:eastAsia="he-IL"/>
        </w:rPr>
        <w:t>s</w:t>
      </w:r>
      <w:r w:rsidR="00CA444F" w:rsidRPr="00300CC5">
        <w:rPr>
          <w:rFonts w:eastAsia="Times New Roman" w:cs="David"/>
          <w:color w:val="000000"/>
          <w:lang w:eastAsia="he-IL"/>
        </w:rPr>
        <w:t>tands</w:t>
      </w:r>
      <w:r w:rsidR="00CA444F" w:rsidRPr="00CA444F">
        <w:rPr>
          <w:rFonts w:eastAsia="Times New Roman" w:cs="David"/>
          <w:color w:val="FF0000"/>
          <w:lang w:eastAsia="he-IL"/>
        </w:rPr>
        <w:t xml:space="preserve"> </w:t>
      </w:r>
      <w:r w:rsidR="00CA444F">
        <w:rPr>
          <w:rFonts w:eastAsia="Times New Roman" w:cs="David"/>
          <w:lang w:eastAsia="he-IL"/>
        </w:rPr>
        <w:t>in direct contrast to the name Elijah</w:t>
      </w:r>
      <w:r w:rsidR="00912E88">
        <w:rPr>
          <w:rFonts w:eastAsia="Times New Roman" w:cs="David"/>
          <w:lang w:eastAsia="he-IL"/>
        </w:rPr>
        <w:t>,</w:t>
      </w:r>
      <w:r w:rsidR="00CA444F">
        <w:rPr>
          <w:rFonts w:eastAsia="Times New Roman" w:cs="David"/>
          <w:lang w:eastAsia="he-IL"/>
        </w:rPr>
        <w:t xml:space="preserve"> which </w:t>
      </w:r>
      <w:r w:rsidR="000868B5">
        <w:rPr>
          <w:rFonts w:eastAsia="Times New Roman" w:cs="David"/>
          <w:lang w:eastAsia="he-IL"/>
        </w:rPr>
        <w:t xml:space="preserve">attests to </w:t>
      </w:r>
      <w:r w:rsidR="001437C4">
        <w:rPr>
          <w:rFonts w:eastAsia="Times New Roman" w:cs="David"/>
          <w:lang w:eastAsia="he-IL"/>
        </w:rPr>
        <w:t xml:space="preserve">belief in the God of Israel. These two names represent </w:t>
      </w:r>
      <w:r w:rsidR="007D1A4F">
        <w:rPr>
          <w:rFonts w:eastAsia="Times New Roman" w:cs="David"/>
          <w:lang w:eastAsia="he-IL"/>
        </w:rPr>
        <w:t>the opposing beliefs of these two figures</w:t>
      </w:r>
      <w:r w:rsidR="000F2D23">
        <w:rPr>
          <w:rFonts w:eastAsia="Times New Roman" w:cs="David"/>
          <w:lang w:eastAsia="he-IL"/>
        </w:rPr>
        <w:t>:</w:t>
      </w:r>
      <w:r w:rsidR="007D1A4F">
        <w:rPr>
          <w:rFonts w:eastAsia="Times New Roman" w:cs="David"/>
          <w:lang w:eastAsia="he-IL"/>
        </w:rPr>
        <w:t xml:space="preserve"> </w:t>
      </w:r>
      <w:r w:rsidR="000F2D23">
        <w:rPr>
          <w:rFonts w:eastAsia="Times New Roman" w:cs="David"/>
          <w:lang w:eastAsia="he-IL"/>
        </w:rPr>
        <w:t>O</w:t>
      </w:r>
      <w:r w:rsidR="007D1A4F">
        <w:rPr>
          <w:rFonts w:eastAsia="Times New Roman" w:cs="David"/>
          <w:lang w:eastAsia="he-IL"/>
        </w:rPr>
        <w:t xml:space="preserve">ne of </w:t>
      </w:r>
      <w:r w:rsidR="000F2D23">
        <w:rPr>
          <w:rFonts w:eastAsia="Times New Roman" w:cs="David"/>
          <w:lang w:eastAsia="he-IL"/>
        </w:rPr>
        <w:t>them</w:t>
      </w:r>
      <w:r w:rsidR="007D1A4F">
        <w:rPr>
          <w:rFonts w:eastAsia="Times New Roman" w:cs="David"/>
          <w:lang w:eastAsia="he-IL"/>
        </w:rPr>
        <w:t xml:space="preserve"> is a prophet </w:t>
      </w:r>
      <w:r w:rsidR="00F11FC5">
        <w:rPr>
          <w:rFonts w:eastAsia="Times New Roman" w:cs="David"/>
          <w:lang w:eastAsia="he-IL"/>
        </w:rPr>
        <w:t xml:space="preserve">who is zealous for the God of Israel </w:t>
      </w:r>
      <w:r w:rsidR="00BF2026">
        <w:rPr>
          <w:rFonts w:eastAsia="Times New Roman" w:cs="David"/>
          <w:lang w:eastAsia="he-IL"/>
        </w:rPr>
        <w:t xml:space="preserve">and </w:t>
      </w:r>
      <w:r w:rsidR="00D96B6B">
        <w:rPr>
          <w:rFonts w:eastAsia="Times New Roman" w:cs="David"/>
          <w:lang w:eastAsia="he-IL"/>
        </w:rPr>
        <w:t xml:space="preserve">battles </w:t>
      </w:r>
      <w:r w:rsidR="007B5055">
        <w:rPr>
          <w:rFonts w:eastAsia="Times New Roman" w:cs="David"/>
          <w:lang w:eastAsia="he-IL"/>
        </w:rPr>
        <w:t xml:space="preserve">tenaciously and uncompromisingly </w:t>
      </w:r>
      <w:r w:rsidR="000F2D23">
        <w:rPr>
          <w:rFonts w:eastAsia="Times New Roman" w:cs="David"/>
          <w:lang w:eastAsia="he-IL"/>
        </w:rPr>
        <w:t xml:space="preserve">against the worship of Baal and all </w:t>
      </w:r>
      <w:r w:rsidR="00BF2026">
        <w:rPr>
          <w:rFonts w:eastAsia="Times New Roman" w:cs="David"/>
          <w:lang w:eastAsia="he-IL"/>
        </w:rPr>
        <w:t>forms</w:t>
      </w:r>
      <w:r w:rsidR="000F2D23">
        <w:rPr>
          <w:rFonts w:eastAsia="Times New Roman" w:cs="David"/>
          <w:lang w:eastAsia="he-IL"/>
        </w:rPr>
        <w:t xml:space="preserve"> of </w:t>
      </w:r>
      <w:r w:rsidR="00E41D11" w:rsidRPr="00E41D11">
        <w:rPr>
          <w:rFonts w:eastAsia="Times New Roman" w:cs="David"/>
          <w:lang w:eastAsia="he-IL"/>
        </w:rPr>
        <w:t>syncretism</w:t>
      </w:r>
      <w:r w:rsidR="00E41D11">
        <w:rPr>
          <w:rFonts w:eastAsia="Times New Roman" w:cs="David"/>
          <w:lang w:eastAsia="he-IL"/>
        </w:rPr>
        <w:t xml:space="preserve">. </w:t>
      </w:r>
      <w:r w:rsidR="00C821BE">
        <w:rPr>
          <w:rFonts w:eastAsia="Times New Roman" w:cs="David"/>
          <w:lang w:eastAsia="he-IL"/>
        </w:rPr>
        <w:t>By contrast,</w:t>
      </w:r>
      <w:r w:rsidR="00046547">
        <w:rPr>
          <w:rFonts w:eastAsia="Times New Roman" w:cs="David"/>
          <w:lang w:eastAsia="he-IL"/>
        </w:rPr>
        <w:t xml:space="preserve"> </w:t>
      </w:r>
      <w:r w:rsidR="00046547">
        <w:rPr>
          <w:rFonts w:eastAsia="Times New Roman" w:cs="David"/>
          <w:lang w:eastAsia="he-IL"/>
        </w:rPr>
        <w:lastRenderedPageBreak/>
        <w:t xml:space="preserve">the other believes in the god Baal, and </w:t>
      </w:r>
      <w:r w:rsidR="00C46368">
        <w:rPr>
          <w:rFonts w:eastAsia="Times New Roman" w:cs="David"/>
          <w:lang w:eastAsia="he-IL"/>
        </w:rPr>
        <w:t>endeavors to spread its faith among the Israelites.</w:t>
      </w:r>
      <w:r w:rsidR="00C46368">
        <w:rPr>
          <w:rStyle w:val="FootnoteReference"/>
          <w:rFonts w:eastAsia="Times New Roman" w:cs="David"/>
          <w:lang w:eastAsia="he-IL"/>
        </w:rPr>
        <w:footnoteReference w:id="6"/>
      </w:r>
      <w:r w:rsidR="008C428A">
        <w:rPr>
          <w:rFonts w:eastAsia="Times New Roman" w:cs="David"/>
          <w:lang w:eastAsia="he-IL"/>
        </w:rPr>
        <w:t xml:space="preserve"> </w:t>
      </w:r>
      <w:r w:rsidR="00C30042">
        <w:rPr>
          <w:rFonts w:eastAsia="Times New Roman" w:cs="David"/>
          <w:lang w:eastAsia="he-IL"/>
        </w:rPr>
        <w:t>This stark contrast</w:t>
      </w:r>
      <w:r w:rsidR="00F128EF">
        <w:rPr>
          <w:rFonts w:eastAsia="Times New Roman" w:cs="David"/>
          <w:lang w:eastAsia="he-IL"/>
        </w:rPr>
        <w:t>,</w:t>
      </w:r>
      <w:r w:rsidR="00C30042">
        <w:rPr>
          <w:rFonts w:eastAsia="Times New Roman" w:cs="David"/>
          <w:lang w:eastAsia="he-IL"/>
        </w:rPr>
        <w:t xml:space="preserve"> and </w:t>
      </w:r>
      <w:r w:rsidR="00A35ACB">
        <w:rPr>
          <w:rFonts w:eastAsia="Times New Roman" w:cs="David"/>
          <w:lang w:eastAsia="he-IL"/>
        </w:rPr>
        <w:t xml:space="preserve">the </w:t>
      </w:r>
      <w:r w:rsidR="000D3791">
        <w:rPr>
          <w:rFonts w:eastAsia="Times New Roman" w:cs="David"/>
          <w:lang w:eastAsia="he-IL"/>
        </w:rPr>
        <w:t xml:space="preserve">inevitable conflict </w:t>
      </w:r>
      <w:r w:rsidR="00915DE8">
        <w:rPr>
          <w:rFonts w:eastAsia="Times New Roman" w:cs="David"/>
          <w:lang w:eastAsia="he-IL"/>
        </w:rPr>
        <w:t>alluded to by Elijah and Jezebel’s opposite names</w:t>
      </w:r>
      <w:r w:rsidR="00F128EF">
        <w:rPr>
          <w:rFonts w:eastAsia="Times New Roman" w:cs="David"/>
          <w:lang w:eastAsia="he-IL"/>
        </w:rPr>
        <w:t>,</w:t>
      </w:r>
      <w:r w:rsidR="00915DE8">
        <w:rPr>
          <w:rFonts w:eastAsia="Times New Roman" w:cs="David"/>
          <w:lang w:eastAsia="he-IL"/>
        </w:rPr>
        <w:t xml:space="preserve"> materialize</w:t>
      </w:r>
      <w:r w:rsidR="003D1183">
        <w:rPr>
          <w:rFonts w:eastAsia="Times New Roman" w:cs="David"/>
          <w:lang w:eastAsia="he-IL"/>
        </w:rPr>
        <w:t>s</w:t>
      </w:r>
      <w:r w:rsidR="00915DE8">
        <w:rPr>
          <w:rFonts w:eastAsia="Times New Roman" w:cs="David"/>
          <w:lang w:eastAsia="he-IL"/>
        </w:rPr>
        <w:t xml:space="preserve"> </w:t>
      </w:r>
      <w:proofErr w:type="gramStart"/>
      <w:r w:rsidR="00915DE8">
        <w:rPr>
          <w:rFonts w:eastAsia="Times New Roman" w:cs="David"/>
          <w:lang w:eastAsia="he-IL"/>
        </w:rPr>
        <w:t>in the course of</w:t>
      </w:r>
      <w:proofErr w:type="gramEnd"/>
      <w:r w:rsidR="00915DE8">
        <w:rPr>
          <w:rFonts w:eastAsia="Times New Roman" w:cs="David"/>
          <w:lang w:eastAsia="he-IL"/>
        </w:rPr>
        <w:t xml:space="preserve"> the story. </w:t>
      </w:r>
      <w:r w:rsidR="00F128EF">
        <w:rPr>
          <w:rFonts w:eastAsia="Times New Roman" w:cs="David"/>
          <w:lang w:eastAsia="he-IL"/>
        </w:rPr>
        <w:t xml:space="preserve">Jezebel </w:t>
      </w:r>
      <w:r w:rsidR="0010075C">
        <w:rPr>
          <w:rFonts w:eastAsia="Times New Roman" w:cs="David"/>
          <w:lang w:eastAsia="he-IL"/>
        </w:rPr>
        <w:t>n</w:t>
      </w:r>
      <w:r w:rsidR="0010075C">
        <w:rPr>
          <w:rFonts w:eastAsia="Times New Roman" w:cs="David"/>
          <w:lang w:eastAsia="he-IL"/>
        </w:rPr>
        <w:t xml:space="preserve">ot only </w:t>
      </w:r>
      <w:r w:rsidR="00F128EF">
        <w:rPr>
          <w:rFonts w:eastAsia="Times New Roman" w:cs="David"/>
          <w:lang w:eastAsia="he-IL"/>
        </w:rPr>
        <w:t>spread</w:t>
      </w:r>
      <w:r w:rsidR="0010075C">
        <w:rPr>
          <w:rFonts w:eastAsia="Times New Roman" w:cs="David"/>
          <w:lang w:eastAsia="he-IL"/>
        </w:rPr>
        <w:t>s</w:t>
      </w:r>
      <w:r w:rsidR="00F128EF">
        <w:rPr>
          <w:rFonts w:eastAsia="Times New Roman" w:cs="David"/>
          <w:lang w:eastAsia="he-IL"/>
        </w:rPr>
        <w:t xml:space="preserve"> the worship of Baal among the Israelites, she even persecutes those who believe in God and kills God’s prophets (I Kings </w:t>
      </w:r>
      <w:r w:rsidR="00ED48C5">
        <w:rPr>
          <w:rFonts w:eastAsia="Times New Roman" w:cs="David"/>
          <w:lang w:eastAsia="he-IL"/>
        </w:rPr>
        <w:t xml:space="preserve">18:4,13). </w:t>
      </w:r>
      <w:r w:rsidR="0010075C">
        <w:rPr>
          <w:rFonts w:eastAsia="Times New Roman" w:cs="David"/>
          <w:lang w:eastAsia="he-IL"/>
        </w:rPr>
        <w:t xml:space="preserve">In response to Jezebel’s </w:t>
      </w:r>
      <w:r w:rsidR="00965B36">
        <w:rPr>
          <w:rFonts w:eastAsia="Times New Roman" w:cs="David"/>
          <w:lang w:eastAsia="he-IL"/>
        </w:rPr>
        <w:t>attempts to eliminate God’</w:t>
      </w:r>
      <w:r w:rsidR="0091299C">
        <w:rPr>
          <w:rFonts w:eastAsia="Times New Roman" w:cs="David"/>
          <w:lang w:eastAsia="he-IL"/>
        </w:rPr>
        <w:t xml:space="preserve">s prophets, Elijah slaughters all of Baal’s prophets after God’s revelation at Mount Carmel, </w:t>
      </w:r>
      <w:r w:rsidR="002E4E4C">
        <w:rPr>
          <w:rFonts w:eastAsia="Times New Roman" w:cs="David"/>
          <w:lang w:eastAsia="he-IL"/>
        </w:rPr>
        <w:t>not allowing</w:t>
      </w:r>
      <w:r w:rsidR="0091299C">
        <w:rPr>
          <w:rFonts w:eastAsia="Times New Roman" w:cs="David"/>
          <w:lang w:eastAsia="he-IL"/>
        </w:rPr>
        <w:t xml:space="preserve"> </w:t>
      </w:r>
      <w:r w:rsidR="00703CDA">
        <w:rPr>
          <w:rFonts w:eastAsia="Times New Roman" w:cs="David"/>
          <w:lang w:eastAsia="he-IL"/>
        </w:rPr>
        <w:t>any</w:t>
      </w:r>
      <w:r w:rsidR="0091299C">
        <w:rPr>
          <w:rFonts w:eastAsia="Times New Roman" w:cs="David"/>
          <w:lang w:eastAsia="he-IL"/>
        </w:rPr>
        <w:t xml:space="preserve"> of them to</w:t>
      </w:r>
      <w:r w:rsidR="00376AED">
        <w:rPr>
          <w:rFonts w:eastAsia="Times New Roman" w:cs="David"/>
          <w:lang w:eastAsia="he-IL"/>
        </w:rPr>
        <w:t xml:space="preserve"> escape (I Kings 18:40).</w:t>
      </w:r>
      <w:r w:rsidR="00376AED">
        <w:rPr>
          <w:rStyle w:val="FootnoteReference"/>
          <w:rFonts w:eastAsia="Times New Roman" w:cs="David"/>
          <w:lang w:eastAsia="he-IL"/>
        </w:rPr>
        <w:footnoteReference w:id="7"/>
      </w:r>
      <w:r w:rsidR="00376AED">
        <w:rPr>
          <w:rFonts w:eastAsia="Times New Roman" w:cs="David"/>
          <w:lang w:eastAsia="he-IL"/>
        </w:rPr>
        <w:t xml:space="preserve"> </w:t>
      </w:r>
    </w:p>
    <w:p w:rsidR="00CD6DD5" w:rsidRDefault="00CD6DD5" w:rsidP="00CD6DD5">
      <w:pPr>
        <w:bidi w:val="0"/>
        <w:spacing w:line="360" w:lineRule="auto"/>
        <w:ind w:firstLine="720"/>
        <w:rPr>
          <w:rFonts w:eastAsia="Times New Roman" w:cs="David"/>
          <w:lang w:eastAsia="he-IL"/>
        </w:rPr>
      </w:pPr>
      <w:r>
        <w:rPr>
          <w:rFonts w:eastAsia="Times New Roman" w:cs="David"/>
          <w:lang w:eastAsia="he-IL"/>
        </w:rPr>
        <w:t xml:space="preserve">This </w:t>
      </w:r>
      <w:r w:rsidR="007C22DC">
        <w:rPr>
          <w:rFonts w:eastAsia="Times New Roman" w:cs="David"/>
          <w:lang w:eastAsia="he-IL"/>
        </w:rPr>
        <w:t xml:space="preserve">all-out war between these faiths </w:t>
      </w:r>
      <w:r w:rsidR="00E26429">
        <w:rPr>
          <w:rFonts w:eastAsia="Times New Roman" w:cs="David"/>
          <w:lang w:eastAsia="he-IL"/>
        </w:rPr>
        <w:t>results</w:t>
      </w:r>
      <w:r w:rsidR="00C0706C">
        <w:rPr>
          <w:rFonts w:eastAsia="Times New Roman" w:cs="David"/>
          <w:lang w:eastAsia="he-IL"/>
        </w:rPr>
        <w:t xml:space="preserve"> in an all-out war between these figures. Jezebel</w:t>
      </w:r>
      <w:r w:rsidR="005776CB">
        <w:rPr>
          <w:rFonts w:eastAsia="Times New Roman" w:cs="David"/>
          <w:lang w:eastAsia="he-IL"/>
        </w:rPr>
        <w:t xml:space="preserve"> reacts</w:t>
      </w:r>
      <w:r w:rsidR="00C0706C">
        <w:rPr>
          <w:rFonts w:eastAsia="Times New Roman" w:cs="David"/>
          <w:lang w:eastAsia="he-IL"/>
        </w:rPr>
        <w:t xml:space="preserve"> to </w:t>
      </w:r>
      <w:r w:rsidR="005776CB">
        <w:rPr>
          <w:rFonts w:eastAsia="Times New Roman" w:cs="David"/>
          <w:lang w:eastAsia="he-IL"/>
        </w:rPr>
        <w:t>Elijah’s</w:t>
      </w:r>
      <w:r w:rsidR="00504891">
        <w:rPr>
          <w:rFonts w:eastAsia="Times New Roman" w:cs="David"/>
          <w:lang w:eastAsia="he-IL"/>
        </w:rPr>
        <w:t xml:space="preserve"> killing of the Baal’</w:t>
      </w:r>
      <w:r w:rsidR="005776CB">
        <w:rPr>
          <w:rFonts w:eastAsia="Times New Roman" w:cs="David"/>
          <w:lang w:eastAsia="he-IL"/>
        </w:rPr>
        <w:t xml:space="preserve">s </w:t>
      </w:r>
      <w:r w:rsidR="00BF3F6D">
        <w:rPr>
          <w:rFonts w:eastAsia="Times New Roman" w:cs="David"/>
          <w:lang w:eastAsia="he-IL"/>
        </w:rPr>
        <w:t>prophets</w:t>
      </w:r>
      <w:r w:rsidR="005776CB">
        <w:rPr>
          <w:rFonts w:eastAsia="Times New Roman" w:cs="David"/>
          <w:lang w:eastAsia="he-IL"/>
        </w:rPr>
        <w:t xml:space="preserve"> by swearing </w:t>
      </w:r>
      <w:r w:rsidR="00046BFC">
        <w:rPr>
          <w:rFonts w:eastAsia="Times New Roman" w:cs="David"/>
          <w:lang w:eastAsia="he-IL"/>
        </w:rPr>
        <w:t xml:space="preserve">that she would </w:t>
      </w:r>
      <w:r w:rsidR="004331AC">
        <w:rPr>
          <w:rFonts w:eastAsia="Times New Roman" w:cs="David"/>
          <w:lang w:eastAsia="he-IL"/>
        </w:rPr>
        <w:t xml:space="preserve">add Elijah to </w:t>
      </w:r>
      <w:r w:rsidR="003555BF">
        <w:rPr>
          <w:rFonts w:eastAsia="Times New Roman" w:cs="David"/>
          <w:lang w:eastAsia="he-IL"/>
        </w:rPr>
        <w:t xml:space="preserve">the Baal’s </w:t>
      </w:r>
      <w:r w:rsidR="00BF3F6D">
        <w:rPr>
          <w:rFonts w:eastAsia="Times New Roman" w:cs="David"/>
          <w:lang w:eastAsia="he-IL"/>
        </w:rPr>
        <w:t>prophets</w:t>
      </w:r>
      <w:r w:rsidR="00BF3F6D">
        <w:rPr>
          <w:rFonts w:eastAsia="Times New Roman" w:cs="David"/>
          <w:lang w:eastAsia="he-IL"/>
        </w:rPr>
        <w:t xml:space="preserve"> </w:t>
      </w:r>
      <w:r w:rsidR="003555BF">
        <w:rPr>
          <w:rFonts w:eastAsia="Times New Roman" w:cs="David"/>
          <w:lang w:eastAsia="he-IL"/>
        </w:rPr>
        <w:t>wh</w:t>
      </w:r>
      <w:r w:rsidR="00BA06F5">
        <w:rPr>
          <w:rFonts w:eastAsia="Times New Roman" w:cs="David"/>
          <w:lang w:eastAsia="he-IL"/>
        </w:rPr>
        <w:t>o he had killed</w:t>
      </w:r>
      <w:r w:rsidR="003555BF">
        <w:rPr>
          <w:rFonts w:eastAsia="Times New Roman" w:cs="David"/>
          <w:lang w:eastAsia="he-IL"/>
        </w:rPr>
        <w:t>: “[</w:t>
      </w:r>
      <w:r w:rsidR="003555BF">
        <w:rPr>
          <w:rFonts w:eastAsia="Times New Roman" w:cs="David"/>
          <w:i/>
          <w:iCs/>
          <w:lang w:eastAsia="he-IL"/>
        </w:rPr>
        <w:t>verse</w:t>
      </w:r>
      <w:r w:rsidR="003555BF">
        <w:rPr>
          <w:rFonts w:eastAsia="Times New Roman" w:cs="David"/>
          <w:lang w:eastAsia="he-IL"/>
        </w:rPr>
        <w:t xml:space="preserve">]” </w:t>
      </w:r>
      <w:r w:rsidR="00BA06F5">
        <w:rPr>
          <w:rFonts w:eastAsia="Times New Roman" w:cs="David"/>
          <w:lang w:eastAsia="he-IL"/>
        </w:rPr>
        <w:t>(I Kings 19:2</w:t>
      </w:r>
      <w:r w:rsidR="004C0803">
        <w:rPr>
          <w:rFonts w:eastAsia="Times New Roman" w:cs="David"/>
          <w:lang w:eastAsia="he-IL"/>
        </w:rPr>
        <w:t xml:space="preserve">). </w:t>
      </w:r>
      <w:r w:rsidR="009F3507">
        <w:rPr>
          <w:rFonts w:eastAsia="Times New Roman" w:cs="David"/>
          <w:lang w:eastAsia="he-IL"/>
        </w:rPr>
        <w:t xml:space="preserve">Like Jezebel, Elijah swore in the </w:t>
      </w:r>
      <w:r w:rsidR="006D42A3">
        <w:rPr>
          <w:rFonts w:eastAsia="Times New Roman" w:cs="David"/>
          <w:lang w:eastAsia="he-IL"/>
        </w:rPr>
        <w:t xml:space="preserve">name of the Lord, his God. However, </w:t>
      </w:r>
      <w:r w:rsidR="00516319">
        <w:rPr>
          <w:rFonts w:eastAsia="Times New Roman" w:cs="David"/>
          <w:lang w:eastAsia="he-IL"/>
        </w:rPr>
        <w:t xml:space="preserve">a comparison of their oaths </w:t>
      </w:r>
      <w:r w:rsidR="0048027F">
        <w:rPr>
          <w:rFonts w:eastAsia="Times New Roman" w:cs="David"/>
          <w:lang w:eastAsia="he-IL"/>
        </w:rPr>
        <w:t xml:space="preserve">reveals a sharp contrast </w:t>
      </w:r>
      <w:r w:rsidR="000D7969">
        <w:rPr>
          <w:rFonts w:eastAsia="Times New Roman" w:cs="David"/>
          <w:lang w:eastAsia="he-IL"/>
        </w:rPr>
        <w:t xml:space="preserve">between them. </w:t>
      </w:r>
      <w:r w:rsidR="00DC6C84">
        <w:rPr>
          <w:rFonts w:eastAsia="Times New Roman" w:cs="David"/>
          <w:lang w:eastAsia="he-IL"/>
        </w:rPr>
        <w:t>Elijah</w:t>
      </w:r>
      <w:r w:rsidR="00AB3401">
        <w:rPr>
          <w:rFonts w:eastAsia="Times New Roman" w:cs="David"/>
          <w:lang w:eastAsia="he-IL"/>
        </w:rPr>
        <w:t xml:space="preserve"> </w:t>
      </w:r>
      <w:r w:rsidR="005064B1">
        <w:rPr>
          <w:rFonts w:eastAsia="Times New Roman" w:cs="David"/>
          <w:lang w:eastAsia="he-IL"/>
        </w:rPr>
        <w:t>swears for</w:t>
      </w:r>
      <w:r w:rsidR="00511A4D">
        <w:rPr>
          <w:rFonts w:eastAsia="Times New Roman" w:cs="David"/>
          <w:lang w:eastAsia="he-IL"/>
        </w:rPr>
        <w:t xml:space="preserve"> the </w:t>
      </w:r>
      <w:r w:rsidR="005064B1">
        <w:rPr>
          <w:rFonts w:eastAsia="Times New Roman" w:cs="David"/>
          <w:lang w:eastAsia="he-IL"/>
        </w:rPr>
        <w:t>first time in the beginning of the narrative</w:t>
      </w:r>
      <w:r w:rsidR="0025592F">
        <w:rPr>
          <w:rFonts w:eastAsia="Times New Roman" w:cs="David"/>
          <w:lang w:eastAsia="he-IL"/>
        </w:rPr>
        <w:t xml:space="preserve"> that there would be no rain in the land other than </w:t>
      </w:r>
      <w:r w:rsidR="006447AF">
        <w:rPr>
          <w:rFonts w:eastAsia="Times New Roman" w:cs="David"/>
          <w:lang w:eastAsia="he-IL"/>
        </w:rPr>
        <w:t>by his decree</w:t>
      </w:r>
      <w:r w:rsidR="00797BDD">
        <w:rPr>
          <w:rFonts w:eastAsia="Times New Roman" w:cs="David"/>
          <w:lang w:eastAsia="he-IL"/>
        </w:rPr>
        <w:t>: “[</w:t>
      </w:r>
      <w:r w:rsidR="00797BDD">
        <w:rPr>
          <w:rFonts w:eastAsia="Times New Roman" w:cs="David"/>
          <w:i/>
          <w:iCs/>
          <w:lang w:eastAsia="he-IL"/>
        </w:rPr>
        <w:t>verse</w:t>
      </w:r>
      <w:r w:rsidR="00797BDD">
        <w:rPr>
          <w:rFonts w:eastAsia="Times New Roman" w:cs="David"/>
          <w:lang w:eastAsia="he-IL"/>
        </w:rPr>
        <w:t xml:space="preserve">]” (I Kings 17:1). </w:t>
      </w:r>
      <w:r w:rsidR="007242DE">
        <w:rPr>
          <w:rFonts w:eastAsia="Times New Roman" w:cs="David"/>
          <w:lang w:eastAsia="he-IL"/>
        </w:rPr>
        <w:t>He takes an oath</w:t>
      </w:r>
      <w:r w:rsidR="001C2307">
        <w:rPr>
          <w:rFonts w:eastAsia="Times New Roman" w:cs="David"/>
          <w:lang w:eastAsia="he-IL"/>
        </w:rPr>
        <w:t xml:space="preserve"> </w:t>
      </w:r>
      <w:r w:rsidR="007242DE">
        <w:rPr>
          <w:rFonts w:eastAsia="Times New Roman" w:cs="David"/>
          <w:lang w:eastAsia="he-IL"/>
        </w:rPr>
        <w:t>a</w:t>
      </w:r>
      <w:r w:rsidR="001C2307">
        <w:rPr>
          <w:rFonts w:eastAsia="Times New Roman" w:cs="David"/>
          <w:lang w:eastAsia="he-IL"/>
        </w:rPr>
        <w:t xml:space="preserve"> second time</w:t>
      </w:r>
      <w:r w:rsidR="0025592F">
        <w:rPr>
          <w:rFonts w:eastAsia="Times New Roman" w:cs="David"/>
          <w:lang w:eastAsia="he-IL"/>
        </w:rPr>
        <w:t xml:space="preserve"> </w:t>
      </w:r>
      <w:r w:rsidR="007242DE">
        <w:rPr>
          <w:rFonts w:eastAsia="Times New Roman" w:cs="David"/>
          <w:lang w:eastAsia="he-IL"/>
        </w:rPr>
        <w:t xml:space="preserve">when he swears to Obadiah that </w:t>
      </w:r>
      <w:r w:rsidR="006447AF">
        <w:rPr>
          <w:rFonts w:eastAsia="Times New Roman" w:cs="David"/>
          <w:lang w:eastAsia="he-IL"/>
        </w:rPr>
        <w:t>he will appear before Ahab:</w:t>
      </w:r>
      <w:r w:rsidR="004038CE">
        <w:rPr>
          <w:rFonts w:eastAsia="Times New Roman" w:cs="David"/>
          <w:lang w:eastAsia="he-IL"/>
        </w:rPr>
        <w:t xml:space="preserve"> “[</w:t>
      </w:r>
      <w:r w:rsidR="004038CE">
        <w:rPr>
          <w:rFonts w:eastAsia="Times New Roman" w:cs="David"/>
          <w:i/>
          <w:iCs/>
          <w:lang w:eastAsia="he-IL"/>
        </w:rPr>
        <w:t>verse</w:t>
      </w:r>
      <w:r w:rsidR="0049056E">
        <w:rPr>
          <w:rFonts w:eastAsia="Times New Roman" w:cs="David"/>
          <w:lang w:eastAsia="he-IL"/>
        </w:rPr>
        <w:t>]” (I Kings 18</w:t>
      </w:r>
      <w:r w:rsidR="004038CE">
        <w:rPr>
          <w:rFonts w:eastAsia="Times New Roman" w:cs="David"/>
          <w:lang w:eastAsia="he-IL"/>
        </w:rPr>
        <w:t>:1</w:t>
      </w:r>
      <w:r w:rsidR="0049056E">
        <w:rPr>
          <w:rFonts w:eastAsia="Times New Roman" w:cs="David"/>
          <w:lang w:eastAsia="he-IL"/>
        </w:rPr>
        <w:t>5</w:t>
      </w:r>
      <w:r w:rsidR="004038CE">
        <w:rPr>
          <w:rFonts w:eastAsia="Times New Roman" w:cs="David"/>
          <w:lang w:eastAsia="he-IL"/>
        </w:rPr>
        <w:t>).</w:t>
      </w:r>
      <w:r w:rsidR="0049056E">
        <w:rPr>
          <w:rFonts w:eastAsia="Times New Roman" w:cs="David"/>
          <w:lang w:eastAsia="he-IL"/>
        </w:rPr>
        <w:t xml:space="preserve"> Elijah is </w:t>
      </w:r>
      <w:r w:rsidR="000F0C5A">
        <w:rPr>
          <w:rFonts w:eastAsia="Times New Roman" w:cs="David"/>
          <w:lang w:eastAsia="he-IL"/>
        </w:rPr>
        <w:t>central to</w:t>
      </w:r>
      <w:r w:rsidR="00AA6BAD">
        <w:rPr>
          <w:rFonts w:eastAsia="Times New Roman" w:cs="David"/>
          <w:lang w:eastAsia="he-IL"/>
        </w:rPr>
        <w:t xml:space="preserve"> </w:t>
      </w:r>
      <w:proofErr w:type="gramStart"/>
      <w:r w:rsidR="00AA6BAD">
        <w:rPr>
          <w:rFonts w:eastAsia="Times New Roman" w:cs="David"/>
          <w:lang w:eastAsia="he-IL"/>
        </w:rPr>
        <w:t>all of the</w:t>
      </w:r>
      <w:r w:rsidR="00511A4D">
        <w:rPr>
          <w:rFonts w:eastAsia="Times New Roman" w:cs="David"/>
          <w:lang w:eastAsia="he-IL"/>
        </w:rPr>
        <w:t>se</w:t>
      </w:r>
      <w:proofErr w:type="gramEnd"/>
      <w:r w:rsidR="00AA6BAD">
        <w:rPr>
          <w:rFonts w:eastAsia="Times New Roman" w:cs="David"/>
          <w:lang w:eastAsia="he-IL"/>
        </w:rPr>
        <w:t xml:space="preserve"> oaths, whether his or Jezebel’s. </w:t>
      </w:r>
      <w:r w:rsidR="00CD1822">
        <w:rPr>
          <w:rFonts w:eastAsia="Times New Roman" w:cs="David"/>
          <w:lang w:eastAsia="he-IL"/>
        </w:rPr>
        <w:t xml:space="preserve">Elijah’s first oath </w:t>
      </w:r>
      <w:r w:rsidR="008A1B57">
        <w:rPr>
          <w:rFonts w:eastAsia="Times New Roman" w:cs="David"/>
          <w:lang w:eastAsia="he-IL"/>
        </w:rPr>
        <w:t>asserts</w:t>
      </w:r>
      <w:r w:rsidR="00CD1822">
        <w:rPr>
          <w:rFonts w:eastAsia="Times New Roman" w:cs="David"/>
          <w:lang w:eastAsia="he-IL"/>
        </w:rPr>
        <w:t xml:space="preserve"> that he will determine when it will rain, </w:t>
      </w:r>
      <w:r w:rsidR="002143C4">
        <w:rPr>
          <w:rFonts w:eastAsia="Times New Roman" w:cs="David"/>
          <w:lang w:eastAsia="he-IL"/>
        </w:rPr>
        <w:t>Elijah’s</w:t>
      </w:r>
      <w:r w:rsidR="00CD1822">
        <w:rPr>
          <w:rFonts w:eastAsia="Times New Roman" w:cs="David"/>
          <w:lang w:eastAsia="he-IL"/>
        </w:rPr>
        <w:t xml:space="preserve"> second </w:t>
      </w:r>
      <w:r w:rsidR="002143C4">
        <w:rPr>
          <w:rFonts w:eastAsia="Times New Roman" w:cs="David"/>
          <w:lang w:eastAsia="he-IL"/>
        </w:rPr>
        <w:t xml:space="preserve">oath </w:t>
      </w:r>
      <w:r w:rsidR="008A1B57">
        <w:rPr>
          <w:rFonts w:eastAsia="Times New Roman" w:cs="David"/>
          <w:lang w:eastAsia="he-IL"/>
        </w:rPr>
        <w:t>pledges that he</w:t>
      </w:r>
      <w:r w:rsidR="00072B02">
        <w:rPr>
          <w:rFonts w:eastAsia="Times New Roman" w:cs="David"/>
          <w:lang w:eastAsia="he-IL"/>
        </w:rPr>
        <w:t xml:space="preserve"> </w:t>
      </w:r>
      <w:r w:rsidR="008A1B57">
        <w:rPr>
          <w:rFonts w:eastAsia="Times New Roman" w:cs="David"/>
          <w:lang w:eastAsia="he-IL"/>
        </w:rPr>
        <w:t xml:space="preserve">will appear </w:t>
      </w:r>
      <w:r w:rsidR="00072B02">
        <w:rPr>
          <w:rFonts w:eastAsia="Times New Roman" w:cs="David"/>
          <w:lang w:eastAsia="he-IL"/>
        </w:rPr>
        <w:t xml:space="preserve">before Ahab </w:t>
      </w:r>
      <w:r w:rsidR="008C7027">
        <w:rPr>
          <w:rFonts w:eastAsia="Times New Roman" w:cs="David"/>
          <w:lang w:eastAsia="he-IL"/>
        </w:rPr>
        <w:t xml:space="preserve">that day and Jezebel’s oath </w:t>
      </w:r>
      <w:r w:rsidR="008A1B57">
        <w:rPr>
          <w:rFonts w:eastAsia="Times New Roman" w:cs="David"/>
          <w:lang w:eastAsia="he-IL"/>
        </w:rPr>
        <w:t>states</w:t>
      </w:r>
      <w:r w:rsidR="008C7027">
        <w:rPr>
          <w:rFonts w:eastAsia="Times New Roman" w:cs="David"/>
          <w:lang w:eastAsia="he-IL"/>
        </w:rPr>
        <w:t xml:space="preserve"> her intention to kill Elijah. However, this </w:t>
      </w:r>
      <w:r w:rsidR="008C7027" w:rsidRPr="008C7027">
        <w:rPr>
          <w:rFonts w:eastAsia="Times New Roman" w:cs="David"/>
          <w:lang w:eastAsia="he-IL"/>
        </w:rPr>
        <w:t>common denominator</w:t>
      </w:r>
      <w:r w:rsidR="008C7027">
        <w:t xml:space="preserve"> </w:t>
      </w:r>
      <w:r w:rsidR="00EC2D88">
        <w:rPr>
          <w:rFonts w:eastAsia="Times New Roman" w:cs="David"/>
          <w:lang w:eastAsia="he-IL"/>
        </w:rPr>
        <w:t xml:space="preserve">only sharpens the contrast between the oaths. </w:t>
      </w:r>
    </w:p>
    <w:p w:rsidR="00027CE2" w:rsidRDefault="00027CE2" w:rsidP="00027CE2">
      <w:pPr>
        <w:bidi w:val="0"/>
        <w:spacing w:line="360" w:lineRule="auto"/>
        <w:ind w:firstLine="720"/>
        <w:rPr>
          <w:rFonts w:eastAsia="Times New Roman" w:cs="David"/>
          <w:lang w:eastAsia="he-IL"/>
        </w:rPr>
      </w:pPr>
      <w:proofErr w:type="gramStart"/>
      <w:r>
        <w:rPr>
          <w:rFonts w:eastAsia="Times New Roman" w:cs="David"/>
          <w:lang w:eastAsia="he-IL"/>
        </w:rPr>
        <w:t>Despite the fact that</w:t>
      </w:r>
      <w:proofErr w:type="gramEnd"/>
      <w:r>
        <w:rPr>
          <w:rFonts w:eastAsia="Times New Roman" w:cs="David"/>
          <w:lang w:eastAsia="he-IL"/>
        </w:rPr>
        <w:t xml:space="preserve"> Jezebel’s oath is not connected</w:t>
      </w:r>
      <w:r w:rsidR="00BA75C7">
        <w:rPr>
          <w:rFonts w:eastAsia="Times New Roman" w:cs="David"/>
          <w:lang w:eastAsia="he-IL"/>
        </w:rPr>
        <w:t xml:space="preserve"> to</w:t>
      </w:r>
      <w:r>
        <w:rPr>
          <w:rFonts w:eastAsia="Times New Roman" w:cs="David"/>
          <w:lang w:eastAsia="he-IL"/>
        </w:rPr>
        <w:t xml:space="preserve"> Elijah’s </w:t>
      </w:r>
      <w:r w:rsidR="001064C3">
        <w:rPr>
          <w:rFonts w:eastAsia="Times New Roman" w:cs="David"/>
          <w:lang w:eastAsia="he-IL"/>
        </w:rPr>
        <w:t xml:space="preserve">oaths </w:t>
      </w:r>
      <w:r>
        <w:rPr>
          <w:rFonts w:eastAsia="Times New Roman" w:cs="David"/>
          <w:lang w:eastAsia="he-IL"/>
        </w:rPr>
        <w:t>in terms of the flow of events in the narrative</w:t>
      </w:r>
      <w:r w:rsidR="00C75961">
        <w:rPr>
          <w:rFonts w:eastAsia="Times New Roman" w:cs="David"/>
          <w:lang w:eastAsia="he-IL"/>
        </w:rPr>
        <w:t>;</w:t>
      </w:r>
      <w:r>
        <w:rPr>
          <w:rFonts w:eastAsia="Times New Roman" w:cs="David"/>
          <w:lang w:eastAsia="he-IL"/>
        </w:rPr>
        <w:t xml:space="preserve"> </w:t>
      </w:r>
      <w:r w:rsidR="001064C3">
        <w:rPr>
          <w:rFonts w:eastAsia="Times New Roman" w:cs="David"/>
          <w:lang w:eastAsia="he-IL"/>
        </w:rPr>
        <w:t>it</w:t>
      </w:r>
      <w:r w:rsidR="00C75961">
        <w:rPr>
          <w:rFonts w:eastAsia="Times New Roman" w:cs="David"/>
          <w:lang w:eastAsia="he-IL"/>
        </w:rPr>
        <w:t>,</w:t>
      </w:r>
      <w:r w:rsidR="001064C3">
        <w:rPr>
          <w:rFonts w:eastAsia="Times New Roman" w:cs="David"/>
          <w:lang w:eastAsia="he-IL"/>
        </w:rPr>
        <w:t xml:space="preserve"> </w:t>
      </w:r>
      <w:r w:rsidR="00C75961">
        <w:rPr>
          <w:rFonts w:eastAsia="Times New Roman" w:cs="David"/>
          <w:lang w:eastAsia="he-IL"/>
        </w:rPr>
        <w:t xml:space="preserve">nonetheless, </w:t>
      </w:r>
      <w:r w:rsidR="001064C3">
        <w:rPr>
          <w:rFonts w:eastAsia="Times New Roman" w:cs="David"/>
          <w:lang w:eastAsia="he-IL"/>
        </w:rPr>
        <w:t xml:space="preserve">stands in direct contrast to </w:t>
      </w:r>
      <w:r w:rsidR="00FD3A2F">
        <w:rPr>
          <w:rFonts w:eastAsia="Times New Roman" w:cs="David"/>
          <w:lang w:eastAsia="he-IL"/>
        </w:rPr>
        <w:t>them</w:t>
      </w:r>
      <w:r w:rsidR="001064C3">
        <w:rPr>
          <w:rFonts w:eastAsia="Times New Roman" w:cs="David"/>
          <w:lang w:eastAsia="he-IL"/>
        </w:rPr>
        <w:t>.</w:t>
      </w:r>
      <w:r w:rsidR="001F1640">
        <w:rPr>
          <w:rFonts w:eastAsia="Times New Roman" w:cs="David"/>
          <w:lang w:eastAsia="he-IL"/>
        </w:rPr>
        <w:t xml:space="preserve"> </w:t>
      </w:r>
      <w:r w:rsidR="004D7CC0">
        <w:rPr>
          <w:rFonts w:eastAsia="Times New Roman" w:cs="David"/>
          <w:lang w:eastAsia="he-IL"/>
        </w:rPr>
        <w:t>In his first oath, Elijah clarifies that the people’s lives are dependent on God (who provides rain)</w:t>
      </w:r>
      <w:r w:rsidR="00B032FD">
        <w:rPr>
          <w:rFonts w:eastAsia="Times New Roman" w:cs="David"/>
          <w:lang w:eastAsia="he-IL"/>
        </w:rPr>
        <w:t xml:space="preserve">. It is clear from the textual context that the impending drought is a punishment for the worship of Baal described in the previous verses. By contrast, Jezebel clarifies that </w:t>
      </w:r>
      <w:r w:rsidR="00141C1C">
        <w:rPr>
          <w:rFonts w:eastAsia="Times New Roman" w:cs="David"/>
          <w:lang w:eastAsia="he-IL"/>
        </w:rPr>
        <w:t xml:space="preserve">Elijah’s life is in her hands, and she promises to kill him as punishment for killing the Baal’s </w:t>
      </w:r>
      <w:r w:rsidR="00BF3F6D">
        <w:rPr>
          <w:rFonts w:eastAsia="Times New Roman" w:cs="David"/>
          <w:lang w:eastAsia="he-IL"/>
        </w:rPr>
        <w:t>prophets</w:t>
      </w:r>
      <w:r w:rsidR="00141C1C">
        <w:rPr>
          <w:rFonts w:eastAsia="Times New Roman" w:cs="David"/>
          <w:lang w:eastAsia="he-IL"/>
        </w:rPr>
        <w:t>.</w:t>
      </w:r>
      <w:r w:rsidR="00141C1C">
        <w:rPr>
          <w:rStyle w:val="FootnoteReference"/>
          <w:rFonts w:eastAsia="Times New Roman" w:cs="David"/>
          <w:lang w:eastAsia="he-IL"/>
        </w:rPr>
        <w:footnoteReference w:id="8"/>
      </w:r>
      <w:r w:rsidR="008A32EE">
        <w:rPr>
          <w:rFonts w:eastAsia="Times New Roman" w:cs="David"/>
          <w:lang w:eastAsia="he-IL"/>
        </w:rPr>
        <w:t xml:space="preserve"> </w:t>
      </w:r>
      <w:r w:rsidR="004245D2">
        <w:rPr>
          <w:rFonts w:eastAsia="Times New Roman" w:cs="David"/>
          <w:lang w:eastAsia="he-IL"/>
        </w:rPr>
        <w:t xml:space="preserve">She clarifies that life and death </w:t>
      </w:r>
      <w:r w:rsidR="00903DD4">
        <w:rPr>
          <w:rFonts w:eastAsia="Times New Roman" w:cs="David"/>
          <w:lang w:eastAsia="he-IL"/>
        </w:rPr>
        <w:t>are not in the hands of God’s prophet; but, rather, in her hands.</w:t>
      </w:r>
      <w:r w:rsidR="00903DD4">
        <w:rPr>
          <w:rFonts w:eastAsia="Times New Roman" w:cs="David" w:hint="cs"/>
          <w:rtl/>
          <w:lang w:eastAsia="he-IL"/>
        </w:rPr>
        <w:t xml:space="preserve"> </w:t>
      </w:r>
      <w:r w:rsidR="00903DD4">
        <w:rPr>
          <w:rFonts w:eastAsia="Times New Roman" w:cs="David"/>
          <w:lang w:eastAsia="he-IL"/>
        </w:rPr>
        <w:t xml:space="preserve"> </w:t>
      </w:r>
      <w:proofErr w:type="gramStart"/>
      <w:r w:rsidR="00903DD4">
        <w:rPr>
          <w:rFonts w:eastAsia="Times New Roman" w:cs="David"/>
          <w:lang w:eastAsia="he-IL"/>
        </w:rPr>
        <w:t xml:space="preserve">As a result </w:t>
      </w:r>
      <w:r w:rsidR="00AB0495">
        <w:rPr>
          <w:rFonts w:eastAsia="Times New Roman" w:cs="David"/>
          <w:lang w:eastAsia="he-IL"/>
        </w:rPr>
        <w:t>of</w:t>
      </w:r>
      <w:proofErr w:type="gramEnd"/>
      <w:r w:rsidR="00AB0495">
        <w:rPr>
          <w:rFonts w:eastAsia="Times New Roman" w:cs="David"/>
          <w:lang w:eastAsia="he-IL"/>
        </w:rPr>
        <w:t xml:space="preserve"> Jezebel’s oath</w:t>
      </w:r>
      <w:r w:rsidR="00E530A8">
        <w:rPr>
          <w:rFonts w:eastAsia="Times New Roman" w:cs="David"/>
          <w:lang w:eastAsia="he-IL"/>
        </w:rPr>
        <w:t xml:space="preserve"> that Elijah will die the next day</w:t>
      </w:r>
      <w:r w:rsidR="00604D1A">
        <w:rPr>
          <w:rFonts w:eastAsia="Times New Roman" w:cs="David"/>
          <w:lang w:eastAsia="he-IL"/>
        </w:rPr>
        <w:t xml:space="preserve">, </w:t>
      </w:r>
      <w:r w:rsidR="00E530A8">
        <w:rPr>
          <w:rFonts w:eastAsia="Times New Roman" w:cs="David"/>
          <w:lang w:eastAsia="he-IL"/>
        </w:rPr>
        <w:t xml:space="preserve">the prophet was forced to flee for his life (I Kings 19:3-18). </w:t>
      </w:r>
      <w:r w:rsidR="0004421A">
        <w:rPr>
          <w:rFonts w:eastAsia="Times New Roman" w:cs="David"/>
          <w:lang w:eastAsia="he-IL"/>
        </w:rPr>
        <w:t xml:space="preserve">This </w:t>
      </w:r>
      <w:r w:rsidR="006033DF">
        <w:rPr>
          <w:rFonts w:eastAsia="Times New Roman" w:cs="David"/>
          <w:lang w:eastAsia="he-IL"/>
        </w:rPr>
        <w:t xml:space="preserve">is contrary to Elijah’s second oath, which </w:t>
      </w:r>
      <w:r w:rsidR="005D5F69">
        <w:rPr>
          <w:rFonts w:eastAsia="Times New Roman" w:cs="David"/>
          <w:lang w:eastAsia="he-IL"/>
        </w:rPr>
        <w:t>assured</w:t>
      </w:r>
      <w:r w:rsidR="006033DF">
        <w:rPr>
          <w:rFonts w:eastAsia="Times New Roman" w:cs="David"/>
          <w:lang w:eastAsia="he-IL"/>
        </w:rPr>
        <w:t xml:space="preserve"> that Elijah would not disappear and that he would appear before King Ahab that day. </w:t>
      </w:r>
    </w:p>
    <w:p w:rsidR="006033DF" w:rsidRDefault="006033DF" w:rsidP="006033DF">
      <w:pPr>
        <w:bidi w:val="0"/>
        <w:spacing w:line="360" w:lineRule="auto"/>
        <w:ind w:firstLine="720"/>
        <w:rPr>
          <w:rFonts w:eastAsia="Times New Roman" w:cs="David"/>
          <w:lang w:eastAsia="he-IL"/>
        </w:rPr>
      </w:pPr>
      <w:r>
        <w:rPr>
          <w:rFonts w:eastAsia="Times New Roman" w:cs="David"/>
          <w:lang w:eastAsia="he-IL"/>
        </w:rPr>
        <w:lastRenderedPageBreak/>
        <w:t xml:space="preserve">These oaths </w:t>
      </w:r>
      <w:r w:rsidR="00D245D4">
        <w:rPr>
          <w:rFonts w:eastAsia="Times New Roman" w:cs="David"/>
          <w:lang w:eastAsia="he-IL"/>
        </w:rPr>
        <w:t xml:space="preserve">are not </w:t>
      </w:r>
      <w:r w:rsidR="00B17332">
        <w:rPr>
          <w:rFonts w:eastAsia="Times New Roman" w:cs="David"/>
          <w:lang w:eastAsia="he-IL"/>
        </w:rPr>
        <w:t>only co</w:t>
      </w:r>
      <w:bookmarkStart w:id="1" w:name="here"/>
      <w:bookmarkEnd w:id="1"/>
      <w:r w:rsidR="00B17332">
        <w:rPr>
          <w:rFonts w:eastAsia="Times New Roman" w:cs="David"/>
          <w:lang w:eastAsia="he-IL"/>
        </w:rPr>
        <w:t xml:space="preserve">ntradictory in terms of their content. There is also a glaring contrast </w:t>
      </w:r>
      <w:r w:rsidR="00383604">
        <w:rPr>
          <w:rFonts w:eastAsia="Times New Roman" w:cs="David"/>
          <w:lang w:eastAsia="he-IL"/>
        </w:rPr>
        <w:t xml:space="preserve">in terms of the identity of the </w:t>
      </w:r>
      <w:r w:rsidR="005D5F69">
        <w:rPr>
          <w:rFonts w:eastAsia="Times New Roman" w:cs="David"/>
          <w:lang w:eastAsia="he-IL"/>
        </w:rPr>
        <w:t>g</w:t>
      </w:r>
      <w:r w:rsidR="00383604">
        <w:rPr>
          <w:rFonts w:eastAsia="Times New Roman" w:cs="David"/>
          <w:lang w:eastAsia="he-IL"/>
        </w:rPr>
        <w:t xml:space="preserve">od in whose name the person taking the oath swears. </w:t>
      </w:r>
      <w:r w:rsidR="005568F4">
        <w:rPr>
          <w:rFonts w:eastAsia="Times New Roman" w:cs="David"/>
          <w:lang w:eastAsia="he-IL"/>
        </w:rPr>
        <w:t xml:space="preserve">Whereas Jezebel </w:t>
      </w:r>
      <w:r w:rsidR="00D4284E">
        <w:rPr>
          <w:rFonts w:eastAsia="Times New Roman" w:cs="David"/>
          <w:lang w:eastAsia="he-IL"/>
        </w:rPr>
        <w:t xml:space="preserve">swears using the generic name, </w:t>
      </w:r>
      <w:r w:rsidR="00D4284E">
        <w:rPr>
          <w:rFonts w:eastAsia="Times New Roman" w:cs="David"/>
          <w:i/>
          <w:iCs/>
          <w:lang w:eastAsia="he-IL"/>
        </w:rPr>
        <w:t>Elohim</w:t>
      </w:r>
      <w:r w:rsidR="00D4284E">
        <w:rPr>
          <w:rFonts w:eastAsia="Times New Roman" w:cs="David"/>
          <w:lang w:eastAsia="he-IL"/>
        </w:rPr>
        <w:t xml:space="preserve"> [God], in the plural form </w:t>
      </w:r>
      <w:r w:rsidR="00413C0A">
        <w:rPr>
          <w:rFonts w:eastAsia="Times New Roman" w:cs="David"/>
          <w:lang w:eastAsia="he-IL"/>
        </w:rPr>
        <w:t>–</w:t>
      </w:r>
      <w:r w:rsidR="00D4284E">
        <w:rPr>
          <w:rFonts w:eastAsia="Times New Roman" w:cs="David"/>
          <w:lang w:eastAsia="he-IL"/>
        </w:rPr>
        <w:t xml:space="preserve"> </w:t>
      </w:r>
      <w:r w:rsidR="00D4284E">
        <w:rPr>
          <w:rFonts w:eastAsia="Times New Roman" w:cs="David"/>
          <w:lang w:eastAsia="he-IL"/>
        </w:rPr>
        <w:t>“[</w:t>
      </w:r>
      <w:r w:rsidR="00D4284E">
        <w:rPr>
          <w:rFonts w:eastAsia="Times New Roman" w:cs="David"/>
          <w:i/>
          <w:iCs/>
          <w:lang w:eastAsia="he-IL"/>
        </w:rPr>
        <w:t>verse</w:t>
      </w:r>
      <w:r w:rsidR="00D4284E">
        <w:rPr>
          <w:rFonts w:eastAsia="Times New Roman" w:cs="David"/>
          <w:lang w:eastAsia="he-IL"/>
        </w:rPr>
        <w:t xml:space="preserve">]” </w:t>
      </w:r>
      <w:r w:rsidR="00413C0A">
        <w:rPr>
          <w:rFonts w:eastAsia="Times New Roman" w:cs="David"/>
          <w:lang w:eastAsia="he-IL"/>
        </w:rPr>
        <w:t xml:space="preserve">– Elijah goes out of his way to specify at great length in whose name he is swearing: </w:t>
      </w:r>
      <w:r w:rsidR="00413C0A">
        <w:rPr>
          <w:rFonts w:eastAsia="Times New Roman" w:cs="David"/>
          <w:lang w:eastAsia="he-IL"/>
        </w:rPr>
        <w:t>“[</w:t>
      </w:r>
      <w:r w:rsidR="00413C0A">
        <w:rPr>
          <w:rFonts w:eastAsia="Times New Roman" w:cs="David"/>
          <w:i/>
          <w:iCs/>
          <w:lang w:eastAsia="he-IL"/>
        </w:rPr>
        <w:t>verse</w:t>
      </w:r>
      <w:r w:rsidR="00413C0A">
        <w:rPr>
          <w:rFonts w:eastAsia="Times New Roman" w:cs="David"/>
          <w:lang w:eastAsia="he-IL"/>
        </w:rPr>
        <w:t>]</w:t>
      </w:r>
      <w:r w:rsidR="00413C0A">
        <w:rPr>
          <w:rFonts w:eastAsia="Times New Roman" w:cs="David"/>
          <w:lang w:eastAsia="he-IL"/>
        </w:rPr>
        <w:t>,</w:t>
      </w:r>
      <w:r w:rsidR="00413C0A">
        <w:rPr>
          <w:rFonts w:eastAsia="Times New Roman" w:cs="David"/>
          <w:lang w:eastAsia="he-IL"/>
        </w:rPr>
        <w:t>”</w:t>
      </w:r>
      <w:r w:rsidR="00C668E2">
        <w:rPr>
          <w:rFonts w:eastAsia="Times New Roman" w:cs="David"/>
          <w:lang w:eastAsia="he-IL"/>
        </w:rPr>
        <w:t xml:space="preserve"> </w:t>
      </w:r>
      <w:r w:rsidR="00C668E2">
        <w:rPr>
          <w:rFonts w:eastAsia="Times New Roman" w:cs="David"/>
          <w:lang w:eastAsia="he-IL"/>
        </w:rPr>
        <w:t>“[</w:t>
      </w:r>
      <w:r w:rsidR="00C668E2">
        <w:rPr>
          <w:rFonts w:eastAsia="Times New Roman" w:cs="David"/>
          <w:i/>
          <w:iCs/>
          <w:lang w:eastAsia="he-IL"/>
        </w:rPr>
        <w:t>verse</w:t>
      </w:r>
      <w:r w:rsidR="00C668E2">
        <w:rPr>
          <w:rFonts w:eastAsia="Times New Roman" w:cs="David"/>
          <w:lang w:eastAsia="he-IL"/>
        </w:rPr>
        <w:t>]</w:t>
      </w:r>
      <w:r w:rsidR="00C668E2">
        <w:rPr>
          <w:rFonts w:eastAsia="Times New Roman" w:cs="David"/>
          <w:lang w:eastAsia="he-IL"/>
        </w:rPr>
        <w:t>.</w:t>
      </w:r>
      <w:r w:rsidR="00C668E2">
        <w:rPr>
          <w:rFonts w:eastAsia="Times New Roman" w:cs="David"/>
          <w:lang w:eastAsia="he-IL"/>
        </w:rPr>
        <w:t>”</w:t>
      </w:r>
      <w:r w:rsidR="003042D4">
        <w:rPr>
          <w:rFonts w:eastAsia="Times New Roman" w:cs="David"/>
          <w:lang w:eastAsia="he-IL"/>
        </w:rPr>
        <w:t xml:space="preserve"> The very way in which the gods are referred to in the oaths conveys the essence of the</w:t>
      </w:r>
      <w:r w:rsidR="005D5F69">
        <w:rPr>
          <w:rFonts w:eastAsia="Times New Roman" w:cs="David"/>
          <w:lang w:eastAsia="he-IL"/>
        </w:rPr>
        <w:t>ir</w:t>
      </w:r>
      <w:r w:rsidR="003042D4">
        <w:rPr>
          <w:rFonts w:eastAsia="Times New Roman" w:cs="David"/>
          <w:lang w:eastAsia="he-IL"/>
        </w:rPr>
        <w:t xml:space="preserve"> message. </w:t>
      </w:r>
      <w:r w:rsidR="003701AC">
        <w:rPr>
          <w:rFonts w:eastAsia="Times New Roman" w:cs="David"/>
          <w:lang w:eastAsia="he-IL"/>
        </w:rPr>
        <w:t xml:space="preserve">The opposing oaths are part of the conflict between the different faiths. </w:t>
      </w:r>
    </w:p>
    <w:p w:rsidR="003701AC" w:rsidRDefault="003701AC" w:rsidP="003701AC">
      <w:pPr>
        <w:bidi w:val="0"/>
        <w:spacing w:line="360" w:lineRule="auto"/>
        <w:rPr>
          <w:rFonts w:eastAsia="Times New Roman" w:cs="David"/>
          <w:lang w:eastAsia="he-IL"/>
        </w:rPr>
      </w:pPr>
    </w:p>
    <w:p w:rsidR="003701AC" w:rsidRDefault="003701AC" w:rsidP="003701AC">
      <w:pPr>
        <w:bidi w:val="0"/>
        <w:spacing w:line="360" w:lineRule="auto"/>
        <w:rPr>
          <w:rFonts w:eastAsia="Times New Roman" w:cs="David"/>
          <w:b/>
          <w:bCs/>
          <w:sz w:val="36"/>
          <w:szCs w:val="36"/>
          <w:lang w:eastAsia="he-IL"/>
        </w:rPr>
      </w:pPr>
      <w:r w:rsidRPr="003701AC">
        <w:rPr>
          <w:rFonts w:eastAsia="Times New Roman" w:cs="David"/>
          <w:b/>
          <w:bCs/>
          <w:sz w:val="36"/>
          <w:szCs w:val="36"/>
          <w:lang w:eastAsia="he-IL"/>
        </w:rPr>
        <w:t xml:space="preserve">Opposition until their </w:t>
      </w:r>
      <w:r w:rsidR="00A51FFD">
        <w:rPr>
          <w:rFonts w:eastAsia="Times New Roman" w:cs="David"/>
          <w:b/>
          <w:bCs/>
          <w:sz w:val="36"/>
          <w:szCs w:val="36"/>
          <w:lang w:eastAsia="he-IL"/>
        </w:rPr>
        <w:t>D</w:t>
      </w:r>
      <w:r w:rsidRPr="003701AC">
        <w:rPr>
          <w:rFonts w:eastAsia="Times New Roman" w:cs="David"/>
          <w:b/>
          <w:bCs/>
          <w:sz w:val="36"/>
          <w:szCs w:val="36"/>
          <w:lang w:eastAsia="he-IL"/>
        </w:rPr>
        <w:t xml:space="preserve">eath/ </w:t>
      </w:r>
      <w:r w:rsidR="00A51FFD">
        <w:rPr>
          <w:rFonts w:eastAsia="Times New Roman" w:cs="David"/>
          <w:b/>
          <w:bCs/>
          <w:sz w:val="36"/>
          <w:szCs w:val="36"/>
          <w:lang w:eastAsia="he-IL"/>
        </w:rPr>
        <w:t>D</w:t>
      </w:r>
      <w:r w:rsidRPr="003701AC">
        <w:rPr>
          <w:rFonts w:eastAsia="Times New Roman" w:cs="David"/>
          <w:b/>
          <w:bCs/>
          <w:sz w:val="36"/>
          <w:szCs w:val="36"/>
          <w:lang w:eastAsia="he-IL"/>
        </w:rPr>
        <w:t xml:space="preserve">isappearance </w:t>
      </w:r>
    </w:p>
    <w:p w:rsidR="003701AC" w:rsidRDefault="003701AC" w:rsidP="003701AC">
      <w:pPr>
        <w:bidi w:val="0"/>
        <w:spacing w:line="360" w:lineRule="auto"/>
        <w:rPr>
          <w:rFonts w:eastAsia="Times New Roman" w:cs="David"/>
          <w:lang w:eastAsia="he-IL"/>
        </w:rPr>
      </w:pPr>
    </w:p>
    <w:p w:rsidR="009D7708" w:rsidRDefault="009D7708" w:rsidP="009D7708">
      <w:pPr>
        <w:bidi w:val="0"/>
        <w:spacing w:line="360" w:lineRule="auto"/>
        <w:rPr>
          <w:rFonts w:eastAsia="Times New Roman" w:cs="David"/>
          <w:lang w:eastAsia="he-IL"/>
        </w:rPr>
      </w:pPr>
      <w:r>
        <w:rPr>
          <w:rFonts w:eastAsia="Times New Roman" w:cs="David"/>
          <w:lang w:eastAsia="he-IL"/>
        </w:rPr>
        <w:tab/>
      </w:r>
      <w:r w:rsidR="008516D7">
        <w:rPr>
          <w:rFonts w:eastAsia="Times New Roman" w:cs="David"/>
          <w:lang w:eastAsia="he-IL"/>
        </w:rPr>
        <w:t xml:space="preserve">The conflict between Elijah and Jezebel continues until their disappearance. </w:t>
      </w:r>
      <w:r w:rsidR="00905783">
        <w:rPr>
          <w:rFonts w:eastAsia="Times New Roman" w:cs="David"/>
          <w:lang w:eastAsia="he-IL"/>
        </w:rPr>
        <w:t>Even though</w:t>
      </w:r>
      <w:r w:rsidR="00C56BCC">
        <w:rPr>
          <w:rFonts w:eastAsia="Times New Roman" w:cs="David"/>
          <w:lang w:eastAsia="he-IL"/>
        </w:rPr>
        <w:t xml:space="preserve"> Jezebel’s death is only mentioned at the end of chapter nine,</w:t>
      </w:r>
      <w:r w:rsidR="00C56BCC">
        <w:rPr>
          <w:rStyle w:val="FootnoteReference"/>
          <w:rFonts w:eastAsia="Times New Roman" w:cs="David"/>
          <w:lang w:eastAsia="he-IL"/>
        </w:rPr>
        <w:footnoteReference w:id="9"/>
      </w:r>
      <w:r w:rsidR="00C56BCC">
        <w:rPr>
          <w:rFonts w:eastAsia="Times New Roman" w:cs="David"/>
          <w:lang w:eastAsia="he-IL"/>
        </w:rPr>
        <w:t xml:space="preserve"> </w:t>
      </w:r>
      <w:r w:rsidR="00371650">
        <w:rPr>
          <w:rFonts w:eastAsia="Times New Roman" w:cs="David"/>
          <w:lang w:eastAsia="he-IL"/>
        </w:rPr>
        <w:t xml:space="preserve">seven chapters after </w:t>
      </w:r>
      <w:r w:rsidR="009939F5">
        <w:rPr>
          <w:rFonts w:eastAsia="Times New Roman" w:cs="David"/>
          <w:lang w:eastAsia="he-IL"/>
        </w:rPr>
        <w:t xml:space="preserve">the narrative of Elijah’s ascent to heaven, there is a clear connection between </w:t>
      </w:r>
      <w:r w:rsidR="00555941">
        <w:rPr>
          <w:rFonts w:eastAsia="Times New Roman" w:cs="David"/>
          <w:lang w:eastAsia="he-IL"/>
        </w:rPr>
        <w:t xml:space="preserve">the two narratives in terms of </w:t>
      </w:r>
      <w:r w:rsidR="009939F5">
        <w:rPr>
          <w:rFonts w:eastAsia="Times New Roman" w:cs="David"/>
          <w:lang w:eastAsia="he-IL"/>
        </w:rPr>
        <w:t>content</w:t>
      </w:r>
      <w:r w:rsidR="00555941">
        <w:rPr>
          <w:rFonts w:eastAsia="Times New Roman" w:cs="David"/>
          <w:lang w:eastAsia="he-IL"/>
        </w:rPr>
        <w:t xml:space="preserve">. </w:t>
      </w:r>
      <w:r w:rsidR="00EC4F00">
        <w:rPr>
          <w:rFonts w:eastAsia="Times New Roman" w:cs="David"/>
          <w:lang w:eastAsia="he-IL"/>
        </w:rPr>
        <w:t xml:space="preserve">Elijah the prophet is mentioned explicitly in the story of Jezebel’s death (II Kings 9:36). </w:t>
      </w:r>
      <w:r w:rsidR="00E30ACE">
        <w:rPr>
          <w:rFonts w:eastAsia="Times New Roman" w:cs="David"/>
          <w:lang w:eastAsia="he-IL"/>
        </w:rPr>
        <w:t>Jezebel’s death</w:t>
      </w:r>
      <w:r w:rsidR="00E30ACE">
        <w:rPr>
          <w:rFonts w:eastAsia="Times New Roman" w:cs="David"/>
          <w:lang w:eastAsia="he-IL"/>
        </w:rPr>
        <w:t xml:space="preserve">, as noted by Jehu, was the fulfillment of Elijah’s prophecy. However, Elijah’s death </w:t>
      </w:r>
      <w:r w:rsidR="00A51FFD">
        <w:rPr>
          <w:rFonts w:eastAsia="Times New Roman" w:cs="David"/>
          <w:lang w:eastAsia="he-IL"/>
        </w:rPr>
        <w:t>does not only relate</w:t>
      </w:r>
      <w:r w:rsidR="00E30ACE">
        <w:rPr>
          <w:rFonts w:eastAsia="Times New Roman" w:cs="David"/>
          <w:lang w:eastAsia="he-IL"/>
        </w:rPr>
        <w:t xml:space="preserve"> to </w:t>
      </w:r>
      <w:r w:rsidR="00FD04E8">
        <w:rPr>
          <w:rFonts w:eastAsia="Times New Roman" w:cs="David"/>
          <w:lang w:eastAsia="he-IL"/>
        </w:rPr>
        <w:t xml:space="preserve">his prophecy. It also relates to </w:t>
      </w:r>
      <w:r w:rsidR="00E27AD2">
        <w:rPr>
          <w:rFonts w:eastAsia="Times New Roman" w:cs="David"/>
          <w:lang w:eastAsia="he-IL"/>
        </w:rPr>
        <w:t>the narrative of his ascent to heaven.</w:t>
      </w:r>
      <w:r w:rsidR="00905783">
        <w:rPr>
          <w:rFonts w:eastAsia="Times New Roman" w:cs="David"/>
          <w:lang w:eastAsia="he-IL"/>
        </w:rPr>
        <w:t xml:space="preserve"> </w:t>
      </w:r>
      <w:r w:rsidR="006E0C64">
        <w:rPr>
          <w:rFonts w:eastAsia="Times New Roman" w:cs="David"/>
          <w:lang w:eastAsia="he-IL"/>
        </w:rPr>
        <w:t>Elijah ascends to heaven in a tempest</w:t>
      </w:r>
      <w:r w:rsidR="008F6BBF">
        <w:rPr>
          <w:rFonts w:eastAsia="Times New Roman" w:cs="David"/>
          <w:lang w:eastAsia="he-IL"/>
        </w:rPr>
        <w:t xml:space="preserve"> in </w:t>
      </w:r>
      <w:r w:rsidR="008F6BBF">
        <w:rPr>
          <w:rFonts w:eastAsia="Times New Roman" w:cs="David"/>
          <w:lang w:eastAsia="he-IL"/>
        </w:rPr>
        <w:t>“[</w:t>
      </w:r>
      <w:r w:rsidR="008F6BBF">
        <w:rPr>
          <w:rFonts w:eastAsia="Times New Roman" w:cs="David"/>
          <w:i/>
          <w:iCs/>
          <w:lang w:eastAsia="he-IL"/>
        </w:rPr>
        <w:t>verse</w:t>
      </w:r>
      <w:r w:rsidR="008F6BBF">
        <w:rPr>
          <w:rFonts w:eastAsia="Times New Roman" w:cs="David"/>
          <w:lang w:eastAsia="he-IL"/>
        </w:rPr>
        <w:t>]”</w:t>
      </w:r>
      <w:r w:rsidR="008F6BBF">
        <w:rPr>
          <w:rFonts w:eastAsia="Times New Roman" w:cs="David"/>
          <w:lang w:eastAsia="he-IL"/>
        </w:rPr>
        <w:t xml:space="preserve"> </w:t>
      </w:r>
      <w:r w:rsidR="008F6BBF">
        <w:rPr>
          <w:rFonts w:eastAsia="Times New Roman" w:cs="David"/>
          <w:lang w:eastAsia="he-IL"/>
        </w:rPr>
        <w:t xml:space="preserve">(II Kings </w:t>
      </w:r>
      <w:r w:rsidR="008F6BBF">
        <w:rPr>
          <w:rFonts w:eastAsia="Times New Roman" w:cs="David"/>
          <w:lang w:eastAsia="he-IL"/>
        </w:rPr>
        <w:t>2</w:t>
      </w:r>
      <w:r w:rsidR="008F6BBF">
        <w:rPr>
          <w:rFonts w:eastAsia="Times New Roman" w:cs="David"/>
          <w:lang w:eastAsia="he-IL"/>
        </w:rPr>
        <w:t>:</w:t>
      </w:r>
      <w:r w:rsidR="008F6BBF">
        <w:rPr>
          <w:rFonts w:eastAsia="Times New Roman" w:cs="David"/>
          <w:lang w:eastAsia="he-IL"/>
        </w:rPr>
        <w:t>11</w:t>
      </w:r>
      <w:r w:rsidR="008F6BBF">
        <w:rPr>
          <w:rFonts w:eastAsia="Times New Roman" w:cs="David"/>
          <w:lang w:eastAsia="he-IL"/>
        </w:rPr>
        <w:t>).</w:t>
      </w:r>
      <w:r w:rsidR="008F6BBF">
        <w:rPr>
          <w:rFonts w:eastAsia="Times New Roman" w:cs="David"/>
          <w:lang w:eastAsia="he-IL"/>
        </w:rPr>
        <w:t xml:space="preserve"> Jezebel’s death is also connected to horses: </w:t>
      </w:r>
      <w:r w:rsidR="008F6BBF">
        <w:rPr>
          <w:rFonts w:eastAsia="Times New Roman" w:cs="David"/>
          <w:lang w:eastAsia="he-IL"/>
        </w:rPr>
        <w:t>“[</w:t>
      </w:r>
      <w:r w:rsidR="008F6BBF">
        <w:rPr>
          <w:rFonts w:eastAsia="Times New Roman" w:cs="David"/>
          <w:i/>
          <w:iCs/>
          <w:lang w:eastAsia="he-IL"/>
        </w:rPr>
        <w:t>verse</w:t>
      </w:r>
      <w:r w:rsidR="008F6BBF">
        <w:rPr>
          <w:rFonts w:eastAsia="Times New Roman" w:cs="David"/>
          <w:lang w:eastAsia="he-IL"/>
        </w:rPr>
        <w:t>]”</w:t>
      </w:r>
      <w:r w:rsidR="008F6BBF">
        <w:rPr>
          <w:rFonts w:eastAsia="Times New Roman" w:cs="David"/>
          <w:lang w:eastAsia="he-IL"/>
        </w:rPr>
        <w:t xml:space="preserve"> </w:t>
      </w:r>
      <w:r w:rsidR="00842DA4">
        <w:rPr>
          <w:rFonts w:eastAsia="Times New Roman" w:cs="David"/>
          <w:lang w:eastAsia="he-IL"/>
        </w:rPr>
        <w:t>(II Kings 9:3</w:t>
      </w:r>
      <w:r w:rsidR="00842DA4">
        <w:rPr>
          <w:rFonts w:eastAsia="Times New Roman" w:cs="David"/>
          <w:lang w:eastAsia="he-IL"/>
        </w:rPr>
        <w:t>3</w:t>
      </w:r>
      <w:r w:rsidR="00842DA4">
        <w:rPr>
          <w:rFonts w:eastAsia="Times New Roman" w:cs="David"/>
          <w:lang w:eastAsia="he-IL"/>
        </w:rPr>
        <w:t>).</w:t>
      </w:r>
      <w:r w:rsidR="00E27AD2">
        <w:rPr>
          <w:rFonts w:eastAsia="Times New Roman" w:cs="David"/>
          <w:lang w:eastAsia="he-IL"/>
        </w:rPr>
        <w:t xml:space="preserve"> </w:t>
      </w:r>
      <w:r w:rsidR="0036775D" w:rsidRPr="0036775D">
        <w:rPr>
          <w:rFonts w:eastAsia="Times New Roman" w:cs="David"/>
          <w:lang w:val="en" w:eastAsia="he-IL"/>
        </w:rPr>
        <w:t>The disciples of the prophets at Jericho</w:t>
      </w:r>
      <w:r w:rsidR="0036775D">
        <w:rPr>
          <w:rFonts w:eastAsia="Times New Roman" w:cs="David"/>
          <w:lang w:val="en" w:eastAsia="he-IL"/>
        </w:rPr>
        <w:t xml:space="preserve"> </w:t>
      </w:r>
      <w:r w:rsidR="00D2523E">
        <w:rPr>
          <w:rFonts w:eastAsia="Times New Roman" w:cs="David"/>
          <w:lang w:eastAsia="he-IL"/>
        </w:rPr>
        <w:t>pressure Elisha to allow them to go and search for Elijah</w:t>
      </w:r>
      <w:r w:rsidR="002A18C5">
        <w:rPr>
          <w:rFonts w:eastAsia="Times New Roman" w:cs="David"/>
          <w:lang w:eastAsia="he-IL"/>
        </w:rPr>
        <w:t>; and</w:t>
      </w:r>
      <w:r w:rsidR="00053496">
        <w:rPr>
          <w:rFonts w:eastAsia="Times New Roman" w:cs="David"/>
          <w:lang w:eastAsia="he-IL"/>
        </w:rPr>
        <w:t>, in fact,</w:t>
      </w:r>
      <w:r w:rsidR="002A18C5">
        <w:rPr>
          <w:rFonts w:eastAsia="Times New Roman" w:cs="David"/>
          <w:lang w:eastAsia="he-IL"/>
        </w:rPr>
        <w:t xml:space="preserve"> they </w:t>
      </w:r>
      <w:r w:rsidR="00053496">
        <w:rPr>
          <w:rFonts w:eastAsia="Times New Roman" w:cs="David"/>
          <w:lang w:eastAsia="he-IL"/>
        </w:rPr>
        <w:t xml:space="preserve">do </w:t>
      </w:r>
      <w:r w:rsidR="0031184C">
        <w:rPr>
          <w:rFonts w:eastAsia="Times New Roman" w:cs="David"/>
          <w:lang w:eastAsia="he-IL"/>
        </w:rPr>
        <w:t xml:space="preserve">search </w:t>
      </w:r>
      <w:r w:rsidR="00ED38E0" w:rsidRPr="00ED38E0">
        <w:rPr>
          <w:rFonts w:eastAsia="Times New Roman" w:cs="David"/>
          <w:lang w:eastAsia="he-IL"/>
        </w:rPr>
        <w:t>the mountains and valleys without success</w:t>
      </w:r>
      <w:r w:rsidR="00ED38E0">
        <w:rPr>
          <w:rFonts w:eastAsia="Times New Roman" w:cs="David"/>
          <w:lang w:eastAsia="he-IL"/>
        </w:rPr>
        <w:t xml:space="preserve">: </w:t>
      </w:r>
      <w:r w:rsidR="00ED38E0">
        <w:rPr>
          <w:rFonts w:eastAsia="Times New Roman" w:cs="David"/>
          <w:lang w:eastAsia="he-IL"/>
        </w:rPr>
        <w:t>“[</w:t>
      </w:r>
      <w:r w:rsidR="00ED38E0">
        <w:rPr>
          <w:rFonts w:eastAsia="Times New Roman" w:cs="David"/>
          <w:i/>
          <w:iCs/>
          <w:lang w:eastAsia="he-IL"/>
        </w:rPr>
        <w:t>verse</w:t>
      </w:r>
      <w:r w:rsidR="00ED38E0">
        <w:rPr>
          <w:rFonts w:eastAsia="Times New Roman" w:cs="David"/>
          <w:lang w:eastAsia="he-IL"/>
        </w:rPr>
        <w:t>]”</w:t>
      </w:r>
      <w:r w:rsidR="00ED38E0">
        <w:rPr>
          <w:rFonts w:eastAsia="Times New Roman" w:cs="David"/>
          <w:lang w:eastAsia="he-IL"/>
        </w:rPr>
        <w:t xml:space="preserve"> </w:t>
      </w:r>
      <w:r w:rsidR="00ED38E0">
        <w:rPr>
          <w:rFonts w:eastAsia="Times New Roman" w:cs="David"/>
          <w:lang w:eastAsia="he-IL"/>
        </w:rPr>
        <w:t xml:space="preserve">(II Kings </w:t>
      </w:r>
      <w:r w:rsidR="00ED38E0">
        <w:rPr>
          <w:rFonts w:eastAsia="Times New Roman" w:cs="David"/>
          <w:lang w:eastAsia="he-IL"/>
        </w:rPr>
        <w:t>2</w:t>
      </w:r>
      <w:r w:rsidR="00ED38E0">
        <w:rPr>
          <w:rFonts w:eastAsia="Times New Roman" w:cs="David"/>
          <w:lang w:eastAsia="he-IL"/>
        </w:rPr>
        <w:t>:</w:t>
      </w:r>
      <w:r w:rsidR="00ED38E0">
        <w:rPr>
          <w:rFonts w:eastAsia="Times New Roman" w:cs="David"/>
          <w:lang w:eastAsia="he-IL"/>
        </w:rPr>
        <w:t>17,18</w:t>
      </w:r>
      <w:r w:rsidR="00ED38E0">
        <w:rPr>
          <w:rFonts w:eastAsia="Times New Roman" w:cs="David"/>
          <w:lang w:eastAsia="he-IL"/>
        </w:rPr>
        <w:t>).</w:t>
      </w:r>
      <w:r w:rsidR="00ED38E0">
        <w:rPr>
          <w:rFonts w:eastAsia="Times New Roman" w:cs="David"/>
          <w:lang w:eastAsia="he-IL"/>
        </w:rPr>
        <w:t xml:space="preserve"> </w:t>
      </w:r>
      <w:r w:rsidR="00394B08">
        <w:rPr>
          <w:rFonts w:eastAsia="Times New Roman" w:cs="David"/>
          <w:lang w:eastAsia="he-IL"/>
        </w:rPr>
        <w:t xml:space="preserve">Jezebel’s body also disappeared </w:t>
      </w:r>
      <w:r w:rsidR="0030434B">
        <w:rPr>
          <w:rFonts w:eastAsia="Times New Roman" w:cs="David"/>
          <w:lang w:eastAsia="he-IL"/>
        </w:rPr>
        <w:t>in her</w:t>
      </w:r>
      <w:r w:rsidR="0030434B" w:rsidRPr="00237ABF">
        <w:rPr>
          <w:rFonts w:eastAsia="Times New Roman" w:cs="David"/>
          <w:color w:val="000000"/>
          <w:lang w:eastAsia="he-IL"/>
        </w:rPr>
        <w:t xml:space="preserve"> </w:t>
      </w:r>
      <w:r w:rsidR="00237ABF" w:rsidRPr="00237ABF">
        <w:rPr>
          <w:rFonts w:eastAsia="Times New Roman" w:cs="David"/>
          <w:color w:val="000000"/>
          <w:lang w:eastAsia="he-IL"/>
        </w:rPr>
        <w:t>property</w:t>
      </w:r>
      <w:r w:rsidR="00B443F1">
        <w:rPr>
          <w:rFonts w:eastAsia="Times New Roman" w:cs="David"/>
          <w:color w:val="FF0000"/>
          <w:lang w:eastAsia="he-IL"/>
        </w:rPr>
        <w:t xml:space="preserve"> </w:t>
      </w:r>
      <w:r w:rsidR="000B22D3">
        <w:rPr>
          <w:rFonts w:eastAsia="Times New Roman" w:cs="David"/>
          <w:lang w:eastAsia="he-IL"/>
        </w:rPr>
        <w:t xml:space="preserve">following her death. </w:t>
      </w:r>
      <w:r w:rsidR="001E2E3E">
        <w:rPr>
          <w:rFonts w:eastAsia="Times New Roman" w:cs="David"/>
          <w:lang w:eastAsia="he-IL"/>
        </w:rPr>
        <w:t xml:space="preserve">Jehu commands the people who were with him to </w:t>
      </w:r>
      <w:r w:rsidR="00BB3002">
        <w:rPr>
          <w:rFonts w:eastAsia="Times New Roman" w:cs="David"/>
          <w:lang w:eastAsia="he-IL"/>
        </w:rPr>
        <w:t xml:space="preserve">go and bury Jezebel. They go, but only locate some of her bones: </w:t>
      </w:r>
      <w:r w:rsidR="00BB3002">
        <w:rPr>
          <w:rFonts w:eastAsia="Times New Roman" w:cs="David"/>
          <w:lang w:eastAsia="he-IL"/>
        </w:rPr>
        <w:t>“[</w:t>
      </w:r>
      <w:r w:rsidR="00BB3002">
        <w:rPr>
          <w:rFonts w:eastAsia="Times New Roman" w:cs="David"/>
          <w:i/>
          <w:iCs/>
          <w:lang w:eastAsia="he-IL"/>
        </w:rPr>
        <w:t>verse</w:t>
      </w:r>
      <w:r w:rsidR="00BB3002">
        <w:rPr>
          <w:rFonts w:eastAsia="Times New Roman" w:cs="David"/>
          <w:lang w:eastAsia="he-IL"/>
        </w:rPr>
        <w:t>]”</w:t>
      </w:r>
      <w:r w:rsidR="00BB3002">
        <w:rPr>
          <w:rFonts w:eastAsia="Times New Roman" w:cs="David"/>
          <w:lang w:eastAsia="he-IL"/>
        </w:rPr>
        <w:t xml:space="preserve"> </w:t>
      </w:r>
      <w:r w:rsidR="00BB3002">
        <w:rPr>
          <w:rFonts w:eastAsia="Times New Roman" w:cs="David"/>
          <w:lang w:eastAsia="he-IL"/>
        </w:rPr>
        <w:t>(II Kings 9:</w:t>
      </w:r>
      <w:r w:rsidR="00BB3002">
        <w:rPr>
          <w:rFonts w:eastAsia="Times New Roman" w:cs="David"/>
          <w:lang w:eastAsia="he-IL"/>
        </w:rPr>
        <w:t>35,</w:t>
      </w:r>
      <w:r w:rsidR="00BB3002">
        <w:rPr>
          <w:rFonts w:eastAsia="Times New Roman" w:cs="David"/>
          <w:lang w:eastAsia="he-IL"/>
        </w:rPr>
        <w:t>36).</w:t>
      </w:r>
      <w:r w:rsidR="00BB3002">
        <w:rPr>
          <w:rFonts w:eastAsia="Times New Roman" w:cs="David"/>
          <w:lang w:eastAsia="he-IL"/>
        </w:rPr>
        <w:t xml:space="preserve"> </w:t>
      </w:r>
      <w:r w:rsidR="00283254">
        <w:rPr>
          <w:rFonts w:eastAsia="Times New Roman" w:cs="David"/>
          <w:lang w:eastAsia="he-IL"/>
        </w:rPr>
        <w:t xml:space="preserve">Jezebel, like Elijah, is not buried. </w:t>
      </w:r>
    </w:p>
    <w:p w:rsidR="000C7015" w:rsidRPr="00D2523E" w:rsidRDefault="000C7015" w:rsidP="000C7015">
      <w:pPr>
        <w:bidi w:val="0"/>
        <w:spacing w:line="360" w:lineRule="auto"/>
        <w:rPr>
          <w:rFonts w:eastAsia="Times New Roman" w:cs="David"/>
          <w:lang w:eastAsia="he-IL"/>
        </w:rPr>
      </w:pPr>
      <w:r>
        <w:rPr>
          <w:rFonts w:eastAsia="Times New Roman" w:cs="David"/>
          <w:lang w:eastAsia="he-IL"/>
        </w:rPr>
        <w:tab/>
      </w:r>
    </w:p>
    <w:sectPr w:rsidR="000C7015" w:rsidRPr="00D2523E" w:rsidSect="00217FD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CB7" w:rsidRDefault="00F22CB7" w:rsidP="00031FD4">
      <w:pPr>
        <w:spacing w:after="0" w:line="240" w:lineRule="auto"/>
      </w:pPr>
      <w:r>
        <w:separator/>
      </w:r>
    </w:p>
  </w:endnote>
  <w:endnote w:type="continuationSeparator" w:id="0">
    <w:p w:rsidR="00F22CB7" w:rsidRDefault="00F22CB7" w:rsidP="0003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CB7" w:rsidRDefault="00F22CB7" w:rsidP="00031FD4">
      <w:pPr>
        <w:spacing w:after="0" w:line="240" w:lineRule="auto"/>
      </w:pPr>
      <w:r>
        <w:separator/>
      </w:r>
    </w:p>
  </w:footnote>
  <w:footnote w:type="continuationSeparator" w:id="0">
    <w:p w:rsidR="00F22CB7" w:rsidRDefault="00F22CB7" w:rsidP="00031FD4">
      <w:pPr>
        <w:spacing w:after="0" w:line="240" w:lineRule="auto"/>
      </w:pPr>
      <w:r>
        <w:continuationSeparator/>
      </w:r>
    </w:p>
  </w:footnote>
  <w:footnote w:id="1">
    <w:p w:rsidR="00333B39" w:rsidRPr="00237ABF" w:rsidRDefault="00333B39" w:rsidP="00C03DA2">
      <w:pPr>
        <w:pStyle w:val="FootnoteText"/>
        <w:bidi w:val="0"/>
        <w:spacing w:line="240" w:lineRule="auto"/>
        <w:jc w:val="both"/>
        <w:rPr>
          <w:noProof w:val="0"/>
        </w:rPr>
      </w:pPr>
      <w:r>
        <w:rPr>
          <w:rStyle w:val="FootnoteReference"/>
          <w:noProof w:val="0"/>
        </w:rPr>
        <w:footnoteRef/>
      </w:r>
      <w:r>
        <w:rPr>
          <w:noProof w:val="0"/>
        </w:rPr>
        <w:t xml:space="preserve"> </w:t>
      </w:r>
      <w:proofErr w:type="spellStart"/>
      <w:r w:rsidR="00BE3E36" w:rsidRPr="00BE3E36">
        <w:rPr>
          <w:noProof w:val="0"/>
        </w:rPr>
        <w:t>Triebel</w:t>
      </w:r>
      <w:proofErr w:type="spellEnd"/>
      <w:r w:rsidR="00B7579E">
        <w:rPr>
          <w:noProof w:val="0"/>
        </w:rPr>
        <w:t xml:space="preserve">, </w:t>
      </w:r>
      <w:r w:rsidR="005649B6">
        <w:rPr>
          <w:i/>
          <w:iCs/>
          <w:noProof w:val="0"/>
        </w:rPr>
        <w:t xml:space="preserve">Eliyahu </w:t>
      </w:r>
      <w:proofErr w:type="spellStart"/>
      <w:r w:rsidR="000C55AD">
        <w:rPr>
          <w:i/>
          <w:iCs/>
          <w:noProof w:val="0"/>
        </w:rPr>
        <w:t>Ve-</w:t>
      </w:r>
      <w:r w:rsidR="00237ABF">
        <w:rPr>
          <w:i/>
          <w:iCs/>
          <w:noProof w:val="0"/>
        </w:rPr>
        <w:t>Izevel</w:t>
      </w:r>
      <w:proofErr w:type="spellEnd"/>
      <w:r w:rsidR="00237ABF">
        <w:rPr>
          <w:noProof w:val="0"/>
        </w:rPr>
        <w:t xml:space="preserve">, p. 5. </w:t>
      </w:r>
    </w:p>
  </w:footnote>
  <w:footnote w:id="2">
    <w:p w:rsidR="006B1DF5" w:rsidRPr="00775214" w:rsidRDefault="006B1DF5" w:rsidP="00C03DA2">
      <w:pPr>
        <w:pStyle w:val="FootnoteText"/>
        <w:bidi w:val="0"/>
        <w:spacing w:line="240" w:lineRule="auto"/>
        <w:rPr>
          <w:i/>
          <w:iCs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775214">
        <w:t xml:space="preserve">See Garciel, </w:t>
      </w:r>
      <w:r w:rsidR="00775214">
        <w:rPr>
          <w:i/>
          <w:iCs/>
        </w:rPr>
        <w:t>Sheimot B’Sipurei</w:t>
      </w:r>
      <w:r w:rsidR="00775214" w:rsidRPr="00775214">
        <w:rPr>
          <w:i/>
          <w:iCs/>
          <w:noProof w:val="0"/>
        </w:rPr>
        <w:t xml:space="preserve"> </w:t>
      </w:r>
      <w:r w:rsidR="00775214">
        <w:rPr>
          <w:i/>
          <w:iCs/>
          <w:noProof w:val="0"/>
        </w:rPr>
        <w:t>Eliyahu</w:t>
      </w:r>
      <w:r w:rsidR="00775214">
        <w:t xml:space="preserve">, pp. 149-150. </w:t>
      </w:r>
      <w:r w:rsidR="00775214">
        <w:rPr>
          <w:i/>
          <w:iCs/>
        </w:rPr>
        <w:t xml:space="preserve"> </w:t>
      </w:r>
    </w:p>
  </w:footnote>
  <w:footnote w:id="3">
    <w:p w:rsidR="00172446" w:rsidRPr="00F6442D" w:rsidRDefault="00172446" w:rsidP="00C03DA2">
      <w:pPr>
        <w:pStyle w:val="FootnoteText"/>
        <w:bidi w:val="0"/>
        <w:spacing w:line="240" w:lineRule="auto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6F642F">
        <w:t xml:space="preserve">See </w:t>
      </w:r>
      <w:r w:rsidR="00F6442D">
        <w:t xml:space="preserve">Lee, </w:t>
      </w:r>
      <w:proofErr w:type="spellStart"/>
      <w:r w:rsidR="00F6442D">
        <w:rPr>
          <w:i/>
          <w:iCs/>
          <w:noProof w:val="0"/>
        </w:rPr>
        <w:t>Izevel</w:t>
      </w:r>
      <w:proofErr w:type="spellEnd"/>
      <w:r w:rsidR="00F6442D">
        <w:rPr>
          <w:noProof w:val="0"/>
        </w:rPr>
        <w:t xml:space="preserve">, p. </w:t>
      </w:r>
      <w:r w:rsidR="001C75F0">
        <w:rPr>
          <w:noProof w:val="0"/>
        </w:rPr>
        <w:t>84</w:t>
      </w:r>
      <w:r w:rsidR="00F6442D">
        <w:rPr>
          <w:noProof w:val="0"/>
        </w:rPr>
        <w:t>8</w:t>
      </w:r>
      <w:r w:rsidR="005D2195">
        <w:rPr>
          <w:noProof w:val="0"/>
        </w:rPr>
        <w:t xml:space="preserve">. Compare </w:t>
      </w:r>
      <w:proofErr w:type="spellStart"/>
      <w:r w:rsidR="001C75F0">
        <w:rPr>
          <w:noProof w:val="0"/>
        </w:rPr>
        <w:t>Lionstam</w:t>
      </w:r>
      <w:proofErr w:type="spellEnd"/>
      <w:r w:rsidR="001C75F0">
        <w:rPr>
          <w:noProof w:val="0"/>
        </w:rPr>
        <w:t xml:space="preserve">, </w:t>
      </w:r>
      <w:r w:rsidR="001C75F0">
        <w:rPr>
          <w:i/>
          <w:iCs/>
        </w:rPr>
        <w:t>Izevel</w:t>
      </w:r>
      <w:r w:rsidR="001C75F0">
        <w:t>, p. 258</w:t>
      </w:r>
      <w:r w:rsidR="00F6442D">
        <w:rPr>
          <w:noProof w:val="0"/>
        </w:rPr>
        <w:t xml:space="preserve"> and </w:t>
      </w:r>
      <w:r w:rsidR="00F6442D">
        <w:t>Garciel</w:t>
      </w:r>
      <w:r w:rsidR="00F6442D">
        <w:t xml:space="preserve">, ibid., pp. 150-151, who hold that the name Jezebel is composed of the words </w:t>
      </w:r>
      <w:r w:rsidR="00A0767E" w:rsidRPr="00A0767E">
        <w:rPr>
          <w:i/>
          <w:iCs/>
        </w:rPr>
        <w:t>Avi-Aevel</w:t>
      </w:r>
      <w:r w:rsidR="00A0767E">
        <w:t xml:space="preserve">, </w:t>
      </w:r>
      <w:r w:rsidR="00C03DA2">
        <w:t xml:space="preserve">my father is the prince. </w:t>
      </w:r>
    </w:p>
  </w:footnote>
  <w:footnote w:id="4">
    <w:p w:rsidR="00114274" w:rsidRPr="005D2195" w:rsidRDefault="00114274" w:rsidP="00C03DA2">
      <w:pPr>
        <w:pStyle w:val="FootnoteText"/>
        <w:bidi w:val="0"/>
        <w:spacing w:line="240" w:lineRule="auto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3226BC">
        <w:t xml:space="preserve">It is possible that the later Massoretic vocalization </w:t>
      </w:r>
      <w:r w:rsidR="009845B4">
        <w:t xml:space="preserve">reinterprets the name pajoratively: Jezebel is merely </w:t>
      </w:r>
      <w:r w:rsidR="009845B4">
        <w:rPr>
          <w:i/>
          <w:iCs/>
        </w:rPr>
        <w:t>zevel</w:t>
      </w:r>
      <w:r w:rsidR="009845B4">
        <w:t xml:space="preserve">, meaning fertilizer. This connotation </w:t>
      </w:r>
      <w:r w:rsidR="00666057">
        <w:t xml:space="preserve">fits with the verse: </w:t>
      </w:r>
      <w:r w:rsidR="00666057">
        <w:t>“[</w:t>
      </w:r>
      <w:r w:rsidR="00666057">
        <w:rPr>
          <w:i/>
          <w:iCs/>
        </w:rPr>
        <w:t>verse</w:t>
      </w:r>
      <w:r w:rsidR="00666057">
        <w:t>]” (I</w:t>
      </w:r>
      <w:r w:rsidR="00666057">
        <w:t>I</w:t>
      </w:r>
      <w:r w:rsidR="00666057">
        <w:t xml:space="preserve"> Kings </w:t>
      </w:r>
      <w:r w:rsidR="00666057">
        <w:t>9</w:t>
      </w:r>
      <w:r w:rsidR="00666057">
        <w:t>:</w:t>
      </w:r>
      <w:r w:rsidR="00666057">
        <w:t>37</w:t>
      </w:r>
      <w:r w:rsidR="00666057">
        <w:t>)</w:t>
      </w:r>
      <w:r w:rsidR="00666057">
        <w:t xml:space="preserve">. See e.g. </w:t>
      </w:r>
      <w:r w:rsidR="00666057">
        <w:t>Garciel</w:t>
      </w:r>
      <w:r w:rsidR="00666057">
        <w:t xml:space="preserve">. </w:t>
      </w:r>
      <w:r w:rsidR="00666057">
        <w:t>ibid., pp. 150-151,</w:t>
      </w:r>
      <w:r w:rsidR="00666057">
        <w:t xml:space="preserve"> and </w:t>
      </w:r>
      <w:proofErr w:type="spellStart"/>
      <w:r w:rsidR="00666057" w:rsidRPr="00BE3E36">
        <w:rPr>
          <w:noProof w:val="0"/>
        </w:rPr>
        <w:t>Triebel</w:t>
      </w:r>
      <w:proofErr w:type="spellEnd"/>
      <w:r w:rsidR="00666057">
        <w:rPr>
          <w:noProof w:val="0"/>
        </w:rPr>
        <w:t xml:space="preserve">, </w:t>
      </w:r>
      <w:r w:rsidR="00666057">
        <w:rPr>
          <w:i/>
          <w:iCs/>
          <w:noProof w:val="0"/>
        </w:rPr>
        <w:t xml:space="preserve">Eliyahu </w:t>
      </w:r>
      <w:proofErr w:type="spellStart"/>
      <w:r w:rsidR="00666057">
        <w:rPr>
          <w:i/>
          <w:iCs/>
          <w:noProof w:val="0"/>
        </w:rPr>
        <w:t>Ve-Izevel</w:t>
      </w:r>
      <w:proofErr w:type="spellEnd"/>
      <w:r w:rsidR="00666057">
        <w:rPr>
          <w:noProof w:val="0"/>
        </w:rPr>
        <w:t xml:space="preserve">, p. </w:t>
      </w:r>
      <w:r w:rsidR="00666057">
        <w:rPr>
          <w:noProof w:val="0"/>
        </w:rPr>
        <w:t>1</w:t>
      </w:r>
      <w:r w:rsidR="00666057">
        <w:rPr>
          <w:noProof w:val="0"/>
        </w:rPr>
        <w:t>5.</w:t>
      </w:r>
      <w:r w:rsidR="00666057">
        <w:t xml:space="preserve"> However, </w:t>
      </w:r>
      <w:r w:rsidR="005D2195">
        <w:t xml:space="preserve">it should be noted that this connotation of the word </w:t>
      </w:r>
      <w:r w:rsidR="005D2195">
        <w:rPr>
          <w:i/>
          <w:iCs/>
        </w:rPr>
        <w:t>zevel</w:t>
      </w:r>
      <w:r w:rsidR="005D2195">
        <w:rPr>
          <w:i/>
          <w:iCs/>
        </w:rPr>
        <w:t xml:space="preserve"> </w:t>
      </w:r>
      <w:r w:rsidR="005D2195">
        <w:t xml:space="preserve">is not found in biblical language and is later. </w:t>
      </w:r>
    </w:p>
  </w:footnote>
  <w:footnote w:id="5">
    <w:p w:rsidR="00754267" w:rsidRPr="0034647D" w:rsidRDefault="00754267" w:rsidP="00C03DA2">
      <w:pPr>
        <w:pStyle w:val="FootnoteText"/>
        <w:bidi w:val="0"/>
        <w:spacing w:line="240" w:lineRule="auto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5D2195">
        <w:t xml:space="preserve">See </w:t>
      </w:r>
      <w:proofErr w:type="spellStart"/>
      <w:r w:rsidR="001653A3">
        <w:rPr>
          <w:noProof w:val="0"/>
        </w:rPr>
        <w:t>Lionstam</w:t>
      </w:r>
      <w:proofErr w:type="spellEnd"/>
      <w:r w:rsidR="001653A3">
        <w:rPr>
          <w:noProof w:val="0"/>
        </w:rPr>
        <w:t>,</w:t>
      </w:r>
      <w:r w:rsidR="001653A3">
        <w:t xml:space="preserve"> </w:t>
      </w:r>
      <w:r w:rsidR="001653A3">
        <w:t>ibid., p.</w:t>
      </w:r>
      <w:r w:rsidR="001653A3" w:rsidRPr="001653A3">
        <w:t xml:space="preserve"> </w:t>
      </w:r>
      <w:r w:rsidR="001653A3">
        <w:t>258</w:t>
      </w:r>
      <w:r w:rsidR="001653A3">
        <w:t>, Kaplerod</w:t>
      </w:r>
      <w:r w:rsidR="0034647D">
        <w:t xml:space="preserve">, </w:t>
      </w:r>
      <w:r w:rsidR="0034647D">
        <w:rPr>
          <w:rStyle w:val="Emphasis"/>
        </w:rPr>
        <w:t>Ras Shamra</w:t>
      </w:r>
      <w:r w:rsidR="0034647D">
        <w:t>, p</w:t>
      </w:r>
      <w:r w:rsidR="00612673">
        <w:t xml:space="preserve">. 33, Lee, </w:t>
      </w:r>
      <w:proofErr w:type="spellStart"/>
      <w:r w:rsidR="00612673">
        <w:rPr>
          <w:i/>
          <w:iCs/>
          <w:noProof w:val="0"/>
        </w:rPr>
        <w:t>Izevel</w:t>
      </w:r>
      <w:proofErr w:type="spellEnd"/>
      <w:r w:rsidR="00612673">
        <w:rPr>
          <w:noProof w:val="0"/>
        </w:rPr>
        <w:t>, p. 848</w:t>
      </w:r>
      <w:r w:rsidR="00612673">
        <w:rPr>
          <w:noProof w:val="0"/>
        </w:rPr>
        <w:t xml:space="preserve">, and </w:t>
      </w:r>
      <w:r w:rsidR="00612673">
        <w:t xml:space="preserve">Triebel, </w:t>
      </w:r>
      <w:r w:rsidR="00612673">
        <w:rPr>
          <w:i/>
          <w:iCs/>
        </w:rPr>
        <w:t>Eliyahu Ve-Izevel</w:t>
      </w:r>
      <w:r w:rsidR="00612673">
        <w:t>, p. 4</w:t>
      </w:r>
      <w:r w:rsidR="00612673">
        <w:t>.</w:t>
      </w:r>
    </w:p>
  </w:footnote>
  <w:footnote w:id="6">
    <w:p w:rsidR="00C46368" w:rsidRDefault="00C46368" w:rsidP="008E64F6">
      <w:pPr>
        <w:pStyle w:val="FootnoteText"/>
        <w:bidi w:val="0"/>
        <w:spacing w:line="240" w:lineRule="auto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4968C7">
        <w:t xml:space="preserve">It is possible that the </w:t>
      </w:r>
      <w:r w:rsidR="009714EF">
        <w:t xml:space="preserve">contrast between the names is </w:t>
      </w:r>
      <w:r w:rsidR="008E439E">
        <w:t>explicit in the text</w:t>
      </w:r>
      <w:r w:rsidR="008E64F6">
        <w:t xml:space="preserve">, according the reading of the </w:t>
      </w:r>
      <w:r w:rsidR="008E64F6" w:rsidRPr="008E64F6">
        <w:t>Septuagint</w:t>
      </w:r>
      <w:r w:rsidR="005D5F69">
        <w:t>;</w:t>
      </w:r>
      <w:r w:rsidR="008E64F6">
        <w:t xml:space="preserve"> which</w:t>
      </w:r>
      <w:r w:rsidR="005745D0">
        <w:t>,</w:t>
      </w:r>
      <w:r w:rsidR="008E64F6">
        <w:t xml:space="preserve"> </w:t>
      </w:r>
      <w:r w:rsidR="00CD00CD">
        <w:t xml:space="preserve">in Jezebel’s reaction to Elijah’s killing </w:t>
      </w:r>
      <w:r w:rsidR="00CD00CD">
        <w:t xml:space="preserve">the Baal’s </w:t>
      </w:r>
      <w:r w:rsidR="00CD00CD">
        <w:t>prophets</w:t>
      </w:r>
      <w:r w:rsidR="005745D0">
        <w:t>,</w:t>
      </w:r>
      <w:r w:rsidR="005745D0" w:rsidRPr="005745D0">
        <w:t xml:space="preserve"> </w:t>
      </w:r>
      <w:r w:rsidR="005745D0">
        <w:t>contains</w:t>
      </w:r>
      <w:r w:rsidR="005745D0">
        <w:t xml:space="preserve"> the phrase: “If you are Elijah, then I am Jezebel” (</w:t>
      </w:r>
      <w:r w:rsidR="005745D0" w:rsidRPr="008E64F6">
        <w:t>Septuagint</w:t>
      </w:r>
      <w:r w:rsidR="005745D0">
        <w:t xml:space="preserve">, I Kings 19:2). A name </w:t>
      </w:r>
      <w:r w:rsidR="009113C6">
        <w:t xml:space="preserve">contrasting with a name, a god </w:t>
      </w:r>
      <w:r w:rsidR="009113C6">
        <w:t xml:space="preserve">contrasting with a </w:t>
      </w:r>
      <w:r w:rsidR="009113C6">
        <w:t xml:space="preserve">god. See </w:t>
      </w:r>
      <w:r w:rsidR="009113C6" w:rsidRPr="009113C6">
        <w:t xml:space="preserve">Triebel, Eliyahu Ve-Izevel, p. </w:t>
      </w:r>
      <w:r w:rsidR="009113C6">
        <w:t>8</w:t>
      </w:r>
      <w:r w:rsidR="009113C6" w:rsidRPr="009113C6">
        <w:t>.</w:t>
      </w:r>
      <w:r w:rsidR="009113C6">
        <w:t xml:space="preserve"> </w:t>
      </w:r>
    </w:p>
  </w:footnote>
  <w:footnote w:id="7">
    <w:p w:rsidR="00376AED" w:rsidRPr="00FD362C" w:rsidRDefault="00376AED" w:rsidP="00C03DA2">
      <w:pPr>
        <w:pStyle w:val="FootnoteText"/>
        <w:bidi w:val="0"/>
        <w:spacing w:line="240" w:lineRule="auto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FD362C">
        <w:rPr>
          <w:rFonts w:hint="cs"/>
        </w:rPr>
        <w:t>S</w:t>
      </w:r>
      <w:r w:rsidR="00FD362C">
        <w:t xml:space="preserve">ee Jubling, </w:t>
      </w:r>
      <w:r w:rsidR="00FD362C">
        <w:rPr>
          <w:i/>
          <w:iCs/>
        </w:rPr>
        <w:t>Mashma’ut Hamikra</w:t>
      </w:r>
      <w:r w:rsidR="00FD362C">
        <w:t xml:space="preserve">, p. 80, and </w:t>
      </w:r>
      <w:proofErr w:type="spellStart"/>
      <w:r w:rsidR="00FD362C" w:rsidRPr="00BE3E36">
        <w:rPr>
          <w:noProof w:val="0"/>
        </w:rPr>
        <w:t>Triebel</w:t>
      </w:r>
      <w:proofErr w:type="spellEnd"/>
      <w:r w:rsidR="00FD362C">
        <w:rPr>
          <w:noProof w:val="0"/>
        </w:rPr>
        <w:t xml:space="preserve">, </w:t>
      </w:r>
      <w:r w:rsidR="00FD362C">
        <w:rPr>
          <w:i/>
          <w:iCs/>
          <w:noProof w:val="0"/>
        </w:rPr>
        <w:t xml:space="preserve">Eliyahu </w:t>
      </w:r>
      <w:proofErr w:type="spellStart"/>
      <w:r w:rsidR="00FD362C">
        <w:rPr>
          <w:i/>
          <w:iCs/>
          <w:noProof w:val="0"/>
        </w:rPr>
        <w:t>Ve-Izevel</w:t>
      </w:r>
      <w:proofErr w:type="spellEnd"/>
      <w:r w:rsidR="00FD362C">
        <w:rPr>
          <w:noProof w:val="0"/>
        </w:rPr>
        <w:t>, p. 8.</w:t>
      </w:r>
    </w:p>
  </w:footnote>
  <w:footnote w:id="8">
    <w:p w:rsidR="00141C1C" w:rsidRDefault="00141C1C" w:rsidP="00C03DA2">
      <w:pPr>
        <w:pStyle w:val="FootnoteText"/>
        <w:bidi w:val="0"/>
        <w:spacing w:line="240" w:lineRule="auto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237ABF">
        <w:t xml:space="preserve">See </w:t>
      </w:r>
      <w:proofErr w:type="spellStart"/>
      <w:r w:rsidR="00237ABF" w:rsidRPr="00BE3E36">
        <w:rPr>
          <w:noProof w:val="0"/>
        </w:rPr>
        <w:t>Triebel</w:t>
      </w:r>
      <w:proofErr w:type="spellEnd"/>
      <w:r w:rsidR="00237ABF">
        <w:rPr>
          <w:noProof w:val="0"/>
        </w:rPr>
        <w:t xml:space="preserve">, </w:t>
      </w:r>
      <w:r w:rsidR="00237ABF">
        <w:rPr>
          <w:i/>
          <w:iCs/>
          <w:noProof w:val="0"/>
        </w:rPr>
        <w:t xml:space="preserve">Eliyahu </w:t>
      </w:r>
      <w:proofErr w:type="spellStart"/>
      <w:r w:rsidR="00CE748F">
        <w:rPr>
          <w:i/>
          <w:iCs/>
          <w:noProof w:val="0"/>
        </w:rPr>
        <w:t>Ve-</w:t>
      </w:r>
      <w:r w:rsidR="00237ABF">
        <w:rPr>
          <w:i/>
          <w:iCs/>
          <w:noProof w:val="0"/>
        </w:rPr>
        <w:t>Izevel</w:t>
      </w:r>
      <w:proofErr w:type="spellEnd"/>
      <w:r w:rsidR="00237ABF">
        <w:rPr>
          <w:noProof w:val="0"/>
        </w:rPr>
        <w:t xml:space="preserve">, p. </w:t>
      </w:r>
      <w:r w:rsidR="00237ABF">
        <w:rPr>
          <w:noProof w:val="0"/>
        </w:rPr>
        <w:t>8</w:t>
      </w:r>
      <w:r w:rsidR="00237ABF">
        <w:rPr>
          <w:noProof w:val="0"/>
        </w:rPr>
        <w:t>.</w:t>
      </w:r>
    </w:p>
  </w:footnote>
  <w:footnote w:id="9">
    <w:p w:rsidR="00C56BCC" w:rsidRPr="00CD4EAF" w:rsidRDefault="00C56BCC" w:rsidP="00CA6837">
      <w:pPr>
        <w:pStyle w:val="FootnoteText"/>
        <w:bidi w:val="0"/>
        <w:spacing w:line="240" w:lineRule="auto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 </w:t>
      </w:r>
      <w:r w:rsidR="008D0E92">
        <w:t xml:space="preserve">Gray, </w:t>
      </w:r>
      <w:r w:rsidR="009F6A76">
        <w:rPr>
          <w:i/>
          <w:iCs/>
        </w:rPr>
        <w:t>Melakhim</w:t>
      </w:r>
      <w:r w:rsidR="009F6A76">
        <w:t xml:space="preserve">, pp. 371-377, understands </w:t>
      </w:r>
      <w:r w:rsidR="0071529C">
        <w:t xml:space="preserve">the </w:t>
      </w:r>
      <w:r w:rsidR="00CE10FE">
        <w:t xml:space="preserve">narrative of the rule of Ahab and the fall of Omri’s dynasty </w:t>
      </w:r>
      <w:r w:rsidR="004F4802">
        <w:t xml:space="preserve">as one litterary unit. This unit is comprised of </w:t>
      </w:r>
      <w:r w:rsidR="00AE459F">
        <w:t xml:space="preserve">the </w:t>
      </w:r>
      <w:r w:rsidR="00EF2B55">
        <w:t>sets</w:t>
      </w:r>
      <w:r w:rsidR="00AE459F">
        <w:t xml:space="preserve"> of stories concerning Elijah, Elisha and the dynasty of Omri. </w:t>
      </w:r>
      <w:r w:rsidR="00E57788">
        <w:t xml:space="preserve">For a discussion of </w:t>
      </w:r>
      <w:r w:rsidR="00EF2B55">
        <w:t xml:space="preserve">the </w:t>
      </w:r>
      <w:r w:rsidR="00EF2B55" w:rsidRPr="00EF2B55">
        <w:t xml:space="preserve"> process </w:t>
      </w:r>
      <w:bookmarkStart w:id="2" w:name="_GoBack"/>
      <w:bookmarkEnd w:id="2"/>
      <w:r w:rsidR="00EF2B55" w:rsidRPr="00EF2B55">
        <w:t>of assembling th</w:t>
      </w:r>
      <w:r w:rsidR="00CA6837">
        <w:t>is</w:t>
      </w:r>
      <w:r w:rsidR="00EF2B55" w:rsidRPr="00EF2B55">
        <w:t xml:space="preserve"> unit</w:t>
      </w:r>
      <w:r w:rsidR="00EF2B55">
        <w:t xml:space="preserve"> </w:t>
      </w:r>
      <w:r w:rsidR="00CA6837">
        <w:t>from</w:t>
      </w:r>
      <w:r w:rsidR="00EF2B55">
        <w:t xml:space="preserve"> </w:t>
      </w:r>
      <w:r w:rsidR="00CA6837">
        <w:t xml:space="preserve">the three </w:t>
      </w:r>
      <w:r w:rsidR="00CA6837" w:rsidRPr="00CA6837">
        <w:t>sets of stories contained in it</w:t>
      </w:r>
      <w:r w:rsidR="00CA6837">
        <w:t xml:space="preserve">, see </w:t>
      </w:r>
      <w:r w:rsidR="00CA6837" w:rsidRPr="00CA6837">
        <w:t>De Paris</w:t>
      </w:r>
      <w:r w:rsidR="00CA6837">
        <w:t xml:space="preserve">, </w:t>
      </w:r>
      <w:r w:rsidR="00CA6837">
        <w:rPr>
          <w:i/>
          <w:iCs/>
        </w:rPr>
        <w:t xml:space="preserve">Navi </w:t>
      </w:r>
      <w:r w:rsidR="00CD4EAF">
        <w:rPr>
          <w:i/>
          <w:iCs/>
        </w:rPr>
        <w:t>K</w:t>
      </w:r>
      <w:r w:rsidR="00CA6837">
        <w:rPr>
          <w:i/>
          <w:iCs/>
        </w:rPr>
        <w:t>eneged Navi</w:t>
      </w:r>
      <w:r w:rsidR="00CD4EAF">
        <w:t xml:space="preserve">, pp. 112-127, ibid., </w:t>
      </w:r>
      <w:r w:rsidR="00CD4EAF">
        <w:rPr>
          <w:i/>
          <w:iCs/>
        </w:rPr>
        <w:t>Melakhim Alef</w:t>
      </w:r>
      <w:r w:rsidR="00CD4EAF">
        <w:t xml:space="preserve">, pp. 206-210, and the bibliography there.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98AC49E-BFE9-4CBF-959A-13B8A2FEC4AA}"/>
    <w:docVar w:name="dgnword-eventsink" w:val="480270584"/>
  </w:docVars>
  <w:rsids>
    <w:rsidRoot w:val="00387747"/>
    <w:rsid w:val="00014842"/>
    <w:rsid w:val="00014A60"/>
    <w:rsid w:val="00016851"/>
    <w:rsid w:val="000214B6"/>
    <w:rsid w:val="00027CE2"/>
    <w:rsid w:val="00031FD4"/>
    <w:rsid w:val="0004421A"/>
    <w:rsid w:val="000446D4"/>
    <w:rsid w:val="00046547"/>
    <w:rsid w:val="00046BFC"/>
    <w:rsid w:val="00053496"/>
    <w:rsid w:val="0005424E"/>
    <w:rsid w:val="00061157"/>
    <w:rsid w:val="0006608E"/>
    <w:rsid w:val="00072B02"/>
    <w:rsid w:val="000868B5"/>
    <w:rsid w:val="00090A4A"/>
    <w:rsid w:val="000A63F4"/>
    <w:rsid w:val="000B22D3"/>
    <w:rsid w:val="000B3DAD"/>
    <w:rsid w:val="000C55AD"/>
    <w:rsid w:val="000C65A0"/>
    <w:rsid w:val="000C7015"/>
    <w:rsid w:val="000C71A8"/>
    <w:rsid w:val="000D313B"/>
    <w:rsid w:val="000D3791"/>
    <w:rsid w:val="000D5960"/>
    <w:rsid w:val="000D7969"/>
    <w:rsid w:val="000F0C5A"/>
    <w:rsid w:val="000F2D23"/>
    <w:rsid w:val="0010075C"/>
    <w:rsid w:val="00100944"/>
    <w:rsid w:val="001064C3"/>
    <w:rsid w:val="00111D1B"/>
    <w:rsid w:val="001135D2"/>
    <w:rsid w:val="00114274"/>
    <w:rsid w:val="00114352"/>
    <w:rsid w:val="001168EC"/>
    <w:rsid w:val="00132400"/>
    <w:rsid w:val="00141C1C"/>
    <w:rsid w:val="001437C4"/>
    <w:rsid w:val="001653A3"/>
    <w:rsid w:val="00171FBE"/>
    <w:rsid w:val="00172446"/>
    <w:rsid w:val="0017508C"/>
    <w:rsid w:val="001C2307"/>
    <w:rsid w:val="001C75F0"/>
    <w:rsid w:val="001E2E3E"/>
    <w:rsid w:val="001E7C97"/>
    <w:rsid w:val="001F1640"/>
    <w:rsid w:val="001F2DEA"/>
    <w:rsid w:val="00202474"/>
    <w:rsid w:val="00203859"/>
    <w:rsid w:val="00206A1E"/>
    <w:rsid w:val="00210BB1"/>
    <w:rsid w:val="002143C4"/>
    <w:rsid w:val="00231A0D"/>
    <w:rsid w:val="00237ABF"/>
    <w:rsid w:val="0025592F"/>
    <w:rsid w:val="00255F9C"/>
    <w:rsid w:val="002676C0"/>
    <w:rsid w:val="00272C1C"/>
    <w:rsid w:val="00274461"/>
    <w:rsid w:val="00275E75"/>
    <w:rsid w:val="00283254"/>
    <w:rsid w:val="002A18C5"/>
    <w:rsid w:val="002E4E4C"/>
    <w:rsid w:val="002E7AA7"/>
    <w:rsid w:val="002F0FD6"/>
    <w:rsid w:val="002F79AA"/>
    <w:rsid w:val="00300CC5"/>
    <w:rsid w:val="00303B11"/>
    <w:rsid w:val="003042D4"/>
    <w:rsid w:val="0030434B"/>
    <w:rsid w:val="0031184C"/>
    <w:rsid w:val="003155C5"/>
    <w:rsid w:val="003226BC"/>
    <w:rsid w:val="00324B66"/>
    <w:rsid w:val="00325A6D"/>
    <w:rsid w:val="00327F90"/>
    <w:rsid w:val="00333B39"/>
    <w:rsid w:val="0034647D"/>
    <w:rsid w:val="00350AEA"/>
    <w:rsid w:val="003555BF"/>
    <w:rsid w:val="00361657"/>
    <w:rsid w:val="0036775D"/>
    <w:rsid w:val="003701AC"/>
    <w:rsid w:val="00371650"/>
    <w:rsid w:val="00372C7F"/>
    <w:rsid w:val="003757A9"/>
    <w:rsid w:val="00376AED"/>
    <w:rsid w:val="00383604"/>
    <w:rsid w:val="00387747"/>
    <w:rsid w:val="00394B08"/>
    <w:rsid w:val="003A5FC2"/>
    <w:rsid w:val="003D1183"/>
    <w:rsid w:val="003E0CFF"/>
    <w:rsid w:val="003F63AC"/>
    <w:rsid w:val="00400CE3"/>
    <w:rsid w:val="004012DB"/>
    <w:rsid w:val="004038CE"/>
    <w:rsid w:val="00413C0A"/>
    <w:rsid w:val="00421C1F"/>
    <w:rsid w:val="004245D2"/>
    <w:rsid w:val="004331AC"/>
    <w:rsid w:val="004336AA"/>
    <w:rsid w:val="00457467"/>
    <w:rsid w:val="00463209"/>
    <w:rsid w:val="0048027F"/>
    <w:rsid w:val="00484E5C"/>
    <w:rsid w:val="004856FA"/>
    <w:rsid w:val="0049056E"/>
    <w:rsid w:val="004933B0"/>
    <w:rsid w:val="004968C7"/>
    <w:rsid w:val="004B79F7"/>
    <w:rsid w:val="004C0803"/>
    <w:rsid w:val="004D7CC0"/>
    <w:rsid w:val="004E4F47"/>
    <w:rsid w:val="004F4802"/>
    <w:rsid w:val="004F6207"/>
    <w:rsid w:val="004F6F06"/>
    <w:rsid w:val="00501311"/>
    <w:rsid w:val="00504891"/>
    <w:rsid w:val="005064B1"/>
    <w:rsid w:val="00511A4D"/>
    <w:rsid w:val="00514B2D"/>
    <w:rsid w:val="00516319"/>
    <w:rsid w:val="005438B8"/>
    <w:rsid w:val="00551223"/>
    <w:rsid w:val="00555941"/>
    <w:rsid w:val="0055621D"/>
    <w:rsid w:val="005568F4"/>
    <w:rsid w:val="005649B6"/>
    <w:rsid w:val="0056776D"/>
    <w:rsid w:val="005745D0"/>
    <w:rsid w:val="005776CB"/>
    <w:rsid w:val="00581180"/>
    <w:rsid w:val="00583407"/>
    <w:rsid w:val="005A27E1"/>
    <w:rsid w:val="005D2195"/>
    <w:rsid w:val="005D5CE8"/>
    <w:rsid w:val="005D5F69"/>
    <w:rsid w:val="005F179B"/>
    <w:rsid w:val="006033DF"/>
    <w:rsid w:val="00604D1A"/>
    <w:rsid w:val="00610691"/>
    <w:rsid w:val="00612673"/>
    <w:rsid w:val="00623054"/>
    <w:rsid w:val="00627D1F"/>
    <w:rsid w:val="00642D9E"/>
    <w:rsid w:val="006447AF"/>
    <w:rsid w:val="0066393D"/>
    <w:rsid w:val="00666057"/>
    <w:rsid w:val="00666F82"/>
    <w:rsid w:val="00674EBA"/>
    <w:rsid w:val="00686734"/>
    <w:rsid w:val="0069250C"/>
    <w:rsid w:val="006B1DF5"/>
    <w:rsid w:val="006B2838"/>
    <w:rsid w:val="006C34ED"/>
    <w:rsid w:val="006C3DF7"/>
    <w:rsid w:val="006D0902"/>
    <w:rsid w:val="006D42A3"/>
    <w:rsid w:val="006E0C64"/>
    <w:rsid w:val="006E1804"/>
    <w:rsid w:val="006E1BE3"/>
    <w:rsid w:val="006F642F"/>
    <w:rsid w:val="00700C40"/>
    <w:rsid w:val="00703CDA"/>
    <w:rsid w:val="0071529C"/>
    <w:rsid w:val="00717373"/>
    <w:rsid w:val="007242DE"/>
    <w:rsid w:val="00733F8D"/>
    <w:rsid w:val="00740A3B"/>
    <w:rsid w:val="00740FE3"/>
    <w:rsid w:val="00741A5B"/>
    <w:rsid w:val="00746CF6"/>
    <w:rsid w:val="00754267"/>
    <w:rsid w:val="00765B43"/>
    <w:rsid w:val="00765C2D"/>
    <w:rsid w:val="007700D3"/>
    <w:rsid w:val="00775214"/>
    <w:rsid w:val="00797BDD"/>
    <w:rsid w:val="007B03A4"/>
    <w:rsid w:val="007B32B6"/>
    <w:rsid w:val="007B5055"/>
    <w:rsid w:val="007C22DC"/>
    <w:rsid w:val="007D1A4F"/>
    <w:rsid w:val="007D1CD2"/>
    <w:rsid w:val="007D565F"/>
    <w:rsid w:val="007E25AF"/>
    <w:rsid w:val="007F2B7D"/>
    <w:rsid w:val="007F4435"/>
    <w:rsid w:val="007F734C"/>
    <w:rsid w:val="00820FFB"/>
    <w:rsid w:val="00823F0F"/>
    <w:rsid w:val="00825513"/>
    <w:rsid w:val="00842DA4"/>
    <w:rsid w:val="00843236"/>
    <w:rsid w:val="008516D7"/>
    <w:rsid w:val="00875C76"/>
    <w:rsid w:val="00882683"/>
    <w:rsid w:val="00891EA0"/>
    <w:rsid w:val="0089212A"/>
    <w:rsid w:val="008A1B57"/>
    <w:rsid w:val="008A32EE"/>
    <w:rsid w:val="008B5967"/>
    <w:rsid w:val="008C428A"/>
    <w:rsid w:val="008C7027"/>
    <w:rsid w:val="008D0E92"/>
    <w:rsid w:val="008D2782"/>
    <w:rsid w:val="008E00BB"/>
    <w:rsid w:val="008E439E"/>
    <w:rsid w:val="008E602F"/>
    <w:rsid w:val="008E64F6"/>
    <w:rsid w:val="008E67B8"/>
    <w:rsid w:val="008F6BBF"/>
    <w:rsid w:val="00903DD4"/>
    <w:rsid w:val="00905783"/>
    <w:rsid w:val="00905E63"/>
    <w:rsid w:val="009113C6"/>
    <w:rsid w:val="0091299C"/>
    <w:rsid w:val="00912E88"/>
    <w:rsid w:val="00915DE8"/>
    <w:rsid w:val="009222CF"/>
    <w:rsid w:val="00930993"/>
    <w:rsid w:val="009336B7"/>
    <w:rsid w:val="009506FA"/>
    <w:rsid w:val="00965226"/>
    <w:rsid w:val="00965541"/>
    <w:rsid w:val="00965B36"/>
    <w:rsid w:val="00965FD5"/>
    <w:rsid w:val="009671B4"/>
    <w:rsid w:val="009714EF"/>
    <w:rsid w:val="009725D2"/>
    <w:rsid w:val="00977D10"/>
    <w:rsid w:val="009845B4"/>
    <w:rsid w:val="009939F5"/>
    <w:rsid w:val="009A76C6"/>
    <w:rsid w:val="009B59B1"/>
    <w:rsid w:val="009C2658"/>
    <w:rsid w:val="009C4DC6"/>
    <w:rsid w:val="009D2DE9"/>
    <w:rsid w:val="009D7708"/>
    <w:rsid w:val="009E3124"/>
    <w:rsid w:val="009F3507"/>
    <w:rsid w:val="009F4394"/>
    <w:rsid w:val="009F6A76"/>
    <w:rsid w:val="00A05B59"/>
    <w:rsid w:val="00A0767E"/>
    <w:rsid w:val="00A11E5A"/>
    <w:rsid w:val="00A20845"/>
    <w:rsid w:val="00A22B11"/>
    <w:rsid w:val="00A23820"/>
    <w:rsid w:val="00A23C2D"/>
    <w:rsid w:val="00A304FC"/>
    <w:rsid w:val="00A35ACB"/>
    <w:rsid w:val="00A41DA1"/>
    <w:rsid w:val="00A51FFD"/>
    <w:rsid w:val="00A841E1"/>
    <w:rsid w:val="00AA50FD"/>
    <w:rsid w:val="00AA6BAD"/>
    <w:rsid w:val="00AB0495"/>
    <w:rsid w:val="00AB3401"/>
    <w:rsid w:val="00AB3F8A"/>
    <w:rsid w:val="00AB65F1"/>
    <w:rsid w:val="00AC1940"/>
    <w:rsid w:val="00AC2EEE"/>
    <w:rsid w:val="00AC38EB"/>
    <w:rsid w:val="00AE459F"/>
    <w:rsid w:val="00B032FD"/>
    <w:rsid w:val="00B11934"/>
    <w:rsid w:val="00B17332"/>
    <w:rsid w:val="00B41099"/>
    <w:rsid w:val="00B443F1"/>
    <w:rsid w:val="00B50FE9"/>
    <w:rsid w:val="00B7579E"/>
    <w:rsid w:val="00BA01CB"/>
    <w:rsid w:val="00BA06F5"/>
    <w:rsid w:val="00BA3099"/>
    <w:rsid w:val="00BA75C7"/>
    <w:rsid w:val="00BB3002"/>
    <w:rsid w:val="00BC3F63"/>
    <w:rsid w:val="00BE3E36"/>
    <w:rsid w:val="00BF2026"/>
    <w:rsid w:val="00BF3F6D"/>
    <w:rsid w:val="00C03DA2"/>
    <w:rsid w:val="00C0706C"/>
    <w:rsid w:val="00C0761A"/>
    <w:rsid w:val="00C30042"/>
    <w:rsid w:val="00C3454E"/>
    <w:rsid w:val="00C45079"/>
    <w:rsid w:val="00C46368"/>
    <w:rsid w:val="00C56BCC"/>
    <w:rsid w:val="00C668E2"/>
    <w:rsid w:val="00C75961"/>
    <w:rsid w:val="00C778E6"/>
    <w:rsid w:val="00C821BE"/>
    <w:rsid w:val="00C8366F"/>
    <w:rsid w:val="00C85E98"/>
    <w:rsid w:val="00C96DFF"/>
    <w:rsid w:val="00CA444F"/>
    <w:rsid w:val="00CA6837"/>
    <w:rsid w:val="00CA74FD"/>
    <w:rsid w:val="00CC19B7"/>
    <w:rsid w:val="00CD00CD"/>
    <w:rsid w:val="00CD1822"/>
    <w:rsid w:val="00CD4EAF"/>
    <w:rsid w:val="00CD6DD5"/>
    <w:rsid w:val="00CE10FE"/>
    <w:rsid w:val="00CE39C8"/>
    <w:rsid w:val="00CE748F"/>
    <w:rsid w:val="00CF0BEB"/>
    <w:rsid w:val="00D0659A"/>
    <w:rsid w:val="00D245D4"/>
    <w:rsid w:val="00D2523E"/>
    <w:rsid w:val="00D4284E"/>
    <w:rsid w:val="00D73C0C"/>
    <w:rsid w:val="00D8134D"/>
    <w:rsid w:val="00D91384"/>
    <w:rsid w:val="00D96B6B"/>
    <w:rsid w:val="00DA335A"/>
    <w:rsid w:val="00DB0E2C"/>
    <w:rsid w:val="00DB1F5E"/>
    <w:rsid w:val="00DB6B40"/>
    <w:rsid w:val="00DC6C84"/>
    <w:rsid w:val="00DE7432"/>
    <w:rsid w:val="00DF2602"/>
    <w:rsid w:val="00E00E1E"/>
    <w:rsid w:val="00E01E55"/>
    <w:rsid w:val="00E033F8"/>
    <w:rsid w:val="00E0533E"/>
    <w:rsid w:val="00E16C36"/>
    <w:rsid w:val="00E26429"/>
    <w:rsid w:val="00E27AD2"/>
    <w:rsid w:val="00E30ACE"/>
    <w:rsid w:val="00E30B02"/>
    <w:rsid w:val="00E41D11"/>
    <w:rsid w:val="00E530A8"/>
    <w:rsid w:val="00E57788"/>
    <w:rsid w:val="00EA089E"/>
    <w:rsid w:val="00EB0381"/>
    <w:rsid w:val="00EC0743"/>
    <w:rsid w:val="00EC2D88"/>
    <w:rsid w:val="00EC4F00"/>
    <w:rsid w:val="00ED38E0"/>
    <w:rsid w:val="00ED48C5"/>
    <w:rsid w:val="00EF28C4"/>
    <w:rsid w:val="00EF2B55"/>
    <w:rsid w:val="00EF7F10"/>
    <w:rsid w:val="00F06C5D"/>
    <w:rsid w:val="00F071EC"/>
    <w:rsid w:val="00F11FC5"/>
    <w:rsid w:val="00F1260E"/>
    <w:rsid w:val="00F128EF"/>
    <w:rsid w:val="00F1634A"/>
    <w:rsid w:val="00F22CB7"/>
    <w:rsid w:val="00F6442D"/>
    <w:rsid w:val="00F674E0"/>
    <w:rsid w:val="00F77EDA"/>
    <w:rsid w:val="00FB5ACD"/>
    <w:rsid w:val="00FC180B"/>
    <w:rsid w:val="00FC5954"/>
    <w:rsid w:val="00FC7AFE"/>
    <w:rsid w:val="00FD04E8"/>
    <w:rsid w:val="00FD1398"/>
    <w:rsid w:val="00FD2FC9"/>
    <w:rsid w:val="00FD362C"/>
    <w:rsid w:val="00FD3A2F"/>
    <w:rsid w:val="00FE3220"/>
    <w:rsid w:val="00FF026E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C815"/>
  <w15:chartTrackingRefBased/>
  <w15:docId w15:val="{ADCA0B89-8133-46EC-AB16-B117D4D1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031FD4"/>
    <w:pPr>
      <w:spacing w:after="0" w:line="360" w:lineRule="auto"/>
    </w:pPr>
    <w:rPr>
      <w:rFonts w:eastAsia="Times New Roman" w:cs="David"/>
      <w:noProof/>
      <w:sz w:val="20"/>
      <w:szCs w:val="20"/>
      <w:lang w:eastAsia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FD4"/>
    <w:rPr>
      <w:rFonts w:eastAsia="Times New Roman" w:cs="David"/>
      <w:noProof/>
      <w:sz w:val="20"/>
      <w:szCs w:val="20"/>
      <w:lang w:eastAsia="he-IL"/>
    </w:rPr>
  </w:style>
  <w:style w:type="character" w:styleId="FootnoteReference">
    <w:name w:val="footnote reference"/>
    <w:basedOn w:val="DefaultParagraphFont"/>
    <w:uiPriority w:val="99"/>
    <w:semiHidden/>
    <w:rsid w:val="00031FD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46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7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3</Pages>
  <Words>968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Yitzchak Twersky</dc:creator>
  <cp:keywords/>
  <dc:description/>
  <cp:lastModifiedBy>Yitzchak Twersky</cp:lastModifiedBy>
  <cp:revision>155</cp:revision>
  <dcterms:created xsi:type="dcterms:W3CDTF">2017-08-22T09:17:00Z</dcterms:created>
  <dcterms:modified xsi:type="dcterms:W3CDTF">2017-09-04T08:30:00Z</dcterms:modified>
</cp:coreProperties>
</file>