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8838" w14:textId="58E534CB" w:rsidR="004521D9" w:rsidRPr="0033127E" w:rsidRDefault="004521D9" w:rsidP="004521D9">
      <w:pPr>
        <w:widowControl w:val="0"/>
        <w:spacing w:line="360" w:lineRule="auto"/>
        <w:contextualSpacing/>
        <w:jc w:val="center"/>
        <w:rPr>
          <w:rFonts w:asciiTheme="minorHAnsi" w:eastAsia="Tahoma" w:hAnsiTheme="minorHAnsi" w:cstheme="minorHAnsi"/>
          <w:b/>
          <w:color w:val="222222"/>
          <w:sz w:val="24"/>
          <w:szCs w:val="24"/>
        </w:rPr>
      </w:pPr>
      <w:r w:rsidRPr="0033127E">
        <w:rPr>
          <w:rFonts w:asciiTheme="minorHAnsi" w:eastAsia="Tahoma" w:hAnsiTheme="minorHAnsi" w:cstheme="minorHAnsi"/>
          <w:b/>
          <w:color w:val="222222"/>
          <w:sz w:val="24"/>
          <w:szCs w:val="24"/>
          <w:u w:val="single"/>
        </w:rPr>
        <w:t>Journal Selection Report</w:t>
      </w:r>
    </w:p>
    <w:p w14:paraId="0FDE3CE7" w14:textId="77777777" w:rsidR="004521D9" w:rsidRDefault="004521D9" w:rsidP="0033127E">
      <w:pPr>
        <w:spacing w:line="360" w:lineRule="auto"/>
        <w:ind w:right="1008"/>
        <w:contextualSpacing/>
        <w:rPr>
          <w:rFonts w:asciiTheme="minorHAnsi" w:eastAsia="Tahoma" w:hAnsiTheme="minorHAnsi" w:cstheme="minorHAnsi"/>
          <w:color w:val="222222"/>
          <w:sz w:val="24"/>
          <w:szCs w:val="24"/>
        </w:rPr>
      </w:pPr>
    </w:p>
    <w:p w14:paraId="502F19ED" w14:textId="77777777" w:rsidR="004521D9" w:rsidRDefault="004521D9" w:rsidP="0033127E">
      <w:pPr>
        <w:spacing w:line="360" w:lineRule="auto"/>
        <w:ind w:right="1008"/>
        <w:contextualSpacing/>
        <w:rPr>
          <w:rFonts w:asciiTheme="minorHAnsi" w:eastAsia="Tahoma" w:hAnsiTheme="minorHAnsi" w:cstheme="minorHAnsi"/>
          <w:color w:val="222222"/>
          <w:sz w:val="24"/>
          <w:szCs w:val="24"/>
        </w:rPr>
      </w:pPr>
    </w:p>
    <w:p w14:paraId="4A6CC017" w14:textId="04D9693C" w:rsidR="0033127E" w:rsidRDefault="0033127E" w:rsidP="0033127E">
      <w:pPr>
        <w:spacing w:line="360" w:lineRule="auto"/>
        <w:ind w:right="1008"/>
        <w:contextualSpacing/>
        <w:rPr>
          <w:rFonts w:asciiTheme="minorHAnsi" w:eastAsia="Tahoma" w:hAnsiTheme="minorHAnsi" w:cstheme="minorHAnsi"/>
          <w:color w:val="222222"/>
          <w:sz w:val="24"/>
          <w:szCs w:val="24"/>
        </w:rPr>
      </w:pPr>
      <w:r w:rsidRPr="0033127E">
        <w:rPr>
          <w:rFonts w:asciiTheme="minorHAnsi" w:eastAsia="Tahoma" w:hAnsiTheme="minorHAnsi" w:cstheme="minorHAnsi"/>
          <w:color w:val="222222"/>
          <w:sz w:val="24"/>
          <w:szCs w:val="24"/>
        </w:rPr>
        <w:t xml:space="preserve">I have selected four relevant journals with a range of impact factors that all publish original research in areas related to the topic of your article: “Integrating the humanities into undergraduate courses in social sciences.” Given that your article deals with a major concern for institutions of higher education worldwide, I believe that these journals provide the scope necessary to disseminate your proposal of an innovative course concept to as many relevant readers and scholars as possible.  </w:t>
      </w:r>
    </w:p>
    <w:p w14:paraId="37FFB3CF" w14:textId="77777777" w:rsidR="004521D9" w:rsidRPr="0033127E" w:rsidRDefault="004521D9" w:rsidP="0033127E">
      <w:pPr>
        <w:spacing w:line="360" w:lineRule="auto"/>
        <w:ind w:right="1008"/>
        <w:contextualSpacing/>
        <w:rPr>
          <w:rFonts w:asciiTheme="minorHAnsi" w:eastAsia="Tahoma" w:hAnsiTheme="minorHAnsi" w:cstheme="minorHAnsi"/>
          <w:color w:val="222222"/>
          <w:sz w:val="24"/>
          <w:szCs w:val="24"/>
        </w:rPr>
      </w:pPr>
    </w:p>
    <w:p w14:paraId="5287C190" w14:textId="77777777" w:rsidR="0033127E" w:rsidRPr="0033127E" w:rsidRDefault="0033127E" w:rsidP="004521D9">
      <w:pPr>
        <w:widowControl w:val="0"/>
        <w:spacing w:line="360" w:lineRule="auto"/>
        <w:contextualSpacing/>
        <w:rPr>
          <w:rFonts w:asciiTheme="minorHAnsi" w:eastAsia="Tahoma" w:hAnsiTheme="minorHAnsi" w:cstheme="minorHAnsi"/>
          <w:b/>
          <w:bCs/>
          <w:color w:val="1155CC"/>
          <w:sz w:val="24"/>
          <w:szCs w:val="24"/>
        </w:rPr>
      </w:pPr>
      <w:hyperlink r:id="rId5" w:history="1">
        <w:r w:rsidRPr="0033127E">
          <w:rPr>
            <w:rStyle w:val="Hyperlink"/>
            <w:rFonts w:asciiTheme="minorHAnsi" w:hAnsiTheme="minorHAnsi" w:cstheme="minorHAnsi"/>
            <w:b/>
            <w:bCs/>
            <w:sz w:val="24"/>
            <w:szCs w:val="24"/>
          </w:rPr>
          <w:t>Higher Education. The International Journal of Higher Education Research</w:t>
        </w:r>
      </w:hyperlink>
    </w:p>
    <w:p w14:paraId="182FE684" w14:textId="77777777" w:rsidR="0033127E" w:rsidRPr="0033127E" w:rsidRDefault="0033127E" w:rsidP="004521D9">
      <w:pPr>
        <w:widowControl w:val="0"/>
        <w:spacing w:line="360" w:lineRule="auto"/>
        <w:contextualSpacing/>
        <w:rPr>
          <w:rFonts w:asciiTheme="minorHAnsi" w:hAnsiTheme="minorHAnsi" w:cstheme="minorHAnsi"/>
          <w:sz w:val="24"/>
          <w:szCs w:val="24"/>
        </w:rPr>
      </w:pPr>
      <w:r w:rsidRPr="0033127E">
        <w:rPr>
          <w:rFonts w:asciiTheme="minorHAnsi" w:hAnsiTheme="minorHAnsi" w:cstheme="minorHAnsi"/>
          <w:color w:val="333333"/>
          <w:sz w:val="24"/>
          <w:szCs w:val="24"/>
          <w:shd w:val="clear" w:color="auto" w:fill="FCFCFC"/>
        </w:rPr>
        <w:t>Recognized as the leading international journal on higher education studies, this publication examines educational developments throughout the world in universities, polytechnics, colleges, and vocational and education institutions. It reports on developments in both public and private higher education sectors.</w:t>
      </w:r>
    </w:p>
    <w:p w14:paraId="501540D6" w14:textId="77777777" w:rsidR="004521D9" w:rsidRDefault="004521D9" w:rsidP="004521D9">
      <w:pPr>
        <w:widowControl w:val="0"/>
        <w:spacing w:line="360" w:lineRule="auto"/>
        <w:contextualSpacing/>
        <w:rPr>
          <w:rFonts w:asciiTheme="minorHAnsi" w:hAnsiTheme="minorHAnsi" w:cstheme="minorHAnsi"/>
          <w:color w:val="222222"/>
          <w:sz w:val="24"/>
          <w:szCs w:val="24"/>
        </w:rPr>
      </w:pPr>
    </w:p>
    <w:p w14:paraId="00AB0B88" w14:textId="0AADFED1" w:rsidR="0033127E" w:rsidRPr="0033127E" w:rsidRDefault="0033127E" w:rsidP="004521D9">
      <w:pPr>
        <w:widowControl w:val="0"/>
        <w:spacing w:line="360" w:lineRule="auto"/>
        <w:contextualSpacing/>
        <w:rPr>
          <w:rFonts w:asciiTheme="minorHAnsi" w:hAnsiTheme="minorHAnsi" w:cstheme="minorHAnsi"/>
          <w:color w:val="222222"/>
          <w:sz w:val="24"/>
          <w:szCs w:val="24"/>
        </w:rPr>
      </w:pPr>
      <w:r w:rsidRPr="0033127E">
        <w:rPr>
          <w:rFonts w:asciiTheme="minorHAnsi" w:hAnsiTheme="minorHAnsi" w:cstheme="minorHAnsi"/>
          <w:color w:val="222222"/>
          <w:sz w:val="24"/>
          <w:szCs w:val="24"/>
        </w:rPr>
        <w:t xml:space="preserve">IF: </w:t>
      </w:r>
      <w:r w:rsidRPr="0033127E">
        <w:rPr>
          <w:rFonts w:asciiTheme="minorHAnsi" w:hAnsiTheme="minorHAnsi" w:cstheme="minorHAnsi"/>
          <w:color w:val="333333"/>
          <w:sz w:val="24"/>
          <w:szCs w:val="24"/>
          <w:shd w:val="clear" w:color="auto" w:fill="FFFFFF"/>
        </w:rPr>
        <w:t>4.634 (2020)</w:t>
      </w:r>
      <w:r w:rsidRPr="0033127E">
        <w:rPr>
          <w:rFonts w:asciiTheme="minorHAnsi" w:hAnsiTheme="minorHAnsi" w:cstheme="minorHAnsi"/>
          <w:sz w:val="24"/>
          <w:szCs w:val="24"/>
        </w:rPr>
        <w:t xml:space="preserve"> </w:t>
      </w:r>
    </w:p>
    <w:p w14:paraId="60DABF2E" w14:textId="77777777" w:rsidR="0033127E" w:rsidRPr="0033127E" w:rsidRDefault="0033127E" w:rsidP="004521D9">
      <w:pPr>
        <w:widowControl w:val="0"/>
        <w:spacing w:line="360" w:lineRule="auto"/>
        <w:contextualSpacing/>
        <w:rPr>
          <w:rFonts w:asciiTheme="minorHAnsi" w:hAnsiTheme="minorHAnsi" w:cstheme="minorHAnsi"/>
          <w:color w:val="222222"/>
          <w:sz w:val="24"/>
          <w:szCs w:val="24"/>
        </w:rPr>
      </w:pPr>
      <w:proofErr w:type="spellStart"/>
      <w:r w:rsidRPr="002E785E">
        <w:rPr>
          <w:rFonts w:asciiTheme="minorHAnsi" w:hAnsiTheme="minorHAnsi" w:cstheme="minorHAnsi"/>
          <w:color w:val="222222"/>
          <w:sz w:val="24"/>
          <w:szCs w:val="24"/>
        </w:rPr>
        <w:t>CiteScore</w:t>
      </w:r>
      <w:proofErr w:type="spellEnd"/>
      <w:r w:rsidRPr="002E785E">
        <w:rPr>
          <w:rFonts w:asciiTheme="minorHAnsi" w:hAnsiTheme="minorHAnsi" w:cstheme="minorHAnsi"/>
          <w:color w:val="222222"/>
          <w:sz w:val="24"/>
          <w:szCs w:val="24"/>
        </w:rPr>
        <w:t>: 1.3 / 17% acceptance rate</w:t>
      </w:r>
    </w:p>
    <w:p w14:paraId="42E52BE4" w14:textId="02C5A59A" w:rsidR="0033127E" w:rsidRDefault="004521D9" w:rsidP="004521D9">
      <w:pPr>
        <w:widowControl w:val="0"/>
        <w:spacing w:line="360" w:lineRule="auto"/>
        <w:contextualSpacing/>
        <w:rPr>
          <w:rFonts w:asciiTheme="minorHAnsi" w:hAnsiTheme="minorHAnsi" w:cstheme="minorHAnsi"/>
          <w:color w:val="222222"/>
          <w:sz w:val="24"/>
          <w:szCs w:val="24"/>
        </w:rPr>
      </w:pPr>
      <w:r>
        <w:rPr>
          <w:rFonts w:asciiTheme="minorHAnsi" w:hAnsiTheme="minorHAnsi" w:cstheme="minorHAnsi"/>
          <w:color w:val="222222"/>
          <w:sz w:val="24"/>
          <w:szCs w:val="24"/>
        </w:rPr>
        <w:t xml:space="preserve">Word limit: </w:t>
      </w:r>
      <w:r w:rsidR="0033127E" w:rsidRPr="0033127E">
        <w:rPr>
          <w:rFonts w:asciiTheme="minorHAnsi" w:hAnsiTheme="minorHAnsi" w:cstheme="minorHAnsi"/>
          <w:color w:val="222222"/>
          <w:sz w:val="24"/>
          <w:szCs w:val="24"/>
        </w:rPr>
        <w:t xml:space="preserve">8000 </w:t>
      </w:r>
    </w:p>
    <w:p w14:paraId="736EAB88" w14:textId="597F386F" w:rsidR="002E785E" w:rsidRDefault="002E785E" w:rsidP="004521D9">
      <w:pPr>
        <w:widowControl w:val="0"/>
        <w:spacing w:line="360" w:lineRule="auto"/>
        <w:contextualSpacing/>
        <w:rPr>
          <w:rFonts w:asciiTheme="minorHAnsi" w:hAnsiTheme="minorHAnsi" w:cstheme="minorHAnsi"/>
          <w:color w:val="222222"/>
          <w:sz w:val="24"/>
          <w:szCs w:val="24"/>
        </w:rPr>
      </w:pPr>
      <w:r>
        <w:rPr>
          <w:rFonts w:asciiTheme="minorHAnsi" w:hAnsiTheme="minorHAnsi" w:cstheme="minorHAnsi"/>
          <w:color w:val="222222"/>
          <w:sz w:val="24"/>
          <w:szCs w:val="24"/>
        </w:rPr>
        <w:t>Style: APA</w:t>
      </w:r>
    </w:p>
    <w:p w14:paraId="7A0A4A44" w14:textId="77777777" w:rsidR="002E785E" w:rsidRDefault="002E785E" w:rsidP="002E785E">
      <w:pPr>
        <w:widowControl w:val="0"/>
        <w:spacing w:line="360" w:lineRule="auto"/>
        <w:contextualSpacing/>
        <w:rPr>
          <w:rFonts w:asciiTheme="minorHAnsi" w:hAnsiTheme="minorHAnsi" w:cstheme="minorHAnsi"/>
          <w:color w:val="222222"/>
          <w:sz w:val="24"/>
          <w:szCs w:val="24"/>
        </w:rPr>
      </w:pPr>
    </w:p>
    <w:p w14:paraId="6CD19E0C" w14:textId="236C8BC4" w:rsidR="0033127E" w:rsidRPr="0033127E" w:rsidRDefault="0033127E" w:rsidP="002E785E">
      <w:pPr>
        <w:widowControl w:val="0"/>
        <w:spacing w:line="360" w:lineRule="auto"/>
        <w:contextualSpacing/>
        <w:rPr>
          <w:rFonts w:asciiTheme="minorHAnsi" w:hAnsiTheme="minorHAnsi" w:cstheme="minorHAnsi"/>
          <w:i/>
          <w:color w:val="222222"/>
          <w:sz w:val="24"/>
          <w:szCs w:val="24"/>
        </w:rPr>
      </w:pPr>
      <w:r w:rsidRPr="0033127E">
        <w:rPr>
          <w:rFonts w:asciiTheme="minorHAnsi" w:hAnsiTheme="minorHAnsi" w:cstheme="minorHAnsi"/>
          <w:color w:val="222222"/>
          <w:sz w:val="24"/>
          <w:szCs w:val="24"/>
        </w:rPr>
        <w:t>Example of relevant previous publication:</w:t>
      </w:r>
    </w:p>
    <w:p w14:paraId="40A9127E" w14:textId="77777777" w:rsidR="0033127E" w:rsidRPr="0033127E" w:rsidRDefault="0033127E" w:rsidP="002E785E">
      <w:pPr>
        <w:widowControl w:val="0"/>
        <w:spacing w:line="360" w:lineRule="auto"/>
        <w:contextualSpacing/>
        <w:rPr>
          <w:rFonts w:asciiTheme="minorHAnsi" w:hAnsiTheme="minorHAnsi" w:cstheme="minorHAnsi"/>
          <w:color w:val="222222"/>
          <w:sz w:val="24"/>
          <w:szCs w:val="24"/>
        </w:rPr>
      </w:pPr>
      <w:r w:rsidRPr="0033127E">
        <w:rPr>
          <w:rFonts w:asciiTheme="minorHAnsi" w:hAnsiTheme="minorHAnsi" w:cstheme="minorHAnsi"/>
          <w:color w:val="333333"/>
          <w:sz w:val="24"/>
          <w:szCs w:val="24"/>
          <w:shd w:val="clear" w:color="auto" w:fill="FCFCFC"/>
        </w:rPr>
        <w:t>Justice, C., Rice, J., Roy, D. </w:t>
      </w:r>
      <w:r w:rsidRPr="0033127E">
        <w:rPr>
          <w:rFonts w:asciiTheme="minorHAnsi" w:hAnsiTheme="minorHAnsi" w:cstheme="minorHAnsi"/>
          <w:i/>
          <w:iCs/>
          <w:sz w:val="24"/>
          <w:szCs w:val="24"/>
        </w:rPr>
        <w:t>et al.</w:t>
      </w:r>
      <w:r w:rsidRPr="0033127E">
        <w:rPr>
          <w:rFonts w:asciiTheme="minorHAnsi" w:hAnsiTheme="minorHAnsi" w:cstheme="minorHAnsi"/>
          <w:sz w:val="24"/>
          <w:szCs w:val="24"/>
        </w:rPr>
        <w:t> Inquiry-based learning in higher education: administrators’ perspectives on integrating inquiry pedagogy into the curriculum. </w:t>
      </w:r>
      <w:r w:rsidRPr="0033127E">
        <w:rPr>
          <w:rFonts w:asciiTheme="minorHAnsi" w:hAnsiTheme="minorHAnsi" w:cstheme="minorHAnsi"/>
          <w:i/>
          <w:iCs/>
          <w:sz w:val="24"/>
          <w:szCs w:val="24"/>
        </w:rPr>
        <w:t>High Educ</w:t>
      </w:r>
      <w:r w:rsidRPr="0033127E">
        <w:rPr>
          <w:rFonts w:asciiTheme="minorHAnsi" w:hAnsiTheme="minorHAnsi" w:cstheme="minorHAnsi"/>
          <w:sz w:val="24"/>
          <w:szCs w:val="24"/>
        </w:rPr>
        <w:t> </w:t>
      </w:r>
      <w:r w:rsidRPr="002E785E">
        <w:rPr>
          <w:rFonts w:asciiTheme="minorHAnsi" w:hAnsiTheme="minorHAnsi" w:cstheme="minorHAnsi"/>
          <w:sz w:val="24"/>
          <w:szCs w:val="24"/>
        </w:rPr>
        <w:t>58,</w:t>
      </w:r>
      <w:r w:rsidRPr="0033127E">
        <w:rPr>
          <w:rFonts w:asciiTheme="minorHAnsi" w:hAnsiTheme="minorHAnsi" w:cstheme="minorHAnsi"/>
          <w:b/>
          <w:bCs/>
          <w:sz w:val="24"/>
          <w:szCs w:val="24"/>
        </w:rPr>
        <w:t> </w:t>
      </w:r>
      <w:r w:rsidRPr="0033127E">
        <w:rPr>
          <w:rFonts w:asciiTheme="minorHAnsi" w:hAnsiTheme="minorHAnsi" w:cstheme="minorHAnsi"/>
          <w:sz w:val="24"/>
          <w:szCs w:val="24"/>
        </w:rPr>
        <w:t>841 (2009).</w:t>
      </w:r>
    </w:p>
    <w:p w14:paraId="31374769" w14:textId="77777777" w:rsidR="0033127E" w:rsidRPr="0033127E" w:rsidRDefault="0033127E" w:rsidP="0033127E">
      <w:pPr>
        <w:widowControl w:val="0"/>
        <w:spacing w:line="360" w:lineRule="auto"/>
        <w:ind w:firstLine="720"/>
        <w:contextualSpacing/>
        <w:rPr>
          <w:rFonts w:asciiTheme="minorHAnsi" w:hAnsiTheme="minorHAnsi" w:cstheme="minorHAnsi"/>
          <w:color w:val="333333"/>
          <w:sz w:val="24"/>
          <w:szCs w:val="24"/>
        </w:rPr>
      </w:pPr>
    </w:p>
    <w:p w14:paraId="30BB669B" w14:textId="77777777" w:rsidR="0033127E" w:rsidRPr="0033127E" w:rsidRDefault="0033127E" w:rsidP="002E785E">
      <w:pPr>
        <w:widowControl w:val="0"/>
        <w:spacing w:line="360" w:lineRule="auto"/>
        <w:contextualSpacing/>
        <w:rPr>
          <w:rFonts w:asciiTheme="minorHAnsi" w:hAnsiTheme="minorHAnsi" w:cstheme="minorHAnsi"/>
          <w:b/>
          <w:bCs/>
          <w:color w:val="333333"/>
          <w:sz w:val="24"/>
          <w:szCs w:val="24"/>
        </w:rPr>
      </w:pPr>
      <w:hyperlink r:id="rId6" w:history="1">
        <w:r w:rsidRPr="0033127E">
          <w:rPr>
            <w:rStyle w:val="Hyperlink"/>
            <w:rFonts w:asciiTheme="minorHAnsi" w:hAnsiTheme="minorHAnsi" w:cstheme="minorHAnsi"/>
            <w:b/>
            <w:bCs/>
            <w:sz w:val="24"/>
            <w:szCs w:val="24"/>
          </w:rPr>
          <w:t>The Journal of Higher Education</w:t>
        </w:r>
      </w:hyperlink>
    </w:p>
    <w:p w14:paraId="205C0B86" w14:textId="77777777" w:rsidR="0033127E" w:rsidRPr="0033127E" w:rsidRDefault="0033127E" w:rsidP="002E785E">
      <w:pPr>
        <w:widowControl w:val="0"/>
        <w:spacing w:line="360" w:lineRule="auto"/>
        <w:contextualSpacing/>
        <w:rPr>
          <w:rFonts w:asciiTheme="minorHAnsi" w:hAnsiTheme="minorHAnsi" w:cstheme="minorHAnsi"/>
          <w:sz w:val="24"/>
          <w:szCs w:val="24"/>
        </w:rPr>
      </w:pPr>
      <w:r w:rsidRPr="0033127E">
        <w:rPr>
          <w:rFonts w:asciiTheme="minorHAnsi" w:hAnsiTheme="minorHAnsi" w:cstheme="minorHAnsi"/>
          <w:color w:val="333333"/>
          <w:sz w:val="24"/>
          <w:szCs w:val="24"/>
        </w:rPr>
        <w:t>Founded in 1930, </w:t>
      </w:r>
      <w:r w:rsidRPr="0033127E">
        <w:rPr>
          <w:rStyle w:val="Emphasis"/>
          <w:rFonts w:asciiTheme="minorHAnsi" w:hAnsiTheme="minorHAnsi" w:cstheme="minorHAnsi"/>
          <w:sz w:val="24"/>
          <w:szCs w:val="24"/>
        </w:rPr>
        <w:t>The Journal of Higher Education</w:t>
      </w:r>
      <w:r w:rsidRPr="0033127E">
        <w:rPr>
          <w:rFonts w:asciiTheme="minorHAnsi" w:hAnsiTheme="minorHAnsi" w:cstheme="minorHAnsi"/>
          <w:sz w:val="24"/>
          <w:szCs w:val="24"/>
        </w:rPr>
        <w:t xml:space="preserve"> publishes original research reporting on the academic study of higher education as a broad enterprise. We publish the highest quality empirical, theoretically grounded work addressing the main functions of higher education and </w:t>
      </w:r>
      <w:r w:rsidRPr="0033127E">
        <w:rPr>
          <w:rFonts w:asciiTheme="minorHAnsi" w:hAnsiTheme="minorHAnsi" w:cstheme="minorHAnsi"/>
          <w:sz w:val="24"/>
          <w:szCs w:val="24"/>
        </w:rPr>
        <w:lastRenderedPageBreak/>
        <w:t>the dynamic role of the university in society. We seek to publish scholarship from a wide variety of theoretical perspectives and disciplinary orientations. Articles appearing in the </w:t>
      </w:r>
      <w:r w:rsidRPr="0033127E">
        <w:rPr>
          <w:rStyle w:val="Emphasis"/>
          <w:rFonts w:asciiTheme="minorHAnsi" w:hAnsiTheme="minorHAnsi" w:cstheme="minorHAnsi"/>
          <w:sz w:val="24"/>
          <w:szCs w:val="24"/>
        </w:rPr>
        <w:t>Journal</w:t>
      </w:r>
      <w:r w:rsidRPr="0033127E">
        <w:rPr>
          <w:rFonts w:asciiTheme="minorHAnsi" w:hAnsiTheme="minorHAnsi" w:cstheme="minorHAnsi"/>
          <w:sz w:val="24"/>
          <w:szCs w:val="24"/>
        </w:rPr>
        <w:t xml:space="preserve"> employ an array of methodological approaches, and we welcome work from scholars across a range of career stages. </w:t>
      </w:r>
    </w:p>
    <w:p w14:paraId="34B9EC7F" w14:textId="77777777" w:rsidR="00AA4DC0" w:rsidRDefault="00AA4DC0" w:rsidP="00AA4DC0">
      <w:pPr>
        <w:widowControl w:val="0"/>
        <w:spacing w:line="360" w:lineRule="auto"/>
        <w:contextualSpacing/>
        <w:rPr>
          <w:rFonts w:asciiTheme="minorHAnsi" w:hAnsiTheme="minorHAnsi" w:cstheme="minorHAnsi"/>
          <w:color w:val="333333"/>
          <w:sz w:val="24"/>
          <w:szCs w:val="24"/>
        </w:rPr>
      </w:pPr>
    </w:p>
    <w:p w14:paraId="07527915" w14:textId="511455F6" w:rsidR="00AA4DC0" w:rsidRPr="0033127E" w:rsidRDefault="00AA4DC0" w:rsidP="00AA4DC0">
      <w:pPr>
        <w:widowControl w:val="0"/>
        <w:spacing w:line="360" w:lineRule="auto"/>
        <w:contextualSpacing/>
        <w:rPr>
          <w:rFonts w:asciiTheme="minorHAnsi" w:hAnsiTheme="minorHAnsi" w:cstheme="minorHAnsi"/>
          <w:color w:val="333333"/>
          <w:sz w:val="24"/>
          <w:szCs w:val="24"/>
        </w:rPr>
      </w:pPr>
      <w:r w:rsidRPr="0033127E">
        <w:rPr>
          <w:rFonts w:asciiTheme="minorHAnsi" w:hAnsiTheme="minorHAnsi" w:cstheme="minorHAnsi"/>
          <w:color w:val="333333"/>
          <w:sz w:val="24"/>
          <w:szCs w:val="24"/>
        </w:rPr>
        <w:t xml:space="preserve">IF: 3.1 </w:t>
      </w:r>
    </w:p>
    <w:p w14:paraId="1432B163" w14:textId="77777777" w:rsidR="00AA4DC0" w:rsidRPr="0033127E" w:rsidRDefault="0033127E" w:rsidP="00AA4DC0">
      <w:pPr>
        <w:widowControl w:val="0"/>
        <w:spacing w:line="360" w:lineRule="auto"/>
        <w:contextualSpacing/>
        <w:rPr>
          <w:rFonts w:asciiTheme="minorHAnsi" w:hAnsiTheme="minorHAnsi" w:cstheme="minorHAnsi"/>
          <w:color w:val="333333"/>
          <w:sz w:val="24"/>
          <w:szCs w:val="24"/>
        </w:rPr>
      </w:pPr>
      <w:proofErr w:type="spellStart"/>
      <w:r w:rsidRPr="0033127E">
        <w:rPr>
          <w:rFonts w:asciiTheme="minorHAnsi" w:hAnsiTheme="minorHAnsi" w:cstheme="minorHAnsi"/>
          <w:color w:val="000000"/>
          <w:sz w:val="24"/>
          <w:szCs w:val="24"/>
        </w:rPr>
        <w:t>CiteScore</w:t>
      </w:r>
      <w:proofErr w:type="spellEnd"/>
      <w:r w:rsidR="00AA4DC0">
        <w:rPr>
          <w:rFonts w:asciiTheme="minorHAnsi" w:hAnsiTheme="minorHAnsi" w:cstheme="minorHAnsi"/>
          <w:color w:val="000000"/>
          <w:sz w:val="24"/>
          <w:szCs w:val="24"/>
        </w:rPr>
        <w:t>:</w:t>
      </w:r>
      <w:r w:rsidRPr="0033127E">
        <w:rPr>
          <w:rFonts w:asciiTheme="minorHAnsi" w:hAnsiTheme="minorHAnsi" w:cstheme="minorHAnsi"/>
          <w:sz w:val="24"/>
          <w:szCs w:val="24"/>
        </w:rPr>
        <w:t xml:space="preserve"> </w:t>
      </w:r>
      <w:r w:rsidRPr="0033127E">
        <w:rPr>
          <w:rStyle w:val="Strong"/>
          <w:rFonts w:asciiTheme="minorHAnsi" w:hAnsiTheme="minorHAnsi" w:cstheme="minorHAnsi"/>
          <w:sz w:val="24"/>
          <w:szCs w:val="24"/>
        </w:rPr>
        <w:t>3.9 (2020)</w:t>
      </w:r>
      <w:r w:rsidRPr="0033127E">
        <w:rPr>
          <w:rFonts w:asciiTheme="minorHAnsi" w:hAnsiTheme="minorHAnsi" w:cstheme="minorHAnsi"/>
          <w:sz w:val="24"/>
          <w:szCs w:val="24"/>
        </w:rPr>
        <w:t> </w:t>
      </w:r>
      <w:r w:rsidR="00AA4DC0" w:rsidRPr="0033127E">
        <w:rPr>
          <w:rFonts w:asciiTheme="minorHAnsi" w:hAnsiTheme="minorHAnsi" w:cstheme="minorHAnsi"/>
          <w:color w:val="333333"/>
          <w:sz w:val="24"/>
          <w:szCs w:val="24"/>
        </w:rPr>
        <w:t>/ 5% acceptance rate</w:t>
      </w:r>
    </w:p>
    <w:p w14:paraId="0632C489" w14:textId="1E5F8C14" w:rsidR="0033127E" w:rsidRDefault="00AA4DC0" w:rsidP="00AA4DC0">
      <w:pPr>
        <w:widowControl w:val="0"/>
        <w:spacing w:line="360" w:lineRule="auto"/>
        <w:contextualSpacing/>
        <w:rPr>
          <w:rFonts w:asciiTheme="minorHAnsi" w:hAnsiTheme="minorHAnsi" w:cstheme="minorHAnsi"/>
          <w:color w:val="333333"/>
          <w:sz w:val="24"/>
          <w:szCs w:val="24"/>
        </w:rPr>
      </w:pPr>
      <w:r>
        <w:rPr>
          <w:rFonts w:asciiTheme="minorHAnsi" w:hAnsiTheme="minorHAnsi" w:cstheme="minorHAnsi"/>
          <w:color w:val="333333"/>
          <w:sz w:val="24"/>
          <w:szCs w:val="24"/>
        </w:rPr>
        <w:t>Word limit: 10,000</w:t>
      </w:r>
    </w:p>
    <w:p w14:paraId="528DAC90" w14:textId="6B309B15" w:rsidR="00AA4DC0" w:rsidRDefault="00AA4DC0" w:rsidP="00AA4DC0">
      <w:pPr>
        <w:widowControl w:val="0"/>
        <w:spacing w:line="360" w:lineRule="auto"/>
        <w:contextualSpacing/>
        <w:rPr>
          <w:rFonts w:asciiTheme="minorHAnsi" w:hAnsiTheme="minorHAnsi" w:cstheme="minorHAnsi"/>
          <w:color w:val="333333"/>
          <w:sz w:val="24"/>
          <w:szCs w:val="24"/>
        </w:rPr>
      </w:pPr>
      <w:r>
        <w:rPr>
          <w:rFonts w:asciiTheme="minorHAnsi" w:hAnsiTheme="minorHAnsi" w:cstheme="minorHAnsi"/>
          <w:color w:val="333333"/>
          <w:sz w:val="24"/>
          <w:szCs w:val="24"/>
        </w:rPr>
        <w:t>Style: APA</w:t>
      </w:r>
    </w:p>
    <w:p w14:paraId="6BF382A1" w14:textId="77777777" w:rsidR="00AA4DC0" w:rsidRDefault="00AA4DC0" w:rsidP="00AA4DC0">
      <w:pPr>
        <w:widowControl w:val="0"/>
        <w:spacing w:line="360" w:lineRule="auto"/>
        <w:contextualSpacing/>
        <w:rPr>
          <w:rFonts w:asciiTheme="minorHAnsi" w:hAnsiTheme="minorHAnsi" w:cstheme="minorHAnsi"/>
          <w:color w:val="222222"/>
          <w:sz w:val="24"/>
          <w:szCs w:val="24"/>
        </w:rPr>
      </w:pPr>
    </w:p>
    <w:p w14:paraId="7BF2F91B" w14:textId="22416F35" w:rsidR="0033127E" w:rsidRPr="0033127E" w:rsidRDefault="0033127E" w:rsidP="00AA4DC0">
      <w:pPr>
        <w:widowControl w:val="0"/>
        <w:spacing w:line="360" w:lineRule="auto"/>
        <w:contextualSpacing/>
        <w:rPr>
          <w:rFonts w:asciiTheme="minorHAnsi" w:hAnsiTheme="minorHAnsi" w:cstheme="minorHAnsi"/>
          <w:i/>
          <w:color w:val="222222"/>
          <w:sz w:val="24"/>
          <w:szCs w:val="24"/>
        </w:rPr>
      </w:pPr>
      <w:r w:rsidRPr="0033127E">
        <w:rPr>
          <w:rFonts w:asciiTheme="minorHAnsi" w:hAnsiTheme="minorHAnsi" w:cstheme="minorHAnsi"/>
          <w:color w:val="222222"/>
          <w:sz w:val="24"/>
          <w:szCs w:val="24"/>
        </w:rPr>
        <w:t>Example</w:t>
      </w:r>
      <w:r w:rsidR="00AA4DC0">
        <w:rPr>
          <w:rFonts w:asciiTheme="minorHAnsi" w:hAnsiTheme="minorHAnsi" w:cstheme="minorHAnsi"/>
          <w:color w:val="222222"/>
          <w:sz w:val="24"/>
          <w:szCs w:val="24"/>
        </w:rPr>
        <w:t xml:space="preserve"> </w:t>
      </w:r>
      <w:r w:rsidRPr="0033127E">
        <w:rPr>
          <w:rFonts w:asciiTheme="minorHAnsi" w:hAnsiTheme="minorHAnsi" w:cstheme="minorHAnsi"/>
          <w:color w:val="222222"/>
          <w:sz w:val="24"/>
          <w:szCs w:val="24"/>
        </w:rPr>
        <w:t>of relevant previous publication</w:t>
      </w:r>
      <w:r w:rsidRPr="00AF2789">
        <w:rPr>
          <w:rFonts w:asciiTheme="minorHAnsi" w:hAnsiTheme="minorHAnsi" w:cstheme="minorHAnsi"/>
          <w:iCs/>
          <w:color w:val="222222"/>
          <w:sz w:val="24"/>
          <w:szCs w:val="24"/>
        </w:rPr>
        <w:t>:</w:t>
      </w:r>
    </w:p>
    <w:p w14:paraId="334B6849" w14:textId="77777777" w:rsidR="0033127E" w:rsidRPr="0033127E" w:rsidRDefault="0033127E" w:rsidP="00AF2789">
      <w:pPr>
        <w:spacing w:line="360" w:lineRule="auto"/>
        <w:contextualSpacing/>
        <w:rPr>
          <w:rFonts w:asciiTheme="minorHAnsi" w:eastAsia="Times New Roman" w:hAnsiTheme="minorHAnsi" w:cstheme="minorHAnsi"/>
          <w:sz w:val="24"/>
          <w:szCs w:val="24"/>
        </w:rPr>
      </w:pPr>
      <w:r w:rsidRPr="0033127E">
        <w:rPr>
          <w:rFonts w:asciiTheme="minorHAnsi" w:eastAsia="Times New Roman" w:hAnsiTheme="minorHAnsi" w:cstheme="minorHAnsi"/>
          <w:sz w:val="24"/>
          <w:szCs w:val="24"/>
        </w:rPr>
        <w:t xml:space="preserve">Taylor, Warren. “Integration in the Humanities.” </w:t>
      </w:r>
      <w:r w:rsidRPr="0033127E">
        <w:rPr>
          <w:rFonts w:asciiTheme="minorHAnsi" w:eastAsia="Times New Roman" w:hAnsiTheme="minorHAnsi" w:cstheme="minorHAnsi"/>
          <w:i/>
          <w:iCs/>
          <w:sz w:val="24"/>
          <w:szCs w:val="24"/>
        </w:rPr>
        <w:t>The Journal of Higher Education</w:t>
      </w:r>
      <w:r w:rsidRPr="0033127E">
        <w:rPr>
          <w:rFonts w:asciiTheme="minorHAnsi" w:eastAsia="Times New Roman" w:hAnsiTheme="minorHAnsi" w:cstheme="minorHAnsi"/>
          <w:sz w:val="24"/>
          <w:szCs w:val="24"/>
        </w:rPr>
        <w:t xml:space="preserve"> 21, no. 2 (1950): 84–112.</w:t>
      </w:r>
    </w:p>
    <w:p w14:paraId="72089640" w14:textId="77777777" w:rsidR="00AF2789" w:rsidRDefault="00AF2789" w:rsidP="00AF2789">
      <w:pPr>
        <w:widowControl w:val="0"/>
        <w:spacing w:line="360" w:lineRule="auto"/>
        <w:contextualSpacing/>
        <w:rPr>
          <w:rFonts w:asciiTheme="minorHAnsi" w:eastAsia="Times New Roman" w:hAnsiTheme="minorHAnsi" w:cstheme="minorHAnsi"/>
          <w:sz w:val="24"/>
          <w:szCs w:val="24"/>
        </w:rPr>
      </w:pPr>
    </w:p>
    <w:p w14:paraId="43B78795" w14:textId="00C71F4E" w:rsidR="0033127E" w:rsidRPr="00AF2789" w:rsidRDefault="0033127E" w:rsidP="00AF2789">
      <w:pPr>
        <w:widowControl w:val="0"/>
        <w:spacing w:line="360" w:lineRule="auto"/>
        <w:contextualSpacing/>
        <w:rPr>
          <w:rFonts w:asciiTheme="minorHAnsi" w:hAnsiTheme="minorHAnsi" w:cstheme="minorHAnsi"/>
          <w:b/>
          <w:bCs/>
          <w:color w:val="333333"/>
          <w:sz w:val="24"/>
          <w:szCs w:val="24"/>
        </w:rPr>
      </w:pPr>
      <w:hyperlink r:id="rId7" w:history="1">
        <w:r w:rsidRPr="00AF2789">
          <w:rPr>
            <w:rStyle w:val="Hyperlink"/>
            <w:rFonts w:asciiTheme="minorHAnsi" w:hAnsiTheme="minorHAnsi" w:cstheme="minorHAnsi"/>
            <w:b/>
            <w:bCs/>
            <w:sz w:val="24"/>
            <w:szCs w:val="24"/>
          </w:rPr>
          <w:t>Studies in Higher Education</w:t>
        </w:r>
      </w:hyperlink>
    </w:p>
    <w:p w14:paraId="72D9312C" w14:textId="4E7907D1" w:rsidR="0033127E" w:rsidRPr="0033127E" w:rsidRDefault="0033127E" w:rsidP="00AF2789">
      <w:pPr>
        <w:widowControl w:val="0"/>
        <w:spacing w:line="360" w:lineRule="auto"/>
        <w:contextualSpacing/>
        <w:rPr>
          <w:rFonts w:asciiTheme="minorHAnsi" w:hAnsiTheme="minorHAnsi" w:cstheme="minorHAnsi"/>
          <w:color w:val="333333"/>
          <w:sz w:val="24"/>
          <w:szCs w:val="24"/>
        </w:rPr>
      </w:pPr>
      <w:r w:rsidRPr="0033127E">
        <w:rPr>
          <w:rFonts w:asciiTheme="minorHAnsi" w:hAnsiTheme="minorHAnsi" w:cstheme="minorHAnsi"/>
          <w:i/>
          <w:iCs/>
          <w:color w:val="333333"/>
          <w:sz w:val="24"/>
          <w:szCs w:val="24"/>
        </w:rPr>
        <w:t>Studies in Higher Education</w:t>
      </w:r>
      <w:r w:rsidRPr="0033127E">
        <w:rPr>
          <w:rFonts w:asciiTheme="minorHAnsi" w:hAnsiTheme="minorHAnsi" w:cstheme="minorHAnsi"/>
          <w:color w:val="333333"/>
          <w:sz w:val="24"/>
          <w:szCs w:val="24"/>
        </w:rPr>
        <w:t> is a leading international journal publishing research-based articles dealing with higher education issues from either a disciplinary or multi-disciplinary perspective. Empirical, theoretical</w:t>
      </w:r>
      <w:r w:rsidR="00AF2789">
        <w:rPr>
          <w:rFonts w:asciiTheme="minorHAnsi" w:hAnsiTheme="minorHAnsi" w:cstheme="minorHAnsi"/>
          <w:color w:val="333333"/>
          <w:sz w:val="24"/>
          <w:szCs w:val="24"/>
        </w:rPr>
        <w:t>,</w:t>
      </w:r>
      <w:r w:rsidRPr="0033127E">
        <w:rPr>
          <w:rFonts w:asciiTheme="minorHAnsi" w:hAnsiTheme="minorHAnsi" w:cstheme="minorHAnsi"/>
          <w:color w:val="333333"/>
          <w:sz w:val="24"/>
          <w:szCs w:val="24"/>
        </w:rPr>
        <w:t xml:space="preserve"> and conceptual articles of significant originality will be considered. The Journal welcomes contributions that seek to enhance understanding of higher education policy, institutional management and performance, teaching and learning, and the contribution of higher education to society and the economy. Comparative studies and analysis of inter-system and cross-national issues are also welcomed, as are those addressing global and international themes.</w:t>
      </w:r>
    </w:p>
    <w:p w14:paraId="11406138" w14:textId="77777777" w:rsidR="0033127E" w:rsidRPr="0033127E" w:rsidRDefault="0033127E" w:rsidP="0033127E">
      <w:pPr>
        <w:widowControl w:val="0"/>
        <w:spacing w:line="360" w:lineRule="auto"/>
        <w:ind w:firstLine="720"/>
        <w:contextualSpacing/>
        <w:rPr>
          <w:rFonts w:asciiTheme="minorHAnsi" w:hAnsiTheme="minorHAnsi" w:cstheme="minorHAnsi"/>
          <w:color w:val="333333"/>
          <w:sz w:val="24"/>
          <w:szCs w:val="24"/>
        </w:rPr>
      </w:pPr>
    </w:p>
    <w:p w14:paraId="6DDE5B1C" w14:textId="797A6900" w:rsidR="0033127E" w:rsidRPr="00AF2789" w:rsidRDefault="00AF2789" w:rsidP="00AF2789">
      <w:pPr>
        <w:spacing w:line="360" w:lineRule="auto"/>
        <w:contextualSpacing/>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IF: </w:t>
      </w:r>
      <w:r w:rsidR="0033127E" w:rsidRPr="00AF2789">
        <w:rPr>
          <w:rFonts w:asciiTheme="minorHAnsi" w:eastAsia="Times New Roman" w:hAnsiTheme="minorHAnsi" w:cstheme="minorHAnsi"/>
          <w:color w:val="000000"/>
          <w:sz w:val="24"/>
          <w:szCs w:val="24"/>
        </w:rPr>
        <w:t>4.379 (2020) </w:t>
      </w:r>
    </w:p>
    <w:p w14:paraId="065A431A" w14:textId="2A873CFD" w:rsidR="0033127E" w:rsidRPr="00AF2789" w:rsidRDefault="00AF2789" w:rsidP="00AF2789">
      <w:pPr>
        <w:spacing w:line="360" w:lineRule="auto"/>
        <w:contextualSpacing/>
        <w:rPr>
          <w:rFonts w:asciiTheme="minorHAnsi" w:eastAsia="Times New Roman" w:hAnsiTheme="minorHAnsi" w:cstheme="minorHAnsi"/>
          <w:color w:val="000000"/>
          <w:sz w:val="24"/>
          <w:szCs w:val="24"/>
        </w:rPr>
      </w:pPr>
      <w:proofErr w:type="spellStart"/>
      <w:r w:rsidRPr="00AF2789">
        <w:rPr>
          <w:rFonts w:asciiTheme="minorHAnsi" w:eastAsia="Times New Roman" w:hAnsiTheme="minorHAnsi" w:cstheme="minorHAnsi"/>
          <w:color w:val="000000"/>
          <w:sz w:val="24"/>
          <w:szCs w:val="24"/>
        </w:rPr>
        <w:t>CiteScore</w:t>
      </w:r>
      <w:proofErr w:type="spellEnd"/>
      <w:r>
        <w:rPr>
          <w:rFonts w:asciiTheme="minorHAnsi" w:eastAsia="Times New Roman" w:hAnsiTheme="minorHAnsi" w:cstheme="minorHAnsi"/>
          <w:color w:val="000000"/>
          <w:sz w:val="24"/>
          <w:szCs w:val="24"/>
        </w:rPr>
        <w:t>:</w:t>
      </w:r>
      <w:r w:rsidRPr="00AF2789">
        <w:rPr>
          <w:rFonts w:asciiTheme="minorHAnsi" w:eastAsia="Times New Roman" w:hAnsiTheme="minorHAnsi" w:cstheme="minorHAnsi"/>
          <w:color w:val="000000"/>
          <w:sz w:val="24"/>
          <w:szCs w:val="24"/>
        </w:rPr>
        <w:t xml:space="preserve"> (</w:t>
      </w:r>
      <w:r w:rsidR="0033127E" w:rsidRPr="00AF2789">
        <w:rPr>
          <w:rFonts w:asciiTheme="minorHAnsi" w:eastAsia="Times New Roman" w:hAnsiTheme="minorHAnsi" w:cstheme="minorHAnsi"/>
          <w:color w:val="000000"/>
          <w:sz w:val="24"/>
          <w:szCs w:val="24"/>
        </w:rPr>
        <w:t>6.8 (2020)</w:t>
      </w:r>
      <w:r w:rsidRPr="00AF2789">
        <w:rPr>
          <w:rFonts w:asciiTheme="minorHAnsi" w:eastAsia="Times New Roman" w:hAnsiTheme="minorHAnsi" w:cstheme="minorHAnsi"/>
          <w:color w:val="000000"/>
          <w:sz w:val="24"/>
          <w:szCs w:val="24"/>
        </w:rPr>
        <w:t xml:space="preserve"> </w:t>
      </w:r>
      <w:r w:rsidR="0033127E" w:rsidRPr="00AF2789">
        <w:rPr>
          <w:rFonts w:asciiTheme="minorHAnsi" w:eastAsia="Times New Roman" w:hAnsiTheme="minorHAnsi" w:cstheme="minorHAnsi"/>
          <w:color w:val="000000"/>
          <w:sz w:val="24"/>
          <w:szCs w:val="24"/>
        </w:rPr>
        <w:t>/ 5% acceptance rate</w:t>
      </w:r>
    </w:p>
    <w:p w14:paraId="4C378AD5" w14:textId="77777777" w:rsidR="00B656BA" w:rsidRDefault="00AF2789" w:rsidP="00AF2789">
      <w:pPr>
        <w:spacing w:line="360" w:lineRule="auto"/>
        <w:contextualSpacing/>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Word lim</w:t>
      </w:r>
      <w:r w:rsidR="00B656BA">
        <w:rPr>
          <w:rFonts w:asciiTheme="minorHAnsi" w:eastAsia="Times New Roman" w:hAnsiTheme="minorHAnsi" w:cstheme="minorHAnsi"/>
          <w:color w:val="000000"/>
          <w:sz w:val="24"/>
          <w:szCs w:val="24"/>
        </w:rPr>
        <w:t>i</w:t>
      </w:r>
      <w:r>
        <w:rPr>
          <w:rFonts w:asciiTheme="minorHAnsi" w:eastAsia="Times New Roman" w:hAnsiTheme="minorHAnsi" w:cstheme="minorHAnsi"/>
          <w:color w:val="000000"/>
          <w:sz w:val="24"/>
          <w:szCs w:val="24"/>
        </w:rPr>
        <w:t xml:space="preserve">t: </w:t>
      </w:r>
      <w:r w:rsidR="0033127E" w:rsidRPr="00AF2789">
        <w:rPr>
          <w:rFonts w:asciiTheme="minorHAnsi" w:eastAsia="Times New Roman" w:hAnsiTheme="minorHAnsi" w:cstheme="minorHAnsi"/>
          <w:color w:val="000000"/>
          <w:sz w:val="24"/>
          <w:szCs w:val="24"/>
        </w:rPr>
        <w:t xml:space="preserve">7,000 words </w:t>
      </w:r>
    </w:p>
    <w:p w14:paraId="4FCCEEB9" w14:textId="58F783C7" w:rsidR="0033127E" w:rsidRPr="00AF2789" w:rsidRDefault="00B656BA" w:rsidP="00AF2789">
      <w:pPr>
        <w:spacing w:line="360" w:lineRule="auto"/>
        <w:contextualSpacing/>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Style: </w:t>
      </w:r>
      <w:r w:rsidR="0033127E" w:rsidRPr="00AF2789">
        <w:rPr>
          <w:rFonts w:asciiTheme="minorHAnsi" w:eastAsia="Times New Roman" w:hAnsiTheme="minorHAnsi" w:cstheme="minorHAnsi"/>
          <w:color w:val="000000"/>
          <w:sz w:val="24"/>
          <w:szCs w:val="24"/>
        </w:rPr>
        <w:t>Chicago author-date</w:t>
      </w:r>
    </w:p>
    <w:p w14:paraId="0468718A" w14:textId="77777777" w:rsidR="00B656BA" w:rsidRPr="0033127E" w:rsidRDefault="00B656BA" w:rsidP="00B656BA">
      <w:pPr>
        <w:widowControl w:val="0"/>
        <w:spacing w:line="360" w:lineRule="auto"/>
        <w:contextualSpacing/>
        <w:rPr>
          <w:rFonts w:asciiTheme="minorHAnsi" w:hAnsiTheme="minorHAnsi" w:cstheme="minorHAnsi"/>
          <w:i/>
          <w:color w:val="222222"/>
          <w:sz w:val="24"/>
          <w:szCs w:val="24"/>
        </w:rPr>
      </w:pPr>
      <w:r w:rsidRPr="0033127E">
        <w:rPr>
          <w:rFonts w:asciiTheme="minorHAnsi" w:hAnsiTheme="minorHAnsi" w:cstheme="minorHAnsi"/>
          <w:color w:val="222222"/>
          <w:sz w:val="24"/>
          <w:szCs w:val="24"/>
        </w:rPr>
        <w:t>Example</w:t>
      </w:r>
      <w:r>
        <w:rPr>
          <w:rFonts w:asciiTheme="minorHAnsi" w:hAnsiTheme="minorHAnsi" w:cstheme="minorHAnsi"/>
          <w:color w:val="222222"/>
          <w:sz w:val="24"/>
          <w:szCs w:val="24"/>
        </w:rPr>
        <w:t xml:space="preserve"> </w:t>
      </w:r>
      <w:r w:rsidRPr="0033127E">
        <w:rPr>
          <w:rFonts w:asciiTheme="minorHAnsi" w:hAnsiTheme="minorHAnsi" w:cstheme="minorHAnsi"/>
          <w:color w:val="222222"/>
          <w:sz w:val="24"/>
          <w:szCs w:val="24"/>
        </w:rPr>
        <w:t>of relevant previous publication</w:t>
      </w:r>
      <w:r w:rsidRPr="00AF2789">
        <w:rPr>
          <w:rFonts w:asciiTheme="minorHAnsi" w:hAnsiTheme="minorHAnsi" w:cstheme="minorHAnsi"/>
          <w:iCs/>
          <w:color w:val="222222"/>
          <w:sz w:val="24"/>
          <w:szCs w:val="24"/>
        </w:rPr>
        <w:t>:</w:t>
      </w:r>
    </w:p>
    <w:p w14:paraId="038B8AED" w14:textId="77777777" w:rsidR="0033127E" w:rsidRPr="0033127E" w:rsidRDefault="0033127E" w:rsidP="00B656BA">
      <w:pPr>
        <w:spacing w:line="360" w:lineRule="auto"/>
        <w:contextualSpacing/>
        <w:rPr>
          <w:rFonts w:asciiTheme="minorHAnsi" w:eastAsia="Times New Roman" w:hAnsiTheme="minorHAnsi" w:cstheme="minorHAnsi"/>
          <w:color w:val="000000"/>
          <w:sz w:val="24"/>
          <w:szCs w:val="24"/>
        </w:rPr>
      </w:pPr>
      <w:r w:rsidRPr="0033127E">
        <w:rPr>
          <w:rStyle w:val="authors"/>
          <w:rFonts w:asciiTheme="minorHAnsi" w:hAnsiTheme="minorHAnsi" w:cstheme="minorHAnsi"/>
          <w:color w:val="333333"/>
          <w:sz w:val="24"/>
          <w:szCs w:val="24"/>
          <w:shd w:val="clear" w:color="auto" w:fill="FFFFFF"/>
        </w:rPr>
        <w:lastRenderedPageBreak/>
        <w:t>Daniela Dumitru</w:t>
      </w:r>
      <w:r w:rsidRPr="0033127E">
        <w:rPr>
          <w:rFonts w:asciiTheme="minorHAnsi" w:hAnsiTheme="minorHAnsi" w:cstheme="minorHAnsi"/>
          <w:color w:val="333333"/>
          <w:sz w:val="24"/>
          <w:szCs w:val="24"/>
          <w:shd w:val="clear" w:color="auto" w:fill="FFFFFF"/>
        </w:rPr>
        <w:t> </w:t>
      </w:r>
      <w:r w:rsidRPr="0033127E">
        <w:rPr>
          <w:rStyle w:val="date"/>
          <w:rFonts w:asciiTheme="minorHAnsi" w:hAnsiTheme="minorHAnsi" w:cstheme="minorHAnsi"/>
          <w:color w:val="333333"/>
          <w:sz w:val="24"/>
          <w:szCs w:val="24"/>
          <w:shd w:val="clear" w:color="auto" w:fill="FFFFFF"/>
        </w:rPr>
        <w:t>(2019)</w:t>
      </w:r>
      <w:r w:rsidRPr="0033127E">
        <w:rPr>
          <w:rFonts w:asciiTheme="minorHAnsi" w:hAnsiTheme="minorHAnsi" w:cstheme="minorHAnsi"/>
          <w:color w:val="333333"/>
          <w:sz w:val="24"/>
          <w:szCs w:val="24"/>
          <w:shd w:val="clear" w:color="auto" w:fill="FFFFFF"/>
        </w:rPr>
        <w:t> </w:t>
      </w:r>
      <w:r w:rsidRPr="0033127E">
        <w:rPr>
          <w:rStyle w:val="arttitle"/>
          <w:rFonts w:asciiTheme="minorHAnsi" w:hAnsiTheme="minorHAnsi" w:cstheme="minorHAnsi"/>
          <w:color w:val="333333"/>
          <w:sz w:val="24"/>
          <w:szCs w:val="24"/>
          <w:shd w:val="clear" w:color="auto" w:fill="FFFFFF"/>
        </w:rPr>
        <w:t>Creating meaning. The importance of Arts, Humanities and Culture for critical thinking development,</w:t>
      </w:r>
      <w:r w:rsidRPr="0033127E">
        <w:rPr>
          <w:rFonts w:asciiTheme="minorHAnsi" w:hAnsiTheme="minorHAnsi" w:cstheme="minorHAnsi"/>
          <w:color w:val="333333"/>
          <w:sz w:val="24"/>
          <w:szCs w:val="24"/>
          <w:shd w:val="clear" w:color="auto" w:fill="FFFFFF"/>
        </w:rPr>
        <w:t> </w:t>
      </w:r>
      <w:r w:rsidRPr="0033127E">
        <w:rPr>
          <w:rStyle w:val="serialtitle"/>
          <w:rFonts w:asciiTheme="minorHAnsi" w:hAnsiTheme="minorHAnsi" w:cstheme="minorHAnsi"/>
          <w:color w:val="333333"/>
          <w:sz w:val="24"/>
          <w:szCs w:val="24"/>
          <w:shd w:val="clear" w:color="auto" w:fill="FFFFFF"/>
        </w:rPr>
        <w:t>Studies in Higher Education,</w:t>
      </w:r>
      <w:r w:rsidRPr="0033127E">
        <w:rPr>
          <w:rFonts w:asciiTheme="minorHAnsi" w:hAnsiTheme="minorHAnsi" w:cstheme="minorHAnsi"/>
          <w:color w:val="333333"/>
          <w:sz w:val="24"/>
          <w:szCs w:val="24"/>
          <w:shd w:val="clear" w:color="auto" w:fill="FFFFFF"/>
        </w:rPr>
        <w:t> </w:t>
      </w:r>
      <w:r w:rsidRPr="0033127E">
        <w:rPr>
          <w:rStyle w:val="volumeissue"/>
          <w:rFonts w:asciiTheme="minorHAnsi" w:hAnsiTheme="minorHAnsi" w:cstheme="minorHAnsi"/>
          <w:color w:val="333333"/>
          <w:sz w:val="24"/>
          <w:szCs w:val="24"/>
          <w:shd w:val="clear" w:color="auto" w:fill="FFFFFF"/>
        </w:rPr>
        <w:t>44:5,</w:t>
      </w:r>
      <w:r w:rsidRPr="0033127E">
        <w:rPr>
          <w:rFonts w:asciiTheme="minorHAnsi" w:hAnsiTheme="minorHAnsi" w:cstheme="minorHAnsi"/>
          <w:color w:val="333333"/>
          <w:sz w:val="24"/>
          <w:szCs w:val="24"/>
          <w:shd w:val="clear" w:color="auto" w:fill="FFFFFF"/>
        </w:rPr>
        <w:t> </w:t>
      </w:r>
      <w:r w:rsidRPr="0033127E">
        <w:rPr>
          <w:rStyle w:val="pagerange"/>
          <w:rFonts w:asciiTheme="minorHAnsi" w:hAnsiTheme="minorHAnsi" w:cstheme="minorHAnsi"/>
          <w:color w:val="333333"/>
          <w:sz w:val="24"/>
          <w:szCs w:val="24"/>
          <w:shd w:val="clear" w:color="auto" w:fill="FFFFFF"/>
        </w:rPr>
        <w:t>870-879</w:t>
      </w:r>
    </w:p>
    <w:p w14:paraId="1B5D47F8" w14:textId="77777777" w:rsidR="0033127E" w:rsidRPr="0033127E" w:rsidRDefault="0033127E" w:rsidP="0033127E">
      <w:pPr>
        <w:widowControl w:val="0"/>
        <w:spacing w:line="360" w:lineRule="auto"/>
        <w:ind w:firstLine="720"/>
        <w:contextualSpacing/>
        <w:rPr>
          <w:rFonts w:asciiTheme="minorHAnsi" w:hAnsiTheme="minorHAnsi" w:cstheme="minorHAnsi"/>
          <w:color w:val="333333"/>
          <w:sz w:val="24"/>
          <w:szCs w:val="24"/>
        </w:rPr>
      </w:pPr>
    </w:p>
    <w:p w14:paraId="2AD9694D" w14:textId="77777777" w:rsidR="00B656BA" w:rsidRDefault="0033127E" w:rsidP="00B656BA">
      <w:pPr>
        <w:widowControl w:val="0"/>
        <w:spacing w:line="360" w:lineRule="auto"/>
        <w:contextualSpacing/>
        <w:rPr>
          <w:rFonts w:asciiTheme="minorHAnsi" w:eastAsia="Times New Roman" w:hAnsiTheme="minorHAnsi" w:cstheme="minorHAnsi"/>
          <w:b/>
          <w:bCs/>
          <w:color w:val="333333"/>
          <w:sz w:val="24"/>
          <w:szCs w:val="24"/>
        </w:rPr>
      </w:pPr>
      <w:hyperlink r:id="rId8" w:history="1">
        <w:r w:rsidRPr="0033127E">
          <w:rPr>
            <w:rStyle w:val="Hyperlink"/>
            <w:rFonts w:asciiTheme="minorHAnsi" w:eastAsia="Times New Roman" w:hAnsiTheme="minorHAnsi" w:cstheme="minorHAnsi"/>
            <w:b/>
            <w:bCs/>
            <w:sz w:val="24"/>
            <w:szCs w:val="24"/>
          </w:rPr>
          <w:t>Journal of Curriculum Studies </w:t>
        </w:r>
      </w:hyperlink>
    </w:p>
    <w:p w14:paraId="4CA6B48D" w14:textId="41406206" w:rsidR="0033127E" w:rsidRPr="0033127E" w:rsidRDefault="0033127E" w:rsidP="00B656BA">
      <w:pPr>
        <w:widowControl w:val="0"/>
        <w:spacing w:line="360" w:lineRule="auto"/>
        <w:contextualSpacing/>
        <w:rPr>
          <w:rFonts w:asciiTheme="minorHAnsi" w:eastAsia="Times New Roman" w:hAnsiTheme="minorHAnsi" w:cstheme="minorHAnsi"/>
          <w:color w:val="333333"/>
          <w:sz w:val="24"/>
          <w:szCs w:val="24"/>
        </w:rPr>
      </w:pPr>
      <w:r w:rsidRPr="0033127E">
        <w:rPr>
          <w:rFonts w:asciiTheme="minorHAnsi" w:eastAsia="Times New Roman" w:hAnsiTheme="minorHAnsi" w:cstheme="minorHAnsi"/>
          <w:i/>
          <w:iCs/>
          <w:color w:val="333333"/>
          <w:sz w:val="24"/>
          <w:szCs w:val="24"/>
        </w:rPr>
        <w:t>Journal of Curriculum Studies</w:t>
      </w:r>
      <w:r w:rsidRPr="0033127E">
        <w:rPr>
          <w:rFonts w:asciiTheme="minorHAnsi" w:eastAsia="Times New Roman" w:hAnsiTheme="minorHAnsi" w:cstheme="minorHAnsi"/>
          <w:color w:val="333333"/>
          <w:sz w:val="24"/>
          <w:szCs w:val="24"/>
        </w:rPr>
        <w:t> publishes conceptually rich contributions to all areas of curriculum studies, including those derived from empirical, philosophical, sociological, or policy-related investigations.</w:t>
      </w:r>
      <w:r w:rsidR="00B656BA">
        <w:rPr>
          <w:rFonts w:asciiTheme="minorHAnsi" w:eastAsia="Times New Roman" w:hAnsiTheme="minorHAnsi" w:cstheme="minorHAnsi"/>
          <w:color w:val="333333"/>
          <w:sz w:val="24"/>
          <w:szCs w:val="24"/>
        </w:rPr>
        <w:t xml:space="preserve"> </w:t>
      </w:r>
      <w:r w:rsidRPr="0033127E">
        <w:rPr>
          <w:rFonts w:asciiTheme="minorHAnsi" w:eastAsia="Times New Roman" w:hAnsiTheme="minorHAnsi" w:cstheme="minorHAnsi"/>
          <w:color w:val="333333"/>
          <w:sz w:val="24"/>
          <w:szCs w:val="24"/>
        </w:rPr>
        <w:t>The journal welcomes innovative papers that analy</w:t>
      </w:r>
      <w:r w:rsidR="00B656BA">
        <w:rPr>
          <w:rFonts w:asciiTheme="minorHAnsi" w:eastAsia="Times New Roman" w:hAnsiTheme="minorHAnsi" w:cstheme="minorHAnsi"/>
          <w:color w:val="333333"/>
          <w:sz w:val="24"/>
          <w:szCs w:val="24"/>
        </w:rPr>
        <w:t>z</w:t>
      </w:r>
      <w:r w:rsidRPr="0033127E">
        <w:rPr>
          <w:rFonts w:asciiTheme="minorHAnsi" w:eastAsia="Times New Roman" w:hAnsiTheme="minorHAnsi" w:cstheme="minorHAnsi"/>
          <w:color w:val="333333"/>
          <w:sz w:val="24"/>
          <w:szCs w:val="24"/>
        </w:rPr>
        <w:t>e the ways in which the social and institutional conditions of education and schooling contribute to shaping curriculum, including political, social</w:t>
      </w:r>
      <w:r w:rsidR="00B41FE0">
        <w:rPr>
          <w:rFonts w:asciiTheme="minorHAnsi" w:eastAsia="Times New Roman" w:hAnsiTheme="minorHAnsi" w:cstheme="minorHAnsi"/>
          <w:color w:val="333333"/>
          <w:sz w:val="24"/>
          <w:szCs w:val="24"/>
        </w:rPr>
        <w:t>,</w:t>
      </w:r>
      <w:r w:rsidRPr="0033127E">
        <w:rPr>
          <w:rFonts w:asciiTheme="minorHAnsi" w:eastAsia="Times New Roman" w:hAnsiTheme="minorHAnsi" w:cstheme="minorHAnsi"/>
          <w:color w:val="333333"/>
          <w:sz w:val="24"/>
          <w:szCs w:val="24"/>
        </w:rPr>
        <w:t xml:space="preserve"> and cultural studies; education policy; school reform and leadership; teaching; teacher education; curriculum development; and assessment and accountability.</w:t>
      </w:r>
    </w:p>
    <w:p w14:paraId="58DDEA8C" w14:textId="77777777" w:rsidR="00B656BA" w:rsidRDefault="00B656BA" w:rsidP="00B656BA">
      <w:pPr>
        <w:spacing w:line="360" w:lineRule="auto"/>
        <w:contextualSpacing/>
        <w:rPr>
          <w:rFonts w:asciiTheme="minorHAnsi" w:eastAsia="Times New Roman" w:hAnsiTheme="minorHAnsi" w:cstheme="minorHAnsi"/>
          <w:b/>
          <w:bCs/>
          <w:color w:val="000000"/>
          <w:sz w:val="24"/>
          <w:szCs w:val="24"/>
        </w:rPr>
      </w:pPr>
    </w:p>
    <w:p w14:paraId="32697252" w14:textId="59BB6C9B" w:rsidR="0033127E" w:rsidRPr="00B41FE0" w:rsidRDefault="00B41FE0" w:rsidP="00B656BA">
      <w:pPr>
        <w:spacing w:line="360" w:lineRule="auto"/>
        <w:contextualSpacing/>
        <w:rPr>
          <w:rFonts w:asciiTheme="minorHAnsi" w:eastAsia="Times New Roman" w:hAnsiTheme="minorHAnsi" w:cstheme="minorHAnsi"/>
          <w:color w:val="000000"/>
          <w:sz w:val="24"/>
          <w:szCs w:val="24"/>
        </w:rPr>
      </w:pPr>
      <w:r w:rsidRPr="00B41FE0">
        <w:rPr>
          <w:rFonts w:asciiTheme="minorHAnsi" w:eastAsia="Times New Roman" w:hAnsiTheme="minorHAnsi" w:cstheme="minorHAnsi"/>
          <w:color w:val="000000"/>
          <w:sz w:val="24"/>
          <w:szCs w:val="24"/>
        </w:rPr>
        <w:t xml:space="preserve">IF: </w:t>
      </w:r>
      <w:r w:rsidR="0033127E" w:rsidRPr="00B41FE0">
        <w:rPr>
          <w:rFonts w:asciiTheme="minorHAnsi" w:eastAsia="Times New Roman" w:hAnsiTheme="minorHAnsi" w:cstheme="minorHAnsi"/>
          <w:color w:val="000000"/>
          <w:sz w:val="24"/>
          <w:szCs w:val="24"/>
        </w:rPr>
        <w:t>2.183 (2020) </w:t>
      </w:r>
    </w:p>
    <w:p w14:paraId="12537940" w14:textId="3CED875A" w:rsidR="0033127E" w:rsidRDefault="00B41FE0" w:rsidP="00B41FE0">
      <w:pPr>
        <w:widowControl w:val="0"/>
        <w:spacing w:line="360" w:lineRule="auto"/>
        <w:contextualSpacing/>
        <w:rPr>
          <w:rFonts w:asciiTheme="minorHAnsi" w:hAnsiTheme="minorHAnsi" w:cstheme="minorHAnsi"/>
          <w:color w:val="000000"/>
          <w:sz w:val="24"/>
          <w:szCs w:val="24"/>
        </w:rPr>
      </w:pPr>
      <w:proofErr w:type="spellStart"/>
      <w:r w:rsidRPr="00B41FE0">
        <w:rPr>
          <w:rFonts w:asciiTheme="minorHAnsi" w:hAnsiTheme="minorHAnsi" w:cstheme="minorHAnsi"/>
          <w:color w:val="000000"/>
          <w:sz w:val="24"/>
          <w:szCs w:val="24"/>
        </w:rPr>
        <w:t>CiteScore</w:t>
      </w:r>
      <w:proofErr w:type="spellEnd"/>
      <w:r w:rsidRPr="00B41FE0">
        <w:rPr>
          <w:rStyle w:val="Strong"/>
          <w:rFonts w:asciiTheme="minorHAnsi" w:hAnsiTheme="minorHAnsi" w:cstheme="minorHAnsi"/>
          <w:color w:val="000000"/>
          <w:sz w:val="24"/>
          <w:szCs w:val="24"/>
        </w:rPr>
        <w:t xml:space="preserve"> </w:t>
      </w:r>
      <w:r w:rsidR="0033127E" w:rsidRPr="00B41FE0">
        <w:rPr>
          <w:rStyle w:val="Strong"/>
          <w:rFonts w:asciiTheme="minorHAnsi" w:hAnsiTheme="minorHAnsi" w:cstheme="minorHAnsi"/>
          <w:color w:val="000000"/>
          <w:sz w:val="24"/>
          <w:szCs w:val="24"/>
        </w:rPr>
        <w:t>3.0 (2020)</w:t>
      </w:r>
      <w:r w:rsidR="0033127E" w:rsidRPr="0033127E">
        <w:rPr>
          <w:rFonts w:asciiTheme="minorHAnsi" w:hAnsiTheme="minorHAnsi" w:cstheme="minorHAnsi"/>
          <w:color w:val="000000"/>
          <w:sz w:val="24"/>
          <w:szCs w:val="24"/>
        </w:rPr>
        <w:t> / 12% acceptance rate</w:t>
      </w:r>
    </w:p>
    <w:p w14:paraId="7F6E4BA7" w14:textId="6B7E827F" w:rsidR="00B41FE0" w:rsidRDefault="00B41FE0" w:rsidP="00B41FE0">
      <w:pPr>
        <w:widowControl w:val="0"/>
        <w:spacing w:line="360" w:lineRule="auto"/>
        <w:contextualSpacing/>
        <w:rPr>
          <w:rFonts w:asciiTheme="minorHAnsi" w:hAnsiTheme="minorHAnsi" w:cstheme="minorHAnsi"/>
          <w:color w:val="000000"/>
          <w:sz w:val="24"/>
          <w:szCs w:val="24"/>
        </w:rPr>
      </w:pPr>
      <w:r>
        <w:rPr>
          <w:rFonts w:asciiTheme="minorHAnsi" w:hAnsiTheme="minorHAnsi" w:cstheme="minorHAnsi"/>
          <w:color w:val="000000"/>
          <w:sz w:val="24"/>
          <w:szCs w:val="24"/>
        </w:rPr>
        <w:t>Word limit: 10,000</w:t>
      </w:r>
    </w:p>
    <w:p w14:paraId="6F612710" w14:textId="255447F3" w:rsidR="00B41FE0" w:rsidRDefault="00B41FE0" w:rsidP="00B41FE0">
      <w:pPr>
        <w:widowControl w:val="0"/>
        <w:spacing w:line="360" w:lineRule="auto"/>
        <w:contextualSpacing/>
        <w:rPr>
          <w:rFonts w:asciiTheme="minorHAnsi" w:hAnsiTheme="minorHAnsi" w:cstheme="minorHAnsi"/>
          <w:color w:val="000000"/>
          <w:sz w:val="24"/>
          <w:szCs w:val="24"/>
        </w:rPr>
      </w:pPr>
      <w:r>
        <w:rPr>
          <w:rFonts w:asciiTheme="minorHAnsi" w:hAnsiTheme="minorHAnsi" w:cstheme="minorHAnsi"/>
          <w:color w:val="000000"/>
          <w:sz w:val="24"/>
          <w:szCs w:val="24"/>
        </w:rPr>
        <w:t>Style: APA</w:t>
      </w:r>
    </w:p>
    <w:p w14:paraId="2D58EFA6" w14:textId="5C873712" w:rsidR="00B41FE0" w:rsidRDefault="00B41FE0" w:rsidP="00B41FE0">
      <w:pPr>
        <w:widowControl w:val="0"/>
        <w:spacing w:line="360" w:lineRule="auto"/>
        <w:contextualSpacing/>
        <w:rPr>
          <w:rFonts w:asciiTheme="minorHAnsi" w:hAnsiTheme="minorHAnsi" w:cstheme="minorHAnsi"/>
          <w:color w:val="000000"/>
          <w:sz w:val="24"/>
          <w:szCs w:val="24"/>
        </w:rPr>
      </w:pPr>
    </w:p>
    <w:p w14:paraId="4530F92A" w14:textId="77777777" w:rsidR="00B41FE0" w:rsidRPr="0033127E" w:rsidRDefault="00B41FE0" w:rsidP="00B41FE0">
      <w:pPr>
        <w:widowControl w:val="0"/>
        <w:spacing w:line="360" w:lineRule="auto"/>
        <w:contextualSpacing/>
        <w:rPr>
          <w:rFonts w:asciiTheme="minorHAnsi" w:hAnsiTheme="minorHAnsi" w:cstheme="minorHAnsi"/>
          <w:i/>
          <w:color w:val="222222"/>
          <w:sz w:val="24"/>
          <w:szCs w:val="24"/>
        </w:rPr>
      </w:pPr>
      <w:r w:rsidRPr="0033127E">
        <w:rPr>
          <w:rFonts w:asciiTheme="minorHAnsi" w:hAnsiTheme="minorHAnsi" w:cstheme="minorHAnsi"/>
          <w:color w:val="222222"/>
          <w:sz w:val="24"/>
          <w:szCs w:val="24"/>
        </w:rPr>
        <w:t>Example</w:t>
      </w:r>
      <w:r>
        <w:rPr>
          <w:rFonts w:asciiTheme="minorHAnsi" w:hAnsiTheme="minorHAnsi" w:cstheme="minorHAnsi"/>
          <w:color w:val="222222"/>
          <w:sz w:val="24"/>
          <w:szCs w:val="24"/>
        </w:rPr>
        <w:t xml:space="preserve"> </w:t>
      </w:r>
      <w:r w:rsidRPr="0033127E">
        <w:rPr>
          <w:rFonts w:asciiTheme="minorHAnsi" w:hAnsiTheme="minorHAnsi" w:cstheme="minorHAnsi"/>
          <w:color w:val="222222"/>
          <w:sz w:val="24"/>
          <w:szCs w:val="24"/>
        </w:rPr>
        <w:t>of relevant previous publication</w:t>
      </w:r>
      <w:r w:rsidRPr="00AF2789">
        <w:rPr>
          <w:rFonts w:asciiTheme="minorHAnsi" w:hAnsiTheme="minorHAnsi" w:cstheme="minorHAnsi"/>
          <w:iCs/>
          <w:color w:val="222222"/>
          <w:sz w:val="24"/>
          <w:szCs w:val="24"/>
        </w:rPr>
        <w:t>:</w:t>
      </w:r>
    </w:p>
    <w:p w14:paraId="0E4D1B07" w14:textId="77777777" w:rsidR="0033127E" w:rsidRPr="0033127E" w:rsidRDefault="0033127E" w:rsidP="00B41FE0">
      <w:pPr>
        <w:widowControl w:val="0"/>
        <w:shd w:val="clear" w:color="auto" w:fill="FFFFFF"/>
        <w:spacing w:line="360" w:lineRule="auto"/>
        <w:contextualSpacing/>
        <w:rPr>
          <w:rStyle w:val="pagerange"/>
          <w:rFonts w:asciiTheme="minorHAnsi" w:hAnsiTheme="minorHAnsi" w:cstheme="minorHAnsi"/>
          <w:color w:val="333333"/>
          <w:sz w:val="24"/>
          <w:szCs w:val="24"/>
        </w:rPr>
      </w:pPr>
      <w:r w:rsidRPr="0033127E">
        <w:rPr>
          <w:rStyle w:val="authors"/>
          <w:rFonts w:asciiTheme="minorHAnsi" w:hAnsiTheme="minorHAnsi" w:cstheme="minorHAnsi"/>
          <w:color w:val="333333"/>
          <w:sz w:val="24"/>
          <w:szCs w:val="24"/>
        </w:rPr>
        <w:t xml:space="preserve">J. </w:t>
      </w:r>
      <w:proofErr w:type="spellStart"/>
      <w:r w:rsidRPr="0033127E">
        <w:rPr>
          <w:rStyle w:val="authors"/>
          <w:rFonts w:asciiTheme="minorHAnsi" w:hAnsiTheme="minorHAnsi" w:cstheme="minorHAnsi"/>
          <w:color w:val="333333"/>
          <w:sz w:val="24"/>
          <w:szCs w:val="24"/>
        </w:rPr>
        <w:t>Annala</w:t>
      </w:r>
      <w:proofErr w:type="spellEnd"/>
      <w:r w:rsidRPr="0033127E">
        <w:rPr>
          <w:rStyle w:val="authors"/>
          <w:rFonts w:asciiTheme="minorHAnsi" w:hAnsiTheme="minorHAnsi" w:cstheme="minorHAnsi"/>
          <w:color w:val="333333"/>
          <w:sz w:val="24"/>
          <w:szCs w:val="24"/>
        </w:rPr>
        <w:t xml:space="preserve">, M. </w:t>
      </w:r>
      <w:proofErr w:type="spellStart"/>
      <w:r w:rsidRPr="0033127E">
        <w:rPr>
          <w:rStyle w:val="authors"/>
          <w:rFonts w:asciiTheme="minorHAnsi" w:hAnsiTheme="minorHAnsi" w:cstheme="minorHAnsi"/>
          <w:color w:val="333333"/>
          <w:sz w:val="24"/>
          <w:szCs w:val="24"/>
        </w:rPr>
        <w:t>Mäkinen</w:t>
      </w:r>
      <w:proofErr w:type="spellEnd"/>
      <w:r w:rsidRPr="0033127E">
        <w:rPr>
          <w:rStyle w:val="authors"/>
          <w:rFonts w:asciiTheme="minorHAnsi" w:hAnsiTheme="minorHAnsi" w:cstheme="minorHAnsi"/>
          <w:color w:val="333333"/>
          <w:sz w:val="24"/>
          <w:szCs w:val="24"/>
        </w:rPr>
        <w:t xml:space="preserve">, J. </w:t>
      </w:r>
      <w:proofErr w:type="spellStart"/>
      <w:r w:rsidRPr="0033127E">
        <w:rPr>
          <w:rStyle w:val="authors"/>
          <w:rFonts w:asciiTheme="minorHAnsi" w:hAnsiTheme="minorHAnsi" w:cstheme="minorHAnsi"/>
          <w:color w:val="333333"/>
          <w:sz w:val="24"/>
          <w:szCs w:val="24"/>
        </w:rPr>
        <w:t>Lindén</w:t>
      </w:r>
      <w:proofErr w:type="spellEnd"/>
      <w:r w:rsidRPr="0033127E">
        <w:rPr>
          <w:rStyle w:val="authors"/>
          <w:rFonts w:asciiTheme="minorHAnsi" w:hAnsiTheme="minorHAnsi" w:cstheme="minorHAnsi"/>
          <w:color w:val="333333"/>
          <w:sz w:val="24"/>
          <w:szCs w:val="24"/>
        </w:rPr>
        <w:t xml:space="preserve"> &amp; J. </w:t>
      </w:r>
      <w:proofErr w:type="spellStart"/>
      <w:r w:rsidRPr="0033127E">
        <w:rPr>
          <w:rStyle w:val="authors"/>
          <w:rFonts w:asciiTheme="minorHAnsi" w:hAnsiTheme="minorHAnsi" w:cstheme="minorHAnsi"/>
          <w:color w:val="333333"/>
          <w:sz w:val="24"/>
          <w:szCs w:val="24"/>
        </w:rPr>
        <w:t>Henriksson</w:t>
      </w:r>
      <w:proofErr w:type="spellEnd"/>
      <w:r w:rsidRPr="0033127E">
        <w:rPr>
          <w:rFonts w:asciiTheme="minorHAnsi" w:hAnsiTheme="minorHAnsi" w:cstheme="minorHAnsi"/>
          <w:color w:val="333333"/>
          <w:sz w:val="24"/>
          <w:szCs w:val="24"/>
        </w:rPr>
        <w:t> </w:t>
      </w:r>
      <w:r w:rsidRPr="0033127E">
        <w:rPr>
          <w:rStyle w:val="date"/>
          <w:rFonts w:asciiTheme="minorHAnsi" w:hAnsiTheme="minorHAnsi" w:cstheme="minorHAnsi"/>
          <w:color w:val="333333"/>
          <w:sz w:val="24"/>
          <w:szCs w:val="24"/>
        </w:rPr>
        <w:t>(2022)</w:t>
      </w:r>
      <w:r w:rsidRPr="0033127E">
        <w:rPr>
          <w:rFonts w:asciiTheme="minorHAnsi" w:hAnsiTheme="minorHAnsi" w:cstheme="minorHAnsi"/>
          <w:color w:val="333333"/>
          <w:sz w:val="24"/>
          <w:szCs w:val="24"/>
        </w:rPr>
        <w:t> </w:t>
      </w:r>
      <w:r w:rsidRPr="0033127E">
        <w:rPr>
          <w:rStyle w:val="arttitle"/>
          <w:rFonts w:asciiTheme="minorHAnsi" w:hAnsiTheme="minorHAnsi" w:cstheme="minorHAnsi"/>
          <w:color w:val="333333"/>
          <w:sz w:val="24"/>
          <w:szCs w:val="24"/>
        </w:rPr>
        <w:t>Change and stability in academic agency in higher education curriculum reform,</w:t>
      </w:r>
      <w:r w:rsidRPr="0033127E">
        <w:rPr>
          <w:rFonts w:asciiTheme="minorHAnsi" w:hAnsiTheme="minorHAnsi" w:cstheme="minorHAnsi"/>
          <w:color w:val="333333"/>
          <w:sz w:val="24"/>
          <w:szCs w:val="24"/>
        </w:rPr>
        <w:t> </w:t>
      </w:r>
      <w:r w:rsidRPr="0033127E">
        <w:rPr>
          <w:rStyle w:val="serialtitle"/>
          <w:rFonts w:asciiTheme="minorHAnsi" w:hAnsiTheme="minorHAnsi" w:cstheme="minorHAnsi"/>
          <w:color w:val="333333"/>
          <w:sz w:val="24"/>
          <w:szCs w:val="24"/>
        </w:rPr>
        <w:t>Journal of Curriculum Studies,</w:t>
      </w:r>
      <w:r w:rsidRPr="0033127E">
        <w:rPr>
          <w:rFonts w:asciiTheme="minorHAnsi" w:hAnsiTheme="minorHAnsi" w:cstheme="minorHAnsi"/>
          <w:color w:val="333333"/>
          <w:sz w:val="24"/>
          <w:szCs w:val="24"/>
        </w:rPr>
        <w:t> </w:t>
      </w:r>
      <w:r w:rsidRPr="0033127E">
        <w:rPr>
          <w:rStyle w:val="volumeissue"/>
          <w:rFonts w:asciiTheme="minorHAnsi" w:hAnsiTheme="minorHAnsi" w:cstheme="minorHAnsi"/>
          <w:color w:val="333333"/>
          <w:sz w:val="24"/>
          <w:szCs w:val="24"/>
        </w:rPr>
        <w:t>54:1,</w:t>
      </w:r>
      <w:r w:rsidRPr="0033127E">
        <w:rPr>
          <w:rFonts w:asciiTheme="minorHAnsi" w:hAnsiTheme="minorHAnsi" w:cstheme="minorHAnsi"/>
          <w:color w:val="333333"/>
          <w:sz w:val="24"/>
          <w:szCs w:val="24"/>
        </w:rPr>
        <w:t> </w:t>
      </w:r>
      <w:r w:rsidRPr="0033127E">
        <w:rPr>
          <w:rStyle w:val="pagerange"/>
          <w:rFonts w:asciiTheme="minorHAnsi" w:hAnsiTheme="minorHAnsi" w:cstheme="minorHAnsi"/>
          <w:color w:val="333333"/>
          <w:sz w:val="24"/>
          <w:szCs w:val="24"/>
        </w:rPr>
        <w:t>53-69.</w:t>
      </w:r>
    </w:p>
    <w:p w14:paraId="4641E1C6" w14:textId="77777777" w:rsidR="0033127E" w:rsidRPr="0033127E" w:rsidRDefault="0033127E" w:rsidP="00B41FE0">
      <w:pPr>
        <w:widowControl w:val="0"/>
        <w:shd w:val="clear" w:color="auto" w:fill="FFFFFF"/>
        <w:spacing w:line="360" w:lineRule="auto"/>
        <w:contextualSpacing/>
        <w:rPr>
          <w:rFonts w:asciiTheme="minorHAnsi" w:eastAsia="Tahoma" w:hAnsiTheme="minorHAnsi" w:cstheme="minorHAnsi"/>
          <w:color w:val="222222"/>
          <w:sz w:val="24"/>
          <w:szCs w:val="24"/>
        </w:rPr>
      </w:pPr>
    </w:p>
    <w:p w14:paraId="687F3880" w14:textId="77777777" w:rsidR="0033127E" w:rsidRPr="0033127E" w:rsidRDefault="0033127E" w:rsidP="0033127E">
      <w:pPr>
        <w:widowControl w:val="0"/>
        <w:spacing w:line="360" w:lineRule="auto"/>
        <w:ind w:firstLine="720"/>
        <w:contextualSpacing/>
        <w:rPr>
          <w:rFonts w:asciiTheme="minorHAnsi" w:eastAsia="Tahoma" w:hAnsiTheme="minorHAnsi" w:cstheme="minorHAnsi"/>
          <w:color w:val="222222"/>
          <w:sz w:val="24"/>
          <w:szCs w:val="24"/>
        </w:rPr>
      </w:pPr>
    </w:p>
    <w:p w14:paraId="1AB941AE" w14:textId="77777777" w:rsidR="00AB311F" w:rsidRPr="0033127E" w:rsidRDefault="00AB311F" w:rsidP="0033127E">
      <w:pPr>
        <w:spacing w:line="360" w:lineRule="auto"/>
        <w:ind w:firstLine="720"/>
        <w:contextualSpacing/>
        <w:rPr>
          <w:rFonts w:asciiTheme="minorHAnsi" w:hAnsiTheme="minorHAnsi" w:cstheme="minorHAnsi"/>
          <w:sz w:val="24"/>
          <w:szCs w:val="24"/>
        </w:rPr>
      </w:pPr>
    </w:p>
    <w:sectPr w:rsidR="00AB311F" w:rsidRPr="0033127E" w:rsidSect="00331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033"/>
    <w:multiLevelType w:val="multilevel"/>
    <w:tmpl w:val="AFBAE80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15:restartNumberingAfterBreak="0">
    <w:nsid w:val="11B204C6"/>
    <w:multiLevelType w:val="multilevel"/>
    <w:tmpl w:val="9796D1C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 w15:restartNumberingAfterBreak="0">
    <w:nsid w:val="5505699D"/>
    <w:multiLevelType w:val="multilevel"/>
    <w:tmpl w:val="CF1030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1812750692">
    <w:abstractNumId w:val="2"/>
    <w:lvlOverride w:ilvl="0"/>
    <w:lvlOverride w:ilvl="1"/>
    <w:lvlOverride w:ilvl="2"/>
    <w:lvlOverride w:ilvl="3"/>
    <w:lvlOverride w:ilvl="4"/>
    <w:lvlOverride w:ilvl="5"/>
    <w:lvlOverride w:ilvl="6"/>
    <w:lvlOverride w:ilvl="7"/>
    <w:lvlOverride w:ilvl="8"/>
  </w:num>
  <w:num w:numId="2" w16cid:durableId="742064305">
    <w:abstractNumId w:val="1"/>
    <w:lvlOverride w:ilvl="0"/>
    <w:lvlOverride w:ilvl="1"/>
    <w:lvlOverride w:ilvl="2"/>
    <w:lvlOverride w:ilvl="3"/>
    <w:lvlOverride w:ilvl="4"/>
    <w:lvlOverride w:ilvl="5"/>
    <w:lvlOverride w:ilvl="6"/>
    <w:lvlOverride w:ilvl="7"/>
    <w:lvlOverride w:ilvl="8"/>
  </w:num>
  <w:num w:numId="3" w16cid:durableId="51939211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7E"/>
    <w:rsid w:val="00002D1F"/>
    <w:rsid w:val="0000399E"/>
    <w:rsid w:val="00003BCB"/>
    <w:rsid w:val="0001184C"/>
    <w:rsid w:val="000234C4"/>
    <w:rsid w:val="00025692"/>
    <w:rsid w:val="0002733E"/>
    <w:rsid w:val="00027911"/>
    <w:rsid w:val="00031F49"/>
    <w:rsid w:val="00037A07"/>
    <w:rsid w:val="00041BF7"/>
    <w:rsid w:val="00046716"/>
    <w:rsid w:val="00057935"/>
    <w:rsid w:val="0006465E"/>
    <w:rsid w:val="00071624"/>
    <w:rsid w:val="00072630"/>
    <w:rsid w:val="000758BD"/>
    <w:rsid w:val="00076CA7"/>
    <w:rsid w:val="00081DEF"/>
    <w:rsid w:val="00084E21"/>
    <w:rsid w:val="00085557"/>
    <w:rsid w:val="000864A9"/>
    <w:rsid w:val="000A0C86"/>
    <w:rsid w:val="000A44EF"/>
    <w:rsid w:val="000B05BC"/>
    <w:rsid w:val="000B22F8"/>
    <w:rsid w:val="000C2B40"/>
    <w:rsid w:val="000C606F"/>
    <w:rsid w:val="000D24CA"/>
    <w:rsid w:val="000D2D66"/>
    <w:rsid w:val="000D2D8D"/>
    <w:rsid w:val="000D7D43"/>
    <w:rsid w:val="000E08BD"/>
    <w:rsid w:val="000E0DD0"/>
    <w:rsid w:val="000F0424"/>
    <w:rsid w:val="000F32A5"/>
    <w:rsid w:val="00101A08"/>
    <w:rsid w:val="001020B6"/>
    <w:rsid w:val="001029EE"/>
    <w:rsid w:val="00102E3A"/>
    <w:rsid w:val="001036B5"/>
    <w:rsid w:val="001037ED"/>
    <w:rsid w:val="00111755"/>
    <w:rsid w:val="00112527"/>
    <w:rsid w:val="00117813"/>
    <w:rsid w:val="0012002C"/>
    <w:rsid w:val="00122ACA"/>
    <w:rsid w:val="00125E89"/>
    <w:rsid w:val="00130A30"/>
    <w:rsid w:val="00133419"/>
    <w:rsid w:val="001337B7"/>
    <w:rsid w:val="0013464F"/>
    <w:rsid w:val="001359BA"/>
    <w:rsid w:val="00135A52"/>
    <w:rsid w:val="00137D2A"/>
    <w:rsid w:val="00141C96"/>
    <w:rsid w:val="0014355E"/>
    <w:rsid w:val="00151D8B"/>
    <w:rsid w:val="001638F6"/>
    <w:rsid w:val="00174F07"/>
    <w:rsid w:val="001804BA"/>
    <w:rsid w:val="0018160A"/>
    <w:rsid w:val="001906B7"/>
    <w:rsid w:val="00191347"/>
    <w:rsid w:val="00192A72"/>
    <w:rsid w:val="00192C68"/>
    <w:rsid w:val="001934B9"/>
    <w:rsid w:val="001A011C"/>
    <w:rsid w:val="001A19CA"/>
    <w:rsid w:val="001A2FD3"/>
    <w:rsid w:val="001A6C8E"/>
    <w:rsid w:val="001B5709"/>
    <w:rsid w:val="001B6AA7"/>
    <w:rsid w:val="001C0BA5"/>
    <w:rsid w:val="001C0CCC"/>
    <w:rsid w:val="001C758A"/>
    <w:rsid w:val="001D741B"/>
    <w:rsid w:val="001E57EB"/>
    <w:rsid w:val="001E7BAB"/>
    <w:rsid w:val="001F440A"/>
    <w:rsid w:val="001F4ABA"/>
    <w:rsid w:val="001F4C35"/>
    <w:rsid w:val="001F5A87"/>
    <w:rsid w:val="001F6AB2"/>
    <w:rsid w:val="001F7ED0"/>
    <w:rsid w:val="00207921"/>
    <w:rsid w:val="00213AB9"/>
    <w:rsid w:val="0021752F"/>
    <w:rsid w:val="002200A5"/>
    <w:rsid w:val="00221641"/>
    <w:rsid w:val="00223AC5"/>
    <w:rsid w:val="002243D6"/>
    <w:rsid w:val="00225AA8"/>
    <w:rsid w:val="002343C4"/>
    <w:rsid w:val="00245BC5"/>
    <w:rsid w:val="00250756"/>
    <w:rsid w:val="00260849"/>
    <w:rsid w:val="0027127A"/>
    <w:rsid w:val="00277ED4"/>
    <w:rsid w:val="00281A98"/>
    <w:rsid w:val="002908E7"/>
    <w:rsid w:val="0029594C"/>
    <w:rsid w:val="00297F5F"/>
    <w:rsid w:val="002A2A01"/>
    <w:rsid w:val="002B0E04"/>
    <w:rsid w:val="002B65E8"/>
    <w:rsid w:val="002B7C69"/>
    <w:rsid w:val="002C7876"/>
    <w:rsid w:val="002D0053"/>
    <w:rsid w:val="002D0510"/>
    <w:rsid w:val="002D76D6"/>
    <w:rsid w:val="002E785E"/>
    <w:rsid w:val="002F067A"/>
    <w:rsid w:val="002F24D5"/>
    <w:rsid w:val="002F4604"/>
    <w:rsid w:val="002F51F3"/>
    <w:rsid w:val="002F5552"/>
    <w:rsid w:val="00300A96"/>
    <w:rsid w:val="003021F5"/>
    <w:rsid w:val="00317937"/>
    <w:rsid w:val="00321A03"/>
    <w:rsid w:val="00322F91"/>
    <w:rsid w:val="00327F76"/>
    <w:rsid w:val="0033127E"/>
    <w:rsid w:val="003312DA"/>
    <w:rsid w:val="003313A6"/>
    <w:rsid w:val="00334AB9"/>
    <w:rsid w:val="00335BF3"/>
    <w:rsid w:val="00336913"/>
    <w:rsid w:val="003402A3"/>
    <w:rsid w:val="003407E3"/>
    <w:rsid w:val="0035168D"/>
    <w:rsid w:val="00355B56"/>
    <w:rsid w:val="00355BF6"/>
    <w:rsid w:val="00357FDA"/>
    <w:rsid w:val="003600A3"/>
    <w:rsid w:val="00360A34"/>
    <w:rsid w:val="00360A8F"/>
    <w:rsid w:val="00360F4A"/>
    <w:rsid w:val="0037151C"/>
    <w:rsid w:val="003759DF"/>
    <w:rsid w:val="00375B2B"/>
    <w:rsid w:val="00376F10"/>
    <w:rsid w:val="00377E62"/>
    <w:rsid w:val="00380014"/>
    <w:rsid w:val="00381243"/>
    <w:rsid w:val="003855AB"/>
    <w:rsid w:val="003860D7"/>
    <w:rsid w:val="00390265"/>
    <w:rsid w:val="00394616"/>
    <w:rsid w:val="0039776C"/>
    <w:rsid w:val="003A5ADE"/>
    <w:rsid w:val="003B0635"/>
    <w:rsid w:val="003B0B14"/>
    <w:rsid w:val="003B39AA"/>
    <w:rsid w:val="003B5C63"/>
    <w:rsid w:val="003B7DA7"/>
    <w:rsid w:val="003D07B2"/>
    <w:rsid w:val="003D14A1"/>
    <w:rsid w:val="003D462B"/>
    <w:rsid w:val="003D677B"/>
    <w:rsid w:val="003D72EF"/>
    <w:rsid w:val="003E46D4"/>
    <w:rsid w:val="003F01AC"/>
    <w:rsid w:val="003F37E6"/>
    <w:rsid w:val="003F5DD9"/>
    <w:rsid w:val="003F715E"/>
    <w:rsid w:val="00403498"/>
    <w:rsid w:val="00404B37"/>
    <w:rsid w:val="004112A2"/>
    <w:rsid w:val="004152B7"/>
    <w:rsid w:val="00420AA2"/>
    <w:rsid w:val="00422F8D"/>
    <w:rsid w:val="00430958"/>
    <w:rsid w:val="00437932"/>
    <w:rsid w:val="00445266"/>
    <w:rsid w:val="0044714D"/>
    <w:rsid w:val="00451012"/>
    <w:rsid w:val="004521D9"/>
    <w:rsid w:val="0045629A"/>
    <w:rsid w:val="0046065B"/>
    <w:rsid w:val="004665D8"/>
    <w:rsid w:val="004669FA"/>
    <w:rsid w:val="00467840"/>
    <w:rsid w:val="00470573"/>
    <w:rsid w:val="00474C17"/>
    <w:rsid w:val="004773CF"/>
    <w:rsid w:val="00480FD0"/>
    <w:rsid w:val="004866DA"/>
    <w:rsid w:val="004874C1"/>
    <w:rsid w:val="00491F8B"/>
    <w:rsid w:val="00497B14"/>
    <w:rsid w:val="004A2135"/>
    <w:rsid w:val="004A3704"/>
    <w:rsid w:val="004C7790"/>
    <w:rsid w:val="004E036C"/>
    <w:rsid w:val="004E45DE"/>
    <w:rsid w:val="004E4D0A"/>
    <w:rsid w:val="004E57EB"/>
    <w:rsid w:val="004F4718"/>
    <w:rsid w:val="004F47DF"/>
    <w:rsid w:val="004F4845"/>
    <w:rsid w:val="005066FC"/>
    <w:rsid w:val="00511D10"/>
    <w:rsid w:val="005147CF"/>
    <w:rsid w:val="00516670"/>
    <w:rsid w:val="00521C4C"/>
    <w:rsid w:val="00523219"/>
    <w:rsid w:val="005250D5"/>
    <w:rsid w:val="005270C7"/>
    <w:rsid w:val="005317B6"/>
    <w:rsid w:val="00541302"/>
    <w:rsid w:val="00545328"/>
    <w:rsid w:val="0055038D"/>
    <w:rsid w:val="005615BD"/>
    <w:rsid w:val="00563AB3"/>
    <w:rsid w:val="00567786"/>
    <w:rsid w:val="00580CBD"/>
    <w:rsid w:val="0058185B"/>
    <w:rsid w:val="00584096"/>
    <w:rsid w:val="0058463A"/>
    <w:rsid w:val="00585BD7"/>
    <w:rsid w:val="0058697B"/>
    <w:rsid w:val="005934A2"/>
    <w:rsid w:val="00595675"/>
    <w:rsid w:val="00597009"/>
    <w:rsid w:val="00597892"/>
    <w:rsid w:val="005A5190"/>
    <w:rsid w:val="005A730A"/>
    <w:rsid w:val="005C1C17"/>
    <w:rsid w:val="005C2CCE"/>
    <w:rsid w:val="005C4CD9"/>
    <w:rsid w:val="005C53DE"/>
    <w:rsid w:val="005D457D"/>
    <w:rsid w:val="005D58B5"/>
    <w:rsid w:val="005E4A4A"/>
    <w:rsid w:val="005E6D37"/>
    <w:rsid w:val="005F14A1"/>
    <w:rsid w:val="005F2B57"/>
    <w:rsid w:val="005F3066"/>
    <w:rsid w:val="00602423"/>
    <w:rsid w:val="00602A3C"/>
    <w:rsid w:val="006127DB"/>
    <w:rsid w:val="006130D8"/>
    <w:rsid w:val="00614F5B"/>
    <w:rsid w:val="00623748"/>
    <w:rsid w:val="00627C68"/>
    <w:rsid w:val="006308ED"/>
    <w:rsid w:val="00631CE5"/>
    <w:rsid w:val="00645C85"/>
    <w:rsid w:val="00646649"/>
    <w:rsid w:val="00647B9D"/>
    <w:rsid w:val="006501C9"/>
    <w:rsid w:val="00661F32"/>
    <w:rsid w:val="00664A7F"/>
    <w:rsid w:val="0066529D"/>
    <w:rsid w:val="00666749"/>
    <w:rsid w:val="00681053"/>
    <w:rsid w:val="00682E21"/>
    <w:rsid w:val="006835A9"/>
    <w:rsid w:val="006912A7"/>
    <w:rsid w:val="00696F5F"/>
    <w:rsid w:val="00697647"/>
    <w:rsid w:val="00697D51"/>
    <w:rsid w:val="006A1BF7"/>
    <w:rsid w:val="006A2289"/>
    <w:rsid w:val="006A3616"/>
    <w:rsid w:val="006A5351"/>
    <w:rsid w:val="006A69C3"/>
    <w:rsid w:val="006A7F25"/>
    <w:rsid w:val="006B7D21"/>
    <w:rsid w:val="006C3BDF"/>
    <w:rsid w:val="006D1C4E"/>
    <w:rsid w:val="006D2282"/>
    <w:rsid w:val="006D3962"/>
    <w:rsid w:val="006E094E"/>
    <w:rsid w:val="006E1391"/>
    <w:rsid w:val="006E45C5"/>
    <w:rsid w:val="006F3D5B"/>
    <w:rsid w:val="006F5744"/>
    <w:rsid w:val="006F5B2D"/>
    <w:rsid w:val="00700079"/>
    <w:rsid w:val="0070262C"/>
    <w:rsid w:val="007124DB"/>
    <w:rsid w:val="00713F0A"/>
    <w:rsid w:val="007150CB"/>
    <w:rsid w:val="00715298"/>
    <w:rsid w:val="00715FCB"/>
    <w:rsid w:val="007201D2"/>
    <w:rsid w:val="00720455"/>
    <w:rsid w:val="007222C5"/>
    <w:rsid w:val="00722C48"/>
    <w:rsid w:val="0072525D"/>
    <w:rsid w:val="00732583"/>
    <w:rsid w:val="00734241"/>
    <w:rsid w:val="007400CC"/>
    <w:rsid w:val="007427D7"/>
    <w:rsid w:val="007428BF"/>
    <w:rsid w:val="007533DA"/>
    <w:rsid w:val="00760B19"/>
    <w:rsid w:val="007669A3"/>
    <w:rsid w:val="00772D65"/>
    <w:rsid w:val="007735C9"/>
    <w:rsid w:val="00773899"/>
    <w:rsid w:val="00775473"/>
    <w:rsid w:val="00780814"/>
    <w:rsid w:val="00781E01"/>
    <w:rsid w:val="00782D70"/>
    <w:rsid w:val="00783B76"/>
    <w:rsid w:val="00786D8F"/>
    <w:rsid w:val="007939D6"/>
    <w:rsid w:val="007A0D46"/>
    <w:rsid w:val="007A6E62"/>
    <w:rsid w:val="007A79BF"/>
    <w:rsid w:val="007A7A15"/>
    <w:rsid w:val="007B14EA"/>
    <w:rsid w:val="007B1519"/>
    <w:rsid w:val="007B22C0"/>
    <w:rsid w:val="007C1AE3"/>
    <w:rsid w:val="007C3692"/>
    <w:rsid w:val="007C4288"/>
    <w:rsid w:val="007C4D74"/>
    <w:rsid w:val="007D2A3E"/>
    <w:rsid w:val="007D3FF5"/>
    <w:rsid w:val="007D488D"/>
    <w:rsid w:val="007E378D"/>
    <w:rsid w:val="007E5FC6"/>
    <w:rsid w:val="007F257F"/>
    <w:rsid w:val="007F7078"/>
    <w:rsid w:val="007F7842"/>
    <w:rsid w:val="008028A1"/>
    <w:rsid w:val="00807B7C"/>
    <w:rsid w:val="00813B20"/>
    <w:rsid w:val="00821F65"/>
    <w:rsid w:val="00826DA1"/>
    <w:rsid w:val="008301FD"/>
    <w:rsid w:val="00830DB2"/>
    <w:rsid w:val="00832079"/>
    <w:rsid w:val="00835231"/>
    <w:rsid w:val="00836928"/>
    <w:rsid w:val="00836ABE"/>
    <w:rsid w:val="00841229"/>
    <w:rsid w:val="00852D5C"/>
    <w:rsid w:val="00854327"/>
    <w:rsid w:val="00860D76"/>
    <w:rsid w:val="0086115D"/>
    <w:rsid w:val="008617CF"/>
    <w:rsid w:val="00862EF4"/>
    <w:rsid w:val="00863B12"/>
    <w:rsid w:val="00866257"/>
    <w:rsid w:val="0087138A"/>
    <w:rsid w:val="00874FA0"/>
    <w:rsid w:val="00875673"/>
    <w:rsid w:val="008757D7"/>
    <w:rsid w:val="008772D4"/>
    <w:rsid w:val="00877993"/>
    <w:rsid w:val="00877EFB"/>
    <w:rsid w:val="0088006F"/>
    <w:rsid w:val="00880BF6"/>
    <w:rsid w:val="00892414"/>
    <w:rsid w:val="008943C2"/>
    <w:rsid w:val="0089450E"/>
    <w:rsid w:val="00895B6F"/>
    <w:rsid w:val="008A1642"/>
    <w:rsid w:val="008A6581"/>
    <w:rsid w:val="008A659A"/>
    <w:rsid w:val="008B1C46"/>
    <w:rsid w:val="008B43DE"/>
    <w:rsid w:val="008B6759"/>
    <w:rsid w:val="008B7521"/>
    <w:rsid w:val="008C0540"/>
    <w:rsid w:val="008C28FC"/>
    <w:rsid w:val="008C2BAB"/>
    <w:rsid w:val="008C41DE"/>
    <w:rsid w:val="008E0EAF"/>
    <w:rsid w:val="008E1376"/>
    <w:rsid w:val="008E5208"/>
    <w:rsid w:val="008E5328"/>
    <w:rsid w:val="008E7EF7"/>
    <w:rsid w:val="008F2AAB"/>
    <w:rsid w:val="008F5A4B"/>
    <w:rsid w:val="008F74A9"/>
    <w:rsid w:val="00914B46"/>
    <w:rsid w:val="009168E2"/>
    <w:rsid w:val="009200B8"/>
    <w:rsid w:val="00921644"/>
    <w:rsid w:val="00922609"/>
    <w:rsid w:val="00933CBD"/>
    <w:rsid w:val="00935F60"/>
    <w:rsid w:val="00943271"/>
    <w:rsid w:val="00943B0E"/>
    <w:rsid w:val="009442B1"/>
    <w:rsid w:val="00952F8C"/>
    <w:rsid w:val="00954F31"/>
    <w:rsid w:val="009560DC"/>
    <w:rsid w:val="0096066B"/>
    <w:rsid w:val="00961D5D"/>
    <w:rsid w:val="0096319D"/>
    <w:rsid w:val="00965952"/>
    <w:rsid w:val="009661FB"/>
    <w:rsid w:val="0096712B"/>
    <w:rsid w:val="00982E0B"/>
    <w:rsid w:val="00987AD5"/>
    <w:rsid w:val="00990D21"/>
    <w:rsid w:val="00993B00"/>
    <w:rsid w:val="009953C8"/>
    <w:rsid w:val="00996EE3"/>
    <w:rsid w:val="009A10C6"/>
    <w:rsid w:val="009A4976"/>
    <w:rsid w:val="009B07D5"/>
    <w:rsid w:val="009B6230"/>
    <w:rsid w:val="009D6490"/>
    <w:rsid w:val="009D6B92"/>
    <w:rsid w:val="009D7B0F"/>
    <w:rsid w:val="009E0693"/>
    <w:rsid w:val="009E5C2B"/>
    <w:rsid w:val="009E7D47"/>
    <w:rsid w:val="009F2449"/>
    <w:rsid w:val="009F71EF"/>
    <w:rsid w:val="00A00045"/>
    <w:rsid w:val="00A04F89"/>
    <w:rsid w:val="00A111FB"/>
    <w:rsid w:val="00A1405A"/>
    <w:rsid w:val="00A152D9"/>
    <w:rsid w:val="00A24219"/>
    <w:rsid w:val="00A24223"/>
    <w:rsid w:val="00A25B4F"/>
    <w:rsid w:val="00A303F0"/>
    <w:rsid w:val="00A3386C"/>
    <w:rsid w:val="00A3393B"/>
    <w:rsid w:val="00A37DA1"/>
    <w:rsid w:val="00A41060"/>
    <w:rsid w:val="00A45738"/>
    <w:rsid w:val="00A47DB2"/>
    <w:rsid w:val="00A53C7E"/>
    <w:rsid w:val="00A54547"/>
    <w:rsid w:val="00A60D83"/>
    <w:rsid w:val="00A632C7"/>
    <w:rsid w:val="00A657CB"/>
    <w:rsid w:val="00A7129A"/>
    <w:rsid w:val="00A72901"/>
    <w:rsid w:val="00A7603D"/>
    <w:rsid w:val="00A84976"/>
    <w:rsid w:val="00A85FA3"/>
    <w:rsid w:val="00A86D84"/>
    <w:rsid w:val="00A87D8C"/>
    <w:rsid w:val="00A91114"/>
    <w:rsid w:val="00A93ED4"/>
    <w:rsid w:val="00AA1B18"/>
    <w:rsid w:val="00AA4DC0"/>
    <w:rsid w:val="00AA6728"/>
    <w:rsid w:val="00AA7288"/>
    <w:rsid w:val="00AB311F"/>
    <w:rsid w:val="00AB3401"/>
    <w:rsid w:val="00AB529C"/>
    <w:rsid w:val="00AB6B59"/>
    <w:rsid w:val="00AC33A6"/>
    <w:rsid w:val="00AC64FE"/>
    <w:rsid w:val="00AD48F8"/>
    <w:rsid w:val="00AD7FA1"/>
    <w:rsid w:val="00AE0A05"/>
    <w:rsid w:val="00AE2385"/>
    <w:rsid w:val="00AE73E3"/>
    <w:rsid w:val="00AF2005"/>
    <w:rsid w:val="00AF2789"/>
    <w:rsid w:val="00AF2B57"/>
    <w:rsid w:val="00AF4BA3"/>
    <w:rsid w:val="00B02148"/>
    <w:rsid w:val="00B03516"/>
    <w:rsid w:val="00B119AA"/>
    <w:rsid w:val="00B13445"/>
    <w:rsid w:val="00B1664D"/>
    <w:rsid w:val="00B210BB"/>
    <w:rsid w:val="00B21B89"/>
    <w:rsid w:val="00B22470"/>
    <w:rsid w:val="00B245F6"/>
    <w:rsid w:val="00B2721F"/>
    <w:rsid w:val="00B34C45"/>
    <w:rsid w:val="00B35E3C"/>
    <w:rsid w:val="00B409DF"/>
    <w:rsid w:val="00B41FE0"/>
    <w:rsid w:val="00B42A28"/>
    <w:rsid w:val="00B47165"/>
    <w:rsid w:val="00B55929"/>
    <w:rsid w:val="00B60D61"/>
    <w:rsid w:val="00B61982"/>
    <w:rsid w:val="00B656BA"/>
    <w:rsid w:val="00B72FA2"/>
    <w:rsid w:val="00B75D73"/>
    <w:rsid w:val="00B81631"/>
    <w:rsid w:val="00B81EAF"/>
    <w:rsid w:val="00B83D22"/>
    <w:rsid w:val="00B93ED6"/>
    <w:rsid w:val="00B95DD9"/>
    <w:rsid w:val="00B977E1"/>
    <w:rsid w:val="00BB666B"/>
    <w:rsid w:val="00BC31E8"/>
    <w:rsid w:val="00BC7568"/>
    <w:rsid w:val="00BD1BD4"/>
    <w:rsid w:val="00BD248B"/>
    <w:rsid w:val="00BD2950"/>
    <w:rsid w:val="00BD2ADB"/>
    <w:rsid w:val="00BD4110"/>
    <w:rsid w:val="00BD44D0"/>
    <w:rsid w:val="00BE118E"/>
    <w:rsid w:val="00BE360C"/>
    <w:rsid w:val="00BE7966"/>
    <w:rsid w:val="00BF2468"/>
    <w:rsid w:val="00C04CCC"/>
    <w:rsid w:val="00C156CA"/>
    <w:rsid w:val="00C15C0D"/>
    <w:rsid w:val="00C1633C"/>
    <w:rsid w:val="00C21F04"/>
    <w:rsid w:val="00C22852"/>
    <w:rsid w:val="00C23BCB"/>
    <w:rsid w:val="00C2490F"/>
    <w:rsid w:val="00C2537E"/>
    <w:rsid w:val="00C31E8A"/>
    <w:rsid w:val="00C34FB5"/>
    <w:rsid w:val="00C42581"/>
    <w:rsid w:val="00C441D3"/>
    <w:rsid w:val="00C44EE2"/>
    <w:rsid w:val="00C51333"/>
    <w:rsid w:val="00C513C0"/>
    <w:rsid w:val="00C5156B"/>
    <w:rsid w:val="00C528BC"/>
    <w:rsid w:val="00C54835"/>
    <w:rsid w:val="00C61B62"/>
    <w:rsid w:val="00C63693"/>
    <w:rsid w:val="00C72327"/>
    <w:rsid w:val="00C726A0"/>
    <w:rsid w:val="00C76C55"/>
    <w:rsid w:val="00C82DBD"/>
    <w:rsid w:val="00C833E1"/>
    <w:rsid w:val="00C900ED"/>
    <w:rsid w:val="00C93458"/>
    <w:rsid w:val="00CA191F"/>
    <w:rsid w:val="00CA734A"/>
    <w:rsid w:val="00CB089E"/>
    <w:rsid w:val="00CB2162"/>
    <w:rsid w:val="00CB36E4"/>
    <w:rsid w:val="00CB704D"/>
    <w:rsid w:val="00CB7916"/>
    <w:rsid w:val="00CC6DA3"/>
    <w:rsid w:val="00CD24BB"/>
    <w:rsid w:val="00CD37D4"/>
    <w:rsid w:val="00CE44AD"/>
    <w:rsid w:val="00CF24DD"/>
    <w:rsid w:val="00CF5F5D"/>
    <w:rsid w:val="00D032DA"/>
    <w:rsid w:val="00D04557"/>
    <w:rsid w:val="00D07114"/>
    <w:rsid w:val="00D13881"/>
    <w:rsid w:val="00D14055"/>
    <w:rsid w:val="00D24F30"/>
    <w:rsid w:val="00D27ED4"/>
    <w:rsid w:val="00D34AFF"/>
    <w:rsid w:val="00D3768F"/>
    <w:rsid w:val="00D44D2D"/>
    <w:rsid w:val="00D55769"/>
    <w:rsid w:val="00D65F69"/>
    <w:rsid w:val="00D741FB"/>
    <w:rsid w:val="00D77030"/>
    <w:rsid w:val="00D807B9"/>
    <w:rsid w:val="00D8092C"/>
    <w:rsid w:val="00D80CB0"/>
    <w:rsid w:val="00D841DA"/>
    <w:rsid w:val="00DA1B93"/>
    <w:rsid w:val="00DA69B0"/>
    <w:rsid w:val="00DA7B83"/>
    <w:rsid w:val="00DB3A25"/>
    <w:rsid w:val="00DC2A50"/>
    <w:rsid w:val="00DD610C"/>
    <w:rsid w:val="00DE7E48"/>
    <w:rsid w:val="00DF0B5E"/>
    <w:rsid w:val="00E01B34"/>
    <w:rsid w:val="00E11411"/>
    <w:rsid w:val="00E14706"/>
    <w:rsid w:val="00E24F00"/>
    <w:rsid w:val="00E3179F"/>
    <w:rsid w:val="00E3230F"/>
    <w:rsid w:val="00E33298"/>
    <w:rsid w:val="00E33890"/>
    <w:rsid w:val="00E3608D"/>
    <w:rsid w:val="00E366DB"/>
    <w:rsid w:val="00E37BF3"/>
    <w:rsid w:val="00E40B52"/>
    <w:rsid w:val="00E424A8"/>
    <w:rsid w:val="00E44532"/>
    <w:rsid w:val="00E45A4E"/>
    <w:rsid w:val="00E50EF4"/>
    <w:rsid w:val="00E550B4"/>
    <w:rsid w:val="00E65CCD"/>
    <w:rsid w:val="00E719D3"/>
    <w:rsid w:val="00E71B56"/>
    <w:rsid w:val="00E81401"/>
    <w:rsid w:val="00E83B15"/>
    <w:rsid w:val="00E86197"/>
    <w:rsid w:val="00E90D39"/>
    <w:rsid w:val="00E92772"/>
    <w:rsid w:val="00E97161"/>
    <w:rsid w:val="00EA064A"/>
    <w:rsid w:val="00EA1652"/>
    <w:rsid w:val="00EB3462"/>
    <w:rsid w:val="00EB723D"/>
    <w:rsid w:val="00EB75EF"/>
    <w:rsid w:val="00EC4231"/>
    <w:rsid w:val="00EC5559"/>
    <w:rsid w:val="00ED651E"/>
    <w:rsid w:val="00ED77DB"/>
    <w:rsid w:val="00EE0629"/>
    <w:rsid w:val="00EE339D"/>
    <w:rsid w:val="00EE7555"/>
    <w:rsid w:val="00EE7D9D"/>
    <w:rsid w:val="00EF1309"/>
    <w:rsid w:val="00EF6756"/>
    <w:rsid w:val="00EF7539"/>
    <w:rsid w:val="00F02B3C"/>
    <w:rsid w:val="00F05639"/>
    <w:rsid w:val="00F25B1F"/>
    <w:rsid w:val="00F266A5"/>
    <w:rsid w:val="00F31FD0"/>
    <w:rsid w:val="00F34F46"/>
    <w:rsid w:val="00F374E3"/>
    <w:rsid w:val="00F40D56"/>
    <w:rsid w:val="00F449E8"/>
    <w:rsid w:val="00F463EF"/>
    <w:rsid w:val="00F52181"/>
    <w:rsid w:val="00F54311"/>
    <w:rsid w:val="00F569F1"/>
    <w:rsid w:val="00F61124"/>
    <w:rsid w:val="00F63461"/>
    <w:rsid w:val="00F71B5F"/>
    <w:rsid w:val="00F73FA8"/>
    <w:rsid w:val="00F750C8"/>
    <w:rsid w:val="00F81164"/>
    <w:rsid w:val="00F84DA3"/>
    <w:rsid w:val="00F8745B"/>
    <w:rsid w:val="00FA0E5D"/>
    <w:rsid w:val="00FA461A"/>
    <w:rsid w:val="00FA4F8F"/>
    <w:rsid w:val="00FA5839"/>
    <w:rsid w:val="00FA58FE"/>
    <w:rsid w:val="00FB75C9"/>
    <w:rsid w:val="00FD3C0B"/>
    <w:rsid w:val="00FD4EB6"/>
    <w:rsid w:val="00FD78D7"/>
    <w:rsid w:val="00FE1BDE"/>
    <w:rsid w:val="00FE5E1A"/>
    <w:rsid w:val="00FE71CC"/>
    <w:rsid w:val="00FF1276"/>
    <w:rsid w:val="00FF35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2DD6"/>
  <w15:chartTrackingRefBased/>
  <w15:docId w15:val="{A134CCCD-D541-43D3-AAF6-7A39C060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4"/>
        <w:lang w:val="en-US" w:eastAsia="en-US" w:bidi="he-I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FE0"/>
    <w:pPr>
      <w:spacing w:line="276" w:lineRule="auto"/>
      <w:ind w:firstLine="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127E"/>
    <w:rPr>
      <w:color w:val="0563C1" w:themeColor="hyperlink"/>
      <w:u w:val="single"/>
    </w:rPr>
  </w:style>
  <w:style w:type="character" w:customStyle="1" w:styleId="authors">
    <w:name w:val="authors"/>
    <w:basedOn w:val="DefaultParagraphFont"/>
    <w:rsid w:val="0033127E"/>
  </w:style>
  <w:style w:type="character" w:customStyle="1" w:styleId="date">
    <w:name w:val="date"/>
    <w:basedOn w:val="DefaultParagraphFont"/>
    <w:rsid w:val="0033127E"/>
  </w:style>
  <w:style w:type="character" w:customStyle="1" w:styleId="arttitle">
    <w:name w:val="art_title"/>
    <w:basedOn w:val="DefaultParagraphFont"/>
    <w:rsid w:val="0033127E"/>
  </w:style>
  <w:style w:type="character" w:customStyle="1" w:styleId="serialtitle">
    <w:name w:val="serial_title"/>
    <w:basedOn w:val="DefaultParagraphFont"/>
    <w:rsid w:val="0033127E"/>
  </w:style>
  <w:style w:type="character" w:customStyle="1" w:styleId="volumeissue">
    <w:name w:val="volume_issue"/>
    <w:basedOn w:val="DefaultParagraphFont"/>
    <w:rsid w:val="0033127E"/>
  </w:style>
  <w:style w:type="character" w:customStyle="1" w:styleId="pagerange">
    <w:name w:val="page_range"/>
    <w:basedOn w:val="DefaultParagraphFont"/>
    <w:rsid w:val="0033127E"/>
  </w:style>
  <w:style w:type="character" w:styleId="Emphasis">
    <w:name w:val="Emphasis"/>
    <w:basedOn w:val="DefaultParagraphFont"/>
    <w:uiPriority w:val="20"/>
    <w:qFormat/>
    <w:rsid w:val="0033127E"/>
    <w:rPr>
      <w:i/>
      <w:iCs/>
    </w:rPr>
  </w:style>
  <w:style w:type="character" w:styleId="Strong">
    <w:name w:val="Strong"/>
    <w:basedOn w:val="DefaultParagraphFont"/>
    <w:uiPriority w:val="22"/>
    <w:qFormat/>
    <w:rsid w:val="0033127E"/>
    <w:rPr>
      <w:b/>
      <w:bCs/>
    </w:rPr>
  </w:style>
  <w:style w:type="paragraph" w:styleId="ListParagraph">
    <w:name w:val="List Paragraph"/>
    <w:basedOn w:val="Normal"/>
    <w:uiPriority w:val="34"/>
    <w:qFormat/>
    <w:rsid w:val="0033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43747">
      <w:bodyDiv w:val="1"/>
      <w:marLeft w:val="0"/>
      <w:marRight w:val="0"/>
      <w:marTop w:val="0"/>
      <w:marBottom w:val="0"/>
      <w:divBdr>
        <w:top w:val="none" w:sz="0" w:space="0" w:color="auto"/>
        <w:left w:val="none" w:sz="0" w:space="0" w:color="auto"/>
        <w:bottom w:val="none" w:sz="0" w:space="0" w:color="auto"/>
        <w:right w:val="none" w:sz="0" w:space="0" w:color="auto"/>
      </w:divBdr>
    </w:div>
    <w:div w:id="165106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journals/tcus20" TargetMode="External"/><Relationship Id="rId3" Type="http://schemas.openxmlformats.org/officeDocument/2006/relationships/settings" Target="settings.xml"/><Relationship Id="rId7" Type="http://schemas.openxmlformats.org/officeDocument/2006/relationships/hyperlink" Target="https://www.tandfonline.com/action/journalInformation?show=aimsScope&amp;journalCode=cshe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iostatepress.org/JHE.html" TargetMode="External"/><Relationship Id="rId5" Type="http://schemas.openxmlformats.org/officeDocument/2006/relationships/hyperlink" Target="https://www.springer.com/journal/107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1</cp:revision>
  <dcterms:created xsi:type="dcterms:W3CDTF">2022-05-17T11:19:00Z</dcterms:created>
  <dcterms:modified xsi:type="dcterms:W3CDTF">2022-05-17T11:29:00Z</dcterms:modified>
</cp:coreProperties>
</file>