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BB" w:rsidRPr="009130DA" w:rsidRDefault="006D261B">
      <w:pPr>
        <w:rPr>
          <w:sz w:val="32"/>
          <w:szCs w:val="32"/>
        </w:rPr>
      </w:pPr>
      <w:r w:rsidRPr="009130DA">
        <w:rPr>
          <w:rFonts w:hint="cs"/>
          <w:sz w:val="32"/>
          <w:szCs w:val="32"/>
          <w:rtl/>
        </w:rPr>
        <w:t xml:space="preserve">יד על הדופק: עדכוני </w:t>
      </w:r>
      <w:r w:rsidRPr="009130DA">
        <w:rPr>
          <w:sz w:val="32"/>
          <w:szCs w:val="32"/>
        </w:rPr>
        <w:t>GILTI</w:t>
      </w:r>
    </w:p>
    <w:p w:rsidR="006D261B" w:rsidRPr="009130DA" w:rsidRDefault="003D3BCE" w:rsidP="00370906">
      <w:pPr>
        <w:spacing w:line="360" w:lineRule="auto"/>
        <w:rPr>
          <w:rFonts w:hint="cs"/>
          <w:sz w:val="28"/>
          <w:szCs w:val="28"/>
          <w:rtl/>
        </w:rPr>
      </w:pPr>
      <w:r w:rsidRPr="009130DA">
        <w:rPr>
          <w:rFonts w:hint="cs"/>
          <w:sz w:val="28"/>
          <w:szCs w:val="28"/>
          <w:rtl/>
        </w:rPr>
        <w:t xml:space="preserve">על התקנות המוצעות החדשות בגרסתן הסופית וכיצד הן משפיעות על משלם המיסים </w:t>
      </w:r>
      <w:r w:rsidR="00370906" w:rsidRPr="009130DA">
        <w:rPr>
          <w:rFonts w:hint="cs"/>
          <w:sz w:val="28"/>
          <w:szCs w:val="28"/>
          <w:rtl/>
        </w:rPr>
        <w:t>ה</w:t>
      </w:r>
      <w:r w:rsidR="00370906">
        <w:rPr>
          <w:rFonts w:hint="cs"/>
          <w:sz w:val="28"/>
          <w:szCs w:val="28"/>
          <w:rtl/>
        </w:rPr>
        <w:t>פרטי</w:t>
      </w:r>
    </w:p>
    <w:p w:rsidR="003D3BCE" w:rsidRPr="009130DA" w:rsidRDefault="00BE7148" w:rsidP="002D2939">
      <w:pPr>
        <w:spacing w:line="360" w:lineRule="auto"/>
        <w:rPr>
          <w:sz w:val="24"/>
          <w:szCs w:val="24"/>
          <w:rtl/>
        </w:rPr>
      </w:pPr>
      <w:r w:rsidRPr="009130DA">
        <w:rPr>
          <w:rFonts w:hint="cs"/>
          <w:sz w:val="24"/>
          <w:szCs w:val="24"/>
          <w:rtl/>
        </w:rPr>
        <w:t xml:space="preserve">ב-14 ביוני 2019 </w:t>
      </w:r>
      <w:r w:rsidR="003D3BCE" w:rsidRPr="009130DA">
        <w:rPr>
          <w:rFonts w:hint="cs"/>
          <w:sz w:val="24"/>
          <w:szCs w:val="24"/>
          <w:rtl/>
        </w:rPr>
        <w:t>פרסמה ה-</w:t>
      </w:r>
      <w:r w:rsidR="003D3BCE" w:rsidRPr="009130DA">
        <w:rPr>
          <w:sz w:val="24"/>
          <w:szCs w:val="24"/>
        </w:rPr>
        <w:t>IRS</w:t>
      </w:r>
      <w:r w:rsidR="003D3BCE" w:rsidRPr="009130DA">
        <w:rPr>
          <w:rFonts w:hint="cs"/>
          <w:sz w:val="24"/>
          <w:szCs w:val="24"/>
          <w:rtl/>
        </w:rPr>
        <w:t xml:space="preserve"> (רשות המיסים האמריקנית) את </w:t>
      </w:r>
      <w:hyperlink r:id="rId4" w:history="1">
        <w:r w:rsidRPr="009130DA">
          <w:rPr>
            <w:rStyle w:val="Hyperlink"/>
            <w:sz w:val="24"/>
            <w:szCs w:val="24"/>
            <w:rtl/>
          </w:rPr>
          <w:t>התקנות הסופיות</w:t>
        </w:r>
      </w:hyperlink>
      <w:r w:rsidRPr="009130DA">
        <w:rPr>
          <w:rFonts w:hint="cs"/>
          <w:sz w:val="24"/>
          <w:szCs w:val="24"/>
          <w:rtl/>
        </w:rPr>
        <w:t xml:space="preserve"> העוסקות </w:t>
      </w:r>
      <w:r w:rsidR="007835AA">
        <w:rPr>
          <w:rFonts w:hint="cs"/>
          <w:sz w:val="24"/>
          <w:szCs w:val="24"/>
          <w:rtl/>
        </w:rPr>
        <w:t>ב</w:t>
      </w:r>
      <w:r w:rsidRPr="009130DA">
        <w:rPr>
          <w:rFonts w:hint="cs"/>
          <w:sz w:val="24"/>
          <w:szCs w:val="24"/>
          <w:rtl/>
        </w:rPr>
        <w:t xml:space="preserve">כללי יישום מס </w:t>
      </w:r>
      <w:r w:rsidRPr="009130DA">
        <w:rPr>
          <w:sz w:val="24"/>
          <w:szCs w:val="24"/>
        </w:rPr>
        <w:t>GILTI</w:t>
      </w:r>
      <w:r w:rsidR="007835AA">
        <w:rPr>
          <w:rFonts w:hint="cs"/>
          <w:sz w:val="24"/>
          <w:szCs w:val="24"/>
          <w:rtl/>
        </w:rPr>
        <w:t xml:space="preserve"> להן ציפינו כל כך</w:t>
      </w:r>
      <w:r w:rsidRPr="009130DA">
        <w:rPr>
          <w:rFonts w:hint="cs"/>
          <w:sz w:val="24"/>
          <w:szCs w:val="24"/>
          <w:rtl/>
        </w:rPr>
        <w:t>.</w:t>
      </w:r>
      <w:r w:rsidR="007E6BC5" w:rsidRPr="009130DA">
        <w:rPr>
          <w:rFonts w:hint="cs"/>
          <w:sz w:val="24"/>
          <w:szCs w:val="24"/>
          <w:rtl/>
        </w:rPr>
        <w:t xml:space="preserve">מס </w:t>
      </w:r>
      <w:r w:rsidR="007E6BC5" w:rsidRPr="009130DA">
        <w:rPr>
          <w:sz w:val="24"/>
          <w:szCs w:val="24"/>
        </w:rPr>
        <w:t>GILTI</w:t>
      </w:r>
      <w:r w:rsidR="007E6BC5" w:rsidRPr="009130DA">
        <w:rPr>
          <w:rFonts w:hint="cs"/>
          <w:sz w:val="24"/>
          <w:szCs w:val="24"/>
          <w:rtl/>
        </w:rPr>
        <w:t xml:space="preserve"> הוא</w:t>
      </w:r>
      <w:r w:rsidR="00B40549" w:rsidRPr="009130DA">
        <w:rPr>
          <w:rFonts w:hint="cs"/>
          <w:sz w:val="24"/>
          <w:szCs w:val="24"/>
          <w:rtl/>
        </w:rPr>
        <w:t xml:space="preserve"> מס שהוכרז ב</w:t>
      </w:r>
      <w:r w:rsidR="00985E22" w:rsidRPr="009130DA">
        <w:rPr>
          <w:rFonts w:hint="cs"/>
          <w:sz w:val="24"/>
          <w:szCs w:val="24"/>
          <w:rtl/>
        </w:rPr>
        <w:t>רפורמת המס של טראמפ (</w:t>
      </w:r>
      <w:r w:rsidR="00B40549" w:rsidRPr="009130DA">
        <w:rPr>
          <w:sz w:val="24"/>
          <w:szCs w:val="24"/>
        </w:rPr>
        <w:t>Tax Cut and Jobs Act</w:t>
      </w:r>
      <w:r w:rsidR="00985E22" w:rsidRPr="009130DA">
        <w:rPr>
          <w:rFonts w:hint="cs"/>
          <w:sz w:val="24"/>
          <w:szCs w:val="24"/>
          <w:rtl/>
        </w:rPr>
        <w:t xml:space="preserve">) משנת 2017 ומתמקד במיסוי רווחים מחברות זרות (הנמצאות מחוץ לגבולות ארה"ב) המצויות בבעלות אזרחי ארה"ב. ביום שהועבר החוק פרסמה רשות המסים האמריקנית תקנות מוצעות חדשות כדי להבהיר כיצד </w:t>
      </w:r>
      <w:r w:rsidR="002D2939">
        <w:rPr>
          <w:rFonts w:hint="cs"/>
          <w:sz w:val="24"/>
          <w:szCs w:val="24"/>
          <w:rtl/>
        </w:rPr>
        <w:t>יש לייש</w:t>
      </w:r>
      <w:r w:rsidR="00985E22" w:rsidRPr="009130DA">
        <w:rPr>
          <w:rFonts w:hint="cs"/>
          <w:sz w:val="24"/>
          <w:szCs w:val="24"/>
          <w:rtl/>
        </w:rPr>
        <w:t xml:space="preserve">ם </w:t>
      </w:r>
      <w:r w:rsidR="007835AA">
        <w:rPr>
          <w:rFonts w:hint="cs"/>
          <w:sz w:val="24"/>
          <w:szCs w:val="24"/>
          <w:rtl/>
        </w:rPr>
        <w:t xml:space="preserve">את </w:t>
      </w:r>
      <w:r w:rsidR="00985E22" w:rsidRPr="009130DA">
        <w:rPr>
          <w:rFonts w:hint="cs"/>
          <w:sz w:val="24"/>
          <w:szCs w:val="24"/>
          <w:rtl/>
        </w:rPr>
        <w:t>המס החדש.</w:t>
      </w:r>
    </w:p>
    <w:p w:rsidR="00985E22" w:rsidRPr="009130DA" w:rsidRDefault="00985E22" w:rsidP="007835AA">
      <w:pPr>
        <w:spacing w:line="360" w:lineRule="auto"/>
        <w:rPr>
          <w:sz w:val="24"/>
          <w:szCs w:val="24"/>
          <w:rtl/>
        </w:rPr>
      </w:pPr>
      <w:r w:rsidRPr="009130DA">
        <w:rPr>
          <w:rFonts w:hint="cs"/>
          <w:sz w:val="24"/>
          <w:szCs w:val="24"/>
          <w:rtl/>
        </w:rPr>
        <w:t xml:space="preserve">בתקנות </w:t>
      </w:r>
      <w:r w:rsidR="007835AA">
        <w:rPr>
          <w:rFonts w:hint="cs"/>
          <w:sz w:val="24"/>
          <w:szCs w:val="24"/>
          <w:rtl/>
        </w:rPr>
        <w:t xml:space="preserve">המוצעות </w:t>
      </w:r>
      <w:r w:rsidRPr="009130DA">
        <w:rPr>
          <w:rFonts w:hint="cs"/>
          <w:sz w:val="24"/>
          <w:szCs w:val="24"/>
          <w:rtl/>
        </w:rPr>
        <w:t xml:space="preserve">נראה שרשות המסים האמריקנית </w:t>
      </w:r>
      <w:r w:rsidR="002D2939">
        <w:rPr>
          <w:rFonts w:hint="cs"/>
          <w:sz w:val="24"/>
          <w:szCs w:val="24"/>
          <w:rtl/>
        </w:rPr>
        <w:t>מסכימה</w:t>
      </w:r>
      <w:r w:rsidRPr="009130DA">
        <w:rPr>
          <w:rFonts w:hint="cs"/>
          <w:sz w:val="24"/>
          <w:szCs w:val="24"/>
          <w:rtl/>
        </w:rPr>
        <w:t xml:space="preserve"> שיש </w:t>
      </w:r>
      <w:r w:rsidR="002D2939">
        <w:rPr>
          <w:rFonts w:hint="cs"/>
          <w:sz w:val="24"/>
          <w:szCs w:val="24"/>
          <w:rtl/>
        </w:rPr>
        <w:t>לפטור את משלמי</w:t>
      </w:r>
      <w:r w:rsidRPr="009130DA">
        <w:rPr>
          <w:rFonts w:hint="cs"/>
          <w:sz w:val="24"/>
          <w:szCs w:val="24"/>
          <w:rtl/>
        </w:rPr>
        <w:t xml:space="preserve"> המיסים </w:t>
      </w:r>
      <w:r w:rsidR="007835AA" w:rsidRPr="009130DA">
        <w:rPr>
          <w:rFonts w:hint="cs"/>
          <w:sz w:val="24"/>
          <w:szCs w:val="24"/>
          <w:rtl/>
        </w:rPr>
        <w:t>ה</w:t>
      </w:r>
      <w:r w:rsidR="007835AA">
        <w:rPr>
          <w:rFonts w:hint="cs"/>
          <w:sz w:val="24"/>
          <w:szCs w:val="24"/>
          <w:rtl/>
        </w:rPr>
        <w:t>פרטיים</w:t>
      </w:r>
      <w:r w:rsidR="007835AA">
        <w:rPr>
          <w:rFonts w:hint="cs"/>
          <w:sz w:val="24"/>
          <w:szCs w:val="24"/>
          <w:rtl/>
        </w:rPr>
        <w:t xml:space="preserve"> </w:t>
      </w:r>
      <w:r w:rsidR="002D2939">
        <w:rPr>
          <w:rFonts w:hint="cs"/>
          <w:sz w:val="24"/>
          <w:szCs w:val="24"/>
          <w:rtl/>
        </w:rPr>
        <w:t>ממס כפול על הכנסותיהם מחברות שבבעלותם</w:t>
      </w:r>
      <w:r w:rsidRPr="009130DA">
        <w:rPr>
          <w:rFonts w:hint="cs"/>
          <w:sz w:val="24"/>
          <w:szCs w:val="24"/>
          <w:rtl/>
        </w:rPr>
        <w:t>.</w:t>
      </w:r>
      <w:r w:rsidR="00C60509" w:rsidRPr="009130DA">
        <w:rPr>
          <w:rFonts w:hint="cs"/>
          <w:sz w:val="24"/>
          <w:szCs w:val="24"/>
          <w:rtl/>
        </w:rPr>
        <w:t xml:space="preserve"> על פי הצעת הרשות, במקרה שחברה ממוסה במס חברות זר בשיעור של 90% או יותר משיעור מס החברות הנוהג בארה"ב (כיום 21%), ההכנסה לא תוגדר </w:t>
      </w:r>
      <w:r w:rsidR="002D2939">
        <w:rPr>
          <w:rFonts w:hint="cs"/>
          <w:sz w:val="24"/>
          <w:szCs w:val="24"/>
          <w:rtl/>
        </w:rPr>
        <w:t>כ-</w:t>
      </w:r>
      <w:r w:rsidR="00C60509" w:rsidRPr="009130DA">
        <w:rPr>
          <w:rFonts w:hint="cs"/>
          <w:sz w:val="24"/>
          <w:szCs w:val="24"/>
          <w:rtl/>
        </w:rPr>
        <w:t>"</w:t>
      </w:r>
      <w:r w:rsidR="00C60509" w:rsidRPr="009130DA">
        <w:rPr>
          <w:sz w:val="24"/>
          <w:szCs w:val="24"/>
        </w:rPr>
        <w:t>tested income</w:t>
      </w:r>
      <w:r w:rsidR="00C60509" w:rsidRPr="009130DA">
        <w:rPr>
          <w:rFonts w:hint="cs"/>
          <w:sz w:val="24"/>
          <w:szCs w:val="24"/>
          <w:rtl/>
        </w:rPr>
        <w:t xml:space="preserve">" וכך תהיה פטורה ממס </w:t>
      </w:r>
      <w:r w:rsidR="00C60509" w:rsidRPr="009130DA">
        <w:rPr>
          <w:sz w:val="24"/>
          <w:szCs w:val="24"/>
        </w:rPr>
        <w:t>GILTI</w:t>
      </w:r>
      <w:r w:rsidR="00C60509" w:rsidRPr="009130DA">
        <w:rPr>
          <w:rFonts w:hint="cs"/>
          <w:sz w:val="24"/>
          <w:szCs w:val="24"/>
          <w:rtl/>
        </w:rPr>
        <w:t>. כל מה שיש לעשות הוא להגיש הצהרת בחירה יחד עם דוח המס האמריקני ובה אתם מודיעים כי אתם זכאים לפטור ממסים בשיעור גבוה (</w:t>
      </w:r>
      <w:r w:rsidR="00FD2323" w:rsidRPr="009130DA">
        <w:rPr>
          <w:sz w:val="24"/>
          <w:szCs w:val="24"/>
        </w:rPr>
        <w:t>HT</w:t>
      </w:r>
      <w:r w:rsidR="00C60509" w:rsidRPr="009130DA">
        <w:rPr>
          <w:sz w:val="24"/>
          <w:szCs w:val="24"/>
        </w:rPr>
        <w:t>E – high tax exception</w:t>
      </w:r>
      <w:r w:rsidR="00C60509" w:rsidRPr="009130DA">
        <w:rPr>
          <w:rFonts w:hint="cs"/>
          <w:sz w:val="24"/>
          <w:szCs w:val="24"/>
          <w:rtl/>
        </w:rPr>
        <w:t xml:space="preserve">) </w:t>
      </w:r>
      <w:r w:rsidR="00FD2323" w:rsidRPr="009130DA">
        <w:rPr>
          <w:rFonts w:hint="cs"/>
          <w:sz w:val="24"/>
          <w:szCs w:val="24"/>
          <w:rtl/>
        </w:rPr>
        <w:t xml:space="preserve">על פי סעיף </w:t>
      </w:r>
      <w:r w:rsidR="00FD2323" w:rsidRPr="009130DA">
        <w:rPr>
          <w:sz w:val="24"/>
          <w:szCs w:val="24"/>
        </w:rPr>
        <w:t>954(b)(4)</w:t>
      </w:r>
      <w:r w:rsidR="00FD2323" w:rsidRPr="009130DA">
        <w:rPr>
          <w:rFonts w:hint="cs"/>
          <w:sz w:val="24"/>
          <w:szCs w:val="24"/>
          <w:rtl/>
        </w:rPr>
        <w:t>. כלומר, אם אתם משלמים מס חברות</w:t>
      </w:r>
      <w:r w:rsidR="002425F0">
        <w:rPr>
          <w:rFonts w:hint="cs"/>
          <w:sz w:val="24"/>
          <w:szCs w:val="24"/>
          <w:rtl/>
        </w:rPr>
        <w:t xml:space="preserve"> זר</w:t>
      </w:r>
      <w:r w:rsidR="00FD2323" w:rsidRPr="009130DA">
        <w:rPr>
          <w:rFonts w:hint="cs"/>
          <w:sz w:val="24"/>
          <w:szCs w:val="24"/>
          <w:rtl/>
        </w:rPr>
        <w:t xml:space="preserve"> של 18.9% או יותר, אתם יכולים לבחור שלא לשלם מס </w:t>
      </w:r>
      <w:r w:rsidR="00FD2323" w:rsidRPr="009130DA">
        <w:rPr>
          <w:sz w:val="24"/>
          <w:szCs w:val="24"/>
        </w:rPr>
        <w:t>GILTI</w:t>
      </w:r>
      <w:r w:rsidR="00FD2323" w:rsidRPr="009130DA">
        <w:rPr>
          <w:rFonts w:hint="cs"/>
          <w:sz w:val="24"/>
          <w:szCs w:val="24"/>
          <w:rtl/>
        </w:rPr>
        <w:t>. בהשוואה לשיטות הקודמות, האפשרות הזו תהפוך את הגשת דוחות המס לפשוטים הרבה יותר.</w:t>
      </w:r>
    </w:p>
    <w:p w:rsidR="00FD2323" w:rsidRPr="009130DA" w:rsidRDefault="00FD2323" w:rsidP="002425F0">
      <w:pPr>
        <w:spacing w:line="360" w:lineRule="auto"/>
        <w:rPr>
          <w:sz w:val="24"/>
          <w:szCs w:val="24"/>
          <w:rtl/>
        </w:rPr>
      </w:pPr>
      <w:r w:rsidRPr="009130DA">
        <w:rPr>
          <w:rFonts w:hint="cs"/>
          <w:sz w:val="24"/>
          <w:szCs w:val="24"/>
          <w:rtl/>
        </w:rPr>
        <w:t xml:space="preserve">נראה שאפשרות הבחירה הזו משפרת מאוד את מצבם של משלמי המיסים </w:t>
      </w:r>
      <w:r w:rsidR="002D2939">
        <w:rPr>
          <w:rFonts w:hint="cs"/>
          <w:sz w:val="24"/>
          <w:szCs w:val="24"/>
          <w:rtl/>
        </w:rPr>
        <w:t>ו</w:t>
      </w:r>
      <w:r w:rsidRPr="009130DA">
        <w:rPr>
          <w:rFonts w:hint="cs"/>
          <w:sz w:val="24"/>
          <w:szCs w:val="24"/>
          <w:rtl/>
        </w:rPr>
        <w:t xml:space="preserve">אנשי המקצוע. עם זאת, חשוב לשים לב שפטור זה אינו פוטר את משלמי המסים ממס </w:t>
      </w:r>
      <w:r w:rsidRPr="009130DA">
        <w:rPr>
          <w:sz w:val="24"/>
          <w:szCs w:val="24"/>
        </w:rPr>
        <w:t>GILTI</w:t>
      </w:r>
      <w:r w:rsidRPr="009130DA">
        <w:rPr>
          <w:rFonts w:hint="cs"/>
          <w:sz w:val="24"/>
          <w:szCs w:val="24"/>
          <w:rtl/>
        </w:rPr>
        <w:t xml:space="preserve"> בכל התרחישים האפשריים </w:t>
      </w:r>
      <w:r w:rsidR="002D2939">
        <w:rPr>
          <w:sz w:val="24"/>
          <w:szCs w:val="24"/>
          <w:rtl/>
        </w:rPr>
        <w:t>–</w:t>
      </w:r>
      <w:r w:rsidR="002425F0">
        <w:rPr>
          <w:rFonts w:hint="cs"/>
          <w:sz w:val="24"/>
          <w:szCs w:val="24"/>
          <w:rtl/>
        </w:rPr>
        <w:t xml:space="preserve"> </w:t>
      </w:r>
      <w:r w:rsidR="002D2939">
        <w:rPr>
          <w:rFonts w:hint="cs"/>
          <w:sz w:val="24"/>
          <w:szCs w:val="24"/>
          <w:rtl/>
        </w:rPr>
        <w:t xml:space="preserve">כמו למשל </w:t>
      </w:r>
      <w:hyperlink r:id="rId5" w:history="1">
        <w:r w:rsidRPr="009130DA">
          <w:rPr>
            <w:rStyle w:val="Hyperlink"/>
            <w:rFonts w:cs="Arial" w:hint="cs"/>
            <w:sz w:val="24"/>
            <w:szCs w:val="24"/>
            <w:rtl/>
          </w:rPr>
          <w:t>שלושת</w:t>
        </w:r>
        <w:r w:rsidR="002425F0">
          <w:rPr>
            <w:rStyle w:val="Hyperlink"/>
            <w:rFonts w:cs="Arial" w:hint="cs"/>
            <w:sz w:val="24"/>
            <w:szCs w:val="24"/>
            <w:rtl/>
          </w:rPr>
          <w:t xml:space="preserve"> </w:t>
        </w:r>
        <w:r w:rsidRPr="009130DA">
          <w:rPr>
            <w:rStyle w:val="Hyperlink"/>
            <w:rFonts w:cs="Arial" w:hint="cs"/>
            <w:sz w:val="24"/>
            <w:szCs w:val="24"/>
            <w:rtl/>
          </w:rPr>
          <w:t>המקרים</w:t>
        </w:r>
        <w:r w:rsidR="002425F0">
          <w:rPr>
            <w:rStyle w:val="Hyperlink"/>
            <w:rFonts w:cs="Arial" w:hint="cs"/>
            <w:sz w:val="24"/>
            <w:szCs w:val="24"/>
            <w:rtl/>
          </w:rPr>
          <w:t xml:space="preserve"> </w:t>
        </w:r>
        <w:r w:rsidRPr="009130DA">
          <w:rPr>
            <w:rStyle w:val="Hyperlink"/>
            <w:rFonts w:cs="Arial" w:hint="cs"/>
            <w:sz w:val="24"/>
            <w:szCs w:val="24"/>
            <w:rtl/>
          </w:rPr>
          <w:t>שבהם</w:t>
        </w:r>
        <w:r w:rsidR="002425F0">
          <w:rPr>
            <w:rStyle w:val="Hyperlink"/>
            <w:rFonts w:cs="Arial" w:hint="cs"/>
            <w:sz w:val="24"/>
            <w:szCs w:val="24"/>
            <w:rtl/>
          </w:rPr>
          <w:t xml:space="preserve"> </w:t>
        </w:r>
        <w:r w:rsidRPr="009130DA">
          <w:rPr>
            <w:rStyle w:val="Hyperlink"/>
            <w:rFonts w:cs="Arial" w:hint="cs"/>
            <w:sz w:val="24"/>
            <w:szCs w:val="24"/>
            <w:rtl/>
          </w:rPr>
          <w:t>בכל</w:t>
        </w:r>
        <w:r w:rsidR="002425F0">
          <w:rPr>
            <w:rStyle w:val="Hyperlink"/>
            <w:rFonts w:cs="Arial" w:hint="cs"/>
            <w:sz w:val="24"/>
            <w:szCs w:val="24"/>
            <w:rtl/>
          </w:rPr>
          <w:t xml:space="preserve"> </w:t>
        </w:r>
        <w:r w:rsidRPr="009130DA">
          <w:rPr>
            <w:rStyle w:val="Hyperlink"/>
            <w:rFonts w:cs="Arial" w:hint="cs"/>
            <w:sz w:val="24"/>
            <w:szCs w:val="24"/>
            <w:rtl/>
          </w:rPr>
          <w:t>זאת</w:t>
        </w:r>
        <w:r w:rsidR="002425F0">
          <w:rPr>
            <w:rStyle w:val="Hyperlink"/>
            <w:rFonts w:cs="Arial" w:hint="cs"/>
            <w:sz w:val="24"/>
            <w:szCs w:val="24"/>
            <w:rtl/>
          </w:rPr>
          <w:t xml:space="preserve"> יש </w:t>
        </w:r>
        <w:r w:rsidRPr="009130DA">
          <w:rPr>
            <w:rStyle w:val="Hyperlink"/>
            <w:rFonts w:cs="Arial" w:hint="cs"/>
            <w:sz w:val="24"/>
            <w:szCs w:val="24"/>
            <w:rtl/>
          </w:rPr>
          <w:t>לשלם</w:t>
        </w:r>
        <w:r w:rsidR="002425F0">
          <w:rPr>
            <w:rStyle w:val="Hyperlink"/>
            <w:rFonts w:cs="Arial" w:hint="cs"/>
            <w:sz w:val="24"/>
            <w:szCs w:val="24"/>
            <w:rtl/>
          </w:rPr>
          <w:t xml:space="preserve"> </w:t>
        </w:r>
        <w:r w:rsidRPr="009130DA">
          <w:rPr>
            <w:rStyle w:val="Hyperlink"/>
            <w:rFonts w:cs="Arial" w:hint="cs"/>
            <w:sz w:val="24"/>
            <w:szCs w:val="24"/>
            <w:rtl/>
          </w:rPr>
          <w:t>מס</w:t>
        </w:r>
        <w:r w:rsidRPr="009130DA">
          <w:rPr>
            <w:rStyle w:val="Hyperlink"/>
            <w:sz w:val="24"/>
            <w:szCs w:val="24"/>
          </w:rPr>
          <w:t>GILTI</w:t>
        </w:r>
      </w:hyperlink>
      <w:r w:rsidR="002425F0">
        <w:t xml:space="preserve"> </w:t>
      </w:r>
      <w:r w:rsidRPr="009130DA">
        <w:rPr>
          <w:rFonts w:cs="Arial" w:hint="cs"/>
          <w:sz w:val="24"/>
          <w:szCs w:val="24"/>
          <w:rtl/>
        </w:rPr>
        <w:t xml:space="preserve"> ושעליהם כתבנו ברשומה קודמת. הבעיות הללו קיימות גם לנוכח תקנת הפטור ממיסוי </w:t>
      </w:r>
      <w:r w:rsidR="008278FD" w:rsidRPr="009130DA">
        <w:rPr>
          <w:rFonts w:cs="Arial" w:hint="cs"/>
          <w:sz w:val="24"/>
          <w:szCs w:val="24"/>
          <w:rtl/>
        </w:rPr>
        <w:t xml:space="preserve">בשיעור </w:t>
      </w:r>
      <w:r w:rsidRPr="009130DA">
        <w:rPr>
          <w:rFonts w:cs="Arial" w:hint="cs"/>
          <w:sz w:val="24"/>
          <w:szCs w:val="24"/>
          <w:rtl/>
        </w:rPr>
        <w:t>גבוה</w:t>
      </w:r>
      <w:r w:rsidR="002425F0">
        <w:rPr>
          <w:rFonts w:cs="Arial" w:hint="cs"/>
          <w:sz w:val="24"/>
          <w:szCs w:val="24"/>
          <w:rtl/>
        </w:rPr>
        <w:t xml:space="preserve"> </w:t>
      </w:r>
      <w:r w:rsidRPr="009130DA">
        <w:rPr>
          <w:rFonts w:hint="cs"/>
          <w:sz w:val="24"/>
          <w:szCs w:val="24"/>
          <w:rtl/>
        </w:rPr>
        <w:t>(</w:t>
      </w:r>
      <w:r w:rsidRPr="009130DA">
        <w:rPr>
          <w:sz w:val="24"/>
          <w:szCs w:val="24"/>
        </w:rPr>
        <w:t>HTE – high tax exception</w:t>
      </w:r>
      <w:r w:rsidRPr="009130DA">
        <w:rPr>
          <w:rFonts w:hint="cs"/>
          <w:sz w:val="24"/>
          <w:szCs w:val="24"/>
          <w:rtl/>
        </w:rPr>
        <w:t xml:space="preserve">) ומס </w:t>
      </w:r>
      <w:r w:rsidRPr="009130DA">
        <w:rPr>
          <w:sz w:val="24"/>
          <w:szCs w:val="24"/>
        </w:rPr>
        <w:t>GILTI</w:t>
      </w:r>
      <w:r w:rsidRPr="009130DA">
        <w:rPr>
          <w:rFonts w:hint="cs"/>
          <w:sz w:val="24"/>
          <w:szCs w:val="24"/>
          <w:rtl/>
        </w:rPr>
        <w:t xml:space="preserve"> יחול גם לאחר הבחירה בסעיף 962. ראשית, יש להיות ערים לכמה פרטים חשובים הנוגעים לפטור המוצע החדש והמורחב ממיסוי </w:t>
      </w:r>
      <w:r w:rsidR="008278FD" w:rsidRPr="009130DA">
        <w:rPr>
          <w:rFonts w:hint="cs"/>
          <w:sz w:val="24"/>
          <w:szCs w:val="24"/>
          <w:rtl/>
        </w:rPr>
        <w:t xml:space="preserve">בשיעור </w:t>
      </w:r>
      <w:r w:rsidRPr="009130DA">
        <w:rPr>
          <w:rFonts w:hint="cs"/>
          <w:sz w:val="24"/>
          <w:szCs w:val="24"/>
          <w:rtl/>
        </w:rPr>
        <w:t>גבוה (</w:t>
      </w:r>
      <w:r w:rsidRPr="009130DA">
        <w:rPr>
          <w:sz w:val="24"/>
          <w:szCs w:val="24"/>
        </w:rPr>
        <w:t>HTE – high tax exception</w:t>
      </w:r>
      <w:r w:rsidRPr="009130DA">
        <w:rPr>
          <w:rFonts w:hint="cs"/>
          <w:sz w:val="24"/>
          <w:szCs w:val="24"/>
          <w:rtl/>
        </w:rPr>
        <w:t>):</w:t>
      </w:r>
    </w:p>
    <w:p w:rsidR="00FD2323" w:rsidRPr="00A2546A" w:rsidRDefault="008278FD" w:rsidP="009130DA">
      <w:pPr>
        <w:spacing w:line="360" w:lineRule="auto"/>
        <w:rPr>
          <w:sz w:val="28"/>
          <w:szCs w:val="28"/>
          <w:u w:val="single"/>
          <w:rtl/>
        </w:rPr>
      </w:pPr>
      <w:r w:rsidRPr="00A2546A">
        <w:rPr>
          <w:rFonts w:hint="cs"/>
          <w:sz w:val="28"/>
          <w:szCs w:val="28"/>
          <w:u w:val="single"/>
          <w:rtl/>
        </w:rPr>
        <w:t>למה יש לשים לב באפשרות הבחירה החדשה:</w:t>
      </w:r>
    </w:p>
    <w:p w:rsidR="008278FD" w:rsidRPr="009130DA" w:rsidRDefault="008278FD" w:rsidP="00A2546A">
      <w:pPr>
        <w:spacing w:line="360" w:lineRule="auto"/>
        <w:rPr>
          <w:sz w:val="24"/>
          <w:szCs w:val="24"/>
          <w:rtl/>
        </w:rPr>
      </w:pPr>
      <w:r w:rsidRPr="009130DA">
        <w:rPr>
          <w:rFonts w:hint="cs"/>
          <w:sz w:val="24"/>
          <w:szCs w:val="24"/>
          <w:rtl/>
        </w:rPr>
        <w:t xml:space="preserve">1. פטור </w:t>
      </w:r>
      <w:r w:rsidRPr="009130DA">
        <w:rPr>
          <w:sz w:val="24"/>
          <w:szCs w:val="24"/>
        </w:rPr>
        <w:t>HTE</w:t>
      </w:r>
      <w:r w:rsidRPr="009130DA">
        <w:rPr>
          <w:rFonts w:hint="cs"/>
          <w:sz w:val="24"/>
          <w:szCs w:val="24"/>
          <w:rtl/>
        </w:rPr>
        <w:t xml:space="preserve"> יכול להפוך כל הכנסה ברוטו של החברה להכנסה שאינה "</w:t>
      </w:r>
      <w:r w:rsidRPr="009130DA">
        <w:rPr>
          <w:sz w:val="24"/>
          <w:szCs w:val="24"/>
        </w:rPr>
        <w:t>tested income</w:t>
      </w:r>
      <w:r w:rsidRPr="009130DA">
        <w:rPr>
          <w:rFonts w:hint="cs"/>
          <w:sz w:val="24"/>
          <w:szCs w:val="24"/>
          <w:rtl/>
        </w:rPr>
        <w:t xml:space="preserve">" ולפטור אותה ממס </w:t>
      </w:r>
      <w:r w:rsidRPr="009130DA">
        <w:rPr>
          <w:sz w:val="24"/>
          <w:szCs w:val="24"/>
        </w:rPr>
        <w:t>GILTI</w:t>
      </w:r>
      <w:r w:rsidRPr="009130DA">
        <w:rPr>
          <w:rFonts w:hint="cs"/>
          <w:sz w:val="24"/>
          <w:szCs w:val="24"/>
          <w:rtl/>
        </w:rPr>
        <w:t>.</w:t>
      </w:r>
    </w:p>
    <w:p w:rsidR="008278FD" w:rsidRPr="009130DA" w:rsidRDefault="008278FD" w:rsidP="00067732">
      <w:pPr>
        <w:spacing w:line="360" w:lineRule="auto"/>
        <w:rPr>
          <w:sz w:val="24"/>
          <w:szCs w:val="24"/>
          <w:rtl/>
        </w:rPr>
      </w:pPr>
      <w:r w:rsidRPr="009130DA">
        <w:rPr>
          <w:rFonts w:hint="cs"/>
          <w:sz w:val="24"/>
          <w:szCs w:val="24"/>
          <w:rtl/>
        </w:rPr>
        <w:t>2. יש לבחור אפשרות זו בנפרד עבור כל חברה נשלטת ז</w:t>
      </w:r>
      <w:r w:rsidR="00A2546A">
        <w:rPr>
          <w:rFonts w:hint="cs"/>
          <w:sz w:val="24"/>
          <w:szCs w:val="24"/>
          <w:rtl/>
        </w:rPr>
        <w:t xml:space="preserve">רה כשלעצמה. כלומר, אם בבעלותכם </w:t>
      </w:r>
      <w:r w:rsidRPr="009130DA">
        <w:rPr>
          <w:rFonts w:hint="cs"/>
          <w:sz w:val="24"/>
          <w:szCs w:val="24"/>
          <w:rtl/>
        </w:rPr>
        <w:t>שתי חברות זרות שונות</w:t>
      </w:r>
      <w:r w:rsidR="00067732">
        <w:rPr>
          <w:rFonts w:hint="cs"/>
          <w:sz w:val="24"/>
          <w:szCs w:val="24"/>
          <w:rtl/>
        </w:rPr>
        <w:t>, ואתם מחזיקים ב-</w:t>
      </w:r>
      <w:r w:rsidR="00067732" w:rsidRPr="009130DA">
        <w:rPr>
          <w:rFonts w:hint="cs"/>
          <w:sz w:val="24"/>
          <w:szCs w:val="24"/>
          <w:rtl/>
        </w:rPr>
        <w:t>60%</w:t>
      </w:r>
      <w:r w:rsidR="00067732">
        <w:rPr>
          <w:rFonts w:hint="cs"/>
          <w:sz w:val="24"/>
          <w:szCs w:val="24"/>
          <w:rtl/>
        </w:rPr>
        <w:t xml:space="preserve"> מכל אחת</w:t>
      </w:r>
      <w:r w:rsidRPr="009130DA">
        <w:rPr>
          <w:rFonts w:hint="cs"/>
          <w:sz w:val="24"/>
          <w:szCs w:val="24"/>
          <w:rtl/>
        </w:rPr>
        <w:t>, יהיה עליכם להגיש את הצהרת הבחירה פעמיים</w:t>
      </w:r>
      <w:r w:rsidR="00067732">
        <w:rPr>
          <w:rFonts w:hint="cs"/>
          <w:sz w:val="24"/>
          <w:szCs w:val="24"/>
          <w:rtl/>
        </w:rPr>
        <w:t>,</w:t>
      </w:r>
      <w:r w:rsidR="009C6BA1">
        <w:rPr>
          <w:rFonts w:hint="cs"/>
          <w:sz w:val="24"/>
          <w:szCs w:val="24"/>
          <w:rtl/>
        </w:rPr>
        <w:t xml:space="preserve"> עבור כל חברה בנפרד</w:t>
      </w:r>
      <w:r w:rsidRPr="009130DA">
        <w:rPr>
          <w:rFonts w:hint="cs"/>
          <w:sz w:val="24"/>
          <w:szCs w:val="24"/>
          <w:rtl/>
        </w:rPr>
        <w:t xml:space="preserve">. אם לא כן, </w:t>
      </w:r>
      <w:r w:rsidR="00A2546A">
        <w:rPr>
          <w:rFonts w:hint="cs"/>
          <w:sz w:val="24"/>
          <w:szCs w:val="24"/>
          <w:rtl/>
        </w:rPr>
        <w:t>במקרה שתבחרו באפש</w:t>
      </w:r>
      <w:r w:rsidRPr="009130DA">
        <w:rPr>
          <w:rFonts w:hint="cs"/>
          <w:sz w:val="24"/>
          <w:szCs w:val="24"/>
          <w:rtl/>
        </w:rPr>
        <w:t xml:space="preserve">רות הפטור עבור חברה אחת אך </w:t>
      </w:r>
      <w:r w:rsidRPr="009130DA">
        <w:rPr>
          <w:rFonts w:hint="cs"/>
          <w:sz w:val="24"/>
          <w:szCs w:val="24"/>
          <w:rtl/>
        </w:rPr>
        <w:lastRenderedPageBreak/>
        <w:t xml:space="preserve">לא עבור השנייה, תשלמו מס </w:t>
      </w:r>
      <w:r w:rsidRPr="009130DA">
        <w:rPr>
          <w:sz w:val="24"/>
          <w:szCs w:val="24"/>
        </w:rPr>
        <w:t>GILTI</w:t>
      </w:r>
      <w:r w:rsidRPr="009130DA">
        <w:rPr>
          <w:rFonts w:hint="cs"/>
          <w:sz w:val="24"/>
          <w:szCs w:val="24"/>
          <w:rtl/>
        </w:rPr>
        <w:t xml:space="preserve"> על הכנסות </w:t>
      </w:r>
      <w:r w:rsidR="00067732" w:rsidRPr="009130DA">
        <w:rPr>
          <w:rFonts w:hint="cs"/>
          <w:sz w:val="24"/>
          <w:szCs w:val="24"/>
          <w:rtl/>
        </w:rPr>
        <w:t>החבר</w:t>
      </w:r>
      <w:r w:rsidR="00067732">
        <w:rPr>
          <w:rFonts w:hint="cs"/>
          <w:sz w:val="24"/>
          <w:szCs w:val="24"/>
          <w:rtl/>
        </w:rPr>
        <w:t>ה השניה</w:t>
      </w:r>
      <w:r w:rsidRPr="009130DA">
        <w:rPr>
          <w:rFonts w:hint="cs"/>
          <w:sz w:val="24"/>
          <w:szCs w:val="24"/>
          <w:rtl/>
        </w:rPr>
        <w:t xml:space="preserve">. לאפשרות זו יש יתרונות וחסרונות בהם </w:t>
      </w:r>
      <w:r w:rsidR="00067732">
        <w:rPr>
          <w:rFonts w:hint="cs"/>
          <w:sz w:val="24"/>
          <w:szCs w:val="24"/>
          <w:rtl/>
        </w:rPr>
        <w:t xml:space="preserve">נדון </w:t>
      </w:r>
      <w:r w:rsidRPr="009130DA">
        <w:rPr>
          <w:rFonts w:hint="cs"/>
          <w:sz w:val="24"/>
          <w:szCs w:val="24"/>
          <w:rtl/>
        </w:rPr>
        <w:t>בהמשך.</w:t>
      </w:r>
    </w:p>
    <w:p w:rsidR="008278FD" w:rsidRPr="009130DA" w:rsidRDefault="008278FD" w:rsidP="00067732">
      <w:pPr>
        <w:spacing w:line="360" w:lineRule="auto"/>
        <w:rPr>
          <w:sz w:val="24"/>
          <w:szCs w:val="24"/>
          <w:rtl/>
        </w:rPr>
      </w:pPr>
      <w:r w:rsidRPr="009130DA">
        <w:rPr>
          <w:rFonts w:hint="cs"/>
          <w:sz w:val="24"/>
          <w:szCs w:val="24"/>
          <w:rtl/>
        </w:rPr>
        <w:t xml:space="preserve">3. אם תמשכו את בחירתכם, לא תוכלו לבחור באפשרות זו מחדש עבור חברה זו במשך חמש השנים הבאות אלא אם כן תקבלו רשות מפורשת </w:t>
      </w:r>
      <w:r w:rsidR="00067732" w:rsidRPr="009130DA">
        <w:rPr>
          <w:rFonts w:hint="cs"/>
          <w:sz w:val="24"/>
          <w:szCs w:val="24"/>
          <w:rtl/>
        </w:rPr>
        <w:t>לכך</w:t>
      </w:r>
      <w:r w:rsidR="00067732" w:rsidRPr="009130DA">
        <w:rPr>
          <w:rFonts w:hint="cs"/>
          <w:sz w:val="24"/>
          <w:szCs w:val="24"/>
          <w:rtl/>
        </w:rPr>
        <w:t xml:space="preserve"> </w:t>
      </w:r>
      <w:r w:rsidRPr="009130DA">
        <w:rPr>
          <w:rFonts w:hint="cs"/>
          <w:sz w:val="24"/>
          <w:szCs w:val="24"/>
          <w:rtl/>
        </w:rPr>
        <w:t>מרשות המיסים האמריקנית</w:t>
      </w:r>
      <w:r w:rsidR="002C29DA" w:rsidRPr="009130DA">
        <w:rPr>
          <w:rFonts w:hint="cs"/>
          <w:sz w:val="24"/>
          <w:szCs w:val="24"/>
          <w:rtl/>
        </w:rPr>
        <w:t xml:space="preserve"> בהחלטה אישית עבורכם (</w:t>
      </w:r>
      <w:r w:rsidR="002C29DA" w:rsidRPr="009130DA">
        <w:rPr>
          <w:sz w:val="24"/>
          <w:szCs w:val="24"/>
        </w:rPr>
        <w:t>private letter ruling</w:t>
      </w:r>
      <w:r w:rsidR="002C29DA" w:rsidRPr="009130DA">
        <w:rPr>
          <w:rFonts w:hint="cs"/>
          <w:sz w:val="24"/>
          <w:szCs w:val="24"/>
          <w:rtl/>
        </w:rPr>
        <w:t>).</w:t>
      </w:r>
    </w:p>
    <w:p w:rsidR="002C29DA" w:rsidRPr="009130DA" w:rsidRDefault="002C29DA" w:rsidP="009130DA">
      <w:pPr>
        <w:spacing w:line="360" w:lineRule="auto"/>
        <w:rPr>
          <w:sz w:val="24"/>
          <w:szCs w:val="24"/>
          <w:rtl/>
        </w:rPr>
      </w:pPr>
      <w:r w:rsidRPr="009130DA">
        <w:rPr>
          <w:rFonts w:hint="cs"/>
          <w:sz w:val="24"/>
          <w:szCs w:val="24"/>
          <w:rtl/>
        </w:rPr>
        <w:t xml:space="preserve">לאחר שסקרנו את הצדדים השונים </w:t>
      </w:r>
      <w:r w:rsidR="00CB5220">
        <w:rPr>
          <w:rFonts w:hint="cs"/>
          <w:sz w:val="24"/>
          <w:szCs w:val="24"/>
          <w:rtl/>
        </w:rPr>
        <w:t>ש</w:t>
      </w:r>
      <w:r w:rsidRPr="009130DA">
        <w:rPr>
          <w:rFonts w:hint="cs"/>
          <w:sz w:val="24"/>
          <w:szCs w:val="24"/>
          <w:rtl/>
        </w:rPr>
        <w:t>בבחירה</w:t>
      </w:r>
      <w:r w:rsidR="00CB5220">
        <w:rPr>
          <w:rFonts w:hint="cs"/>
          <w:sz w:val="24"/>
          <w:szCs w:val="24"/>
          <w:rtl/>
        </w:rPr>
        <w:t xml:space="preserve"> ב</w:t>
      </w:r>
      <w:r w:rsidR="00CB5220">
        <w:rPr>
          <w:rFonts w:hint="cs"/>
          <w:sz w:val="24"/>
          <w:szCs w:val="24"/>
        </w:rPr>
        <w:t>HTE</w:t>
      </w:r>
      <w:r w:rsidRPr="009130DA">
        <w:rPr>
          <w:rFonts w:hint="cs"/>
          <w:sz w:val="24"/>
          <w:szCs w:val="24"/>
          <w:rtl/>
        </w:rPr>
        <w:t>, נדון בארבעה מצבים שבהם עדיף לוותר עליה ולהגיש את דוח המס תוך בחירה בסעיף 962.</w:t>
      </w:r>
    </w:p>
    <w:p w:rsidR="002C29DA" w:rsidRPr="009130DA" w:rsidRDefault="002C29DA" w:rsidP="009130DA">
      <w:pPr>
        <w:spacing w:line="360" w:lineRule="auto"/>
        <w:rPr>
          <w:sz w:val="24"/>
          <w:szCs w:val="24"/>
          <w:u w:val="single"/>
          <w:rtl/>
        </w:rPr>
      </w:pPr>
      <w:r w:rsidRPr="00A2546A">
        <w:rPr>
          <w:rFonts w:hint="cs"/>
          <w:sz w:val="28"/>
          <w:szCs w:val="28"/>
          <w:u w:val="single"/>
          <w:rtl/>
        </w:rPr>
        <w:t>ארבעה מקרים שבהם סעיף 962 עדיף על פני אפשרויות אחרות</w:t>
      </w:r>
    </w:p>
    <w:p w:rsidR="00CC41AF" w:rsidRPr="009130DA" w:rsidRDefault="009B3D96" w:rsidP="009130DA">
      <w:pPr>
        <w:spacing w:line="360" w:lineRule="auto"/>
        <w:rPr>
          <w:sz w:val="24"/>
          <w:szCs w:val="24"/>
          <w:u w:val="single"/>
          <w:rtl/>
        </w:rPr>
      </w:pPr>
      <w:r w:rsidRPr="009130DA">
        <w:rPr>
          <w:rFonts w:hint="cs"/>
          <w:sz w:val="24"/>
          <w:szCs w:val="24"/>
          <w:u w:val="single"/>
          <w:rtl/>
        </w:rPr>
        <w:t>דוח המס לשנת 2018 ובחירה שנתית:</w:t>
      </w:r>
    </w:p>
    <w:p w:rsidR="009B3D96" w:rsidRPr="009130DA" w:rsidRDefault="009B3D96" w:rsidP="00CB5220">
      <w:pPr>
        <w:spacing w:line="360" w:lineRule="auto"/>
        <w:rPr>
          <w:sz w:val="24"/>
          <w:szCs w:val="24"/>
          <w:rtl/>
        </w:rPr>
      </w:pPr>
      <w:r w:rsidRPr="009130DA">
        <w:rPr>
          <w:rFonts w:hint="cs"/>
          <w:sz w:val="24"/>
          <w:szCs w:val="24"/>
          <w:rtl/>
        </w:rPr>
        <w:t xml:space="preserve">ההבדל הראשון והניכר הוא שסעיף 962 הוא בחירה שנתית שאפשר לנצל עבור שנת 2018. פטור </w:t>
      </w:r>
      <w:r w:rsidRPr="009130DA">
        <w:rPr>
          <w:sz w:val="24"/>
          <w:szCs w:val="24"/>
        </w:rPr>
        <w:t>HTE</w:t>
      </w:r>
      <w:r w:rsidRPr="009130DA">
        <w:rPr>
          <w:rFonts w:hint="cs"/>
          <w:sz w:val="24"/>
          <w:szCs w:val="24"/>
          <w:rtl/>
        </w:rPr>
        <w:t xml:space="preserve"> טרם אושר </w:t>
      </w:r>
      <w:r w:rsidR="0043484B" w:rsidRPr="009130DA">
        <w:rPr>
          <w:rFonts w:hint="cs"/>
          <w:sz w:val="24"/>
          <w:szCs w:val="24"/>
          <w:rtl/>
        </w:rPr>
        <w:t>ס</w:t>
      </w:r>
      <w:r w:rsidR="00A2546A">
        <w:rPr>
          <w:rFonts w:hint="cs"/>
          <w:sz w:val="24"/>
          <w:szCs w:val="24"/>
          <w:rtl/>
        </w:rPr>
        <w:t xml:space="preserve">ופית ולא </w:t>
      </w:r>
      <w:r w:rsidR="00CB5220">
        <w:rPr>
          <w:rFonts w:hint="cs"/>
          <w:sz w:val="24"/>
          <w:szCs w:val="24"/>
          <w:rtl/>
        </w:rPr>
        <w:t>ניתן</w:t>
      </w:r>
      <w:r w:rsidR="00CB5220" w:rsidRPr="009130DA">
        <w:rPr>
          <w:rFonts w:hint="cs"/>
          <w:sz w:val="24"/>
          <w:szCs w:val="24"/>
          <w:rtl/>
        </w:rPr>
        <w:t xml:space="preserve"> </w:t>
      </w:r>
      <w:r w:rsidR="0043484B" w:rsidRPr="009130DA">
        <w:rPr>
          <w:rFonts w:hint="cs"/>
          <w:sz w:val="24"/>
          <w:szCs w:val="24"/>
          <w:rtl/>
        </w:rPr>
        <w:t xml:space="preserve">לנצל אותו עד </w:t>
      </w:r>
      <w:r w:rsidR="00CB5220">
        <w:rPr>
          <w:rFonts w:hint="cs"/>
          <w:sz w:val="24"/>
          <w:szCs w:val="24"/>
          <w:rtl/>
        </w:rPr>
        <w:t>ל</w:t>
      </w:r>
      <w:r w:rsidR="0043484B" w:rsidRPr="009130DA">
        <w:rPr>
          <w:rFonts w:hint="cs"/>
          <w:sz w:val="24"/>
          <w:szCs w:val="24"/>
          <w:rtl/>
        </w:rPr>
        <w:t>פרסום התקנות הסופיות בידי רשות המיסים. לא מומלץ להתעכב בהגשת דוח 2018 בתקווה שהתקנות הסופיות יאפשרו את הפטור.</w:t>
      </w:r>
      <w:r w:rsidR="00A34ABA" w:rsidRPr="009130DA">
        <w:rPr>
          <w:rFonts w:hint="cs"/>
          <w:sz w:val="24"/>
          <w:szCs w:val="24"/>
          <w:rtl/>
        </w:rPr>
        <w:t xml:space="preserve"> נוסף על כך, הבחירה בסעיף 962 היא שנתית ואין כל סנקציות אם מבטלים אותה. פטור </w:t>
      </w:r>
      <w:r w:rsidR="00CB5220">
        <w:rPr>
          <w:sz w:val="24"/>
          <w:szCs w:val="24"/>
        </w:rPr>
        <w:t xml:space="preserve"> </w:t>
      </w:r>
      <w:r w:rsidR="00A34ABA" w:rsidRPr="009130DA">
        <w:rPr>
          <w:sz w:val="24"/>
          <w:szCs w:val="24"/>
        </w:rPr>
        <w:t>HTE</w:t>
      </w:r>
      <w:r w:rsidR="000433D6" w:rsidRPr="009130DA">
        <w:rPr>
          <w:rFonts w:hint="cs"/>
          <w:sz w:val="24"/>
          <w:szCs w:val="24"/>
          <w:rtl/>
        </w:rPr>
        <w:t xml:space="preserve">מחייב תקופת המתנה של 60 חודשים, </w:t>
      </w:r>
      <w:r w:rsidR="00A34ABA" w:rsidRPr="009130DA">
        <w:rPr>
          <w:rFonts w:hint="cs"/>
          <w:sz w:val="24"/>
          <w:szCs w:val="24"/>
          <w:rtl/>
        </w:rPr>
        <w:t>או חמש שנים</w:t>
      </w:r>
      <w:r w:rsidR="000433D6" w:rsidRPr="009130DA">
        <w:rPr>
          <w:rFonts w:hint="cs"/>
          <w:sz w:val="24"/>
          <w:szCs w:val="24"/>
          <w:rtl/>
        </w:rPr>
        <w:t>,</w:t>
      </w:r>
      <w:r w:rsidR="00A34ABA" w:rsidRPr="009130DA">
        <w:rPr>
          <w:rFonts w:hint="cs"/>
          <w:sz w:val="24"/>
          <w:szCs w:val="24"/>
          <w:rtl/>
        </w:rPr>
        <w:t xml:space="preserve"> אם מבטלים את הבחירה בו, כך שהוא אינו מאפשר את הגמישות שמאפשר סעיף 962.</w:t>
      </w:r>
    </w:p>
    <w:p w:rsidR="00A34ABA" w:rsidRPr="009130DA" w:rsidRDefault="00A34ABA" w:rsidP="00CB5220">
      <w:pPr>
        <w:spacing w:line="360" w:lineRule="auto"/>
        <w:rPr>
          <w:sz w:val="24"/>
          <w:szCs w:val="24"/>
          <w:u w:val="single"/>
          <w:rtl/>
        </w:rPr>
      </w:pPr>
      <w:r w:rsidRPr="009130DA">
        <w:rPr>
          <w:rFonts w:hint="cs"/>
          <w:sz w:val="24"/>
          <w:szCs w:val="24"/>
          <w:u w:val="single"/>
          <w:rtl/>
        </w:rPr>
        <w:t xml:space="preserve">אם החברה </w:t>
      </w:r>
      <w:r w:rsidR="00DC539F" w:rsidRPr="009130DA">
        <w:rPr>
          <w:rFonts w:hint="cs"/>
          <w:sz w:val="24"/>
          <w:szCs w:val="24"/>
          <w:u w:val="single"/>
          <w:rtl/>
        </w:rPr>
        <w:t xml:space="preserve">הזרה שלכם משלמת מס חברות בשיעור </w:t>
      </w:r>
      <w:r w:rsidR="00CB5220" w:rsidRPr="009130DA">
        <w:rPr>
          <w:rFonts w:hint="cs"/>
          <w:sz w:val="24"/>
          <w:szCs w:val="24"/>
          <w:u w:val="single"/>
          <w:rtl/>
        </w:rPr>
        <w:t>ש</w:t>
      </w:r>
      <w:r w:rsidR="00CB5220">
        <w:rPr>
          <w:rFonts w:hint="cs"/>
          <w:sz w:val="24"/>
          <w:szCs w:val="24"/>
          <w:u w:val="single"/>
          <w:rtl/>
        </w:rPr>
        <w:t>בין</w:t>
      </w:r>
      <w:r w:rsidR="00CB5220" w:rsidRPr="009130DA">
        <w:rPr>
          <w:rFonts w:hint="cs"/>
          <w:sz w:val="24"/>
          <w:szCs w:val="24"/>
          <w:u w:val="single"/>
          <w:rtl/>
        </w:rPr>
        <w:t xml:space="preserve"> </w:t>
      </w:r>
      <w:r w:rsidR="00DC539F" w:rsidRPr="009130DA">
        <w:rPr>
          <w:rFonts w:hint="cs"/>
          <w:sz w:val="24"/>
          <w:szCs w:val="24"/>
          <w:u w:val="single"/>
          <w:rtl/>
        </w:rPr>
        <w:t xml:space="preserve">13.125% </w:t>
      </w:r>
      <w:r w:rsidR="00CB5220">
        <w:rPr>
          <w:rFonts w:hint="cs"/>
          <w:sz w:val="24"/>
          <w:szCs w:val="24"/>
          <w:u w:val="single"/>
          <w:rtl/>
        </w:rPr>
        <w:t>-</w:t>
      </w:r>
      <w:r w:rsidR="00CB5220" w:rsidRPr="009130DA">
        <w:rPr>
          <w:rFonts w:hint="cs"/>
          <w:sz w:val="24"/>
          <w:szCs w:val="24"/>
          <w:u w:val="single"/>
          <w:rtl/>
        </w:rPr>
        <w:t xml:space="preserve"> </w:t>
      </w:r>
      <w:r w:rsidR="00DC539F" w:rsidRPr="009130DA">
        <w:rPr>
          <w:rFonts w:hint="cs"/>
          <w:sz w:val="24"/>
          <w:szCs w:val="24"/>
          <w:u w:val="single"/>
          <w:rtl/>
        </w:rPr>
        <w:t>18.9%</w:t>
      </w:r>
    </w:p>
    <w:p w:rsidR="00DC539F" w:rsidRPr="009130DA" w:rsidRDefault="00DC539F" w:rsidP="00CB5220">
      <w:pPr>
        <w:spacing w:line="360" w:lineRule="auto"/>
        <w:rPr>
          <w:sz w:val="24"/>
          <w:szCs w:val="24"/>
          <w:rtl/>
        </w:rPr>
      </w:pPr>
      <w:r w:rsidRPr="009130DA">
        <w:rPr>
          <w:rFonts w:hint="cs"/>
          <w:sz w:val="24"/>
          <w:szCs w:val="24"/>
          <w:rtl/>
        </w:rPr>
        <w:t xml:space="preserve">פטור </w:t>
      </w:r>
      <w:r w:rsidRPr="009130DA">
        <w:rPr>
          <w:rFonts w:hint="cs"/>
          <w:sz w:val="24"/>
          <w:szCs w:val="24"/>
        </w:rPr>
        <w:t>HTE</w:t>
      </w:r>
      <w:r w:rsidRPr="009130DA">
        <w:rPr>
          <w:rFonts w:hint="cs"/>
          <w:sz w:val="24"/>
          <w:szCs w:val="24"/>
          <w:rtl/>
        </w:rPr>
        <w:t xml:space="preserve"> מיועד לחברות המשלמות מס חברות זר בשיעור של 18.9% ומעלה. </w:t>
      </w:r>
      <w:r w:rsidR="00CB5220">
        <w:rPr>
          <w:rFonts w:hint="cs"/>
          <w:sz w:val="24"/>
          <w:szCs w:val="24"/>
          <w:rtl/>
        </w:rPr>
        <w:t>סכום</w:t>
      </w:r>
      <w:r w:rsidR="00CB5220" w:rsidRPr="009130DA">
        <w:rPr>
          <w:rFonts w:hint="cs"/>
          <w:sz w:val="24"/>
          <w:szCs w:val="24"/>
          <w:rtl/>
        </w:rPr>
        <w:t xml:space="preserve"> </w:t>
      </w:r>
      <w:r w:rsidRPr="009130DA">
        <w:rPr>
          <w:rFonts w:hint="cs"/>
          <w:sz w:val="24"/>
          <w:szCs w:val="24"/>
          <w:rtl/>
        </w:rPr>
        <w:t>זה מחושב על פי קביעת החוק הפוטר חברות המשלמות מס חברות זר של 90%</w:t>
      </w:r>
      <w:r w:rsidR="00CB5220">
        <w:rPr>
          <w:rFonts w:hint="cs"/>
          <w:sz w:val="24"/>
          <w:szCs w:val="24"/>
          <w:rtl/>
        </w:rPr>
        <w:t xml:space="preserve"> </w:t>
      </w:r>
      <w:r w:rsidRPr="009130DA">
        <w:rPr>
          <w:rFonts w:hint="cs"/>
          <w:sz w:val="24"/>
          <w:szCs w:val="24"/>
          <w:rtl/>
        </w:rPr>
        <w:t>או יותר ממס החברות האמריקני, העומד כיום על 21%.</w:t>
      </w:r>
      <w:r w:rsidR="00CF04DC" w:rsidRPr="009130DA">
        <w:rPr>
          <w:rFonts w:hint="cs"/>
          <w:sz w:val="24"/>
          <w:szCs w:val="24"/>
          <w:rtl/>
        </w:rPr>
        <w:t xml:space="preserve"> לעומת זאת, סעיף 962 מאפשר למשלם המיסים </w:t>
      </w:r>
      <w:r w:rsidR="00CB5220" w:rsidRPr="009130DA">
        <w:rPr>
          <w:rFonts w:hint="cs"/>
          <w:sz w:val="24"/>
          <w:szCs w:val="24"/>
          <w:rtl/>
        </w:rPr>
        <w:t>ה</w:t>
      </w:r>
      <w:r w:rsidR="00CB5220">
        <w:rPr>
          <w:rFonts w:hint="cs"/>
          <w:sz w:val="24"/>
          <w:szCs w:val="24"/>
          <w:rtl/>
        </w:rPr>
        <w:t>פרטי</w:t>
      </w:r>
      <w:r w:rsidR="00CB5220" w:rsidRPr="009130DA">
        <w:rPr>
          <w:rFonts w:hint="cs"/>
          <w:sz w:val="24"/>
          <w:szCs w:val="24"/>
          <w:rtl/>
        </w:rPr>
        <w:t xml:space="preserve"> </w:t>
      </w:r>
      <w:r w:rsidR="00CF04DC" w:rsidRPr="009130DA">
        <w:rPr>
          <w:rFonts w:hint="cs"/>
          <w:sz w:val="24"/>
          <w:szCs w:val="24"/>
          <w:rtl/>
        </w:rPr>
        <w:t xml:space="preserve">לקבל ניכוי על פי סעיף 250 (כמוסבר </w:t>
      </w:r>
      <w:hyperlink r:id="rId6" w:history="1">
        <w:r w:rsidR="00CF04DC" w:rsidRPr="009130DA">
          <w:rPr>
            <w:rStyle w:val="Hyperlink"/>
            <w:rFonts w:hint="cs"/>
            <w:sz w:val="24"/>
            <w:szCs w:val="24"/>
            <w:rtl/>
          </w:rPr>
          <w:t>ברשומה קודמת</w:t>
        </w:r>
      </w:hyperlink>
      <w:r w:rsidR="00CF04DC" w:rsidRPr="009130DA">
        <w:rPr>
          <w:rFonts w:hint="cs"/>
          <w:sz w:val="24"/>
          <w:szCs w:val="24"/>
          <w:rtl/>
        </w:rPr>
        <w:t>) וכן זיכוי כנ</w:t>
      </w:r>
      <w:r w:rsidR="00A2546A">
        <w:rPr>
          <w:rFonts w:hint="cs"/>
          <w:sz w:val="24"/>
          <w:szCs w:val="24"/>
          <w:rtl/>
        </w:rPr>
        <w:t>גד 80% משיער המס ששולם. נכון לשנ</w:t>
      </w:r>
      <w:r w:rsidR="00CF04DC" w:rsidRPr="009130DA">
        <w:rPr>
          <w:rFonts w:hint="cs"/>
          <w:sz w:val="24"/>
          <w:szCs w:val="24"/>
          <w:rtl/>
        </w:rPr>
        <w:t xml:space="preserve">ת 2018, כל שנדרש כדי לא לשלם מס </w:t>
      </w:r>
      <w:r w:rsidR="00CF04DC" w:rsidRPr="009130DA">
        <w:rPr>
          <w:sz w:val="24"/>
          <w:szCs w:val="24"/>
        </w:rPr>
        <w:t>GILTI</w:t>
      </w:r>
      <w:r w:rsidR="00CF04DC" w:rsidRPr="009130DA">
        <w:rPr>
          <w:rFonts w:hint="cs"/>
          <w:sz w:val="24"/>
          <w:szCs w:val="24"/>
          <w:rtl/>
        </w:rPr>
        <w:t xml:space="preserve"> ה</w:t>
      </w:r>
      <w:r w:rsidR="000433D6" w:rsidRPr="009130DA">
        <w:rPr>
          <w:rFonts w:hint="cs"/>
          <w:sz w:val="24"/>
          <w:szCs w:val="24"/>
          <w:rtl/>
        </w:rPr>
        <w:t>וא תשלו</w:t>
      </w:r>
      <w:r w:rsidR="00A2546A">
        <w:rPr>
          <w:rFonts w:hint="cs"/>
          <w:sz w:val="24"/>
          <w:szCs w:val="24"/>
          <w:rtl/>
        </w:rPr>
        <w:t xml:space="preserve">ם מס חברות זר של 13.125%, כך שאם </w:t>
      </w:r>
      <w:r w:rsidR="000433D6" w:rsidRPr="009130DA">
        <w:rPr>
          <w:rFonts w:hint="cs"/>
          <w:sz w:val="24"/>
          <w:szCs w:val="24"/>
          <w:rtl/>
        </w:rPr>
        <w:t>א</w:t>
      </w:r>
      <w:r w:rsidR="00A2546A">
        <w:rPr>
          <w:rFonts w:hint="cs"/>
          <w:sz w:val="24"/>
          <w:szCs w:val="24"/>
          <w:rtl/>
        </w:rPr>
        <w:t>ת</w:t>
      </w:r>
      <w:r w:rsidR="000433D6" w:rsidRPr="009130DA">
        <w:rPr>
          <w:rFonts w:hint="cs"/>
          <w:sz w:val="24"/>
          <w:szCs w:val="24"/>
          <w:rtl/>
        </w:rPr>
        <w:t>ם משלמים במדינה הזרה מס חברות בשיעור נמוך מ-18.9%, סעיף 962 הוא הבחירה הטובה ביותר.</w:t>
      </w:r>
    </w:p>
    <w:p w:rsidR="000433D6" w:rsidRPr="009130DA" w:rsidRDefault="000433D6" w:rsidP="009130DA">
      <w:pPr>
        <w:spacing w:line="360" w:lineRule="auto"/>
        <w:rPr>
          <w:sz w:val="24"/>
          <w:szCs w:val="24"/>
          <w:u w:val="single"/>
        </w:rPr>
      </w:pPr>
      <w:r w:rsidRPr="009130DA">
        <w:rPr>
          <w:sz w:val="24"/>
          <w:szCs w:val="24"/>
          <w:u w:val="single"/>
        </w:rPr>
        <w:t>Qualified Business Asset Investment (QBAI)</w:t>
      </w:r>
      <w:r w:rsidR="006170F4" w:rsidRPr="009130DA">
        <w:rPr>
          <w:rFonts w:hint="cs"/>
          <w:sz w:val="24"/>
          <w:szCs w:val="24"/>
          <w:u w:val="single"/>
          <w:rtl/>
        </w:rPr>
        <w:t>:</w:t>
      </w:r>
    </w:p>
    <w:p w:rsidR="000433D6" w:rsidRPr="009130DA" w:rsidRDefault="000433D6" w:rsidP="00CB5220">
      <w:pPr>
        <w:spacing w:line="360" w:lineRule="auto"/>
        <w:rPr>
          <w:sz w:val="24"/>
          <w:szCs w:val="24"/>
          <w:rtl/>
        </w:rPr>
      </w:pPr>
      <w:r w:rsidRPr="009130DA">
        <w:rPr>
          <w:rFonts w:hint="cs"/>
          <w:sz w:val="24"/>
          <w:szCs w:val="24"/>
          <w:rtl/>
        </w:rPr>
        <w:t xml:space="preserve">כאשר בוחרים בפטור </w:t>
      </w:r>
      <w:r w:rsidR="00CB5220">
        <w:rPr>
          <w:sz w:val="24"/>
          <w:szCs w:val="24"/>
        </w:rPr>
        <w:t xml:space="preserve">  HTE </w:t>
      </w:r>
      <w:r w:rsidR="00CB5220" w:rsidRPr="009130DA">
        <w:rPr>
          <w:rFonts w:hint="cs"/>
          <w:sz w:val="24"/>
          <w:szCs w:val="24"/>
          <w:rtl/>
        </w:rPr>
        <w:t xml:space="preserve">מוציאים </w:t>
      </w:r>
      <w:r w:rsidR="00D62B7B" w:rsidRPr="009130DA">
        <w:rPr>
          <w:rFonts w:hint="cs"/>
          <w:sz w:val="24"/>
          <w:szCs w:val="24"/>
          <w:rtl/>
        </w:rPr>
        <w:t>את רווחי החברה מהגדרת "</w:t>
      </w:r>
      <w:r w:rsidR="00D62B7B" w:rsidRPr="009130DA">
        <w:rPr>
          <w:sz w:val="24"/>
          <w:szCs w:val="24"/>
        </w:rPr>
        <w:t>tested income</w:t>
      </w:r>
      <w:r w:rsidR="00D62B7B" w:rsidRPr="009130DA">
        <w:rPr>
          <w:rFonts w:hint="cs"/>
          <w:sz w:val="24"/>
          <w:szCs w:val="24"/>
          <w:rtl/>
        </w:rPr>
        <w:t xml:space="preserve">", ובאותה נשימה מאבדים את סעיף </w:t>
      </w:r>
      <w:r w:rsidR="00D62B7B" w:rsidRPr="009130DA">
        <w:rPr>
          <w:sz w:val="24"/>
          <w:szCs w:val="24"/>
        </w:rPr>
        <w:t>QBAI</w:t>
      </w:r>
      <w:r w:rsidR="00CB5220">
        <w:rPr>
          <w:rFonts w:hint="cs"/>
          <w:sz w:val="24"/>
          <w:szCs w:val="24"/>
          <w:rtl/>
        </w:rPr>
        <w:t xml:space="preserve"> </w:t>
      </w:r>
      <w:r w:rsidR="006170F4" w:rsidRPr="009130DA">
        <w:rPr>
          <w:rFonts w:hint="cs"/>
          <w:sz w:val="24"/>
          <w:szCs w:val="24"/>
          <w:rtl/>
        </w:rPr>
        <w:t xml:space="preserve">המחושב כרגיל לצורך קביעת שיעור מס </w:t>
      </w:r>
      <w:r w:rsidR="006170F4" w:rsidRPr="009130DA">
        <w:rPr>
          <w:sz w:val="24"/>
          <w:szCs w:val="24"/>
        </w:rPr>
        <w:t>GILTI</w:t>
      </w:r>
      <w:r w:rsidR="006170F4" w:rsidRPr="009130DA">
        <w:rPr>
          <w:rFonts w:hint="cs"/>
          <w:sz w:val="24"/>
          <w:szCs w:val="24"/>
          <w:rtl/>
        </w:rPr>
        <w:t xml:space="preserve">. אם לחברה אחת שאתם מחליטים לבחור עבורה בפטור </w:t>
      </w:r>
      <w:r w:rsidR="006170F4" w:rsidRPr="009130DA">
        <w:rPr>
          <w:sz w:val="24"/>
          <w:szCs w:val="24"/>
        </w:rPr>
        <w:t>HTE</w:t>
      </w:r>
      <w:r w:rsidR="006170F4" w:rsidRPr="009130DA">
        <w:rPr>
          <w:rFonts w:hint="cs"/>
          <w:sz w:val="24"/>
          <w:szCs w:val="24"/>
          <w:rtl/>
        </w:rPr>
        <w:t xml:space="preserve"> יש </w:t>
      </w:r>
      <w:r w:rsidR="006170F4" w:rsidRPr="009130DA">
        <w:rPr>
          <w:sz w:val="24"/>
          <w:szCs w:val="24"/>
        </w:rPr>
        <w:t>QBAI</w:t>
      </w:r>
      <w:r w:rsidR="006170F4" w:rsidRPr="009130DA">
        <w:rPr>
          <w:rFonts w:hint="cs"/>
          <w:sz w:val="24"/>
          <w:szCs w:val="24"/>
          <w:rtl/>
        </w:rPr>
        <w:t xml:space="preserve"> גבוה ולחברה אחרת שעבורה לא תבחרו בפטור </w:t>
      </w:r>
      <w:r w:rsidR="006170F4" w:rsidRPr="009130DA">
        <w:rPr>
          <w:sz w:val="24"/>
          <w:szCs w:val="24"/>
        </w:rPr>
        <w:t>HTE</w:t>
      </w:r>
      <w:r w:rsidR="006170F4" w:rsidRPr="009130DA">
        <w:rPr>
          <w:rFonts w:hint="cs"/>
          <w:sz w:val="24"/>
          <w:szCs w:val="24"/>
          <w:rtl/>
        </w:rPr>
        <w:t xml:space="preserve"> יש </w:t>
      </w:r>
      <w:r w:rsidR="006170F4" w:rsidRPr="009130DA">
        <w:rPr>
          <w:sz w:val="24"/>
          <w:szCs w:val="24"/>
        </w:rPr>
        <w:t>QBAI</w:t>
      </w:r>
      <w:r w:rsidR="006170F4" w:rsidRPr="009130DA">
        <w:rPr>
          <w:rFonts w:hint="cs"/>
          <w:sz w:val="24"/>
          <w:szCs w:val="24"/>
          <w:rtl/>
        </w:rPr>
        <w:t xml:space="preserve"> נמוך והכנסה גבוה</w:t>
      </w:r>
      <w:r w:rsidR="00A2546A">
        <w:rPr>
          <w:rFonts w:hint="cs"/>
          <w:sz w:val="24"/>
          <w:szCs w:val="24"/>
          <w:rtl/>
        </w:rPr>
        <w:t>ה</w:t>
      </w:r>
      <w:r w:rsidR="006170F4" w:rsidRPr="009130DA">
        <w:rPr>
          <w:rFonts w:hint="cs"/>
          <w:sz w:val="24"/>
          <w:szCs w:val="24"/>
          <w:rtl/>
        </w:rPr>
        <w:t xml:space="preserve">, בחישוב הכללי תמצאו שיצאתם מופסדים. סעיף 962 חל על כל </w:t>
      </w:r>
      <w:r w:rsidR="006170F4" w:rsidRPr="009130DA">
        <w:rPr>
          <w:rFonts w:hint="cs"/>
          <w:sz w:val="24"/>
          <w:szCs w:val="24"/>
          <w:rtl/>
        </w:rPr>
        <w:lastRenderedPageBreak/>
        <w:t xml:space="preserve">החברות שלכם כאחת ומחושב עבור </w:t>
      </w:r>
      <w:r w:rsidR="006170F4" w:rsidRPr="009130DA">
        <w:rPr>
          <w:sz w:val="24"/>
          <w:szCs w:val="24"/>
        </w:rPr>
        <w:t>GILTI</w:t>
      </w:r>
      <w:r w:rsidR="006170F4" w:rsidRPr="009130DA">
        <w:rPr>
          <w:rFonts w:hint="cs"/>
          <w:sz w:val="24"/>
          <w:szCs w:val="24"/>
          <w:rtl/>
        </w:rPr>
        <w:t xml:space="preserve"> לאחר ניכוי </w:t>
      </w:r>
      <w:r w:rsidR="006170F4" w:rsidRPr="009130DA">
        <w:rPr>
          <w:sz w:val="24"/>
          <w:szCs w:val="24"/>
        </w:rPr>
        <w:t>QBAI</w:t>
      </w:r>
      <w:r w:rsidR="006170F4" w:rsidRPr="009130DA">
        <w:rPr>
          <w:rFonts w:hint="cs"/>
          <w:sz w:val="24"/>
          <w:szCs w:val="24"/>
          <w:rtl/>
        </w:rPr>
        <w:t xml:space="preserve">. לכן, עבור חברות בעלות </w:t>
      </w:r>
      <w:r w:rsidR="006170F4" w:rsidRPr="009130DA">
        <w:rPr>
          <w:sz w:val="24"/>
          <w:szCs w:val="24"/>
        </w:rPr>
        <w:t>QBAI</w:t>
      </w:r>
      <w:r w:rsidR="006170F4" w:rsidRPr="009130DA">
        <w:rPr>
          <w:rFonts w:hint="cs"/>
          <w:sz w:val="24"/>
          <w:szCs w:val="24"/>
          <w:rtl/>
        </w:rPr>
        <w:t xml:space="preserve"> גבוה</w:t>
      </w:r>
      <w:r w:rsidR="00A2546A">
        <w:rPr>
          <w:rFonts w:hint="cs"/>
          <w:sz w:val="24"/>
          <w:szCs w:val="24"/>
          <w:rtl/>
        </w:rPr>
        <w:t xml:space="preserve"> </w:t>
      </w:r>
      <w:r w:rsidR="00CB5220">
        <w:rPr>
          <w:rFonts w:hint="cs"/>
          <w:sz w:val="24"/>
          <w:szCs w:val="24"/>
          <w:rtl/>
        </w:rPr>
        <w:t>ייתכן ש</w:t>
      </w:r>
      <w:r w:rsidR="00A2546A">
        <w:rPr>
          <w:rFonts w:hint="cs"/>
          <w:sz w:val="24"/>
          <w:szCs w:val="24"/>
          <w:rtl/>
        </w:rPr>
        <w:t>עדיף</w:t>
      </w:r>
      <w:r w:rsidR="006170F4" w:rsidRPr="009130DA">
        <w:rPr>
          <w:rFonts w:hint="cs"/>
          <w:sz w:val="24"/>
          <w:szCs w:val="24"/>
          <w:rtl/>
        </w:rPr>
        <w:t xml:space="preserve"> לבחור בסעיף 962 ולא בפטור </w:t>
      </w:r>
      <w:r w:rsidR="006170F4" w:rsidRPr="009130DA">
        <w:rPr>
          <w:sz w:val="24"/>
          <w:szCs w:val="24"/>
        </w:rPr>
        <w:t>HTE</w:t>
      </w:r>
      <w:r w:rsidR="006170F4" w:rsidRPr="009130DA">
        <w:rPr>
          <w:rFonts w:hint="cs"/>
          <w:sz w:val="24"/>
          <w:szCs w:val="24"/>
          <w:rtl/>
        </w:rPr>
        <w:t>.</w:t>
      </w:r>
    </w:p>
    <w:p w:rsidR="006170F4" w:rsidRPr="009130DA" w:rsidRDefault="002F0CE0" w:rsidP="009130DA">
      <w:pPr>
        <w:spacing w:line="360" w:lineRule="auto"/>
        <w:rPr>
          <w:sz w:val="24"/>
          <w:szCs w:val="24"/>
          <w:u w:val="single"/>
          <w:rtl/>
        </w:rPr>
      </w:pPr>
      <w:r w:rsidRPr="009130DA">
        <w:rPr>
          <w:rFonts w:hint="cs"/>
          <w:sz w:val="24"/>
          <w:szCs w:val="24"/>
          <w:u w:val="single"/>
          <w:rtl/>
        </w:rPr>
        <w:t>פגיעוּת</w:t>
      </w:r>
      <w:r w:rsidR="006170F4" w:rsidRPr="009130DA">
        <w:rPr>
          <w:rFonts w:hint="cs"/>
          <w:sz w:val="24"/>
          <w:szCs w:val="24"/>
          <w:u w:val="single"/>
          <w:rtl/>
        </w:rPr>
        <w:t xml:space="preserve"> להפסד תפעולי:</w:t>
      </w:r>
    </w:p>
    <w:p w:rsidR="002C29DA" w:rsidRPr="009130DA" w:rsidRDefault="002F0CE0" w:rsidP="00D32F4F">
      <w:pPr>
        <w:spacing w:line="360" w:lineRule="auto"/>
        <w:rPr>
          <w:sz w:val="24"/>
          <w:szCs w:val="24"/>
          <w:rtl/>
        </w:rPr>
      </w:pPr>
      <w:r w:rsidRPr="009130DA">
        <w:rPr>
          <w:rFonts w:hint="cs"/>
          <w:sz w:val="24"/>
          <w:szCs w:val="24"/>
          <w:rtl/>
        </w:rPr>
        <w:t>זוהי הסיבה העיקרית להימנע מבחירה ב-</w:t>
      </w:r>
      <w:r w:rsidRPr="009130DA">
        <w:rPr>
          <w:sz w:val="24"/>
          <w:szCs w:val="24"/>
        </w:rPr>
        <w:t>HTE</w:t>
      </w:r>
      <w:r w:rsidRPr="009130DA">
        <w:rPr>
          <w:rFonts w:hint="cs"/>
          <w:sz w:val="24"/>
          <w:szCs w:val="24"/>
          <w:rtl/>
        </w:rPr>
        <w:t xml:space="preserve">. נקודת התורפה הגדולה ביותר של משלם המיסים ביחס למס </w:t>
      </w:r>
      <w:r w:rsidRPr="009130DA">
        <w:rPr>
          <w:sz w:val="24"/>
          <w:szCs w:val="24"/>
        </w:rPr>
        <w:t>GILTI</w:t>
      </w:r>
      <w:r w:rsidRPr="009130DA">
        <w:rPr>
          <w:rFonts w:hint="cs"/>
          <w:sz w:val="24"/>
          <w:szCs w:val="24"/>
          <w:rtl/>
        </w:rPr>
        <w:t xml:space="preserve"> היא הפסדים תפעוליים קודמים. </w:t>
      </w:r>
      <w:r w:rsidRPr="009130DA">
        <w:rPr>
          <w:sz w:val="24"/>
          <w:szCs w:val="24"/>
        </w:rPr>
        <w:t>GILTI</w:t>
      </w:r>
      <w:r w:rsidRPr="009130DA">
        <w:rPr>
          <w:rFonts w:hint="cs"/>
          <w:sz w:val="24"/>
          <w:szCs w:val="24"/>
          <w:rtl/>
        </w:rPr>
        <w:t xml:space="preserve"> הוא מס שנתי ומשכך הוא אינו מביא בחשבון הפסדים תפעוליים שנצברו בשנים הקודמות. אם בבעלותכם חברה זרה שצברה הפסדים תפעוליים רבים ובשנה הנוכחית צברה רווח נקי, ייתכן שלא תדרשו לשלם מס חברות זר (מכיוון שאפשר לקזז את הרווח כנגד ההפסדים התפעוליים). מס </w:t>
      </w:r>
      <w:r w:rsidRPr="009130DA">
        <w:rPr>
          <w:sz w:val="24"/>
          <w:szCs w:val="24"/>
        </w:rPr>
        <w:t>GILTI</w:t>
      </w:r>
      <w:r w:rsidRPr="009130DA">
        <w:rPr>
          <w:rFonts w:hint="cs"/>
          <w:sz w:val="24"/>
          <w:szCs w:val="24"/>
          <w:rtl/>
        </w:rPr>
        <w:t>, לעומת</w:t>
      </w:r>
      <w:r w:rsidR="00A2546A">
        <w:rPr>
          <w:rFonts w:hint="cs"/>
          <w:sz w:val="24"/>
          <w:szCs w:val="24"/>
          <w:rtl/>
        </w:rPr>
        <w:t xml:space="preserve"> זאת, עדיין יהיה בתוקף</w:t>
      </w:r>
      <w:r w:rsidR="00CB5220">
        <w:rPr>
          <w:rFonts w:hint="cs"/>
          <w:sz w:val="24"/>
          <w:szCs w:val="24"/>
          <w:rtl/>
        </w:rPr>
        <w:t xml:space="preserve"> </w:t>
      </w:r>
      <w:r w:rsidRPr="009130DA">
        <w:rPr>
          <w:rFonts w:hint="cs"/>
          <w:sz w:val="24"/>
          <w:szCs w:val="24"/>
          <w:rtl/>
        </w:rPr>
        <w:t>וימסה הכנסה זו בשיעור של עד 37%</w:t>
      </w:r>
      <w:r w:rsidR="00A2546A">
        <w:rPr>
          <w:rFonts w:hint="cs"/>
          <w:sz w:val="24"/>
          <w:szCs w:val="24"/>
          <w:rtl/>
        </w:rPr>
        <w:t>,</w:t>
      </w:r>
      <w:r w:rsidRPr="009130DA">
        <w:rPr>
          <w:rFonts w:hint="cs"/>
          <w:sz w:val="24"/>
          <w:szCs w:val="24"/>
          <w:rtl/>
        </w:rPr>
        <w:t xml:space="preserve"> מכיוון שההפסדים התפעוליים </w:t>
      </w:r>
      <w:r w:rsidR="00D32F4F">
        <w:rPr>
          <w:rFonts w:hint="cs"/>
          <w:sz w:val="24"/>
          <w:szCs w:val="24"/>
          <w:rtl/>
        </w:rPr>
        <w:t>אירעו</w:t>
      </w:r>
      <w:r w:rsidR="00D32F4F" w:rsidRPr="009130DA">
        <w:rPr>
          <w:rFonts w:hint="cs"/>
          <w:sz w:val="24"/>
          <w:szCs w:val="24"/>
          <w:rtl/>
        </w:rPr>
        <w:t xml:space="preserve"> </w:t>
      </w:r>
      <w:r w:rsidR="00D32F4F">
        <w:rPr>
          <w:rFonts w:hint="cs"/>
          <w:sz w:val="24"/>
          <w:szCs w:val="24"/>
          <w:rtl/>
        </w:rPr>
        <w:t>ב</w:t>
      </w:r>
      <w:r w:rsidRPr="009130DA">
        <w:rPr>
          <w:rFonts w:hint="cs"/>
          <w:sz w:val="24"/>
          <w:szCs w:val="24"/>
          <w:rtl/>
        </w:rPr>
        <w:t xml:space="preserve">שנים קודמות. התקנות הסופיות הנוגעות למס </w:t>
      </w:r>
      <w:r w:rsidRPr="009130DA">
        <w:rPr>
          <w:sz w:val="24"/>
          <w:szCs w:val="24"/>
        </w:rPr>
        <w:t>GILTI</w:t>
      </w:r>
      <w:r w:rsidRPr="009130DA">
        <w:rPr>
          <w:rFonts w:hint="cs"/>
          <w:sz w:val="24"/>
          <w:szCs w:val="24"/>
          <w:rtl/>
        </w:rPr>
        <w:t xml:space="preserve"> מעניקות לכלל זה משנה תוקף.</w:t>
      </w:r>
    </w:p>
    <w:p w:rsidR="002F0CE0" w:rsidRPr="009130DA" w:rsidRDefault="002F0CE0" w:rsidP="009130DA">
      <w:pPr>
        <w:spacing w:line="360" w:lineRule="auto"/>
        <w:rPr>
          <w:sz w:val="24"/>
          <w:szCs w:val="24"/>
          <w:rtl/>
        </w:rPr>
      </w:pPr>
      <w:r w:rsidRPr="009130DA">
        <w:rPr>
          <w:rFonts w:hint="cs"/>
          <w:sz w:val="24"/>
          <w:szCs w:val="24"/>
          <w:rtl/>
        </w:rPr>
        <w:t>אם אתם בוחרים בסעיף 962, תקבלו את הניכוי על פי סעיף 250 שיפחית את המס לפחות ב-50%. נוסף על כך, אם</w:t>
      </w:r>
      <w:r w:rsidR="00A2546A">
        <w:rPr>
          <w:rFonts w:hint="cs"/>
          <w:sz w:val="24"/>
          <w:szCs w:val="24"/>
          <w:rtl/>
        </w:rPr>
        <w:t xml:space="preserve"> בבעלותם חברה נוספת שלא צברה הפס</w:t>
      </w:r>
      <w:r w:rsidRPr="009130DA">
        <w:rPr>
          <w:rFonts w:hint="cs"/>
          <w:sz w:val="24"/>
          <w:szCs w:val="24"/>
          <w:rtl/>
        </w:rPr>
        <w:t xml:space="preserve">דים תפעוליים ושעל ההכנסות ממנה אתם משלמים מס שעולה על 13.125%, תהיו פגיעים פחות ביחס למס </w:t>
      </w:r>
      <w:r w:rsidRPr="009130DA">
        <w:rPr>
          <w:sz w:val="24"/>
          <w:szCs w:val="24"/>
        </w:rPr>
        <w:t>GILTI</w:t>
      </w:r>
      <w:r w:rsidRPr="009130DA">
        <w:rPr>
          <w:rFonts w:hint="cs"/>
          <w:sz w:val="24"/>
          <w:szCs w:val="24"/>
          <w:rtl/>
        </w:rPr>
        <w:t>.</w:t>
      </w:r>
    </w:p>
    <w:p w:rsidR="005845D3" w:rsidRPr="009130DA" w:rsidRDefault="002F0CE0" w:rsidP="009130DA">
      <w:pPr>
        <w:spacing w:line="360" w:lineRule="auto"/>
        <w:rPr>
          <w:sz w:val="24"/>
          <w:szCs w:val="24"/>
          <w:rtl/>
        </w:rPr>
      </w:pPr>
      <w:r w:rsidRPr="009130DA">
        <w:rPr>
          <w:rFonts w:hint="cs"/>
          <w:sz w:val="24"/>
          <w:szCs w:val="24"/>
          <w:rtl/>
        </w:rPr>
        <w:t xml:space="preserve">אם בחרתם בפטור </w:t>
      </w:r>
      <w:r w:rsidRPr="009130DA">
        <w:rPr>
          <w:sz w:val="24"/>
          <w:szCs w:val="24"/>
        </w:rPr>
        <w:t>HTE</w:t>
      </w:r>
      <w:r w:rsidRPr="009130DA">
        <w:rPr>
          <w:rFonts w:hint="cs"/>
          <w:sz w:val="24"/>
          <w:szCs w:val="24"/>
          <w:rtl/>
        </w:rPr>
        <w:t xml:space="preserve"> כדי להפטר מתשלום מס </w:t>
      </w:r>
      <w:r w:rsidRPr="009130DA">
        <w:rPr>
          <w:sz w:val="24"/>
          <w:szCs w:val="24"/>
        </w:rPr>
        <w:t>GILTI</w:t>
      </w:r>
      <w:r w:rsidRPr="009130DA">
        <w:rPr>
          <w:rFonts w:hint="cs"/>
          <w:sz w:val="24"/>
          <w:szCs w:val="24"/>
          <w:rtl/>
        </w:rPr>
        <w:t>, לא תהיו זכ</w:t>
      </w:r>
      <w:r w:rsidR="00A2546A">
        <w:rPr>
          <w:rFonts w:hint="cs"/>
          <w:sz w:val="24"/>
          <w:szCs w:val="24"/>
          <w:rtl/>
        </w:rPr>
        <w:t>אים לניכוי על פי סעיף 250 ולא לחישוב</w:t>
      </w:r>
      <w:r w:rsidRPr="009130DA">
        <w:rPr>
          <w:rFonts w:hint="cs"/>
          <w:sz w:val="24"/>
          <w:szCs w:val="24"/>
          <w:rtl/>
        </w:rPr>
        <w:t xml:space="preserve"> עודף המס</w:t>
      </w:r>
      <w:r w:rsidR="005845D3" w:rsidRPr="009130DA">
        <w:rPr>
          <w:rFonts w:hint="cs"/>
          <w:sz w:val="24"/>
          <w:szCs w:val="24"/>
          <w:rtl/>
        </w:rPr>
        <w:t xml:space="preserve"> מן החברה </w:t>
      </w:r>
      <w:r w:rsidR="00A2546A" w:rsidRPr="009130DA">
        <w:rPr>
          <w:rFonts w:hint="cs"/>
          <w:sz w:val="24"/>
          <w:szCs w:val="24"/>
          <w:rtl/>
        </w:rPr>
        <w:t>השנייה</w:t>
      </w:r>
      <w:r w:rsidR="005845D3" w:rsidRPr="009130DA">
        <w:rPr>
          <w:rFonts w:hint="cs"/>
          <w:sz w:val="24"/>
          <w:szCs w:val="24"/>
          <w:rtl/>
        </w:rPr>
        <w:t xml:space="preserve">, היות ששניהם כלולים במשוואת חישוב מס </w:t>
      </w:r>
      <w:r w:rsidR="005845D3" w:rsidRPr="009130DA">
        <w:rPr>
          <w:sz w:val="24"/>
          <w:szCs w:val="24"/>
        </w:rPr>
        <w:t>GILTI</w:t>
      </w:r>
      <w:r w:rsidR="005845D3" w:rsidRPr="009130DA">
        <w:rPr>
          <w:rFonts w:hint="cs"/>
          <w:sz w:val="24"/>
          <w:szCs w:val="24"/>
          <w:rtl/>
        </w:rPr>
        <w:t xml:space="preserve">. כך אתם עלולים לשלם מס יותר מן המוטל עליכם, אך אפשר למנוע זאת אם מבטלים את הבחירה בפטור </w:t>
      </w:r>
      <w:r w:rsidR="005845D3" w:rsidRPr="009130DA">
        <w:rPr>
          <w:sz w:val="24"/>
          <w:szCs w:val="24"/>
        </w:rPr>
        <w:t>HTE</w:t>
      </w:r>
      <w:r w:rsidR="005845D3" w:rsidRPr="009130DA">
        <w:rPr>
          <w:rFonts w:hint="cs"/>
          <w:sz w:val="24"/>
          <w:szCs w:val="24"/>
          <w:rtl/>
        </w:rPr>
        <w:t xml:space="preserve"> ומשתמשים בסעיף 962 בשנה שנוצר מצב כזה. החיסרון הבולט בצעד זה הוא אובדן האפשרות לבחור בפטור </w:t>
      </w:r>
      <w:r w:rsidR="005845D3" w:rsidRPr="009130DA">
        <w:rPr>
          <w:sz w:val="24"/>
          <w:szCs w:val="24"/>
        </w:rPr>
        <w:t>HTE</w:t>
      </w:r>
      <w:r w:rsidR="005845D3" w:rsidRPr="009130DA">
        <w:rPr>
          <w:rFonts w:hint="cs"/>
          <w:sz w:val="24"/>
          <w:szCs w:val="24"/>
          <w:rtl/>
        </w:rPr>
        <w:t xml:space="preserve"> במשך חמש השנים הבאות (אלא אם כן תחליט רשות המיסים החלטה אישית שונה לגביכם [</w:t>
      </w:r>
      <w:r w:rsidR="005845D3" w:rsidRPr="009130DA">
        <w:rPr>
          <w:sz w:val="24"/>
          <w:szCs w:val="24"/>
        </w:rPr>
        <w:t>private letter ruling</w:t>
      </w:r>
      <w:r w:rsidR="005845D3" w:rsidRPr="009130DA">
        <w:rPr>
          <w:rFonts w:hint="cs"/>
          <w:sz w:val="24"/>
          <w:szCs w:val="24"/>
          <w:rtl/>
        </w:rPr>
        <w:t>]).</w:t>
      </w:r>
    </w:p>
    <w:p w:rsidR="005845D3" w:rsidRPr="009130DA" w:rsidRDefault="005845D3" w:rsidP="009130DA">
      <w:pPr>
        <w:spacing w:line="360" w:lineRule="auto"/>
        <w:rPr>
          <w:sz w:val="24"/>
          <w:szCs w:val="24"/>
          <w:rtl/>
        </w:rPr>
      </w:pPr>
      <w:r w:rsidRPr="009130DA">
        <w:rPr>
          <w:rFonts w:hint="cs"/>
          <w:sz w:val="24"/>
          <w:szCs w:val="24"/>
          <w:rtl/>
        </w:rPr>
        <w:t>לסיכום, רשות המיסים האמריקנית פרסמה תקנות מוצעות העוסקות בשאלות שעלו ביחס למיסוי כפול של חברות זרות. אף על פי כן, גם לאור התקנות הללו חל המס במקרים מסוימים. זאת ועוד, ישנן מלכודות רבות והצורך ביעוץ מקצועי מעולם לא היה כה דוחק. אם אתם מב</w:t>
      </w:r>
      <w:r w:rsidR="00A2546A">
        <w:rPr>
          <w:rFonts w:hint="cs"/>
          <w:sz w:val="24"/>
          <w:szCs w:val="24"/>
          <w:rtl/>
        </w:rPr>
        <w:t xml:space="preserve">קשים להבין האם אתם עלולים לשלם </w:t>
      </w:r>
      <w:r w:rsidRPr="009130DA">
        <w:rPr>
          <w:rFonts w:hint="cs"/>
          <w:sz w:val="24"/>
          <w:szCs w:val="24"/>
          <w:rtl/>
        </w:rPr>
        <w:t xml:space="preserve">מס </w:t>
      </w:r>
      <w:r w:rsidRPr="009130DA">
        <w:rPr>
          <w:sz w:val="24"/>
          <w:szCs w:val="24"/>
        </w:rPr>
        <w:t>GILTI</w:t>
      </w:r>
      <w:r w:rsidRPr="009130DA">
        <w:rPr>
          <w:rFonts w:hint="cs"/>
          <w:sz w:val="24"/>
          <w:szCs w:val="24"/>
          <w:rtl/>
        </w:rPr>
        <w:t xml:space="preserve">, </w:t>
      </w:r>
      <w:r w:rsidR="00A2546A">
        <w:rPr>
          <w:rFonts w:hint="cs"/>
          <w:sz w:val="24"/>
          <w:szCs w:val="24"/>
          <w:rtl/>
        </w:rPr>
        <w:t xml:space="preserve">נשמח לסייע לכם </w:t>
      </w:r>
      <w:r w:rsidR="00A2546A">
        <w:rPr>
          <w:sz w:val="24"/>
          <w:szCs w:val="24"/>
          <w:rtl/>
        </w:rPr>
        <w:t>–</w:t>
      </w:r>
      <w:bookmarkStart w:id="0" w:name="_GoBack"/>
      <w:bookmarkEnd w:id="0"/>
      <w:r w:rsidRPr="009130DA">
        <w:rPr>
          <w:rFonts w:hint="cs"/>
          <w:sz w:val="24"/>
          <w:szCs w:val="24"/>
          <w:rtl/>
        </w:rPr>
        <w:t xml:space="preserve">צרו אתנו קשר בכתובת </w:t>
      </w:r>
      <w:hyperlink r:id="rId7" w:history="1">
        <w:r w:rsidRPr="009130DA">
          <w:rPr>
            <w:rStyle w:val="Hyperlink"/>
            <w:sz w:val="24"/>
            <w:szCs w:val="24"/>
          </w:rPr>
          <w:t>info@pstein.com</w:t>
        </w:r>
      </w:hyperlink>
      <w:r w:rsidRPr="009130DA">
        <w:rPr>
          <w:rFonts w:hint="cs"/>
          <w:sz w:val="24"/>
          <w:szCs w:val="24"/>
          <w:rtl/>
        </w:rPr>
        <w:t>.</w:t>
      </w:r>
    </w:p>
    <w:p w:rsidR="005845D3" w:rsidRPr="009130DA" w:rsidRDefault="005845D3" w:rsidP="009130DA">
      <w:pPr>
        <w:spacing w:line="360" w:lineRule="auto"/>
        <w:rPr>
          <w:sz w:val="24"/>
          <w:szCs w:val="24"/>
          <w:rtl/>
        </w:rPr>
      </w:pPr>
      <w:r w:rsidRPr="009130DA">
        <w:rPr>
          <w:rFonts w:hint="cs"/>
          <w:sz w:val="24"/>
          <w:szCs w:val="24"/>
          <w:rtl/>
        </w:rPr>
        <w:t>עקבו אחר עדכוני ה-</w:t>
      </w:r>
      <w:r w:rsidRPr="009130DA">
        <w:rPr>
          <w:sz w:val="24"/>
          <w:szCs w:val="24"/>
        </w:rPr>
        <w:t>GILTI</w:t>
      </w:r>
      <w:r w:rsidRPr="009130DA">
        <w:rPr>
          <w:rFonts w:hint="cs"/>
          <w:sz w:val="24"/>
          <w:szCs w:val="24"/>
          <w:rtl/>
        </w:rPr>
        <w:t xml:space="preserve"> שלנו שימשיכו להגיע.</w:t>
      </w:r>
    </w:p>
    <w:p w:rsidR="005845D3" w:rsidRPr="009130DA" w:rsidRDefault="005845D3" w:rsidP="009130DA">
      <w:pPr>
        <w:spacing w:line="360" w:lineRule="auto"/>
        <w:rPr>
          <w:sz w:val="24"/>
          <w:szCs w:val="24"/>
        </w:rPr>
      </w:pPr>
    </w:p>
    <w:p w:rsidR="002F0CE0" w:rsidRPr="009130DA" w:rsidRDefault="002F0CE0" w:rsidP="009130DA">
      <w:pPr>
        <w:spacing w:line="360" w:lineRule="auto"/>
        <w:rPr>
          <w:sz w:val="24"/>
          <w:szCs w:val="24"/>
          <w:rtl/>
        </w:rPr>
      </w:pPr>
    </w:p>
    <w:p w:rsidR="002F0CE0" w:rsidRPr="009130DA" w:rsidRDefault="002F0CE0" w:rsidP="009130DA">
      <w:pPr>
        <w:spacing w:line="360" w:lineRule="auto"/>
        <w:rPr>
          <w:sz w:val="24"/>
          <w:szCs w:val="24"/>
          <w:rtl/>
        </w:rPr>
      </w:pPr>
    </w:p>
    <w:p w:rsidR="00FD2323" w:rsidRPr="009130DA" w:rsidRDefault="00FD2323" w:rsidP="009130DA">
      <w:pPr>
        <w:spacing w:line="360" w:lineRule="auto"/>
        <w:rPr>
          <w:sz w:val="24"/>
          <w:szCs w:val="24"/>
          <w:rtl/>
        </w:rPr>
      </w:pPr>
    </w:p>
    <w:sectPr w:rsidR="00FD2323" w:rsidRPr="009130DA" w:rsidSect="009A1C8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D261B"/>
    <w:rsid w:val="000433D6"/>
    <w:rsid w:val="000630BB"/>
    <w:rsid w:val="00067732"/>
    <w:rsid w:val="002425F0"/>
    <w:rsid w:val="002C29DA"/>
    <w:rsid w:val="002D2939"/>
    <w:rsid w:val="002F0CE0"/>
    <w:rsid w:val="00370906"/>
    <w:rsid w:val="003D3BCE"/>
    <w:rsid w:val="0043484B"/>
    <w:rsid w:val="00445970"/>
    <w:rsid w:val="0050072C"/>
    <w:rsid w:val="005845D3"/>
    <w:rsid w:val="006170F4"/>
    <w:rsid w:val="006D261B"/>
    <w:rsid w:val="007835AA"/>
    <w:rsid w:val="007E6BC5"/>
    <w:rsid w:val="008278FD"/>
    <w:rsid w:val="009130DA"/>
    <w:rsid w:val="00985E22"/>
    <w:rsid w:val="009A1C84"/>
    <w:rsid w:val="009B3D96"/>
    <w:rsid w:val="009C6BA1"/>
    <w:rsid w:val="00A2546A"/>
    <w:rsid w:val="00A34ABA"/>
    <w:rsid w:val="00B40549"/>
    <w:rsid w:val="00BE7148"/>
    <w:rsid w:val="00C60509"/>
    <w:rsid w:val="00CB5220"/>
    <w:rsid w:val="00CC41AF"/>
    <w:rsid w:val="00CF04DC"/>
    <w:rsid w:val="00D32F4F"/>
    <w:rsid w:val="00D62B7B"/>
    <w:rsid w:val="00D9741C"/>
    <w:rsid w:val="00DC539F"/>
    <w:rsid w:val="00FB4009"/>
    <w:rsid w:val="00FD232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D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148"/>
    <w:rPr>
      <w:color w:val="0000FF" w:themeColor="hyperlink"/>
      <w:u w:val="single"/>
    </w:rPr>
  </w:style>
  <w:style w:type="paragraph" w:styleId="BalloonText">
    <w:name w:val="Balloon Text"/>
    <w:basedOn w:val="Normal"/>
    <w:link w:val="BalloonTextChar"/>
    <w:uiPriority w:val="99"/>
    <w:semiHidden/>
    <w:unhideWhenUsed/>
    <w:rsid w:val="00370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pstei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tein.com/blog/exciting-update-regarding-gilti-tax/" TargetMode="External"/><Relationship Id="rId5" Type="http://schemas.openxmlformats.org/officeDocument/2006/relationships/hyperlink" Target="https://www.pstein.com/blog/3-times-gilti/" TargetMode="External"/><Relationship Id="rId4" Type="http://schemas.openxmlformats.org/officeDocument/2006/relationships/hyperlink" Target="https://s3.amazonaws.com/public-inspection.federalregister.gov/2019-12437.pdf" TargetMode="Externa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4860</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Hila Adler</cp:lastModifiedBy>
  <cp:revision>2</cp:revision>
  <dcterms:created xsi:type="dcterms:W3CDTF">2019-07-01T07:14:00Z</dcterms:created>
  <dcterms:modified xsi:type="dcterms:W3CDTF">2019-07-01T07:14:00Z</dcterms:modified>
</cp:coreProperties>
</file>