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8FD" w14:textId="3B4B920E" w:rsidR="009D7502" w:rsidRPr="00B22788" w:rsidRDefault="009D7502" w:rsidP="005545EF">
      <w:pPr>
        <w:pStyle w:val="Heading1"/>
        <w:numPr>
          <w:ilvl w:val="0"/>
          <w:numId w:val="14"/>
        </w:numPr>
        <w:spacing w:after="240" w:line="360" w:lineRule="auto"/>
        <w:jc w:val="both"/>
      </w:pPr>
      <w:r w:rsidRPr="00B22788">
        <w:t xml:space="preserve">Food Waste </w:t>
      </w:r>
      <w:r w:rsidR="00FB4CF0" w:rsidRPr="00B22788">
        <w:t xml:space="preserve">and Rescue in Household Consumption </w:t>
      </w:r>
    </w:p>
    <w:p w14:paraId="2AB0A773" w14:textId="7984C213" w:rsidR="00BC090D" w:rsidRPr="00B22788" w:rsidRDefault="00DF7266" w:rsidP="00EE365D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22788">
        <w:rPr>
          <w:rFonts w:ascii="Arial" w:hAnsi="Arial" w:cs="Arial"/>
          <w:b/>
          <w:bCs/>
          <w:sz w:val="24"/>
          <w:szCs w:val="24"/>
          <w:lang w:val="en-GB"/>
        </w:rPr>
        <w:t xml:space="preserve">NIS </w:t>
      </w:r>
      <w:r w:rsidR="008D727C">
        <w:rPr>
          <w:rFonts w:ascii="Arial" w:hAnsi="Arial" w:cs="Arial"/>
          <w:b/>
          <w:bCs/>
          <w:sz w:val="24"/>
          <w:szCs w:val="24"/>
          <w:lang w:val="en-GB"/>
        </w:rPr>
        <w:t>8.8</w:t>
      </w:r>
      <w:r w:rsidRPr="00B22788">
        <w:rPr>
          <w:rFonts w:ascii="Arial" w:hAnsi="Arial" w:cs="Arial"/>
          <w:b/>
          <w:bCs/>
          <w:sz w:val="24"/>
          <w:szCs w:val="24"/>
          <w:lang w:val="en-GB"/>
        </w:rPr>
        <w:t xml:space="preserve"> billion worth of food</w:t>
      </w:r>
      <w:r w:rsidR="00E92479">
        <w:rPr>
          <w:rFonts w:ascii="Arial" w:hAnsi="Arial" w:cs="Arial"/>
          <w:b/>
          <w:bCs/>
          <w:sz w:val="24"/>
          <w:szCs w:val="24"/>
          <w:lang w:val="en-GB"/>
        </w:rPr>
        <w:t xml:space="preserve"> waste in household consumption //</w:t>
      </w:r>
      <w:r w:rsidRPr="00B22788">
        <w:rPr>
          <w:rFonts w:ascii="Arial" w:hAnsi="Arial" w:cs="Arial"/>
          <w:b/>
          <w:bCs/>
          <w:sz w:val="24"/>
          <w:szCs w:val="24"/>
          <w:lang w:val="en-GB"/>
        </w:rPr>
        <w:t xml:space="preserve"> NIS 3,</w:t>
      </w:r>
      <w:r w:rsidR="008D727C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B22788">
        <w:rPr>
          <w:rFonts w:ascii="Arial" w:hAnsi="Arial" w:cs="Arial"/>
          <w:b/>
          <w:bCs/>
          <w:sz w:val="24"/>
          <w:szCs w:val="24"/>
          <w:lang w:val="en-GB"/>
        </w:rPr>
        <w:t>00 worth of annual food waste per household in Israel</w:t>
      </w:r>
    </w:p>
    <w:p w14:paraId="79FF8D51" w14:textId="77777777" w:rsidR="002E4A20" w:rsidRDefault="00DF7266" w:rsidP="008D727C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22788">
        <w:rPr>
          <w:rFonts w:ascii="Arial" w:hAnsi="Arial" w:cs="Arial"/>
          <w:sz w:val="24"/>
          <w:szCs w:val="24"/>
          <w:lang w:val="en-GB"/>
        </w:rPr>
        <w:t>In 202</w:t>
      </w:r>
      <w:r w:rsidR="008D727C">
        <w:rPr>
          <w:rFonts w:ascii="Arial" w:hAnsi="Arial" w:cs="Arial"/>
          <w:sz w:val="24"/>
          <w:szCs w:val="24"/>
          <w:lang w:val="en-GB"/>
        </w:rPr>
        <w:t>1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, </w:t>
      </w:r>
      <w:r w:rsidR="008D727C">
        <w:rPr>
          <w:rFonts w:ascii="Arial" w:hAnsi="Arial" w:cs="Arial"/>
          <w:sz w:val="24"/>
          <w:szCs w:val="24"/>
          <w:lang w:val="en-GB"/>
        </w:rPr>
        <w:t xml:space="preserve">with the economy’s return to routine activity, household </w:t>
      </w:r>
      <w:r w:rsidR="00DE0F39" w:rsidRPr="00B22788">
        <w:rPr>
          <w:rFonts w:ascii="Arial" w:hAnsi="Arial" w:cs="Arial"/>
          <w:sz w:val="24"/>
          <w:szCs w:val="24"/>
          <w:lang w:val="en-GB"/>
        </w:rPr>
        <w:t>food consumption patterns</w:t>
      </w:r>
      <w:r w:rsidR="008D727C">
        <w:rPr>
          <w:rFonts w:ascii="Arial" w:hAnsi="Arial" w:cs="Arial"/>
          <w:sz w:val="24"/>
          <w:szCs w:val="24"/>
          <w:lang w:val="en-GB"/>
        </w:rPr>
        <w:t xml:space="preserve"> returned to normal, and there was an increase in the amount of food consumed </w:t>
      </w:r>
      <w:r w:rsidR="002A1B0B">
        <w:rPr>
          <w:rFonts w:ascii="Arial" w:hAnsi="Arial" w:cs="Arial"/>
          <w:sz w:val="24"/>
          <w:szCs w:val="24"/>
          <w:lang w:val="en-GB"/>
        </w:rPr>
        <w:t xml:space="preserve">at </w:t>
      </w:r>
      <w:r w:rsidR="00DE0F39" w:rsidRPr="00B22788">
        <w:rPr>
          <w:rFonts w:ascii="Arial" w:hAnsi="Arial" w:cs="Arial"/>
          <w:sz w:val="24"/>
          <w:szCs w:val="24"/>
          <w:lang w:val="en-GB"/>
        </w:rPr>
        <w:t xml:space="preserve">restaurants, workplaces, </w:t>
      </w:r>
      <w:r w:rsidR="00C75196">
        <w:rPr>
          <w:rFonts w:ascii="Arial" w:hAnsi="Arial" w:cs="Arial"/>
          <w:sz w:val="24"/>
          <w:szCs w:val="24"/>
          <w:lang w:val="en-GB"/>
        </w:rPr>
        <w:t>events</w:t>
      </w:r>
      <w:r w:rsidR="00DE0F39" w:rsidRPr="00B22788">
        <w:rPr>
          <w:rFonts w:ascii="Arial" w:hAnsi="Arial" w:cs="Arial"/>
          <w:sz w:val="24"/>
          <w:szCs w:val="24"/>
          <w:lang w:val="en-GB"/>
        </w:rPr>
        <w:t xml:space="preserve">, etc. </w:t>
      </w:r>
      <w:r w:rsidR="008D727C">
        <w:rPr>
          <w:rFonts w:ascii="Arial" w:hAnsi="Arial" w:cs="Arial"/>
          <w:sz w:val="24"/>
          <w:szCs w:val="24"/>
          <w:lang w:val="en-GB"/>
        </w:rPr>
        <w:t xml:space="preserve">Therefore, </w:t>
      </w:r>
      <w:r w:rsidR="00DE0F39" w:rsidRPr="00B22788">
        <w:rPr>
          <w:rFonts w:ascii="Arial" w:hAnsi="Arial" w:cs="Arial"/>
          <w:sz w:val="24"/>
          <w:szCs w:val="24"/>
          <w:lang w:val="en-GB"/>
        </w:rPr>
        <w:t>at-home consumption</w:t>
      </w:r>
      <w:r w:rsidR="008D727C">
        <w:rPr>
          <w:rFonts w:ascii="Arial" w:hAnsi="Arial" w:cs="Arial"/>
          <w:sz w:val="24"/>
          <w:szCs w:val="24"/>
          <w:lang w:val="en-GB"/>
        </w:rPr>
        <w:t xml:space="preserve"> decreased </w:t>
      </w:r>
      <w:r w:rsidR="002C1704" w:rsidRPr="00B22788">
        <w:rPr>
          <w:rFonts w:ascii="Arial" w:hAnsi="Arial" w:cs="Arial"/>
          <w:sz w:val="24"/>
          <w:szCs w:val="24"/>
          <w:lang w:val="en-GB"/>
        </w:rPr>
        <w:t xml:space="preserve">by about </w:t>
      </w:r>
      <w:r w:rsidR="008D727C">
        <w:rPr>
          <w:rFonts w:ascii="Arial" w:hAnsi="Arial" w:cs="Arial"/>
          <w:sz w:val="24"/>
          <w:szCs w:val="24"/>
          <w:lang w:val="en-GB"/>
        </w:rPr>
        <w:t>2</w:t>
      </w:r>
      <w:r w:rsidR="002C1704" w:rsidRPr="00B22788">
        <w:rPr>
          <w:rFonts w:ascii="Arial" w:hAnsi="Arial" w:cs="Arial"/>
          <w:sz w:val="24"/>
          <w:szCs w:val="24"/>
          <w:lang w:val="en-GB"/>
        </w:rPr>
        <w:t>% compared to 20</w:t>
      </w:r>
      <w:r w:rsidR="008D727C">
        <w:rPr>
          <w:rFonts w:ascii="Arial" w:hAnsi="Arial" w:cs="Arial"/>
          <w:sz w:val="24"/>
          <w:szCs w:val="24"/>
          <w:lang w:val="en-GB"/>
        </w:rPr>
        <w:t>20</w:t>
      </w:r>
      <w:r w:rsidR="00DE0F39" w:rsidRPr="00B22788">
        <w:rPr>
          <w:rStyle w:val="FootnoteReference"/>
          <w:rFonts w:ascii="Arial" w:hAnsi="Arial" w:cs="Arial"/>
          <w:sz w:val="24"/>
          <w:szCs w:val="24"/>
          <w:lang w:val="en-GB"/>
        </w:rPr>
        <w:footnoteReference w:id="1"/>
      </w:r>
      <w:r w:rsidR="008D727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A36E4B5" w14:textId="7E83722D" w:rsidR="00DF7266" w:rsidRPr="00B22788" w:rsidRDefault="002C1704" w:rsidP="008D727C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22788">
        <w:rPr>
          <w:rFonts w:ascii="Arial" w:hAnsi="Arial" w:cs="Arial"/>
          <w:sz w:val="24"/>
          <w:szCs w:val="24"/>
          <w:lang w:val="en-GB"/>
        </w:rPr>
        <w:t>Accordingly, household</w:t>
      </w:r>
      <w:r w:rsidR="003C7B94">
        <w:rPr>
          <w:rFonts w:ascii="Arial" w:hAnsi="Arial" w:cs="Arial"/>
          <w:sz w:val="24"/>
          <w:szCs w:val="24"/>
          <w:lang w:val="en-GB"/>
        </w:rPr>
        <w:t xml:space="preserve"> food waste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in Israel </w:t>
      </w:r>
      <w:r w:rsidR="002E4A20">
        <w:rPr>
          <w:rFonts w:ascii="Arial" w:hAnsi="Arial" w:cs="Arial"/>
          <w:sz w:val="24"/>
          <w:szCs w:val="24"/>
          <w:lang w:val="en-GB"/>
        </w:rPr>
        <w:t xml:space="preserve">during 2021 </w:t>
      </w:r>
      <w:r w:rsidRPr="00B22788">
        <w:rPr>
          <w:rFonts w:ascii="Arial" w:hAnsi="Arial" w:cs="Arial"/>
          <w:sz w:val="24"/>
          <w:szCs w:val="24"/>
          <w:lang w:val="en-GB"/>
        </w:rPr>
        <w:t>amounted to approximately 9</w:t>
      </w:r>
      <w:r w:rsidR="002E4A20">
        <w:rPr>
          <w:rFonts w:ascii="Arial" w:hAnsi="Arial" w:cs="Arial"/>
          <w:sz w:val="24"/>
          <w:szCs w:val="24"/>
          <w:lang w:val="en-GB"/>
        </w:rPr>
        <w:t>5</w:t>
      </w:r>
      <w:r w:rsidRPr="00B22788">
        <w:rPr>
          <w:rFonts w:ascii="Arial" w:hAnsi="Arial" w:cs="Arial"/>
          <w:sz w:val="24"/>
          <w:szCs w:val="24"/>
          <w:lang w:val="en-GB"/>
        </w:rPr>
        <w:t>0 thousand tons,</w:t>
      </w:r>
      <w:r w:rsidRPr="00B22788">
        <w:rPr>
          <w:rStyle w:val="FootnoteReference"/>
          <w:rFonts w:ascii="Arial" w:hAnsi="Arial" w:cs="Arial"/>
          <w:sz w:val="24"/>
          <w:szCs w:val="24"/>
          <w:lang w:val="en-GB"/>
        </w:rPr>
        <w:footnoteReference w:id="2"/>
      </w:r>
      <w:r w:rsidRPr="00B22788">
        <w:rPr>
          <w:rFonts w:ascii="Arial" w:hAnsi="Arial" w:cs="Arial"/>
          <w:sz w:val="24"/>
          <w:szCs w:val="24"/>
          <w:lang w:val="en-GB"/>
        </w:rPr>
        <w:t xml:space="preserve"> valued at about NIS </w:t>
      </w:r>
      <w:r w:rsidR="002E4A20">
        <w:rPr>
          <w:rFonts w:ascii="Arial" w:hAnsi="Arial" w:cs="Arial"/>
          <w:sz w:val="24"/>
          <w:szCs w:val="24"/>
          <w:lang w:val="en-GB"/>
        </w:rPr>
        <w:t>8.8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billion. </w:t>
      </w:r>
      <w:r w:rsidR="007E41B9" w:rsidRPr="00B22788">
        <w:rPr>
          <w:rFonts w:ascii="Arial" w:hAnsi="Arial" w:cs="Arial"/>
          <w:sz w:val="24"/>
          <w:szCs w:val="24"/>
          <w:lang w:val="en-GB"/>
        </w:rPr>
        <w:t xml:space="preserve">Beyond this direct cost, the environmental cost </w:t>
      </w:r>
      <w:r w:rsidR="003C7B94">
        <w:rPr>
          <w:rFonts w:ascii="Arial" w:hAnsi="Arial" w:cs="Arial"/>
          <w:sz w:val="24"/>
          <w:szCs w:val="24"/>
          <w:lang w:val="en-GB"/>
        </w:rPr>
        <w:t xml:space="preserve">due to </w:t>
      </w:r>
      <w:r w:rsidR="007E41B9" w:rsidRPr="00B22788">
        <w:rPr>
          <w:rFonts w:ascii="Arial" w:hAnsi="Arial" w:cs="Arial"/>
          <w:sz w:val="24"/>
          <w:szCs w:val="24"/>
          <w:lang w:val="en-GB"/>
        </w:rPr>
        <w:t>food waste in the household consumption sector stands at about NIS 1 billion</w:t>
      </w:r>
      <w:r w:rsidR="007E41B9" w:rsidRPr="00B22788">
        <w:rPr>
          <w:rStyle w:val="FootnoteReference"/>
          <w:rFonts w:ascii="Arial" w:hAnsi="Arial" w:cs="Arial"/>
          <w:sz w:val="24"/>
          <w:szCs w:val="24"/>
          <w:lang w:val="en-GB"/>
        </w:rPr>
        <w:footnoteReference w:id="3"/>
      </w:r>
      <w:r w:rsidR="002E4A20">
        <w:rPr>
          <w:rFonts w:ascii="Arial" w:hAnsi="Arial" w:cs="Arial"/>
          <w:sz w:val="24"/>
          <w:szCs w:val="24"/>
          <w:lang w:val="en-GB"/>
        </w:rPr>
        <w:t>.</w:t>
      </w:r>
      <w:r w:rsidR="007E41B9" w:rsidRPr="00B2278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B57E672" w14:textId="30972BE0" w:rsidR="006C26D7" w:rsidRPr="00B22788" w:rsidRDefault="006C26D7" w:rsidP="00EE365D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22788">
        <w:rPr>
          <w:rFonts w:ascii="Arial" w:hAnsi="Arial" w:cs="Arial"/>
          <w:sz w:val="24"/>
          <w:szCs w:val="24"/>
          <w:lang w:val="en-GB"/>
        </w:rPr>
        <w:t xml:space="preserve">The average household in Israel </w:t>
      </w:r>
      <w:r w:rsidR="00CE58C5">
        <w:rPr>
          <w:rFonts w:ascii="Arial" w:hAnsi="Arial" w:cs="Arial"/>
          <w:sz w:val="24"/>
          <w:szCs w:val="24"/>
          <w:lang w:val="en-GB"/>
        </w:rPr>
        <w:t>wastes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about 13% of its food expenditure, meaning the average family in Israel </w:t>
      </w:r>
      <w:r w:rsidR="00CE58C5">
        <w:rPr>
          <w:rFonts w:ascii="Arial" w:hAnsi="Arial" w:cs="Arial"/>
          <w:sz w:val="24"/>
          <w:szCs w:val="24"/>
          <w:lang w:val="en-GB"/>
        </w:rPr>
        <w:t>in 202</w:t>
      </w:r>
      <w:r w:rsidR="002E4A20">
        <w:rPr>
          <w:rFonts w:ascii="Arial" w:hAnsi="Arial" w:cs="Arial"/>
          <w:sz w:val="24"/>
          <w:szCs w:val="24"/>
          <w:lang w:val="en-GB"/>
        </w:rPr>
        <w:t>1</w:t>
      </w:r>
      <w:r w:rsidR="00CE58C5">
        <w:rPr>
          <w:rFonts w:ascii="Arial" w:hAnsi="Arial" w:cs="Arial"/>
          <w:sz w:val="24"/>
          <w:szCs w:val="24"/>
          <w:lang w:val="en-GB"/>
        </w:rPr>
        <w:t xml:space="preserve"> wasted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food value</w:t>
      </w:r>
      <w:r w:rsidR="00CE58C5">
        <w:rPr>
          <w:rFonts w:ascii="Arial" w:hAnsi="Arial" w:cs="Arial"/>
          <w:sz w:val="24"/>
          <w:szCs w:val="24"/>
          <w:lang w:val="en-GB"/>
        </w:rPr>
        <w:t>d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</w:t>
      </w:r>
      <w:r w:rsidR="00CE58C5">
        <w:rPr>
          <w:rFonts w:ascii="Arial" w:hAnsi="Arial" w:cs="Arial"/>
          <w:sz w:val="24"/>
          <w:szCs w:val="24"/>
          <w:lang w:val="en-GB"/>
        </w:rPr>
        <w:t>at about NIS 3,</w:t>
      </w:r>
      <w:r w:rsidR="002E4A20">
        <w:rPr>
          <w:rFonts w:ascii="Arial" w:hAnsi="Arial" w:cs="Arial"/>
          <w:sz w:val="24"/>
          <w:szCs w:val="24"/>
          <w:lang w:val="en-GB"/>
        </w:rPr>
        <w:t>5</w:t>
      </w:r>
      <w:r w:rsidR="00CE58C5">
        <w:rPr>
          <w:rFonts w:ascii="Arial" w:hAnsi="Arial" w:cs="Arial"/>
          <w:sz w:val="24"/>
          <w:szCs w:val="24"/>
          <w:lang w:val="en-GB"/>
        </w:rPr>
        <w:t xml:space="preserve">00, or the </w:t>
      </w:r>
      <w:r w:rsidR="00E20A39">
        <w:rPr>
          <w:rFonts w:ascii="Arial" w:hAnsi="Arial" w:cs="Arial"/>
          <w:sz w:val="24"/>
          <w:szCs w:val="24"/>
          <w:lang w:val="en-GB"/>
        </w:rPr>
        <w:t>equivalent</w:t>
      </w:r>
      <w:r w:rsidR="00CE58C5">
        <w:rPr>
          <w:rFonts w:ascii="Arial" w:hAnsi="Arial" w:cs="Arial"/>
          <w:sz w:val="24"/>
          <w:szCs w:val="24"/>
          <w:lang w:val="en-GB"/>
        </w:rPr>
        <w:t xml:space="preserve"> of the </w:t>
      </w:r>
      <w:r w:rsidRPr="00B22788">
        <w:rPr>
          <w:rFonts w:ascii="Arial" w:hAnsi="Arial" w:cs="Arial"/>
          <w:sz w:val="24"/>
          <w:szCs w:val="24"/>
          <w:lang w:val="en-GB"/>
        </w:rPr>
        <w:t>food</w:t>
      </w:r>
      <w:r w:rsidR="00CE58C5">
        <w:rPr>
          <w:rFonts w:ascii="Arial" w:hAnsi="Arial" w:cs="Arial"/>
          <w:sz w:val="24"/>
          <w:szCs w:val="24"/>
          <w:lang w:val="en-GB"/>
        </w:rPr>
        <w:t xml:space="preserve"> consumed in a month</w:t>
      </w:r>
      <w:r w:rsidR="00E20A39">
        <w:rPr>
          <w:rFonts w:ascii="Arial" w:hAnsi="Arial" w:cs="Arial"/>
          <w:sz w:val="24"/>
          <w:szCs w:val="24"/>
          <w:lang w:val="en-GB"/>
        </w:rPr>
        <w:t xml:space="preserve"> and a half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. </w:t>
      </w:r>
      <w:r w:rsidR="004F1781" w:rsidRPr="00B22788">
        <w:rPr>
          <w:rFonts w:ascii="Arial" w:hAnsi="Arial" w:cs="Arial"/>
          <w:sz w:val="24"/>
          <w:szCs w:val="24"/>
          <w:lang w:val="en-GB"/>
        </w:rPr>
        <w:t>On a monthly basis, the average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 </w:t>
      </w:r>
      <w:r w:rsidRPr="002E4A20">
        <w:rPr>
          <w:rFonts w:ascii="Arial" w:hAnsi="Arial" w:cs="Arial"/>
          <w:b/>
          <w:bCs/>
          <w:sz w:val="24"/>
          <w:szCs w:val="24"/>
          <w:lang w:val="en-GB"/>
        </w:rPr>
        <w:t>household</w:t>
      </w:r>
      <w:r w:rsidR="004F1781" w:rsidRPr="002E4A20">
        <w:rPr>
          <w:rFonts w:ascii="Arial" w:hAnsi="Arial" w:cs="Arial"/>
          <w:b/>
          <w:bCs/>
          <w:sz w:val="24"/>
          <w:szCs w:val="24"/>
          <w:lang w:val="en-GB"/>
        </w:rPr>
        <w:t>’</w:t>
      </w:r>
      <w:r w:rsidRPr="002E4A20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4F1781" w:rsidRPr="00B22788">
        <w:rPr>
          <w:rFonts w:ascii="Arial" w:hAnsi="Arial" w:cs="Arial"/>
          <w:sz w:val="24"/>
          <w:szCs w:val="24"/>
          <w:lang w:val="en-GB"/>
        </w:rPr>
        <w:t xml:space="preserve"> financial loss due to </w:t>
      </w:r>
      <w:r w:rsidRPr="00B22788">
        <w:rPr>
          <w:rFonts w:ascii="Arial" w:hAnsi="Arial" w:cs="Arial"/>
          <w:sz w:val="24"/>
          <w:szCs w:val="24"/>
          <w:lang w:val="en-GB"/>
        </w:rPr>
        <w:t xml:space="preserve">food waste </w:t>
      </w:r>
      <w:r w:rsidR="00C75196">
        <w:rPr>
          <w:rFonts w:ascii="Arial" w:hAnsi="Arial" w:cs="Arial"/>
          <w:sz w:val="24"/>
          <w:szCs w:val="24"/>
          <w:lang w:val="en-GB"/>
        </w:rPr>
        <w:t>was</w:t>
      </w:r>
      <w:r w:rsidR="004F1781" w:rsidRPr="00B22788">
        <w:rPr>
          <w:rFonts w:ascii="Arial" w:hAnsi="Arial" w:cs="Arial"/>
          <w:sz w:val="24"/>
          <w:szCs w:val="24"/>
          <w:lang w:val="en-GB"/>
        </w:rPr>
        <w:t xml:space="preserve"> NIS </w:t>
      </w:r>
      <w:r w:rsidR="002E4A20">
        <w:rPr>
          <w:rFonts w:ascii="Arial" w:hAnsi="Arial" w:cs="Arial"/>
          <w:sz w:val="24"/>
          <w:szCs w:val="24"/>
          <w:lang w:val="en-GB"/>
        </w:rPr>
        <w:t>275</w:t>
      </w:r>
      <w:r w:rsidR="004F1781" w:rsidRPr="00B22788">
        <w:rPr>
          <w:rFonts w:ascii="Arial" w:hAnsi="Arial" w:cs="Arial"/>
          <w:sz w:val="24"/>
          <w:szCs w:val="24"/>
          <w:lang w:val="en-GB"/>
        </w:rPr>
        <w:t>, with NIS 13</w:t>
      </w:r>
      <w:r w:rsidR="002E4A20">
        <w:rPr>
          <w:rFonts w:ascii="Arial" w:hAnsi="Arial" w:cs="Arial"/>
          <w:sz w:val="24"/>
          <w:szCs w:val="24"/>
          <w:lang w:val="en-GB"/>
        </w:rPr>
        <w:t>4</w:t>
      </w:r>
      <w:r w:rsidR="004F1781" w:rsidRPr="00B22788">
        <w:rPr>
          <w:rFonts w:ascii="Arial" w:hAnsi="Arial" w:cs="Arial"/>
          <w:sz w:val="24"/>
          <w:szCs w:val="24"/>
          <w:lang w:val="en-GB"/>
        </w:rPr>
        <w:t xml:space="preserve"> resulting from wasted fruit and vegetables, NIS </w:t>
      </w:r>
      <w:r w:rsidR="00076752" w:rsidRPr="00B22788">
        <w:rPr>
          <w:rFonts w:ascii="Arial" w:hAnsi="Arial" w:cs="Arial"/>
          <w:sz w:val="24"/>
          <w:szCs w:val="24"/>
          <w:lang w:val="en-GB"/>
        </w:rPr>
        <w:t>9</w:t>
      </w:r>
      <w:r w:rsidR="002E4A20">
        <w:rPr>
          <w:rFonts w:ascii="Arial" w:hAnsi="Arial" w:cs="Arial"/>
          <w:sz w:val="24"/>
          <w:szCs w:val="24"/>
          <w:lang w:val="en-GB"/>
        </w:rPr>
        <w:t>2</w:t>
      </w:r>
      <w:r w:rsidR="00076752" w:rsidRPr="00B22788">
        <w:rPr>
          <w:rFonts w:ascii="Arial" w:hAnsi="Arial" w:cs="Arial"/>
          <w:sz w:val="24"/>
          <w:szCs w:val="24"/>
          <w:lang w:val="en-GB"/>
        </w:rPr>
        <w:t xml:space="preserve"> </w:t>
      </w:r>
      <w:r w:rsidR="004F1781" w:rsidRPr="00B22788">
        <w:rPr>
          <w:rFonts w:ascii="Arial" w:hAnsi="Arial" w:cs="Arial"/>
          <w:sz w:val="24"/>
          <w:szCs w:val="24"/>
          <w:lang w:val="en-GB"/>
        </w:rPr>
        <w:t>from wasted grains and legumes, NIS 4</w:t>
      </w:r>
      <w:r w:rsidR="002E4A20">
        <w:rPr>
          <w:rFonts w:ascii="Arial" w:hAnsi="Arial" w:cs="Arial"/>
          <w:sz w:val="24"/>
          <w:szCs w:val="24"/>
          <w:lang w:val="en-GB"/>
        </w:rPr>
        <w:t>6</w:t>
      </w:r>
      <w:r w:rsidR="004F1781" w:rsidRPr="00B22788">
        <w:rPr>
          <w:rFonts w:ascii="Arial" w:hAnsi="Arial" w:cs="Arial"/>
          <w:sz w:val="24"/>
          <w:szCs w:val="24"/>
          <w:lang w:val="en-GB"/>
        </w:rPr>
        <w:t xml:space="preserve"> from wasted me</w:t>
      </w:r>
      <w:r w:rsidR="008B47B0" w:rsidRPr="00B22788">
        <w:rPr>
          <w:rFonts w:ascii="Arial" w:hAnsi="Arial" w:cs="Arial"/>
          <w:sz w:val="24"/>
          <w:szCs w:val="24"/>
          <w:lang w:val="en-GB"/>
        </w:rPr>
        <w:t xml:space="preserve">at, fish, and eggs, and NIS 23 from wasted milk and dairy products. </w:t>
      </w:r>
    </w:p>
    <w:p w14:paraId="6602F97E" w14:textId="1B130211" w:rsidR="002E4A20" w:rsidRDefault="002E4A20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14:paraId="6D49A877" w14:textId="327DB199" w:rsidR="008B47B0" w:rsidRPr="00B22788" w:rsidRDefault="0070659B" w:rsidP="000D4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22788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Household Food Waste in NIS/Month</w:t>
      </w:r>
    </w:p>
    <w:tbl>
      <w:tblPr>
        <w:tblStyle w:val="GridTable5Dark-Accent21"/>
        <w:tblW w:w="6746" w:type="dxa"/>
        <w:jc w:val="center"/>
        <w:tblInd w:w="0" w:type="dxa"/>
        <w:tblLook w:val="04A0" w:firstRow="1" w:lastRow="0" w:firstColumn="1" w:lastColumn="0" w:noHBand="0" w:noVBand="1"/>
      </w:tblPr>
      <w:tblGrid>
        <w:gridCol w:w="1934"/>
        <w:gridCol w:w="1559"/>
        <w:gridCol w:w="1560"/>
        <w:gridCol w:w="1693"/>
      </w:tblGrid>
      <w:tr w:rsidR="0070659B" w:rsidRPr="00B22788" w14:paraId="3A1CA605" w14:textId="77777777" w:rsidTr="0070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bottom w:val="single" w:sz="4" w:space="0" w:color="FFFFFF"/>
            </w:tcBorders>
            <w:noWrap/>
            <w:hideMark/>
          </w:tcPr>
          <w:p w14:paraId="2356C941" w14:textId="77777777" w:rsidR="0070659B" w:rsidRPr="002E4A20" w:rsidRDefault="0070659B" w:rsidP="002E4A20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vAlign w:val="center"/>
            <w:hideMark/>
          </w:tcPr>
          <w:p w14:paraId="117A4B87" w14:textId="45554051" w:rsidR="0070659B" w:rsidRPr="002E4A20" w:rsidRDefault="0070659B" w:rsidP="002E4A2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Monthly </w:t>
            </w:r>
            <w:r w:rsidR="00C75196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F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ood </w:t>
            </w:r>
            <w:r w:rsidR="00C75196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E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xpenditure in NIS/</w:t>
            </w:r>
            <w:r w:rsidR="00187259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onth</w:t>
            </w:r>
          </w:p>
        </w:tc>
        <w:tc>
          <w:tcPr>
            <w:tcW w:w="1560" w:type="dxa"/>
            <w:tcBorders>
              <w:bottom w:val="single" w:sz="4" w:space="0" w:color="FFFFFF"/>
            </w:tcBorders>
            <w:vAlign w:val="center"/>
            <w:hideMark/>
          </w:tcPr>
          <w:p w14:paraId="52840554" w14:textId="059F69CE" w:rsidR="0070659B" w:rsidRPr="002E4A20" w:rsidRDefault="0070659B" w:rsidP="002E4A2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Monthly </w:t>
            </w:r>
            <w:r w:rsidR="00C75196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F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ood </w:t>
            </w:r>
            <w:r w:rsidR="00C75196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W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aste in NIS/</w:t>
            </w:r>
            <w:r w:rsidR="00187259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onth</w:t>
            </w:r>
          </w:p>
        </w:tc>
        <w:tc>
          <w:tcPr>
            <w:tcW w:w="1693" w:type="dxa"/>
            <w:tcBorders>
              <w:bottom w:val="single" w:sz="4" w:space="0" w:color="FFFFFF"/>
            </w:tcBorders>
            <w:vAlign w:val="center"/>
            <w:hideMark/>
          </w:tcPr>
          <w:p w14:paraId="2DCD5AAF" w14:textId="00720735" w:rsidR="0070659B" w:rsidRPr="002E4A20" w:rsidRDefault="0070659B" w:rsidP="002E4A2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Waste </w:t>
            </w:r>
            <w:r w:rsidR="00C75196"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R</w:t>
            </w: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ate</w:t>
            </w:r>
          </w:p>
        </w:tc>
      </w:tr>
      <w:tr w:rsidR="000D45DC" w:rsidRPr="00B22788" w14:paraId="4031E21F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7819DB5D" w14:textId="44B59EF8" w:rsidR="000D45DC" w:rsidRPr="002E4A20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Fruit &amp; Vegetables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13017EEA" w14:textId="6617A79E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24A3D">
              <w:t>610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6EA1DD" w14:textId="1E2D7E36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24A3D">
              <w:t>134</w:t>
            </w:r>
          </w:p>
        </w:tc>
        <w:tc>
          <w:tcPr>
            <w:tcW w:w="1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E44605F" w14:textId="51D45383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23%</w:t>
            </w:r>
          </w:p>
        </w:tc>
      </w:tr>
      <w:tr w:rsidR="000D45DC" w:rsidRPr="00B22788" w14:paraId="6BD88D95" w14:textId="77777777" w:rsidTr="000D45DC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54BC8F49" w14:textId="50DDB0B0" w:rsidR="000D45DC" w:rsidRPr="002E4A20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Grains &amp; Legumes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60D1BD0F" w14:textId="34CF3727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700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94EC49C" w14:textId="31DEBF6B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24A3D">
              <w:t>92</w:t>
            </w:r>
          </w:p>
        </w:tc>
        <w:tc>
          <w:tcPr>
            <w:tcW w:w="1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DD97E8D" w14:textId="5813C011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14%</w:t>
            </w:r>
          </w:p>
        </w:tc>
      </w:tr>
      <w:tr w:rsidR="000D45DC" w:rsidRPr="00B22788" w14:paraId="52D67E0E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6DBC8D54" w14:textId="7EBA21A5" w:rsidR="000D45DC" w:rsidRPr="002E4A20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Meat, Fish &amp; Eggs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7586C79F" w14:textId="36E863A8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625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EA5258F" w14:textId="28551B57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24A3D">
              <w:t>46</w:t>
            </w:r>
          </w:p>
        </w:tc>
        <w:tc>
          <w:tcPr>
            <w:tcW w:w="1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09EB019" w14:textId="6C7D792D" w:rsidR="000D45DC" w:rsidRPr="002E4A20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8%</w:t>
            </w:r>
          </w:p>
        </w:tc>
      </w:tr>
      <w:tr w:rsidR="000D45DC" w:rsidRPr="00B22788" w14:paraId="1502220F" w14:textId="77777777" w:rsidTr="000D45D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8" w:space="0" w:color="auto"/>
            </w:tcBorders>
            <w:hideMark/>
          </w:tcPr>
          <w:p w14:paraId="09AECA29" w14:textId="1A6B1D9F" w:rsidR="000D45DC" w:rsidRPr="002E4A20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Milk &amp; Dairy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noWrap/>
            <w:hideMark/>
          </w:tcPr>
          <w:p w14:paraId="118E5007" w14:textId="7344A90B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365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hideMark/>
          </w:tcPr>
          <w:p w14:paraId="1BA0DAD0" w14:textId="60884596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24A3D">
              <w:t>23</w:t>
            </w:r>
          </w:p>
        </w:tc>
        <w:tc>
          <w:tcPr>
            <w:tcW w:w="1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hideMark/>
          </w:tcPr>
          <w:p w14:paraId="04F70EDF" w14:textId="18C043C0" w:rsidR="000D45DC" w:rsidRPr="002E4A20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4A3D">
              <w:t>7%</w:t>
            </w:r>
          </w:p>
        </w:tc>
      </w:tr>
      <w:tr w:rsidR="000D45DC" w:rsidRPr="00B22788" w14:paraId="46A40DD1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8" w:space="0" w:color="auto"/>
            </w:tcBorders>
            <w:noWrap/>
            <w:hideMark/>
          </w:tcPr>
          <w:p w14:paraId="0DE150E6" w14:textId="4F481F99" w:rsidR="000D45DC" w:rsidRPr="002E4A20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E4A2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17E94AEB" w14:textId="7DE9F9DA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45DC">
              <w:rPr>
                <w:b/>
                <w:bCs/>
              </w:rPr>
              <w:t>2,300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EBD829" w14:textId="220661BC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0D45DC">
              <w:rPr>
                <w:b/>
                <w:bCs/>
              </w:rPr>
              <w:t>295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D07EFA" w14:textId="55FEC6A0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45DC">
              <w:rPr>
                <w:b/>
                <w:bCs/>
              </w:rPr>
              <w:t>13%</w:t>
            </w:r>
          </w:p>
        </w:tc>
      </w:tr>
    </w:tbl>
    <w:p w14:paraId="53D37434" w14:textId="77777777" w:rsidR="000D45DC" w:rsidRDefault="000D45DC" w:rsidP="000D45DC">
      <w:pPr>
        <w:spacing w:after="0" w:line="240" w:lineRule="auto"/>
        <w:rPr>
          <w:lang w:val="en-GB"/>
        </w:rPr>
      </w:pPr>
    </w:p>
    <w:p w14:paraId="1CF118CF" w14:textId="2CF87CAB" w:rsidR="0070659B" w:rsidRPr="00B22788" w:rsidRDefault="0070659B" w:rsidP="000D4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22788">
        <w:rPr>
          <w:rFonts w:ascii="Arial" w:hAnsi="Arial" w:cs="Arial"/>
          <w:b/>
          <w:bCs/>
          <w:sz w:val="24"/>
          <w:szCs w:val="24"/>
          <w:lang w:val="en-GB"/>
        </w:rPr>
        <w:t>Annual Household Food Waste – 202</w:t>
      </w:r>
      <w:r w:rsidR="000D45DC">
        <w:rPr>
          <w:rFonts w:ascii="Arial" w:hAnsi="Arial" w:cs="Arial"/>
          <w:b/>
          <w:bCs/>
          <w:sz w:val="24"/>
          <w:szCs w:val="24"/>
          <w:lang w:val="en-GB"/>
        </w:rPr>
        <w:t>1</w:t>
      </w:r>
    </w:p>
    <w:tbl>
      <w:tblPr>
        <w:tblStyle w:val="GridTable5Dark-Accent21"/>
        <w:tblW w:w="6746" w:type="dxa"/>
        <w:jc w:val="center"/>
        <w:tblInd w:w="0" w:type="dxa"/>
        <w:tblLook w:val="04A0" w:firstRow="1" w:lastRow="0" w:firstColumn="1" w:lastColumn="0" w:noHBand="0" w:noVBand="1"/>
      </w:tblPr>
      <w:tblGrid>
        <w:gridCol w:w="1934"/>
        <w:gridCol w:w="1559"/>
        <w:gridCol w:w="1322"/>
        <w:gridCol w:w="1931"/>
      </w:tblGrid>
      <w:tr w:rsidR="0070659B" w:rsidRPr="00B22788" w14:paraId="2225FEA1" w14:textId="77777777" w:rsidTr="000D4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bottom w:val="single" w:sz="4" w:space="0" w:color="FFFFFF"/>
            </w:tcBorders>
            <w:noWrap/>
            <w:hideMark/>
          </w:tcPr>
          <w:p w14:paraId="7AB90244" w14:textId="77777777" w:rsidR="0070659B" w:rsidRPr="000D45DC" w:rsidRDefault="0070659B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vAlign w:val="center"/>
            <w:hideMark/>
          </w:tcPr>
          <w:p w14:paraId="2698DD92" w14:textId="65EFD334" w:rsidR="0070659B" w:rsidRPr="000D45DC" w:rsidRDefault="0070659B" w:rsidP="000D45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Waste in </w:t>
            </w:r>
            <w:r w:rsidR="00C75196"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NIS Millions</w:t>
            </w:r>
          </w:p>
        </w:tc>
        <w:tc>
          <w:tcPr>
            <w:tcW w:w="1322" w:type="dxa"/>
            <w:tcBorders>
              <w:bottom w:val="single" w:sz="4" w:space="0" w:color="FFFFFF"/>
            </w:tcBorders>
            <w:vAlign w:val="center"/>
            <w:hideMark/>
          </w:tcPr>
          <w:p w14:paraId="2777845D" w14:textId="079570CA" w:rsidR="0070659B" w:rsidRPr="000D45DC" w:rsidRDefault="0070659B" w:rsidP="000D45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Waste </w:t>
            </w:r>
            <w:r w:rsidR="00C75196"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R</w:t>
            </w: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ate</w:t>
            </w:r>
          </w:p>
        </w:tc>
        <w:tc>
          <w:tcPr>
            <w:tcW w:w="1931" w:type="dxa"/>
            <w:tcBorders>
              <w:bottom w:val="single" w:sz="4" w:space="0" w:color="FFFFFF"/>
            </w:tcBorders>
            <w:vAlign w:val="center"/>
            <w:hideMark/>
          </w:tcPr>
          <w:p w14:paraId="2F1DB7EE" w14:textId="157F23E1" w:rsidR="0070659B" w:rsidRPr="000D45DC" w:rsidRDefault="0070659B" w:rsidP="000D45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Waste in </w:t>
            </w:r>
            <w:r w:rsidR="00C75196"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</w:t>
            </w: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housand </w:t>
            </w:r>
            <w:r w:rsidR="00D54390"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Tons</w:t>
            </w:r>
          </w:p>
        </w:tc>
      </w:tr>
      <w:tr w:rsidR="000D45DC" w:rsidRPr="00B22788" w14:paraId="69C38121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26A61FCF" w14:textId="76944860" w:rsidR="000D45DC" w:rsidRPr="000D45DC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rtl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Fruit &amp; Vegetables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4E1F2050" w14:textId="1CB86441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BB2991">
              <w:t xml:space="preserve">4.0 </w:t>
            </w:r>
          </w:p>
        </w:tc>
        <w:tc>
          <w:tcPr>
            <w:tcW w:w="1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278E48" w14:textId="16018235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BB2991">
              <w:t>23%</w:t>
            </w:r>
          </w:p>
        </w:tc>
        <w:tc>
          <w:tcPr>
            <w:tcW w:w="1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8A253D" w14:textId="62D92CBC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 640 </w:t>
            </w:r>
          </w:p>
        </w:tc>
      </w:tr>
      <w:tr w:rsidR="000D45DC" w:rsidRPr="00B22788" w14:paraId="2F78F75D" w14:textId="77777777" w:rsidTr="000D45DC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0C3DC561" w14:textId="4EBF81CE" w:rsidR="000D45DC" w:rsidRPr="000D45DC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Grains &amp; Legumes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38C9CD6A" w14:textId="59100587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2.7 </w:t>
            </w:r>
          </w:p>
        </w:tc>
        <w:tc>
          <w:tcPr>
            <w:tcW w:w="1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0DA37AC" w14:textId="5D94E812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BB2991">
              <w:t>14%</w:t>
            </w:r>
          </w:p>
        </w:tc>
        <w:tc>
          <w:tcPr>
            <w:tcW w:w="1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9684FF" w14:textId="42701FBE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 170 </w:t>
            </w:r>
          </w:p>
        </w:tc>
      </w:tr>
      <w:tr w:rsidR="000D45DC" w:rsidRPr="00B22788" w14:paraId="36B2F553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4EB684A0" w14:textId="43944713" w:rsidR="000D45DC" w:rsidRPr="000D45DC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Meat, Fish &amp; Eggs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4B0ABFCC" w14:textId="2DDAAA5D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1.4 </w:t>
            </w:r>
          </w:p>
        </w:tc>
        <w:tc>
          <w:tcPr>
            <w:tcW w:w="1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6CCE7F" w14:textId="3115CB42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BB2991">
              <w:t>8%</w:t>
            </w:r>
          </w:p>
        </w:tc>
        <w:tc>
          <w:tcPr>
            <w:tcW w:w="1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3AD2BA" w14:textId="683052D4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 50 </w:t>
            </w:r>
          </w:p>
        </w:tc>
      </w:tr>
      <w:tr w:rsidR="000D45DC" w:rsidRPr="00B22788" w14:paraId="46DC16CD" w14:textId="77777777" w:rsidTr="000D45D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FFFFFF"/>
              <w:bottom w:val="single" w:sz="8" w:space="0" w:color="auto"/>
            </w:tcBorders>
            <w:hideMark/>
          </w:tcPr>
          <w:p w14:paraId="0A7A3D22" w14:textId="4789B7E4" w:rsidR="000D45DC" w:rsidRPr="000D45DC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Milk &amp; Dairy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noWrap/>
            <w:hideMark/>
          </w:tcPr>
          <w:p w14:paraId="0E87FBE0" w14:textId="46311E9D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0.7 </w:t>
            </w:r>
          </w:p>
        </w:tc>
        <w:tc>
          <w:tcPr>
            <w:tcW w:w="132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hideMark/>
          </w:tcPr>
          <w:p w14:paraId="11D66E89" w14:textId="1EF175D6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BB2991">
              <w:t>7%</w:t>
            </w:r>
          </w:p>
        </w:tc>
        <w:tc>
          <w:tcPr>
            <w:tcW w:w="1931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hideMark/>
          </w:tcPr>
          <w:p w14:paraId="6A5B2D0C" w14:textId="79560678" w:rsidR="000D45DC" w:rsidRPr="000D45DC" w:rsidRDefault="000D45DC" w:rsidP="000D45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991">
              <w:t xml:space="preserve"> 95 </w:t>
            </w:r>
          </w:p>
        </w:tc>
      </w:tr>
      <w:tr w:rsidR="000D45DC" w:rsidRPr="00B22788" w14:paraId="03F1DE9F" w14:textId="77777777" w:rsidTr="000D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8" w:space="0" w:color="auto"/>
            </w:tcBorders>
            <w:noWrap/>
            <w:hideMark/>
          </w:tcPr>
          <w:p w14:paraId="04639077" w14:textId="33EF1818" w:rsidR="000D45DC" w:rsidRPr="000D45DC" w:rsidRDefault="000D45DC" w:rsidP="000D45DC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D45D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7AA9DE79" w14:textId="4FD266FE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45DC">
              <w:rPr>
                <w:b/>
                <w:bCs/>
              </w:rPr>
              <w:t xml:space="preserve">8.8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1C8BF77" w14:textId="2550D348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45DC">
              <w:rPr>
                <w:b/>
                <w:bCs/>
              </w:rPr>
              <w:t>13%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D662DA4" w14:textId="556F6167" w:rsidR="000D45DC" w:rsidRPr="000D45DC" w:rsidRDefault="000D45DC" w:rsidP="000D45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45DC">
              <w:rPr>
                <w:b/>
                <w:bCs/>
              </w:rPr>
              <w:t xml:space="preserve">955 </w:t>
            </w:r>
          </w:p>
        </w:tc>
      </w:tr>
    </w:tbl>
    <w:p w14:paraId="7A2950EF" w14:textId="77777777" w:rsidR="000D45DC" w:rsidRDefault="000D45DC" w:rsidP="000D45DC">
      <w:pPr>
        <w:spacing w:after="0" w:line="240" w:lineRule="auto"/>
        <w:rPr>
          <w:lang w:val="en-GB"/>
        </w:rPr>
      </w:pPr>
    </w:p>
    <w:p w14:paraId="3171D8A7" w14:textId="721DBEB0" w:rsidR="0070659B" w:rsidRPr="00B22788" w:rsidRDefault="002A7763" w:rsidP="000D45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22788">
        <w:rPr>
          <w:rFonts w:ascii="Arial" w:hAnsi="Arial" w:cs="Arial"/>
          <w:b/>
          <w:bCs/>
          <w:sz w:val="24"/>
          <w:szCs w:val="24"/>
          <w:lang w:val="en-GB"/>
        </w:rPr>
        <w:t xml:space="preserve">Rate of Household Food Waste for Selected </w:t>
      </w:r>
      <w:commentRangeStart w:id="0"/>
      <w:r w:rsidRPr="00B22788">
        <w:rPr>
          <w:rFonts w:ascii="Arial" w:hAnsi="Arial" w:cs="Arial"/>
          <w:b/>
          <w:bCs/>
          <w:sz w:val="24"/>
          <w:szCs w:val="24"/>
          <w:lang w:val="en-GB"/>
        </w:rPr>
        <w:t>Products</w:t>
      </w:r>
      <w:commentRangeEnd w:id="0"/>
      <w:r w:rsidR="007666F4">
        <w:rPr>
          <w:rStyle w:val="CommentReference"/>
        </w:rPr>
        <w:commentReference w:id="0"/>
      </w:r>
    </w:p>
    <w:p w14:paraId="1280E756" w14:textId="77777777" w:rsidR="000D45DC" w:rsidRDefault="000D45DC" w:rsidP="000D45DC">
      <w:pPr>
        <w:spacing w:line="360" w:lineRule="auto"/>
        <w:jc w:val="center"/>
        <w:rPr>
          <w:rFonts w:asciiTheme="minorBidi" w:hAnsiTheme="minorBidi"/>
          <w:sz w:val="18"/>
          <w:szCs w:val="18"/>
          <w:rtl/>
        </w:rPr>
      </w:pPr>
      <w:r>
        <w:rPr>
          <w:noProof/>
        </w:rPr>
        <w:drawing>
          <wp:inline distT="0" distB="0" distL="0" distR="0" wp14:anchorId="48DA5423" wp14:editId="45CA710B">
            <wp:extent cx="4586605" cy="2200275"/>
            <wp:effectExtent l="0" t="0" r="4445" b="0"/>
            <wp:docPr id="287438" name="תרשים 2874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EDC5A3" w14:textId="025F8712" w:rsidR="002A7763" w:rsidRPr="000D45DC" w:rsidRDefault="002A7763" w:rsidP="000D45DC">
      <w:pPr>
        <w:spacing w:after="240"/>
        <w:ind w:left="2160"/>
        <w:rPr>
          <w:rFonts w:ascii="Arial" w:hAnsi="Arial" w:cs="Arial"/>
          <w:sz w:val="20"/>
          <w:szCs w:val="20"/>
          <w:lang w:val="en-GB"/>
        </w:rPr>
      </w:pPr>
      <w:r w:rsidRPr="00B22788">
        <w:rPr>
          <w:rFonts w:ascii="Arial" w:hAnsi="Arial" w:cs="Arial"/>
          <w:sz w:val="20"/>
          <w:szCs w:val="20"/>
          <w:lang w:val="en-GB"/>
        </w:rPr>
        <w:t xml:space="preserve">Source: </w:t>
      </w:r>
      <w:proofErr w:type="spellStart"/>
      <w:r w:rsidRPr="00B22788">
        <w:rPr>
          <w:rFonts w:ascii="Arial" w:hAnsi="Arial" w:cs="Arial"/>
          <w:sz w:val="20"/>
          <w:szCs w:val="20"/>
          <w:lang w:val="en-GB"/>
        </w:rPr>
        <w:t>BDO</w:t>
      </w:r>
      <w:proofErr w:type="spellEnd"/>
      <w:r w:rsidRPr="00B22788">
        <w:rPr>
          <w:rFonts w:ascii="Arial" w:hAnsi="Arial" w:cs="Arial"/>
          <w:sz w:val="20"/>
          <w:szCs w:val="20"/>
          <w:lang w:val="en-GB"/>
        </w:rPr>
        <w:t xml:space="preserve"> estimates.</w:t>
      </w:r>
    </w:p>
    <w:p w14:paraId="39742072" w14:textId="41DBFC93" w:rsidR="002A7763" w:rsidRPr="00B22788" w:rsidRDefault="002A7763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lastRenderedPageBreak/>
        <w:t xml:space="preserve">The main </w:t>
      </w:r>
      <w:r w:rsidR="007666F4">
        <w:rPr>
          <w:rFonts w:ascii="Arial" w:hAnsi="Arial" w:cs="Arial"/>
          <w:b/>
          <w:bCs/>
          <w:sz w:val="24"/>
          <w:szCs w:val="24"/>
        </w:rPr>
        <w:t>causes of</w:t>
      </w:r>
      <w:r w:rsidRPr="00B22788">
        <w:rPr>
          <w:rFonts w:ascii="Arial" w:hAnsi="Arial" w:cs="Arial"/>
          <w:b/>
          <w:bCs/>
          <w:sz w:val="24"/>
          <w:szCs w:val="24"/>
        </w:rPr>
        <w:t xml:space="preserve"> household food waste</w:t>
      </w:r>
      <w:r w:rsidR="002B4562">
        <w:rPr>
          <w:rFonts w:ascii="Arial" w:hAnsi="Arial" w:cs="Arial"/>
          <w:b/>
          <w:bCs/>
          <w:sz w:val="24"/>
          <w:szCs w:val="24"/>
        </w:rPr>
        <w:t xml:space="preserve">: preparing </w:t>
      </w:r>
      <w:r w:rsidRPr="00B22788">
        <w:rPr>
          <w:rFonts w:ascii="Arial" w:hAnsi="Arial" w:cs="Arial"/>
          <w:b/>
          <w:bCs/>
          <w:sz w:val="24"/>
          <w:szCs w:val="24"/>
        </w:rPr>
        <w:t>too much food and food expiration</w:t>
      </w:r>
    </w:p>
    <w:p w14:paraId="13F3D752" w14:textId="4AF17885" w:rsidR="00165218" w:rsidRPr="00B22788" w:rsidRDefault="00E26F8D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Household f</w:t>
      </w:r>
      <w:r w:rsidR="00165218" w:rsidRPr="00B22788">
        <w:rPr>
          <w:rFonts w:ascii="Arial" w:hAnsi="Arial" w:cs="Arial"/>
          <w:sz w:val="24"/>
          <w:szCs w:val="24"/>
        </w:rPr>
        <w:t xml:space="preserve">ood waste is caused by </w:t>
      </w:r>
      <w:r>
        <w:rPr>
          <w:rFonts w:ascii="Arial" w:hAnsi="Arial" w:cs="Arial"/>
          <w:sz w:val="24"/>
          <w:szCs w:val="24"/>
        </w:rPr>
        <w:t>the</w:t>
      </w:r>
      <w:r w:rsidR="00165218" w:rsidRPr="00B22788">
        <w:rPr>
          <w:rFonts w:ascii="Arial" w:hAnsi="Arial" w:cs="Arial"/>
          <w:sz w:val="24"/>
          <w:szCs w:val="24"/>
        </w:rPr>
        <w:t xml:space="preserve"> combination of consumer habits</w:t>
      </w:r>
      <w:r>
        <w:rPr>
          <w:rFonts w:ascii="Arial" w:hAnsi="Arial" w:cs="Arial"/>
          <w:sz w:val="24"/>
          <w:szCs w:val="24"/>
        </w:rPr>
        <w:t>, the</w:t>
      </w:r>
      <w:r w:rsidR="00165218" w:rsidRPr="00B22788">
        <w:rPr>
          <w:rFonts w:ascii="Arial" w:hAnsi="Arial" w:cs="Arial"/>
          <w:sz w:val="24"/>
          <w:szCs w:val="24"/>
        </w:rPr>
        <w:t xml:space="preserve"> culture of abundance, </w:t>
      </w:r>
      <w:r>
        <w:rPr>
          <w:rFonts w:ascii="Arial" w:hAnsi="Arial" w:cs="Arial"/>
          <w:sz w:val="24"/>
          <w:szCs w:val="24"/>
        </w:rPr>
        <w:t xml:space="preserve">and </w:t>
      </w:r>
      <w:r w:rsidR="00165218" w:rsidRPr="00B22788">
        <w:rPr>
          <w:rFonts w:ascii="Arial" w:hAnsi="Arial" w:cs="Arial"/>
          <w:sz w:val="24"/>
          <w:szCs w:val="24"/>
        </w:rPr>
        <w:t xml:space="preserve">the way </w:t>
      </w:r>
      <w:r>
        <w:rPr>
          <w:rFonts w:ascii="Arial" w:hAnsi="Arial" w:cs="Arial"/>
          <w:sz w:val="24"/>
          <w:szCs w:val="24"/>
        </w:rPr>
        <w:t xml:space="preserve">the </w:t>
      </w:r>
      <w:r w:rsidR="00165218" w:rsidRPr="00B22788">
        <w:rPr>
          <w:rFonts w:ascii="Arial" w:hAnsi="Arial" w:cs="Arial"/>
          <w:sz w:val="24"/>
          <w:szCs w:val="24"/>
        </w:rPr>
        <w:t>food is stored and kept fresh</w:t>
      </w:r>
      <w:r>
        <w:rPr>
          <w:rFonts w:ascii="Arial" w:hAnsi="Arial" w:cs="Arial"/>
          <w:sz w:val="24"/>
          <w:szCs w:val="24"/>
        </w:rPr>
        <w:t xml:space="preserve"> at home</w:t>
      </w:r>
      <w:r w:rsidR="00165218" w:rsidRPr="00B22788">
        <w:rPr>
          <w:rFonts w:ascii="Arial" w:hAnsi="Arial" w:cs="Arial"/>
          <w:sz w:val="24"/>
          <w:szCs w:val="24"/>
        </w:rPr>
        <w:t xml:space="preserve">. </w:t>
      </w:r>
      <w:r w:rsidR="008D2B12">
        <w:rPr>
          <w:rFonts w:ascii="Arial" w:hAnsi="Arial" w:cs="Arial"/>
          <w:sz w:val="24"/>
          <w:szCs w:val="24"/>
        </w:rPr>
        <w:t>H</w:t>
      </w:r>
      <w:r w:rsidR="002B4562">
        <w:rPr>
          <w:rFonts w:ascii="Arial" w:hAnsi="Arial" w:cs="Arial"/>
          <w:sz w:val="24"/>
          <w:szCs w:val="24"/>
        </w:rPr>
        <w:t xml:space="preserve">ousehold </w:t>
      </w:r>
      <w:r w:rsidR="00165218" w:rsidRPr="00B22788">
        <w:rPr>
          <w:rFonts w:ascii="Arial" w:hAnsi="Arial" w:cs="Arial"/>
          <w:sz w:val="24"/>
          <w:szCs w:val="24"/>
        </w:rPr>
        <w:t>food waste</w:t>
      </w:r>
      <w:r w:rsidR="007A117F">
        <w:rPr>
          <w:rFonts w:ascii="Arial" w:hAnsi="Arial" w:cs="Arial"/>
          <w:sz w:val="24"/>
          <w:szCs w:val="24"/>
        </w:rPr>
        <w:t xml:space="preserve"> in 202</w:t>
      </w:r>
      <w:r w:rsidR="00522B79">
        <w:rPr>
          <w:rFonts w:ascii="Arial" w:hAnsi="Arial" w:cs="Arial"/>
          <w:sz w:val="24"/>
          <w:szCs w:val="24"/>
        </w:rPr>
        <w:t>1</w:t>
      </w:r>
      <w:r w:rsidR="007A117F">
        <w:rPr>
          <w:rFonts w:ascii="Arial" w:hAnsi="Arial" w:cs="Arial"/>
          <w:sz w:val="24"/>
          <w:szCs w:val="24"/>
        </w:rPr>
        <w:t xml:space="preserve"> </w:t>
      </w:r>
      <w:r w:rsidR="001A039A">
        <w:rPr>
          <w:rFonts w:ascii="Arial" w:hAnsi="Arial" w:cs="Arial"/>
          <w:sz w:val="24"/>
          <w:szCs w:val="24"/>
        </w:rPr>
        <w:t>was</w:t>
      </w:r>
      <w:r w:rsidR="00165218" w:rsidRPr="00B22788">
        <w:rPr>
          <w:rFonts w:ascii="Arial" w:hAnsi="Arial" w:cs="Arial"/>
          <w:sz w:val="24"/>
          <w:szCs w:val="24"/>
        </w:rPr>
        <w:t xml:space="preserve"> approximately NIS </w:t>
      </w:r>
      <w:r w:rsidR="00522B79">
        <w:rPr>
          <w:rFonts w:ascii="Arial" w:hAnsi="Arial" w:cs="Arial"/>
          <w:sz w:val="24"/>
          <w:szCs w:val="24"/>
        </w:rPr>
        <w:t>8.8</w:t>
      </w:r>
      <w:r w:rsidR="00165218" w:rsidRPr="00B22788">
        <w:rPr>
          <w:rFonts w:ascii="Arial" w:hAnsi="Arial" w:cs="Arial"/>
          <w:sz w:val="24"/>
          <w:szCs w:val="24"/>
        </w:rPr>
        <w:t xml:space="preserve"> billion annually.</w:t>
      </w:r>
    </w:p>
    <w:p w14:paraId="1B5B62EC" w14:textId="4CE51601" w:rsidR="00165218" w:rsidRPr="00B22788" w:rsidRDefault="00165218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>The main causes of household food waste are</w:t>
      </w:r>
      <w:r w:rsidR="00770858" w:rsidRPr="00B22788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B22788">
        <w:rPr>
          <w:rFonts w:ascii="Arial" w:hAnsi="Arial" w:cs="Arial"/>
          <w:sz w:val="24"/>
          <w:szCs w:val="24"/>
        </w:rPr>
        <w:t>:</w:t>
      </w:r>
    </w:p>
    <w:p w14:paraId="4EE3FE2E" w14:textId="3521F48A" w:rsidR="002A7763" w:rsidRPr="00B22788" w:rsidRDefault="000F6AB9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Preparing</w:t>
      </w:r>
      <w:r w:rsidR="00165218" w:rsidRPr="00B22788">
        <w:rPr>
          <w:rFonts w:ascii="Arial" w:hAnsi="Arial" w:cs="Arial"/>
          <w:b/>
          <w:bCs/>
          <w:sz w:val="24"/>
          <w:szCs w:val="24"/>
        </w:rPr>
        <w:t xml:space="preserve"> too much food - </w:t>
      </w:r>
      <w:r w:rsidR="004E6B0E" w:rsidRPr="00B22788">
        <w:rPr>
          <w:rFonts w:ascii="Arial" w:hAnsi="Arial" w:cs="Arial"/>
          <w:sz w:val="24"/>
          <w:szCs w:val="24"/>
        </w:rPr>
        <w:t>p</w:t>
      </w:r>
      <w:r w:rsidR="002A7763" w:rsidRPr="00B22788">
        <w:rPr>
          <w:rFonts w:ascii="Arial" w:hAnsi="Arial" w:cs="Arial"/>
          <w:sz w:val="24"/>
          <w:szCs w:val="24"/>
        </w:rPr>
        <w:t>reparing more</w:t>
      </w:r>
      <w:r w:rsidR="004E6B0E" w:rsidRPr="00B22788">
        <w:rPr>
          <w:rFonts w:ascii="Arial" w:hAnsi="Arial" w:cs="Arial"/>
          <w:sz w:val="24"/>
          <w:szCs w:val="24"/>
        </w:rPr>
        <w:t xml:space="preserve"> </w:t>
      </w:r>
      <w:r w:rsidR="002A7763" w:rsidRPr="00B22788">
        <w:rPr>
          <w:rFonts w:ascii="Arial" w:hAnsi="Arial" w:cs="Arial"/>
          <w:sz w:val="24"/>
          <w:szCs w:val="24"/>
        </w:rPr>
        <w:t xml:space="preserve">than is needed, </w:t>
      </w:r>
      <w:r w:rsidR="004E6B0E" w:rsidRPr="00B22788">
        <w:rPr>
          <w:rFonts w:ascii="Arial" w:hAnsi="Arial" w:cs="Arial"/>
          <w:sz w:val="24"/>
          <w:szCs w:val="24"/>
        </w:rPr>
        <w:t>generally</w:t>
      </w:r>
      <w:r w:rsidR="002A7763" w:rsidRPr="00B22788">
        <w:rPr>
          <w:rFonts w:ascii="Arial" w:hAnsi="Arial" w:cs="Arial"/>
          <w:sz w:val="24"/>
          <w:szCs w:val="24"/>
        </w:rPr>
        <w:t xml:space="preserve"> </w:t>
      </w:r>
      <w:r w:rsidR="004E6B0E" w:rsidRPr="00B22788">
        <w:rPr>
          <w:rFonts w:ascii="Arial" w:hAnsi="Arial" w:cs="Arial"/>
          <w:sz w:val="24"/>
          <w:szCs w:val="24"/>
        </w:rPr>
        <w:t>food that was</w:t>
      </w:r>
      <w:r w:rsidR="002A7763" w:rsidRPr="00B22788">
        <w:rPr>
          <w:rFonts w:ascii="Arial" w:hAnsi="Arial" w:cs="Arial"/>
          <w:sz w:val="24"/>
          <w:szCs w:val="24"/>
        </w:rPr>
        <w:t xml:space="preserve"> cooked</w:t>
      </w:r>
      <w:r w:rsidR="004E6B0E" w:rsidRPr="00B22788">
        <w:rPr>
          <w:rFonts w:ascii="Arial" w:hAnsi="Arial" w:cs="Arial"/>
          <w:sz w:val="24"/>
          <w:szCs w:val="24"/>
        </w:rPr>
        <w:t xml:space="preserve"> </w:t>
      </w:r>
      <w:r w:rsidR="002A7763" w:rsidRPr="00B22788">
        <w:rPr>
          <w:rFonts w:ascii="Arial" w:hAnsi="Arial" w:cs="Arial"/>
          <w:sz w:val="24"/>
          <w:szCs w:val="24"/>
        </w:rPr>
        <w:t xml:space="preserve">or prepared unnecessarily and </w:t>
      </w:r>
      <w:r w:rsidR="004E6B0E" w:rsidRPr="00B22788">
        <w:rPr>
          <w:rFonts w:ascii="Arial" w:hAnsi="Arial" w:cs="Arial"/>
          <w:sz w:val="24"/>
          <w:szCs w:val="24"/>
        </w:rPr>
        <w:t xml:space="preserve">was not consumed, often due </w:t>
      </w:r>
      <w:r>
        <w:rPr>
          <w:rFonts w:ascii="Arial" w:hAnsi="Arial" w:cs="Arial"/>
          <w:sz w:val="24"/>
          <w:szCs w:val="24"/>
        </w:rPr>
        <w:t xml:space="preserve">to </w:t>
      </w:r>
      <w:r w:rsidR="004E6B0E" w:rsidRPr="00B22788">
        <w:rPr>
          <w:rFonts w:ascii="Arial" w:hAnsi="Arial" w:cs="Arial"/>
          <w:sz w:val="24"/>
          <w:szCs w:val="24"/>
        </w:rPr>
        <w:t>overbuying.</w:t>
      </w:r>
    </w:p>
    <w:p w14:paraId="7DC45030" w14:textId="58297DC6" w:rsidR="002A7763" w:rsidRPr="00B22788" w:rsidRDefault="002A7763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t>Expired food</w:t>
      </w:r>
      <w:r w:rsidR="004E6B0E" w:rsidRPr="00B22788">
        <w:rPr>
          <w:rFonts w:ascii="Arial" w:hAnsi="Arial" w:cs="Arial"/>
          <w:sz w:val="24"/>
          <w:szCs w:val="24"/>
        </w:rPr>
        <w:t xml:space="preserve"> - f</w:t>
      </w:r>
      <w:r w:rsidRPr="00B22788">
        <w:rPr>
          <w:rFonts w:ascii="Arial" w:hAnsi="Arial" w:cs="Arial"/>
          <w:sz w:val="24"/>
          <w:szCs w:val="24"/>
        </w:rPr>
        <w:t xml:space="preserve">ood that </w:t>
      </w:r>
      <w:r w:rsidR="004E6B0E" w:rsidRPr="00B22788">
        <w:rPr>
          <w:rFonts w:ascii="Arial" w:hAnsi="Arial" w:cs="Arial"/>
          <w:sz w:val="24"/>
          <w:szCs w:val="24"/>
        </w:rPr>
        <w:t>expires before</w:t>
      </w:r>
      <w:r w:rsidRPr="00B22788">
        <w:rPr>
          <w:rFonts w:ascii="Arial" w:hAnsi="Arial" w:cs="Arial"/>
          <w:sz w:val="24"/>
          <w:szCs w:val="24"/>
        </w:rPr>
        <w:t xml:space="preserve"> being fully consumed. It should</w:t>
      </w:r>
      <w:r w:rsidR="004E6B0E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be noted that</w:t>
      </w:r>
      <w:r w:rsidR="004E6B0E" w:rsidRPr="00B22788">
        <w:rPr>
          <w:rFonts w:ascii="Arial" w:hAnsi="Arial" w:cs="Arial"/>
          <w:sz w:val="24"/>
          <w:szCs w:val="24"/>
        </w:rPr>
        <w:t xml:space="preserve"> </w:t>
      </w:r>
      <w:r w:rsidR="00AC1131">
        <w:rPr>
          <w:rFonts w:ascii="Arial" w:hAnsi="Arial" w:cs="Arial"/>
          <w:sz w:val="24"/>
          <w:szCs w:val="24"/>
        </w:rPr>
        <w:t>expired food</w:t>
      </w:r>
      <w:r w:rsidRPr="00B22788">
        <w:rPr>
          <w:rFonts w:ascii="Arial" w:hAnsi="Arial" w:cs="Arial"/>
          <w:sz w:val="24"/>
          <w:szCs w:val="24"/>
        </w:rPr>
        <w:t xml:space="preserve"> is </w:t>
      </w:r>
      <w:r w:rsidR="00AC1131">
        <w:rPr>
          <w:rFonts w:ascii="Arial" w:hAnsi="Arial" w:cs="Arial"/>
          <w:sz w:val="24"/>
          <w:szCs w:val="24"/>
        </w:rPr>
        <w:t>connected</w:t>
      </w:r>
      <w:r w:rsidRPr="00B22788">
        <w:rPr>
          <w:rFonts w:ascii="Arial" w:hAnsi="Arial" w:cs="Arial"/>
          <w:sz w:val="24"/>
          <w:szCs w:val="24"/>
        </w:rPr>
        <w:t xml:space="preserve"> to </w:t>
      </w:r>
      <w:r w:rsidR="004E6B0E" w:rsidRPr="00B22788">
        <w:rPr>
          <w:rFonts w:ascii="Arial" w:hAnsi="Arial" w:cs="Arial"/>
          <w:sz w:val="24"/>
          <w:szCs w:val="24"/>
        </w:rPr>
        <w:t>overbuying</w:t>
      </w:r>
      <w:r w:rsidRPr="00B22788">
        <w:rPr>
          <w:rFonts w:ascii="Arial" w:hAnsi="Arial" w:cs="Arial"/>
          <w:sz w:val="24"/>
          <w:szCs w:val="24"/>
        </w:rPr>
        <w:t>.</w:t>
      </w:r>
      <w:r w:rsidR="00AC1131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The desire </w:t>
      </w:r>
      <w:r w:rsidR="00AC1131">
        <w:rPr>
          <w:rFonts w:ascii="Arial" w:hAnsi="Arial" w:cs="Arial"/>
          <w:sz w:val="24"/>
          <w:szCs w:val="24"/>
        </w:rPr>
        <w:t>to have a</w:t>
      </w:r>
      <w:r w:rsidR="002C18B1" w:rsidRPr="00B22788">
        <w:rPr>
          <w:rFonts w:ascii="Arial" w:hAnsi="Arial" w:cs="Arial"/>
          <w:sz w:val="24"/>
          <w:szCs w:val="24"/>
        </w:rPr>
        <w:t xml:space="preserve"> variety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AC1131">
        <w:rPr>
          <w:rFonts w:ascii="Arial" w:hAnsi="Arial" w:cs="Arial"/>
          <w:sz w:val="24"/>
          <w:szCs w:val="24"/>
        </w:rPr>
        <w:t>of available food options</w:t>
      </w:r>
      <w:r w:rsidR="00C75196">
        <w:rPr>
          <w:rFonts w:ascii="Arial" w:hAnsi="Arial" w:cs="Arial"/>
          <w:sz w:val="24"/>
          <w:szCs w:val="24"/>
        </w:rPr>
        <w:t>,</w:t>
      </w:r>
      <w:r w:rsidR="00AC1131">
        <w:rPr>
          <w:rFonts w:ascii="Arial" w:hAnsi="Arial" w:cs="Arial"/>
          <w:sz w:val="24"/>
          <w:szCs w:val="24"/>
        </w:rPr>
        <w:t xml:space="preserve"> combined with</w:t>
      </w:r>
      <w:r w:rsidR="000F6AB9">
        <w:rPr>
          <w:rFonts w:ascii="Arial" w:hAnsi="Arial" w:cs="Arial"/>
          <w:sz w:val="24"/>
          <w:szCs w:val="24"/>
        </w:rPr>
        <w:t xml:space="preserve"> the </w:t>
      </w:r>
      <w:r w:rsidRPr="00B22788">
        <w:rPr>
          <w:rFonts w:ascii="Arial" w:hAnsi="Arial" w:cs="Arial"/>
          <w:sz w:val="24"/>
          <w:szCs w:val="24"/>
        </w:rPr>
        <w:t xml:space="preserve">uncertainty </w:t>
      </w:r>
      <w:r w:rsidR="000F6AB9">
        <w:rPr>
          <w:rFonts w:ascii="Arial" w:hAnsi="Arial" w:cs="Arial"/>
          <w:sz w:val="24"/>
          <w:szCs w:val="24"/>
        </w:rPr>
        <w:t>surrounding</w:t>
      </w:r>
      <w:r w:rsidRPr="00B22788">
        <w:rPr>
          <w:rFonts w:ascii="Arial" w:hAnsi="Arial" w:cs="Arial"/>
          <w:sz w:val="24"/>
          <w:szCs w:val="24"/>
        </w:rPr>
        <w:t xml:space="preserve"> the amount </w:t>
      </w:r>
      <w:r w:rsidR="000F6AB9">
        <w:rPr>
          <w:rFonts w:ascii="Arial" w:hAnsi="Arial" w:cs="Arial"/>
          <w:sz w:val="24"/>
          <w:szCs w:val="24"/>
        </w:rPr>
        <w:t xml:space="preserve">of food </w:t>
      </w:r>
      <w:r w:rsidRPr="00B22788">
        <w:rPr>
          <w:rFonts w:ascii="Arial" w:hAnsi="Arial" w:cs="Arial"/>
          <w:sz w:val="24"/>
          <w:szCs w:val="24"/>
        </w:rPr>
        <w:t xml:space="preserve">that will </w:t>
      </w:r>
      <w:r w:rsidR="000F6AB9">
        <w:rPr>
          <w:rFonts w:ascii="Arial" w:hAnsi="Arial" w:cs="Arial"/>
          <w:sz w:val="24"/>
          <w:szCs w:val="24"/>
        </w:rPr>
        <w:t>actually</w:t>
      </w:r>
      <w:r w:rsidR="000F6AB9" w:rsidRPr="00B22788">
        <w:rPr>
          <w:rFonts w:ascii="Arial" w:hAnsi="Arial" w:cs="Arial"/>
          <w:sz w:val="24"/>
          <w:szCs w:val="24"/>
        </w:rPr>
        <w:t xml:space="preserve"> be</w:t>
      </w:r>
      <w:r w:rsidR="004E6B0E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consumed </w:t>
      </w:r>
      <w:r w:rsidR="002C18B1" w:rsidRPr="00B22788">
        <w:rPr>
          <w:rFonts w:ascii="Arial" w:hAnsi="Arial" w:cs="Arial"/>
          <w:sz w:val="24"/>
          <w:szCs w:val="24"/>
        </w:rPr>
        <w:t xml:space="preserve">by the household </w:t>
      </w:r>
      <w:r w:rsidR="000F6AB9">
        <w:rPr>
          <w:rFonts w:ascii="Arial" w:hAnsi="Arial" w:cs="Arial"/>
          <w:sz w:val="24"/>
          <w:szCs w:val="24"/>
        </w:rPr>
        <w:t xml:space="preserve">members, </w:t>
      </w:r>
      <w:r w:rsidRPr="00B22788">
        <w:rPr>
          <w:rFonts w:ascii="Arial" w:hAnsi="Arial" w:cs="Arial"/>
          <w:sz w:val="24"/>
          <w:szCs w:val="24"/>
        </w:rPr>
        <w:t>create</w:t>
      </w:r>
      <w:r w:rsidR="00C75196">
        <w:rPr>
          <w:rFonts w:ascii="Arial" w:hAnsi="Arial" w:cs="Arial"/>
          <w:sz w:val="24"/>
          <w:szCs w:val="24"/>
        </w:rPr>
        <w:t>s</w:t>
      </w:r>
      <w:r w:rsidR="002C18B1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a situation in which some of the food </w:t>
      </w:r>
      <w:r w:rsidR="000F6AB9">
        <w:rPr>
          <w:rFonts w:ascii="Arial" w:hAnsi="Arial" w:cs="Arial"/>
          <w:sz w:val="24"/>
          <w:szCs w:val="24"/>
        </w:rPr>
        <w:t xml:space="preserve">that was bought </w:t>
      </w:r>
      <w:r w:rsidRPr="00B22788">
        <w:rPr>
          <w:rFonts w:ascii="Arial" w:hAnsi="Arial" w:cs="Arial"/>
          <w:sz w:val="24"/>
          <w:szCs w:val="24"/>
        </w:rPr>
        <w:t>expires before it is consumed.</w:t>
      </w:r>
    </w:p>
    <w:p w14:paraId="49783467" w14:textId="606FD59E" w:rsidR="00C21412" w:rsidRPr="00B22788" w:rsidRDefault="00C21412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t>Overbuying</w:t>
      </w:r>
      <w:r w:rsidR="00CE17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– buying more food than is consumed, </w:t>
      </w:r>
      <w:r w:rsidR="00CE17E3">
        <w:rPr>
          <w:rFonts w:ascii="Arial" w:hAnsi="Arial" w:cs="Arial"/>
          <w:sz w:val="24"/>
          <w:szCs w:val="24"/>
        </w:rPr>
        <w:t>thereby increasing</w:t>
      </w:r>
      <w:r w:rsidRPr="00B22788">
        <w:rPr>
          <w:rFonts w:ascii="Arial" w:hAnsi="Arial" w:cs="Arial"/>
          <w:sz w:val="24"/>
          <w:szCs w:val="24"/>
        </w:rPr>
        <w:t xml:space="preserve"> food waste. </w:t>
      </w:r>
      <w:r w:rsidR="0001416A">
        <w:rPr>
          <w:rFonts w:ascii="Arial" w:hAnsi="Arial" w:cs="Arial"/>
          <w:sz w:val="24"/>
          <w:szCs w:val="24"/>
        </w:rPr>
        <w:t>Staying home for long</w:t>
      </w:r>
      <w:r w:rsidR="00CE17E3">
        <w:rPr>
          <w:rFonts w:ascii="Arial" w:hAnsi="Arial" w:cs="Arial"/>
          <w:sz w:val="24"/>
          <w:szCs w:val="24"/>
        </w:rPr>
        <w:t xml:space="preserve"> periods of time </w:t>
      </w:r>
      <w:r w:rsidR="0001416A">
        <w:rPr>
          <w:rFonts w:ascii="Arial" w:hAnsi="Arial" w:cs="Arial"/>
          <w:sz w:val="24"/>
          <w:szCs w:val="24"/>
        </w:rPr>
        <w:t>due to</w:t>
      </w:r>
      <w:r w:rsidR="00CE17E3">
        <w:rPr>
          <w:rFonts w:ascii="Arial" w:hAnsi="Arial" w:cs="Arial"/>
          <w:sz w:val="24"/>
          <w:szCs w:val="24"/>
        </w:rPr>
        <w:t xml:space="preserve"> the </w:t>
      </w:r>
      <w:r w:rsidR="00522B79">
        <w:rPr>
          <w:rFonts w:ascii="Arial" w:hAnsi="Arial" w:cs="Arial"/>
          <w:sz w:val="24"/>
          <w:szCs w:val="24"/>
        </w:rPr>
        <w:t xml:space="preserve">waves of </w:t>
      </w:r>
      <w:r w:rsidR="00CE17E3">
        <w:rPr>
          <w:rFonts w:ascii="Arial" w:hAnsi="Arial" w:cs="Arial"/>
          <w:sz w:val="24"/>
          <w:szCs w:val="24"/>
        </w:rPr>
        <w:t xml:space="preserve">Covid-19 crisis and the </w:t>
      </w:r>
      <w:r w:rsidR="00522B79">
        <w:rPr>
          <w:rFonts w:ascii="Arial" w:hAnsi="Arial" w:cs="Arial"/>
          <w:sz w:val="24"/>
          <w:szCs w:val="24"/>
        </w:rPr>
        <w:t xml:space="preserve">transition to working at home </w:t>
      </w:r>
      <w:r w:rsidR="00CE17E3">
        <w:rPr>
          <w:rFonts w:ascii="Arial" w:hAnsi="Arial" w:cs="Arial"/>
          <w:sz w:val="24"/>
          <w:szCs w:val="24"/>
        </w:rPr>
        <w:t>led to an</w:t>
      </w:r>
      <w:r w:rsidRPr="00B22788">
        <w:rPr>
          <w:rFonts w:ascii="Arial" w:hAnsi="Arial" w:cs="Arial"/>
          <w:sz w:val="24"/>
          <w:szCs w:val="24"/>
        </w:rPr>
        <w:t xml:space="preserve"> increase in household food consumption.</w:t>
      </w:r>
    </w:p>
    <w:p w14:paraId="16BCB1D8" w14:textId="64978267" w:rsidR="00730B21" w:rsidRPr="00B22788" w:rsidRDefault="00C21412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Other causes of food waste in household consumption </w:t>
      </w:r>
      <w:r w:rsidR="0001416A">
        <w:rPr>
          <w:rFonts w:ascii="Arial" w:hAnsi="Arial" w:cs="Arial"/>
          <w:sz w:val="24"/>
          <w:szCs w:val="24"/>
        </w:rPr>
        <w:t>include</w:t>
      </w:r>
      <w:r w:rsidRPr="00B22788">
        <w:rPr>
          <w:rFonts w:ascii="Arial" w:hAnsi="Arial" w:cs="Arial"/>
          <w:sz w:val="24"/>
          <w:szCs w:val="24"/>
        </w:rPr>
        <w:t xml:space="preserve"> d</w:t>
      </w:r>
      <w:r w:rsidR="002A7763" w:rsidRPr="00B22788">
        <w:rPr>
          <w:rFonts w:ascii="Arial" w:hAnsi="Arial" w:cs="Arial"/>
          <w:sz w:val="24"/>
          <w:szCs w:val="24"/>
        </w:rPr>
        <w:t>amaged or spilled food</w:t>
      </w:r>
      <w:r w:rsidRPr="00B22788">
        <w:rPr>
          <w:rFonts w:ascii="Arial" w:hAnsi="Arial" w:cs="Arial"/>
          <w:sz w:val="24"/>
          <w:szCs w:val="24"/>
        </w:rPr>
        <w:t xml:space="preserve"> and food </w:t>
      </w:r>
      <w:r w:rsidR="0001416A">
        <w:rPr>
          <w:rFonts w:ascii="Arial" w:hAnsi="Arial" w:cs="Arial"/>
          <w:sz w:val="24"/>
          <w:szCs w:val="24"/>
        </w:rPr>
        <w:t>that</w:t>
      </w:r>
      <w:r w:rsidRPr="00B22788">
        <w:rPr>
          <w:rFonts w:ascii="Arial" w:hAnsi="Arial" w:cs="Arial"/>
          <w:sz w:val="24"/>
          <w:szCs w:val="24"/>
        </w:rPr>
        <w:t xml:space="preserve"> was </w:t>
      </w:r>
      <w:r w:rsidR="0001416A">
        <w:rPr>
          <w:rFonts w:ascii="Arial" w:hAnsi="Arial" w:cs="Arial"/>
          <w:sz w:val="24"/>
          <w:szCs w:val="24"/>
        </w:rPr>
        <w:t xml:space="preserve">not </w:t>
      </w:r>
      <w:r w:rsidR="00730B21" w:rsidRPr="00B22788">
        <w:rPr>
          <w:rFonts w:ascii="Arial" w:hAnsi="Arial" w:cs="Arial"/>
          <w:sz w:val="24"/>
          <w:szCs w:val="24"/>
        </w:rPr>
        <w:t xml:space="preserve">prepared or cooked </w:t>
      </w:r>
      <w:r w:rsidR="0001416A">
        <w:rPr>
          <w:rFonts w:ascii="Arial" w:hAnsi="Arial" w:cs="Arial"/>
          <w:sz w:val="24"/>
          <w:szCs w:val="24"/>
        </w:rPr>
        <w:t>properly</w:t>
      </w:r>
      <w:r w:rsidR="00730B21" w:rsidRPr="00B22788">
        <w:rPr>
          <w:rFonts w:ascii="Arial" w:hAnsi="Arial" w:cs="Arial"/>
          <w:sz w:val="24"/>
          <w:szCs w:val="24"/>
        </w:rPr>
        <w:t xml:space="preserve">. </w:t>
      </w:r>
    </w:p>
    <w:p w14:paraId="196CA395" w14:textId="77777777" w:rsidR="00522B79" w:rsidRDefault="00522B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0C09099" w14:textId="643D2977" w:rsidR="002C3AB7" w:rsidRPr="00B22788" w:rsidRDefault="002C3AB7" w:rsidP="00EE365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lastRenderedPageBreak/>
        <w:t>Rate of Household Food Waste</w:t>
      </w:r>
      <w:r w:rsidR="00B4474F" w:rsidRPr="00B22788">
        <w:rPr>
          <w:rFonts w:ascii="Arial" w:hAnsi="Arial" w:cs="Arial"/>
          <w:b/>
          <w:bCs/>
          <w:sz w:val="24"/>
          <w:szCs w:val="24"/>
        </w:rPr>
        <w:t xml:space="preserve"> in Israel and </w:t>
      </w:r>
      <w:commentRangeStart w:id="1"/>
      <w:r w:rsidR="00B4474F" w:rsidRPr="00B22788">
        <w:rPr>
          <w:rFonts w:ascii="Arial" w:hAnsi="Arial" w:cs="Arial"/>
          <w:b/>
          <w:bCs/>
          <w:sz w:val="24"/>
          <w:szCs w:val="24"/>
        </w:rPr>
        <w:t>Globally</w:t>
      </w:r>
      <w:commentRangeEnd w:id="1"/>
      <w:r w:rsidR="007E53A0">
        <w:rPr>
          <w:rStyle w:val="CommentReference"/>
        </w:rPr>
        <w:commentReference w:id="1"/>
      </w:r>
    </w:p>
    <w:p w14:paraId="3417641C" w14:textId="40925F3E" w:rsidR="00770858" w:rsidRPr="00B22788" w:rsidRDefault="0069386F" w:rsidP="00522B79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DB7D60B" wp14:editId="68620FC3">
            <wp:simplePos x="0" y="0"/>
            <wp:positionH relativeFrom="column">
              <wp:posOffset>3356610</wp:posOffset>
            </wp:positionH>
            <wp:positionV relativeFrom="paragraph">
              <wp:posOffset>447675</wp:posOffset>
            </wp:positionV>
            <wp:extent cx="2832735" cy="1699260"/>
            <wp:effectExtent l="0" t="0" r="5715" b="0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72F0DCF" wp14:editId="404E5DFE">
            <wp:simplePos x="0" y="0"/>
            <wp:positionH relativeFrom="column">
              <wp:posOffset>3810</wp:posOffset>
            </wp:positionH>
            <wp:positionV relativeFrom="paragraph">
              <wp:posOffset>569595</wp:posOffset>
            </wp:positionV>
            <wp:extent cx="2792095" cy="1693545"/>
            <wp:effectExtent l="0" t="0" r="8255" b="190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70858" w:rsidRPr="00B227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27FF06" wp14:editId="5F48F206">
                <wp:simplePos x="0" y="0"/>
                <wp:positionH relativeFrom="column">
                  <wp:posOffset>3642360</wp:posOffset>
                </wp:positionH>
                <wp:positionV relativeFrom="paragraph">
                  <wp:posOffset>138430</wp:posOffset>
                </wp:positionV>
                <wp:extent cx="1528445" cy="297180"/>
                <wp:effectExtent l="0" t="0" r="0" b="76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84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B96B" w14:textId="630ABDFE" w:rsidR="002F2BA1" w:rsidRDefault="002F2BA1" w:rsidP="007708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Fruits &amp;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FF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6.8pt;margin-top:10.9pt;width:120.35pt;height:23.4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" stroked="f">
                <v:textbox>
                  <w:txbxContent>
                    <w:p w14:paraId="5E0AB96B" w14:textId="630ABDFE" w:rsidR="002F2BA1" w:rsidRDefault="002F2BA1" w:rsidP="007708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Fruits &amp;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858" w:rsidRPr="00B227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1585ED" wp14:editId="6E14F986">
                <wp:simplePos x="0" y="0"/>
                <wp:positionH relativeFrom="column">
                  <wp:posOffset>943610</wp:posOffset>
                </wp:positionH>
                <wp:positionV relativeFrom="paragraph">
                  <wp:posOffset>177800</wp:posOffset>
                </wp:positionV>
                <wp:extent cx="1254125" cy="297180"/>
                <wp:effectExtent l="0" t="0" r="3175" b="762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CF12" w14:textId="7D7568A7" w:rsidR="002F2BA1" w:rsidRDefault="002F2BA1" w:rsidP="007708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Grains &amp; Legumes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85ED" id="Text Box 58" o:spid="_x0000_s1027" type="#_x0000_t202" style="position:absolute;left:0;text-align:left;margin-left:74.3pt;margin-top:14pt;width:98.75pt;height:2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" stroked="f">
                <v:textbox>
                  <w:txbxContent>
                    <w:p w14:paraId="5201CF12" w14:textId="7D7568A7" w:rsidR="002F2BA1" w:rsidRDefault="002F2BA1" w:rsidP="007708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Grains &amp; Legumes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09939" w14:textId="368509ED" w:rsidR="00B4474F" w:rsidRPr="00B22788" w:rsidRDefault="00B4474F" w:rsidP="0069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6EC782" w14:textId="65DC3A98" w:rsidR="00B4474F" w:rsidRPr="00B22788" w:rsidRDefault="0069386F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AEAC59E" wp14:editId="1FFB72B3">
            <wp:simplePos x="0" y="0"/>
            <wp:positionH relativeFrom="column">
              <wp:posOffset>3175635</wp:posOffset>
            </wp:positionH>
            <wp:positionV relativeFrom="paragraph">
              <wp:posOffset>489585</wp:posOffset>
            </wp:positionV>
            <wp:extent cx="2778760" cy="1543685"/>
            <wp:effectExtent l="0" t="0" r="2540" b="8890"/>
            <wp:wrapTopAndBottom/>
            <wp:docPr id="287445" name="תרשים 2874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947C4E9" wp14:editId="0A270A28">
            <wp:simplePos x="0" y="0"/>
            <wp:positionH relativeFrom="margin">
              <wp:posOffset>3810</wp:posOffset>
            </wp:positionH>
            <wp:positionV relativeFrom="paragraph">
              <wp:posOffset>489585</wp:posOffset>
            </wp:positionV>
            <wp:extent cx="2760980" cy="1662430"/>
            <wp:effectExtent l="0" t="0" r="1270" b="0"/>
            <wp:wrapTopAndBottom/>
            <wp:docPr id="287448" name="תרשים 2874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858" w:rsidRPr="00B227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9BEB6E" wp14:editId="33A1316E">
                <wp:simplePos x="0" y="0"/>
                <wp:positionH relativeFrom="column">
                  <wp:posOffset>3829193</wp:posOffset>
                </wp:positionH>
                <wp:positionV relativeFrom="paragraph">
                  <wp:posOffset>3236</wp:posOffset>
                </wp:positionV>
                <wp:extent cx="1254125" cy="297180"/>
                <wp:effectExtent l="0" t="0" r="3175" b="762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FDDE" w14:textId="17E2A218" w:rsidR="002F2BA1" w:rsidRDefault="002F2BA1" w:rsidP="007708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Milk &amp; Dairy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EB6E" id="Text Box 14" o:spid="_x0000_s1028" type="#_x0000_t202" style="position:absolute;left:0;text-align:left;margin-left:301.5pt;margin-top:.25pt;width:98.75pt;height:23.4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" stroked="f">
                <v:textbox>
                  <w:txbxContent>
                    <w:p w14:paraId="0E1AFDDE" w14:textId="17E2A218" w:rsidR="002F2BA1" w:rsidRDefault="002F2BA1" w:rsidP="007708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Milk &amp; Dairy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858" w:rsidRPr="00B227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1896D4" wp14:editId="110F2C16">
                <wp:simplePos x="0" y="0"/>
                <wp:positionH relativeFrom="column">
                  <wp:posOffset>765810</wp:posOffset>
                </wp:positionH>
                <wp:positionV relativeFrom="paragraph">
                  <wp:posOffset>64770</wp:posOffset>
                </wp:positionV>
                <wp:extent cx="1254125" cy="297180"/>
                <wp:effectExtent l="0" t="0" r="3175" b="762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E770" w14:textId="1B07D73A" w:rsidR="002F2BA1" w:rsidRDefault="002F2BA1" w:rsidP="007708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Meat, Fish &amp;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96D4" id="Text Box 13" o:spid="_x0000_s1029" type="#_x0000_t202" style="position:absolute;left:0;text-align:left;margin-left:60.3pt;margin-top:5.1pt;width:98.75pt;height:23.4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" stroked="f">
                <v:textbox>
                  <w:txbxContent>
                    <w:p w14:paraId="3BE2E770" w14:textId="1B07D73A" w:rsidR="002F2BA1" w:rsidRDefault="002F2BA1" w:rsidP="007708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Meat, Fish &amp; Eggs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3DE5A" w14:textId="2107BD63" w:rsidR="00770858" w:rsidRPr="00B22788" w:rsidRDefault="002A7763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  <w:r w:rsidRPr="00B22788">
        <w:rPr>
          <w:rFonts w:ascii="Arial" w:hAnsi="Arial" w:cs="Arial"/>
          <w:sz w:val="24"/>
          <w:szCs w:val="24"/>
        </w:rPr>
        <w:t xml:space="preserve"> </w:t>
      </w:r>
      <w:r w:rsidR="00770858" w:rsidRPr="00B22788">
        <w:rPr>
          <w:rFonts w:ascii="Arial" w:hAnsi="Arial" w:cs="Arial"/>
          <w:sz w:val="24"/>
          <w:szCs w:val="24"/>
        </w:rPr>
        <w:t xml:space="preserve"> </w:t>
      </w:r>
      <w:r w:rsidR="00770858" w:rsidRPr="00B22788">
        <w:rPr>
          <w:rFonts w:ascii="Arial" w:hAnsi="Arial" w:cs="Arial"/>
          <w:noProof/>
        </w:rPr>
        <w:t xml:space="preserve"> </w:t>
      </w:r>
    </w:p>
    <w:p w14:paraId="2A74CC66" w14:textId="6F25A25D" w:rsidR="008130EC" w:rsidRPr="00B22788" w:rsidRDefault="008130EC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Household food waste is not unique to Israel, and waste rates in Israel are comparable to those in other developed countries. </w:t>
      </w:r>
      <w:r w:rsidR="00E04759" w:rsidRPr="00B22788">
        <w:rPr>
          <w:rFonts w:ascii="Arial" w:hAnsi="Arial" w:cs="Arial"/>
          <w:sz w:val="24"/>
          <w:szCs w:val="24"/>
        </w:rPr>
        <w:t>In Israel, as in other western countries, t</w:t>
      </w:r>
      <w:r w:rsidRPr="00B22788">
        <w:rPr>
          <w:rFonts w:ascii="Arial" w:hAnsi="Arial" w:cs="Arial"/>
          <w:sz w:val="24"/>
          <w:szCs w:val="24"/>
        </w:rPr>
        <w:t xml:space="preserve">he highest </w:t>
      </w:r>
      <w:r w:rsidR="007E53A0">
        <w:rPr>
          <w:rFonts w:ascii="Arial" w:hAnsi="Arial" w:cs="Arial"/>
          <w:sz w:val="24"/>
          <w:szCs w:val="24"/>
        </w:rPr>
        <w:t xml:space="preserve">waste </w:t>
      </w:r>
      <w:r w:rsidRPr="00B22788">
        <w:rPr>
          <w:rFonts w:ascii="Arial" w:hAnsi="Arial" w:cs="Arial"/>
          <w:sz w:val="24"/>
          <w:szCs w:val="24"/>
        </w:rPr>
        <w:t xml:space="preserve">rate is </w:t>
      </w:r>
      <w:r w:rsidR="00E04759" w:rsidRPr="00B22788">
        <w:rPr>
          <w:rFonts w:ascii="Arial" w:hAnsi="Arial" w:cs="Arial"/>
          <w:sz w:val="24"/>
          <w:szCs w:val="24"/>
        </w:rPr>
        <w:t>in the</w:t>
      </w:r>
      <w:r w:rsidRPr="00B22788">
        <w:rPr>
          <w:rFonts w:ascii="Arial" w:hAnsi="Arial" w:cs="Arial"/>
          <w:sz w:val="24"/>
          <w:szCs w:val="24"/>
        </w:rPr>
        <w:t xml:space="preserve"> fruit and vegetables</w:t>
      </w:r>
      <w:r w:rsidR="00E04759" w:rsidRPr="00B22788">
        <w:rPr>
          <w:rFonts w:ascii="Arial" w:hAnsi="Arial" w:cs="Arial"/>
          <w:sz w:val="24"/>
          <w:szCs w:val="24"/>
        </w:rPr>
        <w:t xml:space="preserve"> category</w:t>
      </w:r>
      <w:r w:rsidRPr="00B22788">
        <w:rPr>
          <w:rFonts w:ascii="Arial" w:hAnsi="Arial" w:cs="Arial"/>
          <w:sz w:val="24"/>
          <w:szCs w:val="24"/>
        </w:rPr>
        <w:t xml:space="preserve">, with 23% of </w:t>
      </w:r>
      <w:r w:rsidR="00376C02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>fruit</w:t>
      </w:r>
      <w:r w:rsidR="00376C02">
        <w:rPr>
          <w:rFonts w:ascii="Arial" w:hAnsi="Arial" w:cs="Arial"/>
          <w:sz w:val="24"/>
          <w:szCs w:val="24"/>
        </w:rPr>
        <w:t>s</w:t>
      </w:r>
      <w:r w:rsidRPr="00B22788">
        <w:rPr>
          <w:rFonts w:ascii="Arial" w:hAnsi="Arial" w:cs="Arial"/>
          <w:sz w:val="24"/>
          <w:szCs w:val="24"/>
        </w:rPr>
        <w:t xml:space="preserve"> and vegetables </w:t>
      </w:r>
      <w:r w:rsidR="007E53A0">
        <w:rPr>
          <w:rFonts w:ascii="Arial" w:hAnsi="Arial" w:cs="Arial"/>
          <w:sz w:val="24"/>
          <w:szCs w:val="24"/>
        </w:rPr>
        <w:t>bought</w:t>
      </w:r>
      <w:r w:rsidRPr="00B22788">
        <w:rPr>
          <w:rFonts w:ascii="Arial" w:hAnsi="Arial" w:cs="Arial"/>
          <w:sz w:val="24"/>
          <w:szCs w:val="24"/>
        </w:rPr>
        <w:t xml:space="preserve"> in Israel </w:t>
      </w:r>
      <w:r w:rsidR="007E53A0">
        <w:rPr>
          <w:rFonts w:ascii="Arial" w:hAnsi="Arial" w:cs="Arial"/>
          <w:sz w:val="24"/>
          <w:szCs w:val="24"/>
        </w:rPr>
        <w:t>going to waste</w:t>
      </w:r>
      <w:r w:rsidRPr="00B22788">
        <w:rPr>
          <w:rFonts w:ascii="Arial" w:hAnsi="Arial" w:cs="Arial"/>
          <w:sz w:val="24"/>
          <w:szCs w:val="24"/>
        </w:rPr>
        <w:t xml:space="preserve">, compared to 28% in the </w:t>
      </w:r>
      <w:r w:rsidR="00840BFD" w:rsidRPr="00B22788">
        <w:rPr>
          <w:rFonts w:ascii="Arial" w:hAnsi="Arial" w:cs="Arial"/>
          <w:sz w:val="24"/>
          <w:szCs w:val="24"/>
        </w:rPr>
        <w:t>United States</w:t>
      </w:r>
      <w:r w:rsidRPr="00B22788">
        <w:rPr>
          <w:rFonts w:ascii="Arial" w:hAnsi="Arial" w:cs="Arial"/>
          <w:sz w:val="24"/>
          <w:szCs w:val="24"/>
        </w:rPr>
        <w:t xml:space="preserve"> and 19% in Europe. The relatively high </w:t>
      </w:r>
      <w:r w:rsidR="00376C02">
        <w:rPr>
          <w:rFonts w:ascii="Arial" w:hAnsi="Arial" w:cs="Arial"/>
          <w:sz w:val="24"/>
          <w:szCs w:val="24"/>
        </w:rPr>
        <w:t xml:space="preserve">waste </w:t>
      </w:r>
      <w:r w:rsidR="00840BFD" w:rsidRPr="00B22788">
        <w:rPr>
          <w:rFonts w:ascii="Arial" w:hAnsi="Arial" w:cs="Arial"/>
          <w:sz w:val="24"/>
          <w:szCs w:val="24"/>
        </w:rPr>
        <w:t xml:space="preserve">rate </w:t>
      </w:r>
      <w:r w:rsidR="00376C02">
        <w:rPr>
          <w:rFonts w:ascii="Arial" w:hAnsi="Arial" w:cs="Arial"/>
          <w:sz w:val="24"/>
          <w:szCs w:val="24"/>
        </w:rPr>
        <w:t>for</w:t>
      </w:r>
      <w:r w:rsidR="00840BF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fruit and vegetables primarily </w:t>
      </w:r>
      <w:r w:rsidR="00840BFD" w:rsidRPr="00B22788">
        <w:rPr>
          <w:rFonts w:ascii="Arial" w:hAnsi="Arial" w:cs="Arial"/>
          <w:sz w:val="24"/>
          <w:szCs w:val="24"/>
        </w:rPr>
        <w:t xml:space="preserve">stems from </w:t>
      </w:r>
      <w:r w:rsidRPr="00B22788">
        <w:rPr>
          <w:rFonts w:ascii="Arial" w:hAnsi="Arial" w:cs="Arial"/>
          <w:sz w:val="24"/>
          <w:szCs w:val="24"/>
        </w:rPr>
        <w:t xml:space="preserve">their short shelf life and </w:t>
      </w:r>
      <w:r w:rsidR="00840BFD" w:rsidRPr="00B22788">
        <w:rPr>
          <w:rFonts w:ascii="Arial" w:hAnsi="Arial" w:cs="Arial"/>
          <w:sz w:val="24"/>
          <w:szCs w:val="24"/>
        </w:rPr>
        <w:t xml:space="preserve">the fact </w:t>
      </w:r>
      <w:r w:rsidR="00376C02">
        <w:rPr>
          <w:rFonts w:ascii="Arial" w:hAnsi="Arial" w:cs="Arial"/>
          <w:sz w:val="24"/>
          <w:szCs w:val="24"/>
        </w:rPr>
        <w:t>that</w:t>
      </w:r>
      <w:r w:rsidR="00840BFD" w:rsidRPr="00B22788">
        <w:rPr>
          <w:rFonts w:ascii="Arial" w:hAnsi="Arial" w:cs="Arial"/>
          <w:sz w:val="24"/>
          <w:szCs w:val="24"/>
        </w:rPr>
        <w:t xml:space="preserve"> household</w:t>
      </w:r>
      <w:r w:rsidR="00376C02">
        <w:rPr>
          <w:rFonts w:ascii="Arial" w:hAnsi="Arial" w:cs="Arial"/>
          <w:sz w:val="24"/>
          <w:szCs w:val="24"/>
        </w:rPr>
        <w:t>s</w:t>
      </w:r>
      <w:r w:rsidR="00840BFD" w:rsidRPr="00B22788">
        <w:rPr>
          <w:rFonts w:ascii="Arial" w:hAnsi="Arial" w:cs="Arial"/>
          <w:sz w:val="24"/>
          <w:szCs w:val="24"/>
        </w:rPr>
        <w:t xml:space="preserve"> do not take measures to ensure </w:t>
      </w:r>
      <w:r w:rsidRPr="00B22788">
        <w:rPr>
          <w:rFonts w:ascii="Arial" w:hAnsi="Arial" w:cs="Arial"/>
          <w:sz w:val="24"/>
          <w:szCs w:val="24"/>
        </w:rPr>
        <w:t>optimal storage conditions.</w:t>
      </w:r>
    </w:p>
    <w:p w14:paraId="5A422AE0" w14:textId="74BAD062" w:rsidR="008130EC" w:rsidRPr="00B22788" w:rsidRDefault="00840BFD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>In regards to</w:t>
      </w:r>
      <w:r w:rsidR="008130EC" w:rsidRPr="00B22788">
        <w:rPr>
          <w:rFonts w:ascii="Arial" w:hAnsi="Arial" w:cs="Arial"/>
          <w:sz w:val="24"/>
          <w:szCs w:val="24"/>
        </w:rPr>
        <w:t xml:space="preserve"> meat, fish</w:t>
      </w:r>
      <w:r w:rsidRPr="00B22788">
        <w:rPr>
          <w:rFonts w:ascii="Arial" w:hAnsi="Arial" w:cs="Arial"/>
          <w:sz w:val="24"/>
          <w:szCs w:val="24"/>
        </w:rPr>
        <w:t>,</w:t>
      </w:r>
      <w:r w:rsidR="008130EC" w:rsidRPr="00B22788">
        <w:rPr>
          <w:rFonts w:ascii="Arial" w:hAnsi="Arial" w:cs="Arial"/>
          <w:sz w:val="24"/>
          <w:szCs w:val="24"/>
        </w:rPr>
        <w:t xml:space="preserve"> and dairy </w:t>
      </w:r>
      <w:r w:rsidRPr="00B22788">
        <w:rPr>
          <w:rFonts w:ascii="Arial" w:hAnsi="Arial" w:cs="Arial"/>
          <w:sz w:val="24"/>
          <w:szCs w:val="24"/>
        </w:rPr>
        <w:t>products, the waste rate</w:t>
      </w:r>
      <w:r w:rsidR="008130EC" w:rsidRPr="00B22788">
        <w:rPr>
          <w:rFonts w:ascii="Arial" w:hAnsi="Arial" w:cs="Arial"/>
          <w:sz w:val="24"/>
          <w:szCs w:val="24"/>
        </w:rPr>
        <w:t xml:space="preserve"> is lower</w:t>
      </w:r>
      <w:r w:rsidR="006D4E1F">
        <w:rPr>
          <w:rFonts w:ascii="Arial" w:hAnsi="Arial" w:cs="Arial"/>
          <w:sz w:val="24"/>
          <w:szCs w:val="24"/>
        </w:rPr>
        <w:t xml:space="preserve"> and stands at approximately 8%. The lower waste rate for these products stems, among other things, f</w:t>
      </w:r>
      <w:r w:rsidR="0050282E">
        <w:rPr>
          <w:rFonts w:ascii="Arial" w:hAnsi="Arial" w:cs="Arial"/>
          <w:sz w:val="24"/>
          <w:szCs w:val="24"/>
        </w:rPr>
        <w:t xml:space="preserve">rom </w:t>
      </w:r>
      <w:r w:rsidR="006D4E1F">
        <w:rPr>
          <w:rFonts w:ascii="Arial" w:hAnsi="Arial" w:cs="Arial"/>
          <w:sz w:val="24"/>
          <w:szCs w:val="24"/>
        </w:rPr>
        <w:t>the fact that it is possible to extend their shelf life by freezing them, and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>because these products are more expensive per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>unit of weight, which cre</w:t>
      </w:r>
      <w:r w:rsidR="007C0853" w:rsidRPr="00B22788">
        <w:rPr>
          <w:rFonts w:ascii="Arial" w:hAnsi="Arial" w:cs="Arial"/>
          <w:sz w:val="24"/>
          <w:szCs w:val="24"/>
        </w:rPr>
        <w:t xml:space="preserve">ates an </w:t>
      </w:r>
      <w:r w:rsidR="008130EC" w:rsidRPr="00B22788">
        <w:rPr>
          <w:rFonts w:ascii="Arial" w:hAnsi="Arial" w:cs="Arial"/>
          <w:sz w:val="24"/>
          <w:szCs w:val="24"/>
        </w:rPr>
        <w:t xml:space="preserve">incentive for </w:t>
      </w:r>
      <w:r w:rsidR="007C0853" w:rsidRPr="00B22788">
        <w:rPr>
          <w:rFonts w:ascii="Arial" w:hAnsi="Arial" w:cs="Arial"/>
          <w:sz w:val="24"/>
          <w:szCs w:val="24"/>
        </w:rPr>
        <w:t xml:space="preserve">households </w:t>
      </w:r>
      <w:r w:rsidR="006D4E1F">
        <w:rPr>
          <w:rFonts w:ascii="Arial" w:hAnsi="Arial" w:cs="Arial"/>
          <w:sz w:val="24"/>
          <w:szCs w:val="24"/>
        </w:rPr>
        <w:t xml:space="preserve">not to waste them as </w:t>
      </w:r>
      <w:r w:rsidR="006D4E1F">
        <w:rPr>
          <w:rFonts w:ascii="Arial" w:hAnsi="Arial" w:cs="Arial"/>
          <w:sz w:val="24"/>
          <w:szCs w:val="24"/>
        </w:rPr>
        <w:lastRenderedPageBreak/>
        <w:t>much</w:t>
      </w:r>
      <w:r w:rsidR="008130EC" w:rsidRPr="00B22788">
        <w:rPr>
          <w:rFonts w:ascii="Arial" w:hAnsi="Arial" w:cs="Arial"/>
          <w:sz w:val="24"/>
          <w:szCs w:val="24"/>
        </w:rPr>
        <w:t>. The</w:t>
      </w:r>
      <w:r w:rsidR="007C0853" w:rsidRPr="00B22788">
        <w:rPr>
          <w:rFonts w:ascii="Arial" w:hAnsi="Arial" w:cs="Arial"/>
          <w:sz w:val="24"/>
          <w:szCs w:val="24"/>
        </w:rPr>
        <w:t xml:space="preserve"> waste </w:t>
      </w:r>
      <w:r w:rsidR="008130EC" w:rsidRPr="00B22788">
        <w:rPr>
          <w:rFonts w:ascii="Arial" w:hAnsi="Arial" w:cs="Arial"/>
          <w:sz w:val="24"/>
          <w:szCs w:val="24"/>
        </w:rPr>
        <w:t>rate</w:t>
      </w:r>
      <w:r w:rsidR="007C0853"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>for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 xml:space="preserve">these products is similar to that </w:t>
      </w:r>
      <w:r w:rsidR="00DB59BA" w:rsidRPr="00B22788">
        <w:rPr>
          <w:rFonts w:ascii="Arial" w:hAnsi="Arial" w:cs="Arial"/>
          <w:sz w:val="24"/>
          <w:szCs w:val="24"/>
        </w:rPr>
        <w:t>in</w:t>
      </w:r>
      <w:r w:rsidR="008130EC" w:rsidRPr="00B22788">
        <w:rPr>
          <w:rFonts w:ascii="Arial" w:hAnsi="Arial" w:cs="Arial"/>
          <w:sz w:val="24"/>
          <w:szCs w:val="24"/>
        </w:rPr>
        <w:t xml:space="preserve"> Europe, and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 xml:space="preserve">lower than </w:t>
      </w:r>
      <w:r w:rsidR="00DB59BA" w:rsidRPr="00B22788">
        <w:rPr>
          <w:rFonts w:ascii="Arial" w:hAnsi="Arial" w:cs="Arial"/>
          <w:sz w:val="24"/>
          <w:szCs w:val="24"/>
        </w:rPr>
        <w:t>that</w:t>
      </w:r>
      <w:r w:rsidR="008130EC" w:rsidRPr="00B22788">
        <w:rPr>
          <w:rFonts w:ascii="Arial" w:hAnsi="Arial" w:cs="Arial"/>
          <w:sz w:val="24"/>
          <w:szCs w:val="24"/>
        </w:rPr>
        <w:t xml:space="preserve"> in the U</w:t>
      </w:r>
      <w:r w:rsidR="00DB59BA" w:rsidRPr="00B22788">
        <w:rPr>
          <w:rFonts w:ascii="Arial" w:hAnsi="Arial" w:cs="Arial"/>
          <w:sz w:val="24"/>
          <w:szCs w:val="24"/>
        </w:rPr>
        <w:t xml:space="preserve">nited </w:t>
      </w:r>
      <w:r w:rsidR="008130EC" w:rsidRPr="00B22788">
        <w:rPr>
          <w:rFonts w:ascii="Arial" w:hAnsi="Arial" w:cs="Arial"/>
          <w:sz w:val="24"/>
          <w:szCs w:val="24"/>
        </w:rPr>
        <w:t>S</w:t>
      </w:r>
      <w:r w:rsidR="00DB59BA" w:rsidRPr="00B22788">
        <w:rPr>
          <w:rFonts w:ascii="Arial" w:hAnsi="Arial" w:cs="Arial"/>
          <w:sz w:val="24"/>
          <w:szCs w:val="24"/>
        </w:rPr>
        <w:t>tates</w:t>
      </w:r>
      <w:r w:rsidR="008130EC" w:rsidRPr="00B22788">
        <w:rPr>
          <w:rFonts w:ascii="Arial" w:hAnsi="Arial" w:cs="Arial"/>
          <w:sz w:val="24"/>
          <w:szCs w:val="24"/>
        </w:rPr>
        <w:t>.</w:t>
      </w:r>
    </w:p>
    <w:p w14:paraId="75EBAC17" w14:textId="701C0078" w:rsidR="00DB59BA" w:rsidRPr="00B22788" w:rsidRDefault="00106D05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</w:t>
      </w:r>
      <w:r w:rsidR="006D4E1F">
        <w:rPr>
          <w:rFonts w:ascii="Arial" w:hAnsi="Arial" w:cs="Arial"/>
          <w:sz w:val="24"/>
          <w:szCs w:val="24"/>
        </w:rPr>
        <w:t>he</w:t>
      </w:r>
      <w:r w:rsidR="008130EC" w:rsidRPr="00B22788">
        <w:rPr>
          <w:rFonts w:ascii="Arial" w:hAnsi="Arial" w:cs="Arial"/>
          <w:sz w:val="24"/>
          <w:szCs w:val="24"/>
        </w:rPr>
        <w:t xml:space="preserve"> grains and legumes</w:t>
      </w:r>
      <w:r w:rsidR="006D4E1F">
        <w:rPr>
          <w:rFonts w:ascii="Arial" w:hAnsi="Arial" w:cs="Arial"/>
          <w:sz w:val="24"/>
          <w:szCs w:val="24"/>
        </w:rPr>
        <w:t xml:space="preserve"> </w:t>
      </w:r>
      <w:r w:rsidR="00925894">
        <w:rPr>
          <w:rFonts w:ascii="Arial" w:hAnsi="Arial" w:cs="Arial"/>
          <w:sz w:val="24"/>
          <w:szCs w:val="24"/>
        </w:rPr>
        <w:t>category,</w:t>
      </w:r>
      <w:r>
        <w:rPr>
          <w:rFonts w:ascii="Arial" w:hAnsi="Arial" w:cs="Arial"/>
          <w:sz w:val="24"/>
          <w:szCs w:val="24"/>
        </w:rPr>
        <w:t xml:space="preserve"> the w</w:t>
      </w:r>
      <w:r w:rsidRPr="00B22788">
        <w:rPr>
          <w:rFonts w:ascii="Arial" w:hAnsi="Arial" w:cs="Arial"/>
          <w:sz w:val="24"/>
          <w:szCs w:val="24"/>
        </w:rPr>
        <w:t xml:space="preserve">aste rate </w:t>
      </w:r>
      <w:r>
        <w:rPr>
          <w:rFonts w:ascii="Arial" w:hAnsi="Arial" w:cs="Arial"/>
          <w:sz w:val="24"/>
          <w:szCs w:val="24"/>
        </w:rPr>
        <w:t xml:space="preserve">is </w:t>
      </w:r>
      <w:r w:rsidRPr="00B22788">
        <w:rPr>
          <w:rFonts w:ascii="Arial" w:hAnsi="Arial" w:cs="Arial"/>
          <w:sz w:val="24"/>
          <w:szCs w:val="24"/>
        </w:rPr>
        <w:t>approximately 14%</w:t>
      </w:r>
      <w:r>
        <w:rPr>
          <w:rFonts w:ascii="Arial" w:hAnsi="Arial" w:cs="Arial"/>
          <w:sz w:val="24"/>
          <w:szCs w:val="24"/>
        </w:rPr>
        <w:t>.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waste rate is the result of combining</w:t>
      </w:r>
      <w:r w:rsidR="006D4E1F">
        <w:rPr>
          <w:rFonts w:ascii="Arial" w:hAnsi="Arial" w:cs="Arial"/>
          <w:sz w:val="24"/>
          <w:szCs w:val="24"/>
        </w:rPr>
        <w:t xml:space="preserve"> </w:t>
      </w:r>
      <w:r w:rsidR="00FF5AE8">
        <w:rPr>
          <w:rFonts w:ascii="Arial" w:hAnsi="Arial" w:cs="Arial"/>
          <w:sz w:val="24"/>
          <w:szCs w:val="24"/>
        </w:rPr>
        <w:t xml:space="preserve">waste rates of </w:t>
      </w:r>
      <w:r w:rsidR="006D4E1F">
        <w:rPr>
          <w:rFonts w:ascii="Arial" w:hAnsi="Arial" w:cs="Arial"/>
          <w:sz w:val="24"/>
          <w:szCs w:val="24"/>
        </w:rPr>
        <w:t>pr</w:t>
      </w:r>
      <w:r w:rsidR="00DB59BA" w:rsidRPr="00B22788">
        <w:rPr>
          <w:rFonts w:ascii="Arial" w:hAnsi="Arial" w:cs="Arial"/>
          <w:sz w:val="24"/>
          <w:szCs w:val="24"/>
        </w:rPr>
        <w:t>oducts with a sh</w:t>
      </w:r>
      <w:r w:rsidR="008130EC" w:rsidRPr="00B22788">
        <w:rPr>
          <w:rFonts w:ascii="Arial" w:hAnsi="Arial" w:cs="Arial"/>
          <w:sz w:val="24"/>
          <w:szCs w:val="24"/>
        </w:rPr>
        <w:t>ort shelf life</w:t>
      </w:r>
      <w:r w:rsidR="00DB59BA" w:rsidRPr="00B22788">
        <w:rPr>
          <w:rFonts w:ascii="Arial" w:hAnsi="Arial" w:cs="Arial"/>
          <w:sz w:val="24"/>
          <w:szCs w:val="24"/>
        </w:rPr>
        <w:t xml:space="preserve"> such as</w:t>
      </w:r>
      <w:r w:rsidR="008130EC" w:rsidRPr="00B22788">
        <w:rPr>
          <w:rFonts w:ascii="Arial" w:hAnsi="Arial" w:cs="Arial"/>
          <w:sz w:val="24"/>
          <w:szCs w:val="24"/>
        </w:rPr>
        <w:t xml:space="preserve"> bread and </w:t>
      </w:r>
      <w:r w:rsidR="00DB59BA" w:rsidRPr="00B22788">
        <w:rPr>
          <w:rFonts w:ascii="Arial" w:hAnsi="Arial" w:cs="Arial"/>
          <w:sz w:val="24"/>
          <w:szCs w:val="24"/>
        </w:rPr>
        <w:t>baked goods</w:t>
      </w:r>
      <w:r w:rsidR="008130EC" w:rsidRPr="00B22788">
        <w:rPr>
          <w:rFonts w:ascii="Arial" w:hAnsi="Arial" w:cs="Arial"/>
          <w:sz w:val="24"/>
          <w:szCs w:val="24"/>
        </w:rPr>
        <w:t xml:space="preserve">, </w:t>
      </w:r>
      <w:r w:rsidR="00925894">
        <w:rPr>
          <w:rFonts w:ascii="Arial" w:hAnsi="Arial" w:cs="Arial"/>
          <w:sz w:val="24"/>
          <w:szCs w:val="24"/>
        </w:rPr>
        <w:t>and</w:t>
      </w:r>
      <w:r w:rsidR="008130EC" w:rsidRPr="00B22788">
        <w:rPr>
          <w:rFonts w:ascii="Arial" w:hAnsi="Arial" w:cs="Arial"/>
          <w:sz w:val="24"/>
          <w:szCs w:val="24"/>
        </w:rPr>
        <w:t xml:space="preserve"> </w:t>
      </w:r>
      <w:r w:rsidR="00DB59BA" w:rsidRPr="00B22788">
        <w:rPr>
          <w:rFonts w:ascii="Arial" w:hAnsi="Arial" w:cs="Arial"/>
          <w:sz w:val="24"/>
          <w:szCs w:val="24"/>
        </w:rPr>
        <w:t xml:space="preserve">products with a </w:t>
      </w:r>
      <w:r w:rsidR="008130EC" w:rsidRPr="00B22788">
        <w:rPr>
          <w:rFonts w:ascii="Arial" w:hAnsi="Arial" w:cs="Arial"/>
          <w:sz w:val="24"/>
          <w:szCs w:val="24"/>
        </w:rPr>
        <w:t>relatively long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 w:rsidR="008130EC" w:rsidRPr="00B22788">
        <w:rPr>
          <w:rFonts w:ascii="Arial" w:hAnsi="Arial" w:cs="Arial"/>
          <w:sz w:val="24"/>
          <w:szCs w:val="24"/>
        </w:rPr>
        <w:t>shelf life</w:t>
      </w:r>
      <w:r w:rsidR="00DB59BA" w:rsidRPr="00B22788">
        <w:rPr>
          <w:rFonts w:ascii="Arial" w:hAnsi="Arial" w:cs="Arial"/>
          <w:sz w:val="24"/>
          <w:szCs w:val="24"/>
        </w:rPr>
        <w:t>, such as</w:t>
      </w:r>
      <w:r>
        <w:rPr>
          <w:rFonts w:ascii="Arial" w:hAnsi="Arial" w:cs="Arial"/>
          <w:sz w:val="24"/>
          <w:szCs w:val="24"/>
        </w:rPr>
        <w:t xml:space="preserve"> raw grains and legumes. </w:t>
      </w:r>
    </w:p>
    <w:p w14:paraId="76EF8793" w14:textId="0F5C1399" w:rsidR="00DB59BA" w:rsidRPr="00B22788" w:rsidRDefault="00DB59BA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t>NIS 6,</w:t>
      </w:r>
      <w:r w:rsidR="0050282E">
        <w:rPr>
          <w:rFonts w:ascii="Arial" w:hAnsi="Arial" w:cs="Arial"/>
          <w:b/>
          <w:bCs/>
          <w:sz w:val="24"/>
          <w:szCs w:val="24"/>
        </w:rPr>
        <w:t>900</w:t>
      </w:r>
      <w:r w:rsidRPr="00B22788">
        <w:rPr>
          <w:rFonts w:ascii="Arial" w:hAnsi="Arial" w:cs="Arial"/>
          <w:b/>
          <w:bCs/>
          <w:sz w:val="24"/>
          <w:szCs w:val="24"/>
        </w:rPr>
        <w:t xml:space="preserve"> annually per household: </w:t>
      </w:r>
      <w:r w:rsidR="00291787" w:rsidRPr="00B22788">
        <w:rPr>
          <w:rFonts w:ascii="Arial" w:hAnsi="Arial" w:cs="Arial"/>
          <w:b/>
          <w:bCs/>
          <w:sz w:val="24"/>
          <w:szCs w:val="24"/>
        </w:rPr>
        <w:t>t</w:t>
      </w:r>
      <w:r w:rsidRPr="00B22788">
        <w:rPr>
          <w:rFonts w:ascii="Arial" w:hAnsi="Arial" w:cs="Arial"/>
          <w:b/>
          <w:bCs/>
          <w:sz w:val="24"/>
          <w:szCs w:val="24"/>
        </w:rPr>
        <w:t>he overall impact of food waste on cost of living in 202</w:t>
      </w:r>
      <w:r w:rsidR="0050282E">
        <w:rPr>
          <w:rFonts w:ascii="Arial" w:hAnsi="Arial" w:cs="Arial"/>
          <w:b/>
          <w:bCs/>
          <w:sz w:val="24"/>
          <w:szCs w:val="24"/>
        </w:rPr>
        <w:t>1</w:t>
      </w:r>
      <w:r w:rsidRPr="00B22788">
        <w:rPr>
          <w:rFonts w:ascii="Arial" w:hAnsi="Arial" w:cs="Arial"/>
          <w:b/>
          <w:bCs/>
          <w:sz w:val="24"/>
          <w:szCs w:val="24"/>
        </w:rPr>
        <w:t xml:space="preserve"> in the household consumption </w:t>
      </w:r>
      <w:r w:rsidR="00291787" w:rsidRPr="00B22788">
        <w:rPr>
          <w:rFonts w:ascii="Arial" w:hAnsi="Arial" w:cs="Arial"/>
          <w:b/>
          <w:bCs/>
          <w:sz w:val="24"/>
          <w:szCs w:val="24"/>
        </w:rPr>
        <w:t>sector</w:t>
      </w:r>
    </w:p>
    <w:p w14:paraId="426E5FB5" w14:textId="3DEAEA39" w:rsidR="002A7763" w:rsidRPr="00B22788" w:rsidRDefault="008130EC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 xml:space="preserve">In Israel, where </w:t>
      </w:r>
      <w:r w:rsidR="00A079CC" w:rsidRPr="00B22788">
        <w:rPr>
          <w:rFonts w:ascii="Arial" w:hAnsi="Arial" w:cs="Arial"/>
          <w:sz w:val="24"/>
          <w:szCs w:val="24"/>
        </w:rPr>
        <w:t xml:space="preserve">household food </w:t>
      </w:r>
      <w:r w:rsidRPr="00B22788">
        <w:rPr>
          <w:rFonts w:ascii="Arial" w:hAnsi="Arial" w:cs="Arial"/>
          <w:sz w:val="24"/>
          <w:szCs w:val="24"/>
        </w:rPr>
        <w:t>expenditure</w:t>
      </w:r>
      <w:r w:rsidR="00A079CC" w:rsidRPr="00B22788">
        <w:rPr>
          <w:rFonts w:ascii="Arial" w:hAnsi="Arial" w:cs="Arial"/>
          <w:sz w:val="24"/>
          <w:szCs w:val="24"/>
        </w:rPr>
        <w:t xml:space="preserve"> i</w:t>
      </w:r>
      <w:r w:rsidRPr="00B22788">
        <w:rPr>
          <w:rFonts w:ascii="Arial" w:hAnsi="Arial" w:cs="Arial"/>
          <w:sz w:val="24"/>
          <w:szCs w:val="24"/>
        </w:rPr>
        <w:t>s relatively</w:t>
      </w:r>
      <w:r w:rsidR="00291787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high by international standards</w:t>
      </w:r>
      <w:r w:rsidR="00A079CC" w:rsidRPr="00B22788">
        <w:rPr>
          <w:rFonts w:ascii="Arial" w:hAnsi="Arial" w:cs="Arial"/>
          <w:sz w:val="24"/>
          <w:szCs w:val="24"/>
        </w:rPr>
        <w:t>,</w:t>
      </w:r>
      <w:r w:rsidR="00A079CC" w:rsidRPr="00B22788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B22788">
        <w:rPr>
          <w:rFonts w:ascii="Arial" w:hAnsi="Arial" w:cs="Arial"/>
          <w:sz w:val="24"/>
          <w:szCs w:val="24"/>
        </w:rPr>
        <w:t xml:space="preserve"> food waste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 w:rsidR="00B010FD" w:rsidRPr="00B22788">
        <w:rPr>
          <w:rFonts w:ascii="Arial" w:hAnsi="Arial" w:cs="Arial"/>
          <w:sz w:val="24"/>
          <w:szCs w:val="24"/>
        </w:rPr>
        <w:t xml:space="preserve">is one of the factors that </w:t>
      </w:r>
      <w:r w:rsidRPr="00B22788">
        <w:rPr>
          <w:rFonts w:ascii="Arial" w:hAnsi="Arial" w:cs="Arial"/>
          <w:sz w:val="24"/>
          <w:szCs w:val="24"/>
        </w:rPr>
        <w:t xml:space="preserve">contributes to the high cost of living. </w:t>
      </w:r>
      <w:r w:rsidR="00F10C17">
        <w:rPr>
          <w:rFonts w:ascii="Arial" w:hAnsi="Arial" w:cs="Arial"/>
          <w:sz w:val="24"/>
          <w:szCs w:val="24"/>
        </w:rPr>
        <w:t>Food w</w:t>
      </w:r>
      <w:r w:rsidRPr="00B22788">
        <w:rPr>
          <w:rFonts w:ascii="Arial" w:hAnsi="Arial" w:cs="Arial"/>
          <w:sz w:val="24"/>
          <w:szCs w:val="24"/>
        </w:rPr>
        <w:t>aste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 w:rsidR="00121B8E" w:rsidRPr="00B22788">
        <w:rPr>
          <w:rFonts w:ascii="Arial" w:hAnsi="Arial" w:cs="Arial"/>
          <w:sz w:val="24"/>
          <w:szCs w:val="24"/>
        </w:rPr>
        <w:t>effects</w:t>
      </w:r>
      <w:r w:rsidRPr="00B22788">
        <w:rPr>
          <w:rFonts w:ascii="Arial" w:hAnsi="Arial" w:cs="Arial"/>
          <w:sz w:val="24"/>
          <w:szCs w:val="24"/>
        </w:rPr>
        <w:t xml:space="preserve"> the cost of living </w:t>
      </w:r>
      <w:r w:rsidR="00121B8E" w:rsidRPr="00B22788">
        <w:rPr>
          <w:rFonts w:ascii="Arial" w:hAnsi="Arial" w:cs="Arial"/>
          <w:sz w:val="24"/>
          <w:szCs w:val="24"/>
        </w:rPr>
        <w:t>due to overspending on</w:t>
      </w:r>
      <w:r w:rsidRPr="00B22788">
        <w:rPr>
          <w:rFonts w:ascii="Arial" w:hAnsi="Arial" w:cs="Arial"/>
          <w:sz w:val="24"/>
          <w:szCs w:val="24"/>
        </w:rPr>
        <w:t xml:space="preserve"> food</w:t>
      </w:r>
      <w:r w:rsidR="00121B8E" w:rsidRPr="00B22788">
        <w:rPr>
          <w:rFonts w:ascii="Arial" w:hAnsi="Arial" w:cs="Arial"/>
          <w:sz w:val="24"/>
          <w:szCs w:val="24"/>
        </w:rPr>
        <w:t xml:space="preserve"> </w:t>
      </w:r>
      <w:r w:rsidR="00F10C17">
        <w:rPr>
          <w:rFonts w:ascii="Arial" w:hAnsi="Arial" w:cs="Arial"/>
          <w:sz w:val="24"/>
          <w:szCs w:val="24"/>
        </w:rPr>
        <w:t>and</w:t>
      </w:r>
      <w:r w:rsidR="00121B8E" w:rsidRPr="00B22788">
        <w:rPr>
          <w:rFonts w:ascii="Arial" w:hAnsi="Arial" w:cs="Arial"/>
          <w:sz w:val="24"/>
          <w:szCs w:val="24"/>
        </w:rPr>
        <w:t xml:space="preserve"> by driving the cost of food up.</w:t>
      </w:r>
      <w:r w:rsidRPr="00B22788">
        <w:rPr>
          <w:rFonts w:ascii="Arial" w:hAnsi="Arial" w:cs="Arial"/>
          <w:sz w:val="24"/>
          <w:szCs w:val="24"/>
        </w:rPr>
        <w:t xml:space="preserve"> The overall impact on cost of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living is an additional NIS 6,</w:t>
      </w:r>
      <w:r w:rsidR="0050282E">
        <w:rPr>
          <w:rFonts w:ascii="Arial" w:hAnsi="Arial" w:cs="Arial"/>
          <w:sz w:val="24"/>
          <w:szCs w:val="24"/>
        </w:rPr>
        <w:t>900</w:t>
      </w:r>
      <w:r w:rsidRPr="00B22788">
        <w:rPr>
          <w:rFonts w:ascii="Arial" w:hAnsi="Arial" w:cs="Arial"/>
          <w:sz w:val="24"/>
          <w:szCs w:val="24"/>
        </w:rPr>
        <w:t xml:space="preserve"> per household</w:t>
      </w:r>
      <w:r w:rsidR="00DB59BA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annually.</w:t>
      </w:r>
    </w:p>
    <w:p w14:paraId="3D0EC1C5" w14:textId="5B0C9557" w:rsidR="000F3915" w:rsidRPr="00B22788" w:rsidRDefault="000F3915" w:rsidP="00EE365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2788">
        <w:rPr>
          <w:rFonts w:ascii="Arial" w:hAnsi="Arial" w:cs="Arial"/>
          <w:b/>
          <w:bCs/>
          <w:sz w:val="24"/>
          <w:szCs w:val="24"/>
        </w:rPr>
        <w:t>Food Waste: Effect on Cost of Living</w:t>
      </w:r>
    </w:p>
    <w:tbl>
      <w:tblPr>
        <w:tblStyle w:val="GridTable5Dark-Accent21"/>
        <w:tblW w:w="8680" w:type="dxa"/>
        <w:jc w:val="center"/>
        <w:tblInd w:w="0" w:type="dxa"/>
        <w:tblLook w:val="04A0" w:firstRow="1" w:lastRow="0" w:firstColumn="1" w:lastColumn="0" w:noHBand="0" w:noVBand="1"/>
      </w:tblPr>
      <w:tblGrid>
        <w:gridCol w:w="3880"/>
        <w:gridCol w:w="2440"/>
        <w:gridCol w:w="2360"/>
      </w:tblGrid>
      <w:tr w:rsidR="009F0283" w:rsidRPr="00B22788" w14:paraId="4C1892FD" w14:textId="77777777" w:rsidTr="009F0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hideMark/>
          </w:tcPr>
          <w:p w14:paraId="7F82B6D1" w14:textId="77777777" w:rsidR="009F0283" w:rsidRPr="00B22788" w:rsidRDefault="009F0283" w:rsidP="005028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FFFFFF"/>
            </w:tcBorders>
            <w:vAlign w:val="center"/>
            <w:hideMark/>
          </w:tcPr>
          <w:p w14:paraId="54AC5EF9" w14:textId="019B9A6E" w:rsidR="009F0283" w:rsidRPr="00B22788" w:rsidRDefault="009F0283" w:rsidP="0050282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Annual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C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ost per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H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ousehold in NIS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3C4485A" w14:textId="4F1BE0CF" w:rsidR="009F0283" w:rsidRPr="00B22788" w:rsidRDefault="009F0283" w:rsidP="0050282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Impact on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F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ood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P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rices</w:t>
            </w:r>
          </w:p>
        </w:tc>
      </w:tr>
      <w:tr w:rsidR="009F0283" w:rsidRPr="00B22788" w14:paraId="1A626749" w14:textId="77777777" w:rsidTr="009F0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  <w:hideMark/>
          </w:tcPr>
          <w:p w14:paraId="65CBDC22" w14:textId="621251DD" w:rsidR="009F0283" w:rsidRPr="00B22788" w:rsidRDefault="009F0283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Cost of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F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ood </w:t>
            </w:r>
            <w:r w:rsidR="000016A7">
              <w:rPr>
                <w:rFonts w:ascii="Arial" w:eastAsia="Times New Roman" w:hAnsi="Arial" w:cs="Arial"/>
                <w:color w:val="FFFFFF" w:themeColor="background1"/>
              </w:rPr>
              <w:t>Discarded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 at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H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ome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C8F797" w14:textId="77777777" w:rsidR="009F0283" w:rsidRPr="00B22788" w:rsidRDefault="009F0283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color w:val="000000"/>
                <w:rtl/>
              </w:rPr>
              <w:t>3,600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0CF43A2" w14:textId="77777777" w:rsidR="009F0283" w:rsidRPr="00B22788" w:rsidRDefault="009F0283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b/>
                <w:bCs/>
                <w:color w:val="000000"/>
                <w:rtl/>
              </w:rPr>
              <w:t>-</w:t>
            </w:r>
          </w:p>
        </w:tc>
      </w:tr>
      <w:tr w:rsidR="009F0283" w:rsidRPr="00B22788" w14:paraId="03E7FF65" w14:textId="77777777" w:rsidTr="009F0283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  <w:hideMark/>
          </w:tcPr>
          <w:p w14:paraId="4C210F4B" w14:textId="265E0408" w:rsidR="009F0283" w:rsidRPr="00B22788" w:rsidRDefault="009F0283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Cost of </w:t>
            </w:r>
            <w:r w:rsidR="000016A7">
              <w:rPr>
                <w:rFonts w:ascii="Arial" w:eastAsia="Times New Roman" w:hAnsi="Arial" w:cs="Arial"/>
                <w:color w:val="FFFFFF" w:themeColor="background1"/>
              </w:rPr>
              <w:t>Collection and Landfill Disposal for Discarded Food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549DCB" w14:textId="77777777" w:rsidR="009F0283" w:rsidRPr="00B22788" w:rsidRDefault="009F0283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color w:val="000000"/>
                <w:rtl/>
              </w:rPr>
              <w:t>200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8363DA6" w14:textId="77777777" w:rsidR="009F0283" w:rsidRPr="00B22788" w:rsidRDefault="009F0283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9F0283" w:rsidRPr="00B22788" w14:paraId="4F0B8CC2" w14:textId="77777777" w:rsidTr="009F0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  <w:hideMark/>
          </w:tcPr>
          <w:p w14:paraId="763D835B" w14:textId="286A9143" w:rsidR="009F0283" w:rsidRPr="00B22788" w:rsidRDefault="009F0283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Impact of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G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reenhouse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G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as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E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missions and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A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ir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P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ollutants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E526B5" w14:textId="53F05C1C" w:rsidR="009F0283" w:rsidRPr="00B22788" w:rsidRDefault="0050282E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20AAFEA" w14:textId="77777777" w:rsidR="009F0283" w:rsidRPr="00B22788" w:rsidRDefault="009F0283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F0283" w:rsidRPr="00B22788" w14:paraId="6EFFC649" w14:textId="77777777" w:rsidTr="009F028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  <w:hideMark/>
          </w:tcPr>
          <w:p w14:paraId="0923C5C6" w14:textId="7FFA6E40" w:rsidR="009F0283" w:rsidRPr="00B22788" w:rsidRDefault="00553E95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Increase in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R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etail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P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rices due to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F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ood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W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aste in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S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upermarkets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66E17F" w14:textId="77777777" w:rsidR="009F0283" w:rsidRPr="00B22788" w:rsidRDefault="009F0283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22788">
              <w:rPr>
                <w:rFonts w:ascii="Arial" w:hAnsi="Arial" w:cs="Arial"/>
                <w:color w:val="000000"/>
                <w:rtl/>
              </w:rPr>
              <w:t>1,600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1E59130" w14:textId="77777777" w:rsidR="009F0283" w:rsidRPr="00B22788" w:rsidRDefault="009F0283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b/>
                <w:bCs/>
                <w:rtl/>
              </w:rPr>
              <w:t>6%</w:t>
            </w:r>
          </w:p>
        </w:tc>
      </w:tr>
      <w:tr w:rsidR="009F0283" w:rsidRPr="00B22788" w14:paraId="3C620D8E" w14:textId="77777777" w:rsidTr="009F0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vAlign w:val="center"/>
            <w:hideMark/>
          </w:tcPr>
          <w:p w14:paraId="6566D547" w14:textId="4C2008B7" w:rsidR="009F0283" w:rsidRPr="00B22788" w:rsidRDefault="00553E95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Increase in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W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holesale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P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rices due to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F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ood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W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aste in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A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 xml:space="preserve">griculture and </w:t>
            </w:r>
            <w:r w:rsidR="00C75196">
              <w:rPr>
                <w:rFonts w:ascii="Arial" w:eastAsia="Times New Roman" w:hAnsi="Arial" w:cs="Arial"/>
                <w:color w:val="FFFFFF" w:themeColor="background1"/>
              </w:rPr>
              <w:t>I</w:t>
            </w:r>
            <w:r w:rsidRPr="00B22788">
              <w:rPr>
                <w:rFonts w:ascii="Arial" w:eastAsia="Times New Roman" w:hAnsi="Arial" w:cs="Arial"/>
                <w:color w:val="FFFFFF" w:themeColor="background1"/>
              </w:rPr>
              <w:t>ndustry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110140" w14:textId="77777777" w:rsidR="009F0283" w:rsidRPr="00B22788" w:rsidRDefault="009F0283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color w:val="000000"/>
                <w:rtl/>
              </w:rPr>
              <w:t>1,200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869C2C6" w14:textId="77777777" w:rsidR="009F0283" w:rsidRPr="00B22788" w:rsidRDefault="009F0283" w:rsidP="005028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b/>
                <w:bCs/>
                <w:rtl/>
              </w:rPr>
              <w:t>5%</w:t>
            </w:r>
          </w:p>
        </w:tc>
      </w:tr>
      <w:tr w:rsidR="009F0283" w:rsidRPr="00B22788" w14:paraId="70F92D6C" w14:textId="77777777" w:rsidTr="009F0283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AEE272" w14:textId="0F4D4033" w:rsidR="009F0283" w:rsidRPr="00B22788" w:rsidRDefault="00553E95" w:rsidP="0050282E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rtl/>
              </w:rPr>
            </w:pPr>
            <w:r w:rsidRPr="00B22788">
              <w:rPr>
                <w:rFonts w:ascii="Arial" w:eastAsia="Times New Roman" w:hAnsi="Arial" w:cs="Arial"/>
                <w:color w:val="FFFFFF" w:themeColor="background1"/>
              </w:rPr>
              <w:t>Total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831EB6F" w14:textId="2DFF51F6" w:rsidR="009F0283" w:rsidRPr="00B22788" w:rsidRDefault="0050282E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6,900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C7C1" w14:textId="77777777" w:rsidR="009F0283" w:rsidRPr="00B22788" w:rsidRDefault="009F0283" w:rsidP="005028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 w:rsidRPr="00B22788">
              <w:rPr>
                <w:rFonts w:ascii="Arial" w:hAnsi="Arial" w:cs="Arial"/>
                <w:b/>
                <w:bCs/>
                <w:rtl/>
              </w:rPr>
              <w:t>11%</w:t>
            </w:r>
          </w:p>
        </w:tc>
      </w:tr>
    </w:tbl>
    <w:p w14:paraId="0CCA1515" w14:textId="77777777" w:rsidR="000F3915" w:rsidRPr="00B22788" w:rsidRDefault="000F3915" w:rsidP="00EE365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734D24B" w14:textId="05655EA3" w:rsidR="00A77A16" w:rsidRPr="00B22788" w:rsidRDefault="00A77A16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Cost of </w:t>
      </w:r>
      <w:r w:rsidR="003C0B45" w:rsidRPr="00B22788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>iving –</w:t>
      </w:r>
      <w:r w:rsidR="003C0B45"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A665B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="001A2DAD">
        <w:rPr>
          <w:rFonts w:ascii="Arial" w:hAnsi="Arial" w:cs="Arial"/>
          <w:b/>
          <w:bCs/>
          <w:i/>
          <w:iCs/>
          <w:sz w:val="24"/>
          <w:szCs w:val="24"/>
        </w:rPr>
        <w:t>verspending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0016A7">
        <w:rPr>
          <w:rFonts w:ascii="Arial" w:hAnsi="Arial" w:cs="Arial"/>
          <w:sz w:val="24"/>
          <w:szCs w:val="24"/>
        </w:rPr>
        <w:t>F</w:t>
      </w:r>
      <w:r w:rsidRPr="00B22788">
        <w:rPr>
          <w:rFonts w:ascii="Arial" w:hAnsi="Arial" w:cs="Arial"/>
          <w:sz w:val="24"/>
          <w:szCs w:val="24"/>
        </w:rPr>
        <w:t>ood</w:t>
      </w:r>
      <w:r w:rsidR="00F334C9" w:rsidRPr="00B22788">
        <w:rPr>
          <w:rFonts w:ascii="Arial" w:hAnsi="Arial" w:cs="Arial"/>
          <w:sz w:val="24"/>
          <w:szCs w:val="24"/>
        </w:rPr>
        <w:t xml:space="preserve"> </w:t>
      </w:r>
      <w:r w:rsidR="001A2DAD">
        <w:rPr>
          <w:rFonts w:ascii="Arial" w:hAnsi="Arial" w:cs="Arial"/>
          <w:sz w:val="24"/>
          <w:szCs w:val="24"/>
        </w:rPr>
        <w:t>bought</w:t>
      </w:r>
      <w:r w:rsidRPr="00B22788">
        <w:rPr>
          <w:rFonts w:ascii="Arial" w:hAnsi="Arial" w:cs="Arial"/>
          <w:sz w:val="24"/>
          <w:szCs w:val="24"/>
        </w:rPr>
        <w:t xml:space="preserve"> and </w:t>
      </w:r>
      <w:r w:rsidR="001A2DAD">
        <w:rPr>
          <w:rFonts w:ascii="Arial" w:hAnsi="Arial" w:cs="Arial"/>
          <w:sz w:val="24"/>
          <w:szCs w:val="24"/>
        </w:rPr>
        <w:t>thrown away</w:t>
      </w:r>
      <w:r w:rsidRPr="00B22788">
        <w:rPr>
          <w:rFonts w:ascii="Arial" w:hAnsi="Arial" w:cs="Arial"/>
          <w:sz w:val="24"/>
          <w:szCs w:val="24"/>
        </w:rPr>
        <w:t xml:space="preserve"> as waste </w:t>
      </w:r>
      <w:r w:rsidR="00717EEB">
        <w:rPr>
          <w:rFonts w:ascii="Arial" w:hAnsi="Arial" w:cs="Arial"/>
          <w:sz w:val="24"/>
          <w:szCs w:val="24"/>
        </w:rPr>
        <w:t>constitutes</w:t>
      </w:r>
      <w:r w:rsidR="003C0B45" w:rsidRPr="00B22788">
        <w:rPr>
          <w:rFonts w:ascii="Arial" w:hAnsi="Arial" w:cs="Arial"/>
          <w:sz w:val="24"/>
          <w:szCs w:val="24"/>
        </w:rPr>
        <w:t xml:space="preserve"> a direct </w:t>
      </w:r>
      <w:r w:rsidR="001A2DAD">
        <w:rPr>
          <w:rFonts w:ascii="Arial" w:hAnsi="Arial" w:cs="Arial"/>
          <w:sz w:val="24"/>
          <w:szCs w:val="24"/>
        </w:rPr>
        <w:t xml:space="preserve">household </w:t>
      </w:r>
      <w:r w:rsidR="003C0B45" w:rsidRPr="00B22788">
        <w:rPr>
          <w:rFonts w:ascii="Arial" w:hAnsi="Arial" w:cs="Arial"/>
          <w:sz w:val="24"/>
          <w:szCs w:val="24"/>
        </w:rPr>
        <w:t>cost</w:t>
      </w:r>
      <w:r w:rsidRPr="00B22788">
        <w:rPr>
          <w:rFonts w:ascii="Arial" w:hAnsi="Arial" w:cs="Arial"/>
          <w:sz w:val="24"/>
          <w:szCs w:val="24"/>
        </w:rPr>
        <w:t>. On average,</w:t>
      </w:r>
      <w:r w:rsidR="00F334C9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the direct month</w:t>
      </w:r>
      <w:r w:rsidR="003C0B45" w:rsidRPr="00B22788">
        <w:rPr>
          <w:rFonts w:ascii="Arial" w:hAnsi="Arial" w:cs="Arial"/>
          <w:sz w:val="24"/>
          <w:szCs w:val="24"/>
        </w:rPr>
        <w:t>ly</w:t>
      </w:r>
      <w:r w:rsidRPr="00B22788">
        <w:rPr>
          <w:rFonts w:ascii="Arial" w:hAnsi="Arial" w:cs="Arial"/>
          <w:sz w:val="24"/>
          <w:szCs w:val="24"/>
        </w:rPr>
        <w:t xml:space="preserve"> loss (</w:t>
      </w:r>
      <w:r w:rsidR="00C07A86" w:rsidRPr="00B22788">
        <w:rPr>
          <w:rFonts w:ascii="Arial" w:hAnsi="Arial" w:cs="Arial"/>
          <w:sz w:val="24"/>
          <w:szCs w:val="24"/>
        </w:rPr>
        <w:t>excluding</w:t>
      </w:r>
      <w:r w:rsidRPr="00B22788">
        <w:rPr>
          <w:rFonts w:ascii="Arial" w:hAnsi="Arial" w:cs="Arial"/>
          <w:sz w:val="24"/>
          <w:szCs w:val="24"/>
        </w:rPr>
        <w:t xml:space="preserve"> external</w:t>
      </w:r>
      <w:r w:rsidR="00F334C9" w:rsidRPr="00B22788">
        <w:rPr>
          <w:rFonts w:ascii="Arial" w:hAnsi="Arial" w:cs="Arial"/>
          <w:sz w:val="24"/>
          <w:szCs w:val="24"/>
        </w:rPr>
        <w:t xml:space="preserve"> </w:t>
      </w:r>
      <w:r w:rsidR="003C0B45" w:rsidRPr="00B22788">
        <w:rPr>
          <w:rFonts w:ascii="Arial" w:hAnsi="Arial" w:cs="Arial"/>
          <w:sz w:val="24"/>
          <w:szCs w:val="24"/>
        </w:rPr>
        <w:t>costs</w:t>
      </w:r>
      <w:r w:rsidR="003C0B45" w:rsidRPr="00B22788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B22788">
        <w:rPr>
          <w:rFonts w:ascii="Arial" w:hAnsi="Arial" w:cs="Arial"/>
          <w:sz w:val="24"/>
          <w:szCs w:val="24"/>
        </w:rPr>
        <w:t xml:space="preserve">) </w:t>
      </w:r>
      <w:r w:rsidR="001A2DAD">
        <w:rPr>
          <w:rFonts w:ascii="Arial" w:hAnsi="Arial" w:cs="Arial"/>
          <w:sz w:val="24"/>
          <w:szCs w:val="24"/>
        </w:rPr>
        <w:t>due to food waste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0B095A" w:rsidRPr="00B22788">
        <w:rPr>
          <w:rFonts w:ascii="Arial" w:hAnsi="Arial" w:cs="Arial"/>
          <w:sz w:val="24"/>
          <w:szCs w:val="24"/>
        </w:rPr>
        <w:t>stands at</w:t>
      </w:r>
      <w:r w:rsidRPr="00B22788">
        <w:rPr>
          <w:rFonts w:ascii="Arial" w:hAnsi="Arial" w:cs="Arial"/>
          <w:sz w:val="24"/>
          <w:szCs w:val="24"/>
        </w:rPr>
        <w:t xml:space="preserve"> NIS </w:t>
      </w:r>
      <w:r w:rsidR="0050282E">
        <w:rPr>
          <w:rFonts w:ascii="Arial" w:hAnsi="Arial" w:cs="Arial"/>
          <w:sz w:val="24"/>
          <w:szCs w:val="24"/>
        </w:rPr>
        <w:t>295</w:t>
      </w:r>
      <w:r w:rsidR="000B095A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per household, </w:t>
      </w:r>
      <w:r w:rsidR="000B095A" w:rsidRPr="00B22788">
        <w:rPr>
          <w:rFonts w:ascii="Arial" w:hAnsi="Arial" w:cs="Arial"/>
          <w:sz w:val="24"/>
          <w:szCs w:val="24"/>
        </w:rPr>
        <w:t>and accordingly</w:t>
      </w:r>
      <w:r w:rsidR="001A2DAD">
        <w:rPr>
          <w:rFonts w:ascii="Arial" w:hAnsi="Arial" w:cs="Arial"/>
          <w:sz w:val="24"/>
          <w:szCs w:val="24"/>
        </w:rPr>
        <w:t>,</w:t>
      </w:r>
      <w:r w:rsidR="000B095A" w:rsidRPr="00B22788">
        <w:rPr>
          <w:rFonts w:ascii="Arial" w:hAnsi="Arial" w:cs="Arial"/>
          <w:sz w:val="24"/>
          <w:szCs w:val="24"/>
        </w:rPr>
        <w:t xml:space="preserve"> the</w:t>
      </w:r>
      <w:r w:rsidRPr="00B22788">
        <w:rPr>
          <w:rFonts w:ascii="Arial" w:hAnsi="Arial" w:cs="Arial"/>
          <w:sz w:val="24"/>
          <w:szCs w:val="24"/>
        </w:rPr>
        <w:t xml:space="preserve"> annual loss</w:t>
      </w:r>
      <w:r w:rsidR="00F334C9" w:rsidRPr="00B22788">
        <w:rPr>
          <w:rFonts w:ascii="Arial" w:hAnsi="Arial" w:cs="Arial"/>
          <w:sz w:val="24"/>
          <w:szCs w:val="24"/>
        </w:rPr>
        <w:t xml:space="preserve"> </w:t>
      </w:r>
      <w:r w:rsidR="000B095A" w:rsidRPr="00B22788">
        <w:rPr>
          <w:rFonts w:ascii="Arial" w:hAnsi="Arial" w:cs="Arial"/>
          <w:sz w:val="24"/>
          <w:szCs w:val="24"/>
        </w:rPr>
        <w:t>stands at</w:t>
      </w:r>
      <w:r w:rsidRPr="00B22788">
        <w:rPr>
          <w:rFonts w:ascii="Arial" w:hAnsi="Arial" w:cs="Arial"/>
          <w:sz w:val="24"/>
          <w:szCs w:val="24"/>
        </w:rPr>
        <w:t xml:space="preserve"> NIS 3,</w:t>
      </w:r>
      <w:r w:rsidR="001A004D">
        <w:rPr>
          <w:rFonts w:ascii="Arial" w:hAnsi="Arial" w:cs="Arial"/>
          <w:sz w:val="24"/>
          <w:szCs w:val="24"/>
        </w:rPr>
        <w:t>5</w:t>
      </w:r>
      <w:r w:rsidRPr="00B22788">
        <w:rPr>
          <w:rFonts w:ascii="Arial" w:hAnsi="Arial" w:cs="Arial"/>
          <w:sz w:val="24"/>
          <w:szCs w:val="24"/>
        </w:rPr>
        <w:t xml:space="preserve">00 per household. The costs of </w:t>
      </w:r>
      <w:r w:rsidR="000016A7">
        <w:rPr>
          <w:rFonts w:ascii="Arial" w:hAnsi="Arial" w:cs="Arial"/>
          <w:sz w:val="24"/>
          <w:szCs w:val="24"/>
        </w:rPr>
        <w:t>collecting and disposing</w:t>
      </w:r>
      <w:r w:rsidR="000B095A" w:rsidRPr="00B22788">
        <w:rPr>
          <w:rFonts w:ascii="Arial" w:hAnsi="Arial" w:cs="Arial"/>
          <w:sz w:val="24"/>
          <w:szCs w:val="24"/>
        </w:rPr>
        <w:t xml:space="preserve"> the </w:t>
      </w:r>
      <w:r w:rsidRPr="00B22788">
        <w:rPr>
          <w:rFonts w:ascii="Arial" w:hAnsi="Arial" w:cs="Arial"/>
          <w:sz w:val="24"/>
          <w:szCs w:val="24"/>
        </w:rPr>
        <w:t>waste</w:t>
      </w:r>
      <w:r w:rsidR="000016A7">
        <w:rPr>
          <w:rFonts w:ascii="Arial" w:hAnsi="Arial" w:cs="Arial"/>
          <w:sz w:val="24"/>
          <w:szCs w:val="24"/>
        </w:rPr>
        <w:t xml:space="preserve"> in a landfill</w:t>
      </w:r>
      <w:r w:rsidR="000B095A" w:rsidRPr="00B22788">
        <w:rPr>
          <w:rFonts w:ascii="Arial" w:hAnsi="Arial" w:cs="Arial"/>
          <w:sz w:val="24"/>
          <w:szCs w:val="24"/>
        </w:rPr>
        <w:t xml:space="preserve"> are ultimately </w:t>
      </w:r>
      <w:r w:rsidR="0035579D" w:rsidRPr="00B22788">
        <w:rPr>
          <w:rFonts w:ascii="Arial" w:hAnsi="Arial" w:cs="Arial"/>
          <w:sz w:val="24"/>
          <w:szCs w:val="24"/>
        </w:rPr>
        <w:t>passed on</w:t>
      </w:r>
      <w:r w:rsidR="000B095A" w:rsidRPr="00B22788">
        <w:rPr>
          <w:rFonts w:ascii="Arial" w:hAnsi="Arial" w:cs="Arial"/>
          <w:sz w:val="24"/>
          <w:szCs w:val="24"/>
        </w:rPr>
        <w:t>to consumers</w:t>
      </w:r>
      <w:r w:rsidRPr="00B22788">
        <w:rPr>
          <w:rFonts w:ascii="Arial" w:hAnsi="Arial" w:cs="Arial"/>
          <w:sz w:val="24"/>
          <w:szCs w:val="24"/>
        </w:rPr>
        <w:t xml:space="preserve"> in the form of </w:t>
      </w:r>
      <w:r w:rsidR="0035579D" w:rsidRPr="00B22788">
        <w:rPr>
          <w:rFonts w:ascii="Arial" w:hAnsi="Arial" w:cs="Arial"/>
          <w:sz w:val="24"/>
          <w:szCs w:val="24"/>
        </w:rPr>
        <w:t xml:space="preserve">increased </w:t>
      </w:r>
      <w:r w:rsidRPr="00B22788">
        <w:rPr>
          <w:rFonts w:ascii="Arial" w:hAnsi="Arial" w:cs="Arial"/>
          <w:sz w:val="24"/>
          <w:szCs w:val="24"/>
        </w:rPr>
        <w:t xml:space="preserve">municipal property taxes and fees, </w:t>
      </w:r>
      <w:r w:rsidR="0035579D" w:rsidRPr="00B22788">
        <w:rPr>
          <w:rFonts w:ascii="Arial" w:hAnsi="Arial" w:cs="Arial"/>
          <w:sz w:val="24"/>
          <w:szCs w:val="24"/>
        </w:rPr>
        <w:t xml:space="preserve">leading to an </w:t>
      </w:r>
      <w:r w:rsidR="001A2DAD" w:rsidRPr="00B22788">
        <w:rPr>
          <w:rFonts w:ascii="Arial" w:hAnsi="Arial" w:cs="Arial"/>
          <w:sz w:val="24"/>
          <w:szCs w:val="24"/>
        </w:rPr>
        <w:t xml:space="preserve">additional </w:t>
      </w:r>
      <w:r w:rsidR="0035579D" w:rsidRPr="00B22788">
        <w:rPr>
          <w:rFonts w:ascii="Arial" w:hAnsi="Arial" w:cs="Arial"/>
          <w:sz w:val="24"/>
          <w:szCs w:val="24"/>
        </w:rPr>
        <w:t>annual cost of</w:t>
      </w:r>
      <w:r w:rsidRPr="00B22788">
        <w:rPr>
          <w:rFonts w:ascii="Arial" w:hAnsi="Arial" w:cs="Arial"/>
          <w:sz w:val="24"/>
          <w:szCs w:val="24"/>
        </w:rPr>
        <w:t xml:space="preserve"> NIS 200 per household.</w:t>
      </w:r>
    </w:p>
    <w:p w14:paraId="41C7EE2A" w14:textId="15AB4B30" w:rsidR="00A77A16" w:rsidRPr="00B22788" w:rsidRDefault="00A77A16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Cost of </w:t>
      </w:r>
      <w:r w:rsidR="008B710D" w:rsidRPr="00B22788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iving – </w:t>
      </w:r>
      <w:r w:rsidR="005A665B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>igher food prices:</w:t>
      </w:r>
      <w:r w:rsidRPr="00B22788">
        <w:rPr>
          <w:rFonts w:ascii="Arial" w:hAnsi="Arial" w:cs="Arial"/>
          <w:sz w:val="24"/>
          <w:szCs w:val="24"/>
        </w:rPr>
        <w:t xml:space="preserve"> In addition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to a household</w:t>
      </w:r>
      <w:r w:rsidR="007F2167">
        <w:rPr>
          <w:rFonts w:ascii="Arial" w:hAnsi="Arial" w:cs="Arial"/>
          <w:sz w:val="24"/>
          <w:szCs w:val="24"/>
        </w:rPr>
        <w:t>’</w:t>
      </w:r>
      <w:r w:rsidRPr="00B22788">
        <w:rPr>
          <w:rFonts w:ascii="Arial" w:hAnsi="Arial" w:cs="Arial"/>
          <w:sz w:val="24"/>
          <w:szCs w:val="24"/>
        </w:rPr>
        <w:t xml:space="preserve">s direct </w:t>
      </w:r>
      <w:r w:rsidR="007F2167">
        <w:rPr>
          <w:rFonts w:ascii="Arial" w:hAnsi="Arial" w:cs="Arial"/>
          <w:sz w:val="24"/>
          <w:szCs w:val="24"/>
        </w:rPr>
        <w:t>surplus</w:t>
      </w:r>
      <w:r w:rsidRPr="00B22788">
        <w:rPr>
          <w:rFonts w:ascii="Arial" w:hAnsi="Arial" w:cs="Arial"/>
          <w:sz w:val="24"/>
          <w:szCs w:val="24"/>
        </w:rPr>
        <w:t xml:space="preserve"> expenditure</w:t>
      </w:r>
      <w:r w:rsidR="00D206F8" w:rsidRPr="00B22788">
        <w:rPr>
          <w:rFonts w:ascii="Arial" w:hAnsi="Arial" w:cs="Arial"/>
          <w:sz w:val="24"/>
          <w:szCs w:val="24"/>
        </w:rPr>
        <w:t xml:space="preserve"> </w:t>
      </w:r>
      <w:r w:rsidR="007F2167">
        <w:rPr>
          <w:rFonts w:ascii="Arial" w:hAnsi="Arial" w:cs="Arial"/>
          <w:sz w:val="24"/>
          <w:szCs w:val="24"/>
        </w:rPr>
        <w:t>on</w:t>
      </w:r>
      <w:r w:rsidR="00D206F8" w:rsidRPr="00B22788">
        <w:rPr>
          <w:rFonts w:ascii="Arial" w:hAnsi="Arial" w:cs="Arial"/>
          <w:sz w:val="24"/>
          <w:szCs w:val="24"/>
        </w:rPr>
        <w:t xml:space="preserve"> food that was </w:t>
      </w:r>
      <w:r w:rsidR="007F2167">
        <w:rPr>
          <w:rFonts w:ascii="Arial" w:hAnsi="Arial" w:cs="Arial"/>
          <w:sz w:val="24"/>
          <w:szCs w:val="24"/>
        </w:rPr>
        <w:t>bought</w:t>
      </w:r>
      <w:r w:rsidRPr="00B22788">
        <w:rPr>
          <w:rFonts w:ascii="Arial" w:hAnsi="Arial" w:cs="Arial"/>
          <w:sz w:val="24"/>
          <w:szCs w:val="24"/>
        </w:rPr>
        <w:t xml:space="preserve"> but not consumed, </w:t>
      </w:r>
      <w:r w:rsidR="004E300A" w:rsidRPr="00B22788">
        <w:rPr>
          <w:rFonts w:ascii="Arial" w:hAnsi="Arial" w:cs="Arial"/>
          <w:sz w:val="24"/>
          <w:szCs w:val="24"/>
        </w:rPr>
        <w:t xml:space="preserve">cost of living is affected by </w:t>
      </w:r>
      <w:r w:rsidRPr="00B22788">
        <w:rPr>
          <w:rFonts w:ascii="Arial" w:hAnsi="Arial" w:cs="Arial"/>
          <w:sz w:val="24"/>
          <w:szCs w:val="24"/>
        </w:rPr>
        <w:t>food waste</w:t>
      </w:r>
      <w:r w:rsidR="004E300A" w:rsidRPr="00B22788">
        <w:rPr>
          <w:rFonts w:ascii="Arial" w:hAnsi="Arial" w:cs="Arial"/>
          <w:sz w:val="24"/>
          <w:szCs w:val="24"/>
        </w:rPr>
        <w:t xml:space="preserve"> throughout </w:t>
      </w:r>
      <w:r w:rsidRPr="00B22788">
        <w:rPr>
          <w:rFonts w:ascii="Arial" w:hAnsi="Arial" w:cs="Arial"/>
          <w:sz w:val="24"/>
          <w:szCs w:val="24"/>
        </w:rPr>
        <w:t>all stages of the value chain prior to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household </w:t>
      </w:r>
      <w:r w:rsidR="004E300A" w:rsidRPr="00B22788">
        <w:rPr>
          <w:rFonts w:ascii="Arial" w:hAnsi="Arial" w:cs="Arial"/>
          <w:sz w:val="24"/>
          <w:szCs w:val="24"/>
        </w:rPr>
        <w:t>consumption</w:t>
      </w:r>
      <w:r w:rsidRPr="00B22788">
        <w:rPr>
          <w:rFonts w:ascii="Arial" w:hAnsi="Arial" w:cs="Arial"/>
          <w:sz w:val="24"/>
          <w:szCs w:val="24"/>
        </w:rPr>
        <w:t>. In economic terms, the cost of food reflects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="00C45716" w:rsidRPr="00B22788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>total</w:t>
      </w:r>
      <w:r w:rsidR="00C45716" w:rsidRPr="00B22788">
        <w:rPr>
          <w:rFonts w:ascii="Arial" w:hAnsi="Arial" w:cs="Arial"/>
          <w:sz w:val="24"/>
          <w:szCs w:val="24"/>
        </w:rPr>
        <w:t xml:space="preserve"> cost of</w:t>
      </w:r>
      <w:r w:rsidRPr="00B22788">
        <w:rPr>
          <w:rFonts w:ascii="Arial" w:hAnsi="Arial" w:cs="Arial"/>
          <w:sz w:val="24"/>
          <w:szCs w:val="24"/>
        </w:rPr>
        <w:t xml:space="preserve"> production and sales at all stages of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the value chain: growing, production, packaging,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transport</w:t>
      </w:r>
      <w:r w:rsidR="00C45716" w:rsidRPr="00B22788">
        <w:rPr>
          <w:rFonts w:ascii="Arial" w:hAnsi="Arial" w:cs="Arial"/>
          <w:sz w:val="24"/>
          <w:szCs w:val="24"/>
        </w:rPr>
        <w:t>,</w:t>
      </w:r>
      <w:r w:rsidRPr="00B22788">
        <w:rPr>
          <w:rFonts w:ascii="Arial" w:hAnsi="Arial" w:cs="Arial"/>
          <w:sz w:val="24"/>
          <w:szCs w:val="24"/>
        </w:rPr>
        <w:t xml:space="preserve"> and </w:t>
      </w:r>
      <w:r w:rsidR="007F2167">
        <w:rPr>
          <w:rFonts w:ascii="Arial" w:hAnsi="Arial" w:cs="Arial"/>
          <w:sz w:val="24"/>
          <w:szCs w:val="24"/>
        </w:rPr>
        <w:t>sales</w:t>
      </w:r>
      <w:r w:rsidRPr="00B22788">
        <w:rPr>
          <w:rFonts w:ascii="Arial" w:hAnsi="Arial" w:cs="Arial"/>
          <w:sz w:val="24"/>
          <w:szCs w:val="24"/>
        </w:rPr>
        <w:t>. Therefore, the price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of food in supermarkets incorporates the value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of food waste in the retail sector. Similarly, </w:t>
      </w:r>
      <w:r w:rsidR="00C45716" w:rsidRPr="00B22788">
        <w:rPr>
          <w:rFonts w:ascii="Arial" w:hAnsi="Arial" w:cs="Arial"/>
          <w:sz w:val="24"/>
          <w:szCs w:val="24"/>
        </w:rPr>
        <w:t xml:space="preserve">wholesale food </w:t>
      </w:r>
      <w:r w:rsidRPr="00B22788">
        <w:rPr>
          <w:rFonts w:ascii="Arial" w:hAnsi="Arial" w:cs="Arial"/>
          <w:sz w:val="24"/>
          <w:szCs w:val="24"/>
        </w:rPr>
        <w:t>price</w:t>
      </w:r>
      <w:r w:rsidR="00C45716" w:rsidRPr="00B22788">
        <w:rPr>
          <w:rFonts w:ascii="Arial" w:hAnsi="Arial" w:cs="Arial"/>
          <w:sz w:val="24"/>
          <w:szCs w:val="24"/>
        </w:rPr>
        <w:t xml:space="preserve">s </w:t>
      </w:r>
      <w:r w:rsidRPr="00B22788">
        <w:rPr>
          <w:rFonts w:ascii="Arial" w:hAnsi="Arial" w:cs="Arial"/>
          <w:sz w:val="24"/>
          <w:szCs w:val="24"/>
        </w:rPr>
        <w:t>reflect</w:t>
      </w:r>
      <w:r w:rsidR="00C45716" w:rsidRPr="00B22788">
        <w:rPr>
          <w:rFonts w:ascii="Arial" w:hAnsi="Arial" w:cs="Arial"/>
          <w:sz w:val="24"/>
          <w:szCs w:val="24"/>
        </w:rPr>
        <w:t xml:space="preserve"> food waste</w:t>
      </w:r>
      <w:r w:rsidRPr="00B22788">
        <w:rPr>
          <w:rFonts w:ascii="Arial" w:hAnsi="Arial" w:cs="Arial"/>
          <w:sz w:val="24"/>
          <w:szCs w:val="24"/>
        </w:rPr>
        <w:t xml:space="preserve"> in the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agricultural and industrial sectors. Ultimately, the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cost of waste at all stages of the value chain is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passed on to the consumer, </w:t>
      </w:r>
      <w:r w:rsidR="00C45716" w:rsidRPr="00B22788">
        <w:rPr>
          <w:rFonts w:ascii="Arial" w:hAnsi="Arial" w:cs="Arial"/>
          <w:sz w:val="24"/>
          <w:szCs w:val="24"/>
        </w:rPr>
        <w:t>leading to</w:t>
      </w:r>
      <w:r w:rsidRPr="00B22788">
        <w:rPr>
          <w:rFonts w:ascii="Arial" w:hAnsi="Arial" w:cs="Arial"/>
          <w:sz w:val="24"/>
          <w:szCs w:val="24"/>
        </w:rPr>
        <w:t xml:space="preserve"> an additional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annual cost of NIS </w:t>
      </w:r>
      <w:r w:rsidR="001A004D">
        <w:rPr>
          <w:rFonts w:ascii="Arial" w:hAnsi="Arial" w:cs="Arial"/>
          <w:sz w:val="24"/>
          <w:szCs w:val="24"/>
        </w:rPr>
        <w:t>3,0</w:t>
      </w:r>
      <w:r w:rsidRPr="00B22788">
        <w:rPr>
          <w:rFonts w:ascii="Arial" w:hAnsi="Arial" w:cs="Arial"/>
          <w:sz w:val="24"/>
          <w:szCs w:val="24"/>
        </w:rPr>
        <w:t>00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="007F2167">
        <w:rPr>
          <w:rFonts w:ascii="Arial" w:hAnsi="Arial" w:cs="Arial"/>
          <w:sz w:val="24"/>
          <w:szCs w:val="24"/>
        </w:rPr>
        <w:t>due to an</w:t>
      </w:r>
      <w:r w:rsidRPr="00B22788">
        <w:rPr>
          <w:rFonts w:ascii="Arial" w:hAnsi="Arial" w:cs="Arial"/>
          <w:sz w:val="24"/>
          <w:szCs w:val="24"/>
        </w:rPr>
        <w:t xml:space="preserve"> 11%</w:t>
      </w:r>
      <w:r w:rsidR="008B710D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increase in food prices.</w:t>
      </w:r>
    </w:p>
    <w:p w14:paraId="7F934DA0" w14:textId="11BB9DC7" w:rsidR="00553E95" w:rsidRPr="00B22788" w:rsidRDefault="00A77A16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Cost of </w:t>
      </w:r>
      <w:r w:rsidR="00D64714" w:rsidRPr="00B22788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iving – </w:t>
      </w:r>
      <w:r w:rsidR="005A665B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nvironmental impact of </w:t>
      </w:r>
      <w:r w:rsidR="00D64714" w:rsidRPr="00B22788">
        <w:rPr>
          <w:rFonts w:ascii="Arial" w:hAnsi="Arial" w:cs="Arial"/>
          <w:b/>
          <w:bCs/>
          <w:i/>
          <w:iCs/>
          <w:sz w:val="24"/>
          <w:szCs w:val="24"/>
        </w:rPr>
        <w:t>greenhouse gas</w:t>
      </w:r>
      <w:r w:rsidR="00C45716" w:rsidRPr="00B2278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22788">
        <w:rPr>
          <w:rFonts w:ascii="Arial" w:hAnsi="Arial" w:cs="Arial"/>
          <w:b/>
          <w:bCs/>
          <w:i/>
          <w:iCs/>
          <w:sz w:val="24"/>
          <w:szCs w:val="24"/>
        </w:rPr>
        <w:t>and air pollutant emissions: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0016A7">
        <w:rPr>
          <w:rFonts w:ascii="Arial" w:hAnsi="Arial" w:cs="Arial"/>
          <w:sz w:val="24"/>
          <w:szCs w:val="24"/>
        </w:rPr>
        <w:t>T</w:t>
      </w:r>
      <w:r w:rsidRPr="00B22788">
        <w:rPr>
          <w:rFonts w:ascii="Arial" w:hAnsi="Arial" w:cs="Arial"/>
          <w:sz w:val="24"/>
          <w:szCs w:val="24"/>
        </w:rPr>
        <w:t>he environmental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impact </w:t>
      </w:r>
      <w:r w:rsidR="00E41AB1">
        <w:rPr>
          <w:rFonts w:ascii="Arial" w:hAnsi="Arial" w:cs="Arial"/>
          <w:sz w:val="24"/>
          <w:szCs w:val="24"/>
        </w:rPr>
        <w:t>caused by</w:t>
      </w:r>
      <w:r w:rsidRPr="00B22788">
        <w:rPr>
          <w:rFonts w:ascii="Arial" w:hAnsi="Arial" w:cs="Arial"/>
          <w:sz w:val="24"/>
          <w:szCs w:val="24"/>
        </w:rPr>
        <w:t xml:space="preserve"> food waste </w:t>
      </w:r>
      <w:r w:rsidR="00E41AB1">
        <w:rPr>
          <w:rFonts w:ascii="Arial" w:hAnsi="Arial" w:cs="Arial"/>
          <w:sz w:val="24"/>
          <w:szCs w:val="24"/>
        </w:rPr>
        <w:t xml:space="preserve">has an </w:t>
      </w:r>
      <w:r w:rsidRPr="00B22788">
        <w:rPr>
          <w:rFonts w:ascii="Arial" w:hAnsi="Arial" w:cs="Arial"/>
          <w:sz w:val="24"/>
          <w:szCs w:val="24"/>
        </w:rPr>
        <w:t>indirect</w:t>
      </w:r>
      <w:r w:rsidR="00E41AB1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effect</w:t>
      </w:r>
      <w:r w:rsidR="00E41AB1">
        <w:rPr>
          <w:rFonts w:ascii="Arial" w:hAnsi="Arial" w:cs="Arial"/>
          <w:sz w:val="24"/>
          <w:szCs w:val="24"/>
        </w:rPr>
        <w:t xml:space="preserve"> on</w:t>
      </w:r>
      <w:r w:rsidRPr="00B22788">
        <w:rPr>
          <w:rFonts w:ascii="Arial" w:hAnsi="Arial" w:cs="Arial"/>
          <w:sz w:val="24"/>
          <w:szCs w:val="24"/>
        </w:rPr>
        <w:t xml:space="preserve"> the cost of living. </w:t>
      </w:r>
      <w:r w:rsidR="007502C6">
        <w:rPr>
          <w:rFonts w:ascii="Arial" w:hAnsi="Arial" w:cs="Arial"/>
          <w:sz w:val="24"/>
          <w:szCs w:val="24"/>
        </w:rPr>
        <w:t>A</w:t>
      </w:r>
      <w:r w:rsidR="0054000D">
        <w:rPr>
          <w:rFonts w:ascii="Arial" w:hAnsi="Arial" w:cs="Arial"/>
          <w:sz w:val="24"/>
          <w:szCs w:val="24"/>
        </w:rPr>
        <w:t xml:space="preserve">ir </w:t>
      </w:r>
      <w:r w:rsidRPr="00B22788">
        <w:rPr>
          <w:rFonts w:ascii="Arial" w:hAnsi="Arial" w:cs="Arial"/>
          <w:sz w:val="24"/>
          <w:szCs w:val="24"/>
        </w:rPr>
        <w:t>pollutant</w:t>
      </w:r>
      <w:r w:rsidR="007502C6">
        <w:rPr>
          <w:rFonts w:ascii="Arial" w:hAnsi="Arial" w:cs="Arial"/>
          <w:sz w:val="24"/>
          <w:szCs w:val="24"/>
        </w:rPr>
        <w:t xml:space="preserve"> emis</w:t>
      </w:r>
      <w:r w:rsidRPr="00B22788">
        <w:rPr>
          <w:rFonts w:ascii="Arial" w:hAnsi="Arial" w:cs="Arial"/>
          <w:sz w:val="24"/>
          <w:szCs w:val="24"/>
        </w:rPr>
        <w:t>s</w:t>
      </w:r>
      <w:r w:rsidR="007502C6">
        <w:rPr>
          <w:rFonts w:ascii="Arial" w:hAnsi="Arial" w:cs="Arial"/>
          <w:sz w:val="24"/>
          <w:szCs w:val="24"/>
        </w:rPr>
        <w:t>ions</w:t>
      </w:r>
      <w:r w:rsidRPr="00B22788">
        <w:rPr>
          <w:rFonts w:ascii="Arial" w:hAnsi="Arial" w:cs="Arial"/>
          <w:sz w:val="24"/>
          <w:szCs w:val="24"/>
        </w:rPr>
        <w:t xml:space="preserve"> negative</w:t>
      </w:r>
      <w:r w:rsidR="0054000D">
        <w:rPr>
          <w:rFonts w:ascii="Arial" w:hAnsi="Arial" w:cs="Arial"/>
          <w:sz w:val="24"/>
          <w:szCs w:val="24"/>
        </w:rPr>
        <w:t>ly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54000D" w:rsidRPr="00B22788">
        <w:rPr>
          <w:rFonts w:ascii="Arial" w:hAnsi="Arial" w:cs="Arial"/>
          <w:sz w:val="24"/>
          <w:szCs w:val="24"/>
        </w:rPr>
        <w:t>affect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0016A7">
        <w:rPr>
          <w:rFonts w:ascii="Arial" w:hAnsi="Arial" w:cs="Arial"/>
          <w:sz w:val="24"/>
          <w:szCs w:val="24"/>
        </w:rPr>
        <w:t xml:space="preserve">human </w:t>
      </w:r>
      <w:r w:rsidRPr="00B22788">
        <w:rPr>
          <w:rFonts w:ascii="Arial" w:hAnsi="Arial" w:cs="Arial"/>
          <w:sz w:val="24"/>
          <w:szCs w:val="24"/>
        </w:rPr>
        <w:t xml:space="preserve">health and the environment, </w:t>
      </w:r>
      <w:r w:rsidR="007502C6">
        <w:rPr>
          <w:rFonts w:ascii="Arial" w:hAnsi="Arial" w:cs="Arial"/>
          <w:sz w:val="24"/>
          <w:szCs w:val="24"/>
        </w:rPr>
        <w:t>a</w:t>
      </w:r>
      <w:r w:rsidRPr="00B22788">
        <w:rPr>
          <w:rFonts w:ascii="Arial" w:hAnsi="Arial" w:cs="Arial"/>
          <w:sz w:val="24"/>
          <w:szCs w:val="24"/>
        </w:rPr>
        <w:t xml:space="preserve"> cost </w:t>
      </w:r>
      <w:r w:rsidR="0054000D">
        <w:rPr>
          <w:rFonts w:ascii="Arial" w:hAnsi="Arial" w:cs="Arial"/>
          <w:sz w:val="24"/>
          <w:szCs w:val="24"/>
        </w:rPr>
        <w:t>t</w:t>
      </w:r>
      <w:r w:rsidRPr="00B22788">
        <w:rPr>
          <w:rFonts w:ascii="Arial" w:hAnsi="Arial" w:cs="Arial"/>
          <w:sz w:val="24"/>
          <w:szCs w:val="24"/>
        </w:rPr>
        <w:t xml:space="preserve">he economy </w:t>
      </w:r>
      <w:r w:rsidR="0054000D">
        <w:rPr>
          <w:rFonts w:ascii="Arial" w:hAnsi="Arial" w:cs="Arial"/>
          <w:sz w:val="24"/>
          <w:szCs w:val="24"/>
        </w:rPr>
        <w:t xml:space="preserve">bears </w:t>
      </w:r>
      <w:r w:rsidRPr="00B22788">
        <w:rPr>
          <w:rFonts w:ascii="Arial" w:hAnsi="Arial" w:cs="Arial"/>
          <w:sz w:val="24"/>
          <w:szCs w:val="24"/>
        </w:rPr>
        <w:t>as a whole, mainly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="004E6D9F" w:rsidRPr="00B22788">
        <w:rPr>
          <w:rFonts w:ascii="Arial" w:hAnsi="Arial" w:cs="Arial"/>
          <w:sz w:val="24"/>
          <w:szCs w:val="24"/>
        </w:rPr>
        <w:t>in the form of</w:t>
      </w:r>
      <w:r w:rsidRPr="00B22788">
        <w:rPr>
          <w:rFonts w:ascii="Arial" w:hAnsi="Arial" w:cs="Arial"/>
          <w:sz w:val="24"/>
          <w:szCs w:val="24"/>
        </w:rPr>
        <w:t xml:space="preserve"> health expenditure</w:t>
      </w:r>
      <w:r w:rsidR="007502C6">
        <w:rPr>
          <w:rFonts w:ascii="Arial" w:hAnsi="Arial" w:cs="Arial"/>
          <w:sz w:val="24"/>
          <w:szCs w:val="24"/>
        </w:rPr>
        <w:t>s</w:t>
      </w:r>
      <w:r w:rsidRPr="00B22788">
        <w:rPr>
          <w:rFonts w:ascii="Arial" w:hAnsi="Arial" w:cs="Arial"/>
          <w:sz w:val="24"/>
          <w:szCs w:val="24"/>
        </w:rPr>
        <w:t xml:space="preserve">. </w:t>
      </w:r>
      <w:r w:rsidR="000016A7">
        <w:rPr>
          <w:rFonts w:ascii="Arial" w:hAnsi="Arial" w:cs="Arial"/>
          <w:sz w:val="24"/>
          <w:szCs w:val="24"/>
        </w:rPr>
        <w:t>E</w:t>
      </w:r>
      <w:r w:rsidRPr="00B22788">
        <w:rPr>
          <w:rFonts w:ascii="Arial" w:hAnsi="Arial" w:cs="Arial"/>
          <w:sz w:val="24"/>
          <w:szCs w:val="24"/>
        </w:rPr>
        <w:t>xternal costs</w:t>
      </w:r>
      <w:r w:rsidR="00D64714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resulting from these negative environmental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="00E41AB1">
        <w:rPr>
          <w:rFonts w:ascii="Arial" w:hAnsi="Arial" w:cs="Arial"/>
          <w:sz w:val="24"/>
          <w:szCs w:val="24"/>
        </w:rPr>
        <w:t>influences, which</w:t>
      </w:r>
      <w:r w:rsidRPr="00B22788">
        <w:rPr>
          <w:rFonts w:ascii="Arial" w:hAnsi="Arial" w:cs="Arial"/>
          <w:sz w:val="24"/>
          <w:szCs w:val="24"/>
        </w:rPr>
        <w:t xml:space="preserve"> reflect the monetary value of societal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="004E6D9F" w:rsidRPr="00B22788">
        <w:rPr>
          <w:rFonts w:ascii="Arial" w:hAnsi="Arial" w:cs="Arial"/>
          <w:sz w:val="24"/>
          <w:szCs w:val="24"/>
        </w:rPr>
        <w:t>wellbeing lost due to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E41AB1">
        <w:rPr>
          <w:rFonts w:ascii="Arial" w:hAnsi="Arial" w:cs="Arial"/>
          <w:sz w:val="24"/>
          <w:szCs w:val="24"/>
        </w:rPr>
        <w:t>pollutant</w:t>
      </w:r>
      <w:r w:rsidRPr="00B22788">
        <w:rPr>
          <w:rFonts w:ascii="Arial" w:hAnsi="Arial" w:cs="Arial"/>
          <w:sz w:val="24"/>
          <w:szCs w:val="24"/>
        </w:rPr>
        <w:t xml:space="preserve"> emission</w:t>
      </w:r>
      <w:r w:rsidR="002D6445" w:rsidRPr="00B22788">
        <w:rPr>
          <w:rFonts w:ascii="Arial" w:hAnsi="Arial" w:cs="Arial"/>
          <w:sz w:val="24"/>
          <w:szCs w:val="24"/>
        </w:rPr>
        <w:t>,</w:t>
      </w:r>
      <w:r w:rsidR="001607A5" w:rsidRPr="00B22788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="000016A7">
        <w:rPr>
          <w:rFonts w:ascii="Arial" w:hAnsi="Arial" w:cs="Arial"/>
          <w:sz w:val="24"/>
          <w:szCs w:val="24"/>
        </w:rPr>
        <w:t xml:space="preserve">were calculated </w:t>
      </w:r>
      <w:r w:rsidR="002D6445" w:rsidRPr="00B22788">
        <w:rPr>
          <w:rFonts w:ascii="Arial" w:hAnsi="Arial" w:cs="Arial"/>
          <w:sz w:val="24"/>
          <w:szCs w:val="24"/>
        </w:rPr>
        <w:t xml:space="preserve">and </w:t>
      </w:r>
      <w:r w:rsidRPr="00B22788">
        <w:rPr>
          <w:rFonts w:ascii="Arial" w:hAnsi="Arial" w:cs="Arial"/>
          <w:sz w:val="24"/>
          <w:szCs w:val="24"/>
        </w:rPr>
        <w:t>estimate</w:t>
      </w:r>
      <w:r w:rsidR="000016A7">
        <w:rPr>
          <w:rFonts w:ascii="Arial" w:hAnsi="Arial" w:cs="Arial"/>
          <w:sz w:val="24"/>
          <w:szCs w:val="24"/>
        </w:rPr>
        <w:t>d</w:t>
      </w:r>
      <w:r w:rsidR="00E41AB1">
        <w:rPr>
          <w:rFonts w:ascii="Arial" w:hAnsi="Arial" w:cs="Arial"/>
          <w:sz w:val="24"/>
          <w:szCs w:val="24"/>
        </w:rPr>
        <w:t xml:space="preserve"> </w:t>
      </w:r>
      <w:r w:rsidR="000016A7">
        <w:rPr>
          <w:rFonts w:ascii="Arial" w:hAnsi="Arial" w:cs="Arial"/>
          <w:sz w:val="24"/>
          <w:szCs w:val="24"/>
        </w:rPr>
        <w:t>at</w:t>
      </w:r>
      <w:r w:rsidR="00E41AB1">
        <w:rPr>
          <w:rFonts w:ascii="Arial" w:hAnsi="Arial" w:cs="Arial"/>
          <w:sz w:val="24"/>
          <w:szCs w:val="24"/>
        </w:rPr>
        <w:t xml:space="preserve"> </w:t>
      </w:r>
      <w:r w:rsidR="002D6445" w:rsidRPr="00B22788">
        <w:rPr>
          <w:rFonts w:ascii="Arial" w:hAnsi="Arial" w:cs="Arial"/>
          <w:sz w:val="24"/>
          <w:szCs w:val="24"/>
        </w:rPr>
        <w:t xml:space="preserve">around </w:t>
      </w:r>
      <w:r w:rsidRPr="00B22788">
        <w:rPr>
          <w:rFonts w:ascii="Arial" w:hAnsi="Arial" w:cs="Arial"/>
          <w:sz w:val="24"/>
          <w:szCs w:val="24"/>
        </w:rPr>
        <w:t>NIS 1</w:t>
      </w:r>
      <w:r w:rsidR="002D6445" w:rsidRPr="00B22788">
        <w:rPr>
          <w:rFonts w:ascii="Arial" w:hAnsi="Arial" w:cs="Arial"/>
          <w:sz w:val="24"/>
          <w:szCs w:val="24"/>
        </w:rPr>
        <w:t>.3</w:t>
      </w:r>
      <w:r w:rsidR="00C45716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billion for the Israeli economy in 20</w:t>
      </w:r>
      <w:r w:rsidR="002D6445" w:rsidRPr="00B22788">
        <w:rPr>
          <w:rFonts w:ascii="Arial" w:hAnsi="Arial" w:cs="Arial"/>
          <w:sz w:val="24"/>
          <w:szCs w:val="24"/>
        </w:rPr>
        <w:t>2</w:t>
      </w:r>
      <w:r w:rsidR="001A004D">
        <w:rPr>
          <w:rFonts w:ascii="Arial" w:hAnsi="Arial" w:cs="Arial"/>
          <w:sz w:val="24"/>
          <w:szCs w:val="24"/>
        </w:rPr>
        <w:t>1</w:t>
      </w:r>
      <w:r w:rsidRPr="00B22788">
        <w:rPr>
          <w:rFonts w:ascii="Arial" w:hAnsi="Arial" w:cs="Arial"/>
          <w:sz w:val="24"/>
          <w:szCs w:val="24"/>
        </w:rPr>
        <w:t xml:space="preserve">, </w:t>
      </w:r>
      <w:r w:rsidR="002D6445" w:rsidRPr="00B22788">
        <w:rPr>
          <w:rFonts w:ascii="Arial" w:hAnsi="Arial" w:cs="Arial"/>
          <w:sz w:val="24"/>
          <w:szCs w:val="24"/>
        </w:rPr>
        <w:t xml:space="preserve">about </w:t>
      </w:r>
      <w:r w:rsidRPr="00B22788">
        <w:rPr>
          <w:rFonts w:ascii="Arial" w:hAnsi="Arial" w:cs="Arial"/>
          <w:sz w:val="24"/>
          <w:szCs w:val="24"/>
        </w:rPr>
        <w:t xml:space="preserve">NIS </w:t>
      </w:r>
      <w:r w:rsidR="002D6445" w:rsidRPr="00B22788">
        <w:rPr>
          <w:rFonts w:ascii="Arial" w:hAnsi="Arial" w:cs="Arial"/>
          <w:sz w:val="24"/>
          <w:szCs w:val="24"/>
        </w:rPr>
        <w:t>21</w:t>
      </w:r>
      <w:r w:rsidR="001A004D">
        <w:rPr>
          <w:rFonts w:ascii="Arial" w:hAnsi="Arial" w:cs="Arial"/>
          <w:sz w:val="24"/>
          <w:szCs w:val="24"/>
        </w:rPr>
        <w:t>0</w:t>
      </w:r>
      <w:r w:rsidR="00E41AB1">
        <w:rPr>
          <w:rFonts w:ascii="Arial" w:hAnsi="Arial" w:cs="Arial"/>
          <w:sz w:val="24"/>
          <w:szCs w:val="24"/>
        </w:rPr>
        <w:t xml:space="preserve"> per household</w:t>
      </w:r>
      <w:r w:rsidR="001A004D">
        <w:rPr>
          <w:rFonts w:ascii="Arial" w:hAnsi="Arial" w:cs="Arial"/>
          <w:sz w:val="24"/>
          <w:szCs w:val="24"/>
        </w:rPr>
        <w:t xml:space="preserve"> [see chapter 9]</w:t>
      </w:r>
      <w:r w:rsidRPr="00B22788">
        <w:rPr>
          <w:rFonts w:ascii="Arial" w:hAnsi="Arial" w:cs="Arial"/>
          <w:sz w:val="24"/>
          <w:szCs w:val="24"/>
        </w:rPr>
        <w:t xml:space="preserve">. </w:t>
      </w:r>
    </w:p>
    <w:p w14:paraId="4487AB0D" w14:textId="2D51E4FE" w:rsidR="009460C7" w:rsidRPr="00B22788" w:rsidRDefault="00A77A16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D00C6">
        <w:rPr>
          <w:rFonts w:ascii="Arial" w:hAnsi="Arial" w:cs="Arial"/>
          <w:sz w:val="24"/>
          <w:szCs w:val="24"/>
        </w:rPr>
        <w:t>Beyond</w:t>
      </w:r>
      <w:r w:rsidRPr="00B22788">
        <w:rPr>
          <w:rFonts w:ascii="Arial" w:hAnsi="Arial" w:cs="Arial"/>
          <w:sz w:val="24"/>
          <w:szCs w:val="24"/>
        </w:rPr>
        <w:t xml:space="preserve"> the direct impact on </w:t>
      </w:r>
      <w:r w:rsidR="0077606B" w:rsidRPr="00B22788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>cost of living</w:t>
      </w:r>
      <w:r w:rsidR="0077606B" w:rsidRPr="00B22788">
        <w:rPr>
          <w:rFonts w:ascii="Arial" w:hAnsi="Arial" w:cs="Arial"/>
          <w:sz w:val="24"/>
          <w:szCs w:val="24"/>
        </w:rPr>
        <w:t>,</w:t>
      </w:r>
      <w:r w:rsidRPr="00B22788">
        <w:rPr>
          <w:rFonts w:ascii="Arial" w:hAnsi="Arial" w:cs="Arial"/>
          <w:sz w:val="24"/>
          <w:szCs w:val="24"/>
        </w:rPr>
        <w:t xml:space="preserve"> other external costs are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incurred </w:t>
      </w:r>
      <w:r w:rsidR="009460C7" w:rsidRPr="00B22788">
        <w:rPr>
          <w:rFonts w:ascii="Arial" w:hAnsi="Arial" w:cs="Arial"/>
          <w:sz w:val="24"/>
          <w:szCs w:val="24"/>
        </w:rPr>
        <w:t>due to food waste</w:t>
      </w:r>
      <w:r w:rsidR="005A665B">
        <w:rPr>
          <w:rFonts w:ascii="Arial" w:hAnsi="Arial" w:cs="Arial"/>
          <w:sz w:val="24"/>
          <w:szCs w:val="24"/>
        </w:rPr>
        <w:t>, its</w:t>
      </w:r>
      <w:r w:rsidR="009460C7" w:rsidRPr="00B22788">
        <w:rPr>
          <w:rFonts w:ascii="Arial" w:hAnsi="Arial" w:cs="Arial"/>
          <w:sz w:val="24"/>
          <w:szCs w:val="24"/>
        </w:rPr>
        <w:t xml:space="preserve"> </w:t>
      </w:r>
      <w:r w:rsidR="005A665B">
        <w:rPr>
          <w:rFonts w:ascii="Arial" w:hAnsi="Arial" w:cs="Arial"/>
          <w:sz w:val="24"/>
          <w:szCs w:val="24"/>
        </w:rPr>
        <w:t>transport</w:t>
      </w:r>
      <w:r w:rsidR="005D47AA">
        <w:rPr>
          <w:rFonts w:ascii="Arial" w:hAnsi="Arial" w:cs="Arial"/>
          <w:sz w:val="24"/>
          <w:szCs w:val="24"/>
        </w:rPr>
        <w:t>,</w:t>
      </w:r>
      <w:r w:rsidR="005A665B">
        <w:rPr>
          <w:rFonts w:ascii="Arial" w:hAnsi="Arial" w:cs="Arial"/>
          <w:sz w:val="24"/>
          <w:szCs w:val="24"/>
        </w:rPr>
        <w:t xml:space="preserve"> and landfill disposal,</w:t>
      </w:r>
      <w:r w:rsidR="005D47AA">
        <w:rPr>
          <w:rFonts w:ascii="Arial" w:hAnsi="Arial" w:cs="Arial"/>
          <w:sz w:val="24"/>
          <w:szCs w:val="24"/>
        </w:rPr>
        <w:t xml:space="preserve"> stemming </w:t>
      </w:r>
      <w:r w:rsidR="009460C7" w:rsidRPr="00B22788">
        <w:rPr>
          <w:rFonts w:ascii="Arial" w:hAnsi="Arial" w:cs="Arial"/>
          <w:sz w:val="24"/>
          <w:szCs w:val="24"/>
        </w:rPr>
        <w:t xml:space="preserve">from the </w:t>
      </w:r>
      <w:r w:rsidR="005D47AA">
        <w:rPr>
          <w:rFonts w:ascii="Arial" w:hAnsi="Arial" w:cs="Arial"/>
          <w:sz w:val="24"/>
          <w:szCs w:val="24"/>
        </w:rPr>
        <w:t>indirect</w:t>
      </w:r>
      <w:r w:rsidR="009460C7" w:rsidRPr="00B22788">
        <w:rPr>
          <w:rFonts w:ascii="Arial" w:hAnsi="Arial" w:cs="Arial"/>
          <w:sz w:val="24"/>
          <w:szCs w:val="24"/>
        </w:rPr>
        <w:t xml:space="preserve"> impact of </w:t>
      </w:r>
      <w:r w:rsidR="005D47AA">
        <w:rPr>
          <w:rFonts w:ascii="Arial" w:hAnsi="Arial" w:cs="Arial"/>
          <w:sz w:val="24"/>
          <w:szCs w:val="24"/>
        </w:rPr>
        <w:t xml:space="preserve">waste </w:t>
      </w:r>
      <w:r w:rsidRPr="00B22788">
        <w:rPr>
          <w:rFonts w:ascii="Arial" w:hAnsi="Arial" w:cs="Arial"/>
          <w:sz w:val="24"/>
          <w:szCs w:val="24"/>
        </w:rPr>
        <w:t>transport</w:t>
      </w:r>
      <w:r w:rsidR="005D47AA">
        <w:rPr>
          <w:rFonts w:ascii="Arial" w:hAnsi="Arial" w:cs="Arial"/>
          <w:sz w:val="24"/>
          <w:szCs w:val="24"/>
        </w:rPr>
        <w:t>ation</w:t>
      </w:r>
      <w:r w:rsidRPr="00B22788">
        <w:rPr>
          <w:rFonts w:ascii="Arial" w:hAnsi="Arial" w:cs="Arial"/>
          <w:sz w:val="24"/>
          <w:szCs w:val="24"/>
        </w:rPr>
        <w:t>,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fuel combustion, </w:t>
      </w:r>
      <w:r w:rsidR="005D47AA">
        <w:rPr>
          <w:rFonts w:ascii="Arial" w:hAnsi="Arial" w:cs="Arial"/>
          <w:sz w:val="24"/>
          <w:szCs w:val="24"/>
        </w:rPr>
        <w:t xml:space="preserve">and the </w:t>
      </w:r>
      <w:r w:rsidRPr="00B22788">
        <w:rPr>
          <w:rFonts w:ascii="Arial" w:hAnsi="Arial" w:cs="Arial"/>
          <w:sz w:val="24"/>
          <w:szCs w:val="24"/>
        </w:rPr>
        <w:t>environmental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damage caused by </w:t>
      </w:r>
      <w:r w:rsidR="009460C7" w:rsidRPr="00B22788">
        <w:rPr>
          <w:rFonts w:ascii="Arial" w:hAnsi="Arial" w:cs="Arial"/>
          <w:sz w:val="24"/>
          <w:szCs w:val="24"/>
        </w:rPr>
        <w:t xml:space="preserve">greenhouse gas emissions measured in this report. </w:t>
      </w:r>
      <w:r w:rsidR="00EE64B0">
        <w:rPr>
          <w:rFonts w:ascii="Arial" w:hAnsi="Arial" w:cs="Arial"/>
          <w:sz w:val="24"/>
          <w:szCs w:val="24"/>
        </w:rPr>
        <w:t>Likewise,</w:t>
      </w:r>
      <w:r w:rsidR="009460C7" w:rsidRPr="00B22788">
        <w:rPr>
          <w:rFonts w:ascii="Arial" w:hAnsi="Arial" w:cs="Arial"/>
          <w:sz w:val="24"/>
          <w:szCs w:val="24"/>
        </w:rPr>
        <w:t xml:space="preserve"> there are other </w:t>
      </w:r>
      <w:r w:rsidR="009D17D0">
        <w:rPr>
          <w:rFonts w:ascii="Arial" w:hAnsi="Arial" w:cs="Arial"/>
          <w:sz w:val="24"/>
          <w:szCs w:val="24"/>
        </w:rPr>
        <w:t>effects</w:t>
      </w:r>
      <w:r w:rsidR="00EE64B0">
        <w:rPr>
          <w:rFonts w:ascii="Arial" w:hAnsi="Arial" w:cs="Arial"/>
          <w:sz w:val="24"/>
          <w:szCs w:val="24"/>
        </w:rPr>
        <w:t xml:space="preserve">, </w:t>
      </w:r>
      <w:r w:rsidR="009460C7" w:rsidRPr="00B22788">
        <w:rPr>
          <w:rFonts w:ascii="Arial" w:hAnsi="Arial" w:cs="Arial"/>
          <w:sz w:val="24"/>
          <w:szCs w:val="24"/>
        </w:rPr>
        <w:t>such as road congestion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lastRenderedPageBreak/>
        <w:t>and soil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contamination</w:t>
      </w:r>
      <w:r w:rsidR="00EE64B0">
        <w:rPr>
          <w:rFonts w:ascii="Arial" w:hAnsi="Arial" w:cs="Arial"/>
          <w:sz w:val="24"/>
          <w:szCs w:val="24"/>
        </w:rPr>
        <w:t>, which</w:t>
      </w:r>
      <w:r w:rsidR="009460C7" w:rsidRPr="00B22788">
        <w:rPr>
          <w:rFonts w:ascii="Arial" w:hAnsi="Arial" w:cs="Arial"/>
          <w:sz w:val="24"/>
          <w:szCs w:val="24"/>
        </w:rPr>
        <w:t xml:space="preserve"> are not included in </w:t>
      </w:r>
      <w:r w:rsidR="00EE64B0">
        <w:rPr>
          <w:rFonts w:ascii="Arial" w:hAnsi="Arial" w:cs="Arial"/>
          <w:sz w:val="24"/>
          <w:szCs w:val="24"/>
        </w:rPr>
        <w:t xml:space="preserve">the </w:t>
      </w:r>
      <w:r w:rsidR="009460C7" w:rsidRPr="00B22788">
        <w:rPr>
          <w:rFonts w:ascii="Arial" w:hAnsi="Arial" w:cs="Arial"/>
          <w:sz w:val="24"/>
          <w:szCs w:val="24"/>
        </w:rPr>
        <w:t>estimate</w:t>
      </w:r>
      <w:r w:rsidR="00730082">
        <w:rPr>
          <w:rFonts w:ascii="Arial" w:hAnsi="Arial" w:cs="Arial"/>
          <w:sz w:val="24"/>
          <w:szCs w:val="24"/>
        </w:rPr>
        <w:t>d</w:t>
      </w:r>
      <w:r w:rsidR="009460C7" w:rsidRPr="00B22788">
        <w:rPr>
          <w:rFonts w:ascii="Arial" w:hAnsi="Arial" w:cs="Arial"/>
          <w:sz w:val="24"/>
          <w:szCs w:val="24"/>
        </w:rPr>
        <w:t xml:space="preserve"> environmental cost presented in this report</w:t>
      </w:r>
      <w:r w:rsidR="001A004D">
        <w:rPr>
          <w:rFonts w:ascii="Arial" w:hAnsi="Arial" w:cs="Arial"/>
          <w:sz w:val="24"/>
          <w:szCs w:val="24"/>
        </w:rPr>
        <w:t xml:space="preserve"> [see chapter 9]</w:t>
      </w:r>
      <w:r w:rsidR="009460C7" w:rsidRPr="00B22788">
        <w:rPr>
          <w:rFonts w:ascii="Arial" w:hAnsi="Arial" w:cs="Arial"/>
          <w:sz w:val="24"/>
          <w:szCs w:val="24"/>
        </w:rPr>
        <w:t>.</w:t>
      </w:r>
    </w:p>
    <w:p w14:paraId="0205E16D" w14:textId="6678C576" w:rsidR="00A77A16" w:rsidRPr="00B22788" w:rsidRDefault="00A77A16" w:rsidP="00EE365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617FE">
        <w:rPr>
          <w:rFonts w:ascii="Arial" w:hAnsi="Arial" w:cs="Arial"/>
          <w:sz w:val="24"/>
          <w:szCs w:val="24"/>
        </w:rPr>
        <w:t>When</w:t>
      </w:r>
      <w:r w:rsidRPr="00B22788">
        <w:rPr>
          <w:rFonts w:ascii="Arial" w:hAnsi="Arial" w:cs="Arial"/>
          <w:sz w:val="24"/>
          <w:szCs w:val="24"/>
        </w:rPr>
        <w:t xml:space="preserve"> organic waste is buried in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="00EE64B0">
        <w:rPr>
          <w:rFonts w:ascii="Arial" w:hAnsi="Arial" w:cs="Arial"/>
          <w:sz w:val="24"/>
          <w:szCs w:val="24"/>
        </w:rPr>
        <w:t>landfills</w:t>
      </w:r>
      <w:r w:rsidR="005A665B">
        <w:rPr>
          <w:rFonts w:ascii="Arial" w:hAnsi="Arial" w:cs="Arial"/>
          <w:sz w:val="24"/>
          <w:szCs w:val="24"/>
        </w:rPr>
        <w:t>,</w:t>
      </w:r>
      <w:r w:rsidRPr="00B22788">
        <w:rPr>
          <w:rFonts w:ascii="Arial" w:hAnsi="Arial" w:cs="Arial"/>
          <w:sz w:val="24"/>
          <w:szCs w:val="24"/>
        </w:rPr>
        <w:t xml:space="preserve"> it decomposes and emits methane, </w:t>
      </w:r>
      <w:r w:rsidR="00EE64B0">
        <w:rPr>
          <w:rFonts w:ascii="Arial" w:hAnsi="Arial" w:cs="Arial"/>
          <w:sz w:val="24"/>
          <w:szCs w:val="24"/>
        </w:rPr>
        <w:t xml:space="preserve">which is </w:t>
      </w:r>
      <w:r w:rsidR="00EA3C69" w:rsidRPr="00B22788">
        <w:rPr>
          <w:rFonts w:ascii="Arial" w:hAnsi="Arial" w:cs="Arial"/>
          <w:sz w:val="24"/>
          <w:szCs w:val="24"/>
        </w:rPr>
        <w:t xml:space="preserve">a greenhouse gas with a global warming potential </w:t>
      </w:r>
      <w:r w:rsidRPr="00B22788">
        <w:rPr>
          <w:rFonts w:ascii="Arial" w:hAnsi="Arial" w:cs="Arial"/>
          <w:sz w:val="24"/>
          <w:szCs w:val="24"/>
        </w:rPr>
        <w:t>(GWP) 84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times greater in the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short term (20 years) and 28 times </w:t>
      </w:r>
      <w:r w:rsidR="00EA3C69" w:rsidRPr="00B22788">
        <w:rPr>
          <w:rFonts w:ascii="Arial" w:hAnsi="Arial" w:cs="Arial"/>
          <w:sz w:val="24"/>
          <w:szCs w:val="24"/>
        </w:rPr>
        <w:t xml:space="preserve">greater </w:t>
      </w:r>
      <w:r w:rsidRPr="00B22788">
        <w:rPr>
          <w:rFonts w:ascii="Arial" w:hAnsi="Arial" w:cs="Arial"/>
          <w:sz w:val="24"/>
          <w:szCs w:val="24"/>
        </w:rPr>
        <w:t>in the long</w:t>
      </w:r>
      <w:r w:rsidR="002D6445" w:rsidRPr="00B22788">
        <w:rPr>
          <w:rFonts w:ascii="Arial" w:hAnsi="Arial" w:cs="Arial"/>
          <w:sz w:val="24"/>
          <w:szCs w:val="24"/>
        </w:rPr>
        <w:t xml:space="preserve"> </w:t>
      </w:r>
      <w:r w:rsidR="00EA3C69" w:rsidRPr="00B22788">
        <w:rPr>
          <w:rFonts w:ascii="Arial" w:hAnsi="Arial" w:cs="Arial"/>
          <w:sz w:val="24"/>
          <w:szCs w:val="24"/>
        </w:rPr>
        <w:t>term (100 years</w:t>
      </w:r>
      <w:r w:rsidRPr="00B22788">
        <w:rPr>
          <w:rFonts w:ascii="Arial" w:hAnsi="Arial" w:cs="Arial"/>
          <w:sz w:val="24"/>
          <w:szCs w:val="24"/>
        </w:rPr>
        <w:t>)</w:t>
      </w:r>
      <w:r w:rsidR="00D617FE" w:rsidRPr="00D617FE">
        <w:rPr>
          <w:rFonts w:ascii="Arial" w:hAnsi="Arial" w:cs="Arial"/>
          <w:sz w:val="24"/>
          <w:szCs w:val="24"/>
        </w:rPr>
        <w:t xml:space="preserve"> </w:t>
      </w:r>
      <w:r w:rsidR="00D617FE" w:rsidRPr="00B22788">
        <w:rPr>
          <w:rFonts w:ascii="Arial" w:hAnsi="Arial" w:cs="Arial"/>
          <w:sz w:val="24"/>
          <w:szCs w:val="24"/>
        </w:rPr>
        <w:t>than that of carbon dioxide</w:t>
      </w:r>
      <w:r w:rsidRPr="00B22788">
        <w:rPr>
          <w:rFonts w:ascii="Arial" w:hAnsi="Arial" w:cs="Arial"/>
          <w:sz w:val="24"/>
          <w:szCs w:val="24"/>
        </w:rPr>
        <w:t>.</w:t>
      </w:r>
      <w:r w:rsidR="00A44DB5" w:rsidRPr="00B22788">
        <w:rPr>
          <w:rStyle w:val="FootnoteReference"/>
          <w:rFonts w:ascii="Arial" w:hAnsi="Arial" w:cs="Arial"/>
          <w:sz w:val="24"/>
          <w:szCs w:val="24"/>
        </w:rPr>
        <w:footnoteReference w:id="8"/>
      </w:r>
    </w:p>
    <w:p w14:paraId="1A9A5797" w14:textId="4448AB76" w:rsidR="00A77A16" w:rsidRPr="00B22788" w:rsidRDefault="00A77A16" w:rsidP="009363C0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22788">
        <w:rPr>
          <w:rFonts w:ascii="Arial" w:hAnsi="Arial" w:cs="Arial"/>
          <w:sz w:val="24"/>
          <w:szCs w:val="24"/>
        </w:rPr>
        <w:t>According to findings of the 20</w:t>
      </w:r>
      <w:r w:rsidR="001A5D7C" w:rsidRPr="00B22788">
        <w:rPr>
          <w:rFonts w:ascii="Arial" w:hAnsi="Arial" w:cs="Arial"/>
          <w:sz w:val="24"/>
          <w:szCs w:val="24"/>
        </w:rPr>
        <w:t>2</w:t>
      </w:r>
      <w:r w:rsidR="001A004D">
        <w:rPr>
          <w:rFonts w:ascii="Arial" w:hAnsi="Arial" w:cs="Arial"/>
          <w:sz w:val="24"/>
          <w:szCs w:val="24"/>
        </w:rPr>
        <w:t>1</w:t>
      </w:r>
      <w:r w:rsidRPr="00B22788">
        <w:rPr>
          <w:rFonts w:ascii="Arial" w:hAnsi="Arial" w:cs="Arial"/>
          <w:sz w:val="24"/>
          <w:szCs w:val="24"/>
        </w:rPr>
        <w:t xml:space="preserve"> National Food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="001A5D7C" w:rsidRPr="00B22788">
        <w:rPr>
          <w:rFonts w:ascii="Arial" w:hAnsi="Arial" w:cs="Arial"/>
          <w:sz w:val="24"/>
          <w:szCs w:val="24"/>
        </w:rPr>
        <w:t xml:space="preserve">Waste </w:t>
      </w:r>
      <w:r w:rsidRPr="00B22788">
        <w:rPr>
          <w:rFonts w:ascii="Arial" w:hAnsi="Arial" w:cs="Arial"/>
          <w:sz w:val="24"/>
          <w:szCs w:val="24"/>
        </w:rPr>
        <w:t xml:space="preserve">Report, </w:t>
      </w:r>
      <w:r w:rsidR="001A5D7C" w:rsidRPr="00B22788">
        <w:rPr>
          <w:rFonts w:ascii="Arial" w:hAnsi="Arial" w:cs="Arial"/>
          <w:sz w:val="24"/>
          <w:szCs w:val="24"/>
        </w:rPr>
        <w:t>9</w:t>
      </w:r>
      <w:r w:rsidR="001A004D">
        <w:rPr>
          <w:rFonts w:ascii="Arial" w:hAnsi="Arial" w:cs="Arial"/>
          <w:sz w:val="24"/>
          <w:szCs w:val="24"/>
        </w:rPr>
        <w:t>55</w:t>
      </w:r>
      <w:r w:rsidR="001A5D7C" w:rsidRPr="00B22788">
        <w:rPr>
          <w:rFonts w:ascii="Arial" w:hAnsi="Arial" w:cs="Arial"/>
          <w:sz w:val="24"/>
          <w:szCs w:val="24"/>
        </w:rPr>
        <w:t xml:space="preserve"> thousand</w:t>
      </w:r>
      <w:r w:rsidRPr="00B22788">
        <w:rPr>
          <w:rFonts w:ascii="Arial" w:hAnsi="Arial" w:cs="Arial"/>
          <w:sz w:val="24"/>
          <w:szCs w:val="24"/>
        </w:rPr>
        <w:t xml:space="preserve"> tons of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household food waste </w:t>
      </w:r>
      <w:r w:rsidR="00E868E7">
        <w:rPr>
          <w:rFonts w:ascii="Arial" w:hAnsi="Arial" w:cs="Arial"/>
          <w:sz w:val="24"/>
          <w:szCs w:val="24"/>
        </w:rPr>
        <w:t>were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E868E7">
        <w:rPr>
          <w:rFonts w:ascii="Arial" w:hAnsi="Arial" w:cs="Arial"/>
          <w:sz w:val="24"/>
          <w:szCs w:val="24"/>
        </w:rPr>
        <w:t>transported to</w:t>
      </w:r>
      <w:r w:rsidRPr="00B22788">
        <w:rPr>
          <w:rFonts w:ascii="Arial" w:hAnsi="Arial" w:cs="Arial"/>
          <w:sz w:val="24"/>
          <w:szCs w:val="24"/>
        </w:rPr>
        <w:t xml:space="preserve"> landfills, </w:t>
      </w:r>
      <w:r w:rsidR="00E868E7">
        <w:rPr>
          <w:rFonts w:ascii="Arial" w:hAnsi="Arial" w:cs="Arial"/>
          <w:sz w:val="24"/>
          <w:szCs w:val="24"/>
        </w:rPr>
        <w:t>requiring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E868E7">
        <w:rPr>
          <w:rFonts w:ascii="Arial" w:hAnsi="Arial" w:cs="Arial"/>
          <w:sz w:val="24"/>
          <w:szCs w:val="24"/>
        </w:rPr>
        <w:t>sanitation trucks to make about another</w:t>
      </w:r>
      <w:r w:rsidR="00F23DED" w:rsidRPr="00B22788">
        <w:rPr>
          <w:rFonts w:ascii="Arial" w:hAnsi="Arial" w:cs="Arial"/>
          <w:sz w:val="24"/>
          <w:szCs w:val="24"/>
        </w:rPr>
        <w:t xml:space="preserve"> 3</w:t>
      </w:r>
      <w:r w:rsidR="001A004D">
        <w:rPr>
          <w:rFonts w:ascii="Arial" w:hAnsi="Arial" w:cs="Arial"/>
          <w:sz w:val="24"/>
          <w:szCs w:val="24"/>
        </w:rPr>
        <w:t>00</w:t>
      </w:r>
      <w:r w:rsidR="00F23DED" w:rsidRPr="00B22788">
        <w:rPr>
          <w:rFonts w:ascii="Arial" w:hAnsi="Arial" w:cs="Arial"/>
          <w:sz w:val="24"/>
          <w:szCs w:val="24"/>
        </w:rPr>
        <w:t xml:space="preserve"> thousand</w:t>
      </w:r>
      <w:r w:rsidR="001A5D7C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trips</w:t>
      </w:r>
      <w:r w:rsidR="00E868E7">
        <w:rPr>
          <w:rFonts w:ascii="Arial" w:hAnsi="Arial" w:cs="Arial"/>
          <w:sz w:val="24"/>
          <w:szCs w:val="24"/>
        </w:rPr>
        <w:t xml:space="preserve"> throughout the year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F23DED" w:rsidRPr="00B22788">
        <w:rPr>
          <w:rFonts w:ascii="Arial" w:hAnsi="Arial" w:cs="Arial"/>
          <w:sz w:val="24"/>
          <w:szCs w:val="24"/>
        </w:rPr>
        <w:t>and</w:t>
      </w:r>
      <w:r w:rsidRPr="00B22788">
        <w:rPr>
          <w:rFonts w:ascii="Arial" w:hAnsi="Arial" w:cs="Arial"/>
          <w:sz w:val="24"/>
          <w:szCs w:val="24"/>
        </w:rPr>
        <w:t xml:space="preserve"> thereby increasing air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pollution, road congestion, noise</w:t>
      </w:r>
      <w:r w:rsidR="00F23DED" w:rsidRPr="00B22788">
        <w:rPr>
          <w:rFonts w:ascii="Arial" w:hAnsi="Arial" w:cs="Arial"/>
          <w:sz w:val="24"/>
          <w:szCs w:val="24"/>
        </w:rPr>
        <w:t>,</w:t>
      </w:r>
      <w:r w:rsidRPr="00B22788">
        <w:rPr>
          <w:rFonts w:ascii="Arial" w:hAnsi="Arial" w:cs="Arial"/>
          <w:sz w:val="24"/>
          <w:szCs w:val="24"/>
        </w:rPr>
        <w:t xml:space="preserve"> and the risk of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accidents. Therefore, beyond the NIS </w:t>
      </w:r>
      <w:r w:rsidR="001A004D">
        <w:rPr>
          <w:rFonts w:ascii="Arial" w:hAnsi="Arial" w:cs="Arial"/>
          <w:sz w:val="24"/>
          <w:szCs w:val="24"/>
        </w:rPr>
        <w:t>8.8</w:t>
      </w:r>
      <w:r w:rsidRPr="00B22788">
        <w:rPr>
          <w:rFonts w:ascii="Arial" w:hAnsi="Arial" w:cs="Arial"/>
          <w:sz w:val="24"/>
          <w:szCs w:val="24"/>
        </w:rPr>
        <w:t xml:space="preserve"> billion </w:t>
      </w:r>
      <w:r w:rsidR="00F23DED" w:rsidRPr="00B22788">
        <w:rPr>
          <w:rFonts w:ascii="Arial" w:hAnsi="Arial" w:cs="Arial"/>
          <w:sz w:val="24"/>
          <w:szCs w:val="24"/>
        </w:rPr>
        <w:t>in</w:t>
      </w:r>
      <w:r w:rsidRPr="00B22788">
        <w:rPr>
          <w:rFonts w:ascii="Arial" w:hAnsi="Arial" w:cs="Arial"/>
          <w:sz w:val="24"/>
          <w:szCs w:val="24"/>
        </w:rPr>
        <w:t xml:space="preserve"> household food waste and </w:t>
      </w:r>
      <w:r w:rsidR="00F23DED" w:rsidRPr="00B22788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>NIS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0.</w:t>
      </w:r>
      <w:r w:rsidR="00F23DED" w:rsidRPr="00B22788">
        <w:rPr>
          <w:rFonts w:ascii="Arial" w:hAnsi="Arial" w:cs="Arial"/>
          <w:sz w:val="24"/>
          <w:szCs w:val="24"/>
        </w:rPr>
        <w:t>6</w:t>
      </w:r>
      <w:r w:rsidRPr="00B22788">
        <w:rPr>
          <w:rFonts w:ascii="Arial" w:hAnsi="Arial" w:cs="Arial"/>
          <w:sz w:val="24"/>
          <w:szCs w:val="24"/>
        </w:rPr>
        <w:t xml:space="preserve"> billion </w:t>
      </w:r>
      <w:r w:rsidR="00E868E7">
        <w:rPr>
          <w:rFonts w:ascii="Arial" w:hAnsi="Arial" w:cs="Arial"/>
          <w:sz w:val="24"/>
          <w:szCs w:val="24"/>
        </w:rPr>
        <w:t xml:space="preserve">it cost to </w:t>
      </w:r>
      <w:r w:rsidR="00F23DED" w:rsidRPr="00B22788">
        <w:rPr>
          <w:rFonts w:ascii="Arial" w:hAnsi="Arial" w:cs="Arial"/>
          <w:sz w:val="24"/>
          <w:szCs w:val="24"/>
        </w:rPr>
        <w:t>dispos</w:t>
      </w:r>
      <w:r w:rsidR="00E868E7">
        <w:rPr>
          <w:rFonts w:ascii="Arial" w:hAnsi="Arial" w:cs="Arial"/>
          <w:sz w:val="24"/>
          <w:szCs w:val="24"/>
        </w:rPr>
        <w:t>e</w:t>
      </w:r>
      <w:r w:rsidR="00F23DED" w:rsidRPr="00B22788">
        <w:rPr>
          <w:rFonts w:ascii="Arial" w:hAnsi="Arial" w:cs="Arial"/>
          <w:sz w:val="24"/>
          <w:szCs w:val="24"/>
        </w:rPr>
        <w:t xml:space="preserve"> of it</w:t>
      </w:r>
      <w:r w:rsidRPr="00B22788">
        <w:rPr>
          <w:rFonts w:ascii="Arial" w:hAnsi="Arial" w:cs="Arial"/>
          <w:sz w:val="24"/>
          <w:szCs w:val="24"/>
        </w:rPr>
        <w:t xml:space="preserve">, </w:t>
      </w:r>
      <w:r w:rsidR="00E868E7">
        <w:rPr>
          <w:rFonts w:ascii="Arial" w:hAnsi="Arial" w:cs="Arial"/>
          <w:sz w:val="24"/>
          <w:szCs w:val="24"/>
        </w:rPr>
        <w:t>the economy incurred additiona</w:t>
      </w:r>
      <w:r w:rsidRPr="00B22788">
        <w:rPr>
          <w:rFonts w:ascii="Arial" w:hAnsi="Arial" w:cs="Arial"/>
          <w:sz w:val="24"/>
          <w:szCs w:val="24"/>
        </w:rPr>
        <w:t xml:space="preserve">l </w:t>
      </w:r>
      <w:r w:rsidR="00E868E7">
        <w:rPr>
          <w:rFonts w:ascii="Arial" w:hAnsi="Arial" w:cs="Arial"/>
          <w:sz w:val="24"/>
          <w:szCs w:val="24"/>
        </w:rPr>
        <w:t xml:space="preserve">external </w:t>
      </w:r>
      <w:r w:rsidRPr="00B22788">
        <w:rPr>
          <w:rFonts w:ascii="Arial" w:hAnsi="Arial" w:cs="Arial"/>
          <w:sz w:val="24"/>
          <w:szCs w:val="24"/>
        </w:rPr>
        <w:t>costs due to the effects of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 xml:space="preserve">traffic congestion and </w:t>
      </w:r>
      <w:r w:rsidR="00F23DED" w:rsidRPr="00B22788">
        <w:rPr>
          <w:rFonts w:ascii="Arial" w:hAnsi="Arial" w:cs="Arial"/>
          <w:sz w:val="24"/>
          <w:szCs w:val="24"/>
        </w:rPr>
        <w:t xml:space="preserve">the </w:t>
      </w:r>
      <w:r w:rsidRPr="00B22788">
        <w:rPr>
          <w:rFonts w:ascii="Arial" w:hAnsi="Arial" w:cs="Arial"/>
          <w:sz w:val="24"/>
          <w:szCs w:val="24"/>
        </w:rPr>
        <w:t xml:space="preserve">resulting </w:t>
      </w:r>
      <w:r w:rsidR="00F23DED" w:rsidRPr="00B22788">
        <w:rPr>
          <w:rFonts w:ascii="Arial" w:hAnsi="Arial" w:cs="Arial"/>
          <w:sz w:val="24"/>
          <w:szCs w:val="24"/>
        </w:rPr>
        <w:t>impact</w:t>
      </w:r>
      <w:r w:rsidRPr="00B22788">
        <w:rPr>
          <w:rFonts w:ascii="Arial" w:hAnsi="Arial" w:cs="Arial"/>
          <w:sz w:val="24"/>
          <w:szCs w:val="24"/>
        </w:rPr>
        <w:t xml:space="preserve"> </w:t>
      </w:r>
      <w:r w:rsidR="00F23DED" w:rsidRPr="00B22788">
        <w:rPr>
          <w:rFonts w:ascii="Arial" w:hAnsi="Arial" w:cs="Arial"/>
          <w:sz w:val="24"/>
          <w:szCs w:val="24"/>
        </w:rPr>
        <w:t xml:space="preserve">on </w:t>
      </w:r>
      <w:r w:rsidRPr="00B22788">
        <w:rPr>
          <w:rFonts w:ascii="Arial" w:hAnsi="Arial" w:cs="Arial"/>
          <w:sz w:val="24"/>
          <w:szCs w:val="24"/>
        </w:rPr>
        <w:t>the</w:t>
      </w:r>
      <w:r w:rsidR="009F1368" w:rsidRPr="00B22788">
        <w:rPr>
          <w:rFonts w:ascii="Arial" w:hAnsi="Arial" w:cs="Arial"/>
          <w:sz w:val="24"/>
          <w:szCs w:val="24"/>
        </w:rPr>
        <w:t xml:space="preserve"> </w:t>
      </w:r>
      <w:r w:rsidRPr="00B22788">
        <w:rPr>
          <w:rFonts w:ascii="Arial" w:hAnsi="Arial" w:cs="Arial"/>
          <w:sz w:val="24"/>
          <w:szCs w:val="24"/>
        </w:rPr>
        <w:t>environment.</w:t>
      </w:r>
    </w:p>
    <w:sectPr w:rsidR="00A77A16" w:rsidRPr="00B22788" w:rsidSect="00510DB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60441D4" w14:textId="77777777" w:rsidR="002F2BA1" w:rsidRDefault="002F2BA1">
      <w:pPr>
        <w:pStyle w:val="CommentText"/>
      </w:pPr>
      <w:r>
        <w:rPr>
          <w:rStyle w:val="CommentReference"/>
        </w:rPr>
        <w:annotationRef/>
      </w:r>
      <w:r>
        <w:t>Left to right:</w:t>
      </w:r>
    </w:p>
    <w:p w14:paraId="7C5E352F" w14:textId="77777777" w:rsidR="002F2BA1" w:rsidRDefault="002F2BA1">
      <w:pPr>
        <w:pStyle w:val="CommentText"/>
      </w:pPr>
    </w:p>
    <w:p w14:paraId="26EC6AA1" w14:textId="77777777" w:rsidR="002F2BA1" w:rsidRDefault="002F2BA1">
      <w:pPr>
        <w:pStyle w:val="CommentText"/>
      </w:pPr>
      <w:r>
        <w:t>Vegetables</w:t>
      </w:r>
    </w:p>
    <w:p w14:paraId="3AD9DA41" w14:textId="77777777" w:rsidR="002F2BA1" w:rsidRDefault="002F2BA1">
      <w:pPr>
        <w:pStyle w:val="CommentText"/>
      </w:pPr>
      <w:r>
        <w:t>Fruit</w:t>
      </w:r>
    </w:p>
    <w:p w14:paraId="68FA2D38" w14:textId="55707BE8" w:rsidR="002F2BA1" w:rsidRDefault="002F2BA1">
      <w:pPr>
        <w:pStyle w:val="CommentText"/>
      </w:pPr>
      <w:r>
        <w:t xml:space="preserve">Cooked </w:t>
      </w:r>
      <w:r w:rsidR="00C75196">
        <w:t>F</w:t>
      </w:r>
      <w:r>
        <w:t>ood</w:t>
      </w:r>
    </w:p>
    <w:p w14:paraId="3745C033" w14:textId="0CB55A76" w:rsidR="002F2BA1" w:rsidRDefault="002F2BA1">
      <w:pPr>
        <w:pStyle w:val="CommentText"/>
      </w:pPr>
      <w:r>
        <w:t xml:space="preserve">Bread &amp; </w:t>
      </w:r>
      <w:r w:rsidR="00C75196">
        <w:t>B</w:t>
      </w:r>
      <w:r>
        <w:t xml:space="preserve">aked </w:t>
      </w:r>
      <w:r w:rsidR="00C75196">
        <w:t>G</w:t>
      </w:r>
      <w:r>
        <w:t>oods</w:t>
      </w:r>
    </w:p>
    <w:p w14:paraId="70B74971" w14:textId="7E625BA7" w:rsidR="002F2BA1" w:rsidRDefault="002F2BA1">
      <w:pPr>
        <w:pStyle w:val="CommentText"/>
      </w:pPr>
      <w:r>
        <w:t xml:space="preserve">Prepacked </w:t>
      </w:r>
      <w:r w:rsidR="00C75196">
        <w:t>S</w:t>
      </w:r>
      <w:r>
        <w:t>alads</w:t>
      </w:r>
    </w:p>
    <w:p w14:paraId="70AF86E6" w14:textId="5A12D03E" w:rsidR="002F2BA1" w:rsidRDefault="002F2BA1" w:rsidP="007666F4">
      <w:pPr>
        <w:pStyle w:val="CommentText"/>
      </w:pPr>
      <w:r>
        <w:t xml:space="preserve">Meat &amp; </w:t>
      </w:r>
      <w:r w:rsidR="00C75196">
        <w:t>P</w:t>
      </w:r>
      <w:r>
        <w:t>oultry</w:t>
      </w:r>
    </w:p>
    <w:p w14:paraId="568A0266" w14:textId="77777777" w:rsidR="002F2BA1" w:rsidRDefault="002F2BA1">
      <w:pPr>
        <w:pStyle w:val="CommentText"/>
      </w:pPr>
      <w:r>
        <w:t>Grains</w:t>
      </w:r>
    </w:p>
    <w:p w14:paraId="5DB04C87" w14:textId="08D2F9F3" w:rsidR="002F2BA1" w:rsidRDefault="002F2BA1">
      <w:pPr>
        <w:pStyle w:val="CommentText"/>
      </w:pPr>
      <w:r>
        <w:t xml:space="preserve">Milk &amp; </w:t>
      </w:r>
      <w:r w:rsidR="00C75196">
        <w:t>D</w:t>
      </w:r>
      <w:r>
        <w:t>airy</w:t>
      </w:r>
    </w:p>
    <w:p w14:paraId="21866FCE" w14:textId="77777777" w:rsidR="002F2BA1" w:rsidRDefault="002F2BA1">
      <w:pPr>
        <w:pStyle w:val="CommentText"/>
      </w:pPr>
      <w:r>
        <w:t>Legumes</w:t>
      </w:r>
    </w:p>
    <w:p w14:paraId="728C0A42" w14:textId="3F3F4B77" w:rsidR="002F2BA1" w:rsidRDefault="002F2BA1">
      <w:pPr>
        <w:pStyle w:val="CommentText"/>
      </w:pPr>
      <w:r>
        <w:t xml:space="preserve">Fish &amp; </w:t>
      </w:r>
      <w:r w:rsidR="00C75196">
        <w:t>S</w:t>
      </w:r>
      <w:r>
        <w:t>eafood</w:t>
      </w:r>
    </w:p>
    <w:p w14:paraId="6D654A11" w14:textId="70975D74" w:rsidR="002F2BA1" w:rsidRDefault="002F2BA1">
      <w:pPr>
        <w:pStyle w:val="CommentText"/>
      </w:pPr>
      <w:r>
        <w:t>Eggs</w:t>
      </w:r>
    </w:p>
  </w:comment>
  <w:comment w:id="1" w:author="Author" w:initials="A">
    <w:p w14:paraId="7F36907C" w14:textId="03656CA7" w:rsidR="002F2BA1" w:rsidRDefault="002F2BA1">
      <w:pPr>
        <w:pStyle w:val="CommentText"/>
      </w:pPr>
      <w:r>
        <w:rPr>
          <w:rStyle w:val="CommentReference"/>
        </w:rPr>
        <w:annotationRef/>
      </w:r>
      <w:r>
        <w:t>Y axis:</w:t>
      </w:r>
    </w:p>
    <w:p w14:paraId="65060474" w14:textId="4B4B0132" w:rsidR="002F2BA1" w:rsidRDefault="002F2BA1">
      <w:pPr>
        <w:pStyle w:val="CommentText"/>
      </w:pPr>
      <w:r>
        <w:t xml:space="preserve">Waste </w:t>
      </w:r>
      <w:r w:rsidR="00C75196">
        <w:t>R</w:t>
      </w:r>
      <w:r>
        <w:t xml:space="preserve">ate for </w:t>
      </w:r>
      <w:r w:rsidR="00C75196">
        <w:t>G</w:t>
      </w:r>
      <w:r>
        <w:t xml:space="preserve">rains &amp; </w:t>
      </w:r>
      <w:r w:rsidR="00C75196">
        <w:t>L</w:t>
      </w:r>
      <w:r>
        <w:t>egumes</w:t>
      </w:r>
    </w:p>
    <w:p w14:paraId="39A63D14" w14:textId="0BFD743E" w:rsidR="002F2BA1" w:rsidRDefault="002F2BA1" w:rsidP="007E53A0">
      <w:pPr>
        <w:pStyle w:val="CommentText"/>
      </w:pPr>
      <w:r>
        <w:t xml:space="preserve">Waste </w:t>
      </w:r>
      <w:r w:rsidR="00C75196">
        <w:t>R</w:t>
      </w:r>
      <w:r>
        <w:t xml:space="preserve">ate for </w:t>
      </w:r>
      <w:r w:rsidR="00C75196">
        <w:t>F</w:t>
      </w:r>
      <w:r>
        <w:t xml:space="preserve">ruit &amp; </w:t>
      </w:r>
      <w:r w:rsidR="00C75196">
        <w:t>V</w:t>
      </w:r>
      <w:r>
        <w:t>egetables</w:t>
      </w:r>
    </w:p>
    <w:p w14:paraId="4D0786ED" w14:textId="14D77FF5" w:rsidR="002F2BA1" w:rsidRDefault="002F2BA1" w:rsidP="007E53A0">
      <w:pPr>
        <w:pStyle w:val="CommentText"/>
      </w:pPr>
      <w:r>
        <w:t xml:space="preserve">Waste </w:t>
      </w:r>
      <w:r w:rsidR="00C75196">
        <w:t>Ra</w:t>
      </w:r>
      <w:r>
        <w:t xml:space="preserve">te for </w:t>
      </w:r>
      <w:r w:rsidR="00C75196">
        <w:t>M</w:t>
      </w:r>
      <w:r>
        <w:t xml:space="preserve">ilk &amp; </w:t>
      </w:r>
      <w:r w:rsidR="00C75196">
        <w:t>D</w:t>
      </w:r>
      <w:r>
        <w:t>airy</w:t>
      </w:r>
    </w:p>
    <w:p w14:paraId="2DC57815" w14:textId="58659298" w:rsidR="002F2BA1" w:rsidRDefault="002F2BA1" w:rsidP="007E53A0">
      <w:pPr>
        <w:pStyle w:val="CommentText"/>
      </w:pPr>
      <w:r>
        <w:t xml:space="preserve">Waste </w:t>
      </w:r>
      <w:r w:rsidR="00C75196">
        <w:t>R</w:t>
      </w:r>
      <w:r>
        <w:t xml:space="preserve">ate for </w:t>
      </w:r>
      <w:r w:rsidR="00C75196">
        <w:t>M</w:t>
      </w:r>
      <w:r>
        <w:t xml:space="preserve">eat, </w:t>
      </w:r>
      <w:r w:rsidR="00C75196">
        <w:t>F</w:t>
      </w:r>
      <w:r>
        <w:t xml:space="preserve">ish &amp; </w:t>
      </w:r>
      <w:r w:rsidR="00C75196">
        <w:t>E</w:t>
      </w:r>
      <w:r>
        <w:t>ggs</w:t>
      </w:r>
    </w:p>
    <w:p w14:paraId="6D11B551" w14:textId="77777777" w:rsidR="002F2BA1" w:rsidRDefault="002F2BA1" w:rsidP="007E53A0">
      <w:pPr>
        <w:pStyle w:val="CommentText"/>
      </w:pPr>
    </w:p>
    <w:p w14:paraId="6BA26D08" w14:textId="08DBE106" w:rsidR="002F2BA1" w:rsidRDefault="002F2BA1" w:rsidP="007E53A0">
      <w:pPr>
        <w:pStyle w:val="CommentText"/>
      </w:pPr>
      <w:r>
        <w:t>X axis, left to right:</w:t>
      </w:r>
    </w:p>
    <w:p w14:paraId="76544771" w14:textId="017E907A" w:rsidR="002F2BA1" w:rsidRDefault="002F2BA1" w:rsidP="007E53A0">
      <w:pPr>
        <w:pStyle w:val="CommentText"/>
      </w:pPr>
      <w:r>
        <w:t>United States</w:t>
      </w:r>
    </w:p>
    <w:p w14:paraId="3FC847FD" w14:textId="3147458E" w:rsidR="002F2BA1" w:rsidRDefault="002F2BA1" w:rsidP="007E53A0">
      <w:pPr>
        <w:pStyle w:val="CommentText"/>
      </w:pPr>
      <w:r>
        <w:t>Europe</w:t>
      </w:r>
    </w:p>
    <w:p w14:paraId="1B29E51D" w14:textId="037FC1D5" w:rsidR="002F2BA1" w:rsidRDefault="002F2BA1" w:rsidP="007E53A0">
      <w:pPr>
        <w:pStyle w:val="CommentText"/>
      </w:pPr>
      <w:r>
        <w:t>Japan, China &amp; South Korea</w:t>
      </w:r>
    </w:p>
    <w:p w14:paraId="0D8D5EEF" w14:textId="29C916C6" w:rsidR="002F2BA1" w:rsidRDefault="002F2BA1" w:rsidP="007E53A0">
      <w:pPr>
        <w:pStyle w:val="CommentText"/>
      </w:pPr>
      <w:r>
        <w:t>Israel</w:t>
      </w:r>
    </w:p>
    <w:p w14:paraId="289CFE00" w14:textId="1668527A" w:rsidR="002F2BA1" w:rsidRDefault="002F2BA1" w:rsidP="007E53A0">
      <w:pPr>
        <w:pStyle w:val="CommentText"/>
      </w:pPr>
      <w:r>
        <w:t>North Africa &amp; West Asia</w:t>
      </w:r>
    </w:p>
    <w:p w14:paraId="18BFF009" w14:textId="752240C5" w:rsidR="002F2BA1" w:rsidRDefault="002F2BA1" w:rsidP="007E53A0">
      <w:pPr>
        <w:pStyle w:val="CommentText"/>
      </w:pPr>
      <w:r>
        <w:t>South America</w:t>
      </w:r>
    </w:p>
    <w:p w14:paraId="3D72B8A4" w14:textId="33E002F4" w:rsidR="002F2BA1" w:rsidRDefault="002F2BA1" w:rsidP="007E53A0">
      <w:pPr>
        <w:pStyle w:val="CommentText"/>
      </w:pPr>
      <w:r>
        <w:t>South East Asia</w:t>
      </w:r>
    </w:p>
    <w:p w14:paraId="5682A01A" w14:textId="0880109E" w:rsidR="002F2BA1" w:rsidRDefault="002F2BA1" w:rsidP="007E53A0">
      <w:pPr>
        <w:pStyle w:val="CommentText"/>
      </w:pPr>
      <w:r>
        <w:t>Africa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654A11" w15:done="0"/>
  <w15:commentEx w15:paraId="5682A0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54A11" w16cid:durableId="2551CA0C"/>
  <w16cid:commentId w16cid:paraId="5682A01A" w16cid:durableId="2551CA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D4AB" w14:textId="77777777" w:rsidR="00702377" w:rsidRDefault="00702377" w:rsidP="005E04CC">
      <w:pPr>
        <w:spacing w:after="0" w:line="240" w:lineRule="auto"/>
      </w:pPr>
      <w:r>
        <w:separator/>
      </w:r>
    </w:p>
  </w:endnote>
  <w:endnote w:type="continuationSeparator" w:id="0">
    <w:p w14:paraId="2E529FCD" w14:textId="77777777" w:rsidR="00702377" w:rsidRDefault="00702377" w:rsidP="005E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6BCA" w14:textId="77777777" w:rsidR="00702377" w:rsidRDefault="00702377" w:rsidP="005E04CC">
      <w:pPr>
        <w:spacing w:after="0" w:line="240" w:lineRule="auto"/>
      </w:pPr>
      <w:r>
        <w:separator/>
      </w:r>
    </w:p>
  </w:footnote>
  <w:footnote w:type="continuationSeparator" w:id="0">
    <w:p w14:paraId="31EF91D4" w14:textId="77777777" w:rsidR="00702377" w:rsidRDefault="00702377" w:rsidP="005E04CC">
      <w:pPr>
        <w:spacing w:after="0" w:line="240" w:lineRule="auto"/>
      </w:pPr>
      <w:r>
        <w:continuationSeparator/>
      </w:r>
    </w:p>
  </w:footnote>
  <w:footnote w:id="1">
    <w:p w14:paraId="2286B537" w14:textId="7298A247" w:rsidR="002F2BA1" w:rsidRPr="005E7589" w:rsidRDefault="002F2BA1" w:rsidP="008F2CE5">
      <w:pPr>
        <w:pStyle w:val="FootnoteText"/>
        <w:spacing w:line="360" w:lineRule="auto"/>
        <w:jc w:val="both"/>
        <w:rPr>
          <w:rFonts w:ascii="Arial" w:hAnsi="Arial" w:cs="Arial"/>
        </w:rPr>
      </w:pPr>
      <w:r w:rsidRPr="005E7589">
        <w:rPr>
          <w:rStyle w:val="FootnoteReference"/>
          <w:rFonts w:ascii="Arial" w:hAnsi="Arial" w:cs="Arial"/>
        </w:rPr>
        <w:footnoteRef/>
      </w:r>
      <w:r w:rsidRPr="005E7589">
        <w:rPr>
          <w:rFonts w:ascii="Arial" w:hAnsi="Arial" w:cs="Arial"/>
        </w:rPr>
        <w:t xml:space="preserve"> </w:t>
      </w:r>
      <w:proofErr w:type="spellStart"/>
      <w:r w:rsidRPr="005E7589">
        <w:rPr>
          <w:rFonts w:ascii="Arial" w:hAnsi="Arial" w:cs="Arial"/>
        </w:rPr>
        <w:t>BDO</w:t>
      </w:r>
      <w:r>
        <w:rPr>
          <w:rFonts w:ascii="Arial" w:hAnsi="Arial" w:cs="Arial"/>
        </w:rPr>
        <w:t>’s</w:t>
      </w:r>
      <w:proofErr w:type="spellEnd"/>
      <w:r w:rsidRPr="005E7589">
        <w:rPr>
          <w:rFonts w:ascii="Arial" w:hAnsi="Arial" w:cs="Arial"/>
        </w:rPr>
        <w:t xml:space="preserve"> analyses of </w:t>
      </w:r>
      <w:proofErr w:type="spellStart"/>
      <w:r w:rsidRPr="005E7589">
        <w:rPr>
          <w:rFonts w:ascii="Arial" w:hAnsi="Arial" w:cs="Arial"/>
        </w:rPr>
        <w:t>Stornext</w:t>
      </w:r>
      <w:proofErr w:type="spellEnd"/>
      <w:r w:rsidRPr="005E7589">
        <w:rPr>
          <w:rFonts w:ascii="Arial" w:hAnsi="Arial" w:cs="Arial"/>
        </w:rPr>
        <w:t xml:space="preserve"> data and data from the supermarket chains</w:t>
      </w:r>
      <w:r w:rsidR="002E4A20">
        <w:rPr>
          <w:rFonts w:ascii="Arial" w:hAnsi="Arial" w:cs="Arial"/>
        </w:rPr>
        <w:t xml:space="preserve"> for 2021</w:t>
      </w:r>
      <w:r w:rsidRPr="005E7589">
        <w:rPr>
          <w:rFonts w:ascii="Arial" w:hAnsi="Arial" w:cs="Arial"/>
        </w:rPr>
        <w:t>.</w:t>
      </w:r>
    </w:p>
  </w:footnote>
  <w:footnote w:id="2">
    <w:p w14:paraId="04B999D9" w14:textId="7EFF5E45" w:rsidR="002F2BA1" w:rsidRPr="005E7589" w:rsidRDefault="002F2BA1" w:rsidP="008F2C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7589">
        <w:rPr>
          <w:rStyle w:val="FootnoteReference"/>
          <w:rFonts w:ascii="Arial" w:hAnsi="Arial" w:cs="Arial"/>
          <w:sz w:val="20"/>
          <w:szCs w:val="20"/>
        </w:rPr>
        <w:footnoteRef/>
      </w:r>
      <w:r w:rsidRPr="005E7589">
        <w:rPr>
          <w:rFonts w:ascii="Arial" w:hAnsi="Arial" w:cs="Arial"/>
          <w:sz w:val="20"/>
          <w:szCs w:val="20"/>
        </w:rPr>
        <w:t xml:space="preserve"> Based on the food value chain model developed by BDO, using weighted data from the Central Bureau of Statistics for 2019, a national survey of the composition of household garbage conducted by the Ministry of Environmental Protection for 2012-13, the findings of a Geocartography survey conducted in January 2019, and a study on household garbage in Israel conducted by Dr. Ofira Ayalon and Efrat Elimelech, “What gets measured gets managed: A new method of measuring household food waste.” </w:t>
      </w:r>
      <w:r w:rsidRPr="005E7589">
        <w:rPr>
          <w:rFonts w:ascii="Arial" w:hAnsi="Arial" w:cs="Arial"/>
          <w:i/>
          <w:iCs/>
          <w:sz w:val="20"/>
          <w:szCs w:val="20"/>
        </w:rPr>
        <w:t>Waste Management, 76</w:t>
      </w:r>
      <w:r w:rsidRPr="005E7589">
        <w:rPr>
          <w:rFonts w:ascii="Arial" w:hAnsi="Arial" w:cs="Arial"/>
          <w:sz w:val="20"/>
          <w:szCs w:val="20"/>
        </w:rPr>
        <w:t xml:space="preserve"> (2018): 68–81.</w:t>
      </w:r>
    </w:p>
  </w:footnote>
  <w:footnote w:id="3">
    <w:p w14:paraId="1FFC7874" w14:textId="104E9D34" w:rsidR="002F2BA1" w:rsidRPr="005E7589" w:rsidRDefault="002F2BA1" w:rsidP="00CE58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E7589">
        <w:rPr>
          <w:rStyle w:val="FootnoteReference"/>
          <w:rFonts w:ascii="Arial" w:hAnsi="Arial" w:cs="Arial"/>
          <w:sz w:val="20"/>
          <w:szCs w:val="20"/>
        </w:rPr>
        <w:footnoteRef/>
      </w:r>
      <w:r w:rsidRPr="005E7589">
        <w:rPr>
          <w:rFonts w:ascii="Arial" w:hAnsi="Arial" w:cs="Arial"/>
          <w:sz w:val="20"/>
          <w:szCs w:val="20"/>
        </w:rPr>
        <w:t xml:space="preserve"> The environmental cost </w:t>
      </w:r>
      <w:r w:rsidR="00A07C40">
        <w:rPr>
          <w:rFonts w:ascii="Arial" w:hAnsi="Arial" w:cs="Arial"/>
          <w:sz w:val="20"/>
          <w:szCs w:val="20"/>
        </w:rPr>
        <w:t xml:space="preserve">is </w:t>
      </w:r>
      <w:r w:rsidRPr="005E7589">
        <w:rPr>
          <w:rFonts w:ascii="Arial" w:hAnsi="Arial" w:cs="Arial"/>
          <w:sz w:val="20"/>
          <w:szCs w:val="20"/>
        </w:rPr>
        <w:t xml:space="preserve">not included in the market price of the wasted food, i.e. the natural resources wasted </w:t>
      </w:r>
      <w:r>
        <w:rPr>
          <w:rFonts w:ascii="Arial" w:hAnsi="Arial" w:cs="Arial"/>
          <w:sz w:val="20"/>
          <w:szCs w:val="20"/>
        </w:rPr>
        <w:t>due to</w:t>
      </w:r>
      <w:r w:rsidRPr="005E7589">
        <w:rPr>
          <w:rFonts w:ascii="Arial" w:hAnsi="Arial" w:cs="Arial"/>
          <w:sz w:val="20"/>
          <w:szCs w:val="20"/>
        </w:rPr>
        <w:t xml:space="preserve"> food waste in this sector.</w:t>
      </w:r>
    </w:p>
    <w:p w14:paraId="4D03C328" w14:textId="7B2207D5" w:rsidR="002F2BA1" w:rsidRPr="005E7589" w:rsidRDefault="002F2BA1" w:rsidP="008F2CE5">
      <w:pPr>
        <w:pStyle w:val="FootnoteText"/>
        <w:spacing w:line="360" w:lineRule="auto"/>
        <w:jc w:val="both"/>
        <w:rPr>
          <w:rFonts w:ascii="Arial" w:hAnsi="Arial" w:cs="Arial"/>
          <w:lang w:val="en-GB"/>
        </w:rPr>
      </w:pPr>
    </w:p>
  </w:footnote>
  <w:footnote w:id="4">
    <w:p w14:paraId="0B8A0985" w14:textId="12CFB75D" w:rsidR="002F2BA1" w:rsidRPr="005E7589" w:rsidRDefault="002F2BA1" w:rsidP="008F2CE5">
      <w:pPr>
        <w:pStyle w:val="FootnoteText"/>
        <w:spacing w:line="360" w:lineRule="auto"/>
        <w:jc w:val="both"/>
        <w:rPr>
          <w:rFonts w:ascii="Arial" w:hAnsi="Arial" w:cs="Arial"/>
        </w:rPr>
      </w:pPr>
      <w:r w:rsidRPr="005E7589">
        <w:rPr>
          <w:rStyle w:val="FootnoteReference"/>
          <w:rFonts w:ascii="Arial" w:hAnsi="Arial" w:cs="Arial"/>
        </w:rPr>
        <w:footnoteRef/>
      </w:r>
      <w:r w:rsidRPr="005E7589">
        <w:rPr>
          <w:rFonts w:ascii="Arial" w:hAnsi="Arial" w:cs="Arial"/>
        </w:rPr>
        <w:t xml:space="preserve"> Based on findings of the Geocartography survey conducted in March 2021 by Leket Israel and BDO.</w:t>
      </w:r>
    </w:p>
  </w:footnote>
  <w:footnote w:id="5">
    <w:p w14:paraId="128ED0D6" w14:textId="462B0AAD" w:rsidR="002F2BA1" w:rsidRPr="005E7589" w:rsidRDefault="002F2BA1" w:rsidP="008F2CE5">
      <w:pPr>
        <w:pStyle w:val="FootnoteText"/>
        <w:spacing w:line="360" w:lineRule="auto"/>
        <w:jc w:val="both"/>
        <w:rPr>
          <w:rFonts w:ascii="Arial" w:hAnsi="Arial" w:cs="Arial"/>
        </w:rPr>
      </w:pPr>
      <w:r w:rsidRPr="005E7589">
        <w:rPr>
          <w:rStyle w:val="FootnoteReference"/>
          <w:rFonts w:ascii="Arial" w:hAnsi="Arial" w:cs="Arial"/>
        </w:rPr>
        <w:footnoteRef/>
      </w:r>
      <w:r w:rsidRPr="005E7589">
        <w:rPr>
          <w:rFonts w:ascii="Arial" w:hAnsi="Arial" w:cs="Arial"/>
        </w:rPr>
        <w:t xml:space="preserve"> Global Food Security Index, </w:t>
      </w:r>
      <w:r w:rsidRPr="005E7589">
        <w:rPr>
          <w:rFonts w:ascii="Arial" w:hAnsi="Arial" w:cs="Arial"/>
          <w:i/>
          <w:iCs/>
        </w:rPr>
        <w:t>The Economist</w:t>
      </w:r>
      <w:r w:rsidRPr="005E7589">
        <w:rPr>
          <w:rFonts w:ascii="Arial" w:hAnsi="Arial" w:cs="Arial"/>
        </w:rPr>
        <w:t>, 2018</w:t>
      </w:r>
    </w:p>
  </w:footnote>
  <w:footnote w:id="6">
    <w:p w14:paraId="083CBB7C" w14:textId="52657F75" w:rsidR="002F2BA1" w:rsidRPr="005E7589" w:rsidRDefault="002F2BA1" w:rsidP="00717E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7589">
        <w:rPr>
          <w:rStyle w:val="FootnoteReference"/>
          <w:rFonts w:ascii="Arial" w:hAnsi="Arial" w:cs="Arial"/>
          <w:sz w:val="20"/>
          <w:szCs w:val="20"/>
        </w:rPr>
        <w:footnoteRef/>
      </w:r>
      <w:r w:rsidRPr="005E7589">
        <w:rPr>
          <w:rFonts w:ascii="Arial" w:hAnsi="Arial" w:cs="Arial"/>
          <w:sz w:val="20"/>
          <w:szCs w:val="20"/>
        </w:rPr>
        <w:t xml:space="preserve"> External costs not included: the cost of clearing and burying </w:t>
      </w:r>
      <w:r>
        <w:rPr>
          <w:rFonts w:ascii="Arial" w:hAnsi="Arial" w:cs="Arial"/>
          <w:sz w:val="20"/>
          <w:szCs w:val="20"/>
        </w:rPr>
        <w:t>the food waste</w:t>
      </w:r>
      <w:r w:rsidRPr="005E7589">
        <w:rPr>
          <w:rFonts w:ascii="Arial" w:hAnsi="Arial" w:cs="Arial"/>
          <w:sz w:val="20"/>
          <w:szCs w:val="20"/>
        </w:rPr>
        <w:t xml:space="preserve">, the cost of greenhouse gas and air pollutant emissions, </w:t>
      </w:r>
      <w:r>
        <w:rPr>
          <w:rFonts w:ascii="Arial" w:hAnsi="Arial" w:cs="Arial"/>
          <w:sz w:val="20"/>
          <w:szCs w:val="20"/>
        </w:rPr>
        <w:t xml:space="preserve">and </w:t>
      </w:r>
      <w:r w:rsidRPr="005E7589">
        <w:rPr>
          <w:rFonts w:ascii="Arial" w:hAnsi="Arial" w:cs="Arial"/>
          <w:sz w:val="20"/>
          <w:szCs w:val="20"/>
        </w:rPr>
        <w:t>the increase in wholesale prices due to food waste in agriculture and industry.</w:t>
      </w:r>
    </w:p>
  </w:footnote>
  <w:footnote w:id="7">
    <w:p w14:paraId="4CD37CE2" w14:textId="534438E0" w:rsidR="002F2BA1" w:rsidRPr="005E7589" w:rsidRDefault="002F2BA1" w:rsidP="00EE64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7589">
        <w:rPr>
          <w:rStyle w:val="FootnoteReference"/>
          <w:rFonts w:ascii="Arial" w:hAnsi="Arial" w:cs="Arial"/>
          <w:sz w:val="20"/>
          <w:szCs w:val="20"/>
        </w:rPr>
        <w:footnoteRef/>
      </w:r>
      <w:r w:rsidRPr="005E7589">
        <w:rPr>
          <w:rFonts w:ascii="Arial" w:hAnsi="Arial" w:cs="Arial"/>
          <w:sz w:val="20"/>
          <w:szCs w:val="20"/>
        </w:rPr>
        <w:t xml:space="preserve"> </w:t>
      </w:r>
      <w:r w:rsidRPr="00EE64B0">
        <w:rPr>
          <w:rFonts w:ascii="Arial" w:hAnsi="Arial" w:cs="Arial"/>
          <w:i/>
          <w:iCs/>
          <w:sz w:val="20"/>
          <w:szCs w:val="20"/>
        </w:rPr>
        <w:t xml:space="preserve">The </w:t>
      </w:r>
      <w:r w:rsidR="000016A7">
        <w:rPr>
          <w:rFonts w:ascii="Arial" w:hAnsi="Arial" w:cs="Arial"/>
          <w:i/>
          <w:iCs/>
          <w:sz w:val="20"/>
          <w:szCs w:val="20"/>
        </w:rPr>
        <w:t>G</w:t>
      </w:r>
      <w:r w:rsidRPr="00EE64B0">
        <w:rPr>
          <w:rFonts w:ascii="Arial" w:hAnsi="Arial" w:cs="Arial"/>
          <w:i/>
          <w:iCs/>
          <w:sz w:val="20"/>
          <w:szCs w:val="20"/>
        </w:rPr>
        <w:t xml:space="preserve">reen </w:t>
      </w:r>
      <w:r w:rsidR="000016A7">
        <w:rPr>
          <w:rFonts w:ascii="Arial" w:hAnsi="Arial" w:cs="Arial"/>
          <w:i/>
          <w:iCs/>
          <w:sz w:val="20"/>
          <w:szCs w:val="20"/>
        </w:rPr>
        <w:t>B</w:t>
      </w:r>
      <w:r w:rsidRPr="00EE64B0">
        <w:rPr>
          <w:rFonts w:ascii="Arial" w:hAnsi="Arial" w:cs="Arial"/>
          <w:i/>
          <w:iCs/>
          <w:sz w:val="20"/>
          <w:szCs w:val="20"/>
        </w:rPr>
        <w:t xml:space="preserve">ook: Estimating and </w:t>
      </w:r>
      <w:r w:rsidR="001A004D" w:rsidRPr="00EE64B0">
        <w:rPr>
          <w:rFonts w:ascii="Arial" w:hAnsi="Arial" w:cs="Arial"/>
          <w:i/>
          <w:iCs/>
          <w:sz w:val="20"/>
          <w:szCs w:val="20"/>
        </w:rPr>
        <w:t>Measuring Environmental Costs</w:t>
      </w:r>
      <w:r w:rsidRPr="005E7589">
        <w:rPr>
          <w:rFonts w:ascii="Arial" w:hAnsi="Arial" w:cs="Arial"/>
          <w:sz w:val="20"/>
          <w:szCs w:val="20"/>
        </w:rPr>
        <w:t>, The Ministry of Environmental Protection, 2020.</w:t>
      </w:r>
    </w:p>
  </w:footnote>
  <w:footnote w:id="8">
    <w:p w14:paraId="0990BE83" w14:textId="15210BC6" w:rsidR="002F2BA1" w:rsidRPr="005E7589" w:rsidRDefault="002F2BA1" w:rsidP="008F2CE5">
      <w:pPr>
        <w:pStyle w:val="FootnoteText"/>
        <w:spacing w:line="360" w:lineRule="auto"/>
        <w:jc w:val="both"/>
        <w:rPr>
          <w:rFonts w:ascii="Arial" w:hAnsi="Arial" w:cs="Arial"/>
          <w:i/>
          <w:iCs/>
        </w:rPr>
      </w:pPr>
      <w:r w:rsidRPr="005E7589">
        <w:rPr>
          <w:rStyle w:val="FootnoteReference"/>
          <w:rFonts w:ascii="Arial" w:hAnsi="Arial" w:cs="Arial"/>
        </w:rPr>
        <w:footnoteRef/>
      </w:r>
      <w:r w:rsidRPr="005E7589">
        <w:rPr>
          <w:rFonts w:ascii="Arial" w:hAnsi="Arial" w:cs="Arial"/>
        </w:rPr>
        <w:t xml:space="preserve"> IPCC, 2014: </w:t>
      </w:r>
      <w:r w:rsidRPr="005E7589">
        <w:rPr>
          <w:rFonts w:ascii="Arial" w:hAnsi="Arial" w:cs="Arial"/>
          <w:i/>
          <w:iCs/>
        </w:rPr>
        <w:t>Climate Change 2014: Synthesis Report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B3B"/>
    <w:multiLevelType w:val="hybridMultilevel"/>
    <w:tmpl w:val="13C26404"/>
    <w:lvl w:ilvl="0" w:tplc="4DC870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30A8F"/>
    <w:multiLevelType w:val="hybridMultilevel"/>
    <w:tmpl w:val="9FB4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45D8"/>
    <w:multiLevelType w:val="hybridMultilevel"/>
    <w:tmpl w:val="9B661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41D"/>
    <w:multiLevelType w:val="hybridMultilevel"/>
    <w:tmpl w:val="A134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9CE"/>
    <w:multiLevelType w:val="hybridMultilevel"/>
    <w:tmpl w:val="6C5A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F31"/>
    <w:multiLevelType w:val="hybridMultilevel"/>
    <w:tmpl w:val="4192F1EA"/>
    <w:lvl w:ilvl="0" w:tplc="32A40E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3EC9"/>
    <w:multiLevelType w:val="hybridMultilevel"/>
    <w:tmpl w:val="C4EC3A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A283B"/>
    <w:multiLevelType w:val="hybridMultilevel"/>
    <w:tmpl w:val="C6BE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F5952"/>
    <w:multiLevelType w:val="hybridMultilevel"/>
    <w:tmpl w:val="380A44D2"/>
    <w:lvl w:ilvl="0" w:tplc="AAD06A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E6E78"/>
    <w:multiLevelType w:val="hybridMultilevel"/>
    <w:tmpl w:val="015EF0B4"/>
    <w:lvl w:ilvl="0" w:tplc="C6948D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EF5512"/>
    <w:multiLevelType w:val="hybridMultilevel"/>
    <w:tmpl w:val="D7E04384"/>
    <w:lvl w:ilvl="0" w:tplc="6F84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1B62"/>
    <w:multiLevelType w:val="hybridMultilevel"/>
    <w:tmpl w:val="673039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9090">
    <w:abstractNumId w:val="4"/>
  </w:num>
  <w:num w:numId="2" w16cid:durableId="265424585">
    <w:abstractNumId w:val="5"/>
  </w:num>
  <w:num w:numId="3" w16cid:durableId="62411648">
    <w:abstractNumId w:val="3"/>
  </w:num>
  <w:num w:numId="4" w16cid:durableId="1497960069">
    <w:abstractNumId w:val="7"/>
  </w:num>
  <w:num w:numId="5" w16cid:durableId="15540326">
    <w:abstractNumId w:val="1"/>
  </w:num>
  <w:num w:numId="6" w16cid:durableId="1469788386">
    <w:abstractNumId w:val="11"/>
  </w:num>
  <w:num w:numId="7" w16cid:durableId="277838632">
    <w:abstractNumId w:val="8"/>
  </w:num>
  <w:num w:numId="8" w16cid:durableId="1638686515">
    <w:abstractNumId w:val="13"/>
  </w:num>
  <w:num w:numId="9" w16cid:durableId="1846364036">
    <w:abstractNumId w:val="2"/>
  </w:num>
  <w:num w:numId="10" w16cid:durableId="1877809370">
    <w:abstractNumId w:val="9"/>
  </w:num>
  <w:num w:numId="11" w16cid:durableId="420028150">
    <w:abstractNumId w:val="0"/>
  </w:num>
  <w:num w:numId="12" w16cid:durableId="439959975">
    <w:abstractNumId w:val="12"/>
  </w:num>
  <w:num w:numId="13" w16cid:durableId="1132600953">
    <w:abstractNumId w:val="6"/>
  </w:num>
  <w:num w:numId="14" w16cid:durableId="23285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1"/>
    <w:rsid w:val="000016A7"/>
    <w:rsid w:val="000053D0"/>
    <w:rsid w:val="00011845"/>
    <w:rsid w:val="0001416A"/>
    <w:rsid w:val="000158BA"/>
    <w:rsid w:val="00022BDF"/>
    <w:rsid w:val="00027542"/>
    <w:rsid w:val="00030456"/>
    <w:rsid w:val="00030D06"/>
    <w:rsid w:val="00032A6D"/>
    <w:rsid w:val="00042BF9"/>
    <w:rsid w:val="00045E05"/>
    <w:rsid w:val="00050C1B"/>
    <w:rsid w:val="00055DB1"/>
    <w:rsid w:val="00056340"/>
    <w:rsid w:val="00060B18"/>
    <w:rsid w:val="00063CA5"/>
    <w:rsid w:val="00065B70"/>
    <w:rsid w:val="00076752"/>
    <w:rsid w:val="00081C07"/>
    <w:rsid w:val="00083F9F"/>
    <w:rsid w:val="0009299A"/>
    <w:rsid w:val="0009470E"/>
    <w:rsid w:val="00097519"/>
    <w:rsid w:val="000A5BE3"/>
    <w:rsid w:val="000B095A"/>
    <w:rsid w:val="000B1C2C"/>
    <w:rsid w:val="000B27A2"/>
    <w:rsid w:val="000B7179"/>
    <w:rsid w:val="000B72E5"/>
    <w:rsid w:val="000C1FDF"/>
    <w:rsid w:val="000C343E"/>
    <w:rsid w:val="000C5601"/>
    <w:rsid w:val="000C6504"/>
    <w:rsid w:val="000C6758"/>
    <w:rsid w:val="000C7FBE"/>
    <w:rsid w:val="000D45DC"/>
    <w:rsid w:val="000E1C23"/>
    <w:rsid w:val="000E48E6"/>
    <w:rsid w:val="000E4C9C"/>
    <w:rsid w:val="000E5268"/>
    <w:rsid w:val="000E5F79"/>
    <w:rsid w:val="000E7154"/>
    <w:rsid w:val="000F2891"/>
    <w:rsid w:val="000F3915"/>
    <w:rsid w:val="000F6AB9"/>
    <w:rsid w:val="001015D5"/>
    <w:rsid w:val="00105A26"/>
    <w:rsid w:val="0010653A"/>
    <w:rsid w:val="00106D05"/>
    <w:rsid w:val="001070FB"/>
    <w:rsid w:val="00111999"/>
    <w:rsid w:val="00115873"/>
    <w:rsid w:val="00121B8E"/>
    <w:rsid w:val="0012348B"/>
    <w:rsid w:val="00126966"/>
    <w:rsid w:val="001318BD"/>
    <w:rsid w:val="001329ED"/>
    <w:rsid w:val="00135C6C"/>
    <w:rsid w:val="00140974"/>
    <w:rsid w:val="00140ADB"/>
    <w:rsid w:val="001533D2"/>
    <w:rsid w:val="00155F34"/>
    <w:rsid w:val="001607A5"/>
    <w:rsid w:val="00165218"/>
    <w:rsid w:val="001678F3"/>
    <w:rsid w:val="0017399D"/>
    <w:rsid w:val="001861ED"/>
    <w:rsid w:val="00186481"/>
    <w:rsid w:val="00187259"/>
    <w:rsid w:val="00196471"/>
    <w:rsid w:val="00197DAC"/>
    <w:rsid w:val="001A004D"/>
    <w:rsid w:val="001A039A"/>
    <w:rsid w:val="001A2457"/>
    <w:rsid w:val="001A2DAD"/>
    <w:rsid w:val="001A5D7C"/>
    <w:rsid w:val="001B7435"/>
    <w:rsid w:val="001C5350"/>
    <w:rsid w:val="001D0497"/>
    <w:rsid w:val="001D7C6D"/>
    <w:rsid w:val="001E1420"/>
    <w:rsid w:val="001E3570"/>
    <w:rsid w:val="001E5A1E"/>
    <w:rsid w:val="001F4CC8"/>
    <w:rsid w:val="00210C3E"/>
    <w:rsid w:val="00224AD7"/>
    <w:rsid w:val="00225C7A"/>
    <w:rsid w:val="002352E3"/>
    <w:rsid w:val="00252DEA"/>
    <w:rsid w:val="00262C15"/>
    <w:rsid w:val="0026789E"/>
    <w:rsid w:val="00267A48"/>
    <w:rsid w:val="002726DA"/>
    <w:rsid w:val="002763D8"/>
    <w:rsid w:val="00280126"/>
    <w:rsid w:val="0028269D"/>
    <w:rsid w:val="00291787"/>
    <w:rsid w:val="0029662E"/>
    <w:rsid w:val="002A1B0B"/>
    <w:rsid w:val="002A4CEE"/>
    <w:rsid w:val="002A4E40"/>
    <w:rsid w:val="002A55E2"/>
    <w:rsid w:val="002A7763"/>
    <w:rsid w:val="002A7EB3"/>
    <w:rsid w:val="002B3EA0"/>
    <w:rsid w:val="002B4562"/>
    <w:rsid w:val="002B7E14"/>
    <w:rsid w:val="002C061B"/>
    <w:rsid w:val="002C1704"/>
    <w:rsid w:val="002C18B1"/>
    <w:rsid w:val="002C239C"/>
    <w:rsid w:val="002C3A76"/>
    <w:rsid w:val="002C3AB7"/>
    <w:rsid w:val="002D0D1A"/>
    <w:rsid w:val="002D1A0E"/>
    <w:rsid w:val="002D6445"/>
    <w:rsid w:val="002E4A20"/>
    <w:rsid w:val="002E5B88"/>
    <w:rsid w:val="002F2BA1"/>
    <w:rsid w:val="002F4C5D"/>
    <w:rsid w:val="00300A2D"/>
    <w:rsid w:val="003066C4"/>
    <w:rsid w:val="00306B21"/>
    <w:rsid w:val="00313166"/>
    <w:rsid w:val="003142CE"/>
    <w:rsid w:val="00314325"/>
    <w:rsid w:val="003235E5"/>
    <w:rsid w:val="00331921"/>
    <w:rsid w:val="00343E73"/>
    <w:rsid w:val="00344D8B"/>
    <w:rsid w:val="003512B7"/>
    <w:rsid w:val="00351858"/>
    <w:rsid w:val="00352779"/>
    <w:rsid w:val="0035579D"/>
    <w:rsid w:val="00357523"/>
    <w:rsid w:val="00360A68"/>
    <w:rsid w:val="003612E3"/>
    <w:rsid w:val="00373826"/>
    <w:rsid w:val="003741E0"/>
    <w:rsid w:val="00376C02"/>
    <w:rsid w:val="00386E5C"/>
    <w:rsid w:val="00394896"/>
    <w:rsid w:val="003A30E1"/>
    <w:rsid w:val="003A745B"/>
    <w:rsid w:val="003B00E7"/>
    <w:rsid w:val="003C0B45"/>
    <w:rsid w:val="003C29CC"/>
    <w:rsid w:val="003C4663"/>
    <w:rsid w:val="003C539E"/>
    <w:rsid w:val="003C7B94"/>
    <w:rsid w:val="003D63FA"/>
    <w:rsid w:val="003D66C0"/>
    <w:rsid w:val="003D6794"/>
    <w:rsid w:val="003E4CD1"/>
    <w:rsid w:val="003E5996"/>
    <w:rsid w:val="003F75B8"/>
    <w:rsid w:val="004144BB"/>
    <w:rsid w:val="00423F29"/>
    <w:rsid w:val="00434856"/>
    <w:rsid w:val="00436A77"/>
    <w:rsid w:val="0045428E"/>
    <w:rsid w:val="00455F3D"/>
    <w:rsid w:val="004572E1"/>
    <w:rsid w:val="00457F06"/>
    <w:rsid w:val="00460B22"/>
    <w:rsid w:val="0046347A"/>
    <w:rsid w:val="0047001B"/>
    <w:rsid w:val="004700B6"/>
    <w:rsid w:val="00481408"/>
    <w:rsid w:val="004828AC"/>
    <w:rsid w:val="00485A49"/>
    <w:rsid w:val="00486D6D"/>
    <w:rsid w:val="00491AF9"/>
    <w:rsid w:val="00491F9A"/>
    <w:rsid w:val="004928E3"/>
    <w:rsid w:val="00494561"/>
    <w:rsid w:val="00494EDF"/>
    <w:rsid w:val="004B1B0D"/>
    <w:rsid w:val="004B1D37"/>
    <w:rsid w:val="004C2D87"/>
    <w:rsid w:val="004D0151"/>
    <w:rsid w:val="004D1893"/>
    <w:rsid w:val="004D21C7"/>
    <w:rsid w:val="004D4B5F"/>
    <w:rsid w:val="004D6F4D"/>
    <w:rsid w:val="004E12C1"/>
    <w:rsid w:val="004E300A"/>
    <w:rsid w:val="004E6B0E"/>
    <w:rsid w:val="004E6D9F"/>
    <w:rsid w:val="004E717B"/>
    <w:rsid w:val="004F1781"/>
    <w:rsid w:val="004F5094"/>
    <w:rsid w:val="004F580D"/>
    <w:rsid w:val="004F677D"/>
    <w:rsid w:val="0050282E"/>
    <w:rsid w:val="00505938"/>
    <w:rsid w:val="00510DB4"/>
    <w:rsid w:val="00515365"/>
    <w:rsid w:val="00522B79"/>
    <w:rsid w:val="005268F6"/>
    <w:rsid w:val="005301B2"/>
    <w:rsid w:val="005301DB"/>
    <w:rsid w:val="0054000D"/>
    <w:rsid w:val="005411FE"/>
    <w:rsid w:val="00542AA4"/>
    <w:rsid w:val="00553E95"/>
    <w:rsid w:val="005545EF"/>
    <w:rsid w:val="00555D4B"/>
    <w:rsid w:val="00557214"/>
    <w:rsid w:val="0056607D"/>
    <w:rsid w:val="0057179F"/>
    <w:rsid w:val="00573479"/>
    <w:rsid w:val="00576D9D"/>
    <w:rsid w:val="00577CEC"/>
    <w:rsid w:val="00580E9B"/>
    <w:rsid w:val="00586D81"/>
    <w:rsid w:val="00591A76"/>
    <w:rsid w:val="005945EB"/>
    <w:rsid w:val="00595C56"/>
    <w:rsid w:val="00597D3C"/>
    <w:rsid w:val="005A665B"/>
    <w:rsid w:val="005B1652"/>
    <w:rsid w:val="005B1743"/>
    <w:rsid w:val="005B1ABE"/>
    <w:rsid w:val="005C3491"/>
    <w:rsid w:val="005C61CE"/>
    <w:rsid w:val="005D47AA"/>
    <w:rsid w:val="005D6E26"/>
    <w:rsid w:val="005E04CC"/>
    <w:rsid w:val="005E2B66"/>
    <w:rsid w:val="005E7589"/>
    <w:rsid w:val="005F1DA3"/>
    <w:rsid w:val="006053C9"/>
    <w:rsid w:val="00616FEC"/>
    <w:rsid w:val="00617C26"/>
    <w:rsid w:val="0062236E"/>
    <w:rsid w:val="00627717"/>
    <w:rsid w:val="0063027C"/>
    <w:rsid w:val="00632EC0"/>
    <w:rsid w:val="00641A0C"/>
    <w:rsid w:val="00641AA2"/>
    <w:rsid w:val="0064231B"/>
    <w:rsid w:val="00642661"/>
    <w:rsid w:val="00642971"/>
    <w:rsid w:val="006467FD"/>
    <w:rsid w:val="006603F1"/>
    <w:rsid w:val="00671422"/>
    <w:rsid w:val="00676DA4"/>
    <w:rsid w:val="00682A1C"/>
    <w:rsid w:val="00684DAD"/>
    <w:rsid w:val="0069386F"/>
    <w:rsid w:val="00693A07"/>
    <w:rsid w:val="00695A0A"/>
    <w:rsid w:val="006972CA"/>
    <w:rsid w:val="006A53BA"/>
    <w:rsid w:val="006B5383"/>
    <w:rsid w:val="006C2628"/>
    <w:rsid w:val="006C26D7"/>
    <w:rsid w:val="006C6A49"/>
    <w:rsid w:val="006C728C"/>
    <w:rsid w:val="006D4E1F"/>
    <w:rsid w:val="006D53DE"/>
    <w:rsid w:val="006E0AC2"/>
    <w:rsid w:val="006E0BA4"/>
    <w:rsid w:val="006E5F86"/>
    <w:rsid w:val="00701571"/>
    <w:rsid w:val="00702377"/>
    <w:rsid w:val="0070659B"/>
    <w:rsid w:val="007077DD"/>
    <w:rsid w:val="0071429B"/>
    <w:rsid w:val="00714ACA"/>
    <w:rsid w:val="0071521D"/>
    <w:rsid w:val="00715984"/>
    <w:rsid w:val="00715B03"/>
    <w:rsid w:val="00717EEB"/>
    <w:rsid w:val="00720F86"/>
    <w:rsid w:val="00723DB2"/>
    <w:rsid w:val="00730082"/>
    <w:rsid w:val="00730B21"/>
    <w:rsid w:val="0073630E"/>
    <w:rsid w:val="0073711F"/>
    <w:rsid w:val="007400BD"/>
    <w:rsid w:val="0074675A"/>
    <w:rsid w:val="007476D1"/>
    <w:rsid w:val="007502C6"/>
    <w:rsid w:val="00751520"/>
    <w:rsid w:val="007535EB"/>
    <w:rsid w:val="00762E7F"/>
    <w:rsid w:val="007631F0"/>
    <w:rsid w:val="0076531D"/>
    <w:rsid w:val="007666F4"/>
    <w:rsid w:val="00770858"/>
    <w:rsid w:val="007729B9"/>
    <w:rsid w:val="007752E1"/>
    <w:rsid w:val="0077606B"/>
    <w:rsid w:val="00777E0A"/>
    <w:rsid w:val="00780576"/>
    <w:rsid w:val="00782343"/>
    <w:rsid w:val="00782D0E"/>
    <w:rsid w:val="0079278E"/>
    <w:rsid w:val="007A00BE"/>
    <w:rsid w:val="007A117F"/>
    <w:rsid w:val="007A1967"/>
    <w:rsid w:val="007A1D47"/>
    <w:rsid w:val="007B4539"/>
    <w:rsid w:val="007B4995"/>
    <w:rsid w:val="007B7D11"/>
    <w:rsid w:val="007C0853"/>
    <w:rsid w:val="007C64A4"/>
    <w:rsid w:val="007D6756"/>
    <w:rsid w:val="007E0327"/>
    <w:rsid w:val="007E1AD9"/>
    <w:rsid w:val="007E35C8"/>
    <w:rsid w:val="007E41B9"/>
    <w:rsid w:val="007E53A0"/>
    <w:rsid w:val="007E54C8"/>
    <w:rsid w:val="007F0F2B"/>
    <w:rsid w:val="007F2167"/>
    <w:rsid w:val="008043D8"/>
    <w:rsid w:val="008130EC"/>
    <w:rsid w:val="008200B8"/>
    <w:rsid w:val="00820374"/>
    <w:rsid w:val="00827439"/>
    <w:rsid w:val="00830790"/>
    <w:rsid w:val="00840BFD"/>
    <w:rsid w:val="00857ECF"/>
    <w:rsid w:val="00860BA7"/>
    <w:rsid w:val="008710F2"/>
    <w:rsid w:val="00874D18"/>
    <w:rsid w:val="00882045"/>
    <w:rsid w:val="00886216"/>
    <w:rsid w:val="00894630"/>
    <w:rsid w:val="00895E29"/>
    <w:rsid w:val="00896380"/>
    <w:rsid w:val="008B4298"/>
    <w:rsid w:val="008B47B0"/>
    <w:rsid w:val="008B710D"/>
    <w:rsid w:val="008D0910"/>
    <w:rsid w:val="008D2B12"/>
    <w:rsid w:val="008D34CB"/>
    <w:rsid w:val="008D5DD1"/>
    <w:rsid w:val="008D727C"/>
    <w:rsid w:val="008E4E20"/>
    <w:rsid w:val="008F2CE5"/>
    <w:rsid w:val="008F6218"/>
    <w:rsid w:val="00900518"/>
    <w:rsid w:val="0091007D"/>
    <w:rsid w:val="00910644"/>
    <w:rsid w:val="00912CA9"/>
    <w:rsid w:val="00922BE5"/>
    <w:rsid w:val="0092474E"/>
    <w:rsid w:val="00925894"/>
    <w:rsid w:val="00926DED"/>
    <w:rsid w:val="009314FE"/>
    <w:rsid w:val="00932472"/>
    <w:rsid w:val="00935EB9"/>
    <w:rsid w:val="009363C0"/>
    <w:rsid w:val="00943170"/>
    <w:rsid w:val="009460C7"/>
    <w:rsid w:val="00950A39"/>
    <w:rsid w:val="00954A1E"/>
    <w:rsid w:val="0096196B"/>
    <w:rsid w:val="00963C60"/>
    <w:rsid w:val="0096549F"/>
    <w:rsid w:val="00977F26"/>
    <w:rsid w:val="009804AB"/>
    <w:rsid w:val="00984F54"/>
    <w:rsid w:val="009A2AD0"/>
    <w:rsid w:val="009A3C6A"/>
    <w:rsid w:val="009B07EC"/>
    <w:rsid w:val="009B2219"/>
    <w:rsid w:val="009B3980"/>
    <w:rsid w:val="009C231F"/>
    <w:rsid w:val="009C5551"/>
    <w:rsid w:val="009D17D0"/>
    <w:rsid w:val="009D32BE"/>
    <w:rsid w:val="009D7502"/>
    <w:rsid w:val="009F0283"/>
    <w:rsid w:val="009F1368"/>
    <w:rsid w:val="009F3219"/>
    <w:rsid w:val="009F546D"/>
    <w:rsid w:val="00A00890"/>
    <w:rsid w:val="00A074C7"/>
    <w:rsid w:val="00A079CC"/>
    <w:rsid w:val="00A07C40"/>
    <w:rsid w:val="00A2036F"/>
    <w:rsid w:val="00A230BF"/>
    <w:rsid w:val="00A27569"/>
    <w:rsid w:val="00A27658"/>
    <w:rsid w:val="00A27FE8"/>
    <w:rsid w:val="00A425EA"/>
    <w:rsid w:val="00A44DB5"/>
    <w:rsid w:val="00A46943"/>
    <w:rsid w:val="00A53390"/>
    <w:rsid w:val="00A53AAB"/>
    <w:rsid w:val="00A5419A"/>
    <w:rsid w:val="00A560D0"/>
    <w:rsid w:val="00A60A25"/>
    <w:rsid w:val="00A65F7D"/>
    <w:rsid w:val="00A664E9"/>
    <w:rsid w:val="00A67F24"/>
    <w:rsid w:val="00A7734A"/>
    <w:rsid w:val="00A77A16"/>
    <w:rsid w:val="00A806C0"/>
    <w:rsid w:val="00A80E20"/>
    <w:rsid w:val="00A81F7F"/>
    <w:rsid w:val="00A900E8"/>
    <w:rsid w:val="00AB5BFD"/>
    <w:rsid w:val="00AC1131"/>
    <w:rsid w:val="00AC28D6"/>
    <w:rsid w:val="00AC2AD5"/>
    <w:rsid w:val="00AD00C6"/>
    <w:rsid w:val="00AD0C95"/>
    <w:rsid w:val="00AD0CD6"/>
    <w:rsid w:val="00AD48E0"/>
    <w:rsid w:val="00AD4E88"/>
    <w:rsid w:val="00AD657F"/>
    <w:rsid w:val="00B010FD"/>
    <w:rsid w:val="00B01731"/>
    <w:rsid w:val="00B0552D"/>
    <w:rsid w:val="00B12CB9"/>
    <w:rsid w:val="00B1712A"/>
    <w:rsid w:val="00B2095F"/>
    <w:rsid w:val="00B21DB6"/>
    <w:rsid w:val="00B22788"/>
    <w:rsid w:val="00B267D0"/>
    <w:rsid w:val="00B3182C"/>
    <w:rsid w:val="00B32BFB"/>
    <w:rsid w:val="00B4474F"/>
    <w:rsid w:val="00B610B9"/>
    <w:rsid w:val="00B80ADA"/>
    <w:rsid w:val="00B97617"/>
    <w:rsid w:val="00BA12B8"/>
    <w:rsid w:val="00BA35DC"/>
    <w:rsid w:val="00BA43B5"/>
    <w:rsid w:val="00BA6AF3"/>
    <w:rsid w:val="00BB09B0"/>
    <w:rsid w:val="00BB0B8D"/>
    <w:rsid w:val="00BB545C"/>
    <w:rsid w:val="00BB69BD"/>
    <w:rsid w:val="00BB7262"/>
    <w:rsid w:val="00BC090D"/>
    <w:rsid w:val="00BC0AA2"/>
    <w:rsid w:val="00BC46F5"/>
    <w:rsid w:val="00BD09BF"/>
    <w:rsid w:val="00BD0A36"/>
    <w:rsid w:val="00BD0B01"/>
    <w:rsid w:val="00BD456B"/>
    <w:rsid w:val="00BD630B"/>
    <w:rsid w:val="00BE2ABE"/>
    <w:rsid w:val="00BE3946"/>
    <w:rsid w:val="00BF0423"/>
    <w:rsid w:val="00C0007E"/>
    <w:rsid w:val="00C006E5"/>
    <w:rsid w:val="00C039EA"/>
    <w:rsid w:val="00C07A86"/>
    <w:rsid w:val="00C1435E"/>
    <w:rsid w:val="00C1509E"/>
    <w:rsid w:val="00C21412"/>
    <w:rsid w:val="00C242A6"/>
    <w:rsid w:val="00C273AC"/>
    <w:rsid w:val="00C27B2D"/>
    <w:rsid w:val="00C436A3"/>
    <w:rsid w:val="00C45716"/>
    <w:rsid w:val="00C472A6"/>
    <w:rsid w:val="00C51719"/>
    <w:rsid w:val="00C51AEA"/>
    <w:rsid w:val="00C62086"/>
    <w:rsid w:val="00C629AA"/>
    <w:rsid w:val="00C67510"/>
    <w:rsid w:val="00C75196"/>
    <w:rsid w:val="00C8100F"/>
    <w:rsid w:val="00C83A01"/>
    <w:rsid w:val="00C841DA"/>
    <w:rsid w:val="00C91EA2"/>
    <w:rsid w:val="00C94664"/>
    <w:rsid w:val="00C94744"/>
    <w:rsid w:val="00C95B60"/>
    <w:rsid w:val="00CA641D"/>
    <w:rsid w:val="00CB7824"/>
    <w:rsid w:val="00CD2B74"/>
    <w:rsid w:val="00CD30E9"/>
    <w:rsid w:val="00CD3832"/>
    <w:rsid w:val="00CD3936"/>
    <w:rsid w:val="00CE17E3"/>
    <w:rsid w:val="00CE3A4F"/>
    <w:rsid w:val="00CE58C5"/>
    <w:rsid w:val="00CF0C19"/>
    <w:rsid w:val="00CF5FCE"/>
    <w:rsid w:val="00CF62A1"/>
    <w:rsid w:val="00CF727C"/>
    <w:rsid w:val="00CF7A13"/>
    <w:rsid w:val="00D1422D"/>
    <w:rsid w:val="00D15DB9"/>
    <w:rsid w:val="00D206F8"/>
    <w:rsid w:val="00D26D0C"/>
    <w:rsid w:val="00D30478"/>
    <w:rsid w:val="00D30667"/>
    <w:rsid w:val="00D345E8"/>
    <w:rsid w:val="00D35A49"/>
    <w:rsid w:val="00D363F9"/>
    <w:rsid w:val="00D37A9E"/>
    <w:rsid w:val="00D404BF"/>
    <w:rsid w:val="00D4505F"/>
    <w:rsid w:val="00D472D6"/>
    <w:rsid w:val="00D47D45"/>
    <w:rsid w:val="00D509E3"/>
    <w:rsid w:val="00D51EA2"/>
    <w:rsid w:val="00D526CE"/>
    <w:rsid w:val="00D54390"/>
    <w:rsid w:val="00D617FE"/>
    <w:rsid w:val="00D6250F"/>
    <w:rsid w:val="00D64714"/>
    <w:rsid w:val="00D727A6"/>
    <w:rsid w:val="00D72AB5"/>
    <w:rsid w:val="00D74588"/>
    <w:rsid w:val="00D951DE"/>
    <w:rsid w:val="00DA1073"/>
    <w:rsid w:val="00DB0EE6"/>
    <w:rsid w:val="00DB59BA"/>
    <w:rsid w:val="00DC451B"/>
    <w:rsid w:val="00DC680C"/>
    <w:rsid w:val="00DD3A1C"/>
    <w:rsid w:val="00DE0235"/>
    <w:rsid w:val="00DE0F39"/>
    <w:rsid w:val="00DE3A0E"/>
    <w:rsid w:val="00DF1AFC"/>
    <w:rsid w:val="00DF31A3"/>
    <w:rsid w:val="00DF7266"/>
    <w:rsid w:val="00E04759"/>
    <w:rsid w:val="00E04950"/>
    <w:rsid w:val="00E05753"/>
    <w:rsid w:val="00E06DCD"/>
    <w:rsid w:val="00E10430"/>
    <w:rsid w:val="00E11571"/>
    <w:rsid w:val="00E1168C"/>
    <w:rsid w:val="00E20A39"/>
    <w:rsid w:val="00E26760"/>
    <w:rsid w:val="00E26F8D"/>
    <w:rsid w:val="00E27F2E"/>
    <w:rsid w:val="00E31358"/>
    <w:rsid w:val="00E32580"/>
    <w:rsid w:val="00E34D20"/>
    <w:rsid w:val="00E37FC8"/>
    <w:rsid w:val="00E41AB1"/>
    <w:rsid w:val="00E420BE"/>
    <w:rsid w:val="00E510B6"/>
    <w:rsid w:val="00E54AA9"/>
    <w:rsid w:val="00E600DB"/>
    <w:rsid w:val="00E66732"/>
    <w:rsid w:val="00E716A7"/>
    <w:rsid w:val="00E73A91"/>
    <w:rsid w:val="00E74346"/>
    <w:rsid w:val="00E800F6"/>
    <w:rsid w:val="00E868E7"/>
    <w:rsid w:val="00E86D77"/>
    <w:rsid w:val="00E92479"/>
    <w:rsid w:val="00E96282"/>
    <w:rsid w:val="00EA3C69"/>
    <w:rsid w:val="00EC5592"/>
    <w:rsid w:val="00ED0D12"/>
    <w:rsid w:val="00EE0158"/>
    <w:rsid w:val="00EE365D"/>
    <w:rsid w:val="00EE64B0"/>
    <w:rsid w:val="00EE729E"/>
    <w:rsid w:val="00EE7846"/>
    <w:rsid w:val="00EF0621"/>
    <w:rsid w:val="00EF3245"/>
    <w:rsid w:val="00F018E0"/>
    <w:rsid w:val="00F01E06"/>
    <w:rsid w:val="00F10C17"/>
    <w:rsid w:val="00F206C8"/>
    <w:rsid w:val="00F21227"/>
    <w:rsid w:val="00F23DED"/>
    <w:rsid w:val="00F23E7A"/>
    <w:rsid w:val="00F24DA8"/>
    <w:rsid w:val="00F334C9"/>
    <w:rsid w:val="00F4434A"/>
    <w:rsid w:val="00F455FF"/>
    <w:rsid w:val="00F45AAA"/>
    <w:rsid w:val="00F53974"/>
    <w:rsid w:val="00F6149F"/>
    <w:rsid w:val="00F672D2"/>
    <w:rsid w:val="00F82B41"/>
    <w:rsid w:val="00F84507"/>
    <w:rsid w:val="00F86144"/>
    <w:rsid w:val="00F92D5A"/>
    <w:rsid w:val="00FA6FE5"/>
    <w:rsid w:val="00FB4CF0"/>
    <w:rsid w:val="00FC2886"/>
    <w:rsid w:val="00FC6EAE"/>
    <w:rsid w:val="00FC7454"/>
    <w:rsid w:val="00FD237F"/>
    <w:rsid w:val="00FD3E95"/>
    <w:rsid w:val="00FE0B40"/>
    <w:rsid w:val="00FE5401"/>
    <w:rsid w:val="00FE5BCE"/>
    <w:rsid w:val="00FE6024"/>
    <w:rsid w:val="00FF0498"/>
    <w:rsid w:val="00FF3DFF"/>
    <w:rsid w:val="00FF5AE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C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70E"/>
    <w:pPr>
      <w:outlineLvl w:val="0"/>
    </w:pPr>
    <w:rPr>
      <w:rFonts w:ascii="Arial" w:hAnsi="Arial" w:cs="Arial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70E"/>
    <w:rPr>
      <w:rFonts w:ascii="Arial" w:hAnsi="Arial" w:cs="Arial"/>
      <w:b/>
      <w:bCs/>
      <w:color w:val="FF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E0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4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1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C1"/>
    <w:rPr>
      <w:rFonts w:ascii="Segoe UI" w:hAnsi="Segoe UI" w:cs="Segoe UI"/>
      <w:sz w:val="18"/>
      <w:szCs w:val="18"/>
    </w:rPr>
  </w:style>
  <w:style w:type="table" w:customStyle="1" w:styleId="1-11">
    <w:name w:val="הצללה בינונית 1 - הדגשה 11"/>
    <w:basedOn w:val="TableNormal"/>
    <w:next w:val="MediumShading1-Accent1"/>
    <w:uiPriority w:val="63"/>
    <w:rsid w:val="00E3135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E3135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-11">
    <w:name w:val="טבלת רשת 4 - הדגשה 11"/>
    <w:basedOn w:val="TableNormal"/>
    <w:uiPriority w:val="49"/>
    <w:rsid w:val="007400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D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26"/>
  </w:style>
  <w:style w:type="paragraph" w:styleId="Footer">
    <w:name w:val="footer"/>
    <w:basedOn w:val="Normal"/>
    <w:link w:val="FooterChar"/>
    <w:uiPriority w:val="99"/>
    <w:unhideWhenUsed/>
    <w:rsid w:val="005D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26"/>
  </w:style>
  <w:style w:type="character" w:styleId="Hyperlink">
    <w:name w:val="Hyperlink"/>
    <w:basedOn w:val="DefaultParagraphFont"/>
    <w:uiPriority w:val="99"/>
    <w:unhideWhenUsed/>
    <w:rsid w:val="008E4E20"/>
    <w:rPr>
      <w:color w:val="0563C1" w:themeColor="hyperlink"/>
      <w:u w:val="single"/>
    </w:rPr>
  </w:style>
  <w:style w:type="table" w:customStyle="1" w:styleId="GridTable5Dark-Accent21">
    <w:name w:val="Grid Table 5 Dark - Accent 21"/>
    <w:basedOn w:val="TableNormal"/>
    <w:uiPriority w:val="50"/>
    <w:rsid w:val="0070659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60D0"/>
    <w:rPr>
      <w:color w:val="954F72" w:themeColor="followedHyperlink"/>
      <w:u w:val="single"/>
    </w:rPr>
  </w:style>
  <w:style w:type="table" w:customStyle="1" w:styleId="-11">
    <w:name w:val="הצללה בהירה - הדגשה 11"/>
    <w:basedOn w:val="TableNormal"/>
    <w:uiPriority w:val="60"/>
    <w:rsid w:val="00050C1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vision">
    <w:name w:val="Revision"/>
    <w:hidden/>
    <w:uiPriority w:val="99"/>
    <w:semiHidden/>
    <w:rsid w:val="00027542"/>
    <w:pPr>
      <w:spacing w:after="0" w:line="240" w:lineRule="auto"/>
    </w:pPr>
  </w:style>
  <w:style w:type="character" w:customStyle="1" w:styleId="ts-alignment-element">
    <w:name w:val="ts-alignment-element"/>
    <w:basedOn w:val="DefaultParagraphFont"/>
    <w:rsid w:val="00E05753"/>
  </w:style>
  <w:style w:type="character" w:customStyle="1" w:styleId="ts-alignment-element-highlighted">
    <w:name w:val="ts-alignment-element-highlighted"/>
    <w:basedOn w:val="DefaultParagraphFont"/>
    <w:rsid w:val="00E0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8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2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97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0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7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1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5;&#1511;&#1512;%20&#1500;&#1511;&#1496;%20&#1493;BDO\&#1506;&#1493;&#1514;&#1511;%20&#1513;&#1500;%20&#1500;&#1511;&#1496;%20&#1497;&#1513;&#1512;&#1488;&#1500;%20-%20&#1488;&#1493;&#1489;&#1491;&#1503;%20&#1502;&#1494;&#1493;&#1503;%20-%20%2023.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bdo\dfsroot\TA_Publics\TA_Public-Consulting\&#1495;&#1489;&#1512;&#1514;%20&#1492;&#1497;&#1506;&#1493;&#1509;\YIUTZ\&#1499;&#1500;&#1499;&#1500;&#1492;\&#1500;&#1511;&#1496;%20&#1497;&#1513;&#1512;&#1488;&#1500;\&#1500;&#1511;&#1496;-2018\&#1502;&#1511;&#1493;&#1512;&#1493;&#1514;%20&#1502;&#1497;&#1491;&#1506;%20-%20&#1488;&#1493;&#1489;&#1491;&#1503;%20&#1489;&#1502;&#1511;&#1496;&#1506;%20&#1492;&#1489;&#1497;&#1497;&#1514;&#1497;\&#1490;&#1512;&#1508;&#1497;&#1501;%20&#1493;&#1496;&#1489;&#1500;&#1488;&#1493;&#1514;%20&#1500;&#1502;&#1505;&#1502;&#14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גרפים!$A$133:$A$143</c:f>
              <c:strCache>
                <c:ptCount val="11"/>
                <c:pt idx="0">
                  <c:v>ירקות</c:v>
                </c:pt>
                <c:pt idx="1">
                  <c:v>פירות</c:v>
                </c:pt>
                <c:pt idx="2">
                  <c:v>מזון מבושל</c:v>
                </c:pt>
                <c:pt idx="3">
                  <c:v>לחם ומוצרי מאפה</c:v>
                </c:pt>
                <c:pt idx="4">
                  <c:v>סלטים ארוזים</c:v>
                </c:pt>
                <c:pt idx="5">
                  <c:v>בשר ועוף</c:v>
                </c:pt>
                <c:pt idx="6">
                  <c:v>דגנים</c:v>
                </c:pt>
                <c:pt idx="7">
                  <c:v>חלב ומוצריו</c:v>
                </c:pt>
                <c:pt idx="8">
                  <c:v>קטניות </c:v>
                </c:pt>
                <c:pt idx="9">
                  <c:v>דגים ומאכלי ים</c:v>
                </c:pt>
                <c:pt idx="10">
                  <c:v>ביצים</c:v>
                </c:pt>
              </c:strCache>
            </c:strRef>
          </c:cat>
          <c:val>
            <c:numRef>
              <c:f>גרפים!$C$133:$C$143</c:f>
              <c:numCache>
                <c:formatCode>0%</c:formatCode>
                <c:ptCount val="11"/>
                <c:pt idx="0">
                  <c:v>0.25137370950938626</c:v>
                </c:pt>
                <c:pt idx="1">
                  <c:v>0.21201045346853006</c:v>
                </c:pt>
                <c:pt idx="2">
                  <c:v>0.20071130967562095</c:v>
                </c:pt>
                <c:pt idx="3">
                  <c:v>0.1583413802249517</c:v>
                </c:pt>
                <c:pt idx="4">
                  <c:v>0.12631106609243528</c:v>
                </c:pt>
                <c:pt idx="5">
                  <c:v>0.12136689292732593</c:v>
                </c:pt>
                <c:pt idx="6">
                  <c:v>0.11328775155503849</c:v>
                </c:pt>
                <c:pt idx="7">
                  <c:v>6.5734271966605862E-2</c:v>
                </c:pt>
                <c:pt idx="8">
                  <c:v>6.4965723483848076E-2</c:v>
                </c:pt>
                <c:pt idx="9">
                  <c:v>6.3475949334109077E-2</c:v>
                </c:pt>
                <c:pt idx="10">
                  <c:v>4.9924903970647583E-2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2-4409-909B-B099F18DA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8614752"/>
        <c:axId val="648615144"/>
      </c:barChart>
      <c:catAx>
        <c:axId val="6486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5144"/>
        <c:crosses val="autoZero"/>
        <c:auto val="1"/>
        <c:lblAlgn val="ctr"/>
        <c:lblOffset val="100"/>
        <c:noMultiLvlLbl val="0"/>
      </c:catAx>
      <c:valAx>
        <c:axId val="648615144"/>
        <c:scaling>
          <c:orientation val="minMax"/>
          <c:max val="0.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C21-4252-9D57-1E66B41F5F9B}"/>
              </c:ext>
            </c:extLst>
          </c:dPt>
          <c:cat>
            <c:strRef>
              <c:f>'אובדן מזון בינלאומי'!$A$24:$A$31</c:f>
              <c:strCache>
                <c:ptCount val="8"/>
                <c:pt idx="0">
                  <c:v>ארה"ב</c:v>
                </c:pt>
                <c:pt idx="1">
                  <c:v>ישראל</c:v>
                </c:pt>
                <c:pt idx="2">
                  <c:v>אירופה</c:v>
                </c:pt>
                <c:pt idx="3">
                  <c:v>יפן, סין וד' קוריאה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בינלאומי'!$B$24:$B$31</c:f>
              <c:numCache>
                <c:formatCode>0%</c:formatCode>
                <c:ptCount val="8"/>
                <c:pt idx="0">
                  <c:v>0.28000000000000003</c:v>
                </c:pt>
                <c:pt idx="1">
                  <c:v>0.23156509718742055</c:v>
                </c:pt>
                <c:pt idx="2">
                  <c:v>0.19</c:v>
                </c:pt>
                <c:pt idx="3">
                  <c:v>0.15</c:v>
                </c:pt>
                <c:pt idx="4">
                  <c:v>0.12</c:v>
                </c:pt>
                <c:pt idx="5">
                  <c:v>0.1</c:v>
                </c:pt>
                <c:pt idx="6">
                  <c:v>7.0000000000000007E-2</c:v>
                </c:pt>
                <c:pt idx="7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1-4252-9D57-1E66B41F5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8612008"/>
        <c:axId val="648612400"/>
      </c:barChart>
      <c:catAx>
        <c:axId val="64861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2400"/>
        <c:crosses val="autoZero"/>
        <c:auto val="1"/>
        <c:lblAlgn val="ctr"/>
        <c:lblOffset val="100"/>
        <c:noMultiLvlLbl val="0"/>
      </c:catAx>
      <c:valAx>
        <c:axId val="64861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700"/>
                  <a:t>שיעור האובדן של פירות וירקות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E03-4F18-9486-05B26A49620F}"/>
              </c:ext>
            </c:extLst>
          </c:dPt>
          <c:cat>
            <c:strRef>
              <c:f>'אובדן מזון בינלאומי'!$A$36:$A$43</c:f>
              <c:strCache>
                <c:ptCount val="8"/>
                <c:pt idx="0">
                  <c:v>ארה"ב</c:v>
                </c:pt>
                <c:pt idx="1">
                  <c:v>אירופה</c:v>
                </c:pt>
                <c:pt idx="2">
                  <c:v>יפן, סין וד' קוריאה</c:v>
                </c:pt>
                <c:pt idx="3">
                  <c:v>ישראל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בינלאומי'!$B$36:$B$43</c:f>
              <c:numCache>
                <c:formatCode>0%</c:formatCode>
                <c:ptCount val="8"/>
                <c:pt idx="0">
                  <c:v>0.27</c:v>
                </c:pt>
                <c:pt idx="1">
                  <c:v>0.25</c:v>
                </c:pt>
                <c:pt idx="2">
                  <c:v>0.2</c:v>
                </c:pt>
                <c:pt idx="3">
                  <c:v>0.13881777688334712</c:v>
                </c:pt>
                <c:pt idx="4">
                  <c:v>0.12</c:v>
                </c:pt>
                <c:pt idx="5">
                  <c:v>0.1</c:v>
                </c:pt>
                <c:pt idx="6">
                  <c:v>0.03</c:v>
                </c:pt>
                <c:pt idx="7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03-4F18-9486-05B26A496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8613184"/>
        <c:axId val="648612792"/>
      </c:barChart>
      <c:catAx>
        <c:axId val="64861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2792"/>
        <c:crosses val="autoZero"/>
        <c:auto val="1"/>
        <c:lblAlgn val="ctr"/>
        <c:lblOffset val="100"/>
        <c:noMultiLvlLbl val="0"/>
      </c:catAx>
      <c:valAx>
        <c:axId val="648612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700"/>
                  <a:t>שיעור האובדן</a:t>
                </a:r>
                <a:r>
                  <a:rPr lang="he-IL" sz="700" baseline="0"/>
                  <a:t> של דגנים וקטניות</a:t>
                </a:r>
                <a:endParaRPr lang="he-IL" sz="7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1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FFB-4930-823A-D293E434960F}"/>
              </c:ext>
            </c:extLst>
          </c:dPt>
          <c:cat>
            <c:strRef>
              <c:f>'אובדן מזון בינלאומי'!$A$59:$A$66</c:f>
              <c:strCache>
                <c:ptCount val="8"/>
                <c:pt idx="0">
                  <c:v>ארה"ב</c:v>
                </c:pt>
                <c:pt idx="1">
                  <c:v>ישראל</c:v>
                </c:pt>
                <c:pt idx="2">
                  <c:v>אירופה</c:v>
                </c:pt>
                <c:pt idx="3">
                  <c:v>יפן, סין וד' קוריאה</c:v>
                </c:pt>
                <c:pt idx="4">
                  <c:v>ד' אמריקה</c:v>
                </c:pt>
                <c:pt idx="5">
                  <c:v>צ' אפריקה ומערב אסיה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בינלאומי'!$B$59:$B$66</c:f>
              <c:numCache>
                <c:formatCode>0%</c:formatCode>
                <c:ptCount val="8"/>
                <c:pt idx="0">
                  <c:v>0.15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0.05</c:v>
                </c:pt>
                <c:pt idx="4">
                  <c:v>0.04</c:v>
                </c:pt>
                <c:pt idx="5">
                  <c:v>0.02</c:v>
                </c:pt>
                <c:pt idx="6">
                  <c:v>0.01</c:v>
                </c:pt>
                <c:pt idx="7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FB-4930-823A-D293E4349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560995528"/>
        <c:axId val="560996312"/>
      </c:barChart>
      <c:catAx>
        <c:axId val="56099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996312"/>
        <c:crosses val="autoZero"/>
        <c:auto val="1"/>
        <c:lblAlgn val="ctr"/>
        <c:lblOffset val="100"/>
        <c:noMultiLvlLbl val="0"/>
      </c:catAx>
      <c:valAx>
        <c:axId val="560996312"/>
        <c:scaling>
          <c:orientation val="minMax"/>
          <c:max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700"/>
                  <a:t>שיעור האובדן של חלב ומוצריו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995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CD9-4DA0-B966-B2CAA7584E11}"/>
              </c:ext>
            </c:extLst>
          </c:dPt>
          <c:cat>
            <c:strRef>
              <c:f>'אובדן מזון בינלאומי'!$A$49:$A$56</c:f>
              <c:strCache>
                <c:ptCount val="8"/>
                <c:pt idx="0">
                  <c:v>ארה"ב</c:v>
                </c:pt>
                <c:pt idx="1">
                  <c:v>אירופה</c:v>
                </c:pt>
                <c:pt idx="2">
                  <c:v>ישראל</c:v>
                </c:pt>
                <c:pt idx="3">
                  <c:v>יפן, סין וד' קוריאה</c:v>
                </c:pt>
                <c:pt idx="4">
                  <c:v>צ' אפריקה ומערב אסיה</c:v>
                </c:pt>
                <c:pt idx="5">
                  <c:v>ד' אמריקה</c:v>
                </c:pt>
                <c:pt idx="6">
                  <c:v>ד' מזרח אסיה</c:v>
                </c:pt>
                <c:pt idx="7">
                  <c:v>אפריקה</c:v>
                </c:pt>
              </c:strCache>
            </c:strRef>
          </c:cat>
          <c:val>
            <c:numRef>
              <c:f>'אובדן מזון בינלאומי'!$B$49:$B$56</c:f>
              <c:numCache>
                <c:formatCode>0%</c:formatCode>
                <c:ptCount val="8"/>
                <c:pt idx="0">
                  <c:v>0.13156484498143717</c:v>
                </c:pt>
                <c:pt idx="1">
                  <c:v>0.11</c:v>
                </c:pt>
                <c:pt idx="2">
                  <c:v>0.08</c:v>
                </c:pt>
                <c:pt idx="3">
                  <c:v>0.08</c:v>
                </c:pt>
                <c:pt idx="4">
                  <c:v>0.08</c:v>
                </c:pt>
                <c:pt idx="5">
                  <c:v>5.8039559547142086E-2</c:v>
                </c:pt>
                <c:pt idx="6">
                  <c:v>3.8039559547142082E-2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9-4DA0-B966-B2CAA7584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560997880"/>
        <c:axId val="560996704"/>
      </c:barChart>
      <c:catAx>
        <c:axId val="56099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996704"/>
        <c:crosses val="autoZero"/>
        <c:auto val="1"/>
        <c:lblAlgn val="ctr"/>
        <c:lblOffset val="100"/>
        <c:noMultiLvlLbl val="0"/>
      </c:catAx>
      <c:valAx>
        <c:axId val="560996704"/>
        <c:scaling>
          <c:orientation val="minMax"/>
          <c:max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700"/>
                  <a:t>שיעור האובדן של בשר, ביצים ודגים</a:t>
                </a:r>
              </a:p>
            </c:rich>
          </c:tx>
          <c:layout>
            <c:manualLayout>
              <c:xMode val="edge"/>
              <c:yMode val="edge"/>
              <c:x val="5.0597976080956765E-2"/>
              <c:y val="3.81970970206264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99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73DA-4A59-4D3B-9E12-6513EF0A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2022-09-14T09:13:00Z</dcterms:created>
  <dcterms:modified xsi:type="dcterms:W3CDTF">2022-09-14T12:21:00Z</dcterms:modified>
</cp:coreProperties>
</file>