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32B5" w14:textId="103B202A" w:rsidR="00FE0B40" w:rsidRDefault="00186481" w:rsidP="00C1590C">
      <w:pPr>
        <w:pStyle w:val="Heading1"/>
        <w:numPr>
          <w:ilvl w:val="0"/>
          <w:numId w:val="13"/>
        </w:numPr>
        <w:spacing w:line="360" w:lineRule="auto"/>
        <w:jc w:val="both"/>
      </w:pPr>
      <w:r w:rsidRPr="00B22788">
        <w:t>How Much Food Can Be Rescued?</w:t>
      </w:r>
    </w:p>
    <w:p w14:paraId="7D501733" w14:textId="5A64123B" w:rsidR="00C62675" w:rsidRPr="00CA083A" w:rsidRDefault="00C62675" w:rsidP="00C62675">
      <w:pPr>
        <w:rPr>
          <w:rFonts w:asciiTheme="minorBidi" w:hAnsiTheme="minorBidi"/>
          <w:b/>
          <w:bCs/>
          <w:sz w:val="24"/>
          <w:szCs w:val="24"/>
          <w:lang w:val="en-GB"/>
        </w:rPr>
      </w:pPr>
      <w:r w:rsidRPr="00CA083A">
        <w:rPr>
          <w:rFonts w:asciiTheme="minorBidi" w:hAnsiTheme="minorBidi"/>
          <w:b/>
          <w:bCs/>
          <w:sz w:val="24"/>
          <w:szCs w:val="24"/>
          <w:lang w:val="en-GB"/>
        </w:rPr>
        <w:t xml:space="preserve">NIS </w:t>
      </w:r>
      <w:r w:rsidR="00CA083A" w:rsidRPr="00CA083A">
        <w:rPr>
          <w:rFonts w:asciiTheme="minorBidi" w:hAnsiTheme="minorBidi"/>
          <w:b/>
          <w:bCs/>
          <w:sz w:val="24"/>
          <w:szCs w:val="24"/>
          <w:lang w:val="en-GB"/>
        </w:rPr>
        <w:t xml:space="preserve">7.5 </w:t>
      </w:r>
      <w:r w:rsidRPr="00CA083A">
        <w:rPr>
          <w:rFonts w:asciiTheme="minorBidi" w:hAnsiTheme="minorBidi"/>
          <w:b/>
          <w:bCs/>
          <w:sz w:val="24"/>
          <w:szCs w:val="24"/>
          <w:lang w:val="en-GB"/>
        </w:rPr>
        <w:t>billion worth of food is rescuable</w:t>
      </w:r>
    </w:p>
    <w:p w14:paraId="483246D3" w14:textId="0C102EDA" w:rsidR="000C6758" w:rsidRPr="00B22788" w:rsidRDefault="000C6758" w:rsidP="005F43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 xml:space="preserve">Approximately </w:t>
      </w:r>
      <w:r w:rsidR="00CA083A">
        <w:rPr>
          <w:rFonts w:ascii="Arial" w:hAnsi="Arial" w:cs="Arial"/>
          <w:sz w:val="24"/>
          <w:szCs w:val="24"/>
        </w:rPr>
        <w:t>40</w:t>
      </w:r>
      <w:r w:rsidRPr="00B22788">
        <w:rPr>
          <w:rFonts w:ascii="Arial" w:hAnsi="Arial" w:cs="Arial"/>
          <w:sz w:val="24"/>
          <w:szCs w:val="24"/>
        </w:rPr>
        <w:t>% of food produced in Israel is</w:t>
      </w:r>
      <w:r w:rsidR="000C6504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lost or wasted during the production, distribution</w:t>
      </w:r>
      <w:r w:rsidR="000C6504" w:rsidRPr="00B22788">
        <w:rPr>
          <w:rFonts w:ascii="Arial" w:hAnsi="Arial" w:cs="Arial"/>
          <w:sz w:val="24"/>
          <w:szCs w:val="24"/>
        </w:rPr>
        <w:t xml:space="preserve">, </w:t>
      </w:r>
      <w:r w:rsidRPr="00B22788">
        <w:rPr>
          <w:rFonts w:ascii="Arial" w:hAnsi="Arial" w:cs="Arial"/>
          <w:sz w:val="24"/>
          <w:szCs w:val="24"/>
        </w:rPr>
        <w:t xml:space="preserve">and consumption stages, totaling </w:t>
      </w:r>
      <w:r w:rsidR="000C6504" w:rsidRPr="00B22788">
        <w:rPr>
          <w:rFonts w:ascii="Arial" w:hAnsi="Arial" w:cs="Arial"/>
          <w:sz w:val="24"/>
          <w:szCs w:val="24"/>
        </w:rPr>
        <w:t xml:space="preserve">at </w:t>
      </w:r>
      <w:r w:rsidRPr="00B22788">
        <w:rPr>
          <w:rFonts w:ascii="Arial" w:hAnsi="Arial" w:cs="Arial"/>
          <w:sz w:val="24"/>
          <w:szCs w:val="24"/>
        </w:rPr>
        <w:t>approximately</w:t>
      </w:r>
      <w:r w:rsidR="000C6504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2.</w:t>
      </w:r>
      <w:r w:rsidR="00CA083A">
        <w:rPr>
          <w:rFonts w:ascii="Arial" w:hAnsi="Arial" w:cs="Arial"/>
          <w:sz w:val="24"/>
          <w:szCs w:val="24"/>
        </w:rPr>
        <w:t xml:space="preserve">6 </w:t>
      </w:r>
      <w:r w:rsidRPr="00B22788">
        <w:rPr>
          <w:rFonts w:ascii="Arial" w:hAnsi="Arial" w:cs="Arial"/>
          <w:sz w:val="24"/>
          <w:szCs w:val="24"/>
        </w:rPr>
        <w:t>million tons annually. The direct cost of food waste</w:t>
      </w:r>
      <w:r w:rsidR="000C6504" w:rsidRPr="00B22788">
        <w:rPr>
          <w:rFonts w:ascii="Arial" w:hAnsi="Arial" w:cs="Arial"/>
          <w:sz w:val="24"/>
          <w:szCs w:val="24"/>
        </w:rPr>
        <w:t xml:space="preserve"> in Israel</w:t>
      </w:r>
      <w:r w:rsidRPr="00B22788">
        <w:rPr>
          <w:rFonts w:ascii="Arial" w:hAnsi="Arial" w:cs="Arial"/>
          <w:sz w:val="24"/>
          <w:szCs w:val="24"/>
        </w:rPr>
        <w:t xml:space="preserve"> is NIS </w:t>
      </w:r>
      <w:r w:rsidR="00CA083A">
        <w:rPr>
          <w:rFonts w:ascii="Arial" w:hAnsi="Arial" w:cs="Arial"/>
          <w:sz w:val="24"/>
          <w:szCs w:val="24"/>
        </w:rPr>
        <w:t>21.4</w:t>
      </w:r>
      <w:r w:rsidRPr="00B22788">
        <w:rPr>
          <w:rFonts w:ascii="Arial" w:hAnsi="Arial" w:cs="Arial"/>
          <w:sz w:val="24"/>
          <w:szCs w:val="24"/>
        </w:rPr>
        <w:t xml:space="preserve"> billion, </w:t>
      </w:r>
      <w:r w:rsidR="000C6504" w:rsidRPr="00B22788">
        <w:rPr>
          <w:rFonts w:ascii="Arial" w:hAnsi="Arial" w:cs="Arial"/>
          <w:sz w:val="24"/>
          <w:szCs w:val="24"/>
        </w:rPr>
        <w:t>which constitute</w:t>
      </w:r>
      <w:r w:rsidR="005F4395">
        <w:rPr>
          <w:rFonts w:ascii="Arial" w:hAnsi="Arial" w:cs="Arial"/>
          <w:sz w:val="24"/>
          <w:szCs w:val="24"/>
        </w:rPr>
        <w:t>s</w:t>
      </w:r>
      <w:r w:rsidRPr="00B22788">
        <w:rPr>
          <w:rFonts w:ascii="Arial" w:hAnsi="Arial" w:cs="Arial"/>
          <w:sz w:val="24"/>
          <w:szCs w:val="24"/>
        </w:rPr>
        <w:t xml:space="preserve"> 1.</w:t>
      </w:r>
      <w:r w:rsidR="000C6504" w:rsidRPr="00B22788">
        <w:rPr>
          <w:rFonts w:ascii="Arial" w:hAnsi="Arial" w:cs="Arial"/>
          <w:sz w:val="24"/>
          <w:szCs w:val="24"/>
        </w:rPr>
        <w:t>4</w:t>
      </w:r>
      <w:r w:rsidRPr="00B22788">
        <w:rPr>
          <w:rFonts w:ascii="Arial" w:hAnsi="Arial" w:cs="Arial"/>
          <w:sz w:val="24"/>
          <w:szCs w:val="24"/>
        </w:rPr>
        <w:t>%</w:t>
      </w:r>
      <w:r w:rsidR="000C6504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of the GNP. When taking into account the cost of</w:t>
      </w:r>
      <w:r w:rsidR="000C6504" w:rsidRPr="00B22788">
        <w:rPr>
          <w:rFonts w:ascii="Arial" w:hAnsi="Arial" w:cs="Arial"/>
          <w:sz w:val="24"/>
          <w:szCs w:val="24"/>
        </w:rPr>
        <w:t xml:space="preserve"> greenhouse gas</w:t>
      </w:r>
      <w:r w:rsidRPr="00B22788">
        <w:rPr>
          <w:rFonts w:ascii="Arial" w:hAnsi="Arial" w:cs="Arial"/>
          <w:sz w:val="24"/>
          <w:szCs w:val="24"/>
        </w:rPr>
        <w:t xml:space="preserve"> and air pollutant emissions resulting from</w:t>
      </w:r>
      <w:r w:rsidR="000C6504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food waste, the total cost</w:t>
      </w:r>
      <w:r w:rsidR="005F4395">
        <w:rPr>
          <w:rFonts w:ascii="Arial" w:hAnsi="Arial" w:cs="Arial"/>
          <w:sz w:val="24"/>
          <w:szCs w:val="24"/>
        </w:rPr>
        <w:t xml:space="preserve"> of food waste</w:t>
      </w:r>
      <w:r w:rsidRPr="00B22788">
        <w:rPr>
          <w:rFonts w:ascii="Arial" w:hAnsi="Arial" w:cs="Arial"/>
          <w:sz w:val="24"/>
          <w:szCs w:val="24"/>
        </w:rPr>
        <w:t xml:space="preserve"> amounts</w:t>
      </w:r>
      <w:r w:rsidR="000C6504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to approximately NIS 2</w:t>
      </w:r>
      <w:r w:rsidR="00CA083A">
        <w:rPr>
          <w:rFonts w:ascii="Arial" w:hAnsi="Arial" w:cs="Arial"/>
          <w:sz w:val="24"/>
          <w:szCs w:val="24"/>
        </w:rPr>
        <w:t>3.5</w:t>
      </w:r>
      <w:r w:rsidRPr="00B22788">
        <w:rPr>
          <w:rFonts w:ascii="Arial" w:hAnsi="Arial" w:cs="Arial"/>
          <w:sz w:val="24"/>
          <w:szCs w:val="24"/>
        </w:rPr>
        <w:t xml:space="preserve"> billion</w:t>
      </w:r>
      <w:r w:rsidR="000C6504" w:rsidRPr="00B22788">
        <w:rPr>
          <w:rFonts w:ascii="Arial" w:hAnsi="Arial" w:cs="Arial"/>
          <w:sz w:val="24"/>
          <w:szCs w:val="24"/>
        </w:rPr>
        <w:t xml:space="preserve">. Of this, </w:t>
      </w:r>
      <w:r w:rsidRPr="00B22788">
        <w:rPr>
          <w:rFonts w:ascii="Arial" w:hAnsi="Arial" w:cs="Arial"/>
          <w:sz w:val="24"/>
          <w:szCs w:val="24"/>
        </w:rPr>
        <w:t xml:space="preserve">about </w:t>
      </w:r>
      <w:r w:rsidR="000C6504" w:rsidRPr="00B22788">
        <w:rPr>
          <w:rFonts w:ascii="Arial" w:hAnsi="Arial" w:cs="Arial"/>
          <w:sz w:val="24"/>
          <w:szCs w:val="24"/>
        </w:rPr>
        <w:t>50%</w:t>
      </w:r>
      <w:r w:rsidRPr="00B22788">
        <w:rPr>
          <w:rFonts w:ascii="Arial" w:hAnsi="Arial" w:cs="Arial"/>
          <w:sz w:val="24"/>
          <w:szCs w:val="24"/>
        </w:rPr>
        <w:t xml:space="preserve"> is</w:t>
      </w:r>
      <w:r w:rsidR="000C6504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rescuable </w:t>
      </w:r>
      <w:r w:rsidR="005F4395">
        <w:rPr>
          <w:rFonts w:ascii="Arial" w:hAnsi="Arial" w:cs="Arial"/>
          <w:sz w:val="24"/>
          <w:szCs w:val="24"/>
        </w:rPr>
        <w:t xml:space="preserve">food </w:t>
      </w:r>
      <w:r w:rsidRPr="00B22788">
        <w:rPr>
          <w:rFonts w:ascii="Arial" w:hAnsi="Arial" w:cs="Arial"/>
          <w:sz w:val="24"/>
          <w:szCs w:val="24"/>
        </w:rPr>
        <w:t>fit for human consumption.</w:t>
      </w:r>
    </w:p>
    <w:p w14:paraId="0A1481E7" w14:textId="77777777" w:rsidR="000C6504" w:rsidRPr="00B22788" w:rsidRDefault="000C6504" w:rsidP="000C65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1E7F64" w14:textId="42308A36" w:rsidR="000C6758" w:rsidRPr="00B22788" w:rsidRDefault="000C6758" w:rsidP="005F43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 xml:space="preserve">In terms of food rescue, the </w:t>
      </w:r>
      <w:r w:rsidR="005F4395">
        <w:rPr>
          <w:rFonts w:ascii="Arial" w:hAnsi="Arial" w:cs="Arial"/>
          <w:sz w:val="24"/>
          <w:szCs w:val="24"/>
        </w:rPr>
        <w:t>central</w:t>
      </w:r>
      <w:r w:rsidR="00CD3832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compo</w:t>
      </w:r>
      <w:r w:rsidR="00CF62A1" w:rsidRPr="00B22788">
        <w:rPr>
          <w:rFonts w:ascii="Arial" w:hAnsi="Arial" w:cs="Arial"/>
          <w:sz w:val="24"/>
          <w:szCs w:val="24"/>
        </w:rPr>
        <w:t xml:space="preserve">nent is </w:t>
      </w:r>
      <w:r w:rsidR="005F4395">
        <w:rPr>
          <w:rFonts w:ascii="Arial" w:hAnsi="Arial" w:cs="Arial"/>
          <w:sz w:val="24"/>
          <w:szCs w:val="24"/>
        </w:rPr>
        <w:t xml:space="preserve">unconsumed </w:t>
      </w:r>
      <w:r w:rsidR="00CF62A1" w:rsidRPr="00B22788">
        <w:rPr>
          <w:rFonts w:ascii="Arial" w:hAnsi="Arial" w:cs="Arial"/>
          <w:sz w:val="24"/>
          <w:szCs w:val="24"/>
        </w:rPr>
        <w:t>edible food</w:t>
      </w:r>
      <w:r w:rsidRPr="00B22788">
        <w:rPr>
          <w:rFonts w:ascii="Arial" w:hAnsi="Arial" w:cs="Arial"/>
          <w:sz w:val="24"/>
          <w:szCs w:val="24"/>
        </w:rPr>
        <w:t xml:space="preserve"> (fit for consumption</w:t>
      </w:r>
      <w:r w:rsidR="00CF62A1" w:rsidRPr="00B22788">
        <w:rPr>
          <w:rFonts w:ascii="Arial" w:hAnsi="Arial" w:cs="Arial"/>
          <w:sz w:val="24"/>
          <w:szCs w:val="24"/>
        </w:rPr>
        <w:t xml:space="preserve"> </w:t>
      </w:r>
      <w:r w:rsidR="00290B5D">
        <w:rPr>
          <w:rFonts w:ascii="Arial" w:hAnsi="Arial" w:cs="Arial"/>
          <w:sz w:val="24"/>
          <w:szCs w:val="24"/>
        </w:rPr>
        <w:t>with</w:t>
      </w:r>
      <w:r w:rsidRPr="00B22788">
        <w:rPr>
          <w:rFonts w:ascii="Arial" w:hAnsi="Arial" w:cs="Arial"/>
          <w:sz w:val="24"/>
          <w:szCs w:val="24"/>
        </w:rPr>
        <w:t xml:space="preserve"> nutritional </w:t>
      </w:r>
      <w:r w:rsidR="005F4395">
        <w:rPr>
          <w:rFonts w:ascii="Arial" w:hAnsi="Arial" w:cs="Arial"/>
          <w:sz w:val="24"/>
          <w:szCs w:val="24"/>
        </w:rPr>
        <w:t>value and health benefits</w:t>
      </w:r>
      <w:r w:rsidRPr="00B22788">
        <w:rPr>
          <w:rFonts w:ascii="Arial" w:hAnsi="Arial" w:cs="Arial"/>
          <w:sz w:val="24"/>
          <w:szCs w:val="24"/>
        </w:rPr>
        <w:t>). There are various</w:t>
      </w:r>
      <w:r w:rsidR="00CD3832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reasons </w:t>
      </w:r>
      <w:r w:rsidR="00DC680C" w:rsidRPr="00B22788">
        <w:rPr>
          <w:rFonts w:ascii="Arial" w:hAnsi="Arial" w:cs="Arial"/>
          <w:sz w:val="24"/>
          <w:szCs w:val="24"/>
        </w:rPr>
        <w:t>why waste occurs in eac</w:t>
      </w:r>
      <w:r w:rsidRPr="00B22788">
        <w:rPr>
          <w:rFonts w:ascii="Arial" w:hAnsi="Arial" w:cs="Arial"/>
          <w:sz w:val="24"/>
          <w:szCs w:val="24"/>
        </w:rPr>
        <w:t xml:space="preserve">h </w:t>
      </w:r>
      <w:r w:rsidR="001A2457" w:rsidRPr="00B22788">
        <w:rPr>
          <w:rFonts w:ascii="Arial" w:hAnsi="Arial" w:cs="Arial"/>
          <w:sz w:val="24"/>
          <w:szCs w:val="24"/>
        </w:rPr>
        <w:t xml:space="preserve">value </w:t>
      </w:r>
      <w:r w:rsidRPr="00B22788">
        <w:rPr>
          <w:rFonts w:ascii="Arial" w:hAnsi="Arial" w:cs="Arial"/>
          <w:sz w:val="24"/>
          <w:szCs w:val="24"/>
        </w:rPr>
        <w:t>stage of the</w:t>
      </w:r>
      <w:r w:rsidR="00CD3832" w:rsidRPr="00B22788">
        <w:rPr>
          <w:rFonts w:ascii="Arial" w:hAnsi="Arial" w:cs="Arial"/>
          <w:sz w:val="24"/>
          <w:szCs w:val="24"/>
        </w:rPr>
        <w:t xml:space="preserve"> </w:t>
      </w:r>
      <w:r w:rsidR="001A2457" w:rsidRPr="00B22788">
        <w:rPr>
          <w:rFonts w:ascii="Arial" w:hAnsi="Arial" w:cs="Arial"/>
          <w:sz w:val="24"/>
          <w:szCs w:val="24"/>
        </w:rPr>
        <w:t>production</w:t>
      </w:r>
      <w:r w:rsidRPr="00B22788">
        <w:rPr>
          <w:rFonts w:ascii="Arial" w:hAnsi="Arial" w:cs="Arial"/>
          <w:sz w:val="24"/>
          <w:szCs w:val="24"/>
        </w:rPr>
        <w:t xml:space="preserve"> chain. The common denominator</w:t>
      </w:r>
      <w:r w:rsidR="00CF62A1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is </w:t>
      </w:r>
      <w:r w:rsidR="005F4395">
        <w:rPr>
          <w:rFonts w:ascii="Arial" w:hAnsi="Arial" w:cs="Arial"/>
          <w:sz w:val="24"/>
          <w:szCs w:val="24"/>
        </w:rPr>
        <w:t xml:space="preserve">the </w:t>
      </w:r>
      <w:r w:rsidRPr="00B22788">
        <w:rPr>
          <w:rFonts w:ascii="Arial" w:hAnsi="Arial" w:cs="Arial"/>
          <w:sz w:val="24"/>
          <w:szCs w:val="24"/>
        </w:rPr>
        <w:t>lack of economic viability for food producers</w:t>
      </w:r>
      <w:r w:rsidR="00CD3832" w:rsidRPr="00B22788">
        <w:rPr>
          <w:rFonts w:ascii="Arial" w:hAnsi="Arial" w:cs="Arial"/>
          <w:sz w:val="24"/>
          <w:szCs w:val="24"/>
        </w:rPr>
        <w:t xml:space="preserve"> </w:t>
      </w:r>
      <w:r w:rsidR="001A2457" w:rsidRPr="00B22788">
        <w:rPr>
          <w:rFonts w:ascii="Arial" w:hAnsi="Arial" w:cs="Arial"/>
          <w:sz w:val="24"/>
          <w:szCs w:val="24"/>
        </w:rPr>
        <w:t>(</w:t>
      </w:r>
      <w:r w:rsidRPr="00B22788">
        <w:rPr>
          <w:rFonts w:ascii="Arial" w:hAnsi="Arial" w:cs="Arial"/>
          <w:sz w:val="24"/>
          <w:szCs w:val="24"/>
        </w:rPr>
        <w:t xml:space="preserve">farmers, manufacturers, </w:t>
      </w:r>
      <w:r w:rsidR="001A2457" w:rsidRPr="00B22788">
        <w:rPr>
          <w:rFonts w:ascii="Arial" w:hAnsi="Arial" w:cs="Arial"/>
          <w:sz w:val="24"/>
          <w:szCs w:val="24"/>
        </w:rPr>
        <w:t>retailers</w:t>
      </w:r>
      <w:r w:rsidRPr="00B22788">
        <w:rPr>
          <w:rFonts w:ascii="Arial" w:hAnsi="Arial" w:cs="Arial"/>
          <w:sz w:val="24"/>
          <w:szCs w:val="24"/>
        </w:rPr>
        <w:t>, etc.) to</w:t>
      </w:r>
      <w:r w:rsidR="00CD3832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invest additional resources in the </w:t>
      </w:r>
      <w:r w:rsidR="005F4395">
        <w:rPr>
          <w:rFonts w:ascii="Arial" w:hAnsi="Arial" w:cs="Arial"/>
          <w:sz w:val="24"/>
          <w:szCs w:val="24"/>
        </w:rPr>
        <w:t>next</w:t>
      </w:r>
      <w:r w:rsidR="00CD3832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stages of production and distribution.</w:t>
      </w:r>
    </w:p>
    <w:p w14:paraId="50072F13" w14:textId="77777777" w:rsidR="000C6504" w:rsidRPr="00B22788" w:rsidRDefault="000C6504" w:rsidP="000C65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5C31B0" w14:textId="5B33024C" w:rsidR="000C6504" w:rsidRDefault="000C6758" w:rsidP="00874E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213">
        <w:rPr>
          <w:rFonts w:ascii="Arial" w:hAnsi="Arial" w:cs="Arial"/>
          <w:sz w:val="24"/>
          <w:szCs w:val="24"/>
        </w:rPr>
        <w:t>Reducing</w:t>
      </w:r>
      <w:r w:rsidRPr="00B22788">
        <w:rPr>
          <w:rFonts w:ascii="Arial" w:hAnsi="Arial" w:cs="Arial"/>
          <w:sz w:val="24"/>
          <w:szCs w:val="24"/>
        </w:rPr>
        <w:t xml:space="preserve"> food waste, </w:t>
      </w:r>
      <w:r w:rsidR="005B1743" w:rsidRPr="00B22788">
        <w:rPr>
          <w:rFonts w:ascii="Arial" w:hAnsi="Arial" w:cs="Arial"/>
          <w:sz w:val="24"/>
          <w:szCs w:val="24"/>
        </w:rPr>
        <w:t>whether</w:t>
      </w:r>
      <w:r w:rsidRPr="00B22788">
        <w:rPr>
          <w:rFonts w:ascii="Arial" w:hAnsi="Arial" w:cs="Arial"/>
          <w:sz w:val="24"/>
          <w:szCs w:val="24"/>
        </w:rPr>
        <w:t xml:space="preserve"> by </w:t>
      </w:r>
      <w:r w:rsidR="005B1743" w:rsidRPr="00B22788">
        <w:rPr>
          <w:rFonts w:ascii="Arial" w:hAnsi="Arial" w:cs="Arial"/>
          <w:sz w:val="24"/>
          <w:szCs w:val="24"/>
        </w:rPr>
        <w:t>preventing waste production</w:t>
      </w:r>
      <w:r w:rsidRPr="00B22788">
        <w:rPr>
          <w:rFonts w:ascii="Arial" w:hAnsi="Arial" w:cs="Arial"/>
          <w:sz w:val="24"/>
          <w:szCs w:val="24"/>
        </w:rPr>
        <w:t xml:space="preserve"> or rescuing </w:t>
      </w:r>
      <w:r w:rsidR="005B1743" w:rsidRPr="00B22788">
        <w:rPr>
          <w:rFonts w:ascii="Arial" w:hAnsi="Arial" w:cs="Arial"/>
          <w:sz w:val="24"/>
          <w:szCs w:val="24"/>
        </w:rPr>
        <w:t>surpluses</w:t>
      </w:r>
      <w:r w:rsidRPr="00B22788">
        <w:rPr>
          <w:rFonts w:ascii="Arial" w:hAnsi="Arial" w:cs="Arial"/>
          <w:sz w:val="24"/>
          <w:szCs w:val="24"/>
        </w:rPr>
        <w:t xml:space="preserve">, is </w:t>
      </w:r>
      <w:r w:rsidR="00553213">
        <w:rPr>
          <w:rFonts w:ascii="Arial" w:hAnsi="Arial" w:cs="Arial"/>
          <w:sz w:val="24"/>
          <w:szCs w:val="24"/>
        </w:rPr>
        <w:t>a</w:t>
      </w:r>
      <w:r w:rsidR="005B1743" w:rsidRPr="00B22788">
        <w:rPr>
          <w:rFonts w:ascii="Arial" w:hAnsi="Arial" w:cs="Arial"/>
          <w:sz w:val="24"/>
          <w:szCs w:val="24"/>
        </w:rPr>
        <w:t xml:space="preserve"> top </w:t>
      </w:r>
      <w:r w:rsidR="00553213">
        <w:rPr>
          <w:rFonts w:ascii="Arial" w:hAnsi="Arial" w:cs="Arial"/>
          <w:sz w:val="24"/>
          <w:szCs w:val="24"/>
        </w:rPr>
        <w:t>global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553213">
        <w:rPr>
          <w:rFonts w:ascii="Arial" w:hAnsi="Arial" w:cs="Arial"/>
          <w:sz w:val="24"/>
          <w:szCs w:val="24"/>
        </w:rPr>
        <w:t>priority</w:t>
      </w:r>
      <w:r w:rsidRPr="00B22788">
        <w:rPr>
          <w:rFonts w:ascii="Arial" w:hAnsi="Arial" w:cs="Arial"/>
          <w:sz w:val="24"/>
          <w:szCs w:val="24"/>
        </w:rPr>
        <w:t>.</w:t>
      </w:r>
      <w:r w:rsidR="00140ADB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The estimated amount of </w:t>
      </w:r>
      <w:r w:rsidR="00553213">
        <w:rPr>
          <w:rFonts w:ascii="Arial" w:hAnsi="Arial" w:cs="Arial"/>
          <w:sz w:val="24"/>
          <w:szCs w:val="24"/>
        </w:rPr>
        <w:t xml:space="preserve">rescuable </w:t>
      </w:r>
      <w:r w:rsidRPr="00B22788">
        <w:rPr>
          <w:rFonts w:ascii="Arial" w:hAnsi="Arial" w:cs="Arial"/>
          <w:sz w:val="24"/>
          <w:szCs w:val="24"/>
        </w:rPr>
        <w:t>food is</w:t>
      </w:r>
      <w:r w:rsidR="00140ADB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derived from </w:t>
      </w:r>
      <w:r w:rsidR="00553213">
        <w:rPr>
          <w:rFonts w:ascii="Arial" w:hAnsi="Arial" w:cs="Arial"/>
          <w:sz w:val="24"/>
          <w:szCs w:val="24"/>
        </w:rPr>
        <w:t>a</w:t>
      </w:r>
      <w:r w:rsidRPr="00B22788">
        <w:rPr>
          <w:rFonts w:ascii="Arial" w:hAnsi="Arial" w:cs="Arial"/>
          <w:sz w:val="24"/>
          <w:szCs w:val="24"/>
        </w:rPr>
        <w:t xml:space="preserve"> value chain model designed</w:t>
      </w:r>
      <w:r w:rsidR="00140ADB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specifically for the food industry. </w:t>
      </w:r>
      <w:r w:rsidR="00874E70">
        <w:rPr>
          <w:rFonts w:ascii="Arial" w:hAnsi="Arial" w:cs="Arial"/>
          <w:sz w:val="24"/>
          <w:szCs w:val="24"/>
        </w:rPr>
        <w:t xml:space="preserve">Every type of wasted food </w:t>
      </w:r>
      <w:r w:rsidRPr="00B22788">
        <w:rPr>
          <w:rFonts w:ascii="Arial" w:hAnsi="Arial" w:cs="Arial"/>
          <w:sz w:val="24"/>
          <w:szCs w:val="24"/>
        </w:rPr>
        <w:t xml:space="preserve">at </w:t>
      </w:r>
      <w:r w:rsidR="00874E70">
        <w:rPr>
          <w:rFonts w:ascii="Arial" w:hAnsi="Arial" w:cs="Arial"/>
          <w:sz w:val="24"/>
          <w:szCs w:val="24"/>
        </w:rPr>
        <w:t>each</w:t>
      </w:r>
      <w:r w:rsidRPr="00B22788">
        <w:rPr>
          <w:rFonts w:ascii="Arial" w:hAnsi="Arial" w:cs="Arial"/>
          <w:sz w:val="24"/>
          <w:szCs w:val="24"/>
        </w:rPr>
        <w:t xml:space="preserve"> stage of the value chain</w:t>
      </w:r>
      <w:r w:rsidR="008043D8" w:rsidRPr="00B22788">
        <w:rPr>
          <w:rFonts w:ascii="Arial" w:hAnsi="Arial" w:cs="Arial"/>
          <w:sz w:val="24"/>
          <w:szCs w:val="24"/>
        </w:rPr>
        <w:t xml:space="preserve"> </w:t>
      </w:r>
      <w:r w:rsidR="00874E70">
        <w:rPr>
          <w:rFonts w:ascii="Arial" w:hAnsi="Arial" w:cs="Arial"/>
          <w:sz w:val="24"/>
          <w:szCs w:val="24"/>
        </w:rPr>
        <w:t>was analyzed and classified</w:t>
      </w:r>
      <w:r w:rsidR="008043D8" w:rsidRPr="00B22788">
        <w:rPr>
          <w:rFonts w:ascii="Arial" w:hAnsi="Arial" w:cs="Arial"/>
          <w:sz w:val="24"/>
          <w:szCs w:val="24"/>
        </w:rPr>
        <w:t xml:space="preserve"> as rescuable or un-</w:t>
      </w:r>
      <w:r w:rsidR="000C6504" w:rsidRPr="00B22788">
        <w:rPr>
          <w:rFonts w:ascii="Arial" w:hAnsi="Arial" w:cs="Arial"/>
          <w:sz w:val="24"/>
          <w:szCs w:val="24"/>
        </w:rPr>
        <w:t>rescuable (unfit for consumption).</w:t>
      </w:r>
    </w:p>
    <w:p w14:paraId="4EEBFECA" w14:textId="77777777" w:rsidR="00290B5D" w:rsidRPr="00B22788" w:rsidRDefault="00290B5D" w:rsidP="00874E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AF9A62" w14:textId="08942817" w:rsidR="000E5268" w:rsidRPr="00B22788" w:rsidRDefault="000C6504" w:rsidP="00BA4B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 xml:space="preserve">It is important to note that </w:t>
      </w:r>
      <w:r w:rsidR="00BA4B3D">
        <w:rPr>
          <w:rFonts w:ascii="Arial" w:hAnsi="Arial" w:cs="Arial"/>
          <w:sz w:val="24"/>
          <w:szCs w:val="24"/>
        </w:rPr>
        <w:t xml:space="preserve">when food is </w:t>
      </w:r>
      <w:r w:rsidRPr="00B22788">
        <w:rPr>
          <w:rFonts w:ascii="Arial" w:hAnsi="Arial" w:cs="Arial"/>
          <w:sz w:val="24"/>
          <w:szCs w:val="24"/>
        </w:rPr>
        <w:t>classif</w:t>
      </w:r>
      <w:r w:rsidR="00BA4B3D">
        <w:rPr>
          <w:rFonts w:ascii="Arial" w:hAnsi="Arial" w:cs="Arial"/>
          <w:sz w:val="24"/>
          <w:szCs w:val="24"/>
        </w:rPr>
        <w:t xml:space="preserve">ied </w:t>
      </w:r>
      <w:r w:rsidR="008043D8" w:rsidRPr="00B22788">
        <w:rPr>
          <w:rFonts w:ascii="Arial" w:hAnsi="Arial" w:cs="Arial"/>
          <w:sz w:val="24"/>
          <w:szCs w:val="24"/>
        </w:rPr>
        <w:t>as rescuable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BA4B3D">
        <w:rPr>
          <w:rFonts w:ascii="Arial" w:hAnsi="Arial" w:cs="Arial"/>
          <w:sz w:val="24"/>
          <w:szCs w:val="24"/>
        </w:rPr>
        <w:t xml:space="preserve">this </w:t>
      </w:r>
      <w:r w:rsidRPr="00B22788">
        <w:rPr>
          <w:rFonts w:ascii="Arial" w:hAnsi="Arial" w:cs="Arial"/>
          <w:sz w:val="24"/>
          <w:szCs w:val="24"/>
        </w:rPr>
        <w:t xml:space="preserve">does not </w:t>
      </w:r>
      <w:r w:rsidR="00BA4B3D">
        <w:rPr>
          <w:rFonts w:ascii="Arial" w:hAnsi="Arial" w:cs="Arial"/>
          <w:sz w:val="24"/>
          <w:szCs w:val="24"/>
        </w:rPr>
        <w:t>take into account</w:t>
      </w:r>
      <w:r w:rsidR="008043D8" w:rsidRPr="00B22788">
        <w:rPr>
          <w:rFonts w:ascii="Arial" w:hAnsi="Arial" w:cs="Arial"/>
          <w:sz w:val="24"/>
          <w:szCs w:val="24"/>
        </w:rPr>
        <w:t xml:space="preserve"> the </w:t>
      </w:r>
      <w:r w:rsidRPr="00B22788">
        <w:rPr>
          <w:rFonts w:ascii="Arial" w:hAnsi="Arial" w:cs="Arial"/>
          <w:sz w:val="24"/>
          <w:szCs w:val="24"/>
        </w:rPr>
        <w:t>economic</w:t>
      </w:r>
      <w:r w:rsidR="005B1743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viability</w:t>
      </w:r>
      <w:r w:rsidR="008043D8" w:rsidRPr="00B22788">
        <w:rPr>
          <w:rFonts w:ascii="Arial" w:hAnsi="Arial" w:cs="Arial"/>
          <w:sz w:val="24"/>
          <w:szCs w:val="24"/>
        </w:rPr>
        <w:t xml:space="preserve"> of rescuing the food</w:t>
      </w:r>
      <w:r w:rsidRPr="00B22788">
        <w:rPr>
          <w:rFonts w:ascii="Arial" w:hAnsi="Arial" w:cs="Arial"/>
          <w:sz w:val="24"/>
          <w:szCs w:val="24"/>
        </w:rPr>
        <w:t xml:space="preserve">, but </w:t>
      </w:r>
      <w:r w:rsidR="00DB302A">
        <w:rPr>
          <w:rFonts w:ascii="Arial" w:hAnsi="Arial" w:cs="Arial"/>
          <w:sz w:val="24"/>
          <w:szCs w:val="24"/>
        </w:rPr>
        <w:t xml:space="preserve">refers to </w:t>
      </w:r>
      <w:r w:rsidR="008043D8" w:rsidRPr="00B22788">
        <w:rPr>
          <w:rFonts w:ascii="Arial" w:hAnsi="Arial" w:cs="Arial"/>
          <w:sz w:val="24"/>
          <w:szCs w:val="24"/>
        </w:rPr>
        <w:t>the</w:t>
      </w:r>
      <w:r w:rsidR="005B1743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safety </w:t>
      </w:r>
      <w:r w:rsidR="008043D8" w:rsidRPr="00B22788">
        <w:rPr>
          <w:rFonts w:ascii="Arial" w:hAnsi="Arial" w:cs="Arial"/>
          <w:sz w:val="24"/>
          <w:szCs w:val="24"/>
        </w:rPr>
        <w:t xml:space="preserve">of its consumption </w:t>
      </w:r>
      <w:r w:rsidRPr="00B22788">
        <w:rPr>
          <w:rFonts w:ascii="Arial" w:hAnsi="Arial" w:cs="Arial"/>
          <w:sz w:val="24"/>
          <w:szCs w:val="24"/>
        </w:rPr>
        <w:t xml:space="preserve">and the </w:t>
      </w:r>
      <w:r w:rsidR="008043D8" w:rsidRPr="00B22788">
        <w:rPr>
          <w:rFonts w:ascii="Arial" w:hAnsi="Arial" w:cs="Arial"/>
          <w:sz w:val="24"/>
          <w:szCs w:val="24"/>
        </w:rPr>
        <w:t>technical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BA4B3D">
        <w:rPr>
          <w:rFonts w:ascii="Arial" w:hAnsi="Arial" w:cs="Arial"/>
          <w:sz w:val="24"/>
          <w:szCs w:val="24"/>
        </w:rPr>
        <w:t>capability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3648D1">
        <w:rPr>
          <w:rFonts w:ascii="Arial" w:hAnsi="Arial" w:cs="Arial"/>
          <w:sz w:val="24"/>
          <w:szCs w:val="24"/>
        </w:rPr>
        <w:t>to</w:t>
      </w:r>
      <w:r w:rsidR="008043D8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us</w:t>
      </w:r>
      <w:r w:rsidR="003648D1">
        <w:rPr>
          <w:rFonts w:ascii="Arial" w:hAnsi="Arial" w:cs="Arial"/>
          <w:sz w:val="24"/>
          <w:szCs w:val="24"/>
        </w:rPr>
        <w:t xml:space="preserve">e </w:t>
      </w:r>
      <w:r w:rsidR="008043D8" w:rsidRPr="00B22788">
        <w:rPr>
          <w:rFonts w:ascii="Arial" w:hAnsi="Arial" w:cs="Arial"/>
          <w:sz w:val="24"/>
          <w:szCs w:val="24"/>
        </w:rPr>
        <w:t>the wasted</w:t>
      </w:r>
      <w:r w:rsidR="005B1743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food to feed people.</w:t>
      </w:r>
    </w:p>
    <w:p w14:paraId="1FB39E42" w14:textId="77777777" w:rsidR="008043D8" w:rsidRPr="003648D1" w:rsidRDefault="008043D8" w:rsidP="005B17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B86D3AA" w14:textId="56AB898F" w:rsidR="000C6504" w:rsidRPr="003648D1" w:rsidRDefault="000C6504" w:rsidP="002B5E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648D1">
        <w:rPr>
          <w:rFonts w:ascii="Arial" w:hAnsi="Arial" w:cs="Arial"/>
          <w:i/>
          <w:iCs/>
          <w:sz w:val="24"/>
          <w:szCs w:val="24"/>
        </w:rPr>
        <w:t>The value of rescuable food is approximately NIS</w:t>
      </w:r>
      <w:r w:rsidR="008043D8" w:rsidRPr="003648D1">
        <w:rPr>
          <w:rFonts w:ascii="Arial" w:hAnsi="Arial" w:cs="Arial"/>
          <w:i/>
          <w:iCs/>
          <w:sz w:val="24"/>
          <w:szCs w:val="24"/>
        </w:rPr>
        <w:t xml:space="preserve"> </w:t>
      </w:r>
      <w:r w:rsidR="00CA083A" w:rsidRPr="003648D1">
        <w:rPr>
          <w:rFonts w:ascii="Arial" w:hAnsi="Arial" w:cs="Arial"/>
          <w:i/>
          <w:iCs/>
          <w:sz w:val="24"/>
          <w:szCs w:val="24"/>
        </w:rPr>
        <w:t>7.5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 billion, </w:t>
      </w:r>
      <w:r w:rsidR="00BA4B3D" w:rsidRPr="003648D1">
        <w:rPr>
          <w:rFonts w:ascii="Arial" w:hAnsi="Arial" w:cs="Arial"/>
          <w:i/>
          <w:iCs/>
          <w:sz w:val="24"/>
          <w:szCs w:val="24"/>
        </w:rPr>
        <w:t>with wasted food increasing in value as it progresses through each stage of the value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 chain</w:t>
      </w:r>
      <w:r w:rsidR="008043D8" w:rsidRPr="003648D1">
        <w:rPr>
          <w:rFonts w:ascii="Arial" w:hAnsi="Arial" w:cs="Arial"/>
          <w:i/>
          <w:iCs/>
          <w:sz w:val="24"/>
          <w:szCs w:val="24"/>
        </w:rPr>
        <w:t xml:space="preserve"> </w:t>
      </w:r>
      <w:r w:rsidR="00BA4B3D" w:rsidRPr="003648D1">
        <w:rPr>
          <w:rFonts w:ascii="Arial" w:hAnsi="Arial" w:cs="Arial"/>
          <w:i/>
          <w:iCs/>
          <w:sz w:val="24"/>
          <w:szCs w:val="24"/>
        </w:rPr>
        <w:t>and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 more resources </w:t>
      </w:r>
      <w:r w:rsidR="00BA4B3D" w:rsidRPr="003648D1">
        <w:rPr>
          <w:rFonts w:ascii="Arial" w:hAnsi="Arial" w:cs="Arial"/>
          <w:i/>
          <w:iCs/>
          <w:sz w:val="24"/>
          <w:szCs w:val="24"/>
        </w:rPr>
        <w:t>are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 invested in raising,</w:t>
      </w:r>
      <w:r w:rsidR="008043D8" w:rsidRPr="003648D1">
        <w:rPr>
          <w:rFonts w:ascii="Arial" w:hAnsi="Arial" w:cs="Arial"/>
          <w:i/>
          <w:iCs/>
          <w:sz w:val="24"/>
          <w:szCs w:val="24"/>
        </w:rPr>
        <w:t xml:space="preserve"> </w:t>
      </w:r>
      <w:r w:rsidRPr="003648D1">
        <w:rPr>
          <w:rFonts w:ascii="Arial" w:hAnsi="Arial" w:cs="Arial"/>
          <w:i/>
          <w:iCs/>
          <w:sz w:val="24"/>
          <w:szCs w:val="24"/>
        </w:rPr>
        <w:t>producing, packaging</w:t>
      </w:r>
      <w:r w:rsidR="00984F54" w:rsidRPr="003648D1">
        <w:rPr>
          <w:rFonts w:ascii="Arial" w:hAnsi="Arial" w:cs="Arial"/>
          <w:i/>
          <w:iCs/>
          <w:sz w:val="24"/>
          <w:szCs w:val="24"/>
        </w:rPr>
        <w:t>,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 and transporting </w:t>
      </w:r>
      <w:r w:rsidR="00BA4B3D" w:rsidRPr="003648D1">
        <w:rPr>
          <w:rFonts w:ascii="Arial" w:hAnsi="Arial" w:cs="Arial"/>
          <w:i/>
          <w:iCs/>
          <w:sz w:val="24"/>
          <w:szCs w:val="24"/>
        </w:rPr>
        <w:t>it</w:t>
      </w:r>
      <w:r w:rsidRPr="003648D1">
        <w:rPr>
          <w:rFonts w:ascii="Arial" w:hAnsi="Arial" w:cs="Arial"/>
          <w:i/>
          <w:iCs/>
          <w:sz w:val="24"/>
          <w:szCs w:val="24"/>
        </w:rPr>
        <w:t>.</w:t>
      </w:r>
      <w:r w:rsidR="003648D1" w:rsidRPr="003648D1">
        <w:rPr>
          <w:rFonts w:ascii="Arial" w:hAnsi="Arial" w:cs="Arial"/>
          <w:i/>
          <w:iCs/>
          <w:sz w:val="24"/>
          <w:szCs w:val="24"/>
        </w:rPr>
        <w:t xml:space="preserve"> </w:t>
      </w:r>
      <w:r w:rsidR="00984F54" w:rsidRPr="003648D1">
        <w:rPr>
          <w:rFonts w:ascii="Arial" w:hAnsi="Arial" w:cs="Arial"/>
          <w:i/>
          <w:iCs/>
          <w:sz w:val="24"/>
          <w:szCs w:val="24"/>
        </w:rPr>
        <w:t>The table below demonstrates that m</w:t>
      </w:r>
      <w:r w:rsidRPr="003648D1">
        <w:rPr>
          <w:rFonts w:ascii="Arial" w:hAnsi="Arial" w:cs="Arial"/>
          <w:i/>
          <w:iCs/>
          <w:sz w:val="24"/>
          <w:szCs w:val="24"/>
        </w:rPr>
        <w:t>ost of the waste</w:t>
      </w:r>
      <w:r w:rsidR="00984F54" w:rsidRPr="003648D1">
        <w:rPr>
          <w:rFonts w:ascii="Arial" w:hAnsi="Arial" w:cs="Arial"/>
          <w:i/>
          <w:iCs/>
          <w:sz w:val="24"/>
          <w:szCs w:val="24"/>
        </w:rPr>
        <w:t>d value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 is concentrated in the retail and distribution</w:t>
      </w:r>
      <w:r w:rsidR="008043D8" w:rsidRPr="003648D1">
        <w:rPr>
          <w:rFonts w:ascii="Arial" w:hAnsi="Arial" w:cs="Arial"/>
          <w:i/>
          <w:iCs/>
          <w:sz w:val="24"/>
          <w:szCs w:val="24"/>
        </w:rPr>
        <w:t xml:space="preserve"> 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sector, </w:t>
      </w:r>
      <w:r w:rsidR="00984F54" w:rsidRPr="003648D1">
        <w:rPr>
          <w:rFonts w:ascii="Arial" w:hAnsi="Arial" w:cs="Arial"/>
          <w:i/>
          <w:iCs/>
          <w:sz w:val="24"/>
          <w:szCs w:val="24"/>
        </w:rPr>
        <w:t xml:space="preserve">as 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the food </w:t>
      </w:r>
      <w:r w:rsidR="00984F54" w:rsidRPr="003648D1">
        <w:rPr>
          <w:rFonts w:ascii="Arial" w:hAnsi="Arial" w:cs="Arial"/>
          <w:i/>
          <w:iCs/>
          <w:sz w:val="24"/>
          <w:szCs w:val="24"/>
        </w:rPr>
        <w:t>wasted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 </w:t>
      </w:r>
      <w:r w:rsidR="00984F54" w:rsidRPr="003648D1">
        <w:rPr>
          <w:rFonts w:ascii="Arial" w:hAnsi="Arial" w:cs="Arial"/>
          <w:i/>
          <w:iCs/>
          <w:sz w:val="24"/>
          <w:szCs w:val="24"/>
        </w:rPr>
        <w:t>in this sector</w:t>
      </w:r>
      <w:r w:rsidR="008043D8" w:rsidRPr="003648D1">
        <w:rPr>
          <w:rFonts w:ascii="Arial" w:hAnsi="Arial" w:cs="Arial"/>
          <w:i/>
          <w:iCs/>
          <w:sz w:val="24"/>
          <w:szCs w:val="24"/>
        </w:rPr>
        <w:t xml:space="preserve"> </w:t>
      </w:r>
      <w:r w:rsidR="00687797" w:rsidRPr="003648D1">
        <w:rPr>
          <w:rFonts w:ascii="Arial" w:hAnsi="Arial" w:cs="Arial"/>
          <w:i/>
          <w:iCs/>
          <w:sz w:val="24"/>
          <w:szCs w:val="24"/>
        </w:rPr>
        <w:t>is ready to be sold and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 consum</w:t>
      </w:r>
      <w:r w:rsidR="00687797" w:rsidRPr="003648D1">
        <w:rPr>
          <w:rFonts w:ascii="Arial" w:hAnsi="Arial" w:cs="Arial"/>
          <w:i/>
          <w:iCs/>
          <w:sz w:val="24"/>
          <w:szCs w:val="24"/>
        </w:rPr>
        <w:t xml:space="preserve">ed but goes to waste 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before </w:t>
      </w:r>
      <w:r w:rsidR="00687797" w:rsidRPr="003648D1">
        <w:rPr>
          <w:rFonts w:ascii="Arial" w:hAnsi="Arial" w:cs="Arial"/>
          <w:i/>
          <w:iCs/>
          <w:sz w:val="24"/>
          <w:szCs w:val="24"/>
        </w:rPr>
        <w:t>it reaches</w:t>
      </w:r>
      <w:r w:rsidRPr="003648D1">
        <w:rPr>
          <w:rFonts w:ascii="Arial" w:hAnsi="Arial" w:cs="Arial"/>
          <w:i/>
          <w:iCs/>
          <w:sz w:val="24"/>
          <w:szCs w:val="24"/>
        </w:rPr>
        <w:t xml:space="preserve"> the </w:t>
      </w:r>
      <w:r w:rsidR="00984F54" w:rsidRPr="003648D1">
        <w:rPr>
          <w:rFonts w:ascii="Arial" w:hAnsi="Arial" w:cs="Arial"/>
          <w:i/>
          <w:iCs/>
          <w:sz w:val="24"/>
          <w:szCs w:val="24"/>
        </w:rPr>
        <w:t>end</w:t>
      </w:r>
      <w:r w:rsidR="008043D8" w:rsidRPr="003648D1">
        <w:rPr>
          <w:rFonts w:ascii="Arial" w:hAnsi="Arial" w:cs="Arial"/>
          <w:i/>
          <w:iCs/>
          <w:sz w:val="24"/>
          <w:szCs w:val="24"/>
        </w:rPr>
        <w:t xml:space="preserve"> </w:t>
      </w:r>
      <w:r w:rsidRPr="003648D1">
        <w:rPr>
          <w:rFonts w:ascii="Arial" w:hAnsi="Arial" w:cs="Arial"/>
          <w:i/>
          <w:iCs/>
          <w:sz w:val="24"/>
          <w:szCs w:val="24"/>
        </w:rPr>
        <w:t>consumer.</w:t>
      </w:r>
    </w:p>
    <w:p w14:paraId="2C54D33B" w14:textId="517B8558" w:rsidR="003C539E" w:rsidRPr="00B22788" w:rsidRDefault="003C539E" w:rsidP="003C53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2788">
        <w:rPr>
          <w:rFonts w:ascii="Arial" w:hAnsi="Arial" w:cs="Arial"/>
          <w:b/>
          <w:bCs/>
          <w:sz w:val="24"/>
          <w:szCs w:val="24"/>
        </w:rPr>
        <w:lastRenderedPageBreak/>
        <w:t xml:space="preserve">The Value of Rescuable Food </w:t>
      </w:r>
      <w:r w:rsidR="007A7C1D">
        <w:rPr>
          <w:rFonts w:ascii="Arial" w:hAnsi="Arial" w:cs="Arial"/>
          <w:b/>
          <w:bCs/>
          <w:sz w:val="24"/>
          <w:szCs w:val="24"/>
        </w:rPr>
        <w:t>A</w:t>
      </w:r>
      <w:r w:rsidR="007A7C1D" w:rsidRPr="00B22788">
        <w:rPr>
          <w:rFonts w:ascii="Arial" w:hAnsi="Arial" w:cs="Arial"/>
          <w:b/>
          <w:bCs/>
          <w:sz w:val="24"/>
          <w:szCs w:val="24"/>
        </w:rPr>
        <w:t xml:space="preserve">long </w:t>
      </w:r>
      <w:r w:rsidRPr="00B22788">
        <w:rPr>
          <w:rFonts w:ascii="Arial" w:hAnsi="Arial" w:cs="Arial"/>
          <w:b/>
          <w:bCs/>
          <w:sz w:val="24"/>
          <w:szCs w:val="24"/>
        </w:rPr>
        <w:t>the Value Chain</w:t>
      </w:r>
    </w:p>
    <w:p w14:paraId="0AC175BA" w14:textId="067F75AE" w:rsidR="003C539E" w:rsidRPr="00B22788" w:rsidRDefault="00687797" w:rsidP="003C53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46347A" w:rsidRPr="00B22788">
        <w:rPr>
          <w:rFonts w:ascii="Arial" w:hAnsi="Arial" w:cs="Arial"/>
          <w:b/>
          <w:bCs/>
          <w:sz w:val="24"/>
          <w:szCs w:val="24"/>
        </w:rPr>
        <w:t>n Millions of NIS</w:t>
      </w:r>
    </w:p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2785"/>
        <w:gridCol w:w="4140"/>
      </w:tblGrid>
      <w:tr w:rsidR="0046347A" w:rsidRPr="00B22788" w14:paraId="5AC1BF6E" w14:textId="77777777" w:rsidTr="0046347A">
        <w:trPr>
          <w:trHeight w:val="377"/>
          <w:jc w:val="center"/>
        </w:trPr>
        <w:tc>
          <w:tcPr>
            <w:tcW w:w="2785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4F81BD"/>
            <w:noWrap/>
            <w:vAlign w:val="bottom"/>
            <w:hideMark/>
          </w:tcPr>
          <w:p w14:paraId="5406BD2F" w14:textId="77777777" w:rsidR="0046347A" w:rsidRPr="00B22788" w:rsidRDefault="0046347A" w:rsidP="004634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4F81BD"/>
            <w:noWrap/>
            <w:vAlign w:val="center"/>
            <w:hideMark/>
          </w:tcPr>
          <w:p w14:paraId="21948BBE" w14:textId="69D33578" w:rsidR="0046347A" w:rsidRPr="00B22788" w:rsidRDefault="0046347A" w:rsidP="00687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Value of Rescuable Food</w:t>
            </w:r>
            <w:r w:rsidR="0068779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Waste</w:t>
            </w:r>
          </w:p>
        </w:tc>
      </w:tr>
      <w:tr w:rsidR="0046347A" w:rsidRPr="00B22788" w14:paraId="31BCEB0A" w14:textId="77777777" w:rsidTr="002B5E32">
        <w:trPr>
          <w:trHeight w:val="223"/>
          <w:jc w:val="center"/>
        </w:trPr>
        <w:tc>
          <w:tcPr>
            <w:tcW w:w="2785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DCE6F1"/>
            <w:noWrap/>
            <w:vAlign w:val="bottom"/>
            <w:hideMark/>
          </w:tcPr>
          <w:p w14:paraId="55D9BCC5" w14:textId="7667A75E" w:rsidR="0046347A" w:rsidRPr="00B22788" w:rsidRDefault="0046347A" w:rsidP="004634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7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Agriculture </w:t>
            </w:r>
          </w:p>
        </w:tc>
        <w:tc>
          <w:tcPr>
            <w:tcW w:w="414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DCE6F1"/>
            <w:noWrap/>
            <w:vAlign w:val="center"/>
            <w:hideMark/>
          </w:tcPr>
          <w:p w14:paraId="1D2BBB4B" w14:textId="77777777" w:rsidR="0046347A" w:rsidRPr="00B22788" w:rsidRDefault="0046347A" w:rsidP="002B5E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B22788">
              <w:rPr>
                <w:rFonts w:ascii="Arial" w:hAnsi="Arial" w:cs="Arial"/>
                <w:color w:val="000000"/>
              </w:rPr>
              <w:t>1,700</w:t>
            </w:r>
          </w:p>
        </w:tc>
      </w:tr>
      <w:tr w:rsidR="0046347A" w:rsidRPr="00B22788" w14:paraId="612470D4" w14:textId="77777777" w:rsidTr="002B5E32">
        <w:trPr>
          <w:trHeight w:val="223"/>
          <w:jc w:val="center"/>
        </w:trPr>
        <w:tc>
          <w:tcPr>
            <w:tcW w:w="2785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noWrap/>
            <w:vAlign w:val="bottom"/>
            <w:hideMark/>
          </w:tcPr>
          <w:p w14:paraId="37919A5A" w14:textId="1AEB7D1F" w:rsidR="0046347A" w:rsidRPr="00B22788" w:rsidRDefault="0046347A" w:rsidP="004634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7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Sorting &amp; Packaging</w:t>
            </w:r>
          </w:p>
        </w:tc>
        <w:tc>
          <w:tcPr>
            <w:tcW w:w="414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noWrap/>
            <w:vAlign w:val="center"/>
            <w:hideMark/>
          </w:tcPr>
          <w:p w14:paraId="67DB3F9E" w14:textId="34C74075" w:rsidR="0046347A" w:rsidRPr="00B22788" w:rsidRDefault="0046347A" w:rsidP="002B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788">
              <w:rPr>
                <w:rFonts w:ascii="Arial" w:hAnsi="Arial" w:cs="Arial"/>
                <w:color w:val="000000"/>
              </w:rPr>
              <w:t>4</w:t>
            </w:r>
            <w:r w:rsidR="00CA083A">
              <w:rPr>
                <w:rFonts w:ascii="Arial" w:hAnsi="Arial" w:cs="Arial"/>
                <w:color w:val="000000"/>
              </w:rPr>
              <w:t>3</w:t>
            </w:r>
            <w:r w:rsidRPr="00B2278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6347A" w:rsidRPr="00B22788" w14:paraId="3D6588A3" w14:textId="77777777" w:rsidTr="002B5E32">
        <w:trPr>
          <w:trHeight w:val="223"/>
          <w:jc w:val="center"/>
        </w:trPr>
        <w:tc>
          <w:tcPr>
            <w:tcW w:w="2785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DCE6F1"/>
            <w:noWrap/>
            <w:vAlign w:val="bottom"/>
            <w:hideMark/>
          </w:tcPr>
          <w:p w14:paraId="4E096C73" w14:textId="71C17A40" w:rsidR="0046347A" w:rsidRPr="00B22788" w:rsidRDefault="0046347A" w:rsidP="004634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7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Industry</w:t>
            </w:r>
          </w:p>
        </w:tc>
        <w:tc>
          <w:tcPr>
            <w:tcW w:w="414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DCE6F1"/>
            <w:noWrap/>
            <w:vAlign w:val="center"/>
            <w:hideMark/>
          </w:tcPr>
          <w:p w14:paraId="5A926625" w14:textId="43832E94" w:rsidR="0046347A" w:rsidRPr="00B22788" w:rsidRDefault="0046347A" w:rsidP="002B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788">
              <w:rPr>
                <w:rFonts w:ascii="Arial" w:hAnsi="Arial" w:cs="Arial"/>
                <w:color w:val="000000"/>
              </w:rPr>
              <w:t>2</w:t>
            </w:r>
            <w:r w:rsidR="00CA083A">
              <w:rPr>
                <w:rFonts w:ascii="Arial" w:hAnsi="Arial" w:cs="Arial"/>
                <w:color w:val="000000"/>
              </w:rPr>
              <w:t>4</w:t>
            </w:r>
            <w:r w:rsidRPr="00B2278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6347A" w:rsidRPr="00B22788" w14:paraId="5B8605F1" w14:textId="77777777" w:rsidTr="002B5E32">
        <w:trPr>
          <w:trHeight w:val="223"/>
          <w:jc w:val="center"/>
        </w:trPr>
        <w:tc>
          <w:tcPr>
            <w:tcW w:w="2785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noWrap/>
            <w:vAlign w:val="bottom"/>
            <w:hideMark/>
          </w:tcPr>
          <w:p w14:paraId="7B379DF8" w14:textId="7BA7D8FE" w:rsidR="0046347A" w:rsidRPr="00B22788" w:rsidRDefault="0046347A" w:rsidP="004634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7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Retail &amp; Distribution</w:t>
            </w:r>
          </w:p>
        </w:tc>
        <w:tc>
          <w:tcPr>
            <w:tcW w:w="414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noWrap/>
            <w:vAlign w:val="center"/>
            <w:hideMark/>
          </w:tcPr>
          <w:p w14:paraId="1FB41B3F" w14:textId="019F38D0" w:rsidR="0046347A" w:rsidRPr="00B22788" w:rsidRDefault="0046347A" w:rsidP="002B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788">
              <w:rPr>
                <w:rFonts w:ascii="Arial" w:hAnsi="Arial" w:cs="Arial"/>
                <w:color w:val="000000"/>
              </w:rPr>
              <w:t>3,</w:t>
            </w:r>
            <w:r w:rsidR="00CA083A">
              <w:rPr>
                <w:rFonts w:ascii="Arial" w:hAnsi="Arial" w:cs="Arial"/>
                <w:color w:val="000000"/>
              </w:rPr>
              <w:t>97</w:t>
            </w:r>
            <w:r w:rsidRPr="00B2278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6347A" w:rsidRPr="00B22788" w14:paraId="698056B3" w14:textId="77777777" w:rsidTr="002B5E32">
        <w:trPr>
          <w:trHeight w:val="223"/>
          <w:jc w:val="center"/>
        </w:trPr>
        <w:tc>
          <w:tcPr>
            <w:tcW w:w="2785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DCE6F1"/>
            <w:noWrap/>
            <w:vAlign w:val="bottom"/>
            <w:hideMark/>
          </w:tcPr>
          <w:p w14:paraId="3F9EE862" w14:textId="0909B94A" w:rsidR="0046347A" w:rsidRPr="00B22788" w:rsidRDefault="0046347A" w:rsidP="004634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7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Institutional</w:t>
            </w:r>
          </w:p>
        </w:tc>
        <w:tc>
          <w:tcPr>
            <w:tcW w:w="414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DCE6F1"/>
            <w:noWrap/>
            <w:vAlign w:val="center"/>
            <w:hideMark/>
          </w:tcPr>
          <w:p w14:paraId="4E45DEC7" w14:textId="061D7594" w:rsidR="0046347A" w:rsidRPr="00B22788" w:rsidRDefault="00CA083A" w:rsidP="002B5E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1,100</w:t>
            </w:r>
          </w:p>
        </w:tc>
      </w:tr>
      <w:tr w:rsidR="0046347A" w:rsidRPr="00B22788" w14:paraId="390E82C9" w14:textId="77777777" w:rsidTr="002B5E32">
        <w:trPr>
          <w:trHeight w:val="223"/>
          <w:jc w:val="center"/>
        </w:trPr>
        <w:tc>
          <w:tcPr>
            <w:tcW w:w="27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7B8B0C22" w14:textId="6C014859" w:rsidR="0046347A" w:rsidRPr="00B22788" w:rsidRDefault="0046347A" w:rsidP="0046347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227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1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center"/>
            <w:hideMark/>
          </w:tcPr>
          <w:p w14:paraId="205D5EE7" w14:textId="6591A1FD" w:rsidR="0046347A" w:rsidRPr="00CA083A" w:rsidRDefault="00CA083A" w:rsidP="002B5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7,440</w:t>
            </w:r>
          </w:p>
        </w:tc>
      </w:tr>
    </w:tbl>
    <w:p w14:paraId="32575E02" w14:textId="77777777" w:rsidR="000C6504" w:rsidRPr="00B22788" w:rsidRDefault="000C6504" w:rsidP="000C6504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E4CFE38" w14:textId="15A327E8" w:rsidR="003C539E" w:rsidRDefault="0046347A" w:rsidP="00A90B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CD3">
        <w:rPr>
          <w:rFonts w:ascii="Arial" w:hAnsi="Arial" w:cs="Arial"/>
          <w:sz w:val="24"/>
          <w:szCs w:val="24"/>
        </w:rPr>
        <w:t>According to estimate</w:t>
      </w:r>
      <w:r w:rsidR="00687797" w:rsidRPr="00FA7CD3">
        <w:rPr>
          <w:rFonts w:ascii="Arial" w:hAnsi="Arial" w:cs="Arial"/>
          <w:sz w:val="24"/>
          <w:szCs w:val="24"/>
        </w:rPr>
        <w:t>s</w:t>
      </w:r>
      <w:r w:rsidRPr="00FA7CD3">
        <w:rPr>
          <w:rFonts w:ascii="Arial" w:hAnsi="Arial" w:cs="Arial"/>
          <w:sz w:val="24"/>
          <w:szCs w:val="24"/>
        </w:rPr>
        <w:t xml:space="preserve">, </w:t>
      </w:r>
      <w:r w:rsidR="00A90B5F" w:rsidRPr="00FA7CD3">
        <w:rPr>
          <w:rFonts w:ascii="Arial" w:hAnsi="Arial" w:cs="Arial"/>
          <w:sz w:val="24"/>
          <w:szCs w:val="24"/>
        </w:rPr>
        <w:t>under</w:t>
      </w:r>
      <w:r w:rsidR="00687797" w:rsidRPr="00FA7CD3">
        <w:rPr>
          <w:rFonts w:ascii="Arial" w:hAnsi="Arial" w:cs="Arial"/>
          <w:sz w:val="24"/>
          <w:szCs w:val="24"/>
        </w:rPr>
        <w:t xml:space="preserve"> economically viable conditions and </w:t>
      </w:r>
      <w:r w:rsidR="00A90B5F" w:rsidRPr="00FA7CD3">
        <w:rPr>
          <w:rFonts w:ascii="Arial" w:hAnsi="Arial" w:cs="Arial"/>
          <w:sz w:val="24"/>
          <w:szCs w:val="24"/>
        </w:rPr>
        <w:t xml:space="preserve">given </w:t>
      </w:r>
      <w:r w:rsidR="00687797" w:rsidRPr="00FA7CD3">
        <w:rPr>
          <w:rFonts w:ascii="Arial" w:hAnsi="Arial" w:cs="Arial"/>
          <w:sz w:val="24"/>
          <w:szCs w:val="24"/>
        </w:rPr>
        <w:t>the appropriate resources</w:t>
      </w:r>
      <w:r w:rsidR="00A90B5F" w:rsidRPr="00FA7CD3">
        <w:rPr>
          <w:rFonts w:ascii="Arial" w:hAnsi="Arial" w:cs="Arial"/>
          <w:sz w:val="24"/>
          <w:szCs w:val="24"/>
        </w:rPr>
        <w:t>,</w:t>
      </w:r>
      <w:r w:rsidR="00687797" w:rsidRPr="00FA7CD3">
        <w:rPr>
          <w:rFonts w:ascii="Arial" w:hAnsi="Arial" w:cs="Arial"/>
          <w:sz w:val="24"/>
          <w:szCs w:val="24"/>
        </w:rPr>
        <w:t xml:space="preserve"> </w:t>
      </w:r>
      <w:r w:rsidRPr="00FA7CD3">
        <w:rPr>
          <w:rFonts w:ascii="Arial" w:hAnsi="Arial" w:cs="Arial"/>
          <w:sz w:val="24"/>
          <w:szCs w:val="24"/>
        </w:rPr>
        <w:t xml:space="preserve">roughly 50% of food waste is rescuable and can be used to feed needy populations suffering from food insecurity. Furthermore, rescuing 50% of </w:t>
      </w:r>
      <w:r w:rsidR="008710F2" w:rsidRPr="00FA7CD3">
        <w:rPr>
          <w:rFonts w:ascii="Arial" w:hAnsi="Arial" w:cs="Arial"/>
          <w:sz w:val="24"/>
          <w:szCs w:val="24"/>
        </w:rPr>
        <w:t>the food currently being</w:t>
      </w:r>
      <w:r w:rsidRPr="00FA7CD3">
        <w:rPr>
          <w:rFonts w:ascii="Arial" w:hAnsi="Arial" w:cs="Arial"/>
          <w:sz w:val="24"/>
          <w:szCs w:val="24"/>
        </w:rPr>
        <w:t xml:space="preserve"> wasted</w:t>
      </w:r>
      <w:r w:rsidR="008710F2" w:rsidRPr="00FA7CD3">
        <w:rPr>
          <w:rFonts w:ascii="Arial" w:hAnsi="Arial" w:cs="Arial"/>
          <w:sz w:val="24"/>
          <w:szCs w:val="24"/>
        </w:rPr>
        <w:t xml:space="preserve"> </w:t>
      </w:r>
      <w:r w:rsidRPr="00FA7CD3">
        <w:rPr>
          <w:rFonts w:ascii="Arial" w:hAnsi="Arial" w:cs="Arial"/>
          <w:sz w:val="24"/>
          <w:szCs w:val="24"/>
        </w:rPr>
        <w:t xml:space="preserve">would save the Israeli economy approximately 200 million cubic meters of water, </w:t>
      </w:r>
      <w:r w:rsidR="008710F2" w:rsidRPr="00FA7CD3">
        <w:rPr>
          <w:rFonts w:ascii="Arial" w:hAnsi="Arial" w:cs="Arial"/>
          <w:sz w:val="24"/>
          <w:szCs w:val="24"/>
        </w:rPr>
        <w:t xml:space="preserve">the </w:t>
      </w:r>
      <w:r w:rsidRPr="00FA7CD3">
        <w:rPr>
          <w:rFonts w:ascii="Arial" w:hAnsi="Arial" w:cs="Arial"/>
          <w:sz w:val="24"/>
          <w:szCs w:val="24"/>
        </w:rPr>
        <w:t xml:space="preserve">production of over 600 million kWh, </w:t>
      </w:r>
      <w:r w:rsidR="00CA083A">
        <w:rPr>
          <w:rFonts w:ascii="Arial" w:hAnsi="Arial" w:cs="Arial"/>
          <w:sz w:val="24"/>
          <w:szCs w:val="24"/>
        </w:rPr>
        <w:t>38</w:t>
      </w:r>
      <w:r w:rsidR="008710F2" w:rsidRPr="00FA7CD3">
        <w:rPr>
          <w:rFonts w:ascii="Arial" w:hAnsi="Arial" w:cs="Arial"/>
          <w:sz w:val="24"/>
          <w:szCs w:val="24"/>
        </w:rPr>
        <w:t xml:space="preserve"> thousand</w:t>
      </w:r>
      <w:r w:rsidRPr="00FA7CD3">
        <w:rPr>
          <w:rFonts w:ascii="Arial" w:hAnsi="Arial" w:cs="Arial"/>
          <w:sz w:val="24"/>
          <w:szCs w:val="24"/>
        </w:rPr>
        <w:t xml:space="preserve"> tons of fuel, and</w:t>
      </w:r>
      <w:r w:rsidR="008710F2" w:rsidRPr="00FA7CD3">
        <w:rPr>
          <w:rFonts w:ascii="Arial" w:hAnsi="Arial" w:cs="Arial"/>
          <w:sz w:val="24"/>
          <w:szCs w:val="24"/>
        </w:rPr>
        <w:t xml:space="preserve"> the use of</w:t>
      </w:r>
      <w:r w:rsidRPr="00FA7CD3">
        <w:rPr>
          <w:rFonts w:ascii="Arial" w:hAnsi="Arial" w:cs="Arial"/>
          <w:sz w:val="24"/>
          <w:szCs w:val="24"/>
        </w:rPr>
        <w:t xml:space="preserve"> significant land resources.</w:t>
      </w:r>
    </w:p>
    <w:p w14:paraId="02E98571" w14:textId="53B0E909" w:rsidR="00FA7CD3" w:rsidRDefault="00FA7CD3" w:rsidP="00A90B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0ED41C" w14:textId="4FE98575" w:rsidR="008710F2" w:rsidRPr="00B22788" w:rsidRDefault="008710F2" w:rsidP="00A90B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2788">
        <w:rPr>
          <w:rFonts w:ascii="Arial" w:hAnsi="Arial" w:cs="Arial"/>
          <w:b/>
          <w:bCs/>
          <w:sz w:val="24"/>
          <w:szCs w:val="24"/>
        </w:rPr>
        <w:t>Estimate</w:t>
      </w:r>
      <w:r w:rsidR="00A90B5F">
        <w:rPr>
          <w:rFonts w:ascii="Arial" w:hAnsi="Arial" w:cs="Arial"/>
          <w:b/>
          <w:bCs/>
          <w:sz w:val="24"/>
          <w:szCs w:val="24"/>
        </w:rPr>
        <w:t xml:space="preserve">d </w:t>
      </w:r>
      <w:r w:rsidRPr="00B22788">
        <w:rPr>
          <w:rFonts w:ascii="Arial" w:hAnsi="Arial" w:cs="Arial"/>
          <w:b/>
          <w:bCs/>
          <w:sz w:val="24"/>
          <w:szCs w:val="24"/>
        </w:rPr>
        <w:t>Rescuable Food in Israel</w:t>
      </w:r>
    </w:p>
    <w:p w14:paraId="79C70758" w14:textId="791E5281" w:rsidR="008710F2" w:rsidRPr="00B22788" w:rsidRDefault="008710F2" w:rsidP="008710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>Throughout the Value Chain, in Thousands of Tons</w:t>
      </w:r>
    </w:p>
    <w:tbl>
      <w:tblPr>
        <w:tblW w:w="4933" w:type="pct"/>
        <w:tblInd w:w="125" w:type="dxa"/>
        <w:tblLayout w:type="fixed"/>
        <w:tblLook w:val="04A0" w:firstRow="1" w:lastRow="0" w:firstColumn="1" w:lastColumn="0" w:noHBand="0" w:noVBand="1"/>
      </w:tblPr>
      <w:tblGrid>
        <w:gridCol w:w="1801"/>
        <w:gridCol w:w="1801"/>
        <w:gridCol w:w="1939"/>
        <w:gridCol w:w="887"/>
        <w:gridCol w:w="1646"/>
        <w:gridCol w:w="1151"/>
      </w:tblGrid>
      <w:tr w:rsidR="000C7FBE" w:rsidRPr="00B22788" w14:paraId="679E4E95" w14:textId="77777777" w:rsidTr="00CA083A">
        <w:trPr>
          <w:trHeight w:val="255"/>
        </w:trPr>
        <w:tc>
          <w:tcPr>
            <w:tcW w:w="97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  <w:noWrap/>
            <w:vAlign w:val="bottom"/>
            <w:hideMark/>
          </w:tcPr>
          <w:p w14:paraId="130184FB" w14:textId="77777777" w:rsidR="000C7FBE" w:rsidRPr="00B22788" w:rsidRDefault="000C7FBE" w:rsidP="000C7FBE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  <w:noWrap/>
            <w:vAlign w:val="bottom"/>
            <w:hideMark/>
          </w:tcPr>
          <w:p w14:paraId="3C575C6A" w14:textId="2331B1A9" w:rsidR="000C7FBE" w:rsidRPr="00B22788" w:rsidRDefault="000C7FBE" w:rsidP="00412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Total </w:t>
            </w:r>
            <w:r w:rsidR="00290B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onsumption</w:t>
            </w:r>
          </w:p>
        </w:tc>
        <w:tc>
          <w:tcPr>
            <w:tcW w:w="1051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  <w:noWrap/>
            <w:vAlign w:val="bottom"/>
            <w:hideMark/>
          </w:tcPr>
          <w:p w14:paraId="7E811011" w14:textId="0F409E51" w:rsidR="000C7FBE" w:rsidRPr="00B22788" w:rsidRDefault="000C7FBE" w:rsidP="00412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Total </w:t>
            </w:r>
            <w:r w:rsidR="00290B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ocal </w:t>
            </w:r>
            <w:r w:rsidR="00290B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roduction</w:t>
            </w:r>
          </w:p>
        </w:tc>
        <w:tc>
          <w:tcPr>
            <w:tcW w:w="481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  <w:noWrap/>
            <w:vAlign w:val="bottom"/>
            <w:hideMark/>
          </w:tcPr>
          <w:p w14:paraId="385259E8" w14:textId="1424F5CA" w:rsidR="000C7FBE" w:rsidRPr="00B22788" w:rsidRDefault="000C7FBE" w:rsidP="000C7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Waste</w:t>
            </w:r>
          </w:p>
        </w:tc>
        <w:tc>
          <w:tcPr>
            <w:tcW w:w="892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  <w:noWrap/>
            <w:vAlign w:val="bottom"/>
            <w:hideMark/>
          </w:tcPr>
          <w:p w14:paraId="4A4FEB54" w14:textId="329EF410" w:rsidR="000C7FBE" w:rsidRPr="00B22788" w:rsidRDefault="000C7FBE" w:rsidP="00412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Rescuable </w:t>
            </w:r>
            <w:r w:rsidR="00290B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</w:t>
            </w: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aste</w:t>
            </w:r>
          </w:p>
        </w:tc>
        <w:tc>
          <w:tcPr>
            <w:tcW w:w="62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  <w:noWrap/>
            <w:vAlign w:val="bottom"/>
            <w:hideMark/>
          </w:tcPr>
          <w:p w14:paraId="7703CB61" w14:textId="5540CEC4" w:rsidR="000C7FBE" w:rsidRPr="00B22788" w:rsidRDefault="000C7FBE" w:rsidP="00412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Waste </w:t>
            </w:r>
            <w:r w:rsidR="00290B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 w:rsidRPr="00B227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ate</w:t>
            </w:r>
          </w:p>
        </w:tc>
      </w:tr>
      <w:tr w:rsidR="00CA083A" w:rsidRPr="00B22788" w14:paraId="0D5399D3" w14:textId="77777777" w:rsidTr="00CA083A">
        <w:trPr>
          <w:trHeight w:val="255"/>
        </w:trPr>
        <w:tc>
          <w:tcPr>
            <w:tcW w:w="97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noWrap/>
            <w:vAlign w:val="bottom"/>
            <w:hideMark/>
          </w:tcPr>
          <w:p w14:paraId="3F399E31" w14:textId="713FB373" w:rsidR="00CA083A" w:rsidRPr="00B22788" w:rsidRDefault="00CA083A" w:rsidP="00CA08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sz w:val="20"/>
                <w:szCs w:val="20"/>
              </w:rPr>
              <w:t>Fruit</w:t>
            </w:r>
          </w:p>
        </w:tc>
        <w:tc>
          <w:tcPr>
            <w:tcW w:w="976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6A581" w14:textId="47479391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1,315</w:t>
            </w:r>
          </w:p>
        </w:tc>
        <w:tc>
          <w:tcPr>
            <w:tcW w:w="105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80854" w14:textId="16CEACB2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1,422</w:t>
            </w:r>
          </w:p>
        </w:tc>
        <w:tc>
          <w:tcPr>
            <w:tcW w:w="48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43669" w14:textId="20A4F0FA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892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84752" w14:textId="69DE31FF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62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noWrap/>
            <w:vAlign w:val="bottom"/>
            <w:hideMark/>
          </w:tcPr>
          <w:p w14:paraId="48E4D1DB" w14:textId="4DE6325D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37%</w:t>
            </w:r>
          </w:p>
        </w:tc>
      </w:tr>
      <w:tr w:rsidR="00CA083A" w:rsidRPr="00B22788" w14:paraId="58FFDD42" w14:textId="77777777" w:rsidTr="00CA083A">
        <w:trPr>
          <w:trHeight w:val="255"/>
        </w:trPr>
        <w:tc>
          <w:tcPr>
            <w:tcW w:w="97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noWrap/>
            <w:vAlign w:val="bottom"/>
            <w:hideMark/>
          </w:tcPr>
          <w:p w14:paraId="5B40F045" w14:textId="00348170" w:rsidR="00CA083A" w:rsidRPr="00B22788" w:rsidRDefault="00CA083A" w:rsidP="00CA08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sz w:val="20"/>
                <w:szCs w:val="20"/>
              </w:rPr>
              <w:t>Vegetables</w:t>
            </w:r>
          </w:p>
        </w:tc>
        <w:tc>
          <w:tcPr>
            <w:tcW w:w="976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E5EE1" w14:textId="5BCCAB39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1,661</w:t>
            </w:r>
          </w:p>
        </w:tc>
        <w:tc>
          <w:tcPr>
            <w:tcW w:w="105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AD973" w14:textId="625CDBC5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1,932</w:t>
            </w:r>
          </w:p>
        </w:tc>
        <w:tc>
          <w:tcPr>
            <w:tcW w:w="48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4BFFB" w14:textId="7450F97F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892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5EAA7" w14:textId="1A0D3C14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62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noWrap/>
            <w:vAlign w:val="bottom"/>
            <w:hideMark/>
          </w:tcPr>
          <w:p w14:paraId="7C580D36" w14:textId="43AB1D2B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</w:tr>
      <w:tr w:rsidR="00CA083A" w:rsidRPr="00B22788" w14:paraId="3C2EB81E" w14:textId="77777777" w:rsidTr="00CA083A">
        <w:trPr>
          <w:trHeight w:val="255"/>
        </w:trPr>
        <w:tc>
          <w:tcPr>
            <w:tcW w:w="97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noWrap/>
            <w:vAlign w:val="bottom"/>
            <w:hideMark/>
          </w:tcPr>
          <w:p w14:paraId="6AD80491" w14:textId="1336E562" w:rsidR="00CA083A" w:rsidRPr="00B22788" w:rsidRDefault="00CA083A" w:rsidP="00CA08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sz w:val="20"/>
                <w:szCs w:val="20"/>
              </w:rPr>
              <w:t xml:space="preserve">Potatoes &amp;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B22788">
              <w:rPr>
                <w:rFonts w:ascii="Arial" w:eastAsia="Times New Roman" w:hAnsi="Arial" w:cs="Arial"/>
                <w:sz w:val="20"/>
                <w:szCs w:val="20"/>
              </w:rPr>
              <w:t>tarches</w:t>
            </w:r>
          </w:p>
        </w:tc>
        <w:tc>
          <w:tcPr>
            <w:tcW w:w="976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41579" w14:textId="65AF73ED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05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8CB40" w14:textId="59A849C6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48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A3FAD" w14:textId="66943461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892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99934" w14:textId="479AA33C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62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noWrap/>
            <w:vAlign w:val="bottom"/>
            <w:hideMark/>
          </w:tcPr>
          <w:p w14:paraId="11B73310" w14:textId="327415B8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</w:t>
            </w:r>
          </w:p>
        </w:tc>
      </w:tr>
      <w:tr w:rsidR="00CA083A" w:rsidRPr="00B22788" w14:paraId="69B2F719" w14:textId="77777777" w:rsidTr="00CA083A">
        <w:trPr>
          <w:trHeight w:val="255"/>
        </w:trPr>
        <w:tc>
          <w:tcPr>
            <w:tcW w:w="97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noWrap/>
            <w:vAlign w:val="bottom"/>
            <w:hideMark/>
          </w:tcPr>
          <w:p w14:paraId="675A1F6D" w14:textId="7F40F984" w:rsidR="00CA083A" w:rsidRPr="00B22788" w:rsidRDefault="00CA083A" w:rsidP="00CA08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sz w:val="20"/>
                <w:szCs w:val="20"/>
              </w:rPr>
              <w:t xml:space="preserve">Grains &amp;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B22788">
              <w:rPr>
                <w:rFonts w:ascii="Arial" w:eastAsia="Times New Roman" w:hAnsi="Arial" w:cs="Arial"/>
                <w:sz w:val="20"/>
                <w:szCs w:val="20"/>
              </w:rPr>
              <w:t>egumes*</w:t>
            </w:r>
          </w:p>
        </w:tc>
        <w:tc>
          <w:tcPr>
            <w:tcW w:w="976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49236" w14:textId="75165DA6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1,466</w:t>
            </w:r>
          </w:p>
        </w:tc>
        <w:tc>
          <w:tcPr>
            <w:tcW w:w="105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9CD87" w14:textId="6889325B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48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E7873" w14:textId="1353581E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892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FCDC2" w14:textId="5D75D0C8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2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noWrap/>
            <w:vAlign w:val="bottom"/>
            <w:hideMark/>
          </w:tcPr>
          <w:p w14:paraId="10D58098" w14:textId="64824A6C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27%</w:t>
            </w:r>
          </w:p>
        </w:tc>
      </w:tr>
      <w:tr w:rsidR="00CA083A" w:rsidRPr="00B22788" w14:paraId="090B3FB4" w14:textId="77777777" w:rsidTr="00CA083A">
        <w:trPr>
          <w:trHeight w:val="255"/>
        </w:trPr>
        <w:tc>
          <w:tcPr>
            <w:tcW w:w="97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noWrap/>
            <w:vAlign w:val="bottom"/>
            <w:hideMark/>
          </w:tcPr>
          <w:p w14:paraId="11BE568C" w14:textId="54766D85" w:rsidR="00CA083A" w:rsidRPr="00B22788" w:rsidRDefault="00CA083A" w:rsidP="00CA08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sz w:val="20"/>
                <w:szCs w:val="20"/>
              </w:rPr>
              <w:t xml:space="preserve">Meat,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B22788">
              <w:rPr>
                <w:rFonts w:ascii="Arial" w:eastAsia="Times New Roman" w:hAnsi="Arial" w:cs="Arial"/>
                <w:sz w:val="20"/>
                <w:szCs w:val="20"/>
              </w:rPr>
              <w:t xml:space="preserve">ish &amp;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B22788">
              <w:rPr>
                <w:rFonts w:ascii="Arial" w:eastAsia="Times New Roman" w:hAnsi="Arial" w:cs="Arial"/>
                <w:sz w:val="20"/>
                <w:szCs w:val="20"/>
              </w:rPr>
              <w:t>ggs</w:t>
            </w:r>
          </w:p>
        </w:tc>
        <w:tc>
          <w:tcPr>
            <w:tcW w:w="976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AF1E1" w14:textId="1866A0F8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105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E2759" w14:textId="313D0AA4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48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8364F" w14:textId="34189A38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892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83849" w14:textId="0D396CD3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2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noWrap/>
            <w:vAlign w:val="bottom"/>
            <w:hideMark/>
          </w:tcPr>
          <w:p w14:paraId="6C941C36" w14:textId="6707323B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27%</w:t>
            </w:r>
          </w:p>
        </w:tc>
      </w:tr>
      <w:tr w:rsidR="00CA083A" w:rsidRPr="00B22788" w14:paraId="7C6C64DC" w14:textId="77777777" w:rsidTr="00CA083A">
        <w:trPr>
          <w:trHeight w:val="255"/>
        </w:trPr>
        <w:tc>
          <w:tcPr>
            <w:tcW w:w="97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noWrap/>
            <w:vAlign w:val="bottom"/>
            <w:hideMark/>
          </w:tcPr>
          <w:p w14:paraId="0F978814" w14:textId="69AF4434" w:rsidR="00CA083A" w:rsidRPr="00B22788" w:rsidRDefault="00CA083A" w:rsidP="00CA08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sz w:val="20"/>
                <w:szCs w:val="20"/>
              </w:rPr>
              <w:t xml:space="preserve">Milk &amp;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B22788">
              <w:rPr>
                <w:rFonts w:ascii="Arial" w:eastAsia="Times New Roman" w:hAnsi="Arial" w:cs="Arial"/>
                <w:sz w:val="20"/>
                <w:szCs w:val="20"/>
              </w:rPr>
              <w:t>airy</w:t>
            </w:r>
          </w:p>
        </w:tc>
        <w:tc>
          <w:tcPr>
            <w:tcW w:w="976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C16C5" w14:textId="2F1943B8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05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2638C" w14:textId="17981D56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1,686</w:t>
            </w:r>
          </w:p>
        </w:tc>
        <w:tc>
          <w:tcPr>
            <w:tcW w:w="481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1E5D9" w14:textId="3605ADB9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892" w:type="pct"/>
            <w:tcBorders>
              <w:top w:val="single" w:sz="4" w:space="0" w:color="4F81BD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B9690" w14:textId="2DA09076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2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noWrap/>
            <w:vAlign w:val="bottom"/>
            <w:hideMark/>
          </w:tcPr>
          <w:p w14:paraId="57ABFF42" w14:textId="4B09E6D7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</w:t>
            </w:r>
          </w:p>
        </w:tc>
      </w:tr>
      <w:tr w:rsidR="00CA083A" w:rsidRPr="00B22788" w14:paraId="37831766" w14:textId="77777777" w:rsidTr="00CA083A">
        <w:trPr>
          <w:trHeight w:val="255"/>
        </w:trPr>
        <w:tc>
          <w:tcPr>
            <w:tcW w:w="976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65663C9D" w14:textId="61E8E7F4" w:rsidR="00CA083A" w:rsidRPr="00B22788" w:rsidRDefault="00CA083A" w:rsidP="00CA08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2788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976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1E303412" w14:textId="7DBE2330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7,253</w:t>
            </w:r>
          </w:p>
        </w:tc>
        <w:tc>
          <w:tcPr>
            <w:tcW w:w="105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3A4A52A2" w14:textId="26B6BAC7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6,851</w:t>
            </w:r>
          </w:p>
        </w:tc>
        <w:tc>
          <w:tcPr>
            <w:tcW w:w="48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5050DE40" w14:textId="5E1BD29C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2,569</w:t>
            </w:r>
          </w:p>
        </w:tc>
        <w:tc>
          <w:tcPr>
            <w:tcW w:w="892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496B2F71" w14:textId="73826A5D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1,199</w:t>
            </w:r>
          </w:p>
        </w:tc>
        <w:tc>
          <w:tcPr>
            <w:tcW w:w="624" w:type="pct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noWrap/>
            <w:vAlign w:val="bottom"/>
            <w:hideMark/>
          </w:tcPr>
          <w:p w14:paraId="3007D4FF" w14:textId="00A4651D" w:rsidR="00CA083A" w:rsidRPr="00B22788" w:rsidRDefault="00CA083A" w:rsidP="00CA083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3BC">
              <w:rPr>
                <w:rFonts w:ascii="Arial" w:hAnsi="Arial" w:cs="Arial"/>
                <w:b/>
                <w:bCs/>
                <w:sz w:val="20"/>
                <w:szCs w:val="20"/>
              </w:rPr>
              <w:t>37%</w:t>
            </w:r>
          </w:p>
        </w:tc>
      </w:tr>
    </w:tbl>
    <w:p w14:paraId="6A4066B1" w14:textId="4147242D" w:rsidR="000C7FBE" w:rsidRPr="00D97081" w:rsidRDefault="00D97081" w:rsidP="00D970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* </w:t>
      </w:r>
      <w:r w:rsidRPr="00D97081">
        <w:rPr>
          <w:rFonts w:ascii="Arial" w:hAnsi="Arial" w:cs="Arial"/>
          <w:sz w:val="20"/>
          <w:szCs w:val="20"/>
          <w:lang w:val="en-GB"/>
        </w:rPr>
        <w:t>Grains &amp; legumes waste was calculated based on consumption as most grains are not produced in Israel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19DF30DB" w14:textId="27343268" w:rsidR="00D97081" w:rsidRPr="00D97081" w:rsidRDefault="00D97081" w:rsidP="00D970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97081">
        <w:rPr>
          <w:rFonts w:ascii="Arial" w:hAnsi="Arial" w:cs="Arial"/>
          <w:sz w:val="20"/>
          <w:szCs w:val="20"/>
          <w:lang w:val="en-GB"/>
        </w:rPr>
        <w:t>Source: BDO estimates</w:t>
      </w:r>
    </w:p>
    <w:p w14:paraId="3C9FE74C" w14:textId="77777777" w:rsidR="00FE0B40" w:rsidRPr="00B22788" w:rsidRDefault="00FE0B40" w:rsidP="000C65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715C8B" w14:textId="0B8993E0" w:rsidR="004F677D" w:rsidRPr="00B22788" w:rsidRDefault="004B1B0D" w:rsidP="004B1B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lastRenderedPageBreak/>
        <w:t>In the current report, household f</w:t>
      </w:r>
      <w:r w:rsidR="004F677D" w:rsidRPr="00B22788">
        <w:rPr>
          <w:rFonts w:ascii="Arial" w:hAnsi="Arial" w:cs="Arial"/>
          <w:sz w:val="24"/>
          <w:szCs w:val="24"/>
        </w:rPr>
        <w:t>ood waste</w:t>
      </w:r>
      <w:r w:rsidRPr="00B22788">
        <w:rPr>
          <w:rFonts w:ascii="Arial" w:hAnsi="Arial" w:cs="Arial"/>
          <w:sz w:val="24"/>
          <w:szCs w:val="24"/>
        </w:rPr>
        <w:t xml:space="preserve"> is</w:t>
      </w:r>
      <w:r w:rsidR="004F677D" w:rsidRPr="00B22788">
        <w:rPr>
          <w:rFonts w:ascii="Arial" w:hAnsi="Arial" w:cs="Arial"/>
          <w:sz w:val="24"/>
          <w:szCs w:val="24"/>
        </w:rPr>
        <w:t xml:space="preserve"> not classified as rescuable. There are various approaches to the issue of food waste in household consumption. Western culture</w:t>
      </w:r>
    </w:p>
    <w:p w14:paraId="6FA7FBC0" w14:textId="77777777" w:rsidR="00CA083A" w:rsidRDefault="004F677D" w:rsidP="003648D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 xml:space="preserve">is based on consumerism and </w:t>
      </w:r>
      <w:r w:rsidR="004B1B0D" w:rsidRPr="00B22788">
        <w:rPr>
          <w:rFonts w:ascii="Arial" w:hAnsi="Arial" w:cs="Arial"/>
          <w:sz w:val="24"/>
          <w:szCs w:val="24"/>
        </w:rPr>
        <w:t>overabundance</w:t>
      </w:r>
      <w:r w:rsidR="00FD3E95" w:rsidRPr="00B22788">
        <w:rPr>
          <w:rFonts w:ascii="Arial" w:hAnsi="Arial" w:cs="Arial"/>
          <w:sz w:val="24"/>
          <w:szCs w:val="24"/>
        </w:rPr>
        <w:t xml:space="preserve"> and </w:t>
      </w:r>
      <w:r w:rsidR="00233D1D">
        <w:rPr>
          <w:rFonts w:ascii="Arial" w:hAnsi="Arial" w:cs="Arial"/>
          <w:sz w:val="24"/>
          <w:szCs w:val="24"/>
        </w:rPr>
        <w:t>it seems</w:t>
      </w:r>
      <w:r w:rsidRPr="00B22788">
        <w:rPr>
          <w:rFonts w:ascii="Arial" w:hAnsi="Arial" w:cs="Arial"/>
          <w:sz w:val="24"/>
          <w:szCs w:val="24"/>
        </w:rPr>
        <w:t xml:space="preserve"> consumers </w:t>
      </w:r>
      <w:r w:rsidR="00FD3E95" w:rsidRPr="00B22788">
        <w:rPr>
          <w:rFonts w:ascii="Arial" w:hAnsi="Arial" w:cs="Arial"/>
          <w:sz w:val="24"/>
          <w:szCs w:val="24"/>
        </w:rPr>
        <w:t>derive</w:t>
      </w:r>
      <w:r w:rsidRPr="00B22788">
        <w:rPr>
          <w:rFonts w:ascii="Arial" w:hAnsi="Arial" w:cs="Arial"/>
          <w:sz w:val="24"/>
          <w:szCs w:val="24"/>
        </w:rPr>
        <w:t xml:space="preserve"> benefit</w:t>
      </w:r>
      <w:r w:rsidR="00FD3E95" w:rsidRPr="00B22788">
        <w:rPr>
          <w:rFonts w:ascii="Arial" w:hAnsi="Arial" w:cs="Arial"/>
          <w:sz w:val="24"/>
          <w:szCs w:val="24"/>
        </w:rPr>
        <w:t xml:space="preserve"> and joy</w:t>
      </w:r>
      <w:r w:rsidRPr="00B22788">
        <w:rPr>
          <w:rFonts w:ascii="Arial" w:hAnsi="Arial" w:cs="Arial"/>
          <w:sz w:val="24"/>
          <w:szCs w:val="24"/>
        </w:rPr>
        <w:t xml:space="preserve"> not only from </w:t>
      </w:r>
      <w:r w:rsidR="00FD3E95" w:rsidRPr="00B22788">
        <w:rPr>
          <w:rFonts w:ascii="Arial" w:hAnsi="Arial" w:cs="Arial"/>
          <w:sz w:val="24"/>
          <w:szCs w:val="24"/>
        </w:rPr>
        <w:t xml:space="preserve">consuming </w:t>
      </w:r>
      <w:r w:rsidRPr="00B22788">
        <w:rPr>
          <w:rFonts w:ascii="Arial" w:hAnsi="Arial" w:cs="Arial"/>
          <w:sz w:val="24"/>
          <w:szCs w:val="24"/>
        </w:rPr>
        <w:t xml:space="preserve">food, but also from </w:t>
      </w:r>
      <w:r w:rsidR="00FD3E95" w:rsidRPr="00B22788">
        <w:rPr>
          <w:rFonts w:ascii="Arial" w:hAnsi="Arial" w:cs="Arial"/>
          <w:sz w:val="24"/>
          <w:szCs w:val="24"/>
        </w:rPr>
        <w:t>having a variety of available options</w:t>
      </w:r>
      <w:r w:rsidR="00233D1D">
        <w:rPr>
          <w:rFonts w:ascii="Arial" w:hAnsi="Arial" w:cs="Arial"/>
          <w:sz w:val="24"/>
          <w:szCs w:val="24"/>
        </w:rPr>
        <w:t>,</w:t>
      </w:r>
      <w:r w:rsidR="00FD3E95" w:rsidRPr="00B22788">
        <w:rPr>
          <w:rFonts w:ascii="Arial" w:hAnsi="Arial" w:cs="Arial"/>
          <w:sz w:val="24"/>
          <w:szCs w:val="24"/>
        </w:rPr>
        <w:t xml:space="preserve"> even </w:t>
      </w:r>
      <w:r w:rsidR="00233D1D">
        <w:rPr>
          <w:rFonts w:ascii="Arial" w:hAnsi="Arial" w:cs="Arial"/>
          <w:sz w:val="24"/>
          <w:szCs w:val="24"/>
        </w:rPr>
        <w:t>to the point of</w:t>
      </w:r>
      <w:r w:rsidR="00FD3E95" w:rsidRPr="00B22788">
        <w:rPr>
          <w:rFonts w:ascii="Arial" w:hAnsi="Arial" w:cs="Arial"/>
          <w:sz w:val="24"/>
          <w:szCs w:val="24"/>
        </w:rPr>
        <w:t xml:space="preserve"> excess</w:t>
      </w:r>
      <w:r w:rsidRPr="00B22788">
        <w:rPr>
          <w:rFonts w:ascii="Arial" w:hAnsi="Arial" w:cs="Arial"/>
          <w:sz w:val="24"/>
          <w:szCs w:val="24"/>
        </w:rPr>
        <w:t xml:space="preserve">. </w:t>
      </w:r>
    </w:p>
    <w:p w14:paraId="7CA5BC20" w14:textId="77777777" w:rsidR="00EA6B9E" w:rsidRDefault="00CA083A" w:rsidP="003648D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because</w:t>
      </w:r>
      <w:r w:rsidR="00FD3E95" w:rsidRPr="00B22788">
        <w:rPr>
          <w:rFonts w:ascii="Arial" w:hAnsi="Arial" w:cs="Arial"/>
          <w:sz w:val="24"/>
          <w:szCs w:val="24"/>
        </w:rPr>
        <w:t xml:space="preserve"> </w:t>
      </w:r>
      <w:r w:rsidR="004F677D" w:rsidRPr="00B22788">
        <w:rPr>
          <w:rFonts w:ascii="Arial" w:hAnsi="Arial" w:cs="Arial"/>
          <w:sz w:val="24"/>
          <w:szCs w:val="24"/>
        </w:rPr>
        <w:t>food production entails the use of natural resources</w:t>
      </w:r>
      <w:r w:rsidR="00EA6B9E">
        <w:rPr>
          <w:rFonts w:ascii="Arial" w:hAnsi="Arial" w:cs="Arial"/>
          <w:sz w:val="24"/>
          <w:szCs w:val="24"/>
        </w:rPr>
        <w:t xml:space="preserve">, it </w:t>
      </w:r>
      <w:r w:rsidR="004F677D" w:rsidRPr="00B22788">
        <w:rPr>
          <w:rFonts w:ascii="Arial" w:hAnsi="Arial" w:cs="Arial"/>
          <w:sz w:val="24"/>
          <w:szCs w:val="24"/>
        </w:rPr>
        <w:t>has an environmental impact,</w:t>
      </w:r>
      <w:r w:rsidR="00EA6B9E">
        <w:rPr>
          <w:rFonts w:ascii="Arial" w:hAnsi="Arial" w:cs="Arial"/>
          <w:sz w:val="24"/>
          <w:szCs w:val="24"/>
        </w:rPr>
        <w:t xml:space="preserve"> </w:t>
      </w:r>
      <w:r w:rsidR="00EA6B9E" w:rsidRPr="00B22788">
        <w:rPr>
          <w:rFonts w:ascii="Arial" w:hAnsi="Arial" w:cs="Arial"/>
          <w:sz w:val="24"/>
          <w:szCs w:val="24"/>
        </w:rPr>
        <w:t>these external costs</w:t>
      </w:r>
      <w:r w:rsidR="00EA6B9E">
        <w:rPr>
          <w:rFonts w:ascii="Arial" w:hAnsi="Arial" w:cs="Arial"/>
          <w:sz w:val="24"/>
          <w:szCs w:val="24"/>
        </w:rPr>
        <w:t xml:space="preserve"> –</w:t>
      </w:r>
      <w:r w:rsidR="00EA6B9E" w:rsidRPr="00B22788">
        <w:rPr>
          <w:rFonts w:ascii="Arial" w:hAnsi="Arial" w:cs="Arial"/>
          <w:sz w:val="24"/>
          <w:szCs w:val="24"/>
        </w:rPr>
        <w:t xml:space="preserve"> </w:t>
      </w:r>
      <w:r w:rsidR="00EA6B9E">
        <w:rPr>
          <w:rFonts w:ascii="Arial" w:hAnsi="Arial" w:cs="Arial"/>
          <w:sz w:val="24"/>
          <w:szCs w:val="24"/>
        </w:rPr>
        <w:t xml:space="preserve">in an economic sense – </w:t>
      </w:r>
      <w:r w:rsidR="004F677D" w:rsidRPr="00B22788">
        <w:rPr>
          <w:rFonts w:ascii="Arial" w:hAnsi="Arial" w:cs="Arial"/>
          <w:sz w:val="24"/>
          <w:szCs w:val="24"/>
        </w:rPr>
        <w:t xml:space="preserve">are not </w:t>
      </w:r>
      <w:r w:rsidR="00FD3E95" w:rsidRPr="00B22788">
        <w:rPr>
          <w:rFonts w:ascii="Arial" w:hAnsi="Arial" w:cs="Arial"/>
          <w:sz w:val="24"/>
          <w:szCs w:val="24"/>
        </w:rPr>
        <w:t>reflected</w:t>
      </w:r>
      <w:r w:rsidR="004F677D" w:rsidRPr="00B22788">
        <w:rPr>
          <w:rFonts w:ascii="Arial" w:hAnsi="Arial" w:cs="Arial"/>
          <w:sz w:val="24"/>
          <w:szCs w:val="24"/>
        </w:rPr>
        <w:t xml:space="preserve"> in the price consumers </w:t>
      </w:r>
      <w:r w:rsidR="00FD3E95" w:rsidRPr="00B22788">
        <w:rPr>
          <w:rFonts w:ascii="Arial" w:hAnsi="Arial" w:cs="Arial"/>
          <w:sz w:val="24"/>
          <w:szCs w:val="24"/>
        </w:rPr>
        <w:t xml:space="preserve">pay </w:t>
      </w:r>
      <w:r w:rsidR="004F677D" w:rsidRPr="00B22788">
        <w:rPr>
          <w:rFonts w:ascii="Arial" w:hAnsi="Arial" w:cs="Arial"/>
          <w:sz w:val="24"/>
          <w:szCs w:val="24"/>
        </w:rPr>
        <w:t xml:space="preserve">for food. </w:t>
      </w:r>
    </w:p>
    <w:p w14:paraId="41D74035" w14:textId="24B2DBC4" w:rsidR="008710F2" w:rsidRDefault="00A53AAB" w:rsidP="003648D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>Therefore, there is justification for taking action</w:t>
      </w:r>
      <w:r w:rsidR="004F677D" w:rsidRPr="00B22788">
        <w:rPr>
          <w:rFonts w:ascii="Arial" w:hAnsi="Arial" w:cs="Arial"/>
          <w:sz w:val="24"/>
          <w:szCs w:val="24"/>
        </w:rPr>
        <w:t xml:space="preserve"> to encourage </w:t>
      </w:r>
      <w:r w:rsidRPr="00B22788">
        <w:rPr>
          <w:rFonts w:ascii="Arial" w:hAnsi="Arial" w:cs="Arial"/>
          <w:sz w:val="24"/>
          <w:szCs w:val="24"/>
        </w:rPr>
        <w:t xml:space="preserve">the reduction of </w:t>
      </w:r>
      <w:r w:rsidR="004F677D" w:rsidRPr="00B22788">
        <w:rPr>
          <w:rFonts w:ascii="Arial" w:hAnsi="Arial" w:cs="Arial"/>
          <w:sz w:val="24"/>
          <w:szCs w:val="24"/>
        </w:rPr>
        <w:t xml:space="preserve">food </w:t>
      </w:r>
      <w:r w:rsidRPr="00B22788">
        <w:rPr>
          <w:rFonts w:ascii="Arial" w:hAnsi="Arial" w:cs="Arial"/>
          <w:sz w:val="24"/>
          <w:szCs w:val="24"/>
        </w:rPr>
        <w:t xml:space="preserve">waste. This could be done for example, through </w:t>
      </w:r>
      <w:r w:rsidR="004F677D" w:rsidRPr="00B22788">
        <w:rPr>
          <w:rFonts w:ascii="Arial" w:hAnsi="Arial" w:cs="Arial"/>
          <w:sz w:val="24"/>
          <w:szCs w:val="24"/>
        </w:rPr>
        <w:t xml:space="preserve">government-sponsored campaigns, as has been implemented in several </w:t>
      </w:r>
      <w:r w:rsidR="00486005">
        <w:rPr>
          <w:rFonts w:ascii="Arial" w:hAnsi="Arial" w:cs="Arial"/>
          <w:sz w:val="24"/>
          <w:szCs w:val="24"/>
        </w:rPr>
        <w:t>W</w:t>
      </w:r>
      <w:r w:rsidR="004F677D" w:rsidRPr="00B22788">
        <w:rPr>
          <w:rFonts w:ascii="Arial" w:hAnsi="Arial" w:cs="Arial"/>
          <w:sz w:val="24"/>
          <w:szCs w:val="24"/>
        </w:rPr>
        <w:t>estern countries</w:t>
      </w:r>
      <w:r w:rsidRPr="00B22788">
        <w:rPr>
          <w:rFonts w:ascii="Arial" w:hAnsi="Arial" w:cs="Arial"/>
          <w:sz w:val="24"/>
          <w:szCs w:val="24"/>
        </w:rPr>
        <w:t xml:space="preserve">, in order </w:t>
      </w:r>
      <w:r w:rsidR="004F677D" w:rsidRPr="00B22788">
        <w:rPr>
          <w:rFonts w:ascii="Arial" w:hAnsi="Arial" w:cs="Arial"/>
          <w:sz w:val="24"/>
          <w:szCs w:val="24"/>
        </w:rPr>
        <w:t xml:space="preserve">to raise public awareness regarding the external impact of producing food </w:t>
      </w:r>
      <w:r w:rsidRPr="00B22788">
        <w:rPr>
          <w:rFonts w:ascii="Arial" w:hAnsi="Arial" w:cs="Arial"/>
          <w:sz w:val="24"/>
          <w:szCs w:val="24"/>
        </w:rPr>
        <w:t xml:space="preserve">that is left unconsumed, </w:t>
      </w:r>
      <w:r w:rsidR="00486005">
        <w:rPr>
          <w:rFonts w:ascii="Arial" w:hAnsi="Arial" w:cs="Arial"/>
          <w:sz w:val="24"/>
          <w:szCs w:val="24"/>
        </w:rPr>
        <w:t xml:space="preserve">including </w:t>
      </w:r>
      <w:r w:rsidRPr="00B22788">
        <w:rPr>
          <w:rFonts w:ascii="Arial" w:hAnsi="Arial" w:cs="Arial"/>
          <w:sz w:val="24"/>
          <w:szCs w:val="24"/>
        </w:rPr>
        <w:t xml:space="preserve">wasting the consumers’ financial resources </w:t>
      </w:r>
      <w:r w:rsidR="00486005">
        <w:rPr>
          <w:rFonts w:ascii="Arial" w:hAnsi="Arial" w:cs="Arial"/>
          <w:sz w:val="24"/>
          <w:szCs w:val="24"/>
        </w:rPr>
        <w:t>and damaging</w:t>
      </w:r>
      <w:r w:rsidRPr="00B22788">
        <w:rPr>
          <w:rFonts w:ascii="Arial" w:hAnsi="Arial" w:cs="Arial"/>
          <w:sz w:val="24"/>
          <w:szCs w:val="24"/>
        </w:rPr>
        <w:t xml:space="preserve"> the environment. </w:t>
      </w:r>
    </w:p>
    <w:tbl>
      <w:tblPr>
        <w:tblStyle w:val="-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88"/>
        <w:gridCol w:w="4280"/>
      </w:tblGrid>
      <w:tr w:rsidR="00050C1B" w:rsidRPr="00B22788" w14:paraId="3A6555A1" w14:textId="77777777" w:rsidTr="00050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  <w:hideMark/>
          </w:tcPr>
          <w:p w14:paraId="1C621A0D" w14:textId="49793EB0" w:rsidR="00050C1B" w:rsidRPr="00EA6B9E" w:rsidRDefault="00AD4E88" w:rsidP="00C6751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B9E">
              <w:rPr>
                <w:rFonts w:ascii="Arial" w:hAnsi="Arial" w:cs="Arial"/>
              </w:rPr>
              <w:t>Rescuable Food</w:t>
            </w:r>
          </w:p>
        </w:tc>
        <w:tc>
          <w:tcPr>
            <w:tcW w:w="4280" w:type="dxa"/>
            <w:hideMark/>
          </w:tcPr>
          <w:p w14:paraId="7A8E266E" w14:textId="61F04CBC" w:rsidR="00050C1B" w:rsidRPr="00EA6B9E" w:rsidRDefault="00AD4E88" w:rsidP="00C675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Food Waste Unfit for Human Consumption</w:t>
            </w:r>
          </w:p>
        </w:tc>
      </w:tr>
      <w:tr w:rsidR="00050C1B" w:rsidRPr="00B22788" w14:paraId="2D526D72" w14:textId="77777777" w:rsidTr="000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  <w:tcBorders>
              <w:top w:val="nil"/>
              <w:bottom w:val="nil"/>
            </w:tcBorders>
            <w:hideMark/>
          </w:tcPr>
          <w:p w14:paraId="5C92CB24" w14:textId="1F9A2BB0" w:rsidR="00050C1B" w:rsidRPr="00EA6B9E" w:rsidRDefault="00AD4E88" w:rsidP="00912CA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Pre-harvested edible agricultural produce</w:t>
            </w:r>
          </w:p>
        </w:tc>
        <w:tc>
          <w:tcPr>
            <w:tcW w:w="4280" w:type="dxa"/>
            <w:tcBorders>
              <w:top w:val="nil"/>
              <w:bottom w:val="nil"/>
            </w:tcBorders>
          </w:tcPr>
          <w:p w14:paraId="06881320" w14:textId="77777777" w:rsidR="00050C1B" w:rsidRPr="00EA6B9E" w:rsidRDefault="00050C1B" w:rsidP="00C67510">
            <w:pPr>
              <w:spacing w:line="360" w:lineRule="auto"/>
              <w:ind w:left="7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</w:tr>
      <w:tr w:rsidR="00050C1B" w:rsidRPr="00B22788" w14:paraId="3B323DFB" w14:textId="77777777" w:rsidTr="00050C1B">
        <w:trPr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D7871" w14:textId="2CBAD846" w:rsidR="00050C1B" w:rsidRPr="00EA6B9E" w:rsidRDefault="00A7734A" w:rsidP="00912CA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Aesthetically flawed agricultural produce</w:t>
            </w:r>
            <w:r w:rsidR="00050C1B" w:rsidRPr="00EA6B9E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27293" w14:textId="1F46F44B" w:rsidR="00050C1B" w:rsidRPr="00EA6B9E" w:rsidRDefault="00A7734A" w:rsidP="00912CA9">
            <w:pPr>
              <w:numPr>
                <w:ilvl w:val="0"/>
                <w:numId w:val="8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Diseased food</w:t>
            </w:r>
          </w:p>
        </w:tc>
      </w:tr>
      <w:tr w:rsidR="00050C1B" w:rsidRPr="00B22788" w14:paraId="6D47AFEB" w14:textId="77777777" w:rsidTr="000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  <w:tcBorders>
              <w:top w:val="nil"/>
              <w:bottom w:val="nil"/>
            </w:tcBorders>
            <w:hideMark/>
          </w:tcPr>
          <w:p w14:paraId="11809217" w14:textId="0E12ADF3" w:rsidR="00050C1B" w:rsidRPr="00EA6B9E" w:rsidRDefault="00486005" w:rsidP="00486005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Unsold a</w:t>
            </w:r>
            <w:r w:rsidR="00A7734A" w:rsidRPr="00EA6B9E">
              <w:rPr>
                <w:rFonts w:ascii="Arial" w:hAnsi="Arial" w:cs="Arial"/>
              </w:rPr>
              <w:t>gricultural produce in wholesale markets</w:t>
            </w:r>
          </w:p>
        </w:tc>
        <w:tc>
          <w:tcPr>
            <w:tcW w:w="4280" w:type="dxa"/>
            <w:tcBorders>
              <w:top w:val="nil"/>
              <w:bottom w:val="nil"/>
            </w:tcBorders>
            <w:hideMark/>
          </w:tcPr>
          <w:p w14:paraId="0C712FE9" w14:textId="3B6B4373" w:rsidR="00050C1B" w:rsidRPr="00EA6B9E" w:rsidRDefault="00486005" w:rsidP="00486005">
            <w:pPr>
              <w:numPr>
                <w:ilvl w:val="0"/>
                <w:numId w:val="8"/>
              </w:num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Weather-damaged inedible food</w:t>
            </w:r>
          </w:p>
        </w:tc>
      </w:tr>
      <w:tr w:rsidR="00050C1B" w:rsidRPr="00B22788" w14:paraId="36C1A5C7" w14:textId="77777777" w:rsidTr="00050C1B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4C600" w14:textId="66CD6F50" w:rsidR="00050C1B" w:rsidRPr="00EA6B9E" w:rsidRDefault="00A7734A" w:rsidP="00912CA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Unsold food in supermarkets chains and stores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CE31C" w14:textId="706EEC5E" w:rsidR="00050C1B" w:rsidRPr="00EA6B9E" w:rsidRDefault="000E1C23" w:rsidP="00912CA9">
            <w:pPr>
              <w:numPr>
                <w:ilvl w:val="0"/>
                <w:numId w:val="8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Spoil</w:t>
            </w:r>
            <w:r w:rsidR="00290B5D" w:rsidRPr="00EA6B9E">
              <w:rPr>
                <w:rFonts w:ascii="Arial" w:hAnsi="Arial" w:cs="Arial"/>
              </w:rPr>
              <w:t>ed</w:t>
            </w:r>
            <w:r w:rsidRPr="00EA6B9E">
              <w:rPr>
                <w:rFonts w:ascii="Arial" w:hAnsi="Arial" w:cs="Arial"/>
              </w:rPr>
              <w:t xml:space="preserve"> food</w:t>
            </w:r>
          </w:p>
        </w:tc>
      </w:tr>
      <w:tr w:rsidR="00050C1B" w:rsidRPr="00B22788" w14:paraId="1E5FEAA3" w14:textId="77777777" w:rsidTr="000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  <w:tcBorders>
              <w:top w:val="nil"/>
              <w:bottom w:val="nil"/>
            </w:tcBorders>
            <w:hideMark/>
          </w:tcPr>
          <w:p w14:paraId="3E019FD4" w14:textId="45A5BBC1" w:rsidR="00050C1B" w:rsidRPr="00EA6B9E" w:rsidRDefault="00912CA9" w:rsidP="00912CA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P</w:t>
            </w:r>
            <w:r w:rsidR="00A7734A" w:rsidRPr="00EA6B9E">
              <w:rPr>
                <w:rFonts w:ascii="Arial" w:hAnsi="Arial" w:cs="Arial"/>
              </w:rPr>
              <w:t xml:space="preserve">repared food </w:t>
            </w:r>
            <w:r w:rsidRPr="00EA6B9E">
              <w:rPr>
                <w:rFonts w:ascii="Arial" w:hAnsi="Arial" w:cs="Arial"/>
              </w:rPr>
              <w:t xml:space="preserve">surpluses </w:t>
            </w:r>
            <w:r w:rsidR="00A7734A" w:rsidRPr="00EA6B9E">
              <w:rPr>
                <w:rFonts w:ascii="Arial" w:hAnsi="Arial" w:cs="Arial"/>
              </w:rPr>
              <w:t xml:space="preserve">from </w:t>
            </w:r>
            <w:r w:rsidRPr="00EA6B9E">
              <w:rPr>
                <w:rFonts w:ascii="Arial" w:hAnsi="Arial" w:cs="Arial"/>
              </w:rPr>
              <w:t xml:space="preserve">the </w:t>
            </w:r>
            <w:r w:rsidR="00A7734A" w:rsidRPr="00EA6B9E">
              <w:rPr>
                <w:rFonts w:ascii="Arial" w:hAnsi="Arial" w:cs="Arial"/>
              </w:rPr>
              <w:t>catering industr</w:t>
            </w:r>
            <w:r w:rsidRPr="00EA6B9E">
              <w:rPr>
                <w:rFonts w:ascii="Arial" w:hAnsi="Arial" w:cs="Arial"/>
              </w:rPr>
              <w:t>y, institutional</w:t>
            </w:r>
            <w:r w:rsidR="00A7734A" w:rsidRPr="00EA6B9E">
              <w:rPr>
                <w:rFonts w:ascii="Arial" w:hAnsi="Arial" w:cs="Arial"/>
              </w:rPr>
              <w:t xml:space="preserve"> kitchens &amp; restaurants</w:t>
            </w:r>
          </w:p>
        </w:tc>
        <w:tc>
          <w:tcPr>
            <w:tcW w:w="4280" w:type="dxa"/>
            <w:tcBorders>
              <w:top w:val="nil"/>
              <w:bottom w:val="nil"/>
            </w:tcBorders>
            <w:hideMark/>
          </w:tcPr>
          <w:p w14:paraId="5F5D6E5E" w14:textId="63E1D095" w:rsidR="00050C1B" w:rsidRPr="00EA6B9E" w:rsidRDefault="000E1C23" w:rsidP="00912CA9">
            <w:pPr>
              <w:numPr>
                <w:ilvl w:val="0"/>
                <w:numId w:val="8"/>
              </w:num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Byproducts of the production process (peels, seeds, skin, fat)</w:t>
            </w:r>
          </w:p>
        </w:tc>
      </w:tr>
      <w:tr w:rsidR="00050C1B" w:rsidRPr="00B22788" w14:paraId="11BCCE1E" w14:textId="77777777" w:rsidTr="00050C1B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92490" w14:textId="474BAF10" w:rsidR="00050C1B" w:rsidRPr="00EA6B9E" w:rsidRDefault="00A7734A" w:rsidP="00912CA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Packaged food with damaged packaging or misshaped food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C8EBD" w14:textId="78F3A29B" w:rsidR="00050C1B" w:rsidRPr="00EA6B9E" w:rsidRDefault="000E1C23" w:rsidP="00912CA9">
            <w:pPr>
              <w:numPr>
                <w:ilvl w:val="0"/>
                <w:numId w:val="8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Uneaten food on plates</w:t>
            </w:r>
          </w:p>
        </w:tc>
      </w:tr>
      <w:tr w:rsidR="00050C1B" w:rsidRPr="00B22788" w14:paraId="75859787" w14:textId="77777777" w:rsidTr="0005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  <w:tcBorders>
              <w:top w:val="nil"/>
              <w:bottom w:val="single" w:sz="8" w:space="0" w:color="5B9BD5" w:themeColor="accent1"/>
            </w:tcBorders>
            <w:hideMark/>
          </w:tcPr>
          <w:p w14:paraId="133C0621" w14:textId="7DD79436" w:rsidR="00050C1B" w:rsidRPr="00EA6B9E" w:rsidRDefault="00486005" w:rsidP="00486005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rtl/>
              </w:rPr>
            </w:pPr>
            <w:r w:rsidRPr="00EA6B9E">
              <w:rPr>
                <w:rFonts w:ascii="Arial" w:hAnsi="Arial" w:cs="Arial"/>
              </w:rPr>
              <w:t>Unsold f</w:t>
            </w:r>
            <w:r w:rsidR="00A7734A" w:rsidRPr="00EA6B9E">
              <w:rPr>
                <w:rFonts w:ascii="Arial" w:hAnsi="Arial" w:cs="Arial"/>
              </w:rPr>
              <w:t xml:space="preserve">ood nearing its sell-by date </w:t>
            </w:r>
          </w:p>
        </w:tc>
        <w:tc>
          <w:tcPr>
            <w:tcW w:w="4280" w:type="dxa"/>
            <w:tcBorders>
              <w:top w:val="nil"/>
              <w:bottom w:val="single" w:sz="8" w:space="0" w:color="5B9BD5" w:themeColor="accent1"/>
            </w:tcBorders>
          </w:tcPr>
          <w:p w14:paraId="00C3E06E" w14:textId="77777777" w:rsidR="00050C1B" w:rsidRPr="00EA6B9E" w:rsidRDefault="00050C1B" w:rsidP="00912C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</w:tr>
    </w:tbl>
    <w:p w14:paraId="4DA26A29" w14:textId="1F405F80" w:rsidR="00912CA9" w:rsidRDefault="00912CA9" w:rsidP="003D7B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BB9A" w14:textId="77777777" w:rsidR="00691BD2" w:rsidRDefault="00691BD2" w:rsidP="005E04CC">
      <w:pPr>
        <w:spacing w:after="0" w:line="240" w:lineRule="auto"/>
      </w:pPr>
      <w:r>
        <w:separator/>
      </w:r>
    </w:p>
  </w:endnote>
  <w:endnote w:type="continuationSeparator" w:id="0">
    <w:p w14:paraId="097FA9E3" w14:textId="77777777" w:rsidR="00691BD2" w:rsidRDefault="00691BD2" w:rsidP="005E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F8E1" w14:textId="77777777" w:rsidR="00691BD2" w:rsidRDefault="00691BD2" w:rsidP="005E04CC">
      <w:pPr>
        <w:spacing w:after="0" w:line="240" w:lineRule="auto"/>
      </w:pPr>
      <w:r>
        <w:separator/>
      </w:r>
    </w:p>
  </w:footnote>
  <w:footnote w:type="continuationSeparator" w:id="0">
    <w:p w14:paraId="2482D765" w14:textId="77777777" w:rsidR="00691BD2" w:rsidRDefault="00691BD2" w:rsidP="005E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B3B"/>
    <w:multiLevelType w:val="hybridMultilevel"/>
    <w:tmpl w:val="13C26404"/>
    <w:lvl w:ilvl="0" w:tplc="4DC870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30A8F"/>
    <w:multiLevelType w:val="hybridMultilevel"/>
    <w:tmpl w:val="9FB4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45D8"/>
    <w:multiLevelType w:val="hybridMultilevel"/>
    <w:tmpl w:val="9B661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141D"/>
    <w:multiLevelType w:val="hybridMultilevel"/>
    <w:tmpl w:val="A134C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9CE"/>
    <w:multiLevelType w:val="hybridMultilevel"/>
    <w:tmpl w:val="6C5A2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F31"/>
    <w:multiLevelType w:val="hybridMultilevel"/>
    <w:tmpl w:val="4192F1EA"/>
    <w:lvl w:ilvl="0" w:tplc="32A40E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A283B"/>
    <w:multiLevelType w:val="hybridMultilevel"/>
    <w:tmpl w:val="C6BEE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0E27"/>
    <w:multiLevelType w:val="hybridMultilevel"/>
    <w:tmpl w:val="2BD29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D062B"/>
    <w:multiLevelType w:val="hybridMultilevel"/>
    <w:tmpl w:val="43EC2D96"/>
    <w:lvl w:ilvl="0" w:tplc="101E97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6F5952"/>
    <w:multiLevelType w:val="hybridMultilevel"/>
    <w:tmpl w:val="380A44D2"/>
    <w:lvl w:ilvl="0" w:tplc="AAD06A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F5512"/>
    <w:multiLevelType w:val="hybridMultilevel"/>
    <w:tmpl w:val="D7E04384"/>
    <w:lvl w:ilvl="0" w:tplc="6F84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1B62"/>
    <w:multiLevelType w:val="hybridMultilevel"/>
    <w:tmpl w:val="673039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85984"/>
    <w:multiLevelType w:val="hybridMultilevel"/>
    <w:tmpl w:val="F2264D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13302">
    <w:abstractNumId w:val="4"/>
  </w:num>
  <w:num w:numId="2" w16cid:durableId="1968462197">
    <w:abstractNumId w:val="5"/>
  </w:num>
  <w:num w:numId="3" w16cid:durableId="2038696065">
    <w:abstractNumId w:val="3"/>
  </w:num>
  <w:num w:numId="4" w16cid:durableId="1252856412">
    <w:abstractNumId w:val="6"/>
  </w:num>
  <w:num w:numId="5" w16cid:durableId="386925782">
    <w:abstractNumId w:val="1"/>
  </w:num>
  <w:num w:numId="6" w16cid:durableId="399181099">
    <w:abstractNumId w:val="10"/>
  </w:num>
  <w:num w:numId="7" w16cid:durableId="874270824">
    <w:abstractNumId w:val="7"/>
  </w:num>
  <w:num w:numId="8" w16cid:durableId="1328943552">
    <w:abstractNumId w:val="12"/>
  </w:num>
  <w:num w:numId="9" w16cid:durableId="1423993616">
    <w:abstractNumId w:val="2"/>
  </w:num>
  <w:num w:numId="10" w16cid:durableId="6182590">
    <w:abstractNumId w:val="9"/>
  </w:num>
  <w:num w:numId="11" w16cid:durableId="783615913">
    <w:abstractNumId w:val="0"/>
  </w:num>
  <w:num w:numId="12" w16cid:durableId="176580464">
    <w:abstractNumId w:val="11"/>
  </w:num>
  <w:num w:numId="13" w16cid:durableId="321324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61"/>
    <w:rsid w:val="000053D0"/>
    <w:rsid w:val="0001416A"/>
    <w:rsid w:val="000158BA"/>
    <w:rsid w:val="00030456"/>
    <w:rsid w:val="00030D06"/>
    <w:rsid w:val="00032A6D"/>
    <w:rsid w:val="00042BF9"/>
    <w:rsid w:val="00045E05"/>
    <w:rsid w:val="00050C1B"/>
    <w:rsid w:val="00055DB1"/>
    <w:rsid w:val="00056340"/>
    <w:rsid w:val="00060B18"/>
    <w:rsid w:val="00063CA5"/>
    <w:rsid w:val="00065B70"/>
    <w:rsid w:val="00081C07"/>
    <w:rsid w:val="00083F9F"/>
    <w:rsid w:val="0009299A"/>
    <w:rsid w:val="0009470E"/>
    <w:rsid w:val="00097519"/>
    <w:rsid w:val="000A5BE3"/>
    <w:rsid w:val="000B095A"/>
    <w:rsid w:val="000B1C2C"/>
    <w:rsid w:val="000B27A2"/>
    <w:rsid w:val="000B6D1F"/>
    <w:rsid w:val="000B72E5"/>
    <w:rsid w:val="000C1FDF"/>
    <w:rsid w:val="000C343E"/>
    <w:rsid w:val="000C6504"/>
    <w:rsid w:val="000C6758"/>
    <w:rsid w:val="000C7FBE"/>
    <w:rsid w:val="000E1C23"/>
    <w:rsid w:val="000E48E6"/>
    <w:rsid w:val="000E4C9C"/>
    <w:rsid w:val="000E5268"/>
    <w:rsid w:val="000E5F79"/>
    <w:rsid w:val="000E7154"/>
    <w:rsid w:val="000F2891"/>
    <w:rsid w:val="000F3915"/>
    <w:rsid w:val="000F6AB9"/>
    <w:rsid w:val="001015D5"/>
    <w:rsid w:val="00105A26"/>
    <w:rsid w:val="0010653A"/>
    <w:rsid w:val="00106D05"/>
    <w:rsid w:val="00111999"/>
    <w:rsid w:val="00115873"/>
    <w:rsid w:val="00121B8E"/>
    <w:rsid w:val="0012348B"/>
    <w:rsid w:val="00126966"/>
    <w:rsid w:val="001318BD"/>
    <w:rsid w:val="001329ED"/>
    <w:rsid w:val="00133B6A"/>
    <w:rsid w:val="00135C6C"/>
    <w:rsid w:val="00140974"/>
    <w:rsid w:val="00140ADB"/>
    <w:rsid w:val="001533D2"/>
    <w:rsid w:val="00155F34"/>
    <w:rsid w:val="001607A5"/>
    <w:rsid w:val="00165218"/>
    <w:rsid w:val="001678F3"/>
    <w:rsid w:val="0017399D"/>
    <w:rsid w:val="001861ED"/>
    <w:rsid w:val="00186481"/>
    <w:rsid w:val="00187259"/>
    <w:rsid w:val="00196471"/>
    <w:rsid w:val="001A039A"/>
    <w:rsid w:val="001A2457"/>
    <w:rsid w:val="001A2DAD"/>
    <w:rsid w:val="001A5D7C"/>
    <w:rsid w:val="001C5350"/>
    <w:rsid w:val="001D0497"/>
    <w:rsid w:val="001D7C6D"/>
    <w:rsid w:val="001D7F9B"/>
    <w:rsid w:val="001E1420"/>
    <w:rsid w:val="001E3570"/>
    <w:rsid w:val="001E5A1E"/>
    <w:rsid w:val="001F4CC8"/>
    <w:rsid w:val="00210C3E"/>
    <w:rsid w:val="00224AD7"/>
    <w:rsid w:val="00225C7A"/>
    <w:rsid w:val="00233D1D"/>
    <w:rsid w:val="00252DEA"/>
    <w:rsid w:val="00262C15"/>
    <w:rsid w:val="0026789E"/>
    <w:rsid w:val="00267A48"/>
    <w:rsid w:val="002726DA"/>
    <w:rsid w:val="002763D8"/>
    <w:rsid w:val="00280126"/>
    <w:rsid w:val="0028269D"/>
    <w:rsid w:val="00290B5D"/>
    <w:rsid w:val="00291787"/>
    <w:rsid w:val="0029662E"/>
    <w:rsid w:val="002A1B0B"/>
    <w:rsid w:val="002A4CEE"/>
    <w:rsid w:val="002A4E40"/>
    <w:rsid w:val="002A55E2"/>
    <w:rsid w:val="002A7763"/>
    <w:rsid w:val="002A7EB3"/>
    <w:rsid w:val="002B3EA0"/>
    <w:rsid w:val="002B4562"/>
    <w:rsid w:val="002B5E32"/>
    <w:rsid w:val="002B7E14"/>
    <w:rsid w:val="002C061B"/>
    <w:rsid w:val="002C1704"/>
    <w:rsid w:val="002C18B1"/>
    <w:rsid w:val="002C239C"/>
    <w:rsid w:val="002C3A76"/>
    <w:rsid w:val="002C3AB7"/>
    <w:rsid w:val="002D0D1A"/>
    <w:rsid w:val="002D1A0E"/>
    <w:rsid w:val="002D6445"/>
    <w:rsid w:val="002E5B88"/>
    <w:rsid w:val="002F4C5D"/>
    <w:rsid w:val="00300A2D"/>
    <w:rsid w:val="003066C4"/>
    <w:rsid w:val="00306B21"/>
    <w:rsid w:val="00313166"/>
    <w:rsid w:val="003142CE"/>
    <w:rsid w:val="00314325"/>
    <w:rsid w:val="003235E5"/>
    <w:rsid w:val="00331921"/>
    <w:rsid w:val="00343E73"/>
    <w:rsid w:val="00344D8B"/>
    <w:rsid w:val="003512B7"/>
    <w:rsid w:val="00351858"/>
    <w:rsid w:val="00352779"/>
    <w:rsid w:val="0035579D"/>
    <w:rsid w:val="00357523"/>
    <w:rsid w:val="00360A68"/>
    <w:rsid w:val="003648D1"/>
    <w:rsid w:val="00373826"/>
    <w:rsid w:val="003741E0"/>
    <w:rsid w:val="00376C02"/>
    <w:rsid w:val="00386E5C"/>
    <w:rsid w:val="00394896"/>
    <w:rsid w:val="003A745B"/>
    <w:rsid w:val="003B00E7"/>
    <w:rsid w:val="003C0B45"/>
    <w:rsid w:val="003C29CC"/>
    <w:rsid w:val="003C4663"/>
    <w:rsid w:val="003C539E"/>
    <w:rsid w:val="003C7B94"/>
    <w:rsid w:val="003D63FA"/>
    <w:rsid w:val="003D66C0"/>
    <w:rsid w:val="003D6794"/>
    <w:rsid w:val="003D7BB6"/>
    <w:rsid w:val="003E4CD1"/>
    <w:rsid w:val="003E5996"/>
    <w:rsid w:val="003F75B8"/>
    <w:rsid w:val="00412944"/>
    <w:rsid w:val="004144BB"/>
    <w:rsid w:val="00423F29"/>
    <w:rsid w:val="00434856"/>
    <w:rsid w:val="00436A77"/>
    <w:rsid w:val="0045428E"/>
    <w:rsid w:val="00455F3D"/>
    <w:rsid w:val="004572E1"/>
    <w:rsid w:val="00457F06"/>
    <w:rsid w:val="00460B22"/>
    <w:rsid w:val="0046347A"/>
    <w:rsid w:val="0047001B"/>
    <w:rsid w:val="004700B6"/>
    <w:rsid w:val="00481408"/>
    <w:rsid w:val="004828AC"/>
    <w:rsid w:val="00485A49"/>
    <w:rsid w:val="00486005"/>
    <w:rsid w:val="00486D6D"/>
    <w:rsid w:val="00491AF9"/>
    <w:rsid w:val="00491F9A"/>
    <w:rsid w:val="004928E3"/>
    <w:rsid w:val="00494561"/>
    <w:rsid w:val="00494EDF"/>
    <w:rsid w:val="004B1B0D"/>
    <w:rsid w:val="004B1D37"/>
    <w:rsid w:val="004C2D87"/>
    <w:rsid w:val="004D0151"/>
    <w:rsid w:val="004D1893"/>
    <w:rsid w:val="004D21C7"/>
    <w:rsid w:val="004D4B5F"/>
    <w:rsid w:val="004E12C1"/>
    <w:rsid w:val="004E300A"/>
    <w:rsid w:val="004E6B0E"/>
    <w:rsid w:val="004E6D9F"/>
    <w:rsid w:val="004E717B"/>
    <w:rsid w:val="004F1781"/>
    <w:rsid w:val="004F5094"/>
    <w:rsid w:val="004F580D"/>
    <w:rsid w:val="004F677D"/>
    <w:rsid w:val="00505938"/>
    <w:rsid w:val="00515365"/>
    <w:rsid w:val="005268F6"/>
    <w:rsid w:val="005301B2"/>
    <w:rsid w:val="005301DB"/>
    <w:rsid w:val="0054000D"/>
    <w:rsid w:val="005411FE"/>
    <w:rsid w:val="00542AA4"/>
    <w:rsid w:val="00553213"/>
    <w:rsid w:val="00553E95"/>
    <w:rsid w:val="00555D4B"/>
    <w:rsid w:val="00557214"/>
    <w:rsid w:val="0056607D"/>
    <w:rsid w:val="0057179F"/>
    <w:rsid w:val="00573479"/>
    <w:rsid w:val="00575F9E"/>
    <w:rsid w:val="005769D0"/>
    <w:rsid w:val="00576D9D"/>
    <w:rsid w:val="00577CEC"/>
    <w:rsid w:val="00580E9B"/>
    <w:rsid w:val="00586D81"/>
    <w:rsid w:val="00591A76"/>
    <w:rsid w:val="00597D3C"/>
    <w:rsid w:val="005B1652"/>
    <w:rsid w:val="005B1743"/>
    <w:rsid w:val="005B1ABE"/>
    <w:rsid w:val="005C61CE"/>
    <w:rsid w:val="005D47AA"/>
    <w:rsid w:val="005D6E26"/>
    <w:rsid w:val="005E04CC"/>
    <w:rsid w:val="005E2B66"/>
    <w:rsid w:val="005E7589"/>
    <w:rsid w:val="005F1DA3"/>
    <w:rsid w:val="005F4395"/>
    <w:rsid w:val="006053C9"/>
    <w:rsid w:val="00616FEC"/>
    <w:rsid w:val="00617C26"/>
    <w:rsid w:val="0062236E"/>
    <w:rsid w:val="00627717"/>
    <w:rsid w:val="0063027C"/>
    <w:rsid w:val="00632EC0"/>
    <w:rsid w:val="00641A0C"/>
    <w:rsid w:val="00641AA2"/>
    <w:rsid w:val="0064231B"/>
    <w:rsid w:val="00642661"/>
    <w:rsid w:val="00642971"/>
    <w:rsid w:val="006467FD"/>
    <w:rsid w:val="006603F1"/>
    <w:rsid w:val="00671422"/>
    <w:rsid w:val="00676DA4"/>
    <w:rsid w:val="00687797"/>
    <w:rsid w:val="00691BD2"/>
    <w:rsid w:val="00693A07"/>
    <w:rsid w:val="0069598E"/>
    <w:rsid w:val="00695A0A"/>
    <w:rsid w:val="006A53BA"/>
    <w:rsid w:val="006B5383"/>
    <w:rsid w:val="006C2628"/>
    <w:rsid w:val="006C26D7"/>
    <w:rsid w:val="006C6A49"/>
    <w:rsid w:val="006C728C"/>
    <w:rsid w:val="006D4E1F"/>
    <w:rsid w:val="006D53DE"/>
    <w:rsid w:val="006E0AC2"/>
    <w:rsid w:val="006E0BA4"/>
    <w:rsid w:val="006E5F86"/>
    <w:rsid w:val="006F1891"/>
    <w:rsid w:val="00700709"/>
    <w:rsid w:val="00701571"/>
    <w:rsid w:val="0070659B"/>
    <w:rsid w:val="007077DD"/>
    <w:rsid w:val="0071429B"/>
    <w:rsid w:val="00714ACA"/>
    <w:rsid w:val="0071521D"/>
    <w:rsid w:val="00715984"/>
    <w:rsid w:val="00715B03"/>
    <w:rsid w:val="00717EEB"/>
    <w:rsid w:val="00720F86"/>
    <w:rsid w:val="00723DB2"/>
    <w:rsid w:val="00730082"/>
    <w:rsid w:val="00730B21"/>
    <w:rsid w:val="0073630E"/>
    <w:rsid w:val="0073711F"/>
    <w:rsid w:val="007400BD"/>
    <w:rsid w:val="0074675A"/>
    <w:rsid w:val="007476D1"/>
    <w:rsid w:val="007502C6"/>
    <w:rsid w:val="00751520"/>
    <w:rsid w:val="007535EB"/>
    <w:rsid w:val="00762E7F"/>
    <w:rsid w:val="007631F0"/>
    <w:rsid w:val="0076531D"/>
    <w:rsid w:val="007666F4"/>
    <w:rsid w:val="00770858"/>
    <w:rsid w:val="007729B9"/>
    <w:rsid w:val="007752E1"/>
    <w:rsid w:val="0077606B"/>
    <w:rsid w:val="00777E0A"/>
    <w:rsid w:val="00780576"/>
    <w:rsid w:val="00782343"/>
    <w:rsid w:val="00782D0E"/>
    <w:rsid w:val="0079278E"/>
    <w:rsid w:val="00795794"/>
    <w:rsid w:val="007A00BE"/>
    <w:rsid w:val="007A117F"/>
    <w:rsid w:val="007A1967"/>
    <w:rsid w:val="007A1D47"/>
    <w:rsid w:val="007A7C1D"/>
    <w:rsid w:val="007B24DE"/>
    <w:rsid w:val="007B4539"/>
    <w:rsid w:val="007B4995"/>
    <w:rsid w:val="007B7D11"/>
    <w:rsid w:val="007C0853"/>
    <w:rsid w:val="007C64A4"/>
    <w:rsid w:val="007D6756"/>
    <w:rsid w:val="007E0327"/>
    <w:rsid w:val="007E1AD9"/>
    <w:rsid w:val="007E35C8"/>
    <w:rsid w:val="007E41B9"/>
    <w:rsid w:val="007E53A0"/>
    <w:rsid w:val="007E54C8"/>
    <w:rsid w:val="007F0F2B"/>
    <w:rsid w:val="007F2167"/>
    <w:rsid w:val="00801C3C"/>
    <w:rsid w:val="008043D8"/>
    <w:rsid w:val="008130EC"/>
    <w:rsid w:val="008200B8"/>
    <w:rsid w:val="00820374"/>
    <w:rsid w:val="00830790"/>
    <w:rsid w:val="00840BFD"/>
    <w:rsid w:val="00857ECF"/>
    <w:rsid w:val="00860BA7"/>
    <w:rsid w:val="008710F2"/>
    <w:rsid w:val="00874D18"/>
    <w:rsid w:val="00874E70"/>
    <w:rsid w:val="00882045"/>
    <w:rsid w:val="00886216"/>
    <w:rsid w:val="00894630"/>
    <w:rsid w:val="00895E29"/>
    <w:rsid w:val="00896380"/>
    <w:rsid w:val="008B4298"/>
    <w:rsid w:val="008B47B0"/>
    <w:rsid w:val="008B710D"/>
    <w:rsid w:val="008D0910"/>
    <w:rsid w:val="008D2B12"/>
    <w:rsid w:val="008D34CB"/>
    <w:rsid w:val="008D5DD1"/>
    <w:rsid w:val="008E4E20"/>
    <w:rsid w:val="008F150F"/>
    <w:rsid w:val="008F2CE5"/>
    <w:rsid w:val="008F6218"/>
    <w:rsid w:val="00900518"/>
    <w:rsid w:val="0091007D"/>
    <w:rsid w:val="00910644"/>
    <w:rsid w:val="00912CA9"/>
    <w:rsid w:val="00922BE5"/>
    <w:rsid w:val="0092474E"/>
    <w:rsid w:val="00926DED"/>
    <w:rsid w:val="00932472"/>
    <w:rsid w:val="00935612"/>
    <w:rsid w:val="00935EB9"/>
    <w:rsid w:val="00943170"/>
    <w:rsid w:val="009460C7"/>
    <w:rsid w:val="00954A1E"/>
    <w:rsid w:val="0096196B"/>
    <w:rsid w:val="00963C60"/>
    <w:rsid w:val="0096549F"/>
    <w:rsid w:val="00977F26"/>
    <w:rsid w:val="009804AB"/>
    <w:rsid w:val="00984F54"/>
    <w:rsid w:val="009A2AD0"/>
    <w:rsid w:val="009A3C6A"/>
    <w:rsid w:val="009B07EC"/>
    <w:rsid w:val="009B2219"/>
    <w:rsid w:val="009B3980"/>
    <w:rsid w:val="009B4448"/>
    <w:rsid w:val="009C5551"/>
    <w:rsid w:val="009D17D0"/>
    <w:rsid w:val="009D32BE"/>
    <w:rsid w:val="009D7502"/>
    <w:rsid w:val="009F0283"/>
    <w:rsid w:val="009F1368"/>
    <w:rsid w:val="009F3219"/>
    <w:rsid w:val="009F546D"/>
    <w:rsid w:val="00A00890"/>
    <w:rsid w:val="00A074C7"/>
    <w:rsid w:val="00A079CC"/>
    <w:rsid w:val="00A2036F"/>
    <w:rsid w:val="00A230BF"/>
    <w:rsid w:val="00A27569"/>
    <w:rsid w:val="00A27658"/>
    <w:rsid w:val="00A27FE8"/>
    <w:rsid w:val="00A425EA"/>
    <w:rsid w:val="00A44DB5"/>
    <w:rsid w:val="00A46943"/>
    <w:rsid w:val="00A53390"/>
    <w:rsid w:val="00A53AAB"/>
    <w:rsid w:val="00A5419A"/>
    <w:rsid w:val="00A560D0"/>
    <w:rsid w:val="00A60A25"/>
    <w:rsid w:val="00A65F7D"/>
    <w:rsid w:val="00A664E9"/>
    <w:rsid w:val="00A67F24"/>
    <w:rsid w:val="00A7734A"/>
    <w:rsid w:val="00A77A16"/>
    <w:rsid w:val="00A806C0"/>
    <w:rsid w:val="00A80E20"/>
    <w:rsid w:val="00A81F7F"/>
    <w:rsid w:val="00A900E8"/>
    <w:rsid w:val="00A90B5F"/>
    <w:rsid w:val="00AB5BFD"/>
    <w:rsid w:val="00AC1131"/>
    <w:rsid w:val="00AC28D6"/>
    <w:rsid w:val="00AC2AD5"/>
    <w:rsid w:val="00AD00C6"/>
    <w:rsid w:val="00AD0C95"/>
    <w:rsid w:val="00AD0CD6"/>
    <w:rsid w:val="00AD48E0"/>
    <w:rsid w:val="00AD4E88"/>
    <w:rsid w:val="00AD657F"/>
    <w:rsid w:val="00B010FD"/>
    <w:rsid w:val="00B01731"/>
    <w:rsid w:val="00B0552D"/>
    <w:rsid w:val="00B12CB9"/>
    <w:rsid w:val="00B1712A"/>
    <w:rsid w:val="00B2095F"/>
    <w:rsid w:val="00B21DB6"/>
    <w:rsid w:val="00B22788"/>
    <w:rsid w:val="00B267D0"/>
    <w:rsid w:val="00B3182C"/>
    <w:rsid w:val="00B32BFB"/>
    <w:rsid w:val="00B4474F"/>
    <w:rsid w:val="00B610B9"/>
    <w:rsid w:val="00B80ADA"/>
    <w:rsid w:val="00B97617"/>
    <w:rsid w:val="00BA12B8"/>
    <w:rsid w:val="00BA35DC"/>
    <w:rsid w:val="00BA43B5"/>
    <w:rsid w:val="00BA4B3D"/>
    <w:rsid w:val="00BA6AF3"/>
    <w:rsid w:val="00BB09B0"/>
    <w:rsid w:val="00BB0B8D"/>
    <w:rsid w:val="00BB545C"/>
    <w:rsid w:val="00BB69BD"/>
    <w:rsid w:val="00BB7262"/>
    <w:rsid w:val="00BC090D"/>
    <w:rsid w:val="00BC0AA2"/>
    <w:rsid w:val="00BC46F5"/>
    <w:rsid w:val="00BD09BF"/>
    <w:rsid w:val="00BD0A36"/>
    <w:rsid w:val="00BD0B01"/>
    <w:rsid w:val="00BD3795"/>
    <w:rsid w:val="00BD456B"/>
    <w:rsid w:val="00BD630B"/>
    <w:rsid w:val="00BE2ABE"/>
    <w:rsid w:val="00BE3946"/>
    <w:rsid w:val="00BF0423"/>
    <w:rsid w:val="00C0007E"/>
    <w:rsid w:val="00C006E5"/>
    <w:rsid w:val="00C039EA"/>
    <w:rsid w:val="00C07A86"/>
    <w:rsid w:val="00C1435E"/>
    <w:rsid w:val="00C1509E"/>
    <w:rsid w:val="00C1590C"/>
    <w:rsid w:val="00C21412"/>
    <w:rsid w:val="00C242A6"/>
    <w:rsid w:val="00C273AC"/>
    <w:rsid w:val="00C27B2D"/>
    <w:rsid w:val="00C436A3"/>
    <w:rsid w:val="00C45716"/>
    <w:rsid w:val="00C472A6"/>
    <w:rsid w:val="00C51AEA"/>
    <w:rsid w:val="00C62086"/>
    <w:rsid w:val="00C62675"/>
    <w:rsid w:val="00C629AA"/>
    <w:rsid w:val="00C67510"/>
    <w:rsid w:val="00C8100F"/>
    <w:rsid w:val="00C83A01"/>
    <w:rsid w:val="00C841DA"/>
    <w:rsid w:val="00C91EA2"/>
    <w:rsid w:val="00C94664"/>
    <w:rsid w:val="00C94744"/>
    <w:rsid w:val="00C95B60"/>
    <w:rsid w:val="00CA083A"/>
    <w:rsid w:val="00CA641D"/>
    <w:rsid w:val="00CB7824"/>
    <w:rsid w:val="00CD2B74"/>
    <w:rsid w:val="00CD30E9"/>
    <w:rsid w:val="00CD3832"/>
    <w:rsid w:val="00CD3936"/>
    <w:rsid w:val="00CE17E3"/>
    <w:rsid w:val="00CE3A4F"/>
    <w:rsid w:val="00CE58C5"/>
    <w:rsid w:val="00CF0C19"/>
    <w:rsid w:val="00CF5FCE"/>
    <w:rsid w:val="00CF62A1"/>
    <w:rsid w:val="00CF727C"/>
    <w:rsid w:val="00CF7A13"/>
    <w:rsid w:val="00D1422D"/>
    <w:rsid w:val="00D15DB9"/>
    <w:rsid w:val="00D206F8"/>
    <w:rsid w:val="00D26D0C"/>
    <w:rsid w:val="00D30478"/>
    <w:rsid w:val="00D30667"/>
    <w:rsid w:val="00D345E8"/>
    <w:rsid w:val="00D35A49"/>
    <w:rsid w:val="00D360DB"/>
    <w:rsid w:val="00D37A9E"/>
    <w:rsid w:val="00D404BF"/>
    <w:rsid w:val="00D4505F"/>
    <w:rsid w:val="00D472D6"/>
    <w:rsid w:val="00D47D45"/>
    <w:rsid w:val="00D509E3"/>
    <w:rsid w:val="00D51EA2"/>
    <w:rsid w:val="00D526CE"/>
    <w:rsid w:val="00D617FE"/>
    <w:rsid w:val="00D6250F"/>
    <w:rsid w:val="00D64714"/>
    <w:rsid w:val="00D727A6"/>
    <w:rsid w:val="00D72AB5"/>
    <w:rsid w:val="00D74588"/>
    <w:rsid w:val="00D951DE"/>
    <w:rsid w:val="00D97081"/>
    <w:rsid w:val="00DA1073"/>
    <w:rsid w:val="00DB0EE6"/>
    <w:rsid w:val="00DB302A"/>
    <w:rsid w:val="00DB59BA"/>
    <w:rsid w:val="00DC451B"/>
    <w:rsid w:val="00DC680C"/>
    <w:rsid w:val="00DD3A1C"/>
    <w:rsid w:val="00DE0235"/>
    <w:rsid w:val="00DE0F39"/>
    <w:rsid w:val="00DE134E"/>
    <w:rsid w:val="00DE3A0E"/>
    <w:rsid w:val="00DF1AFC"/>
    <w:rsid w:val="00DF31A3"/>
    <w:rsid w:val="00DF7266"/>
    <w:rsid w:val="00E04759"/>
    <w:rsid w:val="00E04950"/>
    <w:rsid w:val="00E06DCD"/>
    <w:rsid w:val="00E10430"/>
    <w:rsid w:val="00E11571"/>
    <w:rsid w:val="00E1168C"/>
    <w:rsid w:val="00E20A39"/>
    <w:rsid w:val="00E26F8D"/>
    <w:rsid w:val="00E27F2E"/>
    <w:rsid w:val="00E31358"/>
    <w:rsid w:val="00E32580"/>
    <w:rsid w:val="00E34D20"/>
    <w:rsid w:val="00E37FC8"/>
    <w:rsid w:val="00E41AB1"/>
    <w:rsid w:val="00E510B6"/>
    <w:rsid w:val="00E54AA9"/>
    <w:rsid w:val="00E600DB"/>
    <w:rsid w:val="00E60E1D"/>
    <w:rsid w:val="00E716A7"/>
    <w:rsid w:val="00E73A91"/>
    <w:rsid w:val="00E74346"/>
    <w:rsid w:val="00E800F6"/>
    <w:rsid w:val="00E868E7"/>
    <w:rsid w:val="00E86D77"/>
    <w:rsid w:val="00E92479"/>
    <w:rsid w:val="00E96282"/>
    <w:rsid w:val="00EA3C69"/>
    <w:rsid w:val="00EA6B9E"/>
    <w:rsid w:val="00EC5592"/>
    <w:rsid w:val="00ED0D12"/>
    <w:rsid w:val="00EE0158"/>
    <w:rsid w:val="00EE64B0"/>
    <w:rsid w:val="00EE729E"/>
    <w:rsid w:val="00EF0621"/>
    <w:rsid w:val="00EF3245"/>
    <w:rsid w:val="00F018E0"/>
    <w:rsid w:val="00F01E06"/>
    <w:rsid w:val="00F10C17"/>
    <w:rsid w:val="00F206C8"/>
    <w:rsid w:val="00F21227"/>
    <w:rsid w:val="00F23DED"/>
    <w:rsid w:val="00F23E7A"/>
    <w:rsid w:val="00F24DA8"/>
    <w:rsid w:val="00F334C9"/>
    <w:rsid w:val="00F4434A"/>
    <w:rsid w:val="00F455FF"/>
    <w:rsid w:val="00F45AAA"/>
    <w:rsid w:val="00F53974"/>
    <w:rsid w:val="00F6149F"/>
    <w:rsid w:val="00F672D2"/>
    <w:rsid w:val="00F82B41"/>
    <w:rsid w:val="00F86144"/>
    <w:rsid w:val="00F92D5A"/>
    <w:rsid w:val="00FA6FE5"/>
    <w:rsid w:val="00FA7CD3"/>
    <w:rsid w:val="00FB4CF0"/>
    <w:rsid w:val="00FC2886"/>
    <w:rsid w:val="00FC6EAE"/>
    <w:rsid w:val="00FC7454"/>
    <w:rsid w:val="00FD237F"/>
    <w:rsid w:val="00FD3E95"/>
    <w:rsid w:val="00FE0B40"/>
    <w:rsid w:val="00FE5401"/>
    <w:rsid w:val="00FE5BCE"/>
    <w:rsid w:val="00FE6024"/>
    <w:rsid w:val="00FF0498"/>
    <w:rsid w:val="00FF3DFF"/>
    <w:rsid w:val="00FF5AE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C649"/>
  <w15:chartTrackingRefBased/>
  <w15:docId w15:val="{C559F93B-7B49-4109-8403-425A2F30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70E"/>
    <w:pPr>
      <w:outlineLvl w:val="0"/>
    </w:pPr>
    <w:rPr>
      <w:rFonts w:ascii="Arial" w:hAnsi="Arial" w:cs="Arial"/>
      <w:b/>
      <w:bCs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470E"/>
    <w:rPr>
      <w:rFonts w:ascii="Arial" w:hAnsi="Arial" w:cs="Arial"/>
      <w:b/>
      <w:bCs/>
      <w:color w:val="FF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E0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4C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1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C1"/>
    <w:rPr>
      <w:rFonts w:ascii="Segoe UI" w:hAnsi="Segoe UI" w:cs="Segoe UI"/>
      <w:sz w:val="18"/>
      <w:szCs w:val="18"/>
    </w:rPr>
  </w:style>
  <w:style w:type="table" w:customStyle="1" w:styleId="1-11">
    <w:name w:val="הצללה בינונית 1 - הדגשה 11"/>
    <w:basedOn w:val="TableNormal"/>
    <w:next w:val="MediumShading1-Accent1"/>
    <w:uiPriority w:val="63"/>
    <w:rsid w:val="00E3135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E3135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-11">
    <w:name w:val="טבלת רשת 4 - הדגשה 11"/>
    <w:basedOn w:val="TableNormal"/>
    <w:uiPriority w:val="49"/>
    <w:rsid w:val="007400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D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26"/>
  </w:style>
  <w:style w:type="paragraph" w:styleId="Footer">
    <w:name w:val="footer"/>
    <w:basedOn w:val="Normal"/>
    <w:link w:val="FooterChar"/>
    <w:uiPriority w:val="99"/>
    <w:unhideWhenUsed/>
    <w:rsid w:val="005D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26"/>
  </w:style>
  <w:style w:type="character" w:styleId="Hyperlink">
    <w:name w:val="Hyperlink"/>
    <w:basedOn w:val="DefaultParagraphFont"/>
    <w:uiPriority w:val="99"/>
    <w:unhideWhenUsed/>
    <w:rsid w:val="008E4E20"/>
    <w:rPr>
      <w:color w:val="0563C1" w:themeColor="hyperlink"/>
      <w:u w:val="single"/>
    </w:rPr>
  </w:style>
  <w:style w:type="table" w:customStyle="1" w:styleId="GridTable5Dark-Accent21">
    <w:name w:val="Grid Table 5 Dark - Accent 21"/>
    <w:basedOn w:val="TableNormal"/>
    <w:uiPriority w:val="50"/>
    <w:rsid w:val="0070659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1F3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EAFA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EAFA4"/>
      </w:tcPr>
    </w:tblStylePr>
    <w:tblStylePr w:type="band1Vert">
      <w:tblPr/>
      <w:tcPr>
        <w:shd w:val="clear" w:color="auto" w:fill="A3E7E1"/>
      </w:tcPr>
    </w:tblStylePr>
    <w:tblStylePr w:type="band1Horz">
      <w:tblPr/>
      <w:tcPr>
        <w:shd w:val="clear" w:color="auto" w:fill="A3E7E1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560D0"/>
    <w:rPr>
      <w:color w:val="954F72" w:themeColor="followedHyperlink"/>
      <w:u w:val="single"/>
    </w:rPr>
  </w:style>
  <w:style w:type="table" w:customStyle="1" w:styleId="-11">
    <w:name w:val="הצללה בהירה - הדגשה 11"/>
    <w:basedOn w:val="TableNormal"/>
    <w:uiPriority w:val="60"/>
    <w:rsid w:val="00050C1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nil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Revision">
    <w:name w:val="Revision"/>
    <w:hidden/>
    <w:uiPriority w:val="99"/>
    <w:semiHidden/>
    <w:rsid w:val="000B6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B393-8ED9-47DC-833F-1EB9BCD2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Shoshana Michael Zucker</cp:lastModifiedBy>
  <cp:revision>4</cp:revision>
  <dcterms:created xsi:type="dcterms:W3CDTF">2022-09-14T10:11:00Z</dcterms:created>
  <dcterms:modified xsi:type="dcterms:W3CDTF">2022-09-14T12:25:00Z</dcterms:modified>
</cp:coreProperties>
</file>