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E663" w14:textId="5C989F78" w:rsidR="00050C1B" w:rsidRPr="00BE6B46" w:rsidRDefault="00912CA9" w:rsidP="00BE6B46">
      <w:pPr>
        <w:pStyle w:val="Heading1"/>
        <w:numPr>
          <w:ilvl w:val="0"/>
          <w:numId w:val="14"/>
        </w:numPr>
        <w:rPr>
          <w:rFonts w:asciiTheme="minorBidi" w:hAnsiTheme="minorBidi" w:cstheme="minorBidi"/>
        </w:rPr>
      </w:pPr>
      <w:r w:rsidRPr="00BE6B46">
        <w:rPr>
          <w:rFonts w:asciiTheme="minorBidi" w:hAnsiTheme="minorBidi" w:cstheme="minorBidi"/>
        </w:rPr>
        <w:t>How Much Food Is Required to Close the Food Security Gap in Israel?</w:t>
      </w:r>
    </w:p>
    <w:p w14:paraId="5BE0B7D2" w14:textId="362ED517" w:rsidR="00B22788" w:rsidRPr="00BE6B46" w:rsidRDefault="0018010F" w:rsidP="00BE6B46">
      <w:pPr>
        <w:rPr>
          <w:rFonts w:asciiTheme="minorBidi" w:hAnsiTheme="minorBidi"/>
          <w:b/>
          <w:bCs/>
          <w:szCs w:val="24"/>
          <w:lang w:val="en-GB"/>
        </w:rPr>
      </w:pPr>
      <w:r w:rsidRPr="00BE6B46">
        <w:rPr>
          <w:rFonts w:asciiTheme="minorBidi" w:hAnsiTheme="minorBidi"/>
          <w:b/>
          <w:bCs/>
          <w:szCs w:val="24"/>
          <w:lang w:val="en-GB"/>
        </w:rPr>
        <w:t>Saving 20</w:t>
      </w:r>
      <w:r w:rsidR="00912CA9" w:rsidRPr="00BE6B46">
        <w:rPr>
          <w:rFonts w:asciiTheme="minorBidi" w:hAnsiTheme="minorBidi"/>
          <w:b/>
          <w:bCs/>
          <w:szCs w:val="24"/>
          <w:lang w:val="en-GB"/>
        </w:rPr>
        <w:t>%</w:t>
      </w:r>
      <w:r w:rsidR="00B22788" w:rsidRPr="00BE6B46">
        <w:rPr>
          <w:rFonts w:asciiTheme="minorBidi" w:hAnsiTheme="minorBidi"/>
          <w:b/>
          <w:bCs/>
          <w:szCs w:val="24"/>
          <w:lang w:val="en-GB"/>
        </w:rPr>
        <w:t xml:space="preserve"> of </w:t>
      </w:r>
      <w:r w:rsidRPr="00BE6B46">
        <w:rPr>
          <w:rFonts w:asciiTheme="minorBidi" w:hAnsiTheme="minorBidi"/>
          <w:b/>
          <w:bCs/>
          <w:szCs w:val="24"/>
          <w:lang w:val="en-GB"/>
        </w:rPr>
        <w:t>the food wasted in Israel would be sufficient to close the gap in food consumption</w:t>
      </w:r>
    </w:p>
    <w:p w14:paraId="743C2EF4" w14:textId="4A16A6A6" w:rsidR="00360A68" w:rsidRPr="00BE6B46" w:rsidRDefault="0059241A" w:rsidP="00BE6B46">
      <w:pPr>
        <w:spacing w:line="360" w:lineRule="auto"/>
        <w:jc w:val="both"/>
        <w:rPr>
          <w:rFonts w:asciiTheme="minorBidi" w:hAnsiTheme="minorBidi"/>
          <w:szCs w:val="24"/>
        </w:rPr>
      </w:pPr>
      <w:proofErr w:type="spellStart"/>
      <w:r w:rsidRPr="00BE6B46">
        <w:rPr>
          <w:rFonts w:asciiTheme="minorBidi" w:hAnsiTheme="minorBidi"/>
          <w:szCs w:val="24"/>
        </w:rPr>
        <w:t>BDO’s</w:t>
      </w:r>
      <w:proofErr w:type="spellEnd"/>
      <w:r w:rsidRPr="00BE6B46">
        <w:rPr>
          <w:rFonts w:asciiTheme="minorBidi" w:hAnsiTheme="minorBidi"/>
          <w:szCs w:val="24"/>
        </w:rPr>
        <w:t xml:space="preserve"> </w:t>
      </w:r>
      <w:r w:rsidR="00580E9B" w:rsidRPr="00BE6B46">
        <w:rPr>
          <w:rFonts w:asciiTheme="minorBidi" w:hAnsiTheme="minorBidi"/>
          <w:szCs w:val="24"/>
        </w:rPr>
        <w:t xml:space="preserve">analyses </w:t>
      </w:r>
      <w:r w:rsidR="00942B4A" w:rsidRPr="00BE6B46">
        <w:rPr>
          <w:rFonts w:asciiTheme="minorBidi" w:hAnsiTheme="minorBidi"/>
          <w:szCs w:val="24"/>
        </w:rPr>
        <w:t>of estimates based on</w:t>
      </w:r>
      <w:r w:rsidR="00580E9B" w:rsidRPr="00BE6B46">
        <w:rPr>
          <w:rFonts w:asciiTheme="minorBidi" w:hAnsiTheme="minorBidi"/>
          <w:szCs w:val="24"/>
        </w:rPr>
        <w:t xml:space="preserve"> the National Insurance Institute’s report published in </w:t>
      </w:r>
      <w:r w:rsidR="0059121B" w:rsidRPr="00BE6B46">
        <w:rPr>
          <w:rFonts w:asciiTheme="minorBidi" w:hAnsiTheme="minorBidi"/>
          <w:szCs w:val="24"/>
        </w:rPr>
        <w:t>December</w:t>
      </w:r>
      <w:r w:rsidR="00580E9B" w:rsidRPr="00BE6B46">
        <w:rPr>
          <w:rFonts w:asciiTheme="minorBidi" w:hAnsiTheme="minorBidi"/>
          <w:szCs w:val="24"/>
        </w:rPr>
        <w:t xml:space="preserve"> 2021</w:t>
      </w:r>
      <w:r w:rsidR="0059121B" w:rsidRPr="00BE6B46">
        <w:rPr>
          <w:rFonts w:asciiTheme="minorBidi" w:hAnsiTheme="minorBidi"/>
          <w:szCs w:val="24"/>
        </w:rPr>
        <w:t xml:space="preserve"> </w:t>
      </w:r>
      <w:r w:rsidR="00C301FA" w:rsidRPr="00BE6B46">
        <w:rPr>
          <w:rFonts w:asciiTheme="minorBidi" w:hAnsiTheme="minorBidi"/>
          <w:szCs w:val="24"/>
        </w:rPr>
        <w:t>calculate</w:t>
      </w:r>
      <w:r w:rsidR="00580E9B" w:rsidRPr="00BE6B46">
        <w:rPr>
          <w:rFonts w:asciiTheme="minorBidi" w:hAnsiTheme="minorBidi"/>
          <w:szCs w:val="24"/>
        </w:rPr>
        <w:t xml:space="preserve"> </w:t>
      </w:r>
      <w:r w:rsidR="005D0487" w:rsidRPr="00BE6B46">
        <w:rPr>
          <w:rFonts w:asciiTheme="minorBidi" w:hAnsiTheme="minorBidi"/>
          <w:szCs w:val="24"/>
        </w:rPr>
        <w:t xml:space="preserve">that </w:t>
      </w:r>
      <w:r w:rsidR="00580E9B" w:rsidRPr="00BE6B46">
        <w:rPr>
          <w:rFonts w:asciiTheme="minorBidi" w:hAnsiTheme="minorBidi"/>
          <w:szCs w:val="24"/>
        </w:rPr>
        <w:t xml:space="preserve">the rate of </w:t>
      </w:r>
      <w:r w:rsidR="00942B4A" w:rsidRPr="00BE6B46">
        <w:rPr>
          <w:rFonts w:asciiTheme="minorBidi" w:hAnsiTheme="minorBidi"/>
          <w:szCs w:val="24"/>
        </w:rPr>
        <w:t xml:space="preserve">food-insecure </w:t>
      </w:r>
      <w:r w:rsidR="00580E9B" w:rsidRPr="00BE6B46">
        <w:rPr>
          <w:rFonts w:asciiTheme="minorBidi" w:hAnsiTheme="minorBidi"/>
          <w:szCs w:val="24"/>
        </w:rPr>
        <w:t>households in 202</w:t>
      </w:r>
      <w:r w:rsidR="0059121B" w:rsidRPr="00BE6B46">
        <w:rPr>
          <w:rFonts w:asciiTheme="minorBidi" w:hAnsiTheme="minorBidi"/>
          <w:szCs w:val="24"/>
        </w:rPr>
        <w:t>1</w:t>
      </w:r>
      <w:r w:rsidR="00580E9B" w:rsidRPr="00BE6B46">
        <w:rPr>
          <w:rFonts w:asciiTheme="minorBidi" w:hAnsiTheme="minorBidi"/>
          <w:szCs w:val="24"/>
        </w:rPr>
        <w:t xml:space="preserve"> st</w:t>
      </w:r>
      <w:r w:rsidR="00942B4A" w:rsidRPr="00BE6B46">
        <w:rPr>
          <w:rFonts w:asciiTheme="minorBidi" w:hAnsiTheme="minorBidi"/>
          <w:szCs w:val="24"/>
        </w:rPr>
        <w:t xml:space="preserve">ood </w:t>
      </w:r>
      <w:r w:rsidR="00580E9B" w:rsidRPr="00BE6B46">
        <w:rPr>
          <w:rFonts w:asciiTheme="minorBidi" w:hAnsiTheme="minorBidi"/>
          <w:szCs w:val="24"/>
        </w:rPr>
        <w:t>at 1</w:t>
      </w:r>
      <w:r w:rsidR="0059121B" w:rsidRPr="00BE6B46">
        <w:rPr>
          <w:rFonts w:asciiTheme="minorBidi" w:hAnsiTheme="minorBidi"/>
          <w:szCs w:val="24"/>
        </w:rPr>
        <w:t>6.2</w:t>
      </w:r>
      <w:r w:rsidR="00580E9B" w:rsidRPr="00BE6B46">
        <w:rPr>
          <w:rFonts w:asciiTheme="minorBidi" w:hAnsiTheme="minorBidi"/>
          <w:szCs w:val="24"/>
        </w:rPr>
        <w:t xml:space="preserve">%. </w:t>
      </w:r>
      <w:r w:rsidR="0059121B" w:rsidRPr="00BE6B46">
        <w:rPr>
          <w:rFonts w:asciiTheme="minorBidi" w:hAnsiTheme="minorBidi"/>
          <w:szCs w:val="24"/>
        </w:rPr>
        <w:t xml:space="preserve">According </w:t>
      </w:r>
      <w:r w:rsidR="00580E9B" w:rsidRPr="00BE6B46">
        <w:rPr>
          <w:rFonts w:asciiTheme="minorBidi" w:hAnsiTheme="minorBidi"/>
          <w:szCs w:val="24"/>
        </w:rPr>
        <w:t>to this report</w:t>
      </w:r>
      <w:r w:rsidR="00F27F12" w:rsidRPr="00BE6B46">
        <w:rPr>
          <w:rFonts w:asciiTheme="minorBidi" w:hAnsiTheme="minorBidi"/>
          <w:szCs w:val="24"/>
        </w:rPr>
        <w:t>,</w:t>
      </w:r>
      <w:r w:rsidR="00580E9B" w:rsidRPr="00BE6B46">
        <w:rPr>
          <w:rFonts w:asciiTheme="minorBidi" w:hAnsiTheme="minorBidi"/>
          <w:szCs w:val="24"/>
        </w:rPr>
        <w:t xml:space="preserve"> the </w:t>
      </w:r>
      <w:r w:rsidR="005D0487" w:rsidRPr="00BE6B46">
        <w:rPr>
          <w:rFonts w:asciiTheme="minorBidi" w:hAnsiTheme="minorBidi"/>
          <w:szCs w:val="24"/>
        </w:rPr>
        <w:t xml:space="preserve">Gini Inequality Index </w:t>
      </w:r>
      <w:r w:rsidR="00580E9B" w:rsidRPr="00BE6B46">
        <w:rPr>
          <w:rFonts w:asciiTheme="minorBidi" w:hAnsiTheme="minorBidi"/>
          <w:szCs w:val="24"/>
        </w:rPr>
        <w:t xml:space="preserve">in Israel went up by about </w:t>
      </w:r>
      <w:r w:rsidR="0059121B" w:rsidRPr="00BE6B46">
        <w:rPr>
          <w:rFonts w:asciiTheme="minorBidi" w:hAnsiTheme="minorBidi"/>
          <w:szCs w:val="24"/>
        </w:rPr>
        <w:t>2</w:t>
      </w:r>
      <w:r w:rsidR="00580E9B" w:rsidRPr="00BE6B46">
        <w:rPr>
          <w:rFonts w:asciiTheme="minorBidi" w:hAnsiTheme="minorBidi"/>
          <w:szCs w:val="24"/>
        </w:rPr>
        <w:t>%</w:t>
      </w:r>
      <w:r w:rsidR="005D0487" w:rsidRPr="00BE6B46">
        <w:rPr>
          <w:rFonts w:asciiTheme="minorBidi" w:hAnsiTheme="minorBidi"/>
          <w:szCs w:val="24"/>
        </w:rPr>
        <w:t>,</w:t>
      </w:r>
      <w:r w:rsidR="00580E9B" w:rsidRPr="00BE6B46">
        <w:rPr>
          <w:rFonts w:asciiTheme="minorBidi" w:hAnsiTheme="minorBidi"/>
          <w:szCs w:val="24"/>
        </w:rPr>
        <w:t xml:space="preserve"> before </w:t>
      </w:r>
      <w:r w:rsidR="0059121B" w:rsidRPr="00BE6B46">
        <w:rPr>
          <w:rFonts w:asciiTheme="minorBidi" w:hAnsiTheme="minorBidi"/>
          <w:szCs w:val="24"/>
        </w:rPr>
        <w:t xml:space="preserve">any government </w:t>
      </w:r>
      <w:r w:rsidR="00942B4A" w:rsidRPr="00BE6B46">
        <w:rPr>
          <w:rFonts w:asciiTheme="minorBidi" w:hAnsiTheme="minorBidi"/>
          <w:szCs w:val="24"/>
        </w:rPr>
        <w:t>financial support</w:t>
      </w:r>
      <w:r w:rsidR="0059121B" w:rsidRPr="00BE6B46">
        <w:rPr>
          <w:rFonts w:asciiTheme="minorBidi" w:hAnsiTheme="minorBidi"/>
          <w:szCs w:val="24"/>
        </w:rPr>
        <w:t>,</w:t>
      </w:r>
      <w:r w:rsidR="00942B4A" w:rsidRPr="00BE6B46">
        <w:rPr>
          <w:rFonts w:asciiTheme="minorBidi" w:hAnsiTheme="minorBidi"/>
          <w:szCs w:val="24"/>
        </w:rPr>
        <w:t xml:space="preserve"> </w:t>
      </w:r>
      <w:r w:rsidR="00580E9B" w:rsidRPr="00BE6B46">
        <w:rPr>
          <w:rFonts w:asciiTheme="minorBidi" w:hAnsiTheme="minorBidi"/>
          <w:szCs w:val="24"/>
        </w:rPr>
        <w:t>compared to 20</w:t>
      </w:r>
      <w:r w:rsidR="0059121B" w:rsidRPr="00BE6B46">
        <w:rPr>
          <w:rFonts w:asciiTheme="minorBidi" w:hAnsiTheme="minorBidi"/>
          <w:szCs w:val="24"/>
        </w:rPr>
        <w:t>20.</w:t>
      </w:r>
    </w:p>
    <w:p w14:paraId="5B8449D6" w14:textId="5E26F3AB" w:rsidR="0059121B" w:rsidRPr="00BE6B46" w:rsidRDefault="0059121B" w:rsidP="00BE6B46">
      <w:pPr>
        <w:spacing w:line="360" w:lineRule="auto"/>
        <w:jc w:val="both"/>
        <w:rPr>
          <w:rFonts w:asciiTheme="minorBidi" w:hAnsiTheme="minorBidi"/>
          <w:szCs w:val="24"/>
        </w:rPr>
      </w:pPr>
      <w:r w:rsidRPr="00BE6B46">
        <w:rPr>
          <w:rFonts w:asciiTheme="minorBidi" w:hAnsiTheme="minorBidi"/>
          <w:szCs w:val="24"/>
        </w:rPr>
        <w:t xml:space="preserve">The report shows that the growth of the Israeli economy in 2021 did </w:t>
      </w:r>
      <w:r w:rsidR="00C301FA" w:rsidRPr="00BE6B46">
        <w:rPr>
          <w:rFonts w:asciiTheme="minorBidi" w:hAnsiTheme="minorBidi"/>
          <w:szCs w:val="24"/>
        </w:rPr>
        <w:t>not reach</w:t>
      </w:r>
      <w:r w:rsidR="005D0487" w:rsidRPr="00BE6B46">
        <w:rPr>
          <w:rFonts w:asciiTheme="minorBidi" w:hAnsiTheme="minorBidi"/>
          <w:szCs w:val="24"/>
        </w:rPr>
        <w:t xml:space="preserve"> </w:t>
      </w:r>
      <w:r w:rsidR="00C301FA" w:rsidRPr="00BE6B46">
        <w:rPr>
          <w:rFonts w:asciiTheme="minorBidi" w:hAnsiTheme="minorBidi"/>
          <w:szCs w:val="24"/>
        </w:rPr>
        <w:t xml:space="preserve">all portions of the population equally. As a result, the inequality in economic income increased. Furthermore, because the assistance given as a social safety net during the COVID-19 pandemic decreased during 2021, inequality in net income, after support and grants, increased by more than 3% over </w:t>
      </w:r>
      <w:r w:rsidR="005D0487" w:rsidRPr="00BE6B46">
        <w:rPr>
          <w:rFonts w:asciiTheme="minorBidi" w:hAnsiTheme="minorBidi"/>
          <w:szCs w:val="24"/>
        </w:rPr>
        <w:t xml:space="preserve">levels in </w:t>
      </w:r>
      <w:r w:rsidR="00C301FA" w:rsidRPr="00BE6B46">
        <w:rPr>
          <w:rFonts w:asciiTheme="minorBidi" w:hAnsiTheme="minorBidi"/>
          <w:szCs w:val="24"/>
        </w:rPr>
        <w:t>2020.</w:t>
      </w:r>
    </w:p>
    <w:p w14:paraId="12C83242" w14:textId="683AB1FB" w:rsidR="00A27569" w:rsidRPr="00BE6B46" w:rsidRDefault="00210C3E" w:rsidP="00BE6B46">
      <w:pPr>
        <w:spacing w:line="360" w:lineRule="auto"/>
        <w:jc w:val="center"/>
        <w:rPr>
          <w:rFonts w:asciiTheme="minorBidi" w:hAnsiTheme="minorBidi"/>
          <w:b/>
          <w:bCs/>
          <w:szCs w:val="24"/>
        </w:rPr>
      </w:pPr>
      <w:r w:rsidRPr="00BE6B46">
        <w:rPr>
          <w:rFonts w:asciiTheme="minorBidi" w:hAnsiTheme="minorBidi"/>
          <w:b/>
          <w:bCs/>
          <w:szCs w:val="24"/>
        </w:rPr>
        <w:t>Israel’s Gini Inequality Index</w:t>
      </w:r>
      <w:r w:rsidR="00767D52" w:rsidRPr="00BE6B46">
        <w:rPr>
          <w:rFonts w:asciiTheme="minorBidi" w:hAnsiTheme="minorBidi"/>
          <w:b/>
          <w:bCs/>
          <w:szCs w:val="24"/>
        </w:rPr>
        <w:t xml:space="preserve"> Ranking</w:t>
      </w:r>
    </w:p>
    <w:p w14:paraId="766ED01B" w14:textId="35BC54E5" w:rsidR="00210C3E" w:rsidRPr="00BE6B46" w:rsidRDefault="00C301FA" w:rsidP="00BE6B46">
      <w:pPr>
        <w:spacing w:line="360" w:lineRule="auto"/>
        <w:jc w:val="center"/>
        <w:rPr>
          <w:rFonts w:asciiTheme="minorBidi" w:hAnsiTheme="minorBidi"/>
          <w:b/>
          <w:bCs/>
          <w:szCs w:val="24"/>
        </w:rPr>
      </w:pPr>
      <w:r w:rsidRPr="00BE6B46">
        <w:rPr>
          <w:rFonts w:asciiTheme="minorBidi" w:hAnsiTheme="minorBidi"/>
          <w:noProof/>
        </w:rPr>
        <w:drawing>
          <wp:inline distT="0" distB="0" distL="0" distR="0" wp14:anchorId="1511B3FB" wp14:editId="63324F0A">
            <wp:extent cx="5731510" cy="3204057"/>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17C481" w14:textId="7D3E6F00" w:rsidR="00210C3E" w:rsidRPr="00BE6B46" w:rsidRDefault="00210C3E" w:rsidP="00BE6B46">
      <w:pPr>
        <w:spacing w:line="360" w:lineRule="auto"/>
        <w:jc w:val="both"/>
        <w:rPr>
          <w:rFonts w:asciiTheme="minorBidi" w:hAnsiTheme="minorBidi"/>
          <w:sz w:val="20"/>
          <w:szCs w:val="20"/>
        </w:rPr>
      </w:pPr>
      <w:r w:rsidRPr="00BE6B46">
        <w:rPr>
          <w:rFonts w:asciiTheme="minorBidi" w:hAnsiTheme="minorBidi"/>
          <w:sz w:val="20"/>
          <w:szCs w:val="20"/>
        </w:rPr>
        <w:t>Source: BDO analyses of data from the Central Bureau of Statistics</w:t>
      </w:r>
    </w:p>
    <w:p w14:paraId="063A34BF" w14:textId="145F6152" w:rsidR="00210C3E" w:rsidRPr="00BE6B46" w:rsidRDefault="00C301FA" w:rsidP="00BE6B46">
      <w:pPr>
        <w:spacing w:line="360" w:lineRule="auto"/>
        <w:jc w:val="both"/>
        <w:rPr>
          <w:rFonts w:asciiTheme="minorBidi" w:hAnsiTheme="minorBidi"/>
          <w:szCs w:val="24"/>
        </w:rPr>
      </w:pPr>
      <w:r w:rsidRPr="00BE6B46">
        <w:rPr>
          <w:rFonts w:asciiTheme="minorBidi" w:hAnsiTheme="minorBidi"/>
          <w:szCs w:val="24"/>
        </w:rPr>
        <w:t>According to OECD data measur</w:t>
      </w:r>
      <w:r w:rsidR="005D0487" w:rsidRPr="00BE6B46">
        <w:rPr>
          <w:rFonts w:asciiTheme="minorBidi" w:hAnsiTheme="minorBidi"/>
          <w:szCs w:val="24"/>
        </w:rPr>
        <w:t xml:space="preserve">ing </w:t>
      </w:r>
      <w:r w:rsidRPr="00BE6B46">
        <w:rPr>
          <w:rFonts w:asciiTheme="minorBidi" w:hAnsiTheme="minorBidi"/>
          <w:szCs w:val="24"/>
        </w:rPr>
        <w:t xml:space="preserve">poverty after taxes and payment transfers (for </w:t>
      </w:r>
      <w:r w:rsidR="005D0487" w:rsidRPr="00BE6B46">
        <w:rPr>
          <w:rFonts w:asciiTheme="minorBidi" w:hAnsiTheme="minorBidi"/>
          <w:szCs w:val="24"/>
        </w:rPr>
        <w:t xml:space="preserve">a </w:t>
      </w:r>
      <w:r w:rsidRPr="00BE6B46">
        <w:rPr>
          <w:rFonts w:asciiTheme="minorBidi" w:hAnsiTheme="minorBidi"/>
          <w:szCs w:val="24"/>
        </w:rPr>
        <w:t>poverty line set a</w:t>
      </w:r>
      <w:r w:rsidR="005D0487" w:rsidRPr="00BE6B46">
        <w:rPr>
          <w:rFonts w:asciiTheme="minorBidi" w:hAnsiTheme="minorBidi"/>
          <w:szCs w:val="24"/>
        </w:rPr>
        <w:t>t</w:t>
      </w:r>
      <w:r w:rsidRPr="00BE6B46">
        <w:rPr>
          <w:rFonts w:asciiTheme="minorBidi" w:hAnsiTheme="minorBidi"/>
          <w:szCs w:val="24"/>
        </w:rPr>
        <w:t xml:space="preserve"> 50% of the</w:t>
      </w:r>
      <w:r w:rsidR="0004743C" w:rsidRPr="00BE6B46">
        <w:rPr>
          <w:rFonts w:asciiTheme="minorBidi" w:hAnsiTheme="minorBidi"/>
          <w:szCs w:val="24"/>
        </w:rPr>
        <w:t xml:space="preserve"> m</w:t>
      </w:r>
      <w:r w:rsidR="004901CE" w:rsidRPr="00BE6B46">
        <w:rPr>
          <w:rFonts w:asciiTheme="minorBidi" w:hAnsiTheme="minorBidi"/>
          <w:szCs w:val="24"/>
        </w:rPr>
        <w:t>e</w:t>
      </w:r>
      <w:r w:rsidR="0004743C" w:rsidRPr="00BE6B46">
        <w:rPr>
          <w:rFonts w:asciiTheme="minorBidi" w:hAnsiTheme="minorBidi"/>
          <w:szCs w:val="24"/>
        </w:rPr>
        <w:t xml:space="preserve">dian disposable income) the situation in Israel </w:t>
      </w:r>
      <w:r w:rsidR="005D0487" w:rsidRPr="00BE6B46">
        <w:rPr>
          <w:rFonts w:asciiTheme="minorBidi" w:hAnsiTheme="minorBidi"/>
          <w:szCs w:val="24"/>
        </w:rPr>
        <w:t>has deteriorated</w:t>
      </w:r>
      <w:r w:rsidR="0004743C" w:rsidRPr="00BE6B46">
        <w:rPr>
          <w:rFonts w:asciiTheme="minorBidi" w:hAnsiTheme="minorBidi"/>
          <w:szCs w:val="24"/>
        </w:rPr>
        <w:t xml:space="preserve">, with poverty levels increasing over </w:t>
      </w:r>
      <w:r w:rsidR="00456F6B" w:rsidRPr="00BE6B46">
        <w:rPr>
          <w:rFonts w:asciiTheme="minorBidi" w:hAnsiTheme="minorBidi"/>
          <w:szCs w:val="24"/>
        </w:rPr>
        <w:t xml:space="preserve">last </w:t>
      </w:r>
      <w:r w:rsidR="0004743C" w:rsidRPr="00BE6B46">
        <w:rPr>
          <w:rFonts w:asciiTheme="minorBidi" w:hAnsiTheme="minorBidi"/>
          <w:szCs w:val="24"/>
        </w:rPr>
        <w:t xml:space="preserve">year. Israel has the highest poverty rate of all </w:t>
      </w:r>
      <w:r w:rsidR="00456F6B" w:rsidRPr="00BE6B46">
        <w:rPr>
          <w:rFonts w:asciiTheme="minorBidi" w:hAnsiTheme="minorBidi"/>
          <w:szCs w:val="24"/>
        </w:rPr>
        <w:t>OE</w:t>
      </w:r>
      <w:r w:rsidR="0004743C" w:rsidRPr="00BE6B46">
        <w:rPr>
          <w:rFonts w:asciiTheme="minorBidi" w:hAnsiTheme="minorBidi"/>
          <w:szCs w:val="24"/>
        </w:rPr>
        <w:t xml:space="preserve">CD countries. The data further shows that Israel is among the countries with a high level of </w:t>
      </w:r>
      <w:r w:rsidR="0004743C" w:rsidRPr="00BE6B46">
        <w:rPr>
          <w:rFonts w:asciiTheme="minorBidi" w:hAnsiTheme="minorBidi"/>
          <w:szCs w:val="24"/>
        </w:rPr>
        <w:lastRenderedPageBreak/>
        <w:t xml:space="preserve">inequality as measured by </w:t>
      </w:r>
      <w:r w:rsidR="00456F6B" w:rsidRPr="00BE6B46">
        <w:rPr>
          <w:rFonts w:asciiTheme="minorBidi" w:hAnsiTheme="minorBidi"/>
          <w:szCs w:val="24"/>
        </w:rPr>
        <w:t>the Gini index</w:t>
      </w:r>
      <w:r w:rsidR="0004743C" w:rsidRPr="00BE6B46">
        <w:rPr>
          <w:rFonts w:asciiTheme="minorBidi" w:hAnsiTheme="minorBidi"/>
          <w:szCs w:val="24"/>
        </w:rPr>
        <w:t>, in fifth</w:t>
      </w:r>
      <w:r w:rsidR="00456F6B" w:rsidRPr="00BE6B46">
        <w:rPr>
          <w:rFonts w:asciiTheme="minorBidi" w:hAnsiTheme="minorBidi"/>
          <w:szCs w:val="24"/>
        </w:rPr>
        <w:t xml:space="preserve"> lowest</w:t>
      </w:r>
      <w:r w:rsidR="0004743C" w:rsidRPr="00BE6B46">
        <w:rPr>
          <w:rFonts w:asciiTheme="minorBidi" w:hAnsiTheme="minorBidi"/>
          <w:szCs w:val="24"/>
        </w:rPr>
        <w:t xml:space="preserve"> place in the OECD a</w:t>
      </w:r>
      <w:r w:rsidR="00456F6B" w:rsidRPr="00BE6B46">
        <w:rPr>
          <w:rFonts w:asciiTheme="minorBidi" w:hAnsiTheme="minorBidi"/>
          <w:szCs w:val="24"/>
        </w:rPr>
        <w:t xml:space="preserve">bove only </w:t>
      </w:r>
      <w:r w:rsidR="0004743C" w:rsidRPr="00BE6B46">
        <w:rPr>
          <w:rFonts w:asciiTheme="minorBidi" w:hAnsiTheme="minorBidi"/>
          <w:szCs w:val="24"/>
        </w:rPr>
        <w:t xml:space="preserve">Czechia, Mexico, Turkey and the United </w:t>
      </w:r>
      <w:r w:rsidR="00456F6B" w:rsidRPr="00BE6B46">
        <w:rPr>
          <w:rFonts w:asciiTheme="minorBidi" w:hAnsiTheme="minorBidi"/>
          <w:szCs w:val="24"/>
        </w:rPr>
        <w:t>States</w:t>
      </w:r>
      <w:r w:rsidR="00577CEC" w:rsidRPr="00BE6B46">
        <w:rPr>
          <w:rFonts w:asciiTheme="minorBidi" w:hAnsiTheme="minorBidi"/>
          <w:szCs w:val="24"/>
        </w:rPr>
        <w:t xml:space="preserve">. </w:t>
      </w:r>
    </w:p>
    <w:p w14:paraId="469F7A56" w14:textId="48A7D941" w:rsidR="008F2CE5" w:rsidRPr="00BE6B46" w:rsidRDefault="008F2CE5" w:rsidP="00BE6B46">
      <w:pPr>
        <w:spacing w:line="360" w:lineRule="auto"/>
        <w:jc w:val="center"/>
        <w:rPr>
          <w:rFonts w:asciiTheme="minorBidi" w:hAnsiTheme="minorBidi"/>
          <w:b/>
          <w:bCs/>
          <w:szCs w:val="24"/>
        </w:rPr>
      </w:pPr>
      <w:r w:rsidRPr="00BE6B46">
        <w:rPr>
          <w:rFonts w:asciiTheme="minorBidi" w:hAnsiTheme="minorBidi"/>
          <w:b/>
          <w:bCs/>
          <w:szCs w:val="24"/>
        </w:rPr>
        <w:t xml:space="preserve">Israel’s </w:t>
      </w:r>
      <w:r w:rsidR="005B6967" w:rsidRPr="00BE6B46">
        <w:rPr>
          <w:rFonts w:asciiTheme="minorBidi" w:hAnsiTheme="minorBidi"/>
          <w:b/>
          <w:bCs/>
          <w:szCs w:val="24"/>
        </w:rPr>
        <w:t xml:space="preserve">Ranking </w:t>
      </w:r>
      <w:r w:rsidRPr="00BE6B46">
        <w:rPr>
          <w:rFonts w:asciiTheme="minorBidi" w:hAnsiTheme="minorBidi"/>
          <w:b/>
          <w:bCs/>
          <w:szCs w:val="24"/>
        </w:rPr>
        <w:t>in Inequality and Food Insecurity Indexes</w:t>
      </w:r>
    </w:p>
    <w:tbl>
      <w:tblPr>
        <w:tblStyle w:val="1-11"/>
        <w:tblW w:w="0" w:type="auto"/>
        <w:jc w:val="center"/>
        <w:tblLook w:val="04A0" w:firstRow="1" w:lastRow="0" w:firstColumn="1" w:lastColumn="0" w:noHBand="0" w:noVBand="1"/>
      </w:tblPr>
      <w:tblGrid>
        <w:gridCol w:w="1598"/>
        <w:gridCol w:w="1637"/>
        <w:gridCol w:w="1661"/>
        <w:gridCol w:w="1661"/>
      </w:tblGrid>
      <w:tr w:rsidR="008F2CE5" w:rsidRPr="00BE6B46" w14:paraId="3FA0FBA2" w14:textId="77777777" w:rsidTr="008F2CE5">
        <w:trPr>
          <w:cnfStyle w:val="100000000000" w:firstRow="1" w:lastRow="0" w:firstColumn="0" w:lastColumn="0" w:oddVBand="0" w:evenVBand="0" w:oddHBand="0"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591" w:type="dxa"/>
          </w:tcPr>
          <w:p w14:paraId="606C7923" w14:textId="77777777" w:rsidR="008F2CE5" w:rsidRPr="00BE6B46" w:rsidRDefault="008F2CE5" w:rsidP="00BE6B46">
            <w:pPr>
              <w:spacing w:after="120"/>
              <w:jc w:val="center"/>
              <w:rPr>
                <w:rFonts w:asciiTheme="minorBidi" w:hAnsiTheme="minorBidi"/>
                <w:sz w:val="22"/>
              </w:rPr>
            </w:pPr>
          </w:p>
        </w:tc>
        <w:tc>
          <w:tcPr>
            <w:tcW w:w="1637" w:type="dxa"/>
            <w:vAlign w:val="center"/>
            <w:hideMark/>
          </w:tcPr>
          <w:p w14:paraId="3C702FA6" w14:textId="3A57E987" w:rsidR="008F2CE5" w:rsidRPr="00BE6B46" w:rsidRDefault="00B01731" w:rsidP="00BE6B46">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2"/>
                <w:rtl/>
              </w:rPr>
            </w:pPr>
            <w:r w:rsidRPr="00BE6B46">
              <w:rPr>
                <w:rFonts w:asciiTheme="minorBidi" w:hAnsiTheme="minorBidi"/>
                <w:sz w:val="22"/>
              </w:rPr>
              <w:t>Israel</w:t>
            </w:r>
          </w:p>
        </w:tc>
        <w:tc>
          <w:tcPr>
            <w:tcW w:w="1661" w:type="dxa"/>
            <w:vAlign w:val="center"/>
            <w:hideMark/>
          </w:tcPr>
          <w:p w14:paraId="36E0B76A" w14:textId="38CCB161" w:rsidR="008F2CE5" w:rsidRPr="00BE6B46" w:rsidRDefault="00B01731" w:rsidP="00BE6B46">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2"/>
                <w:rtl/>
              </w:rPr>
            </w:pPr>
            <w:r w:rsidRPr="00BE6B46">
              <w:rPr>
                <w:rFonts w:asciiTheme="minorBidi" w:hAnsiTheme="minorBidi"/>
                <w:sz w:val="22"/>
              </w:rPr>
              <w:t xml:space="preserve">OECD </w:t>
            </w:r>
            <w:r w:rsidR="004D421C" w:rsidRPr="00BE6B46">
              <w:rPr>
                <w:rFonts w:asciiTheme="minorBidi" w:hAnsiTheme="minorBidi"/>
                <w:sz w:val="22"/>
              </w:rPr>
              <w:t>A</w:t>
            </w:r>
            <w:r w:rsidRPr="00BE6B46">
              <w:rPr>
                <w:rFonts w:asciiTheme="minorBidi" w:hAnsiTheme="minorBidi"/>
                <w:sz w:val="22"/>
              </w:rPr>
              <w:t>verage</w:t>
            </w:r>
          </w:p>
        </w:tc>
        <w:tc>
          <w:tcPr>
            <w:tcW w:w="1661" w:type="dxa"/>
            <w:vAlign w:val="center"/>
            <w:hideMark/>
          </w:tcPr>
          <w:p w14:paraId="65E93B9E" w14:textId="73C5E045" w:rsidR="008F2CE5" w:rsidRPr="00BE6B46" w:rsidRDefault="00B01731" w:rsidP="00BE6B46">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2"/>
                <w:rtl/>
              </w:rPr>
            </w:pPr>
            <w:r w:rsidRPr="00BE6B46">
              <w:rPr>
                <w:rFonts w:asciiTheme="minorBidi" w:hAnsiTheme="minorBidi"/>
                <w:sz w:val="22"/>
              </w:rPr>
              <w:t xml:space="preserve">Israel’s </w:t>
            </w:r>
            <w:r w:rsidR="00F27F12" w:rsidRPr="00BE6B46">
              <w:rPr>
                <w:rFonts w:asciiTheme="minorBidi" w:hAnsiTheme="minorBidi"/>
                <w:sz w:val="22"/>
              </w:rPr>
              <w:t>R</w:t>
            </w:r>
            <w:r w:rsidRPr="00BE6B46">
              <w:rPr>
                <w:rFonts w:asciiTheme="minorBidi" w:hAnsiTheme="minorBidi"/>
                <w:sz w:val="22"/>
              </w:rPr>
              <w:t xml:space="preserve">anking </w:t>
            </w:r>
            <w:r w:rsidR="00F27F12" w:rsidRPr="00BE6B46">
              <w:rPr>
                <w:rFonts w:asciiTheme="minorBidi" w:hAnsiTheme="minorBidi"/>
                <w:sz w:val="22"/>
              </w:rPr>
              <w:t>A</w:t>
            </w:r>
            <w:r w:rsidRPr="00BE6B46">
              <w:rPr>
                <w:rFonts w:asciiTheme="minorBidi" w:hAnsiTheme="minorBidi"/>
                <w:sz w:val="22"/>
              </w:rPr>
              <w:t>mong the OECD</w:t>
            </w:r>
          </w:p>
        </w:tc>
      </w:tr>
      <w:tr w:rsidR="008F2CE5" w:rsidRPr="00BE6B46" w14:paraId="5223AF53" w14:textId="77777777" w:rsidTr="008F2CE5">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0D51B3E6" w14:textId="5EA2338E" w:rsidR="008F2CE5" w:rsidRPr="00BE6B46" w:rsidRDefault="008F2CE5" w:rsidP="00BE6B46">
            <w:pPr>
              <w:spacing w:after="120"/>
              <w:rPr>
                <w:rFonts w:asciiTheme="minorBidi" w:hAnsiTheme="minorBidi"/>
                <w:sz w:val="22"/>
                <w:rtl/>
              </w:rPr>
            </w:pPr>
            <w:r w:rsidRPr="00BE6B46">
              <w:rPr>
                <w:rFonts w:asciiTheme="minorBidi" w:hAnsiTheme="minorBidi"/>
                <w:sz w:val="22"/>
              </w:rPr>
              <w:t>Inequality (Gini index)</w:t>
            </w:r>
          </w:p>
        </w:tc>
        <w:tc>
          <w:tcPr>
            <w:tcW w:w="1637" w:type="dxa"/>
            <w:tcBorders>
              <w:top w:val="single" w:sz="8" w:space="0" w:color="84B3DF" w:themeColor="accent1" w:themeTint="BF"/>
              <w:bottom w:val="single" w:sz="8" w:space="0" w:color="84B3DF" w:themeColor="accent1" w:themeTint="BF"/>
            </w:tcBorders>
            <w:vAlign w:val="center"/>
            <w:hideMark/>
          </w:tcPr>
          <w:p w14:paraId="126F4165" w14:textId="1E7A2101" w:rsidR="008F2CE5" w:rsidRPr="00BE6B46" w:rsidRDefault="008F2CE5" w:rsidP="00BE6B46">
            <w:pPr>
              <w:spacing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color w:val="000000"/>
                <w:sz w:val="22"/>
              </w:rPr>
              <w:t>0.3</w:t>
            </w:r>
            <w:r w:rsidR="0004743C" w:rsidRPr="00BE6B46">
              <w:rPr>
                <w:rFonts w:asciiTheme="minorBidi" w:hAnsiTheme="minorBidi"/>
                <w:color w:val="000000"/>
                <w:sz w:val="22"/>
              </w:rPr>
              <w:t>8</w:t>
            </w:r>
          </w:p>
        </w:tc>
        <w:tc>
          <w:tcPr>
            <w:tcW w:w="1661" w:type="dxa"/>
            <w:tcBorders>
              <w:top w:val="single" w:sz="8" w:space="0" w:color="84B3DF" w:themeColor="accent1" w:themeTint="BF"/>
              <w:bottom w:val="single" w:sz="8" w:space="0" w:color="84B3DF" w:themeColor="accent1" w:themeTint="BF"/>
            </w:tcBorders>
            <w:vAlign w:val="center"/>
            <w:hideMark/>
          </w:tcPr>
          <w:p w14:paraId="512C7411" w14:textId="0F79BA55" w:rsidR="008F2CE5" w:rsidRPr="00BE6B46" w:rsidRDefault="008F2CE5" w:rsidP="00BE6B46">
            <w:pPr>
              <w:spacing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color w:val="000000"/>
                <w:sz w:val="22"/>
              </w:rPr>
              <w:t>0.3</w:t>
            </w:r>
            <w:r w:rsidR="0004743C" w:rsidRPr="00BE6B46">
              <w:rPr>
                <w:rFonts w:asciiTheme="minorBidi" w:hAnsiTheme="minorBidi"/>
                <w:color w:val="000000"/>
                <w:sz w:val="22"/>
              </w:rPr>
              <w:t>2</w:t>
            </w:r>
          </w:p>
        </w:tc>
        <w:tc>
          <w:tcPr>
            <w:tcW w:w="1661"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316D88BE" w14:textId="03CEFAE4" w:rsidR="008F2CE5" w:rsidRPr="00BE6B46" w:rsidRDefault="0004743C" w:rsidP="00BE6B46">
            <w:pPr>
              <w:spacing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color w:val="000000"/>
                <w:sz w:val="22"/>
              </w:rPr>
              <w:t>5</w:t>
            </w:r>
          </w:p>
        </w:tc>
      </w:tr>
      <w:tr w:rsidR="008F2CE5" w:rsidRPr="00BE6B46" w14:paraId="375C0003" w14:textId="77777777" w:rsidTr="008F2CE5">
        <w:trPr>
          <w:cnfStyle w:val="000000010000" w:firstRow="0" w:lastRow="0" w:firstColumn="0" w:lastColumn="0" w:oddVBand="0" w:evenVBand="0" w:oddHBand="0" w:evenHBand="1"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3E09D5E0" w14:textId="694EAD02" w:rsidR="008F2CE5" w:rsidRPr="00BE6B46" w:rsidRDefault="00B01731" w:rsidP="00BE6B46">
            <w:pPr>
              <w:spacing w:after="120"/>
              <w:rPr>
                <w:rFonts w:asciiTheme="minorBidi" w:hAnsiTheme="minorBidi"/>
                <w:sz w:val="22"/>
              </w:rPr>
            </w:pPr>
            <w:r w:rsidRPr="00BE6B46">
              <w:rPr>
                <w:rFonts w:asciiTheme="minorBidi" w:hAnsiTheme="minorBidi"/>
                <w:sz w:val="22"/>
              </w:rPr>
              <w:t xml:space="preserve">Poverty </w:t>
            </w:r>
            <w:r w:rsidR="00F27F12" w:rsidRPr="00BE6B46">
              <w:rPr>
                <w:rFonts w:asciiTheme="minorBidi" w:hAnsiTheme="minorBidi"/>
                <w:sz w:val="22"/>
              </w:rPr>
              <w:t>R</w:t>
            </w:r>
            <w:r w:rsidRPr="00BE6B46">
              <w:rPr>
                <w:rFonts w:asciiTheme="minorBidi" w:hAnsiTheme="minorBidi"/>
                <w:sz w:val="22"/>
              </w:rPr>
              <w:t>ate</w:t>
            </w:r>
          </w:p>
        </w:tc>
        <w:tc>
          <w:tcPr>
            <w:tcW w:w="1637" w:type="dxa"/>
            <w:tcBorders>
              <w:top w:val="single" w:sz="8" w:space="0" w:color="84B3DF" w:themeColor="accent1" w:themeTint="BF"/>
              <w:bottom w:val="single" w:sz="8" w:space="0" w:color="84B3DF" w:themeColor="accent1" w:themeTint="BF"/>
            </w:tcBorders>
            <w:vAlign w:val="bottom"/>
            <w:hideMark/>
          </w:tcPr>
          <w:p w14:paraId="1A5EBA3C" w14:textId="77777777" w:rsidR="008F2CE5" w:rsidRPr="00BE6B46" w:rsidRDefault="008F2CE5" w:rsidP="00BE6B46">
            <w:pPr>
              <w:spacing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color w:val="000000"/>
                <w:sz w:val="22"/>
              </w:rPr>
              <w:t>18.7%</w:t>
            </w:r>
          </w:p>
        </w:tc>
        <w:tc>
          <w:tcPr>
            <w:tcW w:w="1661" w:type="dxa"/>
            <w:tcBorders>
              <w:top w:val="single" w:sz="8" w:space="0" w:color="84B3DF" w:themeColor="accent1" w:themeTint="BF"/>
              <w:bottom w:val="single" w:sz="8" w:space="0" w:color="84B3DF" w:themeColor="accent1" w:themeTint="BF"/>
            </w:tcBorders>
            <w:vAlign w:val="bottom"/>
            <w:hideMark/>
          </w:tcPr>
          <w:p w14:paraId="3F1B4AB1" w14:textId="77777777" w:rsidR="008F2CE5" w:rsidRPr="00BE6B46" w:rsidRDefault="008F2CE5" w:rsidP="00BE6B46">
            <w:pPr>
              <w:spacing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color w:val="000000"/>
                <w:sz w:val="22"/>
              </w:rPr>
              <w:t>11%</w:t>
            </w:r>
          </w:p>
        </w:tc>
        <w:tc>
          <w:tcPr>
            <w:tcW w:w="1661" w:type="dxa"/>
            <w:tcBorders>
              <w:top w:val="single" w:sz="8" w:space="0" w:color="84B3DF" w:themeColor="accent1" w:themeTint="BF"/>
              <w:bottom w:val="single" w:sz="8" w:space="0" w:color="84B3DF" w:themeColor="accent1" w:themeTint="BF"/>
              <w:right w:val="single" w:sz="8" w:space="0" w:color="84B3DF" w:themeColor="accent1" w:themeTint="BF"/>
            </w:tcBorders>
            <w:vAlign w:val="bottom"/>
            <w:hideMark/>
          </w:tcPr>
          <w:p w14:paraId="150D394D" w14:textId="77777777" w:rsidR="008F2CE5" w:rsidRPr="00BE6B46" w:rsidRDefault="008F2CE5" w:rsidP="00BE6B46">
            <w:pPr>
              <w:spacing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color w:val="000000"/>
                <w:sz w:val="22"/>
              </w:rPr>
              <w:t>1</w:t>
            </w:r>
          </w:p>
        </w:tc>
      </w:tr>
      <w:tr w:rsidR="0004743C" w:rsidRPr="00BE6B46" w14:paraId="7BABF495" w14:textId="77777777" w:rsidTr="008F2CE5">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8" w:space="0" w:color="84B3DF" w:themeColor="accent1" w:themeTint="BF"/>
              <w:left w:val="single" w:sz="8" w:space="0" w:color="84B3DF" w:themeColor="accent1" w:themeTint="BF"/>
              <w:bottom w:val="single" w:sz="8" w:space="0" w:color="84B3DF" w:themeColor="accent1" w:themeTint="BF"/>
            </w:tcBorders>
          </w:tcPr>
          <w:p w14:paraId="03A3A49E" w14:textId="43A000AF" w:rsidR="0004743C" w:rsidRPr="00BE6B46" w:rsidRDefault="00962185" w:rsidP="00BE6B46">
            <w:pPr>
              <w:spacing w:after="120"/>
              <w:rPr>
                <w:rFonts w:asciiTheme="minorBidi" w:hAnsiTheme="minorBidi"/>
                <w:sz w:val="22"/>
              </w:rPr>
            </w:pPr>
            <w:r w:rsidRPr="00BE6B46">
              <w:rPr>
                <w:rFonts w:asciiTheme="minorBidi" w:hAnsiTheme="minorBidi"/>
                <w:sz w:val="22"/>
              </w:rPr>
              <w:t>Food insecurity index</w:t>
            </w:r>
          </w:p>
        </w:tc>
        <w:tc>
          <w:tcPr>
            <w:tcW w:w="1637" w:type="dxa"/>
            <w:tcBorders>
              <w:top w:val="single" w:sz="8" w:space="0" w:color="84B3DF" w:themeColor="accent1" w:themeTint="BF"/>
              <w:bottom w:val="single" w:sz="8" w:space="0" w:color="84B3DF" w:themeColor="accent1" w:themeTint="BF"/>
            </w:tcBorders>
            <w:vAlign w:val="bottom"/>
          </w:tcPr>
          <w:p w14:paraId="37EEF51A" w14:textId="255648B5" w:rsidR="0004743C" w:rsidRPr="00BE6B46" w:rsidRDefault="00962185" w:rsidP="00BE6B46">
            <w:pPr>
              <w:spacing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2"/>
              </w:rPr>
            </w:pPr>
            <w:r w:rsidRPr="00BE6B46">
              <w:rPr>
                <w:rFonts w:asciiTheme="minorBidi" w:hAnsiTheme="minorBidi"/>
                <w:color w:val="000000"/>
              </w:rPr>
              <w:t>78</w:t>
            </w:r>
          </w:p>
        </w:tc>
        <w:tc>
          <w:tcPr>
            <w:tcW w:w="1661" w:type="dxa"/>
            <w:tcBorders>
              <w:top w:val="single" w:sz="8" w:space="0" w:color="84B3DF" w:themeColor="accent1" w:themeTint="BF"/>
              <w:bottom w:val="single" w:sz="8" w:space="0" w:color="84B3DF" w:themeColor="accent1" w:themeTint="BF"/>
            </w:tcBorders>
            <w:vAlign w:val="bottom"/>
          </w:tcPr>
          <w:p w14:paraId="653DA6A8" w14:textId="2E53D7D8" w:rsidR="0004743C" w:rsidRPr="00BE6B46" w:rsidRDefault="00962185" w:rsidP="00BE6B46">
            <w:pPr>
              <w:spacing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2"/>
              </w:rPr>
            </w:pPr>
            <w:r w:rsidRPr="00BE6B46">
              <w:rPr>
                <w:rFonts w:asciiTheme="minorBidi" w:hAnsiTheme="minorBidi"/>
                <w:color w:val="000000"/>
              </w:rPr>
              <w:t>77</w:t>
            </w:r>
          </w:p>
        </w:tc>
        <w:tc>
          <w:tcPr>
            <w:tcW w:w="1661" w:type="dxa"/>
            <w:tcBorders>
              <w:top w:val="single" w:sz="8" w:space="0" w:color="84B3DF" w:themeColor="accent1" w:themeTint="BF"/>
              <w:bottom w:val="single" w:sz="8" w:space="0" w:color="84B3DF" w:themeColor="accent1" w:themeTint="BF"/>
              <w:right w:val="single" w:sz="8" w:space="0" w:color="84B3DF" w:themeColor="accent1" w:themeTint="BF"/>
            </w:tcBorders>
            <w:vAlign w:val="bottom"/>
          </w:tcPr>
          <w:p w14:paraId="092F6E6D" w14:textId="618C50C2" w:rsidR="0004743C" w:rsidRPr="00BE6B46" w:rsidRDefault="00962185" w:rsidP="00BE6B46">
            <w:pPr>
              <w:spacing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2"/>
              </w:rPr>
            </w:pPr>
            <w:r w:rsidRPr="00BE6B46">
              <w:rPr>
                <w:rFonts w:asciiTheme="minorBidi" w:hAnsiTheme="minorBidi"/>
                <w:color w:val="000000"/>
              </w:rPr>
              <w:t>1</w:t>
            </w:r>
          </w:p>
        </w:tc>
      </w:tr>
      <w:tr w:rsidR="00962185" w:rsidRPr="00BE6B46" w14:paraId="207106FD" w14:textId="77777777" w:rsidTr="008F2CE5">
        <w:trPr>
          <w:cnfStyle w:val="000000010000" w:firstRow="0" w:lastRow="0" w:firstColumn="0" w:lastColumn="0" w:oddVBand="0" w:evenVBand="0" w:oddHBand="0" w:evenHBand="1"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8" w:space="0" w:color="84B3DF" w:themeColor="accent1" w:themeTint="BF"/>
              <w:left w:val="single" w:sz="8" w:space="0" w:color="84B3DF" w:themeColor="accent1" w:themeTint="BF"/>
              <w:bottom w:val="single" w:sz="8" w:space="0" w:color="84B3DF" w:themeColor="accent1" w:themeTint="BF"/>
            </w:tcBorders>
          </w:tcPr>
          <w:p w14:paraId="453A3953" w14:textId="7997D645" w:rsidR="00962185" w:rsidRPr="00BE6B46" w:rsidRDefault="00962185" w:rsidP="00BE6B46">
            <w:pPr>
              <w:spacing w:after="120"/>
              <w:rPr>
                <w:rFonts w:asciiTheme="minorBidi" w:hAnsiTheme="minorBidi"/>
                <w:sz w:val="22"/>
              </w:rPr>
            </w:pPr>
            <w:r w:rsidRPr="00BE6B46">
              <w:rPr>
                <w:rFonts w:asciiTheme="minorBidi" w:hAnsiTheme="minorBidi"/>
                <w:sz w:val="22"/>
              </w:rPr>
              <w:t>Percentage expenditure on food out of private consumption</w:t>
            </w:r>
          </w:p>
        </w:tc>
        <w:tc>
          <w:tcPr>
            <w:tcW w:w="1637" w:type="dxa"/>
            <w:tcBorders>
              <w:top w:val="single" w:sz="8" w:space="0" w:color="84B3DF" w:themeColor="accent1" w:themeTint="BF"/>
              <w:bottom w:val="single" w:sz="8" w:space="0" w:color="84B3DF" w:themeColor="accent1" w:themeTint="BF"/>
            </w:tcBorders>
            <w:vAlign w:val="bottom"/>
          </w:tcPr>
          <w:p w14:paraId="65B6050F" w14:textId="47DB3EEC" w:rsidR="00962185" w:rsidRPr="00BE6B46" w:rsidRDefault="00962185" w:rsidP="00BE6B46">
            <w:pPr>
              <w:spacing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2"/>
              </w:rPr>
            </w:pPr>
            <w:r w:rsidRPr="00BE6B46">
              <w:rPr>
                <w:rFonts w:asciiTheme="minorBidi" w:hAnsiTheme="minorBidi"/>
                <w:color w:val="000000"/>
              </w:rPr>
              <w:t>17%</w:t>
            </w:r>
          </w:p>
        </w:tc>
        <w:tc>
          <w:tcPr>
            <w:tcW w:w="1661" w:type="dxa"/>
            <w:tcBorders>
              <w:top w:val="single" w:sz="8" w:space="0" w:color="84B3DF" w:themeColor="accent1" w:themeTint="BF"/>
              <w:bottom w:val="single" w:sz="8" w:space="0" w:color="84B3DF" w:themeColor="accent1" w:themeTint="BF"/>
            </w:tcBorders>
            <w:vAlign w:val="bottom"/>
          </w:tcPr>
          <w:p w14:paraId="12ECFD79" w14:textId="4CFAED40" w:rsidR="00962185" w:rsidRPr="00BE6B46" w:rsidRDefault="00962185" w:rsidP="00BE6B46">
            <w:pPr>
              <w:spacing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2"/>
              </w:rPr>
            </w:pPr>
            <w:r w:rsidRPr="00BE6B46">
              <w:rPr>
                <w:rFonts w:asciiTheme="minorBidi" w:hAnsiTheme="minorBidi"/>
                <w:color w:val="000000"/>
              </w:rPr>
              <w:t>14%</w:t>
            </w:r>
          </w:p>
        </w:tc>
        <w:tc>
          <w:tcPr>
            <w:tcW w:w="1661" w:type="dxa"/>
            <w:tcBorders>
              <w:top w:val="single" w:sz="8" w:space="0" w:color="84B3DF" w:themeColor="accent1" w:themeTint="BF"/>
              <w:bottom w:val="single" w:sz="8" w:space="0" w:color="84B3DF" w:themeColor="accent1" w:themeTint="BF"/>
              <w:right w:val="single" w:sz="8" w:space="0" w:color="84B3DF" w:themeColor="accent1" w:themeTint="BF"/>
            </w:tcBorders>
            <w:vAlign w:val="bottom"/>
          </w:tcPr>
          <w:p w14:paraId="28C4C973" w14:textId="516C80A6" w:rsidR="00962185" w:rsidRPr="00BE6B46" w:rsidRDefault="00962185" w:rsidP="00BE6B46">
            <w:pPr>
              <w:spacing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2"/>
              </w:rPr>
            </w:pPr>
            <w:r w:rsidRPr="00BE6B46">
              <w:rPr>
                <w:rFonts w:asciiTheme="minorBidi" w:hAnsiTheme="minorBidi"/>
                <w:color w:val="000000"/>
              </w:rPr>
              <w:t>6</w:t>
            </w:r>
          </w:p>
        </w:tc>
      </w:tr>
    </w:tbl>
    <w:p w14:paraId="638261EC" w14:textId="77777777" w:rsidR="00962185" w:rsidRPr="00BE6B46" w:rsidRDefault="00962185" w:rsidP="00BE6B46">
      <w:pPr>
        <w:spacing w:line="360" w:lineRule="auto"/>
        <w:rPr>
          <w:rFonts w:asciiTheme="minorBidi" w:hAnsiTheme="minorBidi"/>
          <w:sz w:val="20"/>
          <w:szCs w:val="20"/>
        </w:rPr>
      </w:pPr>
    </w:p>
    <w:p w14:paraId="55B0FF11" w14:textId="479D4327" w:rsidR="00B01731" w:rsidRPr="00BE6B46" w:rsidRDefault="00B01731" w:rsidP="00BE6B46">
      <w:pPr>
        <w:spacing w:line="360" w:lineRule="auto"/>
        <w:rPr>
          <w:rFonts w:asciiTheme="minorBidi" w:hAnsiTheme="minorBidi"/>
          <w:sz w:val="20"/>
          <w:szCs w:val="20"/>
        </w:rPr>
      </w:pPr>
      <w:r w:rsidRPr="00BE6B46">
        <w:rPr>
          <w:rFonts w:asciiTheme="minorBidi" w:hAnsiTheme="minorBidi"/>
          <w:sz w:val="20"/>
          <w:szCs w:val="20"/>
        </w:rPr>
        <w:t xml:space="preserve">Source: </w:t>
      </w:r>
      <w:r w:rsidR="00962185" w:rsidRPr="00BE6B46">
        <w:rPr>
          <w:rFonts w:asciiTheme="minorBidi" w:hAnsiTheme="minorBidi"/>
          <w:sz w:val="20"/>
          <w:szCs w:val="20"/>
        </w:rPr>
        <w:t xml:space="preserve">OECD stat, </w:t>
      </w:r>
      <w:r w:rsidRPr="00BE6B46">
        <w:rPr>
          <w:rFonts w:asciiTheme="minorBidi" w:hAnsiTheme="minorBidi"/>
          <w:sz w:val="20"/>
          <w:szCs w:val="20"/>
        </w:rPr>
        <w:t>Inequality and poverty rates in Israel, BDO analyses of data from the National Insurance Institute for 202</w:t>
      </w:r>
      <w:r w:rsidR="00962185" w:rsidRPr="00BE6B46">
        <w:rPr>
          <w:rFonts w:asciiTheme="minorBidi" w:hAnsiTheme="minorBidi"/>
          <w:sz w:val="20"/>
          <w:szCs w:val="20"/>
        </w:rPr>
        <w:t>1, d</w:t>
      </w:r>
      <w:r w:rsidRPr="00BE6B46">
        <w:rPr>
          <w:rFonts w:asciiTheme="minorBidi" w:hAnsiTheme="minorBidi"/>
          <w:sz w:val="20"/>
          <w:szCs w:val="20"/>
        </w:rPr>
        <w:t xml:space="preserve">ata from the </w:t>
      </w:r>
      <w:r w:rsidR="00A80E20" w:rsidRPr="00BE6B46">
        <w:rPr>
          <w:rFonts w:asciiTheme="minorBidi" w:hAnsiTheme="minorBidi"/>
          <w:sz w:val="20"/>
          <w:szCs w:val="20"/>
        </w:rPr>
        <w:t>Global Food S</w:t>
      </w:r>
      <w:r w:rsidRPr="00BE6B46">
        <w:rPr>
          <w:rFonts w:asciiTheme="minorBidi" w:hAnsiTheme="minorBidi"/>
          <w:sz w:val="20"/>
          <w:szCs w:val="20"/>
        </w:rPr>
        <w:t xml:space="preserve">ecurity </w:t>
      </w:r>
      <w:r w:rsidR="00A80E20" w:rsidRPr="00BE6B46">
        <w:rPr>
          <w:rFonts w:asciiTheme="minorBidi" w:hAnsiTheme="minorBidi"/>
          <w:sz w:val="20"/>
          <w:szCs w:val="20"/>
        </w:rPr>
        <w:t>I</w:t>
      </w:r>
      <w:r w:rsidRPr="00BE6B46">
        <w:rPr>
          <w:rFonts w:asciiTheme="minorBidi" w:hAnsiTheme="minorBidi"/>
          <w:sz w:val="20"/>
          <w:szCs w:val="20"/>
        </w:rPr>
        <w:t xml:space="preserve">ndex </w:t>
      </w:r>
    </w:p>
    <w:p w14:paraId="6EAB171C" w14:textId="636090C3" w:rsidR="00962185" w:rsidRPr="00BE6B46" w:rsidRDefault="00014715"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Inequality in the distribution of income is one of the major challenges faced by the Israeli economy</w:t>
      </w:r>
      <w:r w:rsidR="00456F6B" w:rsidRPr="00BE6B46">
        <w:rPr>
          <w:rFonts w:asciiTheme="minorBidi" w:hAnsiTheme="minorBidi"/>
          <w:szCs w:val="24"/>
        </w:rPr>
        <w:t xml:space="preserve">, and </w:t>
      </w:r>
      <w:r w:rsidRPr="00BE6B46">
        <w:rPr>
          <w:rFonts w:asciiTheme="minorBidi" w:hAnsiTheme="minorBidi"/>
          <w:szCs w:val="24"/>
        </w:rPr>
        <w:t xml:space="preserve">food insecurity is </w:t>
      </w:r>
      <w:r w:rsidR="00456F6B" w:rsidRPr="00BE6B46">
        <w:rPr>
          <w:rFonts w:asciiTheme="minorBidi" w:hAnsiTheme="minorBidi"/>
          <w:szCs w:val="24"/>
        </w:rPr>
        <w:t xml:space="preserve">one </w:t>
      </w:r>
      <w:r w:rsidRPr="00BE6B46">
        <w:rPr>
          <w:rFonts w:asciiTheme="minorBidi" w:hAnsiTheme="minorBidi"/>
          <w:szCs w:val="24"/>
        </w:rPr>
        <w:t xml:space="preserve">result of </w:t>
      </w:r>
      <w:r w:rsidR="00456F6B" w:rsidRPr="00BE6B46">
        <w:rPr>
          <w:rFonts w:asciiTheme="minorBidi" w:hAnsiTheme="minorBidi"/>
          <w:szCs w:val="24"/>
        </w:rPr>
        <w:t>the u</w:t>
      </w:r>
      <w:r w:rsidRPr="00BE6B46">
        <w:rPr>
          <w:rFonts w:asciiTheme="minorBidi" w:hAnsiTheme="minorBidi"/>
          <w:szCs w:val="24"/>
        </w:rPr>
        <w:t>nequal distribution of income in the economy.</w:t>
      </w:r>
    </w:p>
    <w:p w14:paraId="6EEE172D" w14:textId="31115256" w:rsidR="00A80E20" w:rsidRPr="00BE6B46" w:rsidRDefault="00436A77"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 xml:space="preserve">According to the definitions of the World Health Organization, which </w:t>
      </w:r>
      <w:r w:rsidR="00456F6B" w:rsidRPr="00BE6B46">
        <w:rPr>
          <w:rFonts w:asciiTheme="minorBidi" w:hAnsiTheme="minorBidi"/>
          <w:szCs w:val="24"/>
        </w:rPr>
        <w:t xml:space="preserve">are also used by </w:t>
      </w:r>
      <w:r w:rsidRPr="00BE6B46">
        <w:rPr>
          <w:rFonts w:asciiTheme="minorBidi" w:hAnsiTheme="minorBidi"/>
          <w:szCs w:val="24"/>
        </w:rPr>
        <w:t>the National Insurance Institute in Israel, food security is based on three key pillars:</w:t>
      </w:r>
    </w:p>
    <w:p w14:paraId="14205ACF" w14:textId="2E844112" w:rsidR="00641A0C" w:rsidRPr="00BE6B46" w:rsidRDefault="00436A77" w:rsidP="00BE6B46">
      <w:pPr>
        <w:pStyle w:val="ListParagraph"/>
        <w:numPr>
          <w:ilvl w:val="0"/>
          <w:numId w:val="9"/>
        </w:numPr>
        <w:autoSpaceDE w:val="0"/>
        <w:autoSpaceDN w:val="0"/>
        <w:adjustRightInd w:val="0"/>
        <w:spacing w:after="0" w:line="360" w:lineRule="auto"/>
        <w:jc w:val="both"/>
        <w:rPr>
          <w:rFonts w:asciiTheme="minorBidi" w:hAnsiTheme="minorBidi"/>
          <w:szCs w:val="24"/>
        </w:rPr>
      </w:pPr>
      <w:r w:rsidRPr="00BE6B46">
        <w:rPr>
          <w:rFonts w:asciiTheme="minorBidi" w:hAnsiTheme="minorBidi"/>
          <w:b/>
          <w:bCs/>
          <w:szCs w:val="24"/>
        </w:rPr>
        <w:t xml:space="preserve">Food availability </w:t>
      </w:r>
      <w:r w:rsidR="00641A0C" w:rsidRPr="00BE6B46">
        <w:rPr>
          <w:rFonts w:asciiTheme="minorBidi" w:hAnsiTheme="minorBidi"/>
          <w:szCs w:val="24"/>
        </w:rPr>
        <w:t>–</w:t>
      </w:r>
      <w:r w:rsidRPr="00BE6B46">
        <w:rPr>
          <w:rFonts w:asciiTheme="minorBidi" w:hAnsiTheme="minorBidi"/>
          <w:szCs w:val="24"/>
        </w:rPr>
        <w:t xml:space="preserve"> </w:t>
      </w:r>
      <w:r w:rsidR="00641A0C" w:rsidRPr="00BE6B46">
        <w:rPr>
          <w:rFonts w:asciiTheme="minorBidi" w:hAnsiTheme="minorBidi"/>
          <w:szCs w:val="24"/>
        </w:rPr>
        <w:t xml:space="preserve">having a consistent supply of </w:t>
      </w:r>
      <w:r w:rsidRPr="00BE6B46">
        <w:rPr>
          <w:rFonts w:asciiTheme="minorBidi" w:hAnsiTheme="minorBidi"/>
          <w:szCs w:val="24"/>
        </w:rPr>
        <w:t>food</w:t>
      </w:r>
      <w:r w:rsidR="00DE465B" w:rsidRPr="00BE6B46">
        <w:rPr>
          <w:rFonts w:asciiTheme="minorBidi" w:hAnsiTheme="minorBidi"/>
          <w:szCs w:val="24"/>
        </w:rPr>
        <w:t xml:space="preserve"> in sufficient quantities</w:t>
      </w:r>
      <w:r w:rsidR="00641A0C" w:rsidRPr="00BE6B46">
        <w:rPr>
          <w:rFonts w:asciiTheme="minorBidi" w:hAnsiTheme="minorBidi"/>
          <w:szCs w:val="24"/>
        </w:rPr>
        <w:t>;</w:t>
      </w:r>
    </w:p>
    <w:p w14:paraId="270850B4" w14:textId="3B07CC40" w:rsidR="00641A0C" w:rsidRPr="00BE6B46" w:rsidRDefault="00641A0C" w:rsidP="00BE6B46">
      <w:pPr>
        <w:pStyle w:val="ListParagraph"/>
        <w:numPr>
          <w:ilvl w:val="0"/>
          <w:numId w:val="9"/>
        </w:numPr>
        <w:autoSpaceDE w:val="0"/>
        <w:autoSpaceDN w:val="0"/>
        <w:adjustRightInd w:val="0"/>
        <w:spacing w:after="0" w:line="360" w:lineRule="auto"/>
        <w:jc w:val="both"/>
        <w:rPr>
          <w:rFonts w:asciiTheme="minorBidi" w:hAnsiTheme="minorBidi"/>
          <w:szCs w:val="24"/>
        </w:rPr>
      </w:pPr>
      <w:r w:rsidRPr="00BE6B46">
        <w:rPr>
          <w:rFonts w:asciiTheme="minorBidi" w:hAnsiTheme="minorBidi"/>
          <w:b/>
          <w:bCs/>
          <w:szCs w:val="24"/>
        </w:rPr>
        <w:t>Food accessibility</w:t>
      </w:r>
      <w:r w:rsidRPr="00BE6B46">
        <w:rPr>
          <w:rFonts w:asciiTheme="minorBidi" w:hAnsiTheme="minorBidi"/>
          <w:szCs w:val="24"/>
        </w:rPr>
        <w:t xml:space="preserve"> – having </w:t>
      </w:r>
      <w:r w:rsidR="00DE465B" w:rsidRPr="00BE6B46">
        <w:rPr>
          <w:rFonts w:asciiTheme="minorBidi" w:hAnsiTheme="minorBidi"/>
          <w:szCs w:val="24"/>
        </w:rPr>
        <w:t>enough</w:t>
      </w:r>
      <w:r w:rsidR="00436A77" w:rsidRPr="00BE6B46">
        <w:rPr>
          <w:rFonts w:asciiTheme="minorBidi" w:hAnsiTheme="minorBidi"/>
          <w:szCs w:val="24"/>
        </w:rPr>
        <w:t xml:space="preserve"> resources to obtain </w:t>
      </w:r>
      <w:r w:rsidRPr="00BE6B46">
        <w:rPr>
          <w:rFonts w:asciiTheme="minorBidi" w:hAnsiTheme="minorBidi"/>
          <w:szCs w:val="24"/>
        </w:rPr>
        <w:t>sufficient amounts of food</w:t>
      </w:r>
      <w:r w:rsidR="00DE465B" w:rsidRPr="00BE6B46">
        <w:rPr>
          <w:rFonts w:asciiTheme="minorBidi" w:hAnsiTheme="minorBidi"/>
          <w:szCs w:val="24"/>
        </w:rPr>
        <w:t xml:space="preserve">s; </w:t>
      </w:r>
    </w:p>
    <w:p w14:paraId="35C068D3" w14:textId="59A302C6" w:rsidR="00641A0C" w:rsidRPr="00BE6B46" w:rsidRDefault="00641A0C" w:rsidP="00BE6B46">
      <w:pPr>
        <w:pStyle w:val="ListParagraph"/>
        <w:numPr>
          <w:ilvl w:val="0"/>
          <w:numId w:val="9"/>
        </w:numPr>
        <w:autoSpaceDE w:val="0"/>
        <w:autoSpaceDN w:val="0"/>
        <w:adjustRightInd w:val="0"/>
        <w:spacing w:after="0" w:line="360" w:lineRule="auto"/>
        <w:jc w:val="both"/>
        <w:rPr>
          <w:rFonts w:asciiTheme="minorBidi" w:hAnsiTheme="minorBidi"/>
          <w:szCs w:val="24"/>
        </w:rPr>
      </w:pPr>
      <w:r w:rsidRPr="00BE6B46">
        <w:rPr>
          <w:rFonts w:asciiTheme="minorBidi" w:hAnsiTheme="minorBidi"/>
          <w:b/>
          <w:bCs/>
          <w:szCs w:val="24"/>
        </w:rPr>
        <w:t>Food use</w:t>
      </w:r>
      <w:r w:rsidRPr="00BE6B46">
        <w:rPr>
          <w:rFonts w:asciiTheme="minorBidi" w:hAnsiTheme="minorBidi"/>
          <w:szCs w:val="24"/>
        </w:rPr>
        <w:t xml:space="preserve"> – having a</w:t>
      </w:r>
      <w:r w:rsidR="00436A77" w:rsidRPr="00BE6B46">
        <w:rPr>
          <w:rFonts w:asciiTheme="minorBidi" w:hAnsiTheme="minorBidi"/>
          <w:szCs w:val="24"/>
        </w:rPr>
        <w:t>dequate water and sanitation</w:t>
      </w:r>
      <w:r w:rsidRPr="00BE6B46">
        <w:rPr>
          <w:rFonts w:asciiTheme="minorBidi" w:hAnsiTheme="minorBidi"/>
          <w:szCs w:val="24"/>
        </w:rPr>
        <w:t xml:space="preserve"> conditions and knowing how to use food </w:t>
      </w:r>
      <w:r w:rsidR="00DE465B" w:rsidRPr="00BE6B46">
        <w:rPr>
          <w:rFonts w:asciiTheme="minorBidi" w:hAnsiTheme="minorBidi"/>
          <w:szCs w:val="24"/>
        </w:rPr>
        <w:t>properly</w:t>
      </w:r>
      <w:r w:rsidRPr="00BE6B46">
        <w:rPr>
          <w:rFonts w:asciiTheme="minorBidi" w:hAnsiTheme="minorBidi"/>
          <w:szCs w:val="24"/>
        </w:rPr>
        <w:t>.</w:t>
      </w:r>
    </w:p>
    <w:p w14:paraId="4C3BBB94" w14:textId="3BCBDB17" w:rsidR="00014715" w:rsidRPr="00BE6B46" w:rsidRDefault="00014715"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 xml:space="preserve">Using these criteria, which are primarily subjective, a report prepared by the </w:t>
      </w:r>
      <w:proofErr w:type="spellStart"/>
      <w:r w:rsidRPr="00BE6B46">
        <w:rPr>
          <w:rFonts w:asciiTheme="minorBidi" w:hAnsiTheme="minorBidi"/>
          <w:szCs w:val="24"/>
        </w:rPr>
        <w:t>NII</w:t>
      </w:r>
      <w:proofErr w:type="spellEnd"/>
      <w:r w:rsidRPr="00BE6B46">
        <w:rPr>
          <w:rStyle w:val="FootnoteReference"/>
          <w:rFonts w:asciiTheme="minorBidi" w:hAnsiTheme="minorBidi"/>
          <w:szCs w:val="24"/>
        </w:rPr>
        <w:footnoteReference w:id="1"/>
      </w:r>
      <w:r w:rsidRPr="00BE6B46">
        <w:rPr>
          <w:rFonts w:asciiTheme="minorBidi" w:hAnsiTheme="minorBidi"/>
          <w:szCs w:val="24"/>
        </w:rPr>
        <w:t xml:space="preserve"> estimates that approximately 1</w:t>
      </w:r>
      <w:r w:rsidR="00AA514C" w:rsidRPr="00BE6B46">
        <w:rPr>
          <w:rFonts w:asciiTheme="minorBidi" w:hAnsiTheme="minorBidi"/>
          <w:szCs w:val="24"/>
        </w:rPr>
        <w:t>6</w:t>
      </w:r>
      <w:r w:rsidRPr="00BE6B46">
        <w:rPr>
          <w:rFonts w:asciiTheme="minorBidi" w:hAnsiTheme="minorBidi"/>
          <w:szCs w:val="24"/>
        </w:rPr>
        <w:t>% of Israel's population suffers from food insecurity; of this number, 8.</w:t>
      </w:r>
      <w:r w:rsidR="00AA514C" w:rsidRPr="00BE6B46">
        <w:rPr>
          <w:rFonts w:asciiTheme="minorBidi" w:hAnsiTheme="minorBidi"/>
          <w:szCs w:val="24"/>
        </w:rPr>
        <w:t>2</w:t>
      </w:r>
      <w:r w:rsidRPr="00BE6B46">
        <w:rPr>
          <w:rFonts w:asciiTheme="minorBidi" w:hAnsiTheme="minorBidi"/>
          <w:szCs w:val="24"/>
        </w:rPr>
        <w:t xml:space="preserve">% are in severe food insecurity, and an additional </w:t>
      </w:r>
      <w:r w:rsidR="00AA514C" w:rsidRPr="00BE6B46">
        <w:rPr>
          <w:rFonts w:asciiTheme="minorBidi" w:hAnsiTheme="minorBidi"/>
          <w:szCs w:val="24"/>
        </w:rPr>
        <w:t>8</w:t>
      </w:r>
      <w:r w:rsidRPr="00BE6B46">
        <w:rPr>
          <w:rFonts w:asciiTheme="minorBidi" w:hAnsiTheme="minorBidi"/>
          <w:szCs w:val="24"/>
        </w:rPr>
        <w:t xml:space="preserve">% in moderate or mild food insecurity. </w:t>
      </w:r>
    </w:p>
    <w:p w14:paraId="5DAE3C2C" w14:textId="0690F370" w:rsidR="00014715" w:rsidRPr="00BE6B46" w:rsidRDefault="00014715"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lastRenderedPageBreak/>
        <w:t>According to The Economist’s Global Food Security Index 20</w:t>
      </w:r>
      <w:r w:rsidR="00AA514C" w:rsidRPr="00BE6B46">
        <w:rPr>
          <w:rFonts w:asciiTheme="minorBidi" w:hAnsiTheme="minorBidi"/>
          <w:szCs w:val="24"/>
        </w:rPr>
        <w:t>2</w:t>
      </w:r>
      <w:r w:rsidRPr="00BE6B46">
        <w:rPr>
          <w:rFonts w:asciiTheme="minorBidi" w:hAnsiTheme="minorBidi"/>
          <w:szCs w:val="24"/>
        </w:rPr>
        <w:t>1, Israel is ranked 1</w:t>
      </w:r>
      <w:r w:rsidR="00AA514C" w:rsidRPr="00BE6B46">
        <w:rPr>
          <w:rFonts w:asciiTheme="minorBidi" w:hAnsiTheme="minorBidi"/>
          <w:szCs w:val="24"/>
        </w:rPr>
        <w:t>2</w:t>
      </w:r>
      <w:r w:rsidRPr="00BE6B46">
        <w:rPr>
          <w:rFonts w:asciiTheme="minorBidi" w:hAnsiTheme="minorBidi"/>
          <w:szCs w:val="24"/>
          <w:vertAlign w:val="superscript"/>
        </w:rPr>
        <w:t>th</w:t>
      </w:r>
      <w:r w:rsidR="00AA514C" w:rsidRPr="00BE6B46">
        <w:rPr>
          <w:rFonts w:asciiTheme="minorBidi" w:hAnsiTheme="minorBidi"/>
          <w:szCs w:val="24"/>
        </w:rPr>
        <w:t xml:space="preserve"> </w:t>
      </w:r>
      <w:r w:rsidRPr="00BE6B46">
        <w:rPr>
          <w:rFonts w:asciiTheme="minorBidi" w:hAnsiTheme="minorBidi"/>
          <w:szCs w:val="24"/>
        </w:rPr>
        <w:t xml:space="preserve">in food insecurity among </w:t>
      </w:r>
      <w:r w:rsidR="00456F6B" w:rsidRPr="00BE6B46">
        <w:rPr>
          <w:rFonts w:asciiTheme="minorBidi" w:hAnsiTheme="minorBidi"/>
          <w:szCs w:val="24"/>
        </w:rPr>
        <w:t>OECD</w:t>
      </w:r>
      <w:r w:rsidR="00456F6B" w:rsidRPr="00BE6B46">
        <w:rPr>
          <w:rFonts w:asciiTheme="minorBidi" w:hAnsiTheme="minorBidi"/>
          <w:szCs w:val="24"/>
        </w:rPr>
        <w:t xml:space="preserve"> </w:t>
      </w:r>
      <w:r w:rsidRPr="00BE6B46">
        <w:rPr>
          <w:rFonts w:asciiTheme="minorBidi" w:hAnsiTheme="minorBidi"/>
          <w:szCs w:val="24"/>
        </w:rPr>
        <w:t>member states. Among OECD countries, Israel rank</w:t>
      </w:r>
      <w:r w:rsidR="00456F6B" w:rsidRPr="00BE6B46">
        <w:rPr>
          <w:rFonts w:asciiTheme="minorBidi" w:hAnsiTheme="minorBidi"/>
          <w:szCs w:val="24"/>
        </w:rPr>
        <w:t xml:space="preserve">s </w:t>
      </w:r>
      <w:r w:rsidRPr="00BE6B46">
        <w:rPr>
          <w:rFonts w:asciiTheme="minorBidi" w:hAnsiTheme="minorBidi"/>
          <w:szCs w:val="24"/>
        </w:rPr>
        <w:t>6</w:t>
      </w:r>
      <w:r w:rsidRPr="00BE6B46">
        <w:rPr>
          <w:rFonts w:asciiTheme="minorBidi" w:hAnsiTheme="minorBidi"/>
          <w:szCs w:val="24"/>
          <w:vertAlign w:val="superscript"/>
        </w:rPr>
        <w:t>th</w:t>
      </w:r>
      <w:r w:rsidR="00456F6B" w:rsidRPr="00BE6B46">
        <w:rPr>
          <w:rFonts w:asciiTheme="minorBidi" w:hAnsiTheme="minorBidi"/>
          <w:szCs w:val="24"/>
        </w:rPr>
        <w:t xml:space="preserve"> </w:t>
      </w:r>
      <w:r w:rsidRPr="00BE6B46">
        <w:rPr>
          <w:rFonts w:asciiTheme="minorBidi" w:hAnsiTheme="minorBidi"/>
          <w:szCs w:val="24"/>
        </w:rPr>
        <w:t>in household expenditure on food.</w:t>
      </w:r>
    </w:p>
    <w:p w14:paraId="7714FF1F" w14:textId="1C4BEB36" w:rsidR="00032A6D" w:rsidRPr="00BE6B46" w:rsidRDefault="00032A6D" w:rsidP="00BE6B46">
      <w:pPr>
        <w:autoSpaceDE w:val="0"/>
        <w:autoSpaceDN w:val="0"/>
        <w:adjustRightInd w:val="0"/>
        <w:spacing w:after="0" w:line="360" w:lineRule="auto"/>
        <w:ind w:left="360"/>
        <w:jc w:val="center"/>
        <w:rPr>
          <w:rFonts w:asciiTheme="minorBidi" w:hAnsiTheme="minorBidi"/>
          <w:b/>
          <w:bCs/>
          <w:szCs w:val="24"/>
        </w:rPr>
      </w:pPr>
      <w:r w:rsidRPr="00BE6B46">
        <w:rPr>
          <w:rFonts w:asciiTheme="minorBidi" w:hAnsiTheme="minorBidi"/>
          <w:b/>
          <w:bCs/>
          <w:szCs w:val="24"/>
        </w:rPr>
        <w:t>Poverty Rates</w:t>
      </w:r>
    </w:p>
    <w:p w14:paraId="5C45BB34" w14:textId="7EA01A9F" w:rsidR="00032A6D" w:rsidRPr="00BE6B46" w:rsidRDefault="00032A6D" w:rsidP="00BE6B46">
      <w:pPr>
        <w:autoSpaceDE w:val="0"/>
        <w:autoSpaceDN w:val="0"/>
        <w:adjustRightInd w:val="0"/>
        <w:spacing w:after="0" w:line="360" w:lineRule="auto"/>
        <w:ind w:left="360"/>
        <w:jc w:val="center"/>
        <w:rPr>
          <w:rFonts w:asciiTheme="minorBidi" w:hAnsiTheme="minorBidi"/>
          <w:b/>
          <w:bCs/>
          <w:szCs w:val="24"/>
        </w:rPr>
      </w:pPr>
      <w:r w:rsidRPr="00BE6B46">
        <w:rPr>
          <w:rFonts w:asciiTheme="minorBidi" w:hAnsiTheme="minorBidi"/>
          <w:b/>
          <w:bCs/>
          <w:szCs w:val="24"/>
        </w:rPr>
        <w:t xml:space="preserve">An International Comparison </w:t>
      </w:r>
      <w:commentRangeStart w:id="0"/>
      <w:r w:rsidR="00AA514C" w:rsidRPr="00BE6B46">
        <w:rPr>
          <w:rFonts w:asciiTheme="minorBidi" w:hAnsiTheme="minorBidi"/>
          <w:b/>
          <w:bCs/>
          <w:szCs w:val="24"/>
        </w:rPr>
        <w:t>2021</w:t>
      </w:r>
      <w:commentRangeEnd w:id="0"/>
      <w:r w:rsidR="00AA514C" w:rsidRPr="00BE6B46">
        <w:rPr>
          <w:rStyle w:val="CommentReference"/>
          <w:rFonts w:asciiTheme="minorBidi" w:hAnsiTheme="minorBidi"/>
        </w:rPr>
        <w:commentReference w:id="0"/>
      </w:r>
    </w:p>
    <w:p w14:paraId="5F2A3268" w14:textId="70DCA84E" w:rsidR="00AA514C" w:rsidRPr="00BE6B46" w:rsidRDefault="00AA514C" w:rsidP="00BE6B46">
      <w:pPr>
        <w:autoSpaceDE w:val="0"/>
        <w:autoSpaceDN w:val="0"/>
        <w:adjustRightInd w:val="0"/>
        <w:spacing w:after="0" w:line="360" w:lineRule="auto"/>
        <w:ind w:left="360"/>
        <w:jc w:val="center"/>
        <w:rPr>
          <w:rFonts w:asciiTheme="minorBidi" w:hAnsiTheme="minorBidi"/>
          <w:b/>
          <w:bCs/>
          <w:szCs w:val="24"/>
        </w:rPr>
      </w:pPr>
      <w:r w:rsidRPr="00BE6B46">
        <w:rPr>
          <w:rFonts w:asciiTheme="minorBidi" w:hAnsiTheme="minorBidi"/>
          <w:noProof/>
        </w:rPr>
        <w:drawing>
          <wp:inline distT="0" distB="0" distL="0" distR="0" wp14:anchorId="5C31A116" wp14:editId="76FDA06E">
            <wp:extent cx="2388235" cy="5223053"/>
            <wp:effectExtent l="0" t="0" r="0" b="0"/>
            <wp:docPr id="5" name="Chart 5">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E57F10" w14:textId="0C1503D6" w:rsidR="00641A0C" w:rsidRPr="00BE6B46" w:rsidRDefault="00032A6D" w:rsidP="00BE6B46">
      <w:pPr>
        <w:keepNext/>
        <w:jc w:val="center"/>
        <w:rPr>
          <w:rFonts w:asciiTheme="minorBidi" w:hAnsiTheme="minorBidi"/>
          <w:b/>
          <w:bCs/>
          <w:szCs w:val="24"/>
        </w:rPr>
      </w:pPr>
      <w:r w:rsidRPr="00BE6B46">
        <w:rPr>
          <w:rFonts w:asciiTheme="minorBidi" w:hAnsiTheme="minorBidi"/>
          <w:b/>
          <w:bCs/>
          <w:szCs w:val="24"/>
        </w:rPr>
        <w:t>Inequality (</w:t>
      </w:r>
      <w:r w:rsidR="00714ACA" w:rsidRPr="00BE6B46">
        <w:rPr>
          <w:rFonts w:asciiTheme="minorBidi" w:hAnsiTheme="minorBidi"/>
          <w:b/>
          <w:bCs/>
          <w:szCs w:val="24"/>
        </w:rPr>
        <w:t>t</w:t>
      </w:r>
      <w:r w:rsidRPr="00BE6B46">
        <w:rPr>
          <w:rFonts w:asciiTheme="minorBidi" w:hAnsiTheme="minorBidi"/>
          <w:b/>
          <w:bCs/>
          <w:szCs w:val="24"/>
        </w:rPr>
        <w:t>he Gini Index)</w:t>
      </w:r>
    </w:p>
    <w:p w14:paraId="4155A9E0" w14:textId="7CBD93EF" w:rsidR="00714ACA" w:rsidRPr="00BE6B46" w:rsidRDefault="00714ACA" w:rsidP="00BE6B46">
      <w:pPr>
        <w:autoSpaceDE w:val="0"/>
        <w:autoSpaceDN w:val="0"/>
        <w:adjustRightInd w:val="0"/>
        <w:spacing w:after="0" w:line="360" w:lineRule="auto"/>
        <w:ind w:left="360"/>
        <w:jc w:val="center"/>
        <w:rPr>
          <w:rFonts w:asciiTheme="minorBidi" w:hAnsiTheme="minorBidi"/>
          <w:b/>
          <w:bCs/>
          <w:szCs w:val="24"/>
        </w:rPr>
      </w:pPr>
      <w:r w:rsidRPr="00BE6B46">
        <w:rPr>
          <w:rFonts w:asciiTheme="minorBidi" w:hAnsiTheme="minorBidi"/>
          <w:b/>
          <w:bCs/>
          <w:szCs w:val="24"/>
        </w:rPr>
        <w:t>An International Comparison 20</w:t>
      </w:r>
      <w:r w:rsidR="00AA514C" w:rsidRPr="00BE6B46">
        <w:rPr>
          <w:rFonts w:asciiTheme="minorBidi" w:hAnsiTheme="minorBidi"/>
          <w:b/>
          <w:bCs/>
          <w:szCs w:val="24"/>
        </w:rPr>
        <w:t>2</w:t>
      </w:r>
      <w:r w:rsidRPr="00BE6B46">
        <w:rPr>
          <w:rFonts w:asciiTheme="minorBidi" w:hAnsiTheme="minorBidi"/>
          <w:b/>
          <w:bCs/>
          <w:szCs w:val="24"/>
        </w:rPr>
        <w:t>1</w:t>
      </w:r>
      <w:commentRangeStart w:id="1"/>
      <w:commentRangeEnd w:id="1"/>
      <w:r w:rsidR="00670F32" w:rsidRPr="00BE6B46">
        <w:rPr>
          <w:rStyle w:val="CommentReference"/>
          <w:rFonts w:asciiTheme="minorBidi" w:hAnsiTheme="minorBidi"/>
        </w:rPr>
        <w:commentReference w:id="1"/>
      </w:r>
    </w:p>
    <w:p w14:paraId="0EB8E4A3" w14:textId="63374A26" w:rsidR="00714ACA" w:rsidRPr="00BE6B46" w:rsidRDefault="00AA514C" w:rsidP="00BE6B46">
      <w:pPr>
        <w:jc w:val="center"/>
        <w:rPr>
          <w:rFonts w:asciiTheme="minorBidi" w:hAnsiTheme="minorBidi"/>
          <w:b/>
          <w:bCs/>
          <w:szCs w:val="24"/>
        </w:rPr>
      </w:pPr>
      <w:r w:rsidRPr="00BE6B46">
        <w:rPr>
          <w:rFonts w:asciiTheme="minorBidi" w:hAnsiTheme="minorBidi"/>
          <w:noProof/>
        </w:rPr>
        <w:lastRenderedPageBreak/>
        <w:drawing>
          <wp:inline distT="0" distB="0" distL="0" distR="0" wp14:anchorId="71EEB70C" wp14:editId="6DF1361A">
            <wp:extent cx="2904490" cy="5347411"/>
            <wp:effectExtent l="0" t="0" r="0" b="5715"/>
            <wp:docPr id="3" name="Chart 3">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25DB2" w14:textId="731885E4" w:rsidR="00714ACA" w:rsidRPr="00BE6B46" w:rsidRDefault="00714ACA" w:rsidP="00BE6B46">
      <w:pPr>
        <w:spacing w:line="360" w:lineRule="auto"/>
        <w:jc w:val="both"/>
        <w:rPr>
          <w:rFonts w:asciiTheme="minorBidi" w:hAnsiTheme="minorBidi"/>
          <w:sz w:val="20"/>
          <w:szCs w:val="20"/>
        </w:rPr>
      </w:pPr>
      <w:r w:rsidRPr="00BE6B46">
        <w:rPr>
          <w:rFonts w:asciiTheme="minorBidi" w:hAnsiTheme="minorBidi"/>
          <w:sz w:val="20"/>
          <w:szCs w:val="20"/>
        </w:rPr>
        <w:t xml:space="preserve">Source: </w:t>
      </w:r>
      <w:r w:rsidR="001F06BA" w:rsidRPr="00BE6B46">
        <w:rPr>
          <w:rFonts w:asciiTheme="minorBidi" w:hAnsiTheme="minorBidi"/>
          <w:sz w:val="20"/>
          <w:szCs w:val="20"/>
        </w:rPr>
        <w:t xml:space="preserve">OECD Stat., </w:t>
      </w:r>
      <w:proofErr w:type="spellStart"/>
      <w:r w:rsidRPr="00BE6B46">
        <w:rPr>
          <w:rFonts w:asciiTheme="minorBidi" w:hAnsiTheme="minorBidi"/>
          <w:sz w:val="20"/>
          <w:szCs w:val="20"/>
        </w:rPr>
        <w:t>BDO</w:t>
      </w:r>
      <w:proofErr w:type="spellEnd"/>
      <w:r w:rsidRPr="00BE6B46">
        <w:rPr>
          <w:rFonts w:asciiTheme="minorBidi" w:hAnsiTheme="minorBidi"/>
          <w:sz w:val="20"/>
          <w:szCs w:val="20"/>
        </w:rPr>
        <w:t xml:space="preserve"> analyses of data from the National Insurance Institute for 202</w:t>
      </w:r>
      <w:r w:rsidR="001F06BA" w:rsidRPr="00BE6B46">
        <w:rPr>
          <w:rFonts w:asciiTheme="minorBidi" w:hAnsiTheme="minorBidi"/>
          <w:sz w:val="20"/>
          <w:szCs w:val="20"/>
        </w:rPr>
        <w:t>1</w:t>
      </w:r>
    </w:p>
    <w:p w14:paraId="2F548D09" w14:textId="0D7E5C9F" w:rsidR="001F06BA" w:rsidRPr="00BE6B46" w:rsidRDefault="001F06BA" w:rsidP="00BE6B46">
      <w:pPr>
        <w:autoSpaceDE w:val="0"/>
        <w:autoSpaceDN w:val="0"/>
        <w:adjustRightInd w:val="0"/>
        <w:spacing w:after="120" w:line="360" w:lineRule="auto"/>
        <w:jc w:val="both"/>
        <w:rPr>
          <w:rFonts w:asciiTheme="minorBidi" w:hAnsiTheme="minorBidi"/>
          <w:szCs w:val="24"/>
        </w:rPr>
      </w:pPr>
      <w:r w:rsidRPr="00BE6B46">
        <w:rPr>
          <w:rFonts w:asciiTheme="minorBidi" w:hAnsiTheme="minorBidi"/>
          <w:szCs w:val="24"/>
        </w:rPr>
        <w:t>Food expenses’ share in the Personal Consumption Expenditure (PCE) in Israel is among the highest in the world, measured at 17%. Therefore, a policy of food rescue and distribution to the underprivileged populace would be an especially effective welfare policy in Israel, where a significant portion of household expenditure is allocated to food.</w:t>
      </w:r>
    </w:p>
    <w:p w14:paraId="09AA530E" w14:textId="468C5CE2" w:rsidR="00720F86" w:rsidRPr="00BE6B46" w:rsidRDefault="00720F86" w:rsidP="00BE6B46">
      <w:pPr>
        <w:autoSpaceDE w:val="0"/>
        <w:autoSpaceDN w:val="0"/>
        <w:adjustRightInd w:val="0"/>
        <w:spacing w:after="120" w:line="360" w:lineRule="auto"/>
        <w:jc w:val="both"/>
        <w:rPr>
          <w:rFonts w:asciiTheme="minorBidi" w:hAnsiTheme="minorBidi"/>
          <w:szCs w:val="24"/>
        </w:rPr>
      </w:pPr>
      <w:r w:rsidRPr="00BE6B46">
        <w:rPr>
          <w:rFonts w:asciiTheme="minorBidi" w:hAnsiTheme="minorBidi"/>
          <w:szCs w:val="24"/>
        </w:rPr>
        <w:t xml:space="preserve">The definition of food security is subjective. </w:t>
      </w:r>
      <w:r w:rsidR="007E77C5" w:rsidRPr="00BE6B46">
        <w:rPr>
          <w:rFonts w:asciiTheme="minorBidi" w:hAnsiTheme="minorBidi"/>
          <w:szCs w:val="24"/>
        </w:rPr>
        <w:t>To examine</w:t>
      </w:r>
      <w:r w:rsidR="0008361E" w:rsidRPr="00BE6B46">
        <w:rPr>
          <w:rFonts w:asciiTheme="minorBidi" w:hAnsiTheme="minorBidi"/>
          <w:szCs w:val="24"/>
        </w:rPr>
        <w:t xml:space="preserve"> whether</w:t>
      </w:r>
      <w:r w:rsidRPr="00BE6B46">
        <w:rPr>
          <w:rFonts w:asciiTheme="minorBidi" w:hAnsiTheme="minorBidi"/>
          <w:szCs w:val="24"/>
        </w:rPr>
        <w:t xml:space="preserve"> food rescue </w:t>
      </w:r>
      <w:r w:rsidR="007E77C5" w:rsidRPr="00BE6B46">
        <w:rPr>
          <w:rFonts w:asciiTheme="minorBidi" w:hAnsiTheme="minorBidi"/>
          <w:szCs w:val="24"/>
        </w:rPr>
        <w:t>would be</w:t>
      </w:r>
      <w:r w:rsidR="0008361E" w:rsidRPr="00BE6B46">
        <w:rPr>
          <w:rFonts w:asciiTheme="minorBidi" w:hAnsiTheme="minorBidi"/>
          <w:szCs w:val="24"/>
        </w:rPr>
        <w:t xml:space="preserve"> an </w:t>
      </w:r>
      <w:r w:rsidRPr="00BE6B46">
        <w:rPr>
          <w:rFonts w:asciiTheme="minorBidi" w:hAnsiTheme="minorBidi"/>
          <w:szCs w:val="24"/>
        </w:rPr>
        <w:t>effective policy</w:t>
      </w:r>
      <w:r w:rsidR="004E6AAD" w:rsidRPr="00BE6B46">
        <w:rPr>
          <w:rFonts w:asciiTheme="minorBidi" w:hAnsiTheme="minorBidi"/>
          <w:szCs w:val="24"/>
        </w:rPr>
        <w:t xml:space="preserve"> </w:t>
      </w:r>
      <w:r w:rsidR="0008361E" w:rsidRPr="00BE6B46">
        <w:rPr>
          <w:rFonts w:asciiTheme="minorBidi" w:hAnsiTheme="minorBidi"/>
          <w:szCs w:val="24"/>
        </w:rPr>
        <w:t>for</w:t>
      </w:r>
      <w:r w:rsidRPr="00BE6B46">
        <w:rPr>
          <w:rFonts w:asciiTheme="minorBidi" w:hAnsiTheme="minorBidi"/>
          <w:szCs w:val="24"/>
        </w:rPr>
        <w:t xml:space="preserve"> increas</w:t>
      </w:r>
      <w:r w:rsidR="0008361E" w:rsidRPr="00BE6B46">
        <w:rPr>
          <w:rFonts w:asciiTheme="minorBidi" w:hAnsiTheme="minorBidi"/>
          <w:szCs w:val="24"/>
        </w:rPr>
        <w:t>ing</w:t>
      </w:r>
      <w:r w:rsidRPr="00BE6B46">
        <w:rPr>
          <w:rFonts w:asciiTheme="minorBidi" w:hAnsiTheme="minorBidi"/>
          <w:szCs w:val="24"/>
        </w:rPr>
        <w:t xml:space="preserve"> food security in Israel, th</w:t>
      </w:r>
      <w:r w:rsidR="00B13FAA" w:rsidRPr="00BE6B46">
        <w:rPr>
          <w:rFonts w:asciiTheme="minorBidi" w:hAnsiTheme="minorBidi"/>
          <w:szCs w:val="24"/>
        </w:rPr>
        <w:t>is r</w:t>
      </w:r>
      <w:r w:rsidRPr="00BE6B46">
        <w:rPr>
          <w:rFonts w:asciiTheme="minorBidi" w:hAnsiTheme="minorBidi"/>
          <w:szCs w:val="24"/>
        </w:rPr>
        <w:t xml:space="preserve">eport </w:t>
      </w:r>
      <w:r w:rsidR="00F27F12" w:rsidRPr="00BE6B46">
        <w:rPr>
          <w:rFonts w:asciiTheme="minorBidi" w:hAnsiTheme="minorBidi"/>
          <w:szCs w:val="24"/>
        </w:rPr>
        <w:t>use</w:t>
      </w:r>
      <w:r w:rsidR="00B13FAA" w:rsidRPr="00BE6B46">
        <w:rPr>
          <w:rFonts w:asciiTheme="minorBidi" w:hAnsiTheme="minorBidi"/>
          <w:szCs w:val="24"/>
        </w:rPr>
        <w:t xml:space="preserve">s the methodology of </w:t>
      </w:r>
      <w:proofErr w:type="spellStart"/>
      <w:r w:rsidRPr="00BE6B46">
        <w:rPr>
          <w:rFonts w:asciiTheme="minorBidi" w:hAnsiTheme="minorBidi"/>
          <w:szCs w:val="24"/>
        </w:rPr>
        <w:t>Chernichovsky</w:t>
      </w:r>
      <w:proofErr w:type="spellEnd"/>
      <w:r w:rsidRPr="00BE6B46">
        <w:rPr>
          <w:rFonts w:asciiTheme="minorBidi" w:hAnsiTheme="minorBidi"/>
          <w:szCs w:val="24"/>
        </w:rPr>
        <w:t xml:space="preserve"> and</w:t>
      </w:r>
      <w:r w:rsidR="004E6AAD" w:rsidRPr="00BE6B46">
        <w:rPr>
          <w:rFonts w:asciiTheme="minorBidi" w:hAnsiTheme="minorBidi"/>
          <w:szCs w:val="24"/>
        </w:rPr>
        <w:t xml:space="preserve"> </w:t>
      </w:r>
      <w:r w:rsidRPr="00BE6B46">
        <w:rPr>
          <w:rFonts w:asciiTheme="minorBidi" w:hAnsiTheme="minorBidi"/>
          <w:szCs w:val="24"/>
        </w:rPr>
        <w:t>Regev</w:t>
      </w:r>
      <w:r w:rsidR="0008361E" w:rsidRPr="00BE6B46">
        <w:rPr>
          <w:rFonts w:asciiTheme="minorBidi" w:hAnsiTheme="minorBidi"/>
          <w:szCs w:val="24"/>
        </w:rPr>
        <w:t>,</w:t>
      </w:r>
      <w:r w:rsidR="0008361E" w:rsidRPr="00BE6B46">
        <w:rPr>
          <w:rStyle w:val="FootnoteReference"/>
          <w:rFonts w:asciiTheme="minorBidi" w:hAnsiTheme="minorBidi"/>
          <w:szCs w:val="24"/>
        </w:rPr>
        <w:footnoteReference w:id="2"/>
      </w:r>
      <w:r w:rsidRPr="00BE6B46">
        <w:rPr>
          <w:rFonts w:asciiTheme="minorBidi" w:hAnsiTheme="minorBidi"/>
          <w:szCs w:val="24"/>
        </w:rPr>
        <w:t xml:space="preserve"> which defines normative food expenditure</w:t>
      </w:r>
      <w:r w:rsidR="004E6AAD" w:rsidRPr="00BE6B46">
        <w:rPr>
          <w:rFonts w:asciiTheme="minorBidi" w:hAnsiTheme="minorBidi"/>
          <w:szCs w:val="24"/>
        </w:rPr>
        <w:t xml:space="preserve"> </w:t>
      </w:r>
      <w:r w:rsidRPr="00BE6B46">
        <w:rPr>
          <w:rFonts w:asciiTheme="minorBidi" w:hAnsiTheme="minorBidi"/>
          <w:szCs w:val="24"/>
        </w:rPr>
        <w:t xml:space="preserve">as </w:t>
      </w:r>
      <w:r w:rsidR="00FD75A5" w:rsidRPr="00BE6B46">
        <w:rPr>
          <w:rFonts w:asciiTheme="minorBidi" w:hAnsiTheme="minorBidi"/>
          <w:szCs w:val="24"/>
        </w:rPr>
        <w:t>the level</w:t>
      </w:r>
      <w:r w:rsidRPr="00BE6B46">
        <w:rPr>
          <w:rFonts w:asciiTheme="minorBidi" w:hAnsiTheme="minorBidi"/>
          <w:szCs w:val="24"/>
        </w:rPr>
        <w:t xml:space="preserve"> of a </w:t>
      </w:r>
      <w:r w:rsidRPr="00BE6B46">
        <w:rPr>
          <w:rFonts w:asciiTheme="minorBidi" w:hAnsiTheme="minorBidi"/>
          <w:szCs w:val="24"/>
        </w:rPr>
        <w:lastRenderedPageBreak/>
        <w:t xml:space="preserve">household’s </w:t>
      </w:r>
      <w:r w:rsidR="00FD75A5" w:rsidRPr="00BE6B46">
        <w:rPr>
          <w:rFonts w:asciiTheme="minorBidi" w:hAnsiTheme="minorBidi"/>
          <w:szCs w:val="24"/>
        </w:rPr>
        <w:t xml:space="preserve">food </w:t>
      </w:r>
      <w:r w:rsidRPr="00BE6B46">
        <w:rPr>
          <w:rFonts w:asciiTheme="minorBidi" w:hAnsiTheme="minorBidi"/>
          <w:szCs w:val="24"/>
        </w:rPr>
        <w:t xml:space="preserve">expenditure that remains </w:t>
      </w:r>
      <w:r w:rsidR="00F27F12" w:rsidRPr="00BE6B46">
        <w:rPr>
          <w:rFonts w:asciiTheme="minorBidi" w:hAnsiTheme="minorBidi"/>
          <w:szCs w:val="24"/>
        </w:rPr>
        <w:t>constant</w:t>
      </w:r>
      <w:r w:rsidRPr="00BE6B46">
        <w:rPr>
          <w:rFonts w:asciiTheme="minorBidi" w:hAnsiTheme="minorBidi"/>
          <w:szCs w:val="24"/>
        </w:rPr>
        <w:t xml:space="preserve"> even </w:t>
      </w:r>
      <w:r w:rsidR="00A31F99" w:rsidRPr="00BE6B46">
        <w:rPr>
          <w:rFonts w:asciiTheme="minorBidi" w:hAnsiTheme="minorBidi"/>
          <w:szCs w:val="24"/>
        </w:rPr>
        <w:t xml:space="preserve">when </w:t>
      </w:r>
      <w:r w:rsidR="007E77C5" w:rsidRPr="00BE6B46">
        <w:rPr>
          <w:rFonts w:asciiTheme="minorBidi" w:hAnsiTheme="minorBidi"/>
          <w:szCs w:val="24"/>
        </w:rPr>
        <w:t>the</w:t>
      </w:r>
      <w:r w:rsidR="004E6AAD" w:rsidRPr="00BE6B46">
        <w:rPr>
          <w:rFonts w:asciiTheme="minorBidi" w:hAnsiTheme="minorBidi"/>
          <w:szCs w:val="24"/>
        </w:rPr>
        <w:t xml:space="preserve"> </w:t>
      </w:r>
      <w:r w:rsidRPr="00BE6B46">
        <w:rPr>
          <w:rFonts w:asciiTheme="minorBidi" w:hAnsiTheme="minorBidi"/>
          <w:szCs w:val="24"/>
        </w:rPr>
        <w:t>household</w:t>
      </w:r>
      <w:r w:rsidR="007E77C5" w:rsidRPr="00BE6B46">
        <w:rPr>
          <w:rFonts w:asciiTheme="minorBidi" w:hAnsiTheme="minorBidi"/>
          <w:szCs w:val="24"/>
        </w:rPr>
        <w:t>’s income increases</w:t>
      </w:r>
      <w:r w:rsidRPr="00BE6B46">
        <w:rPr>
          <w:rFonts w:asciiTheme="minorBidi" w:hAnsiTheme="minorBidi"/>
          <w:szCs w:val="24"/>
        </w:rPr>
        <w:t>.</w:t>
      </w:r>
    </w:p>
    <w:p w14:paraId="3BFE981C" w14:textId="18DD8D64" w:rsidR="00714ACA" w:rsidRPr="00BE6B46" w:rsidRDefault="00720F86" w:rsidP="00BE6B46">
      <w:pPr>
        <w:autoSpaceDE w:val="0"/>
        <w:autoSpaceDN w:val="0"/>
        <w:adjustRightInd w:val="0"/>
        <w:spacing w:after="120" w:line="360" w:lineRule="auto"/>
        <w:jc w:val="both"/>
        <w:rPr>
          <w:rFonts w:asciiTheme="minorBidi" w:hAnsiTheme="minorBidi"/>
          <w:szCs w:val="24"/>
        </w:rPr>
      </w:pPr>
      <w:r w:rsidRPr="00BE6B46">
        <w:rPr>
          <w:rFonts w:asciiTheme="minorBidi" w:hAnsiTheme="minorBidi"/>
          <w:szCs w:val="24"/>
        </w:rPr>
        <w:t xml:space="preserve">To </w:t>
      </w:r>
      <w:r w:rsidR="00F27F12" w:rsidRPr="00BE6B46">
        <w:rPr>
          <w:rFonts w:asciiTheme="minorBidi" w:hAnsiTheme="minorBidi"/>
          <w:szCs w:val="24"/>
        </w:rPr>
        <w:t>examine</w:t>
      </w:r>
      <w:r w:rsidR="00C23920" w:rsidRPr="00BE6B46">
        <w:rPr>
          <w:rFonts w:asciiTheme="minorBidi" w:hAnsiTheme="minorBidi"/>
          <w:szCs w:val="24"/>
        </w:rPr>
        <w:t xml:space="preserve"> </w:t>
      </w:r>
      <w:r w:rsidRPr="00BE6B46">
        <w:rPr>
          <w:rFonts w:asciiTheme="minorBidi" w:hAnsiTheme="minorBidi"/>
          <w:szCs w:val="24"/>
        </w:rPr>
        <w:t>normative food expenditure,</w:t>
      </w:r>
      <w:r w:rsidR="00C23920" w:rsidRPr="00BE6B46">
        <w:rPr>
          <w:rStyle w:val="FootnoteReference"/>
          <w:rFonts w:asciiTheme="minorBidi" w:hAnsiTheme="minorBidi"/>
          <w:szCs w:val="24"/>
        </w:rPr>
        <w:footnoteReference w:id="3"/>
      </w:r>
      <w:r w:rsidRPr="00BE6B46">
        <w:rPr>
          <w:rFonts w:asciiTheme="minorBidi" w:hAnsiTheme="minorBidi"/>
          <w:szCs w:val="24"/>
        </w:rPr>
        <w:t xml:space="preserve"> </w:t>
      </w:r>
      <w:r w:rsidR="00F27F12" w:rsidRPr="00BE6B46">
        <w:rPr>
          <w:rFonts w:asciiTheme="minorBidi" w:hAnsiTheme="minorBidi"/>
          <w:szCs w:val="24"/>
        </w:rPr>
        <w:t xml:space="preserve">food </w:t>
      </w:r>
      <w:r w:rsidR="000214D7" w:rsidRPr="00BE6B46">
        <w:rPr>
          <w:rFonts w:asciiTheme="minorBidi" w:hAnsiTheme="minorBidi"/>
          <w:szCs w:val="24"/>
        </w:rPr>
        <w:t>expenditure in</w:t>
      </w:r>
      <w:r w:rsidRPr="00BE6B46">
        <w:rPr>
          <w:rFonts w:asciiTheme="minorBidi" w:hAnsiTheme="minorBidi"/>
          <w:szCs w:val="24"/>
        </w:rPr>
        <w:t xml:space="preserve"> the lowest</w:t>
      </w:r>
      <w:r w:rsidR="00FD75A5" w:rsidRPr="00BE6B46">
        <w:rPr>
          <w:rFonts w:asciiTheme="minorBidi" w:hAnsiTheme="minorBidi"/>
          <w:szCs w:val="24"/>
        </w:rPr>
        <w:t xml:space="preserve"> </w:t>
      </w:r>
      <w:r w:rsidRPr="00BE6B46">
        <w:rPr>
          <w:rFonts w:asciiTheme="minorBidi" w:hAnsiTheme="minorBidi"/>
          <w:szCs w:val="24"/>
        </w:rPr>
        <w:t xml:space="preserve">percentiles </w:t>
      </w:r>
      <w:r w:rsidR="00F27F12" w:rsidRPr="00BE6B46">
        <w:rPr>
          <w:rFonts w:asciiTheme="minorBidi" w:hAnsiTheme="minorBidi"/>
          <w:szCs w:val="24"/>
        </w:rPr>
        <w:t>was compared</w:t>
      </w:r>
      <w:r w:rsidRPr="00BE6B46">
        <w:rPr>
          <w:rFonts w:asciiTheme="minorBidi" w:hAnsiTheme="minorBidi"/>
          <w:szCs w:val="24"/>
        </w:rPr>
        <w:t xml:space="preserve"> to </w:t>
      </w:r>
      <w:r w:rsidR="000214D7" w:rsidRPr="00BE6B46">
        <w:rPr>
          <w:rFonts w:asciiTheme="minorBidi" w:hAnsiTheme="minorBidi"/>
          <w:szCs w:val="24"/>
        </w:rPr>
        <w:t xml:space="preserve">the </w:t>
      </w:r>
      <w:r w:rsidRPr="00BE6B46">
        <w:rPr>
          <w:rFonts w:asciiTheme="minorBidi" w:hAnsiTheme="minorBidi"/>
          <w:szCs w:val="24"/>
        </w:rPr>
        <w:t>normative level</w:t>
      </w:r>
      <w:r w:rsidR="00F27F12" w:rsidRPr="00BE6B46">
        <w:rPr>
          <w:rFonts w:asciiTheme="minorBidi" w:hAnsiTheme="minorBidi"/>
          <w:szCs w:val="24"/>
        </w:rPr>
        <w:t>s</w:t>
      </w:r>
      <w:r w:rsidRPr="00BE6B46">
        <w:rPr>
          <w:rFonts w:asciiTheme="minorBidi" w:hAnsiTheme="minorBidi"/>
          <w:szCs w:val="24"/>
        </w:rPr>
        <w:t>. The analysis in</w:t>
      </w:r>
      <w:r w:rsidR="00FD75A5" w:rsidRPr="00BE6B46">
        <w:rPr>
          <w:rFonts w:asciiTheme="minorBidi" w:hAnsiTheme="minorBidi"/>
          <w:szCs w:val="24"/>
        </w:rPr>
        <w:t xml:space="preserve"> </w:t>
      </w:r>
      <w:r w:rsidRPr="00BE6B46">
        <w:rPr>
          <w:rFonts w:asciiTheme="minorBidi" w:hAnsiTheme="minorBidi"/>
          <w:szCs w:val="24"/>
        </w:rPr>
        <w:t xml:space="preserve">this chapter shows that </w:t>
      </w:r>
      <w:r w:rsidR="004134D9" w:rsidRPr="00BE6B46">
        <w:rPr>
          <w:rFonts w:asciiTheme="minorBidi" w:hAnsiTheme="minorBidi"/>
          <w:szCs w:val="24"/>
        </w:rPr>
        <w:t xml:space="preserve">for </w:t>
      </w:r>
      <w:r w:rsidRPr="00BE6B46">
        <w:rPr>
          <w:rFonts w:asciiTheme="minorBidi" w:hAnsiTheme="minorBidi"/>
          <w:szCs w:val="24"/>
        </w:rPr>
        <w:t>the two lowest percentiles</w:t>
      </w:r>
      <w:r w:rsidR="00FD75A5" w:rsidRPr="00BE6B46">
        <w:rPr>
          <w:rFonts w:asciiTheme="minorBidi" w:hAnsiTheme="minorBidi"/>
          <w:szCs w:val="24"/>
        </w:rPr>
        <w:t xml:space="preserve"> </w:t>
      </w:r>
      <w:r w:rsidRPr="00BE6B46">
        <w:rPr>
          <w:rFonts w:asciiTheme="minorBidi" w:hAnsiTheme="minorBidi"/>
          <w:szCs w:val="24"/>
        </w:rPr>
        <w:t>(in terms of standard</w:t>
      </w:r>
      <w:r w:rsidR="000214D7" w:rsidRPr="00BE6B46">
        <w:rPr>
          <w:rFonts w:asciiTheme="minorBidi" w:hAnsiTheme="minorBidi"/>
          <w:szCs w:val="24"/>
        </w:rPr>
        <w:t xml:space="preserve"> consumption</w:t>
      </w:r>
      <w:r w:rsidRPr="00BE6B46">
        <w:rPr>
          <w:rFonts w:asciiTheme="minorBidi" w:hAnsiTheme="minorBidi"/>
          <w:szCs w:val="24"/>
        </w:rPr>
        <w:t xml:space="preserve"> per capita), food</w:t>
      </w:r>
      <w:r w:rsidR="00FD75A5" w:rsidRPr="00BE6B46">
        <w:rPr>
          <w:rFonts w:asciiTheme="minorBidi" w:hAnsiTheme="minorBidi"/>
          <w:szCs w:val="24"/>
        </w:rPr>
        <w:t xml:space="preserve"> </w:t>
      </w:r>
      <w:r w:rsidRPr="00BE6B46">
        <w:rPr>
          <w:rFonts w:asciiTheme="minorBidi" w:hAnsiTheme="minorBidi"/>
          <w:szCs w:val="24"/>
        </w:rPr>
        <w:t>expenditure was roughly half that of the normative</w:t>
      </w:r>
      <w:r w:rsidR="00FD75A5" w:rsidRPr="00BE6B46">
        <w:rPr>
          <w:rFonts w:asciiTheme="minorBidi" w:hAnsiTheme="minorBidi"/>
          <w:szCs w:val="24"/>
        </w:rPr>
        <w:t xml:space="preserve"> </w:t>
      </w:r>
      <w:r w:rsidRPr="00BE6B46">
        <w:rPr>
          <w:rFonts w:asciiTheme="minorBidi" w:hAnsiTheme="minorBidi"/>
          <w:szCs w:val="24"/>
        </w:rPr>
        <w:t>level.</w:t>
      </w:r>
    </w:p>
    <w:p w14:paraId="00B910FB" w14:textId="63B08F8C" w:rsidR="00006955" w:rsidRPr="00BE6B46" w:rsidRDefault="008622EE" w:rsidP="00BE6B46">
      <w:pPr>
        <w:spacing w:after="0" w:line="360" w:lineRule="auto"/>
        <w:jc w:val="center"/>
        <w:rPr>
          <w:rFonts w:asciiTheme="minorBidi" w:hAnsiTheme="minorBidi"/>
          <w:b/>
          <w:bCs/>
          <w:szCs w:val="24"/>
        </w:rPr>
      </w:pPr>
      <w:r w:rsidRPr="00BE6B46">
        <w:rPr>
          <w:rFonts w:asciiTheme="minorBidi" w:hAnsiTheme="minorBidi"/>
          <w:b/>
          <w:bCs/>
          <w:szCs w:val="24"/>
        </w:rPr>
        <w:t xml:space="preserve">Food Expenditure </w:t>
      </w:r>
      <w:r w:rsidR="00CF1AB2" w:rsidRPr="00BE6B46">
        <w:rPr>
          <w:rFonts w:asciiTheme="minorBidi" w:hAnsiTheme="minorBidi"/>
          <w:b/>
          <w:bCs/>
          <w:szCs w:val="24"/>
        </w:rPr>
        <w:t>per</w:t>
      </w:r>
      <w:r w:rsidRPr="00BE6B46">
        <w:rPr>
          <w:rFonts w:asciiTheme="minorBidi" w:hAnsiTheme="minorBidi"/>
          <w:b/>
          <w:bCs/>
          <w:szCs w:val="24"/>
        </w:rPr>
        <w:t xml:space="preserve"> Capita in Israel in Relation to Normative </w:t>
      </w:r>
      <w:r w:rsidR="0087796C" w:rsidRPr="00BE6B46">
        <w:rPr>
          <w:rFonts w:asciiTheme="minorBidi" w:hAnsiTheme="minorBidi"/>
          <w:b/>
          <w:bCs/>
          <w:szCs w:val="24"/>
        </w:rPr>
        <w:t xml:space="preserve">Food Secure </w:t>
      </w:r>
      <w:r w:rsidRPr="00BE6B46">
        <w:rPr>
          <w:rFonts w:asciiTheme="minorBidi" w:hAnsiTheme="minorBidi"/>
          <w:b/>
          <w:bCs/>
          <w:szCs w:val="24"/>
        </w:rPr>
        <w:t>Expenditure</w:t>
      </w:r>
      <w:r w:rsidR="00CF1AB2" w:rsidRPr="00BE6B46">
        <w:rPr>
          <w:rFonts w:asciiTheme="minorBidi" w:hAnsiTheme="minorBidi"/>
          <w:b/>
          <w:bCs/>
          <w:szCs w:val="24"/>
        </w:rPr>
        <w:t xml:space="preserve"> </w:t>
      </w:r>
      <w:r w:rsidRPr="00BE6B46">
        <w:rPr>
          <w:rFonts w:asciiTheme="minorBidi" w:hAnsiTheme="minorBidi"/>
          <w:b/>
          <w:bCs/>
          <w:szCs w:val="24"/>
        </w:rPr>
        <w:t xml:space="preserve">– Percentile </w:t>
      </w:r>
      <w:commentRangeStart w:id="2"/>
      <w:r w:rsidRPr="00BE6B46">
        <w:rPr>
          <w:rFonts w:asciiTheme="minorBidi" w:hAnsiTheme="minorBidi"/>
          <w:b/>
          <w:bCs/>
          <w:szCs w:val="24"/>
        </w:rPr>
        <w:t>Distribution</w:t>
      </w:r>
      <w:commentRangeEnd w:id="2"/>
      <w:r w:rsidRPr="00BE6B46">
        <w:rPr>
          <w:rStyle w:val="CommentReference"/>
          <w:rFonts w:asciiTheme="minorBidi" w:hAnsiTheme="minorBidi"/>
        </w:rPr>
        <w:commentReference w:id="2"/>
      </w:r>
    </w:p>
    <w:p w14:paraId="0C9C2328" w14:textId="3B2B2025" w:rsidR="00795EB4" w:rsidRPr="00BE6B46" w:rsidRDefault="004B537B" w:rsidP="00BE6B46">
      <w:pPr>
        <w:spacing w:line="360" w:lineRule="auto"/>
        <w:jc w:val="center"/>
        <w:rPr>
          <w:rFonts w:asciiTheme="minorBidi" w:hAnsiTheme="minorBidi"/>
          <w:b/>
          <w:bCs/>
          <w:szCs w:val="24"/>
        </w:rPr>
      </w:pPr>
      <w:r w:rsidRPr="00BE6B46">
        <w:rPr>
          <w:rFonts w:asciiTheme="minorBidi" w:hAnsiTheme="minorBidi"/>
          <w:noProof/>
        </w:rPr>
        <w:drawing>
          <wp:inline distT="0" distB="0" distL="0" distR="0" wp14:anchorId="007CECA2" wp14:editId="538EB760">
            <wp:extent cx="5731510" cy="4757420"/>
            <wp:effectExtent l="0" t="0" r="2540" b="5080"/>
            <wp:docPr id="6" name="Chart 6">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4DF8E6" w14:textId="00F4D260" w:rsidR="00795EB4" w:rsidRPr="00BE6B46" w:rsidRDefault="00795EB4" w:rsidP="00BE6B46">
      <w:pPr>
        <w:tabs>
          <w:tab w:val="left" w:pos="978"/>
        </w:tabs>
        <w:rPr>
          <w:rFonts w:asciiTheme="minorBidi" w:hAnsiTheme="minorBidi"/>
          <w:sz w:val="20"/>
          <w:szCs w:val="20"/>
        </w:rPr>
      </w:pPr>
      <w:r w:rsidRPr="00BE6B46">
        <w:rPr>
          <w:rFonts w:asciiTheme="minorBidi" w:hAnsiTheme="minorBidi"/>
          <w:sz w:val="20"/>
          <w:szCs w:val="20"/>
        </w:rPr>
        <w:t>Source: BDO analyses of data from the Central Bureau of Statistics</w:t>
      </w:r>
    </w:p>
    <w:p w14:paraId="441015FB" w14:textId="5EAD24E1" w:rsidR="00795EB4" w:rsidRPr="00BE6B46" w:rsidRDefault="00795EB4"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t xml:space="preserve">The volume of food required to bridge the gap between </w:t>
      </w:r>
      <w:r w:rsidR="007C5A9D" w:rsidRPr="00BE6B46">
        <w:rPr>
          <w:rFonts w:asciiTheme="minorBidi" w:hAnsiTheme="minorBidi"/>
          <w:szCs w:val="24"/>
        </w:rPr>
        <w:t xml:space="preserve">the actual </w:t>
      </w:r>
      <w:r w:rsidR="00BC065D" w:rsidRPr="00BE6B46">
        <w:rPr>
          <w:rFonts w:asciiTheme="minorBidi" w:hAnsiTheme="minorBidi"/>
          <w:szCs w:val="24"/>
        </w:rPr>
        <w:t>consumption levels of</w:t>
      </w:r>
      <w:r w:rsidR="00074F00" w:rsidRPr="00BE6B46">
        <w:rPr>
          <w:rFonts w:asciiTheme="minorBidi" w:hAnsiTheme="minorBidi"/>
          <w:szCs w:val="24"/>
        </w:rPr>
        <w:t xml:space="preserve"> </w:t>
      </w:r>
      <w:r w:rsidR="007C5A9D" w:rsidRPr="00BE6B46">
        <w:rPr>
          <w:rFonts w:asciiTheme="minorBidi" w:hAnsiTheme="minorBidi"/>
          <w:szCs w:val="24"/>
        </w:rPr>
        <w:t xml:space="preserve">food </w:t>
      </w:r>
      <w:r w:rsidRPr="00BE6B46">
        <w:rPr>
          <w:rFonts w:asciiTheme="minorBidi" w:hAnsiTheme="minorBidi"/>
          <w:szCs w:val="24"/>
        </w:rPr>
        <w:t>insecure population</w:t>
      </w:r>
      <w:r w:rsidR="00074F00" w:rsidRPr="00BE6B46">
        <w:rPr>
          <w:rFonts w:asciiTheme="minorBidi" w:hAnsiTheme="minorBidi"/>
          <w:szCs w:val="24"/>
        </w:rPr>
        <w:t>s</w:t>
      </w:r>
      <w:r w:rsidRPr="00BE6B46">
        <w:rPr>
          <w:rFonts w:asciiTheme="minorBidi" w:hAnsiTheme="minorBidi"/>
          <w:szCs w:val="24"/>
        </w:rPr>
        <w:t xml:space="preserve"> and the normative consumption level (</w:t>
      </w:r>
      <w:r w:rsidR="00074F00" w:rsidRPr="00BE6B46">
        <w:rPr>
          <w:rFonts w:asciiTheme="minorBidi" w:hAnsiTheme="minorBidi"/>
          <w:szCs w:val="24"/>
        </w:rPr>
        <w:t>i.e. the average consumption of the</w:t>
      </w:r>
      <w:r w:rsidRPr="00BE6B46">
        <w:rPr>
          <w:rFonts w:asciiTheme="minorBidi" w:hAnsiTheme="minorBidi"/>
          <w:szCs w:val="24"/>
        </w:rPr>
        <w:t xml:space="preserve"> </w:t>
      </w:r>
      <w:r w:rsidRPr="00BE6B46">
        <w:rPr>
          <w:rFonts w:asciiTheme="minorBidi" w:hAnsiTheme="minorBidi"/>
          <w:szCs w:val="24"/>
        </w:rPr>
        <w:lastRenderedPageBreak/>
        <w:t>second to</w:t>
      </w:r>
      <w:r w:rsidR="00074F00" w:rsidRPr="00BE6B46">
        <w:rPr>
          <w:rFonts w:asciiTheme="minorBidi" w:hAnsiTheme="minorBidi"/>
          <w:szCs w:val="24"/>
        </w:rPr>
        <w:t xml:space="preserve"> </w:t>
      </w:r>
      <w:r w:rsidRPr="00BE6B46">
        <w:rPr>
          <w:rFonts w:asciiTheme="minorBidi" w:hAnsiTheme="minorBidi"/>
          <w:szCs w:val="24"/>
        </w:rPr>
        <w:t>fifth percentiles), is valued at approximately NIS 3.</w:t>
      </w:r>
      <w:r w:rsidR="004B537B" w:rsidRPr="00BE6B46">
        <w:rPr>
          <w:rFonts w:asciiTheme="minorBidi" w:hAnsiTheme="minorBidi"/>
          <w:szCs w:val="24"/>
        </w:rPr>
        <w:t>3</w:t>
      </w:r>
      <w:r w:rsidRPr="00BE6B46">
        <w:rPr>
          <w:rFonts w:asciiTheme="minorBidi" w:hAnsiTheme="minorBidi"/>
          <w:szCs w:val="24"/>
        </w:rPr>
        <w:t xml:space="preserve"> billion. The cost of eliminating this food expenditure gap </w:t>
      </w:r>
      <w:r w:rsidR="00074F00" w:rsidRPr="00BE6B46">
        <w:rPr>
          <w:rFonts w:asciiTheme="minorBidi" w:hAnsiTheme="minorBidi"/>
          <w:szCs w:val="24"/>
        </w:rPr>
        <w:t>for populations that are highly food insecure</w:t>
      </w:r>
      <w:r w:rsidRPr="00BE6B46">
        <w:rPr>
          <w:rFonts w:asciiTheme="minorBidi" w:hAnsiTheme="minorBidi"/>
          <w:szCs w:val="24"/>
        </w:rPr>
        <w:t xml:space="preserve"> (</w:t>
      </w:r>
      <w:r w:rsidR="00074F00" w:rsidRPr="00BE6B46">
        <w:rPr>
          <w:rFonts w:asciiTheme="minorBidi" w:hAnsiTheme="minorBidi"/>
          <w:szCs w:val="24"/>
        </w:rPr>
        <w:t xml:space="preserve">about </w:t>
      </w:r>
      <w:r w:rsidR="004B537B" w:rsidRPr="00BE6B46">
        <w:rPr>
          <w:rFonts w:asciiTheme="minorBidi" w:hAnsiTheme="minorBidi"/>
          <w:szCs w:val="24"/>
        </w:rPr>
        <w:t>8.2</w:t>
      </w:r>
      <w:r w:rsidRPr="00BE6B46">
        <w:rPr>
          <w:rFonts w:asciiTheme="minorBidi" w:hAnsiTheme="minorBidi"/>
          <w:szCs w:val="24"/>
        </w:rPr>
        <w:t xml:space="preserve">% of Israeli households) is estimated at </w:t>
      </w:r>
      <w:r w:rsidR="00BC065D" w:rsidRPr="00BE6B46">
        <w:rPr>
          <w:rFonts w:asciiTheme="minorBidi" w:hAnsiTheme="minorBidi"/>
          <w:szCs w:val="24"/>
        </w:rPr>
        <w:t xml:space="preserve">approximately </w:t>
      </w:r>
      <w:r w:rsidRPr="00BE6B46">
        <w:rPr>
          <w:rFonts w:asciiTheme="minorBidi" w:hAnsiTheme="minorBidi"/>
          <w:szCs w:val="24"/>
        </w:rPr>
        <w:t>NIS 2.</w:t>
      </w:r>
      <w:r w:rsidR="004B537B" w:rsidRPr="00BE6B46">
        <w:rPr>
          <w:rFonts w:asciiTheme="minorBidi" w:hAnsiTheme="minorBidi"/>
          <w:szCs w:val="24"/>
        </w:rPr>
        <w:t>5</w:t>
      </w:r>
      <w:r w:rsidRPr="00BE6B46">
        <w:rPr>
          <w:rFonts w:asciiTheme="minorBidi" w:hAnsiTheme="minorBidi"/>
          <w:szCs w:val="24"/>
        </w:rPr>
        <w:t xml:space="preserve"> billion, </w:t>
      </w:r>
      <w:r w:rsidR="00BC065D" w:rsidRPr="00BE6B46">
        <w:rPr>
          <w:rFonts w:asciiTheme="minorBidi" w:hAnsiTheme="minorBidi"/>
          <w:szCs w:val="24"/>
        </w:rPr>
        <w:t>and</w:t>
      </w:r>
      <w:r w:rsidRPr="00BE6B46">
        <w:rPr>
          <w:rFonts w:asciiTheme="minorBidi" w:hAnsiTheme="minorBidi"/>
          <w:szCs w:val="24"/>
        </w:rPr>
        <w:t xml:space="preserve"> a</w:t>
      </w:r>
      <w:r w:rsidR="00074F00" w:rsidRPr="00BE6B46">
        <w:rPr>
          <w:rFonts w:asciiTheme="minorBidi" w:hAnsiTheme="minorBidi"/>
          <w:szCs w:val="24"/>
        </w:rPr>
        <w:t>bout a</w:t>
      </w:r>
      <w:r w:rsidRPr="00BE6B46">
        <w:rPr>
          <w:rFonts w:asciiTheme="minorBidi" w:hAnsiTheme="minorBidi"/>
          <w:szCs w:val="24"/>
        </w:rPr>
        <w:t>n</w:t>
      </w:r>
      <w:r w:rsidR="00074F00" w:rsidRPr="00BE6B46">
        <w:rPr>
          <w:rFonts w:asciiTheme="minorBidi" w:hAnsiTheme="minorBidi"/>
          <w:szCs w:val="24"/>
        </w:rPr>
        <w:t>other</w:t>
      </w:r>
      <w:r w:rsidRPr="00BE6B46">
        <w:rPr>
          <w:rFonts w:asciiTheme="minorBidi" w:hAnsiTheme="minorBidi"/>
          <w:szCs w:val="24"/>
        </w:rPr>
        <w:t xml:space="preserve"> NIS </w:t>
      </w:r>
      <w:r w:rsidR="004B537B" w:rsidRPr="00BE6B46">
        <w:rPr>
          <w:rFonts w:asciiTheme="minorBidi" w:hAnsiTheme="minorBidi"/>
          <w:szCs w:val="24"/>
        </w:rPr>
        <w:t>0.8</w:t>
      </w:r>
      <w:r w:rsidRPr="00BE6B46">
        <w:rPr>
          <w:rFonts w:asciiTheme="minorBidi" w:hAnsiTheme="minorBidi"/>
          <w:szCs w:val="24"/>
        </w:rPr>
        <w:t xml:space="preserve"> billion </w:t>
      </w:r>
      <w:r w:rsidR="00BC065D" w:rsidRPr="00BE6B46">
        <w:rPr>
          <w:rFonts w:asciiTheme="minorBidi" w:hAnsiTheme="minorBidi"/>
          <w:szCs w:val="24"/>
        </w:rPr>
        <w:t xml:space="preserve">are </w:t>
      </w:r>
      <w:r w:rsidRPr="00BE6B46">
        <w:rPr>
          <w:rFonts w:asciiTheme="minorBidi" w:hAnsiTheme="minorBidi"/>
          <w:szCs w:val="24"/>
        </w:rPr>
        <w:t xml:space="preserve">required to </w:t>
      </w:r>
      <w:r w:rsidR="00074F00" w:rsidRPr="00BE6B46">
        <w:rPr>
          <w:rFonts w:asciiTheme="minorBidi" w:hAnsiTheme="minorBidi"/>
          <w:szCs w:val="24"/>
        </w:rPr>
        <w:t>close the gap for</w:t>
      </w:r>
      <w:r w:rsidRPr="00BE6B46">
        <w:rPr>
          <w:rFonts w:asciiTheme="minorBidi" w:hAnsiTheme="minorBidi"/>
          <w:szCs w:val="24"/>
        </w:rPr>
        <w:t xml:space="preserve"> </w:t>
      </w:r>
      <w:r w:rsidR="00074F00" w:rsidRPr="00BE6B46">
        <w:rPr>
          <w:rFonts w:asciiTheme="minorBidi" w:hAnsiTheme="minorBidi"/>
          <w:szCs w:val="24"/>
        </w:rPr>
        <w:t xml:space="preserve">moderately food insecure </w:t>
      </w:r>
      <w:r w:rsidRPr="00BE6B46">
        <w:rPr>
          <w:rFonts w:asciiTheme="minorBidi" w:hAnsiTheme="minorBidi"/>
          <w:szCs w:val="24"/>
        </w:rPr>
        <w:t>populations</w:t>
      </w:r>
      <w:r w:rsidR="00074F00" w:rsidRPr="00BE6B46">
        <w:rPr>
          <w:rFonts w:asciiTheme="minorBidi" w:hAnsiTheme="minorBidi"/>
          <w:szCs w:val="24"/>
        </w:rPr>
        <w:t xml:space="preserve">. </w:t>
      </w:r>
    </w:p>
    <w:p w14:paraId="2738B9AA" w14:textId="77777777" w:rsidR="00543E46" w:rsidRPr="00BE6B46" w:rsidRDefault="00543E46" w:rsidP="00BE6B46">
      <w:pPr>
        <w:autoSpaceDE w:val="0"/>
        <w:autoSpaceDN w:val="0"/>
        <w:adjustRightInd w:val="0"/>
        <w:spacing w:after="0" w:line="360" w:lineRule="auto"/>
        <w:jc w:val="both"/>
        <w:rPr>
          <w:rFonts w:asciiTheme="minorBidi" w:hAnsiTheme="minorBidi"/>
          <w:szCs w:val="24"/>
        </w:rPr>
      </w:pPr>
    </w:p>
    <w:p w14:paraId="7F9CD056" w14:textId="2908E2F4" w:rsidR="00FB3944" w:rsidRPr="00BE6B46" w:rsidRDefault="00FB3944"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t>The Food Expenditure Gap</w:t>
      </w:r>
      <w:r w:rsidR="00543E46" w:rsidRPr="00BE6B46">
        <w:rPr>
          <w:rFonts w:asciiTheme="minorBidi" w:hAnsiTheme="minorBidi"/>
          <w:b/>
          <w:bCs/>
          <w:szCs w:val="24"/>
        </w:rPr>
        <w:t xml:space="preserve"> for Food-Insecure Populations Relative to the Normative Expenditure Level</w:t>
      </w:r>
    </w:p>
    <w:p w14:paraId="54F78407" w14:textId="68DA935C" w:rsidR="00543E46" w:rsidRPr="00BE6B46" w:rsidRDefault="00543E46" w:rsidP="00BE6B46">
      <w:pPr>
        <w:autoSpaceDE w:val="0"/>
        <w:autoSpaceDN w:val="0"/>
        <w:adjustRightInd w:val="0"/>
        <w:spacing w:after="0" w:line="360" w:lineRule="auto"/>
        <w:jc w:val="center"/>
        <w:rPr>
          <w:rFonts w:asciiTheme="minorBidi" w:hAnsiTheme="minorBidi"/>
          <w:szCs w:val="24"/>
        </w:rPr>
      </w:pPr>
      <w:r w:rsidRPr="00BE6B46">
        <w:rPr>
          <w:rFonts w:asciiTheme="minorBidi" w:hAnsiTheme="minorBidi"/>
          <w:szCs w:val="24"/>
        </w:rPr>
        <w:t>In Millions of NIS</w:t>
      </w:r>
    </w:p>
    <w:tbl>
      <w:tblPr>
        <w:tblW w:w="7520" w:type="dxa"/>
        <w:jc w:val="center"/>
        <w:tblLook w:val="04A0" w:firstRow="1" w:lastRow="0" w:firstColumn="1" w:lastColumn="0" w:noHBand="0" w:noVBand="1"/>
      </w:tblPr>
      <w:tblGrid>
        <w:gridCol w:w="1889"/>
        <w:gridCol w:w="1877"/>
        <w:gridCol w:w="1877"/>
        <w:gridCol w:w="1877"/>
      </w:tblGrid>
      <w:tr w:rsidR="00543E46" w:rsidRPr="00BE6B46" w14:paraId="387116C2" w14:textId="77777777" w:rsidTr="00543E46">
        <w:trPr>
          <w:trHeight w:val="765"/>
          <w:jc w:val="center"/>
        </w:trPr>
        <w:tc>
          <w:tcPr>
            <w:tcW w:w="1889" w:type="dxa"/>
            <w:tcBorders>
              <w:top w:val="single" w:sz="4" w:space="0" w:color="5B9BD5"/>
              <w:left w:val="single" w:sz="4" w:space="0" w:color="5B9BD5"/>
              <w:bottom w:val="nil"/>
              <w:right w:val="nil"/>
            </w:tcBorders>
            <w:shd w:val="clear" w:color="auto" w:fill="5B9BD5"/>
            <w:noWrap/>
            <w:vAlign w:val="bottom"/>
            <w:hideMark/>
          </w:tcPr>
          <w:p w14:paraId="028A7D75" w14:textId="77777777" w:rsidR="00543E46" w:rsidRPr="00BE6B46" w:rsidRDefault="00543E46" w:rsidP="00BE6B46">
            <w:pPr>
              <w:spacing w:after="0" w:line="240" w:lineRule="auto"/>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 </w:t>
            </w:r>
          </w:p>
        </w:tc>
        <w:tc>
          <w:tcPr>
            <w:tcW w:w="1877" w:type="dxa"/>
            <w:tcBorders>
              <w:top w:val="single" w:sz="4" w:space="0" w:color="5B9BD5"/>
              <w:left w:val="nil"/>
              <w:bottom w:val="nil"/>
              <w:right w:val="nil"/>
            </w:tcBorders>
            <w:shd w:val="clear" w:color="auto" w:fill="5B9BD5"/>
            <w:vAlign w:val="center"/>
            <w:hideMark/>
          </w:tcPr>
          <w:p w14:paraId="15FB9FBD" w14:textId="7B5D56E0" w:rsidR="00543E46" w:rsidRPr="00BE6B46" w:rsidRDefault="00F27F12"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Value of Food Required to Bridge Gap</w:t>
            </w:r>
            <w:r w:rsidR="00543E46" w:rsidRPr="00BE6B46">
              <w:rPr>
                <w:rFonts w:asciiTheme="minorBidi" w:eastAsia="Times New Roman" w:hAnsiTheme="minorBidi"/>
                <w:b/>
                <w:bCs/>
                <w:color w:val="FFFFFF"/>
                <w:sz w:val="20"/>
                <w:szCs w:val="20"/>
              </w:rPr>
              <w:t xml:space="preserve"> for the </w:t>
            </w:r>
            <w:r w:rsidRPr="00BE6B46">
              <w:rPr>
                <w:rFonts w:asciiTheme="minorBidi" w:eastAsia="Times New Roman" w:hAnsiTheme="minorBidi"/>
                <w:b/>
                <w:bCs/>
                <w:color w:val="FFFFFF"/>
                <w:sz w:val="20"/>
                <w:szCs w:val="20"/>
              </w:rPr>
              <w:t>H</w:t>
            </w:r>
            <w:r w:rsidR="00543E46" w:rsidRPr="00BE6B46">
              <w:rPr>
                <w:rFonts w:asciiTheme="minorBidi" w:eastAsia="Times New Roman" w:hAnsiTheme="minorBidi"/>
                <w:b/>
                <w:bCs/>
                <w:color w:val="FFFFFF"/>
                <w:sz w:val="20"/>
                <w:szCs w:val="20"/>
              </w:rPr>
              <w:t xml:space="preserve">ighly </w:t>
            </w:r>
            <w:r w:rsidRPr="00BE6B46">
              <w:rPr>
                <w:rFonts w:asciiTheme="minorBidi" w:eastAsia="Times New Roman" w:hAnsiTheme="minorBidi"/>
                <w:b/>
                <w:bCs/>
                <w:color w:val="FFFFFF"/>
                <w:sz w:val="20"/>
                <w:szCs w:val="20"/>
              </w:rPr>
              <w:t>F</w:t>
            </w:r>
            <w:r w:rsidR="00543E46" w:rsidRPr="00BE6B46">
              <w:rPr>
                <w:rFonts w:asciiTheme="minorBidi" w:eastAsia="Times New Roman" w:hAnsiTheme="minorBidi"/>
                <w:b/>
                <w:bCs/>
                <w:color w:val="FFFFFF"/>
                <w:sz w:val="20"/>
                <w:szCs w:val="20"/>
              </w:rPr>
              <w:t>ood-</w:t>
            </w:r>
            <w:r w:rsidRPr="00BE6B46">
              <w:rPr>
                <w:rFonts w:asciiTheme="minorBidi" w:eastAsia="Times New Roman" w:hAnsiTheme="minorBidi"/>
                <w:b/>
                <w:bCs/>
                <w:color w:val="FFFFFF"/>
                <w:sz w:val="20"/>
                <w:szCs w:val="20"/>
              </w:rPr>
              <w:t>I</w:t>
            </w:r>
            <w:r w:rsidR="00543E46" w:rsidRPr="00BE6B46">
              <w:rPr>
                <w:rFonts w:asciiTheme="minorBidi" w:eastAsia="Times New Roman" w:hAnsiTheme="minorBidi"/>
                <w:b/>
                <w:bCs/>
                <w:color w:val="FFFFFF"/>
                <w:sz w:val="20"/>
                <w:szCs w:val="20"/>
              </w:rPr>
              <w:t xml:space="preserve">nsecure </w:t>
            </w:r>
          </w:p>
        </w:tc>
        <w:tc>
          <w:tcPr>
            <w:tcW w:w="1877" w:type="dxa"/>
            <w:tcBorders>
              <w:top w:val="single" w:sz="4" w:space="0" w:color="5B9BD5"/>
              <w:left w:val="single" w:sz="4" w:space="0" w:color="5B9BD5"/>
              <w:bottom w:val="nil"/>
              <w:right w:val="nil"/>
            </w:tcBorders>
            <w:shd w:val="clear" w:color="auto" w:fill="5B9BD5"/>
            <w:vAlign w:val="center"/>
            <w:hideMark/>
          </w:tcPr>
          <w:p w14:paraId="712BCBE8" w14:textId="46DAD5A5" w:rsidR="00543E46" w:rsidRPr="00BE6B46" w:rsidRDefault="00F27F12"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Value of Food Required to Bridge Gap</w:t>
            </w:r>
            <w:r w:rsidR="00543E46" w:rsidRPr="00BE6B46">
              <w:rPr>
                <w:rFonts w:asciiTheme="minorBidi" w:eastAsia="Times New Roman" w:hAnsiTheme="minorBidi"/>
                <w:b/>
                <w:bCs/>
                <w:color w:val="FFFFFF"/>
                <w:sz w:val="20"/>
                <w:szCs w:val="20"/>
              </w:rPr>
              <w:t xml:space="preserve"> for the </w:t>
            </w:r>
            <w:r w:rsidRPr="00BE6B46">
              <w:rPr>
                <w:rFonts w:asciiTheme="minorBidi" w:eastAsia="Times New Roman" w:hAnsiTheme="minorBidi"/>
                <w:b/>
                <w:bCs/>
                <w:color w:val="FFFFFF"/>
                <w:sz w:val="20"/>
                <w:szCs w:val="20"/>
              </w:rPr>
              <w:t>M</w:t>
            </w:r>
            <w:r w:rsidR="00543E46" w:rsidRPr="00BE6B46">
              <w:rPr>
                <w:rFonts w:asciiTheme="minorBidi" w:eastAsia="Times New Roman" w:hAnsiTheme="minorBidi"/>
                <w:b/>
                <w:bCs/>
                <w:color w:val="FFFFFF"/>
                <w:sz w:val="20"/>
                <w:szCs w:val="20"/>
              </w:rPr>
              <w:t xml:space="preserve">oderately </w:t>
            </w:r>
            <w:r w:rsidRPr="00BE6B46">
              <w:rPr>
                <w:rFonts w:asciiTheme="minorBidi" w:eastAsia="Times New Roman" w:hAnsiTheme="minorBidi"/>
                <w:b/>
                <w:bCs/>
                <w:color w:val="FFFFFF"/>
                <w:sz w:val="20"/>
                <w:szCs w:val="20"/>
              </w:rPr>
              <w:t>F</w:t>
            </w:r>
            <w:r w:rsidR="00543E46" w:rsidRPr="00BE6B46">
              <w:rPr>
                <w:rFonts w:asciiTheme="minorBidi" w:eastAsia="Times New Roman" w:hAnsiTheme="minorBidi"/>
                <w:b/>
                <w:bCs/>
                <w:color w:val="FFFFFF"/>
                <w:sz w:val="20"/>
                <w:szCs w:val="20"/>
              </w:rPr>
              <w:t>ood-</w:t>
            </w:r>
            <w:r w:rsidRPr="00BE6B46">
              <w:rPr>
                <w:rFonts w:asciiTheme="minorBidi" w:eastAsia="Times New Roman" w:hAnsiTheme="minorBidi"/>
                <w:b/>
                <w:bCs/>
                <w:color w:val="FFFFFF"/>
                <w:sz w:val="20"/>
                <w:szCs w:val="20"/>
              </w:rPr>
              <w:t>I</w:t>
            </w:r>
            <w:r w:rsidR="00543E46" w:rsidRPr="00BE6B46">
              <w:rPr>
                <w:rFonts w:asciiTheme="minorBidi" w:eastAsia="Times New Roman" w:hAnsiTheme="minorBidi"/>
                <w:b/>
                <w:bCs/>
                <w:color w:val="FFFFFF"/>
                <w:sz w:val="20"/>
                <w:szCs w:val="20"/>
              </w:rPr>
              <w:t xml:space="preserve">nsecure </w:t>
            </w:r>
          </w:p>
        </w:tc>
        <w:tc>
          <w:tcPr>
            <w:tcW w:w="1877" w:type="dxa"/>
            <w:tcBorders>
              <w:top w:val="single" w:sz="4" w:space="0" w:color="5B9BD5"/>
              <w:left w:val="nil"/>
              <w:bottom w:val="nil"/>
              <w:right w:val="nil"/>
            </w:tcBorders>
            <w:shd w:val="clear" w:color="auto" w:fill="5B9BD5"/>
            <w:vAlign w:val="center"/>
            <w:hideMark/>
          </w:tcPr>
          <w:p w14:paraId="383A879B" w14:textId="65E41DEF" w:rsidR="00543E46" w:rsidRPr="00BE6B46" w:rsidRDefault="00543E46" w:rsidP="00BE6B46">
            <w:pPr>
              <w:spacing w:after="0" w:line="240" w:lineRule="auto"/>
              <w:jc w:val="center"/>
              <w:rPr>
                <w:rFonts w:asciiTheme="minorBidi" w:eastAsia="Times New Roman" w:hAnsiTheme="minorBidi"/>
                <w:b/>
                <w:bCs/>
                <w:color w:val="FFFFFF"/>
                <w:sz w:val="20"/>
                <w:szCs w:val="20"/>
                <w:rtl/>
              </w:rPr>
            </w:pPr>
            <w:r w:rsidRPr="00BE6B46">
              <w:rPr>
                <w:rFonts w:asciiTheme="minorBidi" w:eastAsia="Times New Roman" w:hAnsiTheme="minorBidi"/>
                <w:b/>
                <w:bCs/>
                <w:color w:val="FFFFFF"/>
                <w:sz w:val="20"/>
                <w:szCs w:val="20"/>
              </w:rPr>
              <w:t xml:space="preserve">Total </w:t>
            </w:r>
            <w:r w:rsidR="00F27F12" w:rsidRPr="00BE6B46">
              <w:rPr>
                <w:rFonts w:asciiTheme="minorBidi" w:eastAsia="Times New Roman" w:hAnsiTheme="minorBidi"/>
                <w:b/>
                <w:bCs/>
                <w:color w:val="FFFFFF"/>
                <w:sz w:val="20"/>
                <w:szCs w:val="20"/>
              </w:rPr>
              <w:t>F</w:t>
            </w:r>
            <w:r w:rsidRPr="00BE6B46">
              <w:rPr>
                <w:rFonts w:asciiTheme="minorBidi" w:eastAsia="Times New Roman" w:hAnsiTheme="minorBidi"/>
                <w:b/>
                <w:bCs/>
                <w:color w:val="FFFFFF"/>
                <w:sz w:val="20"/>
                <w:szCs w:val="20"/>
              </w:rPr>
              <w:t xml:space="preserve">ood </w:t>
            </w:r>
            <w:r w:rsidR="00F27F12" w:rsidRPr="00BE6B46">
              <w:rPr>
                <w:rFonts w:asciiTheme="minorBidi" w:eastAsia="Times New Roman" w:hAnsiTheme="minorBidi"/>
                <w:b/>
                <w:bCs/>
                <w:color w:val="FFFFFF"/>
                <w:sz w:val="20"/>
                <w:szCs w:val="20"/>
              </w:rPr>
              <w:t>E</w:t>
            </w:r>
            <w:r w:rsidRPr="00BE6B46">
              <w:rPr>
                <w:rFonts w:asciiTheme="minorBidi" w:eastAsia="Times New Roman" w:hAnsiTheme="minorBidi"/>
                <w:b/>
                <w:bCs/>
                <w:color w:val="FFFFFF"/>
                <w:sz w:val="20"/>
                <w:szCs w:val="20"/>
              </w:rPr>
              <w:t xml:space="preserve">xpenditure </w:t>
            </w:r>
            <w:r w:rsidR="00F27F12" w:rsidRPr="00BE6B46">
              <w:rPr>
                <w:rFonts w:asciiTheme="minorBidi" w:eastAsia="Times New Roman" w:hAnsiTheme="minorBidi"/>
                <w:b/>
                <w:bCs/>
                <w:color w:val="FFFFFF"/>
                <w:sz w:val="20"/>
                <w:szCs w:val="20"/>
              </w:rPr>
              <w:t>G</w:t>
            </w:r>
            <w:r w:rsidRPr="00BE6B46">
              <w:rPr>
                <w:rFonts w:asciiTheme="minorBidi" w:eastAsia="Times New Roman" w:hAnsiTheme="minorBidi"/>
                <w:b/>
                <w:bCs/>
                <w:color w:val="FFFFFF"/>
                <w:sz w:val="20"/>
                <w:szCs w:val="20"/>
              </w:rPr>
              <w:t>ap</w:t>
            </w:r>
          </w:p>
        </w:tc>
      </w:tr>
      <w:tr w:rsidR="004B537B" w:rsidRPr="00BE6B46" w14:paraId="560C6DA9" w14:textId="77777777" w:rsidTr="00543E46">
        <w:trPr>
          <w:trHeight w:val="285"/>
          <w:jc w:val="center"/>
        </w:trPr>
        <w:tc>
          <w:tcPr>
            <w:tcW w:w="1889" w:type="dxa"/>
            <w:tcBorders>
              <w:top w:val="single" w:sz="4" w:space="0" w:color="5B9BD5"/>
              <w:left w:val="single" w:sz="4" w:space="0" w:color="5B9BD5"/>
              <w:bottom w:val="nil"/>
              <w:right w:val="nil"/>
            </w:tcBorders>
            <w:noWrap/>
            <w:vAlign w:val="bottom"/>
            <w:hideMark/>
          </w:tcPr>
          <w:p w14:paraId="6582D4F6" w14:textId="1FBD0027" w:rsidR="004B537B" w:rsidRPr="00BE6B46" w:rsidRDefault="004B537B" w:rsidP="00BE6B46">
            <w:pPr>
              <w:spacing w:after="0" w:line="240" w:lineRule="auto"/>
              <w:rPr>
                <w:rFonts w:asciiTheme="minorBidi" w:eastAsia="Times New Roman" w:hAnsiTheme="minorBidi"/>
                <w:color w:val="000000"/>
                <w:sz w:val="20"/>
                <w:szCs w:val="20"/>
                <w:rtl/>
              </w:rPr>
            </w:pPr>
            <w:r w:rsidRPr="00BE6B46">
              <w:rPr>
                <w:rFonts w:asciiTheme="minorBidi" w:eastAsia="Times New Roman" w:hAnsiTheme="minorBidi"/>
                <w:color w:val="000000"/>
                <w:sz w:val="20"/>
                <w:szCs w:val="20"/>
              </w:rPr>
              <w:t>Fruit &amp; Vegetables</w:t>
            </w:r>
          </w:p>
        </w:tc>
        <w:tc>
          <w:tcPr>
            <w:tcW w:w="1877" w:type="dxa"/>
            <w:tcBorders>
              <w:top w:val="single" w:sz="4" w:space="0" w:color="5B9BD5"/>
              <w:left w:val="nil"/>
              <w:bottom w:val="nil"/>
              <w:right w:val="nil"/>
            </w:tcBorders>
            <w:noWrap/>
            <w:vAlign w:val="bottom"/>
            <w:hideMark/>
          </w:tcPr>
          <w:p w14:paraId="6730BBF4" w14:textId="39F0855D" w:rsidR="004B537B" w:rsidRPr="00BE6B46" w:rsidRDefault="004B537B" w:rsidP="00BE6B46">
            <w:pPr>
              <w:spacing w:after="0"/>
              <w:jc w:val="center"/>
              <w:rPr>
                <w:rFonts w:asciiTheme="minorBidi" w:hAnsiTheme="minorBidi"/>
                <w:color w:val="000000"/>
                <w:sz w:val="20"/>
                <w:szCs w:val="20"/>
                <w:rtl/>
              </w:rPr>
            </w:pPr>
            <w:r w:rsidRPr="00BE6B46">
              <w:rPr>
                <w:rFonts w:asciiTheme="minorBidi" w:hAnsiTheme="minorBidi"/>
                <w:color w:val="000000"/>
                <w:sz w:val="20"/>
                <w:szCs w:val="20"/>
              </w:rPr>
              <w:t>627</w:t>
            </w:r>
          </w:p>
        </w:tc>
        <w:tc>
          <w:tcPr>
            <w:tcW w:w="1877" w:type="dxa"/>
            <w:tcBorders>
              <w:top w:val="single" w:sz="4" w:space="0" w:color="5B9BD5"/>
              <w:left w:val="nil"/>
              <w:bottom w:val="nil"/>
              <w:right w:val="nil"/>
            </w:tcBorders>
            <w:noWrap/>
            <w:vAlign w:val="bottom"/>
            <w:hideMark/>
          </w:tcPr>
          <w:p w14:paraId="53A770A2" w14:textId="5B391108" w:rsidR="004B537B" w:rsidRPr="00BE6B46" w:rsidRDefault="004B537B"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224</w:t>
            </w:r>
          </w:p>
        </w:tc>
        <w:tc>
          <w:tcPr>
            <w:tcW w:w="1877" w:type="dxa"/>
            <w:tcBorders>
              <w:top w:val="single" w:sz="4" w:space="0" w:color="5B9BD5"/>
              <w:left w:val="nil"/>
              <w:bottom w:val="nil"/>
              <w:right w:val="single" w:sz="4" w:space="0" w:color="5B9BD5"/>
            </w:tcBorders>
            <w:noWrap/>
            <w:vAlign w:val="bottom"/>
            <w:hideMark/>
          </w:tcPr>
          <w:p w14:paraId="5998CD64" w14:textId="374F4E5A"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850</w:t>
            </w:r>
          </w:p>
        </w:tc>
      </w:tr>
      <w:tr w:rsidR="004B537B" w:rsidRPr="00BE6B46" w14:paraId="65B332BC" w14:textId="77777777" w:rsidTr="00543E46">
        <w:trPr>
          <w:trHeight w:val="285"/>
          <w:jc w:val="center"/>
        </w:trPr>
        <w:tc>
          <w:tcPr>
            <w:tcW w:w="1889" w:type="dxa"/>
            <w:tcBorders>
              <w:top w:val="single" w:sz="4" w:space="0" w:color="5B9BD5"/>
              <w:left w:val="single" w:sz="4" w:space="0" w:color="5B9BD5"/>
              <w:bottom w:val="single" w:sz="4" w:space="0" w:color="5B9BD5"/>
              <w:right w:val="nil"/>
            </w:tcBorders>
            <w:noWrap/>
            <w:vAlign w:val="bottom"/>
            <w:hideMark/>
          </w:tcPr>
          <w:p w14:paraId="35D7E1A9" w14:textId="27E013FC" w:rsidR="004B537B" w:rsidRPr="00BE6B46" w:rsidRDefault="004B537B" w:rsidP="00BE6B46">
            <w:pPr>
              <w:spacing w:after="0" w:line="240" w:lineRule="auto"/>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Bread &amp; Grains</w:t>
            </w:r>
          </w:p>
        </w:tc>
        <w:tc>
          <w:tcPr>
            <w:tcW w:w="1877" w:type="dxa"/>
            <w:tcBorders>
              <w:top w:val="single" w:sz="4" w:space="0" w:color="5B9BD5"/>
              <w:left w:val="nil"/>
              <w:bottom w:val="single" w:sz="4" w:space="0" w:color="5B9BD5"/>
              <w:right w:val="nil"/>
            </w:tcBorders>
            <w:noWrap/>
            <w:vAlign w:val="bottom"/>
            <w:hideMark/>
          </w:tcPr>
          <w:p w14:paraId="35F8CE23" w14:textId="787DA27E"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336</w:t>
            </w:r>
          </w:p>
        </w:tc>
        <w:tc>
          <w:tcPr>
            <w:tcW w:w="1877" w:type="dxa"/>
            <w:tcBorders>
              <w:top w:val="single" w:sz="4" w:space="0" w:color="5B9BD5"/>
              <w:left w:val="nil"/>
              <w:bottom w:val="single" w:sz="4" w:space="0" w:color="5B9BD5"/>
              <w:right w:val="nil"/>
            </w:tcBorders>
            <w:noWrap/>
            <w:vAlign w:val="bottom"/>
            <w:hideMark/>
          </w:tcPr>
          <w:p w14:paraId="2508E1F8" w14:textId="06CFA6C6" w:rsidR="004B537B" w:rsidRPr="00BE6B46" w:rsidRDefault="004B537B"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99</w:t>
            </w:r>
          </w:p>
        </w:tc>
        <w:tc>
          <w:tcPr>
            <w:tcW w:w="1877" w:type="dxa"/>
            <w:tcBorders>
              <w:top w:val="single" w:sz="4" w:space="0" w:color="5B9BD5"/>
              <w:left w:val="nil"/>
              <w:bottom w:val="single" w:sz="4" w:space="0" w:color="5B9BD5"/>
              <w:right w:val="single" w:sz="4" w:space="0" w:color="5B9BD5"/>
            </w:tcBorders>
            <w:noWrap/>
            <w:vAlign w:val="bottom"/>
            <w:hideMark/>
          </w:tcPr>
          <w:p w14:paraId="60D1A4FC" w14:textId="673DBC17"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435</w:t>
            </w:r>
          </w:p>
        </w:tc>
      </w:tr>
      <w:tr w:rsidR="004B537B" w:rsidRPr="00BE6B46" w14:paraId="680015F9" w14:textId="77777777" w:rsidTr="00543E46">
        <w:trPr>
          <w:trHeight w:val="285"/>
          <w:jc w:val="center"/>
        </w:trPr>
        <w:tc>
          <w:tcPr>
            <w:tcW w:w="1889" w:type="dxa"/>
            <w:tcBorders>
              <w:top w:val="nil"/>
              <w:left w:val="single" w:sz="4" w:space="0" w:color="5B9BD5"/>
              <w:bottom w:val="single" w:sz="4" w:space="0" w:color="5B9BD5"/>
              <w:right w:val="nil"/>
            </w:tcBorders>
            <w:noWrap/>
            <w:vAlign w:val="bottom"/>
            <w:hideMark/>
          </w:tcPr>
          <w:p w14:paraId="26AE3250" w14:textId="02972564" w:rsidR="004B537B" w:rsidRPr="00BE6B46" w:rsidRDefault="004B537B" w:rsidP="00BE6B46">
            <w:pPr>
              <w:spacing w:after="0" w:line="240" w:lineRule="auto"/>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Meat, Poultry &amp; Fish</w:t>
            </w:r>
          </w:p>
        </w:tc>
        <w:tc>
          <w:tcPr>
            <w:tcW w:w="1877" w:type="dxa"/>
            <w:tcBorders>
              <w:top w:val="nil"/>
              <w:left w:val="nil"/>
              <w:bottom w:val="single" w:sz="4" w:space="0" w:color="5B9BD5"/>
              <w:right w:val="nil"/>
            </w:tcBorders>
            <w:noWrap/>
            <w:vAlign w:val="bottom"/>
            <w:hideMark/>
          </w:tcPr>
          <w:p w14:paraId="03CCDCA4" w14:textId="4665A71B"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717</w:t>
            </w:r>
          </w:p>
        </w:tc>
        <w:tc>
          <w:tcPr>
            <w:tcW w:w="1877" w:type="dxa"/>
            <w:tcBorders>
              <w:top w:val="nil"/>
              <w:left w:val="nil"/>
              <w:bottom w:val="single" w:sz="4" w:space="0" w:color="5B9BD5"/>
              <w:right w:val="nil"/>
            </w:tcBorders>
            <w:noWrap/>
            <w:vAlign w:val="bottom"/>
            <w:hideMark/>
          </w:tcPr>
          <w:p w14:paraId="65392E2E" w14:textId="44C88E1A" w:rsidR="004B537B" w:rsidRPr="00BE6B46" w:rsidRDefault="004B537B"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241</w:t>
            </w:r>
          </w:p>
        </w:tc>
        <w:tc>
          <w:tcPr>
            <w:tcW w:w="1877" w:type="dxa"/>
            <w:tcBorders>
              <w:top w:val="nil"/>
              <w:left w:val="nil"/>
              <w:bottom w:val="single" w:sz="4" w:space="0" w:color="5B9BD5"/>
              <w:right w:val="single" w:sz="4" w:space="0" w:color="5B9BD5"/>
            </w:tcBorders>
            <w:noWrap/>
            <w:vAlign w:val="bottom"/>
            <w:hideMark/>
          </w:tcPr>
          <w:p w14:paraId="5DAD9A2A" w14:textId="5D00465F"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958</w:t>
            </w:r>
          </w:p>
        </w:tc>
      </w:tr>
      <w:tr w:rsidR="004B537B" w:rsidRPr="00BE6B46" w14:paraId="0467C78E" w14:textId="77777777" w:rsidTr="00543E46">
        <w:trPr>
          <w:trHeight w:val="285"/>
          <w:jc w:val="center"/>
        </w:trPr>
        <w:tc>
          <w:tcPr>
            <w:tcW w:w="1889" w:type="dxa"/>
            <w:tcBorders>
              <w:top w:val="nil"/>
              <w:left w:val="single" w:sz="4" w:space="0" w:color="5B9BD5"/>
              <w:bottom w:val="single" w:sz="4" w:space="0" w:color="5B9BD5"/>
              <w:right w:val="nil"/>
            </w:tcBorders>
            <w:noWrap/>
            <w:vAlign w:val="bottom"/>
            <w:hideMark/>
          </w:tcPr>
          <w:p w14:paraId="6657CDB1" w14:textId="48A1C27C" w:rsidR="004B537B" w:rsidRPr="00BE6B46" w:rsidRDefault="004B537B" w:rsidP="00BE6B46">
            <w:pPr>
              <w:spacing w:after="0" w:line="240" w:lineRule="auto"/>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Milk &amp; Dairy</w:t>
            </w:r>
          </w:p>
        </w:tc>
        <w:tc>
          <w:tcPr>
            <w:tcW w:w="1877" w:type="dxa"/>
            <w:tcBorders>
              <w:top w:val="nil"/>
              <w:left w:val="nil"/>
              <w:bottom w:val="single" w:sz="4" w:space="0" w:color="5B9BD5"/>
              <w:right w:val="nil"/>
            </w:tcBorders>
            <w:noWrap/>
            <w:vAlign w:val="bottom"/>
            <w:hideMark/>
          </w:tcPr>
          <w:p w14:paraId="517AF024" w14:textId="6E989CED"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265</w:t>
            </w:r>
          </w:p>
        </w:tc>
        <w:tc>
          <w:tcPr>
            <w:tcW w:w="1877" w:type="dxa"/>
            <w:tcBorders>
              <w:top w:val="nil"/>
              <w:left w:val="nil"/>
              <w:bottom w:val="single" w:sz="4" w:space="0" w:color="5B9BD5"/>
              <w:right w:val="nil"/>
            </w:tcBorders>
            <w:noWrap/>
            <w:vAlign w:val="bottom"/>
            <w:hideMark/>
          </w:tcPr>
          <w:p w14:paraId="745B840B" w14:textId="6FC917F2" w:rsidR="004B537B" w:rsidRPr="00BE6B46" w:rsidRDefault="004B537B"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112</w:t>
            </w:r>
          </w:p>
        </w:tc>
        <w:tc>
          <w:tcPr>
            <w:tcW w:w="1877" w:type="dxa"/>
            <w:tcBorders>
              <w:top w:val="nil"/>
              <w:left w:val="nil"/>
              <w:bottom w:val="single" w:sz="4" w:space="0" w:color="5B9BD5"/>
              <w:right w:val="single" w:sz="4" w:space="0" w:color="5B9BD5"/>
            </w:tcBorders>
            <w:noWrap/>
            <w:vAlign w:val="bottom"/>
            <w:hideMark/>
          </w:tcPr>
          <w:p w14:paraId="75E59A92" w14:textId="10A895D4"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376</w:t>
            </w:r>
          </w:p>
        </w:tc>
      </w:tr>
      <w:tr w:rsidR="004B537B" w:rsidRPr="00BE6B46" w14:paraId="6B101F5D" w14:textId="77777777" w:rsidTr="00543E46">
        <w:trPr>
          <w:trHeight w:val="285"/>
          <w:jc w:val="center"/>
        </w:trPr>
        <w:tc>
          <w:tcPr>
            <w:tcW w:w="1889" w:type="dxa"/>
            <w:tcBorders>
              <w:top w:val="nil"/>
              <w:left w:val="single" w:sz="4" w:space="0" w:color="5B9BD5"/>
              <w:bottom w:val="single" w:sz="4" w:space="0" w:color="5B9BD5"/>
              <w:right w:val="nil"/>
            </w:tcBorders>
            <w:noWrap/>
            <w:vAlign w:val="bottom"/>
            <w:hideMark/>
          </w:tcPr>
          <w:p w14:paraId="1C5F5773" w14:textId="5425BBBC" w:rsidR="004B537B" w:rsidRPr="00BE6B46" w:rsidRDefault="004B537B" w:rsidP="00BE6B46">
            <w:pPr>
              <w:spacing w:after="0" w:line="240" w:lineRule="auto"/>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Other Food</w:t>
            </w:r>
          </w:p>
        </w:tc>
        <w:tc>
          <w:tcPr>
            <w:tcW w:w="1877" w:type="dxa"/>
            <w:tcBorders>
              <w:top w:val="nil"/>
              <w:left w:val="nil"/>
              <w:bottom w:val="single" w:sz="4" w:space="0" w:color="5B9BD5"/>
              <w:right w:val="nil"/>
            </w:tcBorders>
            <w:noWrap/>
            <w:vAlign w:val="bottom"/>
            <w:hideMark/>
          </w:tcPr>
          <w:p w14:paraId="10AA877C" w14:textId="2E88A3AF"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567</w:t>
            </w:r>
          </w:p>
        </w:tc>
        <w:tc>
          <w:tcPr>
            <w:tcW w:w="1877" w:type="dxa"/>
            <w:tcBorders>
              <w:top w:val="nil"/>
              <w:left w:val="nil"/>
              <w:bottom w:val="single" w:sz="4" w:space="0" w:color="5B9BD5"/>
              <w:right w:val="nil"/>
            </w:tcBorders>
            <w:noWrap/>
            <w:vAlign w:val="bottom"/>
            <w:hideMark/>
          </w:tcPr>
          <w:p w14:paraId="791C5611" w14:textId="4AFC36DB" w:rsidR="004B537B" w:rsidRPr="00BE6B46" w:rsidRDefault="004B537B"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148</w:t>
            </w:r>
          </w:p>
        </w:tc>
        <w:tc>
          <w:tcPr>
            <w:tcW w:w="1877" w:type="dxa"/>
            <w:tcBorders>
              <w:top w:val="nil"/>
              <w:left w:val="nil"/>
              <w:bottom w:val="single" w:sz="4" w:space="0" w:color="5B9BD5"/>
              <w:right w:val="single" w:sz="4" w:space="0" w:color="5B9BD5"/>
            </w:tcBorders>
            <w:noWrap/>
            <w:vAlign w:val="bottom"/>
            <w:hideMark/>
          </w:tcPr>
          <w:p w14:paraId="4F1EC8F4" w14:textId="48D157EF" w:rsidR="004B537B" w:rsidRPr="00BE6B46" w:rsidRDefault="004B537B"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715</w:t>
            </w:r>
          </w:p>
        </w:tc>
      </w:tr>
      <w:tr w:rsidR="004B537B" w:rsidRPr="00BE6B46" w14:paraId="3EB6F931" w14:textId="77777777" w:rsidTr="00543E46">
        <w:trPr>
          <w:trHeight w:val="285"/>
          <w:jc w:val="center"/>
        </w:trPr>
        <w:tc>
          <w:tcPr>
            <w:tcW w:w="1889" w:type="dxa"/>
            <w:tcBorders>
              <w:top w:val="nil"/>
              <w:left w:val="single" w:sz="4" w:space="0" w:color="5B9BD5"/>
              <w:bottom w:val="single" w:sz="4" w:space="0" w:color="5B9BD5"/>
              <w:right w:val="nil"/>
            </w:tcBorders>
            <w:noWrap/>
            <w:vAlign w:val="bottom"/>
            <w:hideMark/>
          </w:tcPr>
          <w:p w14:paraId="6490341C" w14:textId="1057300D" w:rsidR="004B537B" w:rsidRPr="00BE6B46" w:rsidRDefault="004B537B" w:rsidP="00BE6B46">
            <w:pPr>
              <w:spacing w:after="0" w:line="240" w:lineRule="auto"/>
              <w:rPr>
                <w:rFonts w:asciiTheme="minorBidi" w:eastAsia="Times New Roman" w:hAnsiTheme="minorBidi"/>
                <w:b/>
                <w:bCs/>
                <w:color w:val="000000"/>
                <w:sz w:val="20"/>
                <w:szCs w:val="20"/>
              </w:rPr>
            </w:pPr>
            <w:r w:rsidRPr="00BE6B46">
              <w:rPr>
                <w:rFonts w:asciiTheme="minorBidi" w:eastAsia="Times New Roman" w:hAnsiTheme="minorBidi"/>
                <w:b/>
                <w:bCs/>
                <w:color w:val="000000"/>
                <w:sz w:val="20"/>
                <w:szCs w:val="20"/>
              </w:rPr>
              <w:t>Total</w:t>
            </w:r>
          </w:p>
        </w:tc>
        <w:tc>
          <w:tcPr>
            <w:tcW w:w="1877" w:type="dxa"/>
            <w:tcBorders>
              <w:top w:val="nil"/>
              <w:left w:val="nil"/>
              <w:bottom w:val="single" w:sz="4" w:space="0" w:color="5B9BD5"/>
              <w:right w:val="nil"/>
            </w:tcBorders>
            <w:noWrap/>
            <w:vAlign w:val="bottom"/>
            <w:hideMark/>
          </w:tcPr>
          <w:p w14:paraId="0B2C03CC" w14:textId="222746A4" w:rsidR="004B537B" w:rsidRPr="00BE6B46" w:rsidRDefault="004B537B" w:rsidP="00BE6B46">
            <w:pPr>
              <w:spacing w:after="0" w:line="240" w:lineRule="auto"/>
              <w:jc w:val="center"/>
              <w:rPr>
                <w:rFonts w:asciiTheme="minorBidi" w:eastAsia="Times New Roman" w:hAnsiTheme="minorBidi"/>
                <w:b/>
                <w:bCs/>
                <w:color w:val="000000"/>
                <w:sz w:val="20"/>
                <w:szCs w:val="20"/>
              </w:rPr>
            </w:pPr>
            <w:r w:rsidRPr="00BE6B46">
              <w:rPr>
                <w:rFonts w:asciiTheme="minorBidi" w:hAnsiTheme="minorBidi"/>
                <w:b/>
                <w:bCs/>
                <w:color w:val="000000"/>
                <w:sz w:val="20"/>
                <w:szCs w:val="20"/>
              </w:rPr>
              <w:t>2,511</w:t>
            </w:r>
          </w:p>
        </w:tc>
        <w:tc>
          <w:tcPr>
            <w:tcW w:w="1877" w:type="dxa"/>
            <w:tcBorders>
              <w:top w:val="nil"/>
              <w:left w:val="nil"/>
              <w:bottom w:val="single" w:sz="4" w:space="0" w:color="5B9BD5"/>
              <w:right w:val="nil"/>
            </w:tcBorders>
            <w:noWrap/>
            <w:vAlign w:val="bottom"/>
            <w:hideMark/>
          </w:tcPr>
          <w:p w14:paraId="329A529F" w14:textId="57CDBABF" w:rsidR="004B537B" w:rsidRPr="00BE6B46" w:rsidRDefault="004B537B" w:rsidP="00BE6B46">
            <w:pPr>
              <w:spacing w:after="0" w:line="240" w:lineRule="auto"/>
              <w:jc w:val="center"/>
              <w:rPr>
                <w:rFonts w:asciiTheme="minorBidi" w:eastAsia="Times New Roman" w:hAnsiTheme="minorBidi"/>
                <w:b/>
                <w:bCs/>
                <w:color w:val="000000"/>
                <w:sz w:val="20"/>
                <w:szCs w:val="20"/>
                <w:rtl/>
              </w:rPr>
            </w:pPr>
            <w:r w:rsidRPr="00BE6B46">
              <w:rPr>
                <w:rFonts w:asciiTheme="minorBidi" w:hAnsiTheme="minorBidi"/>
                <w:b/>
                <w:bCs/>
                <w:color w:val="000000"/>
                <w:sz w:val="20"/>
                <w:szCs w:val="20"/>
              </w:rPr>
              <w:t>823</w:t>
            </w:r>
          </w:p>
        </w:tc>
        <w:tc>
          <w:tcPr>
            <w:tcW w:w="1877" w:type="dxa"/>
            <w:tcBorders>
              <w:top w:val="nil"/>
              <w:left w:val="nil"/>
              <w:bottom w:val="single" w:sz="4" w:space="0" w:color="5B9BD5"/>
              <w:right w:val="single" w:sz="4" w:space="0" w:color="5B9BD5"/>
            </w:tcBorders>
            <w:noWrap/>
            <w:vAlign w:val="bottom"/>
            <w:hideMark/>
          </w:tcPr>
          <w:p w14:paraId="6560695D" w14:textId="0A8221EF" w:rsidR="004B537B" w:rsidRPr="00BE6B46" w:rsidRDefault="004B537B" w:rsidP="00BE6B46">
            <w:pPr>
              <w:spacing w:after="0" w:line="240" w:lineRule="auto"/>
              <w:jc w:val="center"/>
              <w:rPr>
                <w:rFonts w:asciiTheme="minorBidi" w:eastAsia="Times New Roman" w:hAnsiTheme="minorBidi"/>
                <w:b/>
                <w:bCs/>
                <w:color w:val="000000"/>
                <w:sz w:val="20"/>
                <w:szCs w:val="20"/>
              </w:rPr>
            </w:pPr>
            <w:r w:rsidRPr="00BE6B46">
              <w:rPr>
                <w:rFonts w:asciiTheme="minorBidi" w:hAnsiTheme="minorBidi"/>
                <w:b/>
                <w:bCs/>
                <w:color w:val="000000"/>
                <w:sz w:val="20"/>
                <w:szCs w:val="20"/>
              </w:rPr>
              <w:t>3,334</w:t>
            </w:r>
          </w:p>
        </w:tc>
      </w:tr>
    </w:tbl>
    <w:p w14:paraId="6146597F" w14:textId="77777777" w:rsidR="00795EB4" w:rsidRPr="00BE6B46" w:rsidRDefault="00795EB4" w:rsidP="00BE6B46">
      <w:pPr>
        <w:tabs>
          <w:tab w:val="left" w:pos="978"/>
        </w:tabs>
        <w:spacing w:line="360" w:lineRule="auto"/>
        <w:jc w:val="both"/>
        <w:rPr>
          <w:rFonts w:asciiTheme="minorBidi" w:hAnsiTheme="minorBidi"/>
          <w:szCs w:val="24"/>
        </w:rPr>
      </w:pPr>
    </w:p>
    <w:p w14:paraId="310A0C41" w14:textId="55ACA773" w:rsidR="00543E46" w:rsidRPr="00BE6B46" w:rsidRDefault="00543E46"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t xml:space="preserve">The rescue of </w:t>
      </w:r>
      <w:r w:rsidR="00ED2D03" w:rsidRPr="00BE6B46">
        <w:rPr>
          <w:rFonts w:asciiTheme="minorBidi" w:hAnsiTheme="minorBidi"/>
          <w:szCs w:val="24"/>
        </w:rPr>
        <w:t xml:space="preserve">approximately </w:t>
      </w:r>
      <w:r w:rsidR="004B537B" w:rsidRPr="00BE6B46">
        <w:rPr>
          <w:rFonts w:asciiTheme="minorBidi" w:hAnsiTheme="minorBidi"/>
          <w:szCs w:val="24"/>
        </w:rPr>
        <w:t>5</w:t>
      </w:r>
      <w:r w:rsidR="00C41685" w:rsidRPr="00BE6B46">
        <w:rPr>
          <w:rFonts w:asciiTheme="minorBidi" w:hAnsiTheme="minorBidi"/>
          <w:szCs w:val="24"/>
        </w:rPr>
        <w:t>00 thousand</w:t>
      </w:r>
      <w:r w:rsidRPr="00BE6B46">
        <w:rPr>
          <w:rFonts w:asciiTheme="minorBidi" w:hAnsiTheme="minorBidi"/>
          <w:szCs w:val="24"/>
        </w:rPr>
        <w:t xml:space="preserve"> tons of wasted food each</w:t>
      </w:r>
      <w:r w:rsidR="006153BC" w:rsidRPr="00BE6B46">
        <w:rPr>
          <w:rFonts w:asciiTheme="minorBidi" w:hAnsiTheme="minorBidi"/>
          <w:szCs w:val="24"/>
        </w:rPr>
        <w:t xml:space="preserve"> </w:t>
      </w:r>
      <w:r w:rsidRPr="00BE6B46">
        <w:rPr>
          <w:rFonts w:asciiTheme="minorBidi" w:hAnsiTheme="minorBidi"/>
          <w:szCs w:val="24"/>
        </w:rPr>
        <w:t xml:space="preserve">year, </w:t>
      </w:r>
      <w:r w:rsidR="007E7E84" w:rsidRPr="00BE6B46">
        <w:rPr>
          <w:rFonts w:asciiTheme="minorBidi" w:hAnsiTheme="minorBidi"/>
          <w:szCs w:val="24"/>
        </w:rPr>
        <w:t>which constitute</w:t>
      </w:r>
      <w:r w:rsidRPr="00BE6B46">
        <w:rPr>
          <w:rFonts w:asciiTheme="minorBidi" w:hAnsiTheme="minorBidi"/>
          <w:szCs w:val="24"/>
        </w:rPr>
        <w:t xml:space="preserve"> </w:t>
      </w:r>
      <w:r w:rsidR="00C41685" w:rsidRPr="00BE6B46">
        <w:rPr>
          <w:rFonts w:asciiTheme="minorBidi" w:hAnsiTheme="minorBidi"/>
          <w:szCs w:val="24"/>
        </w:rPr>
        <w:t>about 2</w:t>
      </w:r>
      <w:r w:rsidR="004B537B" w:rsidRPr="00BE6B46">
        <w:rPr>
          <w:rFonts w:asciiTheme="minorBidi" w:hAnsiTheme="minorBidi"/>
          <w:szCs w:val="24"/>
        </w:rPr>
        <w:t>0</w:t>
      </w:r>
      <w:r w:rsidRPr="00BE6B46">
        <w:rPr>
          <w:rFonts w:asciiTheme="minorBidi" w:hAnsiTheme="minorBidi"/>
          <w:szCs w:val="24"/>
        </w:rPr>
        <w:t>% of overall food waste in Israel,</w:t>
      </w:r>
      <w:r w:rsidR="006153BC" w:rsidRPr="00BE6B46">
        <w:rPr>
          <w:rFonts w:asciiTheme="minorBidi" w:hAnsiTheme="minorBidi"/>
          <w:szCs w:val="24"/>
        </w:rPr>
        <w:t xml:space="preserve"> </w:t>
      </w:r>
      <w:r w:rsidRPr="00BE6B46">
        <w:rPr>
          <w:rFonts w:asciiTheme="minorBidi" w:hAnsiTheme="minorBidi"/>
          <w:szCs w:val="24"/>
        </w:rPr>
        <w:t xml:space="preserve">would </w:t>
      </w:r>
      <w:r w:rsidR="00C41685" w:rsidRPr="00BE6B46">
        <w:rPr>
          <w:rFonts w:asciiTheme="minorBidi" w:hAnsiTheme="minorBidi"/>
          <w:szCs w:val="24"/>
        </w:rPr>
        <w:t xml:space="preserve">enable </w:t>
      </w:r>
      <w:r w:rsidRPr="00BE6B46">
        <w:rPr>
          <w:rFonts w:asciiTheme="minorBidi" w:hAnsiTheme="minorBidi"/>
          <w:szCs w:val="24"/>
        </w:rPr>
        <w:t xml:space="preserve">the </w:t>
      </w:r>
      <w:r w:rsidR="00C41685" w:rsidRPr="00BE6B46">
        <w:rPr>
          <w:rFonts w:asciiTheme="minorBidi" w:hAnsiTheme="minorBidi"/>
          <w:szCs w:val="24"/>
        </w:rPr>
        <w:t>food ex</w:t>
      </w:r>
      <w:r w:rsidRPr="00BE6B46">
        <w:rPr>
          <w:rFonts w:asciiTheme="minorBidi" w:hAnsiTheme="minorBidi"/>
          <w:szCs w:val="24"/>
        </w:rPr>
        <w:t xml:space="preserve">penditure </w:t>
      </w:r>
      <w:r w:rsidR="00C41685" w:rsidRPr="00BE6B46">
        <w:rPr>
          <w:rFonts w:asciiTheme="minorBidi" w:hAnsiTheme="minorBidi"/>
          <w:szCs w:val="24"/>
        </w:rPr>
        <w:t xml:space="preserve">gap </w:t>
      </w:r>
      <w:r w:rsidRPr="00BE6B46">
        <w:rPr>
          <w:rFonts w:asciiTheme="minorBidi" w:hAnsiTheme="minorBidi"/>
          <w:szCs w:val="24"/>
        </w:rPr>
        <w:t>in Israel</w:t>
      </w:r>
      <w:r w:rsidR="007E7E84" w:rsidRPr="00BE6B46">
        <w:rPr>
          <w:rFonts w:asciiTheme="minorBidi" w:hAnsiTheme="minorBidi"/>
          <w:szCs w:val="24"/>
        </w:rPr>
        <w:t xml:space="preserve"> to be closed</w:t>
      </w:r>
      <w:r w:rsidRPr="00BE6B46">
        <w:rPr>
          <w:rFonts w:asciiTheme="minorBidi" w:hAnsiTheme="minorBidi"/>
          <w:szCs w:val="24"/>
        </w:rPr>
        <w:t>.</w:t>
      </w:r>
      <w:r w:rsidR="006153BC" w:rsidRPr="00BE6B46">
        <w:rPr>
          <w:rFonts w:asciiTheme="minorBidi" w:hAnsiTheme="minorBidi"/>
          <w:szCs w:val="24"/>
        </w:rPr>
        <w:t xml:space="preserve"> </w:t>
      </w:r>
      <w:r w:rsidRPr="00BE6B46">
        <w:rPr>
          <w:rFonts w:asciiTheme="minorBidi" w:hAnsiTheme="minorBidi"/>
          <w:szCs w:val="24"/>
        </w:rPr>
        <w:t xml:space="preserve">According to the </w:t>
      </w:r>
      <w:r w:rsidR="00C41685" w:rsidRPr="00BE6B46">
        <w:rPr>
          <w:rFonts w:asciiTheme="minorBidi" w:hAnsiTheme="minorBidi"/>
          <w:szCs w:val="24"/>
        </w:rPr>
        <w:t>estimates presented</w:t>
      </w:r>
      <w:r w:rsidRPr="00BE6B46">
        <w:rPr>
          <w:rFonts w:asciiTheme="minorBidi" w:hAnsiTheme="minorBidi"/>
          <w:szCs w:val="24"/>
        </w:rPr>
        <w:t xml:space="preserve"> in this report, </w:t>
      </w:r>
      <w:r w:rsidR="00C41685" w:rsidRPr="00BE6B46">
        <w:rPr>
          <w:rFonts w:asciiTheme="minorBidi" w:hAnsiTheme="minorBidi"/>
          <w:szCs w:val="24"/>
        </w:rPr>
        <w:t>it would cost about</w:t>
      </w:r>
      <w:r w:rsidRPr="00BE6B46">
        <w:rPr>
          <w:rFonts w:asciiTheme="minorBidi" w:hAnsiTheme="minorBidi"/>
          <w:szCs w:val="24"/>
        </w:rPr>
        <w:t xml:space="preserve"> NIS </w:t>
      </w:r>
      <w:r w:rsidR="004B537B" w:rsidRPr="00BE6B46">
        <w:rPr>
          <w:rFonts w:asciiTheme="minorBidi" w:hAnsiTheme="minorBidi"/>
          <w:szCs w:val="24"/>
        </w:rPr>
        <w:t>0.9</w:t>
      </w:r>
      <w:r w:rsidRPr="00BE6B46">
        <w:rPr>
          <w:rFonts w:asciiTheme="minorBidi" w:hAnsiTheme="minorBidi"/>
          <w:szCs w:val="24"/>
        </w:rPr>
        <w:t xml:space="preserve"> billion</w:t>
      </w:r>
      <w:r w:rsidR="00C41685" w:rsidRPr="00BE6B46">
        <w:rPr>
          <w:rFonts w:asciiTheme="minorBidi" w:hAnsiTheme="minorBidi"/>
          <w:szCs w:val="24"/>
        </w:rPr>
        <w:t xml:space="preserve"> to</w:t>
      </w:r>
      <w:r w:rsidRPr="00BE6B46">
        <w:rPr>
          <w:rFonts w:asciiTheme="minorBidi" w:hAnsiTheme="minorBidi"/>
          <w:szCs w:val="24"/>
        </w:rPr>
        <w:t xml:space="preserve"> rescue</w:t>
      </w:r>
      <w:r w:rsidR="006153BC" w:rsidRPr="00BE6B46">
        <w:rPr>
          <w:rFonts w:asciiTheme="minorBidi" w:hAnsiTheme="minorBidi"/>
          <w:szCs w:val="24"/>
        </w:rPr>
        <w:t xml:space="preserve"> </w:t>
      </w:r>
      <w:r w:rsidRPr="00BE6B46">
        <w:rPr>
          <w:rFonts w:asciiTheme="minorBidi" w:hAnsiTheme="minorBidi"/>
          <w:szCs w:val="24"/>
        </w:rPr>
        <w:t xml:space="preserve">food </w:t>
      </w:r>
      <w:r w:rsidR="007E7E84" w:rsidRPr="00BE6B46">
        <w:rPr>
          <w:rFonts w:asciiTheme="minorBidi" w:hAnsiTheme="minorBidi"/>
          <w:szCs w:val="24"/>
        </w:rPr>
        <w:t>valued at</w:t>
      </w:r>
      <w:r w:rsidRPr="00BE6B46">
        <w:rPr>
          <w:rFonts w:asciiTheme="minorBidi" w:hAnsiTheme="minorBidi"/>
          <w:szCs w:val="24"/>
        </w:rPr>
        <w:t xml:space="preserve"> </w:t>
      </w:r>
      <w:r w:rsidR="00C41685" w:rsidRPr="00BE6B46">
        <w:rPr>
          <w:rFonts w:asciiTheme="minorBidi" w:hAnsiTheme="minorBidi"/>
          <w:szCs w:val="24"/>
        </w:rPr>
        <w:t xml:space="preserve">about </w:t>
      </w:r>
      <w:r w:rsidRPr="00BE6B46">
        <w:rPr>
          <w:rFonts w:asciiTheme="minorBidi" w:hAnsiTheme="minorBidi"/>
          <w:szCs w:val="24"/>
        </w:rPr>
        <w:t>NIS 3.</w:t>
      </w:r>
      <w:r w:rsidR="004B537B" w:rsidRPr="00BE6B46">
        <w:rPr>
          <w:rFonts w:asciiTheme="minorBidi" w:hAnsiTheme="minorBidi"/>
          <w:szCs w:val="24"/>
        </w:rPr>
        <w:t>3</w:t>
      </w:r>
      <w:r w:rsidRPr="00BE6B46">
        <w:rPr>
          <w:rFonts w:asciiTheme="minorBidi" w:hAnsiTheme="minorBidi"/>
          <w:szCs w:val="24"/>
        </w:rPr>
        <w:t xml:space="preserve"> billion, </w:t>
      </w:r>
      <w:r w:rsidR="00C41685" w:rsidRPr="00BE6B46">
        <w:rPr>
          <w:rFonts w:asciiTheme="minorBidi" w:hAnsiTheme="minorBidi"/>
          <w:szCs w:val="24"/>
        </w:rPr>
        <w:t xml:space="preserve">which is </w:t>
      </w:r>
      <w:r w:rsidR="00F22FFD" w:rsidRPr="00BE6B46">
        <w:rPr>
          <w:rFonts w:asciiTheme="minorBidi" w:hAnsiTheme="minorBidi"/>
          <w:szCs w:val="24"/>
        </w:rPr>
        <w:t xml:space="preserve">the </w:t>
      </w:r>
      <w:r w:rsidR="007E7E84" w:rsidRPr="00BE6B46">
        <w:rPr>
          <w:rFonts w:asciiTheme="minorBidi" w:hAnsiTheme="minorBidi"/>
          <w:szCs w:val="24"/>
        </w:rPr>
        <w:t>total</w:t>
      </w:r>
      <w:r w:rsidR="00F22FFD" w:rsidRPr="00BE6B46">
        <w:rPr>
          <w:rFonts w:asciiTheme="minorBidi" w:hAnsiTheme="minorBidi"/>
          <w:szCs w:val="24"/>
        </w:rPr>
        <w:t xml:space="preserve"> </w:t>
      </w:r>
      <w:r w:rsidR="007E7E84" w:rsidRPr="00BE6B46">
        <w:rPr>
          <w:rFonts w:asciiTheme="minorBidi" w:hAnsiTheme="minorBidi"/>
          <w:szCs w:val="24"/>
        </w:rPr>
        <w:t xml:space="preserve">gap </w:t>
      </w:r>
      <w:r w:rsidR="00F22FFD" w:rsidRPr="00BE6B46">
        <w:rPr>
          <w:rFonts w:asciiTheme="minorBidi" w:hAnsiTheme="minorBidi"/>
          <w:szCs w:val="24"/>
        </w:rPr>
        <w:t>between</w:t>
      </w:r>
      <w:r w:rsidR="007E7E84" w:rsidRPr="00BE6B46">
        <w:rPr>
          <w:rFonts w:asciiTheme="minorBidi" w:hAnsiTheme="minorBidi"/>
          <w:szCs w:val="24"/>
        </w:rPr>
        <w:t xml:space="preserve"> the</w:t>
      </w:r>
      <w:r w:rsidR="00F22FFD" w:rsidRPr="00BE6B46">
        <w:rPr>
          <w:rFonts w:asciiTheme="minorBidi" w:hAnsiTheme="minorBidi"/>
          <w:szCs w:val="24"/>
        </w:rPr>
        <w:t xml:space="preserve"> food</w:t>
      </w:r>
      <w:r w:rsidRPr="00BE6B46">
        <w:rPr>
          <w:rFonts w:asciiTheme="minorBidi" w:hAnsiTheme="minorBidi"/>
          <w:szCs w:val="24"/>
        </w:rPr>
        <w:t xml:space="preserve"> </w:t>
      </w:r>
      <w:r w:rsidR="007E7E84" w:rsidRPr="00BE6B46">
        <w:rPr>
          <w:rFonts w:asciiTheme="minorBidi" w:hAnsiTheme="minorBidi"/>
          <w:szCs w:val="24"/>
        </w:rPr>
        <w:t xml:space="preserve">expenditure of </w:t>
      </w:r>
      <w:r w:rsidRPr="00BE6B46">
        <w:rPr>
          <w:rFonts w:asciiTheme="minorBidi" w:hAnsiTheme="minorBidi"/>
          <w:szCs w:val="24"/>
        </w:rPr>
        <w:t>insecure populations and</w:t>
      </w:r>
      <w:r w:rsidR="006153BC" w:rsidRPr="00BE6B46">
        <w:rPr>
          <w:rFonts w:asciiTheme="minorBidi" w:hAnsiTheme="minorBidi"/>
          <w:szCs w:val="24"/>
        </w:rPr>
        <w:t xml:space="preserve"> </w:t>
      </w:r>
      <w:r w:rsidR="00F22FFD" w:rsidRPr="00BE6B46">
        <w:rPr>
          <w:rFonts w:asciiTheme="minorBidi" w:hAnsiTheme="minorBidi"/>
          <w:szCs w:val="24"/>
        </w:rPr>
        <w:t xml:space="preserve">the </w:t>
      </w:r>
      <w:r w:rsidRPr="00BE6B46">
        <w:rPr>
          <w:rFonts w:asciiTheme="minorBidi" w:hAnsiTheme="minorBidi"/>
          <w:szCs w:val="24"/>
        </w:rPr>
        <w:t xml:space="preserve">normative </w:t>
      </w:r>
      <w:r w:rsidR="007E7E84" w:rsidRPr="00BE6B46">
        <w:rPr>
          <w:rFonts w:asciiTheme="minorBidi" w:hAnsiTheme="minorBidi"/>
          <w:szCs w:val="24"/>
        </w:rPr>
        <w:t xml:space="preserve">food </w:t>
      </w:r>
      <w:r w:rsidRPr="00BE6B46">
        <w:rPr>
          <w:rFonts w:asciiTheme="minorBidi" w:hAnsiTheme="minorBidi"/>
          <w:szCs w:val="24"/>
        </w:rPr>
        <w:t>expenditure level. At the same time, it</w:t>
      </w:r>
      <w:r w:rsidR="006153BC" w:rsidRPr="00BE6B46">
        <w:rPr>
          <w:rFonts w:asciiTheme="minorBidi" w:hAnsiTheme="minorBidi"/>
          <w:szCs w:val="24"/>
        </w:rPr>
        <w:t xml:space="preserve"> </w:t>
      </w:r>
      <w:r w:rsidR="00F22FFD" w:rsidRPr="00BE6B46">
        <w:rPr>
          <w:rFonts w:asciiTheme="minorBidi" w:hAnsiTheme="minorBidi"/>
          <w:szCs w:val="24"/>
        </w:rPr>
        <w:t xml:space="preserve">would save </w:t>
      </w:r>
      <w:r w:rsidRPr="00BE6B46">
        <w:rPr>
          <w:rFonts w:asciiTheme="minorBidi" w:hAnsiTheme="minorBidi"/>
          <w:szCs w:val="24"/>
        </w:rPr>
        <w:t xml:space="preserve">about </w:t>
      </w:r>
      <w:r w:rsidR="004B537B" w:rsidRPr="00BE6B46">
        <w:rPr>
          <w:rFonts w:asciiTheme="minorBidi" w:hAnsiTheme="minorBidi"/>
          <w:szCs w:val="24"/>
        </w:rPr>
        <w:t>80</w:t>
      </w:r>
      <w:r w:rsidR="00F22FFD" w:rsidRPr="00BE6B46">
        <w:rPr>
          <w:rFonts w:asciiTheme="minorBidi" w:hAnsiTheme="minorBidi"/>
          <w:szCs w:val="24"/>
        </w:rPr>
        <w:t xml:space="preserve"> million cubic meters of water,</w:t>
      </w:r>
      <w:r w:rsidR="006153BC" w:rsidRPr="00BE6B46">
        <w:rPr>
          <w:rFonts w:asciiTheme="minorBidi" w:hAnsiTheme="minorBidi"/>
          <w:szCs w:val="24"/>
        </w:rPr>
        <w:t xml:space="preserve"> </w:t>
      </w:r>
      <w:r w:rsidR="004B537B" w:rsidRPr="00BE6B46">
        <w:rPr>
          <w:rFonts w:asciiTheme="minorBidi" w:hAnsiTheme="minorBidi"/>
          <w:szCs w:val="24"/>
        </w:rPr>
        <w:t>26</w:t>
      </w:r>
      <w:r w:rsidRPr="00BE6B46">
        <w:rPr>
          <w:rFonts w:asciiTheme="minorBidi" w:hAnsiTheme="minorBidi"/>
          <w:szCs w:val="24"/>
        </w:rPr>
        <w:t xml:space="preserve">0 million kWh of electricity, </w:t>
      </w:r>
      <w:r w:rsidR="004B537B" w:rsidRPr="00BE6B46">
        <w:rPr>
          <w:rFonts w:asciiTheme="minorBidi" w:hAnsiTheme="minorBidi"/>
          <w:szCs w:val="24"/>
        </w:rPr>
        <w:t xml:space="preserve">approximately 15 </w:t>
      </w:r>
      <w:r w:rsidRPr="00BE6B46">
        <w:rPr>
          <w:rFonts w:asciiTheme="minorBidi" w:hAnsiTheme="minorBidi"/>
          <w:szCs w:val="24"/>
        </w:rPr>
        <w:t>thousand tons</w:t>
      </w:r>
      <w:r w:rsidR="006153BC" w:rsidRPr="00BE6B46">
        <w:rPr>
          <w:rFonts w:asciiTheme="minorBidi" w:hAnsiTheme="minorBidi"/>
          <w:szCs w:val="24"/>
        </w:rPr>
        <w:t xml:space="preserve"> </w:t>
      </w:r>
      <w:r w:rsidRPr="00BE6B46">
        <w:rPr>
          <w:rFonts w:asciiTheme="minorBidi" w:hAnsiTheme="minorBidi"/>
          <w:szCs w:val="24"/>
        </w:rPr>
        <w:t xml:space="preserve">of fuel, about NIS </w:t>
      </w:r>
      <w:r w:rsidR="00A54877" w:rsidRPr="00BE6B46">
        <w:rPr>
          <w:rFonts w:asciiTheme="minorBidi" w:hAnsiTheme="minorBidi"/>
          <w:szCs w:val="24"/>
        </w:rPr>
        <w:t>29</w:t>
      </w:r>
      <w:r w:rsidR="00F22FFD" w:rsidRPr="00BE6B46">
        <w:rPr>
          <w:rFonts w:asciiTheme="minorBidi" w:hAnsiTheme="minorBidi"/>
          <w:szCs w:val="24"/>
        </w:rPr>
        <w:t>0</w:t>
      </w:r>
      <w:r w:rsidRPr="00BE6B46">
        <w:rPr>
          <w:rFonts w:asciiTheme="minorBidi" w:hAnsiTheme="minorBidi"/>
          <w:szCs w:val="24"/>
        </w:rPr>
        <w:t xml:space="preserve"> million as a result of reducing</w:t>
      </w:r>
      <w:r w:rsidR="006153BC" w:rsidRPr="00BE6B46">
        <w:rPr>
          <w:rFonts w:asciiTheme="minorBidi" w:hAnsiTheme="minorBidi"/>
          <w:szCs w:val="24"/>
        </w:rPr>
        <w:t xml:space="preserve"> </w:t>
      </w:r>
      <w:r w:rsidR="00F22FFD" w:rsidRPr="00BE6B46">
        <w:rPr>
          <w:rFonts w:asciiTheme="minorBidi" w:hAnsiTheme="minorBidi"/>
          <w:szCs w:val="24"/>
        </w:rPr>
        <w:t>greenhouse gas</w:t>
      </w:r>
      <w:r w:rsidRPr="00BE6B46">
        <w:rPr>
          <w:rFonts w:asciiTheme="minorBidi" w:hAnsiTheme="minorBidi"/>
          <w:szCs w:val="24"/>
        </w:rPr>
        <w:t xml:space="preserve"> and air pollutant emissions, and another NIS</w:t>
      </w:r>
      <w:r w:rsidR="006153BC" w:rsidRPr="00BE6B46">
        <w:rPr>
          <w:rFonts w:asciiTheme="minorBidi" w:hAnsiTheme="minorBidi"/>
          <w:szCs w:val="24"/>
        </w:rPr>
        <w:t xml:space="preserve"> </w:t>
      </w:r>
      <w:r w:rsidR="00A54877" w:rsidRPr="00BE6B46">
        <w:rPr>
          <w:rFonts w:asciiTheme="minorBidi" w:hAnsiTheme="minorBidi"/>
          <w:szCs w:val="24"/>
        </w:rPr>
        <w:t>17</w:t>
      </w:r>
      <w:r w:rsidRPr="00BE6B46">
        <w:rPr>
          <w:rFonts w:asciiTheme="minorBidi" w:hAnsiTheme="minorBidi"/>
          <w:szCs w:val="24"/>
        </w:rPr>
        <w:t xml:space="preserve">0 million </w:t>
      </w:r>
      <w:r w:rsidR="00F22FFD" w:rsidRPr="00BE6B46">
        <w:rPr>
          <w:rFonts w:asciiTheme="minorBidi" w:hAnsiTheme="minorBidi"/>
          <w:szCs w:val="24"/>
        </w:rPr>
        <w:t>as a result of</w:t>
      </w:r>
      <w:r w:rsidRPr="00BE6B46">
        <w:rPr>
          <w:rFonts w:asciiTheme="minorBidi" w:hAnsiTheme="minorBidi"/>
          <w:szCs w:val="24"/>
        </w:rPr>
        <w:t xml:space="preserve"> reducing waste treatment costs.</w:t>
      </w:r>
    </w:p>
    <w:p w14:paraId="5BA0BFB7" w14:textId="40E7C09F" w:rsidR="002D2C6F" w:rsidRPr="00BE6B46" w:rsidRDefault="002D2C6F" w:rsidP="00BE6B46">
      <w:pPr>
        <w:rPr>
          <w:rFonts w:asciiTheme="minorBidi" w:hAnsiTheme="minorBidi"/>
          <w:szCs w:val="24"/>
        </w:rPr>
      </w:pPr>
      <w:r w:rsidRPr="00BE6B46">
        <w:rPr>
          <w:rFonts w:asciiTheme="minorBidi" w:hAnsiTheme="minorBidi"/>
          <w:szCs w:val="24"/>
        </w:rPr>
        <w:br w:type="page"/>
      </w:r>
    </w:p>
    <w:p w14:paraId="11AA2F8F" w14:textId="66A9B40A" w:rsidR="002D2C6F" w:rsidRPr="00BE6B46" w:rsidRDefault="002D2C6F" w:rsidP="00BE6B46">
      <w:pPr>
        <w:pStyle w:val="Heading1"/>
        <w:numPr>
          <w:ilvl w:val="0"/>
          <w:numId w:val="14"/>
        </w:numPr>
        <w:rPr>
          <w:rFonts w:asciiTheme="minorBidi" w:hAnsiTheme="minorBidi" w:cstheme="minorBidi"/>
        </w:rPr>
      </w:pPr>
      <w:r w:rsidRPr="00BE6B46">
        <w:rPr>
          <w:rFonts w:asciiTheme="minorBidi" w:hAnsiTheme="minorBidi" w:cstheme="minorBidi"/>
        </w:rPr>
        <w:lastRenderedPageBreak/>
        <w:t>Food Rescue: Potential Savings for the National Economy</w:t>
      </w:r>
    </w:p>
    <w:p w14:paraId="48EF3B05" w14:textId="5FFA160D" w:rsidR="002D2C6F" w:rsidRPr="00BE6B46" w:rsidRDefault="002D2C6F" w:rsidP="00BE6B46">
      <w:pPr>
        <w:spacing w:line="360" w:lineRule="auto"/>
        <w:jc w:val="both"/>
        <w:rPr>
          <w:rFonts w:asciiTheme="minorBidi" w:hAnsiTheme="minorBidi"/>
          <w:b/>
          <w:bCs/>
          <w:szCs w:val="24"/>
        </w:rPr>
      </w:pPr>
      <w:r w:rsidRPr="00BE6B46">
        <w:rPr>
          <w:rFonts w:asciiTheme="minorBidi" w:hAnsiTheme="minorBidi"/>
          <w:b/>
          <w:bCs/>
          <w:szCs w:val="24"/>
        </w:rPr>
        <w:t xml:space="preserve">Food rescue has a savings potential of about NIS 5 billion for the national economy // Rescuing approximately </w:t>
      </w:r>
      <w:r w:rsidRPr="00BE6B46">
        <w:rPr>
          <w:rFonts w:asciiTheme="minorBidi" w:hAnsiTheme="minorBidi"/>
          <w:b/>
          <w:bCs/>
          <w:szCs w:val="24"/>
        </w:rPr>
        <w:t>5</w:t>
      </w:r>
      <w:r w:rsidRPr="00BE6B46">
        <w:rPr>
          <w:rFonts w:asciiTheme="minorBidi" w:hAnsiTheme="minorBidi"/>
          <w:b/>
          <w:bCs/>
          <w:szCs w:val="24"/>
        </w:rPr>
        <w:t>00 thousand tons of wasted food, which constitute about 2</w:t>
      </w:r>
      <w:r w:rsidRPr="00BE6B46">
        <w:rPr>
          <w:rFonts w:asciiTheme="minorBidi" w:hAnsiTheme="minorBidi"/>
          <w:b/>
          <w:bCs/>
          <w:szCs w:val="24"/>
        </w:rPr>
        <w:t>0</w:t>
      </w:r>
      <w:r w:rsidRPr="00BE6B46">
        <w:rPr>
          <w:rFonts w:asciiTheme="minorBidi" w:hAnsiTheme="minorBidi"/>
          <w:b/>
          <w:bCs/>
          <w:szCs w:val="24"/>
        </w:rPr>
        <w:t xml:space="preserve">% of overall food waste, would </w:t>
      </w:r>
      <w:r w:rsidR="00BE6B46">
        <w:rPr>
          <w:rFonts w:asciiTheme="minorBidi" w:hAnsiTheme="minorBidi"/>
          <w:b/>
          <w:bCs/>
          <w:szCs w:val="24"/>
        </w:rPr>
        <w:t xml:space="preserve">allow complete closure of </w:t>
      </w:r>
      <w:r w:rsidRPr="00BE6B46">
        <w:rPr>
          <w:rFonts w:asciiTheme="minorBidi" w:hAnsiTheme="minorBidi"/>
          <w:b/>
          <w:bCs/>
          <w:szCs w:val="24"/>
        </w:rPr>
        <w:t>the food expenditure gap in Israel.</w:t>
      </w:r>
    </w:p>
    <w:p w14:paraId="1CB7FFE4" w14:textId="374F8ECC" w:rsidR="002D2C6F" w:rsidRPr="00BE6B46" w:rsidRDefault="002D2C6F"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t xml:space="preserve">Rescuing around </w:t>
      </w:r>
      <w:r w:rsidRPr="00BE6B46">
        <w:rPr>
          <w:rFonts w:asciiTheme="minorBidi" w:hAnsiTheme="minorBidi"/>
          <w:szCs w:val="24"/>
        </w:rPr>
        <w:t>5</w:t>
      </w:r>
      <w:r w:rsidRPr="00BE6B46">
        <w:rPr>
          <w:rFonts w:asciiTheme="minorBidi" w:hAnsiTheme="minorBidi"/>
          <w:szCs w:val="24"/>
        </w:rPr>
        <w:t>00 thousand tons of wasted food annually, which constitute around 2</w:t>
      </w:r>
      <w:r w:rsidRPr="00BE6B46">
        <w:rPr>
          <w:rFonts w:asciiTheme="minorBidi" w:hAnsiTheme="minorBidi"/>
          <w:szCs w:val="24"/>
        </w:rPr>
        <w:t>0</w:t>
      </w:r>
      <w:r w:rsidRPr="00BE6B46">
        <w:rPr>
          <w:rFonts w:asciiTheme="minorBidi" w:hAnsiTheme="minorBidi"/>
          <w:szCs w:val="24"/>
        </w:rPr>
        <w:t xml:space="preserve">% of food waste in Israel, would enable the food insecurity gap between the general population’s normative food expenditure and that of those suffering from food insecurity to be entirely closed. According to </w:t>
      </w:r>
      <w:proofErr w:type="spellStart"/>
      <w:r w:rsidRPr="00BE6B46">
        <w:rPr>
          <w:rFonts w:asciiTheme="minorBidi" w:hAnsiTheme="minorBidi"/>
          <w:szCs w:val="24"/>
        </w:rPr>
        <w:t>BDO</w:t>
      </w:r>
      <w:proofErr w:type="spellEnd"/>
      <w:r w:rsidRPr="00BE6B46">
        <w:rPr>
          <w:rFonts w:asciiTheme="minorBidi" w:hAnsiTheme="minorBidi"/>
          <w:szCs w:val="24"/>
        </w:rPr>
        <w:t xml:space="preserve"> and </w:t>
      </w:r>
      <w:proofErr w:type="spellStart"/>
      <w:r w:rsidRPr="00BE6B46">
        <w:rPr>
          <w:rFonts w:asciiTheme="minorBidi" w:hAnsiTheme="minorBidi"/>
          <w:szCs w:val="24"/>
        </w:rPr>
        <w:t>Leket</w:t>
      </w:r>
      <w:proofErr w:type="spellEnd"/>
      <w:r w:rsidRPr="00BE6B46">
        <w:rPr>
          <w:rFonts w:asciiTheme="minorBidi" w:hAnsiTheme="minorBidi"/>
          <w:szCs w:val="24"/>
        </w:rPr>
        <w:t xml:space="preserve"> Israel estimates, the current rescue multiplier is 3.6, and when taking into account greenhouse gas and air pollutant emissions as well as waste treatment costs, the rescue multiplier rises to 4.</w:t>
      </w:r>
      <w:r w:rsidRPr="00BE6B46">
        <w:rPr>
          <w:rFonts w:asciiTheme="minorBidi" w:hAnsiTheme="minorBidi"/>
          <w:szCs w:val="24"/>
        </w:rPr>
        <w:t>3</w:t>
      </w:r>
      <w:r w:rsidRPr="00BE6B46">
        <w:rPr>
          <w:rFonts w:asciiTheme="minorBidi" w:hAnsiTheme="minorBidi"/>
          <w:szCs w:val="24"/>
        </w:rPr>
        <w:t>. This means that every shekel spent on food rescue saves food worth NIS 3.6 or NIS 4.</w:t>
      </w:r>
      <w:r w:rsidRPr="00BE6B46">
        <w:rPr>
          <w:rFonts w:asciiTheme="minorBidi" w:hAnsiTheme="minorBidi"/>
          <w:szCs w:val="24"/>
        </w:rPr>
        <w:t>3</w:t>
      </w:r>
      <w:r w:rsidRPr="00BE6B46">
        <w:rPr>
          <w:rFonts w:asciiTheme="minorBidi" w:hAnsiTheme="minorBidi"/>
          <w:szCs w:val="24"/>
        </w:rPr>
        <w:t xml:space="preserve">, respectively. Based on these multipliers, it would cost only NIS </w:t>
      </w:r>
      <w:r w:rsidRPr="00BE6B46">
        <w:rPr>
          <w:rFonts w:asciiTheme="minorBidi" w:hAnsiTheme="minorBidi"/>
          <w:szCs w:val="24"/>
        </w:rPr>
        <w:t>0.9</w:t>
      </w:r>
      <w:r w:rsidRPr="00BE6B46">
        <w:rPr>
          <w:rFonts w:asciiTheme="minorBidi" w:hAnsiTheme="minorBidi"/>
          <w:szCs w:val="24"/>
        </w:rPr>
        <w:t xml:space="preserve"> billion to rescue food worth NIS 3.</w:t>
      </w:r>
      <w:r w:rsidRPr="00BE6B46">
        <w:rPr>
          <w:rFonts w:asciiTheme="minorBidi" w:hAnsiTheme="minorBidi"/>
          <w:szCs w:val="24"/>
        </w:rPr>
        <w:t>3</w:t>
      </w:r>
      <w:r w:rsidRPr="00BE6B46">
        <w:rPr>
          <w:rFonts w:asciiTheme="minorBidi" w:hAnsiTheme="minorBidi"/>
          <w:szCs w:val="24"/>
        </w:rPr>
        <w:t xml:space="preserve"> billion</w:t>
      </w:r>
      <w:r w:rsidR="00BE6B46">
        <w:rPr>
          <w:rFonts w:asciiTheme="minorBidi" w:hAnsiTheme="minorBidi"/>
          <w:szCs w:val="24"/>
        </w:rPr>
        <w:t>.</w:t>
      </w:r>
      <w:r w:rsidRPr="00BE6B46">
        <w:rPr>
          <w:rStyle w:val="FootnoteReference"/>
          <w:rFonts w:asciiTheme="minorBidi" w:hAnsiTheme="minorBidi"/>
          <w:szCs w:val="24"/>
        </w:rPr>
        <w:footnoteReference w:id="4"/>
      </w:r>
      <w:r w:rsidRPr="00BE6B46">
        <w:rPr>
          <w:rFonts w:asciiTheme="minorBidi" w:hAnsiTheme="minorBidi"/>
          <w:szCs w:val="24"/>
        </w:rPr>
        <w:t xml:space="preserve"> </w:t>
      </w:r>
      <w:r w:rsidR="00BE6B46" w:rsidRPr="00BE6B46">
        <w:rPr>
          <w:rFonts w:asciiTheme="minorBidi" w:hAnsiTheme="minorBidi"/>
          <w:szCs w:val="24"/>
        </w:rPr>
        <w:t xml:space="preserve">Food </w:t>
      </w:r>
      <w:r w:rsidRPr="00BE6B46">
        <w:rPr>
          <w:rFonts w:asciiTheme="minorBidi" w:hAnsiTheme="minorBidi"/>
          <w:szCs w:val="24"/>
        </w:rPr>
        <w:t xml:space="preserve">worth </w:t>
      </w:r>
      <w:r w:rsidRPr="00BE6B46">
        <w:rPr>
          <w:rFonts w:asciiTheme="minorBidi" w:hAnsiTheme="minorBidi"/>
          <w:szCs w:val="24"/>
        </w:rPr>
        <w:t>NIS 3.</w:t>
      </w:r>
      <w:r w:rsidRPr="00BE6B46">
        <w:rPr>
          <w:rFonts w:asciiTheme="minorBidi" w:hAnsiTheme="minorBidi"/>
          <w:szCs w:val="24"/>
        </w:rPr>
        <w:t>3</w:t>
      </w:r>
      <w:r w:rsidRPr="00BE6B46">
        <w:rPr>
          <w:rFonts w:asciiTheme="minorBidi" w:hAnsiTheme="minorBidi"/>
          <w:szCs w:val="24"/>
        </w:rPr>
        <w:t xml:space="preserve"> billion equals the value of the entire food expenditure gap that exists between the </w:t>
      </w:r>
      <w:r w:rsidRPr="00BE6B46">
        <w:rPr>
          <w:rFonts w:asciiTheme="minorBidi" w:hAnsiTheme="minorBidi"/>
          <w:szCs w:val="24"/>
        </w:rPr>
        <w:t xml:space="preserve">population living with </w:t>
      </w:r>
      <w:r w:rsidRPr="00BE6B46">
        <w:rPr>
          <w:rFonts w:asciiTheme="minorBidi" w:hAnsiTheme="minorBidi"/>
          <w:szCs w:val="24"/>
        </w:rPr>
        <w:t>food-insecur</w:t>
      </w:r>
      <w:r w:rsidRPr="00BE6B46">
        <w:rPr>
          <w:rFonts w:asciiTheme="minorBidi" w:hAnsiTheme="minorBidi"/>
          <w:szCs w:val="24"/>
        </w:rPr>
        <w:t xml:space="preserve">ity </w:t>
      </w:r>
      <w:r w:rsidRPr="00BE6B46">
        <w:rPr>
          <w:rFonts w:asciiTheme="minorBidi" w:hAnsiTheme="minorBidi"/>
          <w:szCs w:val="24"/>
        </w:rPr>
        <w:t>and the normative consumption level.</w:t>
      </w:r>
    </w:p>
    <w:p w14:paraId="59E095D5" w14:textId="77777777" w:rsidR="002D2C6F" w:rsidRPr="00BE6B46" w:rsidRDefault="002D2C6F" w:rsidP="00BE6B46">
      <w:pPr>
        <w:autoSpaceDE w:val="0"/>
        <w:autoSpaceDN w:val="0"/>
        <w:adjustRightInd w:val="0"/>
        <w:spacing w:after="0" w:line="360" w:lineRule="auto"/>
        <w:jc w:val="both"/>
        <w:rPr>
          <w:rFonts w:asciiTheme="minorBidi" w:hAnsiTheme="minorBidi"/>
          <w:szCs w:val="24"/>
        </w:rPr>
      </w:pPr>
    </w:p>
    <w:p w14:paraId="17E0FB93" w14:textId="7E500D94" w:rsidR="002D2C6F" w:rsidRPr="00BE6B46" w:rsidRDefault="002D2C6F" w:rsidP="00BE6B46">
      <w:pPr>
        <w:autoSpaceDE w:val="0"/>
        <w:autoSpaceDN w:val="0"/>
        <w:adjustRightInd w:val="0"/>
        <w:spacing w:after="0" w:line="360" w:lineRule="auto"/>
        <w:jc w:val="both"/>
        <w:rPr>
          <w:rFonts w:asciiTheme="minorBidi" w:hAnsiTheme="minorBidi"/>
          <w:b/>
          <w:bCs/>
          <w:szCs w:val="24"/>
        </w:rPr>
      </w:pPr>
      <w:r w:rsidRPr="00BE6B46">
        <w:rPr>
          <w:rFonts w:asciiTheme="minorBidi" w:hAnsiTheme="minorBidi"/>
          <w:szCs w:val="24"/>
        </w:rPr>
        <w:t>Without food rescue, an annual cost of NIS 3.</w:t>
      </w:r>
      <w:r w:rsidR="006C5665" w:rsidRPr="00BE6B46">
        <w:rPr>
          <w:rFonts w:asciiTheme="minorBidi" w:hAnsiTheme="minorBidi"/>
          <w:szCs w:val="24"/>
        </w:rPr>
        <w:t>3</w:t>
      </w:r>
      <w:r w:rsidRPr="00BE6B46">
        <w:rPr>
          <w:rFonts w:asciiTheme="minorBidi" w:hAnsiTheme="minorBidi"/>
          <w:szCs w:val="24"/>
        </w:rPr>
        <w:t xml:space="preserve"> billion in financial aid would be required to close this gap completely. Hence, food rescue is clearly preferable to the alternatives</w:t>
      </w:r>
      <w:r w:rsidRPr="00BE6B46">
        <w:rPr>
          <w:rFonts w:asciiTheme="minorBidi" w:hAnsiTheme="minorBidi"/>
          <w:szCs w:val="24"/>
          <w:lang w:val="en-GB"/>
        </w:rPr>
        <w:t xml:space="preserve"> of government stipends, donations, subsidizes or financial aid for the needy as a means of bridging the </w:t>
      </w:r>
      <w:r w:rsidRPr="00BE6B46">
        <w:rPr>
          <w:rFonts w:asciiTheme="minorBidi" w:hAnsiTheme="minorBidi"/>
          <w:szCs w:val="24"/>
        </w:rPr>
        <w:t xml:space="preserve">food insecurity gap. Food rescue makes it possible to reach the same social goal at the significantly lower cost of approximately NIS </w:t>
      </w:r>
      <w:r w:rsidR="006C5665" w:rsidRPr="00BE6B46">
        <w:rPr>
          <w:rFonts w:asciiTheme="minorBidi" w:hAnsiTheme="minorBidi"/>
          <w:szCs w:val="24"/>
        </w:rPr>
        <w:t>0.9</w:t>
      </w:r>
      <w:r w:rsidRPr="00BE6B46">
        <w:rPr>
          <w:rFonts w:asciiTheme="minorBidi" w:hAnsiTheme="minorBidi"/>
          <w:szCs w:val="24"/>
        </w:rPr>
        <w:t xml:space="preserve"> billion annually. In other words, </w:t>
      </w:r>
      <w:r w:rsidRPr="00BE6B46">
        <w:rPr>
          <w:rFonts w:asciiTheme="minorBidi" w:hAnsiTheme="minorBidi"/>
          <w:b/>
          <w:bCs/>
          <w:szCs w:val="24"/>
        </w:rPr>
        <w:t>food rescue bridges the food insecurity gap while cutting costs by 7</w:t>
      </w:r>
      <w:r w:rsidR="006C5665" w:rsidRPr="00BE6B46">
        <w:rPr>
          <w:rFonts w:asciiTheme="minorBidi" w:hAnsiTheme="minorBidi"/>
          <w:b/>
          <w:bCs/>
          <w:szCs w:val="24"/>
        </w:rPr>
        <w:t>3</w:t>
      </w:r>
      <w:r w:rsidRPr="00BE6B46">
        <w:rPr>
          <w:rFonts w:asciiTheme="minorBidi" w:hAnsiTheme="minorBidi"/>
          <w:b/>
          <w:bCs/>
          <w:szCs w:val="24"/>
        </w:rPr>
        <w:t>% and provides significant social and environmental benefits.</w:t>
      </w:r>
    </w:p>
    <w:p w14:paraId="2D1FFF29" w14:textId="77777777" w:rsidR="002D2C6F" w:rsidRPr="00BE6B46" w:rsidRDefault="002D2C6F" w:rsidP="00BE6B46">
      <w:pPr>
        <w:autoSpaceDE w:val="0"/>
        <w:autoSpaceDN w:val="0"/>
        <w:adjustRightInd w:val="0"/>
        <w:spacing w:after="0" w:line="360" w:lineRule="auto"/>
        <w:jc w:val="both"/>
        <w:rPr>
          <w:rFonts w:asciiTheme="minorBidi" w:hAnsiTheme="minorBidi"/>
          <w:szCs w:val="24"/>
        </w:rPr>
      </w:pPr>
    </w:p>
    <w:p w14:paraId="27C47928" w14:textId="77777777" w:rsidR="006C5665" w:rsidRPr="00BE6B46" w:rsidRDefault="006C5665" w:rsidP="00BE6B46">
      <w:pPr>
        <w:rPr>
          <w:rFonts w:asciiTheme="minorBidi" w:hAnsiTheme="minorBidi"/>
          <w:b/>
          <w:bCs/>
          <w:szCs w:val="24"/>
        </w:rPr>
      </w:pPr>
      <w:r w:rsidRPr="00BE6B46">
        <w:rPr>
          <w:rFonts w:asciiTheme="minorBidi" w:hAnsiTheme="minorBidi"/>
          <w:b/>
          <w:bCs/>
          <w:szCs w:val="24"/>
        </w:rPr>
        <w:br w:type="page"/>
      </w:r>
    </w:p>
    <w:p w14:paraId="3F8C89AF" w14:textId="6025DE0D" w:rsidR="002D2C6F" w:rsidRPr="00BE6B46" w:rsidRDefault="002D2C6F"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lastRenderedPageBreak/>
        <w:t>Food Rescue: Summary of Estimated Savings for the National Economy</w:t>
      </w:r>
    </w:p>
    <w:p w14:paraId="0D8AC47C" w14:textId="77777777" w:rsidR="002D2C6F" w:rsidRPr="00BE6B46" w:rsidRDefault="002D2C6F" w:rsidP="00BE6B46">
      <w:pPr>
        <w:autoSpaceDE w:val="0"/>
        <w:autoSpaceDN w:val="0"/>
        <w:adjustRightInd w:val="0"/>
        <w:spacing w:after="0" w:line="360" w:lineRule="auto"/>
        <w:jc w:val="center"/>
        <w:rPr>
          <w:rFonts w:asciiTheme="minorBidi" w:hAnsiTheme="minorBidi"/>
          <w:szCs w:val="24"/>
        </w:rPr>
      </w:pPr>
      <w:r w:rsidRPr="00BE6B46">
        <w:rPr>
          <w:rFonts w:asciiTheme="minorBidi" w:hAnsiTheme="minorBidi"/>
          <w:szCs w:val="24"/>
        </w:rPr>
        <w:t>In Millions of NIS/Year</w:t>
      </w:r>
    </w:p>
    <w:tbl>
      <w:tblPr>
        <w:tblStyle w:val="MediumShading1-Accent1"/>
        <w:tblW w:w="9242" w:type="dxa"/>
        <w:tblInd w:w="210" w:type="dxa"/>
        <w:tblLayout w:type="fixed"/>
        <w:tblLook w:val="04A0" w:firstRow="1" w:lastRow="0" w:firstColumn="1" w:lastColumn="0" w:noHBand="0" w:noVBand="1"/>
      </w:tblPr>
      <w:tblGrid>
        <w:gridCol w:w="3644"/>
        <w:gridCol w:w="1446"/>
        <w:gridCol w:w="1353"/>
        <w:gridCol w:w="1399"/>
        <w:gridCol w:w="1400"/>
      </w:tblGrid>
      <w:tr w:rsidR="002D2C6F" w:rsidRPr="00BE6B46" w14:paraId="2E4A552A" w14:textId="77777777" w:rsidTr="00E61D6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44" w:type="dxa"/>
            <w:vAlign w:val="center"/>
            <w:hideMark/>
          </w:tcPr>
          <w:p w14:paraId="1FA08E95" w14:textId="77777777" w:rsidR="002D2C6F" w:rsidRPr="00BE6B46" w:rsidRDefault="002D2C6F" w:rsidP="00BE6B46">
            <w:pPr>
              <w:jc w:val="center"/>
              <w:rPr>
                <w:rFonts w:asciiTheme="minorBidi" w:hAnsiTheme="minorBidi"/>
                <w:sz w:val="20"/>
                <w:szCs w:val="20"/>
                <w:rtl/>
              </w:rPr>
            </w:pPr>
            <w:r w:rsidRPr="00BE6B46">
              <w:rPr>
                <w:rFonts w:asciiTheme="minorBidi" w:hAnsiTheme="minorBidi"/>
                <w:sz w:val="20"/>
                <w:szCs w:val="20"/>
              </w:rPr>
              <w:t xml:space="preserve">Percent of Food Rescued from Food Waste </w:t>
            </w:r>
          </w:p>
        </w:tc>
        <w:tc>
          <w:tcPr>
            <w:tcW w:w="1446" w:type="dxa"/>
            <w:vAlign w:val="center"/>
            <w:hideMark/>
          </w:tcPr>
          <w:p w14:paraId="6D8AB32E" w14:textId="77777777" w:rsidR="002D2C6F" w:rsidRPr="00BE6B46" w:rsidRDefault="002D2C6F" w:rsidP="00BE6B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~1.5% (currently)</w:t>
            </w:r>
          </w:p>
        </w:tc>
        <w:tc>
          <w:tcPr>
            <w:tcW w:w="1353" w:type="dxa"/>
            <w:vAlign w:val="center"/>
            <w:hideMark/>
          </w:tcPr>
          <w:p w14:paraId="7D08EFBB" w14:textId="77777777" w:rsidR="002D2C6F" w:rsidRPr="00BE6B46" w:rsidRDefault="002D2C6F" w:rsidP="00BE6B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BE6B46">
              <w:rPr>
                <w:rFonts w:asciiTheme="minorBidi" w:hAnsiTheme="minorBidi"/>
                <w:color w:val="FFFFFF"/>
                <w:sz w:val="20"/>
                <w:szCs w:val="20"/>
                <w:rtl/>
              </w:rPr>
              <w:t>5%</w:t>
            </w:r>
          </w:p>
        </w:tc>
        <w:tc>
          <w:tcPr>
            <w:tcW w:w="1399" w:type="dxa"/>
            <w:vAlign w:val="center"/>
            <w:hideMark/>
          </w:tcPr>
          <w:p w14:paraId="5AE1DB3C" w14:textId="77777777" w:rsidR="002D2C6F" w:rsidRPr="00BE6B46" w:rsidRDefault="002D2C6F" w:rsidP="00BE6B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BE6B46">
              <w:rPr>
                <w:rFonts w:asciiTheme="minorBidi" w:hAnsiTheme="minorBidi"/>
                <w:color w:val="FFFFFF"/>
                <w:sz w:val="20"/>
                <w:szCs w:val="20"/>
                <w:rtl/>
              </w:rPr>
              <w:t>10%</w:t>
            </w:r>
          </w:p>
        </w:tc>
        <w:tc>
          <w:tcPr>
            <w:tcW w:w="1400" w:type="dxa"/>
            <w:vAlign w:val="center"/>
            <w:hideMark/>
          </w:tcPr>
          <w:p w14:paraId="25A461D8" w14:textId="77777777" w:rsidR="002D2C6F" w:rsidRPr="00BE6B46" w:rsidRDefault="002D2C6F" w:rsidP="00BE6B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BE6B46">
              <w:rPr>
                <w:rFonts w:asciiTheme="minorBidi" w:hAnsiTheme="minorBidi"/>
                <w:color w:val="FFFFFF"/>
                <w:sz w:val="20"/>
                <w:szCs w:val="20"/>
                <w:rtl/>
              </w:rPr>
              <w:t>25</w:t>
            </w:r>
            <w:r w:rsidRPr="00BE6B46">
              <w:rPr>
                <w:rFonts w:asciiTheme="minorBidi" w:hAnsiTheme="minorBidi"/>
                <w:color w:val="FFFFFF"/>
                <w:sz w:val="20"/>
                <w:szCs w:val="20"/>
              </w:rPr>
              <w:t>%</w:t>
            </w:r>
          </w:p>
        </w:tc>
      </w:tr>
      <w:tr w:rsidR="006C5665" w:rsidRPr="00BE6B46" w14:paraId="42F414BD"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74B200D9"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Rescued Food (in thousand tons)</w:t>
            </w:r>
          </w:p>
        </w:tc>
        <w:tc>
          <w:tcPr>
            <w:tcW w:w="1446" w:type="dxa"/>
            <w:tcBorders>
              <w:top w:val="single" w:sz="8" w:space="0" w:color="84B3DF" w:themeColor="accent1" w:themeTint="BF"/>
              <w:bottom w:val="single" w:sz="8" w:space="0" w:color="84B3DF" w:themeColor="accent1" w:themeTint="BF"/>
            </w:tcBorders>
            <w:vAlign w:val="center"/>
            <w:hideMark/>
          </w:tcPr>
          <w:p w14:paraId="6BD787CE" w14:textId="5C69C362"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40</w:t>
            </w:r>
          </w:p>
        </w:tc>
        <w:tc>
          <w:tcPr>
            <w:tcW w:w="1353" w:type="dxa"/>
            <w:tcBorders>
              <w:top w:val="single" w:sz="8" w:space="0" w:color="84B3DF" w:themeColor="accent1" w:themeTint="BF"/>
              <w:bottom w:val="single" w:sz="8" w:space="0" w:color="84B3DF" w:themeColor="accent1" w:themeTint="BF"/>
            </w:tcBorders>
            <w:vAlign w:val="center"/>
            <w:hideMark/>
          </w:tcPr>
          <w:p w14:paraId="4681D728" w14:textId="2E1C0234"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130</w:t>
            </w:r>
          </w:p>
        </w:tc>
        <w:tc>
          <w:tcPr>
            <w:tcW w:w="1399" w:type="dxa"/>
            <w:tcBorders>
              <w:top w:val="single" w:sz="8" w:space="0" w:color="84B3DF" w:themeColor="accent1" w:themeTint="BF"/>
              <w:bottom w:val="single" w:sz="8" w:space="0" w:color="84B3DF" w:themeColor="accent1" w:themeTint="BF"/>
            </w:tcBorders>
            <w:vAlign w:val="center"/>
            <w:hideMark/>
          </w:tcPr>
          <w:p w14:paraId="7E27F3F7" w14:textId="5F6155A9"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260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5DC75426" w14:textId="4CA0E78A"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tl/>
              </w:rPr>
              <w:t>5</w:t>
            </w:r>
            <w:r w:rsidRPr="00BE6B46">
              <w:rPr>
                <w:rFonts w:asciiTheme="minorBidi" w:hAnsiTheme="minorBidi"/>
                <w:sz w:val="20"/>
                <w:szCs w:val="20"/>
              </w:rPr>
              <w:t>20</w:t>
            </w:r>
          </w:p>
        </w:tc>
      </w:tr>
      <w:tr w:rsidR="006C5665" w:rsidRPr="00BE6B46" w14:paraId="509AAA03" w14:textId="77777777" w:rsidTr="00E61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28CC75D2"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Food Rescued: Potential Share of the Nutritional Gap for Food Insecure Populations</w:t>
            </w:r>
          </w:p>
        </w:tc>
        <w:tc>
          <w:tcPr>
            <w:tcW w:w="1446" w:type="dxa"/>
            <w:tcBorders>
              <w:top w:val="single" w:sz="8" w:space="0" w:color="84B3DF" w:themeColor="accent1" w:themeTint="BF"/>
              <w:bottom w:val="single" w:sz="8" w:space="0" w:color="84B3DF" w:themeColor="accent1" w:themeTint="BF"/>
            </w:tcBorders>
            <w:vAlign w:val="center"/>
            <w:hideMark/>
          </w:tcPr>
          <w:p w14:paraId="46D0C6FD" w14:textId="3C9B5F87"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8%</w:t>
            </w:r>
          </w:p>
        </w:tc>
        <w:tc>
          <w:tcPr>
            <w:tcW w:w="1353" w:type="dxa"/>
            <w:tcBorders>
              <w:top w:val="single" w:sz="8" w:space="0" w:color="84B3DF" w:themeColor="accent1" w:themeTint="BF"/>
              <w:bottom w:val="single" w:sz="8" w:space="0" w:color="84B3DF" w:themeColor="accent1" w:themeTint="BF"/>
            </w:tcBorders>
            <w:vAlign w:val="center"/>
            <w:hideMark/>
          </w:tcPr>
          <w:p w14:paraId="526EBF9C" w14:textId="0BE1040D"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25%</w:t>
            </w:r>
          </w:p>
        </w:tc>
        <w:tc>
          <w:tcPr>
            <w:tcW w:w="1399" w:type="dxa"/>
            <w:tcBorders>
              <w:top w:val="single" w:sz="8" w:space="0" w:color="84B3DF" w:themeColor="accent1" w:themeTint="BF"/>
              <w:bottom w:val="single" w:sz="8" w:space="0" w:color="84B3DF" w:themeColor="accent1" w:themeTint="BF"/>
            </w:tcBorders>
            <w:vAlign w:val="center"/>
            <w:hideMark/>
          </w:tcPr>
          <w:p w14:paraId="7DB9AC7E" w14:textId="0DFB0D90"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50%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571B6265" w14:textId="1210205F"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100%</w:t>
            </w:r>
          </w:p>
        </w:tc>
      </w:tr>
      <w:tr w:rsidR="006C5665" w:rsidRPr="00BE6B46" w14:paraId="3AF8438F"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58790F74"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 xml:space="preserve">Value of Rescued Food </w:t>
            </w:r>
          </w:p>
        </w:tc>
        <w:tc>
          <w:tcPr>
            <w:tcW w:w="1446" w:type="dxa"/>
            <w:tcBorders>
              <w:top w:val="single" w:sz="8" w:space="0" w:color="84B3DF" w:themeColor="accent1" w:themeTint="BF"/>
              <w:bottom w:val="single" w:sz="8" w:space="0" w:color="84B3DF" w:themeColor="accent1" w:themeTint="BF"/>
            </w:tcBorders>
            <w:vAlign w:val="center"/>
            <w:hideMark/>
          </w:tcPr>
          <w:p w14:paraId="3752B13A" w14:textId="682C40AF"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2</w:t>
            </w:r>
            <w:r w:rsidRPr="00BE6B46">
              <w:rPr>
                <w:rFonts w:asciiTheme="minorBidi" w:hAnsiTheme="minorBidi"/>
                <w:sz w:val="20"/>
                <w:szCs w:val="20"/>
                <w:rtl/>
              </w:rPr>
              <w:t>3</w:t>
            </w:r>
            <w:r w:rsidRPr="00BE6B46">
              <w:rPr>
                <w:rFonts w:asciiTheme="minorBidi" w:hAnsiTheme="minorBidi"/>
                <w:sz w:val="20"/>
                <w:szCs w:val="20"/>
              </w:rPr>
              <w:t>0</w:t>
            </w:r>
          </w:p>
        </w:tc>
        <w:tc>
          <w:tcPr>
            <w:tcW w:w="1353" w:type="dxa"/>
            <w:tcBorders>
              <w:top w:val="single" w:sz="8" w:space="0" w:color="84B3DF" w:themeColor="accent1" w:themeTint="BF"/>
              <w:bottom w:val="single" w:sz="8" w:space="0" w:color="84B3DF" w:themeColor="accent1" w:themeTint="BF"/>
            </w:tcBorders>
            <w:vAlign w:val="center"/>
            <w:hideMark/>
          </w:tcPr>
          <w:p w14:paraId="7A65E0F9" w14:textId="0106D729"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890</w:t>
            </w:r>
          </w:p>
        </w:tc>
        <w:tc>
          <w:tcPr>
            <w:tcW w:w="1399" w:type="dxa"/>
            <w:tcBorders>
              <w:top w:val="single" w:sz="8" w:space="0" w:color="84B3DF" w:themeColor="accent1" w:themeTint="BF"/>
              <w:bottom w:val="single" w:sz="8" w:space="0" w:color="84B3DF" w:themeColor="accent1" w:themeTint="BF"/>
            </w:tcBorders>
            <w:vAlign w:val="center"/>
            <w:hideMark/>
          </w:tcPr>
          <w:p w14:paraId="3174A7AB" w14:textId="7E267753"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1,800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635124A9" w14:textId="73012B15"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3,300</w:t>
            </w:r>
          </w:p>
        </w:tc>
      </w:tr>
      <w:tr w:rsidR="006C5665" w:rsidRPr="00BE6B46" w14:paraId="3EC16BE5" w14:textId="77777777" w:rsidTr="00E61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61448875"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Cost of Food Rescue</w:t>
            </w:r>
            <w:r w:rsidRPr="00BE6B46">
              <w:rPr>
                <w:rFonts w:asciiTheme="minorBidi" w:hAnsiTheme="minorBidi"/>
                <w:b w:val="0"/>
                <w:bCs w:val="0"/>
                <w:sz w:val="20"/>
                <w:szCs w:val="20"/>
                <w:rtl/>
              </w:rPr>
              <w:t xml:space="preserve"> </w:t>
            </w:r>
          </w:p>
        </w:tc>
        <w:tc>
          <w:tcPr>
            <w:tcW w:w="1446" w:type="dxa"/>
            <w:tcBorders>
              <w:top w:val="single" w:sz="8" w:space="0" w:color="84B3DF" w:themeColor="accent1" w:themeTint="BF"/>
              <w:bottom w:val="single" w:sz="8" w:space="0" w:color="84B3DF" w:themeColor="accent1" w:themeTint="BF"/>
            </w:tcBorders>
            <w:vAlign w:val="center"/>
            <w:hideMark/>
          </w:tcPr>
          <w:p w14:paraId="1D33E399" w14:textId="105AB1EC"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60</w:t>
            </w:r>
          </w:p>
        </w:tc>
        <w:tc>
          <w:tcPr>
            <w:tcW w:w="1353" w:type="dxa"/>
            <w:tcBorders>
              <w:top w:val="single" w:sz="8" w:space="0" w:color="84B3DF" w:themeColor="accent1" w:themeTint="BF"/>
              <w:bottom w:val="single" w:sz="8" w:space="0" w:color="84B3DF" w:themeColor="accent1" w:themeTint="BF"/>
            </w:tcBorders>
            <w:vAlign w:val="center"/>
            <w:hideMark/>
          </w:tcPr>
          <w:p w14:paraId="6AAF180E" w14:textId="7BFE0C3D"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240</w:t>
            </w:r>
          </w:p>
        </w:tc>
        <w:tc>
          <w:tcPr>
            <w:tcW w:w="1399" w:type="dxa"/>
            <w:tcBorders>
              <w:top w:val="single" w:sz="8" w:space="0" w:color="84B3DF" w:themeColor="accent1" w:themeTint="BF"/>
              <w:bottom w:val="single" w:sz="8" w:space="0" w:color="84B3DF" w:themeColor="accent1" w:themeTint="BF"/>
            </w:tcBorders>
            <w:vAlign w:val="center"/>
            <w:hideMark/>
          </w:tcPr>
          <w:p w14:paraId="5A3AC91F" w14:textId="181C40AF"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500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1C4283A7" w14:textId="4CD70EF7"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900</w:t>
            </w:r>
          </w:p>
        </w:tc>
      </w:tr>
      <w:tr w:rsidR="006C5665" w:rsidRPr="00BE6B46" w14:paraId="26CAFC00"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1D54FBF2"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Savings to National Economy (before external factors)</w:t>
            </w:r>
          </w:p>
        </w:tc>
        <w:tc>
          <w:tcPr>
            <w:tcW w:w="1446" w:type="dxa"/>
            <w:tcBorders>
              <w:top w:val="single" w:sz="8" w:space="0" w:color="84B3DF" w:themeColor="accent1" w:themeTint="BF"/>
              <w:bottom w:val="single" w:sz="8" w:space="0" w:color="84B3DF" w:themeColor="accent1" w:themeTint="BF"/>
            </w:tcBorders>
            <w:vAlign w:val="center"/>
            <w:hideMark/>
          </w:tcPr>
          <w:p w14:paraId="60523EE4" w14:textId="71ADBDA5"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170</w:t>
            </w:r>
          </w:p>
        </w:tc>
        <w:tc>
          <w:tcPr>
            <w:tcW w:w="1353" w:type="dxa"/>
            <w:tcBorders>
              <w:top w:val="single" w:sz="8" w:space="0" w:color="84B3DF" w:themeColor="accent1" w:themeTint="BF"/>
              <w:bottom w:val="single" w:sz="8" w:space="0" w:color="84B3DF" w:themeColor="accent1" w:themeTint="BF"/>
            </w:tcBorders>
            <w:vAlign w:val="center"/>
            <w:hideMark/>
          </w:tcPr>
          <w:p w14:paraId="4E4391B6" w14:textId="187DE966"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650</w:t>
            </w:r>
          </w:p>
        </w:tc>
        <w:tc>
          <w:tcPr>
            <w:tcW w:w="1399" w:type="dxa"/>
            <w:tcBorders>
              <w:top w:val="single" w:sz="8" w:space="0" w:color="84B3DF" w:themeColor="accent1" w:themeTint="BF"/>
              <w:bottom w:val="single" w:sz="8" w:space="0" w:color="84B3DF" w:themeColor="accent1" w:themeTint="BF"/>
            </w:tcBorders>
            <w:vAlign w:val="center"/>
            <w:hideMark/>
          </w:tcPr>
          <w:p w14:paraId="1139C7A4" w14:textId="271B1BF6"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1,300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70AC8DDB" w14:textId="37C7E4F9"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2,400</w:t>
            </w:r>
          </w:p>
        </w:tc>
      </w:tr>
      <w:tr w:rsidR="006C5665" w:rsidRPr="00BE6B46" w14:paraId="43892CC0" w14:textId="77777777" w:rsidTr="00E61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54326623"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Social and Environmental Contribution (FAO)</w:t>
            </w:r>
          </w:p>
        </w:tc>
        <w:tc>
          <w:tcPr>
            <w:tcW w:w="1446" w:type="dxa"/>
            <w:tcBorders>
              <w:top w:val="single" w:sz="8" w:space="0" w:color="84B3DF" w:themeColor="accent1" w:themeTint="BF"/>
              <w:bottom w:val="single" w:sz="8" w:space="0" w:color="84B3DF" w:themeColor="accent1" w:themeTint="BF"/>
            </w:tcBorders>
            <w:vAlign w:val="center"/>
            <w:hideMark/>
          </w:tcPr>
          <w:p w14:paraId="2C853A43" w14:textId="67BFB334"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200</w:t>
            </w:r>
          </w:p>
        </w:tc>
        <w:tc>
          <w:tcPr>
            <w:tcW w:w="1353" w:type="dxa"/>
            <w:tcBorders>
              <w:top w:val="single" w:sz="8" w:space="0" w:color="84B3DF" w:themeColor="accent1" w:themeTint="BF"/>
              <w:bottom w:val="single" w:sz="8" w:space="0" w:color="84B3DF" w:themeColor="accent1" w:themeTint="BF"/>
            </w:tcBorders>
            <w:vAlign w:val="center"/>
            <w:hideMark/>
          </w:tcPr>
          <w:p w14:paraId="0E18E540" w14:textId="109E9D93"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650</w:t>
            </w:r>
          </w:p>
        </w:tc>
        <w:tc>
          <w:tcPr>
            <w:tcW w:w="1399" w:type="dxa"/>
            <w:tcBorders>
              <w:top w:val="single" w:sz="8" w:space="0" w:color="84B3DF" w:themeColor="accent1" w:themeTint="BF"/>
              <w:bottom w:val="single" w:sz="8" w:space="0" w:color="84B3DF" w:themeColor="accent1" w:themeTint="BF"/>
            </w:tcBorders>
            <w:vAlign w:val="center"/>
            <w:hideMark/>
          </w:tcPr>
          <w:p w14:paraId="6C1F719C" w14:textId="6B63D7AC"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1,300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0D5651B4" w14:textId="24DD86DE" w:rsidR="006C5665" w:rsidRPr="00BE6B46" w:rsidRDefault="006C5665" w:rsidP="00BE6B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2,600</w:t>
            </w:r>
          </w:p>
        </w:tc>
      </w:tr>
      <w:tr w:rsidR="006C5665" w:rsidRPr="00BE6B46" w14:paraId="12135F33"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single" w:sz="8" w:space="0" w:color="84B3DF" w:themeColor="accent1" w:themeTint="BF"/>
              <w:left w:val="single" w:sz="8" w:space="0" w:color="84B3DF" w:themeColor="accent1" w:themeTint="BF"/>
              <w:bottom w:val="single" w:sz="8" w:space="0" w:color="84B3DF" w:themeColor="accent1" w:themeTint="BF"/>
            </w:tcBorders>
            <w:hideMark/>
          </w:tcPr>
          <w:p w14:paraId="00868ABC" w14:textId="77777777" w:rsidR="006C5665" w:rsidRPr="00BE6B46" w:rsidRDefault="006C5665" w:rsidP="00BE6B46">
            <w:pPr>
              <w:spacing w:line="360" w:lineRule="auto"/>
              <w:rPr>
                <w:rFonts w:asciiTheme="minorBidi" w:hAnsiTheme="minorBidi"/>
                <w:b w:val="0"/>
                <w:bCs w:val="0"/>
                <w:sz w:val="20"/>
                <w:szCs w:val="20"/>
              </w:rPr>
            </w:pPr>
            <w:r w:rsidRPr="00BE6B46">
              <w:rPr>
                <w:rFonts w:asciiTheme="minorBidi" w:hAnsiTheme="minorBidi"/>
                <w:b w:val="0"/>
                <w:bCs w:val="0"/>
                <w:sz w:val="20"/>
                <w:szCs w:val="20"/>
              </w:rPr>
              <w:t>Total Savings to National Economy from Food Rescue</w:t>
            </w:r>
            <w:r w:rsidRPr="00BE6B46">
              <w:rPr>
                <w:rFonts w:asciiTheme="minorBidi" w:hAnsiTheme="minorBidi"/>
                <w:b w:val="0"/>
                <w:bCs w:val="0"/>
                <w:sz w:val="20"/>
                <w:szCs w:val="20"/>
                <w:rtl/>
              </w:rPr>
              <w:t xml:space="preserve"> </w:t>
            </w:r>
          </w:p>
        </w:tc>
        <w:tc>
          <w:tcPr>
            <w:tcW w:w="1446" w:type="dxa"/>
            <w:tcBorders>
              <w:top w:val="single" w:sz="8" w:space="0" w:color="84B3DF" w:themeColor="accent1" w:themeTint="BF"/>
              <w:bottom w:val="single" w:sz="8" w:space="0" w:color="84B3DF" w:themeColor="accent1" w:themeTint="BF"/>
            </w:tcBorders>
            <w:vAlign w:val="center"/>
            <w:hideMark/>
          </w:tcPr>
          <w:p w14:paraId="4484FEA0" w14:textId="4992BBB4"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tl/>
              </w:rPr>
            </w:pPr>
            <w:r w:rsidRPr="00BE6B46">
              <w:rPr>
                <w:rFonts w:asciiTheme="minorBidi" w:hAnsiTheme="minorBidi"/>
                <w:sz w:val="20"/>
                <w:szCs w:val="20"/>
              </w:rPr>
              <w:t>370</w:t>
            </w:r>
          </w:p>
        </w:tc>
        <w:tc>
          <w:tcPr>
            <w:tcW w:w="1353" w:type="dxa"/>
            <w:tcBorders>
              <w:top w:val="single" w:sz="8" w:space="0" w:color="84B3DF" w:themeColor="accent1" w:themeTint="BF"/>
              <w:bottom w:val="single" w:sz="8" w:space="0" w:color="84B3DF" w:themeColor="accent1" w:themeTint="BF"/>
            </w:tcBorders>
            <w:vAlign w:val="center"/>
            <w:hideMark/>
          </w:tcPr>
          <w:p w14:paraId="3D292009" w14:textId="01C3C4D9"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1,300</w:t>
            </w:r>
          </w:p>
        </w:tc>
        <w:tc>
          <w:tcPr>
            <w:tcW w:w="1399" w:type="dxa"/>
            <w:tcBorders>
              <w:top w:val="single" w:sz="8" w:space="0" w:color="84B3DF" w:themeColor="accent1" w:themeTint="BF"/>
              <w:bottom w:val="single" w:sz="8" w:space="0" w:color="84B3DF" w:themeColor="accent1" w:themeTint="BF"/>
            </w:tcBorders>
            <w:vAlign w:val="center"/>
            <w:hideMark/>
          </w:tcPr>
          <w:p w14:paraId="6DBECB63" w14:textId="56646E33"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E6B46">
              <w:rPr>
                <w:rFonts w:asciiTheme="minorBidi" w:hAnsiTheme="minorBidi"/>
                <w:sz w:val="20"/>
                <w:szCs w:val="20"/>
              </w:rPr>
              <w:t>2,600</w:t>
            </w:r>
          </w:p>
        </w:tc>
        <w:tc>
          <w:tcPr>
            <w:tcW w:w="1400"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4B8D982A" w14:textId="0CA3BA09" w:rsidR="006C5665" w:rsidRPr="00BE6B46" w:rsidRDefault="006C5665"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BE6B46">
              <w:rPr>
                <w:rFonts w:asciiTheme="minorBidi" w:hAnsiTheme="minorBidi"/>
                <w:sz w:val="20"/>
                <w:szCs w:val="20"/>
              </w:rPr>
              <w:t>5,000</w:t>
            </w:r>
          </w:p>
        </w:tc>
      </w:tr>
    </w:tbl>
    <w:p w14:paraId="0C37D623" w14:textId="77777777" w:rsidR="002D2C6F" w:rsidRPr="00BE6B46" w:rsidRDefault="002D2C6F" w:rsidP="00BE6B46">
      <w:pPr>
        <w:autoSpaceDE w:val="0"/>
        <w:autoSpaceDN w:val="0"/>
        <w:adjustRightInd w:val="0"/>
        <w:spacing w:after="0" w:line="360" w:lineRule="auto"/>
        <w:jc w:val="both"/>
        <w:rPr>
          <w:rFonts w:asciiTheme="minorBidi" w:hAnsiTheme="minorBidi"/>
          <w:sz w:val="20"/>
          <w:szCs w:val="20"/>
        </w:rPr>
      </w:pPr>
      <w:r w:rsidRPr="00BE6B46">
        <w:rPr>
          <w:rFonts w:asciiTheme="minorBidi" w:hAnsiTheme="minorBidi"/>
          <w:sz w:val="20"/>
          <w:szCs w:val="20"/>
        </w:rPr>
        <w:t xml:space="preserve">Source: </w:t>
      </w:r>
      <w:proofErr w:type="spellStart"/>
      <w:r w:rsidRPr="00BE6B46">
        <w:rPr>
          <w:rFonts w:asciiTheme="minorBidi" w:hAnsiTheme="minorBidi"/>
          <w:sz w:val="20"/>
          <w:szCs w:val="20"/>
        </w:rPr>
        <w:t>BDO</w:t>
      </w:r>
      <w:proofErr w:type="spellEnd"/>
      <w:r w:rsidRPr="00BE6B46">
        <w:rPr>
          <w:rFonts w:asciiTheme="minorBidi" w:hAnsiTheme="minorBidi"/>
          <w:sz w:val="20"/>
          <w:szCs w:val="20"/>
        </w:rPr>
        <w:t xml:space="preserve"> estimates</w:t>
      </w:r>
    </w:p>
    <w:p w14:paraId="551EAF71" w14:textId="77777777" w:rsidR="002D2C6F" w:rsidRPr="00BE6B46" w:rsidRDefault="002D2C6F" w:rsidP="00BE6B46">
      <w:pPr>
        <w:autoSpaceDE w:val="0"/>
        <w:autoSpaceDN w:val="0"/>
        <w:adjustRightInd w:val="0"/>
        <w:spacing w:after="0" w:line="360" w:lineRule="auto"/>
        <w:jc w:val="both"/>
        <w:rPr>
          <w:rFonts w:asciiTheme="minorBidi" w:hAnsiTheme="minorBidi"/>
          <w:sz w:val="20"/>
          <w:szCs w:val="20"/>
        </w:rPr>
      </w:pPr>
    </w:p>
    <w:p w14:paraId="153D5AC5" w14:textId="2D0C1F46" w:rsidR="002D2C6F" w:rsidRPr="00BE6B46" w:rsidRDefault="002D2C6F" w:rsidP="00BE6B46">
      <w:pPr>
        <w:autoSpaceDE w:val="0"/>
        <w:autoSpaceDN w:val="0"/>
        <w:adjustRightInd w:val="0"/>
        <w:spacing w:after="0" w:line="360" w:lineRule="auto"/>
        <w:jc w:val="both"/>
        <w:rPr>
          <w:rFonts w:asciiTheme="minorBidi" w:hAnsiTheme="minorBidi"/>
          <w:b/>
          <w:bCs/>
          <w:color w:val="4D4D4F"/>
          <w:szCs w:val="24"/>
        </w:rPr>
      </w:pPr>
      <w:r w:rsidRPr="00BE6B46">
        <w:rPr>
          <w:rFonts w:asciiTheme="minorBidi" w:hAnsiTheme="minorBidi"/>
          <w:color w:val="4D4D4F"/>
          <w:szCs w:val="24"/>
        </w:rPr>
        <w:t xml:space="preserve">The problem of food insecurity is not only expressed in the amount of money spent on food, but also in the types of food consumed. An analysis of the average consumption basket of those who are food insecure compared to the average basket of the food-secure population reveals that </w:t>
      </w:r>
      <w:r w:rsidRPr="00BE6B46">
        <w:rPr>
          <w:rFonts w:asciiTheme="minorBidi" w:hAnsiTheme="minorBidi"/>
          <w:b/>
          <w:bCs/>
          <w:color w:val="4D4D4F"/>
          <w:szCs w:val="24"/>
        </w:rPr>
        <w:t>food insecurity often goes along with spending little on fruits, vegetables, meat, and fish, which have high nutritional value.</w:t>
      </w:r>
    </w:p>
    <w:p w14:paraId="6DCFED70" w14:textId="77777777" w:rsidR="002D2C6F" w:rsidRPr="00BE6B46" w:rsidRDefault="002D2C6F" w:rsidP="00BE6B46">
      <w:pPr>
        <w:autoSpaceDE w:val="0"/>
        <w:autoSpaceDN w:val="0"/>
        <w:adjustRightInd w:val="0"/>
        <w:spacing w:after="0" w:line="360" w:lineRule="auto"/>
        <w:jc w:val="both"/>
        <w:rPr>
          <w:rFonts w:asciiTheme="minorBidi" w:hAnsiTheme="minorBidi"/>
          <w:b/>
          <w:bCs/>
          <w:color w:val="4D4D4F"/>
          <w:szCs w:val="24"/>
        </w:rPr>
      </w:pPr>
    </w:p>
    <w:p w14:paraId="1BC671B5" w14:textId="77777777" w:rsidR="006C5665" w:rsidRPr="00BE6B46" w:rsidRDefault="006C5665" w:rsidP="00BE6B46">
      <w:pPr>
        <w:rPr>
          <w:rFonts w:asciiTheme="minorBidi" w:hAnsiTheme="minorBidi"/>
          <w:b/>
          <w:bCs/>
          <w:color w:val="4D4D4F"/>
          <w:szCs w:val="24"/>
        </w:rPr>
      </w:pPr>
      <w:r w:rsidRPr="00BE6B46">
        <w:rPr>
          <w:rFonts w:asciiTheme="minorBidi" w:hAnsiTheme="minorBidi"/>
          <w:b/>
          <w:bCs/>
          <w:color w:val="4D4D4F"/>
          <w:szCs w:val="24"/>
        </w:rPr>
        <w:br w:type="page"/>
      </w:r>
    </w:p>
    <w:p w14:paraId="5CD4D287" w14:textId="7B7D94E8" w:rsidR="002D2C6F" w:rsidRPr="00BE6B46" w:rsidRDefault="002D2C6F" w:rsidP="00BE6B46">
      <w:pPr>
        <w:autoSpaceDE w:val="0"/>
        <w:autoSpaceDN w:val="0"/>
        <w:adjustRightInd w:val="0"/>
        <w:spacing w:after="0" w:line="360" w:lineRule="auto"/>
        <w:jc w:val="center"/>
        <w:rPr>
          <w:rFonts w:asciiTheme="minorBidi" w:hAnsiTheme="minorBidi"/>
          <w:b/>
          <w:bCs/>
          <w:color w:val="4D4D4F"/>
          <w:szCs w:val="24"/>
        </w:rPr>
      </w:pPr>
      <w:r w:rsidRPr="00BE6B46">
        <w:rPr>
          <w:rFonts w:asciiTheme="minorBidi" w:hAnsiTheme="minorBidi"/>
          <w:b/>
          <w:bCs/>
          <w:color w:val="4D4D4F"/>
          <w:szCs w:val="24"/>
        </w:rPr>
        <w:lastRenderedPageBreak/>
        <w:t>The Effect of Food Insecurity on Food Expenditure Patterns of Severely Food-Insecure Households</w:t>
      </w:r>
    </w:p>
    <w:p w14:paraId="6B9D7429" w14:textId="77777777" w:rsidR="002D2C6F" w:rsidRPr="00BE6B46" w:rsidRDefault="002D2C6F" w:rsidP="00BE6B46">
      <w:pPr>
        <w:autoSpaceDE w:val="0"/>
        <w:autoSpaceDN w:val="0"/>
        <w:adjustRightInd w:val="0"/>
        <w:spacing w:after="0" w:line="360" w:lineRule="auto"/>
        <w:jc w:val="center"/>
        <w:rPr>
          <w:rFonts w:asciiTheme="minorBidi" w:hAnsiTheme="minorBidi"/>
          <w:b/>
          <w:bCs/>
          <w:color w:val="4D4D4F"/>
          <w:szCs w:val="24"/>
        </w:rPr>
      </w:pPr>
      <w:r w:rsidRPr="00BE6B46">
        <w:rPr>
          <w:rFonts w:asciiTheme="minorBidi" w:hAnsiTheme="minorBidi"/>
          <w:b/>
          <w:bCs/>
          <w:color w:val="4D4D4F"/>
          <w:szCs w:val="24"/>
        </w:rPr>
        <w:t xml:space="preserve">(100% = Diet of the population with normative food </w:t>
      </w:r>
      <w:commentRangeStart w:id="3"/>
      <w:r w:rsidRPr="00BE6B46">
        <w:rPr>
          <w:rFonts w:asciiTheme="minorBidi" w:hAnsiTheme="minorBidi"/>
          <w:b/>
          <w:bCs/>
          <w:color w:val="4D4D4F"/>
          <w:szCs w:val="24"/>
        </w:rPr>
        <w:t>expenditure</w:t>
      </w:r>
      <w:commentRangeEnd w:id="3"/>
      <w:r w:rsidRPr="00BE6B46">
        <w:rPr>
          <w:rStyle w:val="CommentReference"/>
          <w:rFonts w:asciiTheme="minorBidi" w:hAnsiTheme="minorBidi"/>
        </w:rPr>
        <w:commentReference w:id="3"/>
      </w:r>
      <w:r w:rsidRPr="00BE6B46">
        <w:rPr>
          <w:rFonts w:asciiTheme="minorBidi" w:hAnsiTheme="minorBidi"/>
          <w:b/>
          <w:bCs/>
          <w:color w:val="4D4D4F"/>
          <w:szCs w:val="24"/>
        </w:rPr>
        <w:t xml:space="preserve"> patterns)</w:t>
      </w:r>
    </w:p>
    <w:p w14:paraId="127E310C" w14:textId="77777777" w:rsidR="002D2C6F" w:rsidRPr="00BE6B46" w:rsidRDefault="002D2C6F" w:rsidP="00BE6B46">
      <w:pPr>
        <w:autoSpaceDE w:val="0"/>
        <w:autoSpaceDN w:val="0"/>
        <w:adjustRightInd w:val="0"/>
        <w:spacing w:after="0" w:line="360" w:lineRule="auto"/>
        <w:jc w:val="center"/>
        <w:rPr>
          <w:rFonts w:asciiTheme="minorBidi" w:hAnsiTheme="minorBidi"/>
          <w:b/>
          <w:bCs/>
          <w:szCs w:val="24"/>
        </w:rPr>
      </w:pPr>
    </w:p>
    <w:p w14:paraId="0E2C5F6C" w14:textId="77777777" w:rsidR="002D2C6F" w:rsidRPr="00BE6B46" w:rsidRDefault="002D2C6F"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noProof/>
        </w:rPr>
        <w:drawing>
          <wp:inline distT="0" distB="0" distL="0" distR="0" wp14:anchorId="47A2EE77" wp14:editId="50A32BD0">
            <wp:extent cx="4594225" cy="2768600"/>
            <wp:effectExtent l="0" t="0" r="1587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555F57" w14:textId="77777777" w:rsidR="002D2C6F" w:rsidRPr="00BE6B46" w:rsidRDefault="002D2C6F" w:rsidP="00BE6B46">
      <w:pPr>
        <w:spacing w:line="360" w:lineRule="auto"/>
        <w:jc w:val="both"/>
        <w:rPr>
          <w:rFonts w:asciiTheme="minorBidi" w:hAnsiTheme="minorBidi"/>
          <w:sz w:val="20"/>
          <w:szCs w:val="20"/>
        </w:rPr>
      </w:pPr>
      <w:r w:rsidRPr="00BE6B46">
        <w:rPr>
          <w:rFonts w:asciiTheme="minorBidi" w:hAnsiTheme="minorBidi"/>
          <w:sz w:val="20"/>
          <w:szCs w:val="20"/>
        </w:rPr>
        <w:t xml:space="preserve">Source: </w:t>
      </w:r>
      <w:proofErr w:type="spellStart"/>
      <w:r w:rsidRPr="00BE6B46">
        <w:rPr>
          <w:rFonts w:asciiTheme="minorBidi" w:hAnsiTheme="minorBidi"/>
          <w:sz w:val="20"/>
          <w:szCs w:val="20"/>
        </w:rPr>
        <w:t>BDO</w:t>
      </w:r>
      <w:proofErr w:type="spellEnd"/>
      <w:r w:rsidRPr="00BE6B46">
        <w:rPr>
          <w:rFonts w:asciiTheme="minorBidi" w:hAnsiTheme="minorBidi"/>
          <w:sz w:val="20"/>
          <w:szCs w:val="20"/>
        </w:rPr>
        <w:t xml:space="preserve"> analyses and a household expenditure survey conducted by the Central Bureau of Statistics</w:t>
      </w:r>
    </w:p>
    <w:p w14:paraId="013773C9" w14:textId="45188C42" w:rsidR="002D2C6F" w:rsidRPr="00BE6B46" w:rsidRDefault="002D2C6F" w:rsidP="00BE6B46">
      <w:pPr>
        <w:spacing w:line="360" w:lineRule="auto"/>
        <w:jc w:val="both"/>
        <w:rPr>
          <w:rFonts w:asciiTheme="minorBidi" w:hAnsiTheme="minorBidi"/>
          <w:szCs w:val="24"/>
        </w:rPr>
      </w:pPr>
      <w:r w:rsidRPr="00BE6B46">
        <w:rPr>
          <w:rFonts w:asciiTheme="minorBidi" w:hAnsiTheme="minorBidi"/>
          <w:szCs w:val="24"/>
        </w:rPr>
        <w:t>Thus</w:t>
      </w:r>
      <w:r w:rsidR="00F96505" w:rsidRPr="00BE6B46">
        <w:rPr>
          <w:rFonts w:asciiTheme="minorBidi" w:hAnsiTheme="minorBidi"/>
          <w:szCs w:val="24"/>
        </w:rPr>
        <w:t>,</w:t>
      </w:r>
      <w:r w:rsidRPr="00BE6B46">
        <w:rPr>
          <w:rFonts w:asciiTheme="minorBidi" w:hAnsiTheme="minorBidi"/>
          <w:szCs w:val="24"/>
        </w:rPr>
        <w:t xml:space="preserve"> for example, the gap in expenditure for highly nutritious food such as meat, poultry, fish, and fresh fruit and vegetables ranges from 55% to 70% of the normative expenditure, while the gap for other products, such as potatoes, bread and pita, is lower, and ranges from 15% to 25%.</w:t>
      </w:r>
    </w:p>
    <w:p w14:paraId="47619E11" w14:textId="04DE64D8" w:rsidR="002D2C6F" w:rsidRPr="00BE6B46" w:rsidRDefault="002D2C6F" w:rsidP="00BE6B46">
      <w:pPr>
        <w:autoSpaceDE w:val="0"/>
        <w:autoSpaceDN w:val="0"/>
        <w:adjustRightInd w:val="0"/>
        <w:spacing w:after="0" w:line="360" w:lineRule="auto"/>
        <w:jc w:val="both"/>
        <w:rPr>
          <w:rFonts w:asciiTheme="minorBidi" w:hAnsiTheme="minorBidi"/>
          <w:b/>
          <w:bCs/>
          <w:szCs w:val="24"/>
        </w:rPr>
      </w:pPr>
      <w:r w:rsidRPr="00BE6B46">
        <w:rPr>
          <w:rFonts w:asciiTheme="minorBidi" w:hAnsiTheme="minorBidi"/>
          <w:szCs w:val="24"/>
        </w:rPr>
        <w:t xml:space="preserve">According to principles of economic theory, income in the form of goods is less preferable than income in the form of money, because it deprives the recipient of the freedom to allocate resources according to their full range of needs. Therefore, in principle, the general tendency is to prefer monetary support over the direct provision of products. This economic principle is also known as “subsidize people, not products.” However, </w:t>
      </w:r>
      <w:r w:rsidRPr="00BE6B46">
        <w:rPr>
          <w:rFonts w:asciiTheme="minorBidi" w:hAnsiTheme="minorBidi"/>
          <w:b/>
          <w:bCs/>
          <w:szCs w:val="24"/>
        </w:rPr>
        <w:t>in the case of food rescue, the unique set of circumstances present a clear economic advantage to supporting the needy with products over money. This stems from the specific characteristics involved in transforming waste into food, i.e. that every shekel invested in food rescue generates a direct economic return of 360%. Moreover, taking into consideration the environmental impact of greenhouse gas emissions, air pollutants, and waste treatment, the return on investment for the economy rises to 4</w:t>
      </w:r>
      <w:r w:rsidR="006C5665" w:rsidRPr="00BE6B46">
        <w:rPr>
          <w:rFonts w:asciiTheme="minorBidi" w:hAnsiTheme="minorBidi"/>
          <w:b/>
          <w:bCs/>
          <w:szCs w:val="24"/>
        </w:rPr>
        <w:t>3</w:t>
      </w:r>
      <w:r w:rsidRPr="00BE6B46">
        <w:rPr>
          <w:rFonts w:asciiTheme="minorBidi" w:hAnsiTheme="minorBidi"/>
          <w:b/>
          <w:bCs/>
          <w:szCs w:val="24"/>
        </w:rPr>
        <w:t xml:space="preserve">0%. </w:t>
      </w:r>
    </w:p>
    <w:p w14:paraId="06F9C6ED" w14:textId="77777777" w:rsidR="002D2C6F" w:rsidRPr="00BE6B46" w:rsidRDefault="002D2C6F" w:rsidP="00BE6B46">
      <w:pPr>
        <w:autoSpaceDE w:val="0"/>
        <w:autoSpaceDN w:val="0"/>
        <w:adjustRightInd w:val="0"/>
        <w:spacing w:after="0" w:line="360" w:lineRule="auto"/>
        <w:jc w:val="center"/>
        <w:rPr>
          <w:rFonts w:asciiTheme="minorBidi" w:hAnsiTheme="minorBidi"/>
          <w:szCs w:val="24"/>
        </w:rPr>
      </w:pPr>
    </w:p>
    <w:p w14:paraId="37511B62" w14:textId="77777777" w:rsidR="002D2C6F" w:rsidRPr="00BE6B46" w:rsidRDefault="002D2C6F"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lastRenderedPageBreak/>
        <w:t>In this context, it should be noted that those suffering from food insecurity also suffer from</w:t>
      </w:r>
    </w:p>
    <w:p w14:paraId="3D945BAA" w14:textId="77777777" w:rsidR="002D2C6F" w:rsidRPr="00BE6B46" w:rsidRDefault="002D2C6F" w:rsidP="00BE6B46">
      <w:pPr>
        <w:spacing w:line="360" w:lineRule="auto"/>
        <w:jc w:val="both"/>
        <w:rPr>
          <w:rFonts w:asciiTheme="minorBidi" w:hAnsiTheme="minorBidi"/>
          <w:szCs w:val="24"/>
        </w:rPr>
      </w:pPr>
      <w:r w:rsidRPr="00BE6B46">
        <w:rPr>
          <w:rFonts w:asciiTheme="minorBidi" w:hAnsiTheme="minorBidi"/>
          <w:szCs w:val="24"/>
        </w:rPr>
        <w:t>financial insecurity, expressed in consumption gaps for other basic necessities (housing, health, education, etc.). It is likely that food rescue would enable these households to effectively allocate some of their increased disposable income towards the consumption of other goods. From a social perspective, these households view consumption of such products as prerequisites for ensuring their financial security. Therefore, beyond the direct value of the rescued food distributed to them, they also benefit from having more resources available for purchasing other goods and services.</w:t>
      </w:r>
    </w:p>
    <w:p w14:paraId="6BBC33E5" w14:textId="19AC7FA7" w:rsidR="002D2C6F" w:rsidRPr="00BE6B46" w:rsidRDefault="002D2C6F" w:rsidP="00BE6B46">
      <w:pPr>
        <w:spacing w:line="360" w:lineRule="auto"/>
        <w:jc w:val="both"/>
        <w:rPr>
          <w:rFonts w:asciiTheme="minorBidi" w:hAnsiTheme="minorBidi"/>
          <w:szCs w:val="24"/>
        </w:rPr>
      </w:pPr>
      <w:r w:rsidRPr="00BE6B46">
        <w:rPr>
          <w:rFonts w:asciiTheme="minorBidi" w:hAnsiTheme="minorBidi"/>
          <w:szCs w:val="24"/>
        </w:rPr>
        <w:t>In September 2015, in the context of the Sustainable Development Goals,</w:t>
      </w:r>
      <w:r w:rsidRPr="00BE6B46">
        <w:rPr>
          <w:rStyle w:val="FootnoteReference"/>
          <w:rFonts w:asciiTheme="minorBidi" w:hAnsiTheme="minorBidi"/>
          <w:szCs w:val="24"/>
        </w:rPr>
        <w:footnoteReference w:id="5"/>
      </w:r>
      <w:r w:rsidRPr="00BE6B46">
        <w:rPr>
          <w:rFonts w:asciiTheme="minorBidi" w:hAnsiTheme="minorBidi"/>
          <w:szCs w:val="24"/>
        </w:rPr>
        <w:t xml:space="preserve"> the United Nations and United States government adopted the national goal of reducing food waste by 50% within fifteen years. Analysis of the data in this report shows that achieving even less than half of that goal, and donating the rescued food to approximately 45</w:t>
      </w:r>
      <w:r w:rsidR="006C5665" w:rsidRPr="00BE6B46">
        <w:rPr>
          <w:rFonts w:asciiTheme="minorBidi" w:hAnsiTheme="minorBidi"/>
          <w:szCs w:val="24"/>
        </w:rPr>
        <w:t>0</w:t>
      </w:r>
      <w:r w:rsidRPr="00BE6B46">
        <w:rPr>
          <w:rFonts w:asciiTheme="minorBidi" w:hAnsiTheme="minorBidi"/>
          <w:szCs w:val="24"/>
        </w:rPr>
        <w:t xml:space="preserve"> thousand households suffering from food insecurity in Israel, would fully close the gap between their food intake and the normative level</w:t>
      </w:r>
      <w:r w:rsidRPr="00BE6B46">
        <w:rPr>
          <w:rFonts w:asciiTheme="minorBidi" w:hAnsiTheme="minorBidi"/>
          <w:b/>
          <w:bCs/>
          <w:szCs w:val="24"/>
        </w:rPr>
        <w:t>. In terms of the national economy, this would mean annual savings of about NIS 2.</w:t>
      </w:r>
      <w:r w:rsidR="006C5665" w:rsidRPr="00BE6B46">
        <w:rPr>
          <w:rFonts w:asciiTheme="minorBidi" w:hAnsiTheme="minorBidi"/>
          <w:b/>
          <w:bCs/>
          <w:szCs w:val="24"/>
        </w:rPr>
        <w:t>5</w:t>
      </w:r>
      <w:r w:rsidRPr="00BE6B46">
        <w:rPr>
          <w:rFonts w:asciiTheme="minorBidi" w:hAnsiTheme="minorBidi"/>
          <w:b/>
          <w:bCs/>
          <w:szCs w:val="24"/>
        </w:rPr>
        <w:t xml:space="preserve"> billion, bridging the gap between the value of the rescued food and the cost of rescuing it. </w:t>
      </w:r>
      <w:r w:rsidRPr="00BE6B46">
        <w:rPr>
          <w:rFonts w:asciiTheme="minorBidi" w:hAnsiTheme="minorBidi"/>
          <w:szCs w:val="24"/>
        </w:rPr>
        <w:t>This is before taking into account the added benefits resulting from the reduction of poverty and inequality in the economy and before factoring in the external benefits to the environment.</w:t>
      </w:r>
    </w:p>
    <w:p w14:paraId="2E1FB687" w14:textId="09A9E803" w:rsidR="002D2C6F" w:rsidRPr="00BE6B46" w:rsidRDefault="002D2C6F"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t>It should be emphasized that the incremental implementation of the 50% national food waste reduction goal over a fifteen-year period is not expected to reduce the volume of agricultural production in Israel intended for local consumption compared to the current situation, but only to slow down the growth rate of local food production.</w:t>
      </w:r>
    </w:p>
    <w:p w14:paraId="5636735C" w14:textId="01F47A13" w:rsidR="006C5665" w:rsidRPr="00BE6B46" w:rsidRDefault="006C5665" w:rsidP="00BE6B46">
      <w:pPr>
        <w:rPr>
          <w:rFonts w:asciiTheme="minorBidi" w:hAnsiTheme="minorBidi"/>
          <w:szCs w:val="24"/>
        </w:rPr>
      </w:pPr>
      <w:r w:rsidRPr="00BE6B46">
        <w:rPr>
          <w:rFonts w:asciiTheme="minorBidi" w:hAnsiTheme="minorBidi"/>
          <w:szCs w:val="24"/>
        </w:rPr>
        <w:br w:type="page"/>
      </w:r>
    </w:p>
    <w:p w14:paraId="4905B445" w14:textId="02BAA9A6" w:rsidR="00CE6083" w:rsidRPr="00BE6B46" w:rsidRDefault="00CE6083" w:rsidP="00BE6B46">
      <w:pPr>
        <w:pStyle w:val="Heading1"/>
        <w:numPr>
          <w:ilvl w:val="0"/>
          <w:numId w:val="16"/>
        </w:numPr>
        <w:rPr>
          <w:rFonts w:asciiTheme="minorBidi" w:hAnsiTheme="minorBidi" w:cstheme="minorBidi"/>
          <w:b w:val="0"/>
          <w:bCs w:val="0"/>
        </w:rPr>
      </w:pPr>
      <w:r w:rsidRPr="00BE6B46">
        <w:rPr>
          <w:rFonts w:asciiTheme="minorBidi" w:hAnsiTheme="minorBidi" w:cstheme="minorBidi"/>
        </w:rPr>
        <w:lastRenderedPageBreak/>
        <w:t>Food Rescue: An Integrated Economic, Environmental, and Social Contribution</w:t>
      </w:r>
    </w:p>
    <w:p w14:paraId="38ECB30B" w14:textId="1FE6CD1B" w:rsidR="00CE6083" w:rsidRPr="00BE6B46" w:rsidRDefault="00CE6083" w:rsidP="00BE6B46">
      <w:pPr>
        <w:spacing w:line="360" w:lineRule="auto"/>
        <w:jc w:val="both"/>
        <w:rPr>
          <w:rFonts w:asciiTheme="minorBidi" w:hAnsiTheme="minorBidi"/>
          <w:b/>
          <w:bCs/>
          <w:szCs w:val="24"/>
        </w:rPr>
      </w:pPr>
      <w:r w:rsidRPr="00BE6B46">
        <w:rPr>
          <w:rFonts w:asciiTheme="minorBidi" w:hAnsiTheme="minorBidi"/>
          <w:b/>
          <w:bCs/>
          <w:szCs w:val="24"/>
        </w:rPr>
        <w:t>In 202</w:t>
      </w:r>
      <w:r w:rsidRPr="00BE6B46">
        <w:rPr>
          <w:rFonts w:asciiTheme="minorBidi" w:hAnsiTheme="minorBidi"/>
          <w:b/>
          <w:bCs/>
          <w:szCs w:val="24"/>
        </w:rPr>
        <w:t>1</w:t>
      </w:r>
      <w:r w:rsidRPr="00BE6B46">
        <w:rPr>
          <w:rFonts w:asciiTheme="minorBidi" w:hAnsiTheme="minorBidi"/>
          <w:b/>
          <w:bCs/>
          <w:szCs w:val="24"/>
        </w:rPr>
        <w:t xml:space="preserve">, there were </w:t>
      </w:r>
      <w:r w:rsidRPr="00BE6B46">
        <w:rPr>
          <w:rFonts w:asciiTheme="minorBidi" w:hAnsiTheme="minorBidi"/>
          <w:b/>
          <w:bCs/>
          <w:szCs w:val="24"/>
        </w:rPr>
        <w:t xml:space="preserve">more than </w:t>
      </w:r>
      <w:r w:rsidRPr="00BE6B46">
        <w:rPr>
          <w:rFonts w:asciiTheme="minorBidi" w:hAnsiTheme="minorBidi"/>
          <w:b/>
          <w:bCs/>
          <w:szCs w:val="24"/>
        </w:rPr>
        <w:t xml:space="preserve">1 million tons of rescuable food in Israel. The </w:t>
      </w:r>
      <w:r w:rsidRPr="00BE6B46">
        <w:rPr>
          <w:rFonts w:asciiTheme="minorBidi" w:hAnsiTheme="minorBidi"/>
          <w:b/>
          <w:bCs/>
          <w:szCs w:val="24"/>
        </w:rPr>
        <w:t xml:space="preserve">combination of </w:t>
      </w:r>
      <w:r w:rsidR="009F2242" w:rsidRPr="00BE6B46">
        <w:rPr>
          <w:rFonts w:asciiTheme="minorBidi" w:hAnsiTheme="minorBidi"/>
          <w:b/>
          <w:bCs/>
          <w:szCs w:val="24"/>
        </w:rPr>
        <w:t xml:space="preserve">an </w:t>
      </w:r>
      <w:r w:rsidRPr="00BE6B46">
        <w:rPr>
          <w:rFonts w:asciiTheme="minorBidi" w:hAnsiTheme="minorBidi"/>
          <w:b/>
          <w:bCs/>
          <w:szCs w:val="24"/>
        </w:rPr>
        <w:t xml:space="preserve">increase </w:t>
      </w:r>
      <w:r w:rsidRPr="00BE6B46">
        <w:rPr>
          <w:rFonts w:asciiTheme="minorBidi" w:hAnsiTheme="minorBidi"/>
          <w:b/>
          <w:bCs/>
          <w:szCs w:val="24"/>
        </w:rPr>
        <w:t>in food waste</w:t>
      </w:r>
      <w:r w:rsidRPr="00BE6B46">
        <w:rPr>
          <w:rFonts w:asciiTheme="minorBidi" w:hAnsiTheme="minorBidi"/>
          <w:b/>
          <w:bCs/>
          <w:szCs w:val="24"/>
        </w:rPr>
        <w:t xml:space="preserve">, the climate crisis, the problem of </w:t>
      </w:r>
      <w:r w:rsidRPr="00BE6B46">
        <w:rPr>
          <w:rFonts w:asciiTheme="minorBidi" w:hAnsiTheme="minorBidi"/>
          <w:b/>
          <w:bCs/>
          <w:szCs w:val="24"/>
        </w:rPr>
        <w:t xml:space="preserve">food insecurity </w:t>
      </w:r>
      <w:r w:rsidRPr="00BE6B46">
        <w:rPr>
          <w:rFonts w:asciiTheme="minorBidi" w:hAnsiTheme="minorBidi"/>
          <w:b/>
          <w:bCs/>
          <w:szCs w:val="24"/>
        </w:rPr>
        <w:t xml:space="preserve">and the </w:t>
      </w:r>
      <w:r w:rsidR="00023400" w:rsidRPr="00BE6B46">
        <w:rPr>
          <w:rFonts w:asciiTheme="minorBidi" w:hAnsiTheme="minorBidi"/>
          <w:b/>
          <w:bCs/>
          <w:szCs w:val="24"/>
        </w:rPr>
        <w:t xml:space="preserve">percentage </w:t>
      </w:r>
      <w:r w:rsidRPr="00BE6B46">
        <w:rPr>
          <w:rFonts w:asciiTheme="minorBidi" w:hAnsiTheme="minorBidi"/>
          <w:b/>
          <w:bCs/>
          <w:szCs w:val="24"/>
        </w:rPr>
        <w:t xml:space="preserve">of households </w:t>
      </w:r>
      <w:r w:rsidR="00023400" w:rsidRPr="00BE6B46">
        <w:rPr>
          <w:rFonts w:asciiTheme="minorBidi" w:hAnsiTheme="minorBidi"/>
          <w:b/>
          <w:bCs/>
          <w:szCs w:val="24"/>
        </w:rPr>
        <w:t xml:space="preserve">living with food insecurity in Israel </w:t>
      </w:r>
      <w:r w:rsidRPr="00BE6B46">
        <w:rPr>
          <w:rFonts w:asciiTheme="minorBidi" w:hAnsiTheme="minorBidi"/>
          <w:b/>
          <w:bCs/>
          <w:szCs w:val="24"/>
        </w:rPr>
        <w:t>reinforce</w:t>
      </w:r>
      <w:r w:rsidR="00023400" w:rsidRPr="00BE6B46">
        <w:rPr>
          <w:rFonts w:asciiTheme="minorBidi" w:hAnsiTheme="minorBidi"/>
          <w:b/>
          <w:bCs/>
          <w:szCs w:val="24"/>
        </w:rPr>
        <w:t>s</w:t>
      </w:r>
      <w:r w:rsidRPr="00BE6B46">
        <w:rPr>
          <w:rFonts w:asciiTheme="minorBidi" w:hAnsiTheme="minorBidi"/>
          <w:b/>
          <w:bCs/>
          <w:szCs w:val="24"/>
        </w:rPr>
        <w:t xml:space="preserve"> the national need to use food rescue as a central national policy tool</w:t>
      </w:r>
      <w:r w:rsidRPr="00BE6B46">
        <w:rPr>
          <w:rFonts w:asciiTheme="minorBidi" w:hAnsiTheme="minorBidi"/>
          <w:szCs w:val="24"/>
        </w:rPr>
        <w:t xml:space="preserve">. </w:t>
      </w:r>
    </w:p>
    <w:p w14:paraId="6B9D803D" w14:textId="2B0827C1"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 xml:space="preserve">Food waste is an international phenomenon. It is not unique to the Israeli economy and exists on a similar scale in all Western countries. The United Nations estimates that, in quantitative terms, </w:t>
      </w:r>
      <w:r w:rsidR="00023400" w:rsidRPr="00BE6B46">
        <w:rPr>
          <w:rFonts w:asciiTheme="minorBidi" w:hAnsiTheme="minorBidi"/>
          <w:szCs w:val="24"/>
        </w:rPr>
        <w:t xml:space="preserve">more than </w:t>
      </w:r>
      <w:r w:rsidRPr="00BE6B46">
        <w:rPr>
          <w:rFonts w:asciiTheme="minorBidi" w:hAnsiTheme="minorBidi"/>
          <w:szCs w:val="24"/>
        </w:rPr>
        <w:t>one</w:t>
      </w:r>
      <w:r w:rsidR="00023400" w:rsidRPr="00BE6B46">
        <w:rPr>
          <w:rFonts w:asciiTheme="minorBidi" w:hAnsiTheme="minorBidi"/>
          <w:szCs w:val="24"/>
        </w:rPr>
        <w:t>-</w:t>
      </w:r>
      <w:r w:rsidRPr="00BE6B46">
        <w:rPr>
          <w:rFonts w:asciiTheme="minorBidi" w:hAnsiTheme="minorBidi"/>
          <w:szCs w:val="24"/>
        </w:rPr>
        <w:t>third of all the food produced worldwide is wasted, which translates into approximately one</w:t>
      </w:r>
      <w:r w:rsidR="00023400" w:rsidRPr="00BE6B46">
        <w:rPr>
          <w:rFonts w:asciiTheme="minorBidi" w:hAnsiTheme="minorBidi"/>
          <w:szCs w:val="24"/>
        </w:rPr>
        <w:t>-</w:t>
      </w:r>
      <w:r w:rsidRPr="00BE6B46">
        <w:rPr>
          <w:rFonts w:asciiTheme="minorBidi" w:hAnsiTheme="minorBidi"/>
          <w:szCs w:val="24"/>
        </w:rPr>
        <w:t>quarter in terms of the total caloric value.</w:t>
      </w:r>
    </w:p>
    <w:p w14:paraId="008502AC" w14:textId="34700DC1" w:rsidR="00CE6083" w:rsidRPr="00BE6B46" w:rsidRDefault="00CE6083"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t xml:space="preserve">The Food Recovery Hierarchy set forth in the European Union's directive on food waste sets priorities for the treatment of unconsumed food. </w:t>
      </w:r>
      <w:r w:rsidR="009F2242" w:rsidRPr="00BE6B46">
        <w:rPr>
          <w:rFonts w:asciiTheme="minorBidi" w:hAnsiTheme="minorBidi"/>
          <w:szCs w:val="24"/>
        </w:rPr>
        <w:t xml:space="preserve">Each </w:t>
      </w:r>
      <w:r w:rsidR="00023400" w:rsidRPr="00BE6B46">
        <w:rPr>
          <w:rFonts w:asciiTheme="minorBidi" w:hAnsiTheme="minorBidi"/>
          <w:szCs w:val="24"/>
        </w:rPr>
        <w:t xml:space="preserve">stage in this hierarchy focuses on a different strategy for managing food waste. Within the </w:t>
      </w:r>
      <w:r w:rsidRPr="00BE6B46">
        <w:rPr>
          <w:rFonts w:asciiTheme="minorBidi" w:hAnsiTheme="minorBidi"/>
          <w:szCs w:val="24"/>
        </w:rPr>
        <w:t>hierarchy</w:t>
      </w:r>
      <w:r w:rsidR="009F2242" w:rsidRPr="00BE6B46">
        <w:rPr>
          <w:rFonts w:asciiTheme="minorBidi" w:hAnsiTheme="minorBidi"/>
          <w:szCs w:val="24"/>
        </w:rPr>
        <w:t>,</w:t>
      </w:r>
      <w:r w:rsidRPr="00BE6B46">
        <w:rPr>
          <w:rFonts w:asciiTheme="minorBidi" w:hAnsiTheme="minorBidi"/>
          <w:szCs w:val="24"/>
        </w:rPr>
        <w:t xml:space="preserve"> </w:t>
      </w:r>
      <w:r w:rsidR="00023400" w:rsidRPr="00BE6B46">
        <w:rPr>
          <w:rFonts w:asciiTheme="minorBidi" w:hAnsiTheme="minorBidi"/>
          <w:szCs w:val="24"/>
        </w:rPr>
        <w:t xml:space="preserve">preventing </w:t>
      </w:r>
      <w:r w:rsidRPr="00BE6B46">
        <w:rPr>
          <w:rFonts w:asciiTheme="minorBidi" w:hAnsiTheme="minorBidi"/>
          <w:szCs w:val="24"/>
        </w:rPr>
        <w:t>food waste and using wasted food to feed underprivileged populations</w:t>
      </w:r>
      <w:r w:rsidR="00023400" w:rsidRPr="00BE6B46">
        <w:rPr>
          <w:rFonts w:asciiTheme="minorBidi" w:hAnsiTheme="minorBidi"/>
          <w:szCs w:val="24"/>
        </w:rPr>
        <w:t xml:space="preserve"> are clearly preferred, because these methods for managing food waste have the </w:t>
      </w:r>
      <w:r w:rsidR="009F2242" w:rsidRPr="00BE6B46">
        <w:rPr>
          <w:rFonts w:asciiTheme="minorBidi" w:hAnsiTheme="minorBidi"/>
          <w:szCs w:val="24"/>
        </w:rPr>
        <w:t xml:space="preserve">greatest </w:t>
      </w:r>
      <w:r w:rsidR="00023400" w:rsidRPr="00BE6B46">
        <w:rPr>
          <w:rFonts w:asciiTheme="minorBidi" w:hAnsiTheme="minorBidi"/>
          <w:szCs w:val="24"/>
        </w:rPr>
        <w:t>environmental, economic and social advantages, and therefore are the most efficient</w:t>
      </w:r>
      <w:r w:rsidRPr="00BE6B46">
        <w:rPr>
          <w:rFonts w:asciiTheme="minorBidi" w:hAnsiTheme="minorBidi"/>
          <w:szCs w:val="24"/>
        </w:rPr>
        <w:t>.</w:t>
      </w:r>
    </w:p>
    <w:p w14:paraId="09C43BAE" w14:textId="77777777" w:rsidR="00CE6083" w:rsidRPr="00BE6B46" w:rsidRDefault="00CE6083" w:rsidP="00BE6B46">
      <w:pPr>
        <w:autoSpaceDE w:val="0"/>
        <w:autoSpaceDN w:val="0"/>
        <w:adjustRightInd w:val="0"/>
        <w:spacing w:after="0" w:line="360" w:lineRule="auto"/>
        <w:jc w:val="both"/>
        <w:rPr>
          <w:rFonts w:asciiTheme="minorBidi" w:hAnsiTheme="minorBidi"/>
          <w:szCs w:val="24"/>
        </w:rPr>
      </w:pPr>
    </w:p>
    <w:p w14:paraId="483248B8" w14:textId="77777777" w:rsidR="00CE6083" w:rsidRPr="00BE6B46" w:rsidRDefault="00CE6083"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t>The Economic-Environmental Food Recovery Hierarchy</w:t>
      </w:r>
    </w:p>
    <w:p w14:paraId="4C1C9D43" w14:textId="77777777" w:rsidR="00CE6083" w:rsidRPr="00BE6B46" w:rsidRDefault="00CE6083"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noProof/>
          <w:sz w:val="18"/>
          <w:szCs w:val="18"/>
        </w:rPr>
        <w:drawing>
          <wp:inline distT="0" distB="0" distL="0" distR="0" wp14:anchorId="1F064848" wp14:editId="3E97B8CC">
            <wp:extent cx="4211320" cy="2194560"/>
            <wp:effectExtent l="19050" t="0" r="36830" b="15240"/>
            <wp:docPr id="287446" name="Diagram 2874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C9F068" w14:textId="77777777" w:rsidR="00CE6083" w:rsidRPr="00BE6B46" w:rsidRDefault="00CE6083" w:rsidP="00BE6B46">
      <w:pPr>
        <w:autoSpaceDE w:val="0"/>
        <w:autoSpaceDN w:val="0"/>
        <w:adjustRightInd w:val="0"/>
        <w:spacing w:after="0" w:line="360" w:lineRule="auto"/>
        <w:jc w:val="both"/>
        <w:rPr>
          <w:rFonts w:asciiTheme="minorBidi" w:hAnsiTheme="minorBidi"/>
          <w:sz w:val="20"/>
          <w:szCs w:val="20"/>
        </w:rPr>
      </w:pPr>
      <w:r w:rsidRPr="00BE6B46">
        <w:rPr>
          <w:rFonts w:asciiTheme="minorBidi" w:hAnsiTheme="minorBidi"/>
          <w:sz w:val="20"/>
          <w:szCs w:val="20"/>
        </w:rPr>
        <w:t>Source: EPA</w:t>
      </w:r>
    </w:p>
    <w:p w14:paraId="5E1869D2" w14:textId="77777777" w:rsidR="00CE6083" w:rsidRPr="00BE6B46" w:rsidRDefault="00CE6083" w:rsidP="00BE6B46">
      <w:pPr>
        <w:autoSpaceDE w:val="0"/>
        <w:autoSpaceDN w:val="0"/>
        <w:adjustRightInd w:val="0"/>
        <w:spacing w:after="0" w:line="360" w:lineRule="auto"/>
        <w:jc w:val="both"/>
        <w:rPr>
          <w:rFonts w:asciiTheme="minorBidi" w:hAnsiTheme="minorBidi"/>
          <w:sz w:val="20"/>
          <w:szCs w:val="20"/>
        </w:rPr>
      </w:pPr>
    </w:p>
    <w:p w14:paraId="69A0854A" w14:textId="77777777"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 xml:space="preserve">Many policy measures exist to address the needs of underprivileged populations and to help alleviate the problem of food insecurity. The most commonly used methods in Israel include donations, subsidies, stipends, and financial aid. Food rescue is unique in that it makes it </w:t>
      </w:r>
      <w:r w:rsidRPr="00BE6B46">
        <w:rPr>
          <w:rFonts w:asciiTheme="minorBidi" w:hAnsiTheme="minorBidi"/>
          <w:szCs w:val="24"/>
        </w:rPr>
        <w:lastRenderedPageBreak/>
        <w:t>possible to help those in need at a low budgetary and economic cost: instead of having to finance the full cost of buying food, only the cost of food rescue needs to be financed.</w:t>
      </w:r>
    </w:p>
    <w:p w14:paraId="2F186C55" w14:textId="77777777"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 xml:space="preserve">In the socioeconomic discourse in Israel and around the world there is an ongoing dispute between those who advocate prioritizing growth (“increasing the pie”) and those who believe the reduction of inequality should be prioritized as a main goal. </w:t>
      </w:r>
    </w:p>
    <w:p w14:paraId="563EC767" w14:textId="77777777" w:rsidR="00CE6083" w:rsidRPr="00BE6B46" w:rsidRDefault="00CE6083" w:rsidP="00BE6B46">
      <w:pPr>
        <w:autoSpaceDE w:val="0"/>
        <w:autoSpaceDN w:val="0"/>
        <w:adjustRightInd w:val="0"/>
        <w:spacing w:after="240" w:line="360" w:lineRule="auto"/>
        <w:jc w:val="both"/>
        <w:rPr>
          <w:rFonts w:asciiTheme="minorBidi" w:hAnsiTheme="minorBidi"/>
          <w:b/>
          <w:bCs/>
          <w:szCs w:val="24"/>
        </w:rPr>
      </w:pPr>
      <w:r w:rsidRPr="00BE6B46">
        <w:rPr>
          <w:rFonts w:asciiTheme="minorBidi" w:hAnsiTheme="minorBidi"/>
          <w:szCs w:val="24"/>
        </w:rPr>
        <w:t xml:space="preserve">Food rescue is unique because it is a policy tool that inherently integrates both of these approaches. </w:t>
      </w:r>
      <w:r w:rsidRPr="00BE6B46">
        <w:rPr>
          <w:rFonts w:asciiTheme="minorBidi" w:hAnsiTheme="minorBidi"/>
          <w:b/>
          <w:bCs/>
          <w:szCs w:val="24"/>
        </w:rPr>
        <w:t>Rescuing food and distributing it to underprivileged populations increases economic productivity while simultaneously reducing inequality.</w:t>
      </w:r>
    </w:p>
    <w:p w14:paraId="41749754" w14:textId="74FE3184" w:rsidR="00CE6083" w:rsidRPr="00BE6B46" w:rsidRDefault="00630F86"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Furthermore, crisis and emergency situations</w:t>
      </w:r>
      <w:r w:rsidR="00EB42B5" w:rsidRPr="00BE6B46">
        <w:rPr>
          <w:rFonts w:asciiTheme="minorBidi" w:hAnsiTheme="minorBidi"/>
          <w:szCs w:val="24"/>
        </w:rPr>
        <w:t xml:space="preserve"> –</w:t>
      </w:r>
      <w:r w:rsidRPr="00BE6B46">
        <w:rPr>
          <w:rFonts w:asciiTheme="minorBidi" w:hAnsiTheme="minorBidi"/>
          <w:szCs w:val="24"/>
        </w:rPr>
        <w:t xml:space="preserve"> such as </w:t>
      </w:r>
      <w:r w:rsidR="00EB42B5" w:rsidRPr="00BE6B46">
        <w:rPr>
          <w:rFonts w:asciiTheme="minorBidi" w:hAnsiTheme="minorBidi"/>
          <w:szCs w:val="24"/>
        </w:rPr>
        <w:t>Covid</w:t>
      </w:r>
      <w:r w:rsidRPr="00BE6B46">
        <w:rPr>
          <w:rFonts w:asciiTheme="minorBidi" w:hAnsiTheme="minorBidi"/>
          <w:szCs w:val="24"/>
        </w:rPr>
        <w:t>-19 and the climate crisis</w:t>
      </w:r>
      <w:r w:rsidR="00EB42B5" w:rsidRPr="00BE6B46">
        <w:rPr>
          <w:rFonts w:asciiTheme="minorBidi" w:hAnsiTheme="minorBidi"/>
          <w:szCs w:val="24"/>
        </w:rPr>
        <w:t xml:space="preserve"> – underscore the </w:t>
      </w:r>
      <w:r w:rsidRPr="00BE6B46">
        <w:rPr>
          <w:rFonts w:asciiTheme="minorBidi" w:hAnsiTheme="minorBidi"/>
          <w:szCs w:val="24"/>
        </w:rPr>
        <w:t xml:space="preserve">possible scenarios for instability in the local and international food supply. </w:t>
      </w:r>
      <w:r w:rsidR="00EB42B5" w:rsidRPr="00BE6B46">
        <w:rPr>
          <w:rFonts w:asciiTheme="minorBidi" w:hAnsiTheme="minorBidi"/>
          <w:szCs w:val="24"/>
        </w:rPr>
        <w:t xml:space="preserve">Thus, </w:t>
      </w:r>
      <w:r w:rsidRPr="00BE6B46">
        <w:rPr>
          <w:rFonts w:asciiTheme="minorBidi" w:hAnsiTheme="minorBidi"/>
          <w:szCs w:val="24"/>
        </w:rPr>
        <w:t xml:space="preserve">food rescue is </w:t>
      </w:r>
      <w:r w:rsidR="00EB42B5" w:rsidRPr="00BE6B46">
        <w:rPr>
          <w:rFonts w:asciiTheme="minorBidi" w:hAnsiTheme="minorBidi"/>
          <w:szCs w:val="24"/>
        </w:rPr>
        <w:t xml:space="preserve">also </w:t>
      </w:r>
      <w:r w:rsidRPr="00BE6B46">
        <w:rPr>
          <w:rFonts w:asciiTheme="minorBidi" w:hAnsiTheme="minorBidi"/>
          <w:szCs w:val="24"/>
        </w:rPr>
        <w:t xml:space="preserve">a tool for expanding food reserves and ensuring food security in times of crisis. </w:t>
      </w:r>
    </w:p>
    <w:p w14:paraId="30DE5459" w14:textId="77777777"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The importance of rescuing food stems from three main benefits:</w:t>
      </w:r>
    </w:p>
    <w:p w14:paraId="612A64B5" w14:textId="7509EFAB" w:rsidR="00CE6083" w:rsidRPr="00BE6B46" w:rsidRDefault="00CE6083" w:rsidP="00BE6B46">
      <w:pPr>
        <w:pStyle w:val="ListParagraph"/>
        <w:numPr>
          <w:ilvl w:val="0"/>
          <w:numId w:val="15"/>
        </w:numPr>
        <w:autoSpaceDE w:val="0"/>
        <w:autoSpaceDN w:val="0"/>
        <w:adjustRightInd w:val="0"/>
        <w:spacing w:after="240" w:line="360" w:lineRule="auto"/>
        <w:contextualSpacing w:val="0"/>
        <w:jc w:val="both"/>
        <w:rPr>
          <w:rFonts w:asciiTheme="minorBidi" w:hAnsiTheme="minorBidi"/>
          <w:szCs w:val="24"/>
        </w:rPr>
      </w:pPr>
      <w:r w:rsidRPr="00BE6B46">
        <w:rPr>
          <w:rFonts w:asciiTheme="minorBidi" w:hAnsiTheme="minorBidi"/>
          <w:b/>
          <w:bCs/>
          <w:szCs w:val="24"/>
        </w:rPr>
        <w:t xml:space="preserve">The economic benefit </w:t>
      </w:r>
      <w:r w:rsidRPr="00BE6B46">
        <w:rPr>
          <w:rFonts w:asciiTheme="minorBidi" w:hAnsiTheme="minorBidi"/>
          <w:szCs w:val="24"/>
        </w:rPr>
        <w:t>- Food waste is detrimental to economic productivity because of the production and labor inputs that are irretrievably lost. Food rescue means converting waste with zero or negative value into a product that has economic value and giving it to underprivileged populations to consume, without the need to invest additional production inputs. It costs less to rescue food than it does to produce and transport it. This, and the fact that rescued food retains its full nutritional value, explain how food rescue contributes to increasing productivity in the economy.</w:t>
      </w:r>
    </w:p>
    <w:p w14:paraId="32666546" w14:textId="77777777" w:rsidR="00CE6083" w:rsidRPr="00BE6B46" w:rsidRDefault="00CE6083" w:rsidP="00BE6B46">
      <w:pPr>
        <w:pStyle w:val="ListParagraph"/>
        <w:numPr>
          <w:ilvl w:val="0"/>
          <w:numId w:val="15"/>
        </w:numPr>
        <w:autoSpaceDE w:val="0"/>
        <w:autoSpaceDN w:val="0"/>
        <w:adjustRightInd w:val="0"/>
        <w:spacing w:after="240" w:line="360" w:lineRule="auto"/>
        <w:contextualSpacing w:val="0"/>
        <w:jc w:val="both"/>
        <w:rPr>
          <w:rFonts w:asciiTheme="minorBidi" w:hAnsiTheme="minorBidi"/>
          <w:szCs w:val="24"/>
        </w:rPr>
      </w:pPr>
      <w:r w:rsidRPr="00BE6B46">
        <w:rPr>
          <w:rFonts w:asciiTheme="minorBidi" w:hAnsiTheme="minorBidi"/>
          <w:b/>
          <w:bCs/>
          <w:szCs w:val="24"/>
        </w:rPr>
        <w:t xml:space="preserve">The social benefit </w:t>
      </w:r>
      <w:r w:rsidRPr="00BE6B46">
        <w:rPr>
          <w:rFonts w:asciiTheme="minorBidi" w:hAnsiTheme="minorBidi"/>
          <w:szCs w:val="24"/>
        </w:rPr>
        <w:t xml:space="preserve">- The cost of food waste throughout the entire value chain, from growing and production through distribution, sales, and consumption, is ultimately passed onto the consumer and affects the cost of living in Israel. Therefore, food rescue contributes to closing gaps in society and lowering the cost of living, and reduces food insecurity among underprivileged populations. </w:t>
      </w:r>
    </w:p>
    <w:p w14:paraId="6E35DEF6" w14:textId="77777777" w:rsidR="00CE6083" w:rsidRPr="00BE6B46" w:rsidRDefault="00CE6083" w:rsidP="00BE6B46">
      <w:pPr>
        <w:pStyle w:val="ListParagraph"/>
        <w:numPr>
          <w:ilvl w:val="0"/>
          <w:numId w:val="15"/>
        </w:numPr>
        <w:autoSpaceDE w:val="0"/>
        <w:autoSpaceDN w:val="0"/>
        <w:adjustRightInd w:val="0"/>
        <w:spacing w:after="240" w:line="360" w:lineRule="auto"/>
        <w:contextualSpacing w:val="0"/>
        <w:jc w:val="both"/>
        <w:rPr>
          <w:rFonts w:asciiTheme="minorBidi" w:hAnsiTheme="minorBidi"/>
          <w:szCs w:val="24"/>
        </w:rPr>
      </w:pPr>
      <w:r w:rsidRPr="00BE6B46">
        <w:rPr>
          <w:rFonts w:asciiTheme="minorBidi" w:hAnsiTheme="minorBidi"/>
          <w:b/>
          <w:bCs/>
          <w:szCs w:val="24"/>
        </w:rPr>
        <w:t xml:space="preserve">The environmental benefit </w:t>
      </w:r>
      <w:r w:rsidRPr="00BE6B46">
        <w:rPr>
          <w:rFonts w:asciiTheme="minorBidi" w:hAnsiTheme="minorBidi"/>
          <w:szCs w:val="24"/>
        </w:rPr>
        <w:t xml:space="preserve">- During the growing, production, distribution, and sales processes, about 35% of the volume of local food production is lost and turns into waste or surpluses. When that happens, all of the resources required to cultivate and produce </w:t>
      </w:r>
      <w:r w:rsidRPr="00BE6B46">
        <w:rPr>
          <w:rFonts w:asciiTheme="minorBidi" w:hAnsiTheme="minorBidi"/>
          <w:szCs w:val="24"/>
        </w:rPr>
        <w:lastRenderedPageBreak/>
        <w:t>the food are irretrievably lost. These include land, water, fertilizers, chemicals, and energy. Some food production also requires animal feed and uses resources to grow and produce it. Many of the resources used by the food industry are non-renewable and their use adversely affects water, soil, air, and biodiversity. Furthermore, agriculture causes air pollution as a result of energy and fuel consumption.</w:t>
      </w:r>
    </w:p>
    <w:p w14:paraId="511FD6B8" w14:textId="77777777" w:rsidR="00CE6083" w:rsidRPr="00BE6B46" w:rsidRDefault="00CE6083" w:rsidP="00BE6B46">
      <w:pPr>
        <w:pStyle w:val="ListParagraph"/>
        <w:autoSpaceDE w:val="0"/>
        <w:autoSpaceDN w:val="0"/>
        <w:adjustRightInd w:val="0"/>
        <w:spacing w:after="240" w:line="360" w:lineRule="auto"/>
        <w:contextualSpacing w:val="0"/>
        <w:jc w:val="both"/>
        <w:rPr>
          <w:rFonts w:asciiTheme="minorBidi" w:hAnsiTheme="minorBidi"/>
          <w:szCs w:val="24"/>
        </w:rPr>
      </w:pPr>
      <w:r w:rsidRPr="00BE6B46">
        <w:rPr>
          <w:rFonts w:asciiTheme="minorBidi" w:hAnsiTheme="minorBidi"/>
          <w:szCs w:val="24"/>
        </w:rPr>
        <w:t>However, the environmental impact of food waste is not only the result of excessive food production. It is also caused by food waste treatment, as most food waste is transferred to landfills. Landfilling damages the soil and contributes to climate change due to methane emissions produced by the decomposition of organic waste. Moreover, approximately one third of household waste consists of organic waste originating in food. Therefore, discarded food increases the volume of waste requiring treatment and affects the quality of other recyclable materials found in household waste. Food rescue maximizes the use of the resources already invested in producing the food and prevents the need to use additional environmental and other resources.</w:t>
      </w:r>
    </w:p>
    <w:p w14:paraId="5559F311" w14:textId="77777777"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The combination of these three characteristics of food rescue call for appropriate policy tools that reflect these benefits.</w:t>
      </w:r>
    </w:p>
    <w:p w14:paraId="70CAAFE4" w14:textId="77777777" w:rsidR="00CE6083" w:rsidRPr="00BE6B46" w:rsidRDefault="00CE6083"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t>The Benefits of Food Rescue</w:t>
      </w:r>
    </w:p>
    <w:tbl>
      <w:tblPr>
        <w:tblStyle w:val="MediumShading1-Accent1"/>
        <w:tblW w:w="0" w:type="auto"/>
        <w:tblLook w:val="04A0" w:firstRow="1" w:lastRow="0" w:firstColumn="1" w:lastColumn="0" w:noHBand="0" w:noVBand="1"/>
      </w:tblPr>
      <w:tblGrid>
        <w:gridCol w:w="3464"/>
        <w:gridCol w:w="2554"/>
        <w:gridCol w:w="2841"/>
      </w:tblGrid>
      <w:tr w:rsidR="00CE6083" w:rsidRPr="00BE6B46" w14:paraId="73B20350" w14:textId="77777777" w:rsidTr="00E61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14:paraId="2ACAB50A" w14:textId="77777777" w:rsidR="00CE6083" w:rsidRPr="00BE6B46" w:rsidRDefault="00CE6083" w:rsidP="00BE6B46">
            <w:pPr>
              <w:jc w:val="center"/>
              <w:rPr>
                <w:rFonts w:asciiTheme="minorBidi" w:hAnsiTheme="minorBidi"/>
                <w:sz w:val="22"/>
                <w:rtl/>
              </w:rPr>
            </w:pPr>
          </w:p>
        </w:tc>
        <w:tc>
          <w:tcPr>
            <w:tcW w:w="2554" w:type="dxa"/>
            <w:vAlign w:val="center"/>
          </w:tcPr>
          <w:p w14:paraId="3D901A2C" w14:textId="77777777" w:rsidR="00CE6083" w:rsidRPr="00BE6B46" w:rsidRDefault="00CE6083" w:rsidP="00BE6B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2"/>
                <w:rtl/>
              </w:rPr>
            </w:pPr>
            <w:r w:rsidRPr="00BE6B46">
              <w:rPr>
                <w:rFonts w:asciiTheme="minorBidi" w:hAnsiTheme="minorBidi"/>
                <w:sz w:val="22"/>
              </w:rPr>
              <w:t>Food Production</w:t>
            </w:r>
          </w:p>
        </w:tc>
        <w:tc>
          <w:tcPr>
            <w:tcW w:w="2841" w:type="dxa"/>
            <w:vAlign w:val="center"/>
          </w:tcPr>
          <w:p w14:paraId="5C48E625" w14:textId="77777777" w:rsidR="00CE6083" w:rsidRPr="00BE6B46" w:rsidRDefault="00CE6083" w:rsidP="00BE6B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2"/>
                <w:rtl/>
              </w:rPr>
            </w:pPr>
            <w:r w:rsidRPr="00BE6B46">
              <w:rPr>
                <w:rFonts w:asciiTheme="minorBidi" w:hAnsiTheme="minorBidi"/>
                <w:sz w:val="22"/>
              </w:rPr>
              <w:t>Food Rescue</w:t>
            </w:r>
          </w:p>
        </w:tc>
      </w:tr>
      <w:tr w:rsidR="00CE6083" w:rsidRPr="00BE6B46" w14:paraId="04F1ED73"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F360728" w14:textId="77777777" w:rsidR="00CE6083" w:rsidRPr="00BE6B46" w:rsidRDefault="00CE6083" w:rsidP="00BE6B46">
            <w:pPr>
              <w:jc w:val="both"/>
              <w:rPr>
                <w:rFonts w:asciiTheme="minorBidi" w:hAnsiTheme="minorBidi"/>
                <w:sz w:val="22"/>
                <w:rtl/>
              </w:rPr>
            </w:pPr>
            <w:r w:rsidRPr="00BE6B46">
              <w:rPr>
                <w:rFonts w:asciiTheme="minorBidi" w:hAnsiTheme="minorBidi"/>
                <w:sz w:val="22"/>
              </w:rPr>
              <w:t>Product</w:t>
            </w:r>
          </w:p>
        </w:tc>
        <w:tc>
          <w:tcPr>
            <w:tcW w:w="2554" w:type="dxa"/>
          </w:tcPr>
          <w:p w14:paraId="26BD3D02" w14:textId="77777777" w:rsidR="00CE6083" w:rsidRPr="00BE6B46" w:rsidRDefault="00CE6083" w:rsidP="00BE6B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Nutritional Foods</w:t>
            </w:r>
          </w:p>
        </w:tc>
        <w:tc>
          <w:tcPr>
            <w:tcW w:w="2841" w:type="dxa"/>
          </w:tcPr>
          <w:p w14:paraId="44DA4766" w14:textId="77777777" w:rsidR="00CE6083" w:rsidRPr="00BE6B46" w:rsidRDefault="00CE6083" w:rsidP="00BE6B46">
            <w:pP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Nutritional Foods that May be Aesthetically Flawed</w:t>
            </w:r>
          </w:p>
        </w:tc>
      </w:tr>
      <w:tr w:rsidR="00CE6083" w:rsidRPr="00BE6B46" w14:paraId="7FE99D70" w14:textId="77777777" w:rsidTr="00E61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02EFCA3" w14:textId="77777777" w:rsidR="00CE6083" w:rsidRPr="00BE6B46" w:rsidRDefault="00CE6083" w:rsidP="00BE6B46">
            <w:pPr>
              <w:spacing w:line="360" w:lineRule="auto"/>
              <w:jc w:val="both"/>
              <w:rPr>
                <w:rFonts w:asciiTheme="minorBidi" w:hAnsiTheme="minorBidi"/>
                <w:sz w:val="22"/>
                <w:rtl/>
              </w:rPr>
            </w:pPr>
            <w:r w:rsidRPr="00BE6B46">
              <w:rPr>
                <w:rFonts w:asciiTheme="minorBidi" w:hAnsiTheme="minorBidi"/>
                <w:sz w:val="22"/>
              </w:rPr>
              <w:t>Nutritional Value</w:t>
            </w:r>
          </w:p>
        </w:tc>
        <w:tc>
          <w:tcPr>
            <w:tcW w:w="2554" w:type="dxa"/>
          </w:tcPr>
          <w:p w14:paraId="359EEB55" w14:textId="77777777" w:rsidR="00CE6083" w:rsidRPr="00BE6B46" w:rsidRDefault="00CE6083" w:rsidP="00BE6B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sz w:val="22"/>
                <w:rtl/>
              </w:rPr>
              <w:t>100%</w:t>
            </w:r>
          </w:p>
        </w:tc>
        <w:tc>
          <w:tcPr>
            <w:tcW w:w="2841" w:type="dxa"/>
          </w:tcPr>
          <w:p w14:paraId="2CB6E7DC" w14:textId="77777777" w:rsidR="00CE6083" w:rsidRPr="00BE6B46" w:rsidRDefault="00CE6083" w:rsidP="00BE6B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sz w:val="22"/>
                <w:rtl/>
              </w:rPr>
              <w:t>100%</w:t>
            </w:r>
          </w:p>
        </w:tc>
      </w:tr>
      <w:tr w:rsidR="00CE6083" w:rsidRPr="00BE6B46" w14:paraId="085A36A9"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049CC92" w14:textId="77777777" w:rsidR="00CE6083" w:rsidRPr="00BE6B46" w:rsidRDefault="00CE6083" w:rsidP="00BE6B46">
            <w:pPr>
              <w:spacing w:line="360" w:lineRule="auto"/>
              <w:jc w:val="both"/>
              <w:rPr>
                <w:rFonts w:asciiTheme="minorBidi" w:hAnsiTheme="minorBidi"/>
                <w:sz w:val="22"/>
                <w:rtl/>
              </w:rPr>
            </w:pPr>
            <w:r w:rsidRPr="00BE6B46">
              <w:rPr>
                <w:rFonts w:asciiTheme="minorBidi" w:hAnsiTheme="minorBidi"/>
                <w:sz w:val="22"/>
              </w:rPr>
              <w:t>Land Use</w:t>
            </w:r>
          </w:p>
        </w:tc>
        <w:tc>
          <w:tcPr>
            <w:tcW w:w="2554" w:type="dxa"/>
          </w:tcPr>
          <w:p w14:paraId="6A39D2AE" w14:textId="77777777" w:rsidR="00CE6083" w:rsidRPr="00BE6B46" w:rsidRDefault="00CE6083" w:rsidP="00BE6B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 xml:space="preserve">Yes </w:t>
            </w:r>
          </w:p>
        </w:tc>
        <w:tc>
          <w:tcPr>
            <w:tcW w:w="2841" w:type="dxa"/>
          </w:tcPr>
          <w:p w14:paraId="47544EA7" w14:textId="4837B107" w:rsidR="00CE6083" w:rsidRPr="00BE6B46" w:rsidRDefault="00CE6083" w:rsidP="00BE6B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Negligible</w:t>
            </w:r>
            <w:r w:rsidR="00630F86" w:rsidRPr="00BE6B46">
              <w:rPr>
                <w:rStyle w:val="FootnoteReference"/>
                <w:rFonts w:asciiTheme="minorBidi" w:hAnsiTheme="minorBidi"/>
              </w:rPr>
              <w:footnoteReference w:id="6"/>
            </w:r>
            <w:r w:rsidRPr="00BE6B46">
              <w:rPr>
                <w:rFonts w:asciiTheme="minorBidi" w:hAnsiTheme="minorBidi"/>
                <w:sz w:val="22"/>
              </w:rPr>
              <w:t xml:space="preserve"> </w:t>
            </w:r>
          </w:p>
        </w:tc>
      </w:tr>
      <w:tr w:rsidR="00CE6083" w:rsidRPr="00BE6B46" w14:paraId="0C6ACB92" w14:textId="77777777" w:rsidTr="00E61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7EFAAA5" w14:textId="77777777" w:rsidR="00CE6083" w:rsidRPr="00BE6B46" w:rsidRDefault="00CE6083" w:rsidP="00BE6B46">
            <w:pPr>
              <w:spacing w:line="360" w:lineRule="auto"/>
              <w:jc w:val="both"/>
              <w:rPr>
                <w:rFonts w:asciiTheme="minorBidi" w:hAnsiTheme="minorBidi"/>
                <w:sz w:val="22"/>
                <w:rtl/>
              </w:rPr>
            </w:pPr>
            <w:r w:rsidRPr="00BE6B46">
              <w:rPr>
                <w:rFonts w:asciiTheme="minorBidi" w:hAnsiTheme="minorBidi"/>
                <w:sz w:val="22"/>
              </w:rPr>
              <w:t>Water Use</w:t>
            </w:r>
          </w:p>
        </w:tc>
        <w:tc>
          <w:tcPr>
            <w:tcW w:w="2554" w:type="dxa"/>
          </w:tcPr>
          <w:p w14:paraId="107226BB" w14:textId="77777777" w:rsidR="00CE6083" w:rsidRPr="00BE6B46" w:rsidRDefault="00CE6083" w:rsidP="00BE6B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sz w:val="22"/>
              </w:rPr>
              <w:t>Yes</w:t>
            </w:r>
          </w:p>
        </w:tc>
        <w:tc>
          <w:tcPr>
            <w:tcW w:w="2841" w:type="dxa"/>
          </w:tcPr>
          <w:p w14:paraId="06447C8C" w14:textId="335F8753" w:rsidR="00CE6083" w:rsidRPr="00BE6B46" w:rsidRDefault="00CE6083" w:rsidP="00BE6B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sz w:val="22"/>
              </w:rPr>
              <w:t>Negligible</w:t>
            </w:r>
            <w:r w:rsidR="00630F86" w:rsidRPr="00BE6B46">
              <w:rPr>
                <w:rStyle w:val="FootnoteReference"/>
                <w:rFonts w:asciiTheme="minorBidi" w:hAnsiTheme="minorBidi"/>
              </w:rPr>
              <w:footnoteReference w:id="7"/>
            </w:r>
          </w:p>
        </w:tc>
      </w:tr>
      <w:tr w:rsidR="00CE6083" w:rsidRPr="00BE6B46" w14:paraId="2EB367A6"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7810692A" w14:textId="77777777" w:rsidR="00CE6083" w:rsidRPr="00BE6B46" w:rsidRDefault="00CE6083" w:rsidP="00BE6B46">
            <w:pPr>
              <w:spacing w:line="360" w:lineRule="auto"/>
              <w:jc w:val="both"/>
              <w:rPr>
                <w:rFonts w:asciiTheme="minorBidi" w:hAnsiTheme="minorBidi"/>
                <w:sz w:val="22"/>
                <w:rtl/>
              </w:rPr>
            </w:pPr>
            <w:r w:rsidRPr="00BE6B46">
              <w:rPr>
                <w:rFonts w:asciiTheme="minorBidi" w:hAnsiTheme="minorBidi"/>
                <w:sz w:val="22"/>
              </w:rPr>
              <w:t>Greenhouse Gas Emissions in the Growing Process</w:t>
            </w:r>
          </w:p>
        </w:tc>
        <w:tc>
          <w:tcPr>
            <w:tcW w:w="2554" w:type="dxa"/>
          </w:tcPr>
          <w:p w14:paraId="289F7B40" w14:textId="77777777" w:rsidR="00CE6083" w:rsidRPr="00BE6B46" w:rsidRDefault="00CE6083" w:rsidP="00BE6B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Yes</w:t>
            </w:r>
          </w:p>
        </w:tc>
        <w:tc>
          <w:tcPr>
            <w:tcW w:w="2841" w:type="dxa"/>
          </w:tcPr>
          <w:p w14:paraId="09481DFF" w14:textId="77777777" w:rsidR="00CE6083" w:rsidRPr="00BE6B46" w:rsidRDefault="00CE6083" w:rsidP="00BE6B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None</w:t>
            </w:r>
          </w:p>
        </w:tc>
      </w:tr>
      <w:tr w:rsidR="00CE6083" w:rsidRPr="00BE6B46" w14:paraId="28253CEB" w14:textId="77777777" w:rsidTr="00E61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339C24FF" w14:textId="77777777" w:rsidR="00CE6083" w:rsidRPr="00BE6B46" w:rsidRDefault="00CE6083" w:rsidP="00BE6B46">
            <w:pPr>
              <w:spacing w:line="360" w:lineRule="auto"/>
              <w:jc w:val="both"/>
              <w:rPr>
                <w:rFonts w:asciiTheme="minorBidi" w:hAnsiTheme="minorBidi"/>
                <w:sz w:val="22"/>
                <w:rtl/>
              </w:rPr>
            </w:pPr>
            <w:r w:rsidRPr="00BE6B46">
              <w:rPr>
                <w:rFonts w:asciiTheme="minorBidi" w:hAnsiTheme="minorBidi"/>
                <w:sz w:val="22"/>
              </w:rPr>
              <w:t>Fertilizer and Pesticide Use</w:t>
            </w:r>
          </w:p>
        </w:tc>
        <w:tc>
          <w:tcPr>
            <w:tcW w:w="2554" w:type="dxa"/>
          </w:tcPr>
          <w:p w14:paraId="08440E60" w14:textId="77777777" w:rsidR="00CE6083" w:rsidRPr="00BE6B46" w:rsidRDefault="00CE6083" w:rsidP="00BE6B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sz w:val="22"/>
              </w:rPr>
              <w:t>Yes</w:t>
            </w:r>
          </w:p>
        </w:tc>
        <w:tc>
          <w:tcPr>
            <w:tcW w:w="2841" w:type="dxa"/>
          </w:tcPr>
          <w:p w14:paraId="35E83425" w14:textId="77777777" w:rsidR="00CE6083" w:rsidRPr="00BE6B46" w:rsidRDefault="00CE6083" w:rsidP="00BE6B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2"/>
                <w:rtl/>
              </w:rPr>
            </w:pPr>
            <w:r w:rsidRPr="00BE6B46">
              <w:rPr>
                <w:rFonts w:asciiTheme="minorBidi" w:hAnsiTheme="minorBidi"/>
                <w:sz w:val="22"/>
              </w:rPr>
              <w:t>None</w:t>
            </w:r>
          </w:p>
        </w:tc>
      </w:tr>
      <w:tr w:rsidR="00CE6083" w:rsidRPr="00BE6B46" w14:paraId="2E964A99" w14:textId="77777777" w:rsidTr="00E61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379ED62B" w14:textId="77777777" w:rsidR="00CE6083" w:rsidRPr="00BE6B46" w:rsidRDefault="00CE6083" w:rsidP="00BE6B46">
            <w:pPr>
              <w:spacing w:line="360" w:lineRule="auto"/>
              <w:jc w:val="both"/>
              <w:rPr>
                <w:rFonts w:asciiTheme="minorBidi" w:hAnsiTheme="minorBidi"/>
                <w:sz w:val="22"/>
                <w:rtl/>
              </w:rPr>
            </w:pPr>
            <w:r w:rsidRPr="00BE6B46">
              <w:rPr>
                <w:rFonts w:asciiTheme="minorBidi" w:hAnsiTheme="minorBidi"/>
                <w:sz w:val="22"/>
              </w:rPr>
              <w:t>Logistics, Distribution, and Transporting Costs</w:t>
            </w:r>
          </w:p>
        </w:tc>
        <w:tc>
          <w:tcPr>
            <w:tcW w:w="2554" w:type="dxa"/>
          </w:tcPr>
          <w:p w14:paraId="638AFE72" w14:textId="77777777" w:rsidR="00CE6083" w:rsidRPr="00BE6B46" w:rsidRDefault="00CE6083" w:rsidP="00BE6B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Yes</w:t>
            </w:r>
          </w:p>
        </w:tc>
        <w:tc>
          <w:tcPr>
            <w:tcW w:w="2841" w:type="dxa"/>
          </w:tcPr>
          <w:p w14:paraId="6650388C" w14:textId="77777777" w:rsidR="00CE6083" w:rsidRPr="00BE6B46" w:rsidRDefault="00CE6083" w:rsidP="00BE6B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rtl/>
              </w:rPr>
            </w:pPr>
            <w:r w:rsidRPr="00BE6B46">
              <w:rPr>
                <w:rFonts w:asciiTheme="minorBidi" w:hAnsiTheme="minorBidi"/>
                <w:sz w:val="22"/>
              </w:rPr>
              <w:t>Yes</w:t>
            </w:r>
          </w:p>
        </w:tc>
      </w:tr>
    </w:tbl>
    <w:p w14:paraId="56B88D19" w14:textId="77777777" w:rsidR="00CE6083" w:rsidRPr="00BE6B46" w:rsidRDefault="00CE6083" w:rsidP="00BE6B46">
      <w:pPr>
        <w:autoSpaceDE w:val="0"/>
        <w:autoSpaceDN w:val="0"/>
        <w:adjustRightInd w:val="0"/>
        <w:spacing w:after="0" w:line="360" w:lineRule="auto"/>
        <w:jc w:val="both"/>
        <w:rPr>
          <w:rFonts w:asciiTheme="minorBidi" w:hAnsiTheme="minorBidi"/>
          <w:b/>
          <w:bCs/>
          <w:szCs w:val="24"/>
        </w:rPr>
      </w:pPr>
    </w:p>
    <w:p w14:paraId="0109D6CC" w14:textId="28BCC61C" w:rsidR="00CE6083" w:rsidRPr="00BE6B46" w:rsidRDefault="00630F86" w:rsidP="00BE6B46">
      <w:pPr>
        <w:autoSpaceDE w:val="0"/>
        <w:autoSpaceDN w:val="0"/>
        <w:adjustRightInd w:val="0"/>
        <w:spacing w:after="240" w:line="360" w:lineRule="auto"/>
        <w:jc w:val="both"/>
        <w:rPr>
          <w:rFonts w:asciiTheme="minorBidi" w:hAnsiTheme="minorBidi"/>
          <w:b/>
          <w:bCs/>
          <w:szCs w:val="24"/>
        </w:rPr>
      </w:pPr>
      <w:r w:rsidRPr="00BE6B46">
        <w:rPr>
          <w:rFonts w:asciiTheme="minorBidi" w:hAnsiTheme="minorBidi"/>
          <w:b/>
          <w:bCs/>
          <w:szCs w:val="24"/>
        </w:rPr>
        <w:lastRenderedPageBreak/>
        <w:t>More than o</w:t>
      </w:r>
      <w:r w:rsidR="00CE6083" w:rsidRPr="00BE6B46">
        <w:rPr>
          <w:rFonts w:asciiTheme="minorBidi" w:hAnsiTheme="minorBidi"/>
          <w:b/>
          <w:bCs/>
          <w:szCs w:val="24"/>
        </w:rPr>
        <w:t xml:space="preserve">ne million tons, which is about half of the total amount of wasted food, is rescuable. Rescuing it would prevent about </w:t>
      </w:r>
      <w:r w:rsidRPr="00BE6B46">
        <w:rPr>
          <w:rFonts w:asciiTheme="minorBidi" w:hAnsiTheme="minorBidi"/>
          <w:b/>
          <w:bCs/>
          <w:szCs w:val="24"/>
        </w:rPr>
        <w:t>3</w:t>
      </w:r>
      <w:r w:rsidR="00CE6083" w:rsidRPr="00BE6B46">
        <w:rPr>
          <w:rFonts w:asciiTheme="minorBidi" w:hAnsiTheme="minorBidi"/>
          <w:b/>
          <w:bCs/>
          <w:szCs w:val="24"/>
        </w:rPr>
        <w:t>% of greenhouse gas emissions in Israel.</w:t>
      </w:r>
      <w:r w:rsidR="00CE6083" w:rsidRPr="00BE6B46">
        <w:rPr>
          <w:rStyle w:val="FootnoteReference"/>
          <w:rFonts w:asciiTheme="minorBidi" w:hAnsiTheme="minorBidi"/>
          <w:b/>
          <w:bCs/>
          <w:szCs w:val="24"/>
        </w:rPr>
        <w:footnoteReference w:id="8"/>
      </w:r>
      <w:r w:rsidR="00CE6083" w:rsidRPr="00BE6B46">
        <w:rPr>
          <w:rFonts w:asciiTheme="minorBidi" w:hAnsiTheme="minorBidi"/>
          <w:b/>
          <w:bCs/>
          <w:szCs w:val="24"/>
        </w:rPr>
        <w:t xml:space="preserve"> </w:t>
      </w:r>
    </w:p>
    <w:p w14:paraId="217A7E11" w14:textId="77777777"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The majority of food rescue in Israel and abroad is carried out by nonprofit organizations (</w:t>
      </w:r>
      <w:proofErr w:type="spellStart"/>
      <w:r w:rsidRPr="00BE6B46">
        <w:rPr>
          <w:rFonts w:asciiTheme="minorBidi" w:hAnsiTheme="minorBidi"/>
          <w:szCs w:val="24"/>
        </w:rPr>
        <w:t>NPOs</w:t>
      </w:r>
      <w:proofErr w:type="spellEnd"/>
      <w:r w:rsidRPr="00BE6B46">
        <w:rPr>
          <w:rFonts w:asciiTheme="minorBidi" w:hAnsiTheme="minorBidi"/>
          <w:szCs w:val="24"/>
        </w:rPr>
        <w:t>) that are supported by donations. However, even if funding for food rescue is derived from donations, the main foundation of food rescue activity is not primarily philanthropic or charitable, but an alternative economic method of food production that is clearly beneficial to the national economy, above and beyond its important contribution to reducing social inequality.</w:t>
      </w:r>
    </w:p>
    <w:p w14:paraId="70DFFF70" w14:textId="65F54B22" w:rsidR="00CE6083" w:rsidRPr="00BE6B46" w:rsidRDefault="00CE6083" w:rsidP="00BE6B46">
      <w:pPr>
        <w:autoSpaceDE w:val="0"/>
        <w:autoSpaceDN w:val="0"/>
        <w:adjustRightInd w:val="0"/>
        <w:spacing w:after="240" w:line="360" w:lineRule="auto"/>
        <w:jc w:val="both"/>
        <w:rPr>
          <w:rFonts w:asciiTheme="minorBidi" w:hAnsiTheme="minorBidi"/>
          <w:szCs w:val="24"/>
        </w:rPr>
      </w:pPr>
      <w:r w:rsidRPr="00BE6B46">
        <w:rPr>
          <w:rFonts w:asciiTheme="minorBidi" w:hAnsiTheme="minorBidi"/>
          <w:szCs w:val="24"/>
        </w:rPr>
        <w:t>The direct cost of food rescue averages at approximately NIS 1.</w:t>
      </w:r>
      <w:r w:rsidR="00630F86" w:rsidRPr="00BE6B46">
        <w:rPr>
          <w:rFonts w:asciiTheme="minorBidi" w:hAnsiTheme="minorBidi"/>
          <w:szCs w:val="24"/>
        </w:rPr>
        <w:t>5</w:t>
      </w:r>
      <w:r w:rsidRPr="00BE6B46">
        <w:rPr>
          <w:rFonts w:asciiTheme="minorBidi" w:hAnsiTheme="minorBidi"/>
          <w:szCs w:val="24"/>
        </w:rPr>
        <w:t xml:space="preserve"> for every kilogram of food. The direct value of rescued food is NIS 5.</w:t>
      </w:r>
      <w:r w:rsidR="00D43C4B" w:rsidRPr="00BE6B46">
        <w:rPr>
          <w:rFonts w:asciiTheme="minorBidi" w:hAnsiTheme="minorBidi"/>
          <w:szCs w:val="24"/>
        </w:rPr>
        <w:t>4</w:t>
      </w:r>
      <w:r w:rsidRPr="00BE6B46">
        <w:rPr>
          <w:rFonts w:asciiTheme="minorBidi" w:hAnsiTheme="minorBidi"/>
          <w:szCs w:val="24"/>
        </w:rPr>
        <w:t xml:space="preserve"> per kilogram, yielding a multiplier effect of 3.6. In other words, every NIS 1 invested by </w:t>
      </w:r>
      <w:proofErr w:type="spellStart"/>
      <w:r w:rsidRPr="00BE6B46">
        <w:rPr>
          <w:rFonts w:asciiTheme="minorBidi" w:hAnsiTheme="minorBidi"/>
          <w:szCs w:val="24"/>
        </w:rPr>
        <w:t>NPOs</w:t>
      </w:r>
      <w:proofErr w:type="spellEnd"/>
      <w:r w:rsidRPr="00BE6B46">
        <w:rPr>
          <w:rFonts w:asciiTheme="minorBidi" w:hAnsiTheme="minorBidi"/>
          <w:szCs w:val="24"/>
        </w:rPr>
        <w:t xml:space="preserve"> in food rescue provides income in the form of products worth NIS 3.6 for underprivileged people. Food rescue in Israel is still in its infancy and there seems to be potential for expanding the activity, utilizing economies of scale to reduce the cost of food rescue, and raising the value of rescued products. However, for reasons of conservatism, the assessments here are based on the current cost structure.</w:t>
      </w:r>
    </w:p>
    <w:p w14:paraId="1C271161" w14:textId="136789C0" w:rsidR="00CE6083" w:rsidRPr="00BE6B46" w:rsidRDefault="00CE6083" w:rsidP="00BE6B46">
      <w:pPr>
        <w:autoSpaceDE w:val="0"/>
        <w:autoSpaceDN w:val="0"/>
        <w:adjustRightInd w:val="0"/>
        <w:spacing w:after="120" w:line="360" w:lineRule="auto"/>
        <w:jc w:val="both"/>
        <w:rPr>
          <w:rFonts w:asciiTheme="minorBidi" w:hAnsiTheme="minorBidi"/>
          <w:szCs w:val="24"/>
        </w:rPr>
      </w:pPr>
      <w:r w:rsidRPr="00BE6B46">
        <w:rPr>
          <w:rFonts w:asciiTheme="minorBidi" w:hAnsiTheme="minorBidi"/>
          <w:szCs w:val="24"/>
        </w:rPr>
        <w:t xml:space="preserve">In terms of benefit to the national economy, it is also necessary to consider the positive environmental contributions of food rescue [see Chapter </w:t>
      </w:r>
      <w:r w:rsidR="00D43C4B" w:rsidRPr="00BE6B46">
        <w:rPr>
          <w:rFonts w:asciiTheme="minorBidi" w:hAnsiTheme="minorBidi"/>
          <w:szCs w:val="24"/>
        </w:rPr>
        <w:t>9</w:t>
      </w:r>
      <w:r w:rsidRPr="00BE6B46">
        <w:rPr>
          <w:rFonts w:asciiTheme="minorBidi" w:hAnsiTheme="minorBidi"/>
          <w:szCs w:val="24"/>
        </w:rPr>
        <w:t>]. The environmental benefit of reducing greenhouse gas and air pollutant emissions as well as waste treatment stands at about NIS 0.8 per kilogram, yielding a multiplier effect of 4.</w:t>
      </w:r>
      <w:r w:rsidR="00D43C4B" w:rsidRPr="00BE6B46">
        <w:rPr>
          <w:rFonts w:asciiTheme="minorBidi" w:hAnsiTheme="minorBidi"/>
          <w:szCs w:val="24"/>
        </w:rPr>
        <w:t>3</w:t>
      </w:r>
      <w:r w:rsidRPr="00BE6B46">
        <w:rPr>
          <w:rFonts w:asciiTheme="minorBidi" w:hAnsiTheme="minorBidi"/>
          <w:szCs w:val="24"/>
        </w:rPr>
        <w:t xml:space="preserve">. In other words, when incorporating greenhouse gas and air pollutant emissions as well as waste treatment [see Chapter </w:t>
      </w:r>
      <w:r w:rsidR="00D43C4B" w:rsidRPr="00BE6B46">
        <w:rPr>
          <w:rFonts w:asciiTheme="minorBidi" w:hAnsiTheme="minorBidi"/>
          <w:szCs w:val="24"/>
        </w:rPr>
        <w:t>9</w:t>
      </w:r>
      <w:r w:rsidRPr="00BE6B46">
        <w:rPr>
          <w:rFonts w:asciiTheme="minorBidi" w:hAnsiTheme="minorBidi"/>
          <w:szCs w:val="24"/>
        </w:rPr>
        <w:t>], every NIS 1 invested in food rescue generates a value of NIS 4.</w:t>
      </w:r>
      <w:r w:rsidR="00D43C4B" w:rsidRPr="00BE6B46">
        <w:rPr>
          <w:rFonts w:asciiTheme="minorBidi" w:hAnsiTheme="minorBidi"/>
          <w:szCs w:val="24"/>
        </w:rPr>
        <w:t>3</w:t>
      </w:r>
      <w:r w:rsidRPr="00BE6B46">
        <w:rPr>
          <w:rFonts w:asciiTheme="minorBidi" w:hAnsiTheme="minorBidi"/>
          <w:szCs w:val="24"/>
        </w:rPr>
        <w:t xml:space="preserve"> for the national economy. </w:t>
      </w:r>
    </w:p>
    <w:p w14:paraId="4F89248D" w14:textId="77777777" w:rsidR="00EB42B5" w:rsidRPr="00BE6B46" w:rsidRDefault="00EB42B5"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br/>
      </w:r>
    </w:p>
    <w:p w14:paraId="122C707E" w14:textId="77777777" w:rsidR="00EB42B5" w:rsidRPr="00BE6B46" w:rsidRDefault="00EB42B5" w:rsidP="00BE6B46">
      <w:pPr>
        <w:rPr>
          <w:rFonts w:asciiTheme="minorBidi" w:hAnsiTheme="minorBidi"/>
          <w:b/>
          <w:bCs/>
          <w:szCs w:val="24"/>
        </w:rPr>
      </w:pPr>
      <w:r w:rsidRPr="00BE6B46">
        <w:rPr>
          <w:rFonts w:asciiTheme="minorBidi" w:hAnsiTheme="minorBidi"/>
          <w:b/>
          <w:bCs/>
          <w:szCs w:val="24"/>
        </w:rPr>
        <w:br w:type="page"/>
      </w:r>
    </w:p>
    <w:p w14:paraId="1F5C8C98" w14:textId="5B4C1E1F" w:rsidR="00CE6083" w:rsidRPr="00BE6B46" w:rsidRDefault="00CE6083"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lastRenderedPageBreak/>
        <w:t>Food Rescue Feasibility Assessment</w:t>
      </w:r>
    </w:p>
    <w:p w14:paraId="3C8A768A" w14:textId="77777777" w:rsidR="00CE6083" w:rsidRPr="00BE6B46" w:rsidRDefault="00CE6083" w:rsidP="00BE6B46">
      <w:pPr>
        <w:autoSpaceDE w:val="0"/>
        <w:autoSpaceDN w:val="0"/>
        <w:adjustRightInd w:val="0"/>
        <w:spacing w:after="0" w:line="360" w:lineRule="auto"/>
        <w:jc w:val="center"/>
        <w:rPr>
          <w:rFonts w:asciiTheme="minorBidi" w:hAnsiTheme="minorBidi"/>
          <w:b/>
          <w:bCs/>
          <w:szCs w:val="24"/>
        </w:rPr>
      </w:pPr>
      <w:r w:rsidRPr="00BE6B46">
        <w:rPr>
          <w:rFonts w:asciiTheme="minorBidi" w:hAnsiTheme="minorBidi"/>
          <w:b/>
          <w:bCs/>
          <w:szCs w:val="24"/>
        </w:rPr>
        <w:t>Cost / Benefit per Kilogram of Food</w:t>
      </w:r>
    </w:p>
    <w:tbl>
      <w:tblPr>
        <w:tblW w:w="9149" w:type="dxa"/>
        <w:tblInd w:w="113" w:type="dxa"/>
        <w:tblLayout w:type="fixed"/>
        <w:tblCellMar>
          <w:left w:w="57" w:type="dxa"/>
          <w:right w:w="57" w:type="dxa"/>
        </w:tblCellMar>
        <w:tblLook w:val="04A0" w:firstRow="1" w:lastRow="0" w:firstColumn="1" w:lastColumn="0" w:noHBand="0" w:noVBand="1"/>
      </w:tblPr>
      <w:tblGrid>
        <w:gridCol w:w="2135"/>
        <w:gridCol w:w="1002"/>
        <w:gridCol w:w="1116"/>
        <w:gridCol w:w="1209"/>
        <w:gridCol w:w="1080"/>
        <w:gridCol w:w="1059"/>
        <w:gridCol w:w="1548"/>
      </w:tblGrid>
      <w:tr w:rsidR="00CE6083" w:rsidRPr="00BE6B46" w14:paraId="5E4CFA72" w14:textId="77777777" w:rsidTr="00EB42B5">
        <w:trPr>
          <w:trHeight w:val="285"/>
        </w:trPr>
        <w:tc>
          <w:tcPr>
            <w:tcW w:w="2135" w:type="dxa"/>
            <w:tcBorders>
              <w:top w:val="single" w:sz="4" w:space="0" w:color="4F81BD"/>
              <w:left w:val="single" w:sz="4" w:space="0" w:color="4F81BD"/>
              <w:bottom w:val="nil"/>
              <w:right w:val="nil"/>
            </w:tcBorders>
            <w:shd w:val="clear" w:color="4F81BD" w:fill="4F81BD"/>
          </w:tcPr>
          <w:p w14:paraId="26F26560" w14:textId="77777777" w:rsidR="00CE6083" w:rsidRPr="00BE6B46" w:rsidRDefault="00CE6083" w:rsidP="00BE6B46">
            <w:pPr>
              <w:spacing w:after="0" w:line="240" w:lineRule="auto"/>
              <w:jc w:val="center"/>
              <w:rPr>
                <w:rFonts w:asciiTheme="minorBidi" w:eastAsia="Times New Roman" w:hAnsiTheme="minorBidi"/>
                <w:b/>
                <w:bCs/>
                <w:color w:val="FFFFFF"/>
                <w:sz w:val="20"/>
                <w:szCs w:val="20"/>
                <w:rtl/>
              </w:rPr>
            </w:pPr>
          </w:p>
        </w:tc>
        <w:tc>
          <w:tcPr>
            <w:tcW w:w="1002" w:type="dxa"/>
            <w:tcBorders>
              <w:top w:val="single" w:sz="4" w:space="0" w:color="4F81BD"/>
              <w:left w:val="single" w:sz="4" w:space="0" w:color="4F81BD"/>
              <w:bottom w:val="nil"/>
              <w:right w:val="nil"/>
            </w:tcBorders>
            <w:shd w:val="clear" w:color="4F81BD" w:fill="4F81BD"/>
            <w:noWrap/>
            <w:vAlign w:val="bottom"/>
            <w:hideMark/>
          </w:tcPr>
          <w:p w14:paraId="3C27D42A" w14:textId="77777777" w:rsidR="00CE6083" w:rsidRPr="00BE6B46" w:rsidRDefault="00CE6083"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Value of Rescued food*</w:t>
            </w:r>
          </w:p>
        </w:tc>
        <w:tc>
          <w:tcPr>
            <w:tcW w:w="1116" w:type="dxa"/>
            <w:tcBorders>
              <w:top w:val="single" w:sz="4" w:space="0" w:color="4F81BD"/>
              <w:left w:val="nil"/>
              <w:bottom w:val="nil"/>
              <w:right w:val="nil"/>
            </w:tcBorders>
            <w:shd w:val="clear" w:color="4F81BD" w:fill="4F81BD"/>
            <w:noWrap/>
            <w:vAlign w:val="bottom"/>
            <w:hideMark/>
          </w:tcPr>
          <w:p w14:paraId="5F032340" w14:textId="77777777" w:rsidR="00CE6083" w:rsidRPr="00BE6B46" w:rsidRDefault="00CE6083"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 xml:space="preserve">Environmental Contribution according to </w:t>
            </w:r>
            <w:proofErr w:type="spellStart"/>
            <w:r w:rsidRPr="00BE6B46">
              <w:rPr>
                <w:rFonts w:asciiTheme="minorBidi" w:eastAsia="Times New Roman" w:hAnsiTheme="minorBidi"/>
                <w:b/>
                <w:bCs/>
                <w:color w:val="FFFFFF"/>
                <w:sz w:val="20"/>
                <w:szCs w:val="20"/>
              </w:rPr>
              <w:t>BDO</w:t>
            </w:r>
            <w:proofErr w:type="spellEnd"/>
          </w:p>
        </w:tc>
        <w:tc>
          <w:tcPr>
            <w:tcW w:w="1209" w:type="dxa"/>
            <w:tcBorders>
              <w:top w:val="single" w:sz="4" w:space="0" w:color="4F81BD"/>
              <w:left w:val="nil"/>
              <w:bottom w:val="nil"/>
              <w:right w:val="nil"/>
            </w:tcBorders>
            <w:shd w:val="clear" w:color="4F81BD" w:fill="4F81BD"/>
            <w:noWrap/>
            <w:vAlign w:val="bottom"/>
            <w:hideMark/>
          </w:tcPr>
          <w:p w14:paraId="166C3FD8" w14:textId="77777777" w:rsidR="00CE6083" w:rsidRPr="00BE6B46" w:rsidRDefault="00CE6083"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Total Value to the National Economy</w:t>
            </w:r>
          </w:p>
        </w:tc>
        <w:tc>
          <w:tcPr>
            <w:tcW w:w="1080" w:type="dxa"/>
            <w:tcBorders>
              <w:top w:val="single" w:sz="4" w:space="0" w:color="4F81BD"/>
              <w:left w:val="nil"/>
              <w:bottom w:val="nil"/>
              <w:right w:val="nil"/>
            </w:tcBorders>
            <w:shd w:val="clear" w:color="4F81BD" w:fill="4F81BD"/>
            <w:noWrap/>
            <w:vAlign w:val="bottom"/>
            <w:hideMark/>
          </w:tcPr>
          <w:p w14:paraId="51DA0308" w14:textId="77777777" w:rsidR="00CE6083" w:rsidRPr="00BE6B46" w:rsidRDefault="00CE6083"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Rescue Cost</w:t>
            </w:r>
          </w:p>
        </w:tc>
        <w:tc>
          <w:tcPr>
            <w:tcW w:w="1059" w:type="dxa"/>
            <w:tcBorders>
              <w:top w:val="single" w:sz="4" w:space="0" w:color="4F81BD"/>
              <w:left w:val="nil"/>
              <w:bottom w:val="nil"/>
              <w:right w:val="nil"/>
            </w:tcBorders>
            <w:shd w:val="clear" w:color="4F81BD" w:fill="4F81BD"/>
            <w:noWrap/>
            <w:vAlign w:val="bottom"/>
            <w:hideMark/>
          </w:tcPr>
          <w:p w14:paraId="33B32146" w14:textId="77777777" w:rsidR="00CE6083" w:rsidRPr="00BE6B46" w:rsidRDefault="00CE6083" w:rsidP="00BE6B46">
            <w:pPr>
              <w:spacing w:after="0" w:line="240" w:lineRule="auto"/>
              <w:jc w:val="center"/>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Gain from Food Rescue</w:t>
            </w:r>
          </w:p>
        </w:tc>
        <w:tc>
          <w:tcPr>
            <w:tcW w:w="1548" w:type="dxa"/>
            <w:tcBorders>
              <w:top w:val="single" w:sz="4" w:space="0" w:color="4F81BD"/>
              <w:left w:val="nil"/>
              <w:bottom w:val="nil"/>
              <w:right w:val="single" w:sz="4" w:space="0" w:color="4F81BD"/>
            </w:tcBorders>
            <w:shd w:val="clear" w:color="4F81BD" w:fill="4F81BD"/>
            <w:noWrap/>
            <w:vAlign w:val="bottom"/>
            <w:hideMark/>
          </w:tcPr>
          <w:p w14:paraId="7A104C53" w14:textId="77777777" w:rsidR="00CE6083" w:rsidRPr="00BE6B46" w:rsidRDefault="00CE6083" w:rsidP="00BE6B46">
            <w:pPr>
              <w:spacing w:after="0" w:line="240" w:lineRule="auto"/>
              <w:rPr>
                <w:rFonts w:asciiTheme="minorBidi" w:eastAsia="Times New Roman" w:hAnsiTheme="minorBidi"/>
                <w:b/>
                <w:bCs/>
                <w:color w:val="FFFFFF"/>
                <w:sz w:val="20"/>
                <w:szCs w:val="20"/>
              </w:rPr>
            </w:pPr>
            <w:r w:rsidRPr="00BE6B46">
              <w:rPr>
                <w:rFonts w:asciiTheme="minorBidi" w:eastAsia="Times New Roman" w:hAnsiTheme="minorBidi"/>
                <w:b/>
                <w:bCs/>
                <w:color w:val="FFFFFF"/>
                <w:sz w:val="20"/>
                <w:szCs w:val="20"/>
              </w:rPr>
              <w:t>Value Multiplier = Value to the National Economy / Rescue Cost</w:t>
            </w:r>
          </w:p>
        </w:tc>
      </w:tr>
      <w:tr w:rsidR="00CE6083" w:rsidRPr="00BE6B46" w14:paraId="50D4C7FA" w14:textId="77777777" w:rsidTr="00EB42B5">
        <w:trPr>
          <w:trHeight w:val="285"/>
        </w:trPr>
        <w:tc>
          <w:tcPr>
            <w:tcW w:w="2135" w:type="dxa"/>
            <w:tcBorders>
              <w:top w:val="single" w:sz="4" w:space="0" w:color="4F81BD"/>
              <w:left w:val="single" w:sz="4" w:space="0" w:color="4F81BD"/>
              <w:bottom w:val="nil"/>
              <w:right w:val="nil"/>
            </w:tcBorders>
            <w:vAlign w:val="center"/>
          </w:tcPr>
          <w:p w14:paraId="4A30CFA4" w14:textId="77777777" w:rsidR="00CE6083" w:rsidRPr="00BE6B46" w:rsidRDefault="00CE6083" w:rsidP="00BE6B46">
            <w:pPr>
              <w:spacing w:after="0" w:line="240" w:lineRule="auto"/>
              <w:jc w:val="center"/>
              <w:rPr>
                <w:rFonts w:asciiTheme="minorBidi" w:hAnsiTheme="minorBidi"/>
                <w:color w:val="000000"/>
                <w:sz w:val="20"/>
                <w:szCs w:val="20"/>
                <w:lang w:val="en-GB"/>
              </w:rPr>
            </w:pPr>
            <w:r w:rsidRPr="00BE6B46">
              <w:rPr>
                <w:rFonts w:asciiTheme="minorBidi" w:hAnsiTheme="minorBidi"/>
                <w:color w:val="000000"/>
                <w:sz w:val="20"/>
                <w:szCs w:val="20"/>
                <w:lang w:val="en-GB"/>
              </w:rPr>
              <w:t xml:space="preserve">Benefit to National Economy (Excluding Greenhouse Gas and Air Pollutant Emissions) </w:t>
            </w:r>
          </w:p>
        </w:tc>
        <w:tc>
          <w:tcPr>
            <w:tcW w:w="1002" w:type="dxa"/>
            <w:tcBorders>
              <w:top w:val="single" w:sz="4" w:space="0" w:color="4F81BD"/>
              <w:left w:val="single" w:sz="4" w:space="0" w:color="4F81BD"/>
              <w:bottom w:val="nil"/>
              <w:right w:val="nil"/>
            </w:tcBorders>
            <w:shd w:val="clear" w:color="auto" w:fill="auto"/>
            <w:noWrap/>
            <w:vAlign w:val="center"/>
            <w:hideMark/>
          </w:tcPr>
          <w:p w14:paraId="4D9A9374" w14:textId="46CA6E2B" w:rsidR="00CE6083" w:rsidRPr="00BE6B46" w:rsidRDefault="00CE6083"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NIS</w:t>
            </w:r>
            <w:r w:rsidR="00CF2B69" w:rsidRPr="00BE6B46">
              <w:rPr>
                <w:rFonts w:asciiTheme="minorBidi" w:hAnsiTheme="minorBidi"/>
                <w:color w:val="000000"/>
                <w:sz w:val="20"/>
                <w:szCs w:val="20"/>
              </w:rPr>
              <w:t xml:space="preserve"> 5.4</w:t>
            </w:r>
            <w:r w:rsidRPr="00BE6B46">
              <w:rPr>
                <w:rFonts w:asciiTheme="minorBidi" w:hAnsiTheme="minorBidi"/>
                <w:color w:val="000000"/>
                <w:sz w:val="20"/>
                <w:szCs w:val="20"/>
                <w:rtl/>
              </w:rPr>
              <w:t xml:space="preserve"> </w:t>
            </w:r>
          </w:p>
        </w:tc>
        <w:tc>
          <w:tcPr>
            <w:tcW w:w="1116" w:type="dxa"/>
            <w:tcBorders>
              <w:top w:val="single" w:sz="4" w:space="0" w:color="4F81BD"/>
              <w:left w:val="nil"/>
              <w:bottom w:val="nil"/>
              <w:right w:val="nil"/>
            </w:tcBorders>
            <w:shd w:val="clear" w:color="auto" w:fill="auto"/>
            <w:noWrap/>
            <w:vAlign w:val="center"/>
            <w:hideMark/>
          </w:tcPr>
          <w:p w14:paraId="3E17B0EB" w14:textId="77777777" w:rsidR="00CE6083" w:rsidRPr="00BE6B46" w:rsidRDefault="00CE6083"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Not included</w:t>
            </w:r>
          </w:p>
        </w:tc>
        <w:tc>
          <w:tcPr>
            <w:tcW w:w="1209" w:type="dxa"/>
            <w:tcBorders>
              <w:top w:val="single" w:sz="4" w:space="0" w:color="4F81BD"/>
              <w:left w:val="nil"/>
              <w:bottom w:val="nil"/>
              <w:right w:val="nil"/>
            </w:tcBorders>
            <w:shd w:val="clear" w:color="auto" w:fill="auto"/>
            <w:noWrap/>
            <w:vAlign w:val="center"/>
            <w:hideMark/>
          </w:tcPr>
          <w:p w14:paraId="2DEAF0CD" w14:textId="41071CFF" w:rsidR="00CE6083" w:rsidRPr="00BE6B46" w:rsidRDefault="00CF2B69"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NIS 5.4</w:t>
            </w:r>
          </w:p>
        </w:tc>
        <w:tc>
          <w:tcPr>
            <w:tcW w:w="1080" w:type="dxa"/>
            <w:tcBorders>
              <w:top w:val="single" w:sz="4" w:space="0" w:color="4F81BD"/>
              <w:left w:val="nil"/>
              <w:bottom w:val="nil"/>
              <w:right w:val="nil"/>
            </w:tcBorders>
            <w:shd w:val="clear" w:color="auto" w:fill="auto"/>
            <w:noWrap/>
            <w:vAlign w:val="center"/>
          </w:tcPr>
          <w:p w14:paraId="2924C29D" w14:textId="31ED8709" w:rsidR="00CE6083" w:rsidRPr="00BE6B46" w:rsidRDefault="00CF2B69" w:rsidP="00BE6B46">
            <w:pPr>
              <w:spacing w:after="0" w:line="240" w:lineRule="auto"/>
              <w:jc w:val="center"/>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NIS 1.5</w:t>
            </w:r>
          </w:p>
        </w:tc>
        <w:tc>
          <w:tcPr>
            <w:tcW w:w="1059" w:type="dxa"/>
            <w:tcBorders>
              <w:top w:val="single" w:sz="4" w:space="0" w:color="4F81BD"/>
              <w:left w:val="nil"/>
              <w:bottom w:val="nil"/>
              <w:right w:val="single" w:sz="2" w:space="0" w:color="5B9BD5" w:themeColor="accent1"/>
            </w:tcBorders>
            <w:shd w:val="clear" w:color="auto" w:fill="auto"/>
            <w:noWrap/>
            <w:vAlign w:val="center"/>
          </w:tcPr>
          <w:p w14:paraId="024AC839" w14:textId="683A550F" w:rsidR="00CE6083" w:rsidRPr="00BE6B46" w:rsidRDefault="00CF2B69" w:rsidP="00BE6B46">
            <w:pPr>
              <w:spacing w:after="0" w:line="240" w:lineRule="auto"/>
              <w:jc w:val="center"/>
              <w:rPr>
                <w:rFonts w:asciiTheme="minorBidi" w:eastAsia="Times New Roman" w:hAnsiTheme="minorBidi"/>
                <w:color w:val="000000"/>
                <w:sz w:val="20"/>
                <w:szCs w:val="20"/>
                <w:rtl/>
              </w:rPr>
            </w:pPr>
            <w:r w:rsidRPr="00BE6B46">
              <w:rPr>
                <w:rFonts w:asciiTheme="minorBidi" w:eastAsia="Times New Roman" w:hAnsiTheme="minorBidi"/>
                <w:color w:val="000000"/>
                <w:sz w:val="20"/>
                <w:szCs w:val="20"/>
              </w:rPr>
              <w:t>NIS 3.9</w:t>
            </w:r>
          </w:p>
        </w:tc>
        <w:tc>
          <w:tcPr>
            <w:tcW w:w="1548" w:type="dxa"/>
            <w:tcBorders>
              <w:top w:val="single" w:sz="4" w:space="0" w:color="4F81BD"/>
              <w:left w:val="single" w:sz="2" w:space="0" w:color="5B9BD5" w:themeColor="accent1"/>
              <w:bottom w:val="nil"/>
              <w:right w:val="single" w:sz="4" w:space="0" w:color="4F81BD"/>
            </w:tcBorders>
            <w:shd w:val="clear" w:color="auto" w:fill="auto"/>
            <w:noWrap/>
            <w:vAlign w:val="center"/>
            <w:hideMark/>
          </w:tcPr>
          <w:p w14:paraId="09EFD541" w14:textId="77777777" w:rsidR="00CE6083" w:rsidRPr="00BE6B46" w:rsidRDefault="00CE6083" w:rsidP="00BE6B46">
            <w:pPr>
              <w:spacing w:after="0" w:line="240" w:lineRule="auto"/>
              <w:jc w:val="center"/>
              <w:rPr>
                <w:rFonts w:asciiTheme="minorBidi" w:eastAsia="Times New Roman" w:hAnsiTheme="minorBidi"/>
                <w:b/>
                <w:bCs/>
                <w:color w:val="000000"/>
                <w:sz w:val="20"/>
                <w:szCs w:val="20"/>
              </w:rPr>
            </w:pPr>
            <w:r w:rsidRPr="00BE6B46">
              <w:rPr>
                <w:rFonts w:asciiTheme="minorBidi" w:hAnsiTheme="minorBidi"/>
                <w:b/>
                <w:bCs/>
                <w:color w:val="000000"/>
                <w:sz w:val="20"/>
                <w:szCs w:val="20"/>
              </w:rPr>
              <w:t>3.6</w:t>
            </w:r>
          </w:p>
        </w:tc>
      </w:tr>
      <w:tr w:rsidR="00CE6083" w:rsidRPr="00BE6B46" w14:paraId="6B6ABFE6" w14:textId="77777777" w:rsidTr="00EB42B5">
        <w:trPr>
          <w:trHeight w:val="285"/>
        </w:trPr>
        <w:tc>
          <w:tcPr>
            <w:tcW w:w="2135" w:type="dxa"/>
            <w:tcBorders>
              <w:top w:val="single" w:sz="4" w:space="0" w:color="4F81BD"/>
              <w:left w:val="single" w:sz="4" w:space="0" w:color="4F81BD"/>
              <w:bottom w:val="single" w:sz="4" w:space="0" w:color="4F81BD"/>
              <w:right w:val="nil"/>
            </w:tcBorders>
            <w:vAlign w:val="center"/>
          </w:tcPr>
          <w:p w14:paraId="0E08967C" w14:textId="77777777" w:rsidR="00CE6083" w:rsidRPr="00BE6B46" w:rsidRDefault="00CE6083" w:rsidP="00BE6B46">
            <w:pPr>
              <w:spacing w:after="0" w:line="240" w:lineRule="auto"/>
              <w:jc w:val="center"/>
              <w:rPr>
                <w:rFonts w:asciiTheme="minorBidi" w:hAnsiTheme="minorBidi"/>
                <w:color w:val="000000"/>
                <w:sz w:val="20"/>
                <w:szCs w:val="20"/>
              </w:rPr>
            </w:pPr>
            <w:r w:rsidRPr="00BE6B46">
              <w:rPr>
                <w:rFonts w:asciiTheme="minorBidi" w:hAnsiTheme="minorBidi"/>
                <w:color w:val="000000"/>
                <w:sz w:val="20"/>
                <w:szCs w:val="20"/>
                <w:lang w:val="en-GB"/>
              </w:rPr>
              <w:t>Benefit to National Economy (Including Greenhouse Gas and Air Pollutant Emissions)</w:t>
            </w:r>
          </w:p>
        </w:tc>
        <w:tc>
          <w:tcPr>
            <w:tcW w:w="1002" w:type="dxa"/>
            <w:tcBorders>
              <w:top w:val="single" w:sz="4" w:space="0" w:color="4F81BD"/>
              <w:left w:val="single" w:sz="4" w:space="0" w:color="4F81BD"/>
              <w:bottom w:val="single" w:sz="4" w:space="0" w:color="4F81BD"/>
              <w:right w:val="nil"/>
            </w:tcBorders>
            <w:shd w:val="clear" w:color="auto" w:fill="auto"/>
            <w:noWrap/>
            <w:vAlign w:val="center"/>
            <w:hideMark/>
          </w:tcPr>
          <w:p w14:paraId="7A81C0FA" w14:textId="760DDE72" w:rsidR="00CE6083" w:rsidRPr="00BE6B46" w:rsidRDefault="00CF2B69" w:rsidP="00BE6B46">
            <w:pPr>
              <w:spacing w:after="0" w:line="240" w:lineRule="auto"/>
              <w:jc w:val="center"/>
              <w:rPr>
                <w:rFonts w:asciiTheme="minorBidi" w:eastAsia="Times New Roman" w:hAnsiTheme="minorBidi"/>
                <w:color w:val="000000"/>
                <w:sz w:val="20"/>
                <w:szCs w:val="20"/>
                <w:rtl/>
              </w:rPr>
            </w:pPr>
            <w:r w:rsidRPr="00BE6B46">
              <w:rPr>
                <w:rFonts w:asciiTheme="minorBidi" w:hAnsiTheme="minorBidi"/>
                <w:color w:val="000000"/>
                <w:sz w:val="20"/>
                <w:szCs w:val="20"/>
              </w:rPr>
              <w:t>NIS 5.4</w:t>
            </w:r>
          </w:p>
        </w:tc>
        <w:tc>
          <w:tcPr>
            <w:tcW w:w="1116" w:type="dxa"/>
            <w:tcBorders>
              <w:top w:val="single" w:sz="4" w:space="0" w:color="4F81BD"/>
              <w:left w:val="nil"/>
              <w:bottom w:val="single" w:sz="4" w:space="0" w:color="4F81BD"/>
              <w:right w:val="nil"/>
            </w:tcBorders>
            <w:shd w:val="clear" w:color="auto" w:fill="auto"/>
            <w:noWrap/>
            <w:vAlign w:val="center"/>
            <w:hideMark/>
          </w:tcPr>
          <w:p w14:paraId="5ED51DEC" w14:textId="7F328B7C" w:rsidR="00CE6083" w:rsidRPr="00BE6B46" w:rsidRDefault="00CF2B69" w:rsidP="00BE6B46">
            <w:pPr>
              <w:spacing w:after="0" w:line="240" w:lineRule="auto"/>
              <w:jc w:val="center"/>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NIS 1.0</w:t>
            </w:r>
          </w:p>
        </w:tc>
        <w:tc>
          <w:tcPr>
            <w:tcW w:w="1209" w:type="dxa"/>
            <w:tcBorders>
              <w:top w:val="single" w:sz="4" w:space="0" w:color="4F81BD"/>
              <w:left w:val="nil"/>
              <w:bottom w:val="single" w:sz="4" w:space="0" w:color="4F81BD"/>
              <w:right w:val="nil"/>
            </w:tcBorders>
            <w:shd w:val="clear" w:color="auto" w:fill="auto"/>
            <w:noWrap/>
            <w:vAlign w:val="center"/>
            <w:hideMark/>
          </w:tcPr>
          <w:p w14:paraId="30E9BE2D" w14:textId="5951E96B" w:rsidR="00CE6083" w:rsidRPr="00BE6B46" w:rsidRDefault="00CF2B69" w:rsidP="00BE6B46">
            <w:pPr>
              <w:spacing w:after="0" w:line="240" w:lineRule="auto"/>
              <w:jc w:val="center"/>
              <w:rPr>
                <w:rFonts w:asciiTheme="minorBidi" w:eastAsia="Times New Roman" w:hAnsiTheme="minorBidi"/>
                <w:color w:val="000000"/>
                <w:sz w:val="20"/>
                <w:szCs w:val="20"/>
              </w:rPr>
            </w:pPr>
            <w:r w:rsidRPr="00BE6B46">
              <w:rPr>
                <w:rFonts w:asciiTheme="minorBidi" w:hAnsiTheme="minorBidi"/>
                <w:color w:val="000000"/>
                <w:sz w:val="20"/>
                <w:szCs w:val="20"/>
              </w:rPr>
              <w:t>NIS 6.4</w:t>
            </w:r>
          </w:p>
        </w:tc>
        <w:tc>
          <w:tcPr>
            <w:tcW w:w="1080" w:type="dxa"/>
            <w:tcBorders>
              <w:top w:val="single" w:sz="4" w:space="0" w:color="4F81BD"/>
              <w:left w:val="nil"/>
              <w:bottom w:val="single" w:sz="4" w:space="0" w:color="4F81BD"/>
              <w:right w:val="nil"/>
            </w:tcBorders>
            <w:shd w:val="clear" w:color="auto" w:fill="auto"/>
            <w:noWrap/>
            <w:vAlign w:val="center"/>
          </w:tcPr>
          <w:p w14:paraId="12319D37" w14:textId="72B1ACE9" w:rsidR="00CE6083" w:rsidRPr="00BE6B46" w:rsidRDefault="00CF2B69" w:rsidP="00BE6B46">
            <w:pPr>
              <w:spacing w:after="0" w:line="240" w:lineRule="auto"/>
              <w:jc w:val="center"/>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NIS 1.5</w:t>
            </w:r>
          </w:p>
        </w:tc>
        <w:tc>
          <w:tcPr>
            <w:tcW w:w="1059" w:type="dxa"/>
            <w:tcBorders>
              <w:top w:val="single" w:sz="4" w:space="0" w:color="4F81BD"/>
              <w:left w:val="nil"/>
              <w:bottom w:val="single" w:sz="4" w:space="0" w:color="4F81BD"/>
              <w:right w:val="single" w:sz="2" w:space="0" w:color="5B9BD5" w:themeColor="accent1"/>
            </w:tcBorders>
            <w:shd w:val="clear" w:color="auto" w:fill="auto"/>
            <w:noWrap/>
            <w:vAlign w:val="center"/>
          </w:tcPr>
          <w:p w14:paraId="14690ACB" w14:textId="3F4D0DF1" w:rsidR="00CE6083" w:rsidRPr="00BE6B46" w:rsidRDefault="00CF2B69" w:rsidP="00BE6B46">
            <w:pPr>
              <w:spacing w:after="0" w:line="240" w:lineRule="auto"/>
              <w:jc w:val="center"/>
              <w:rPr>
                <w:rFonts w:asciiTheme="minorBidi" w:eastAsia="Times New Roman" w:hAnsiTheme="minorBidi"/>
                <w:color w:val="000000"/>
                <w:sz w:val="20"/>
                <w:szCs w:val="20"/>
              </w:rPr>
            </w:pPr>
            <w:r w:rsidRPr="00BE6B46">
              <w:rPr>
                <w:rFonts w:asciiTheme="minorBidi" w:eastAsia="Times New Roman" w:hAnsiTheme="minorBidi"/>
                <w:color w:val="000000"/>
                <w:sz w:val="20"/>
                <w:szCs w:val="20"/>
              </w:rPr>
              <w:t>NIS 4.9</w:t>
            </w:r>
          </w:p>
        </w:tc>
        <w:tc>
          <w:tcPr>
            <w:tcW w:w="1548" w:type="dxa"/>
            <w:tcBorders>
              <w:top w:val="single" w:sz="4" w:space="0" w:color="4F81BD"/>
              <w:left w:val="single" w:sz="2" w:space="0" w:color="5B9BD5" w:themeColor="accent1"/>
              <w:bottom w:val="single" w:sz="4" w:space="0" w:color="4F81BD"/>
              <w:right w:val="single" w:sz="4" w:space="0" w:color="4F81BD"/>
            </w:tcBorders>
            <w:shd w:val="clear" w:color="auto" w:fill="auto"/>
            <w:noWrap/>
            <w:vAlign w:val="center"/>
            <w:hideMark/>
          </w:tcPr>
          <w:p w14:paraId="1CCFCFFC" w14:textId="3EF82CE0" w:rsidR="00CE6083" w:rsidRPr="00BE6B46" w:rsidRDefault="00CE6083" w:rsidP="00BE6B46">
            <w:pPr>
              <w:spacing w:after="0" w:line="240" w:lineRule="auto"/>
              <w:jc w:val="center"/>
              <w:rPr>
                <w:rFonts w:asciiTheme="minorBidi" w:eastAsia="Times New Roman" w:hAnsiTheme="minorBidi"/>
                <w:b/>
                <w:bCs/>
                <w:color w:val="000000"/>
                <w:sz w:val="20"/>
                <w:szCs w:val="20"/>
                <w:rtl/>
              </w:rPr>
            </w:pPr>
            <w:r w:rsidRPr="00BE6B46">
              <w:rPr>
                <w:rFonts w:asciiTheme="minorBidi" w:hAnsiTheme="minorBidi"/>
                <w:b/>
                <w:bCs/>
                <w:color w:val="000000"/>
                <w:sz w:val="20"/>
                <w:szCs w:val="20"/>
              </w:rPr>
              <w:t>4</w:t>
            </w:r>
            <w:r w:rsidR="00CF2B69" w:rsidRPr="00BE6B46">
              <w:rPr>
                <w:rFonts w:asciiTheme="minorBidi" w:hAnsiTheme="minorBidi"/>
                <w:b/>
                <w:bCs/>
                <w:color w:val="000000"/>
                <w:sz w:val="20"/>
                <w:szCs w:val="20"/>
              </w:rPr>
              <w:t>.3</w:t>
            </w:r>
          </w:p>
        </w:tc>
      </w:tr>
    </w:tbl>
    <w:p w14:paraId="7950D416" w14:textId="77777777" w:rsidR="00CE6083" w:rsidRPr="00BE6B46" w:rsidRDefault="00CE6083" w:rsidP="00BE6B46">
      <w:pPr>
        <w:autoSpaceDE w:val="0"/>
        <w:autoSpaceDN w:val="0"/>
        <w:adjustRightInd w:val="0"/>
        <w:spacing w:after="0" w:line="360" w:lineRule="auto"/>
        <w:jc w:val="both"/>
        <w:rPr>
          <w:rFonts w:asciiTheme="minorBidi" w:hAnsiTheme="minorBidi"/>
          <w:sz w:val="20"/>
          <w:szCs w:val="20"/>
        </w:rPr>
      </w:pPr>
      <w:r w:rsidRPr="00BE6B46">
        <w:rPr>
          <w:rFonts w:asciiTheme="minorBidi" w:hAnsiTheme="minorBidi"/>
          <w:sz w:val="20"/>
          <w:szCs w:val="20"/>
        </w:rPr>
        <w:t xml:space="preserve">* Market price of an alternative product with the same national value. </w:t>
      </w:r>
    </w:p>
    <w:p w14:paraId="2CE541CF" w14:textId="77777777" w:rsidR="00CE6083" w:rsidRPr="00BE6B46" w:rsidRDefault="00CE6083" w:rsidP="00BE6B46">
      <w:pPr>
        <w:autoSpaceDE w:val="0"/>
        <w:autoSpaceDN w:val="0"/>
        <w:adjustRightInd w:val="0"/>
        <w:spacing w:after="0" w:line="360" w:lineRule="auto"/>
        <w:jc w:val="both"/>
        <w:rPr>
          <w:rFonts w:asciiTheme="minorBidi" w:hAnsiTheme="minorBidi"/>
          <w:sz w:val="20"/>
          <w:szCs w:val="20"/>
        </w:rPr>
      </w:pPr>
      <w:r w:rsidRPr="00BE6B46">
        <w:rPr>
          <w:rFonts w:asciiTheme="minorBidi" w:hAnsiTheme="minorBidi"/>
          <w:sz w:val="20"/>
          <w:szCs w:val="20"/>
        </w:rPr>
        <w:t xml:space="preserve">Source: </w:t>
      </w:r>
      <w:proofErr w:type="spellStart"/>
      <w:r w:rsidRPr="00BE6B46">
        <w:rPr>
          <w:rFonts w:asciiTheme="minorBidi" w:hAnsiTheme="minorBidi"/>
          <w:sz w:val="20"/>
          <w:szCs w:val="20"/>
        </w:rPr>
        <w:t>BDO</w:t>
      </w:r>
      <w:proofErr w:type="spellEnd"/>
      <w:r w:rsidRPr="00BE6B46">
        <w:rPr>
          <w:rFonts w:asciiTheme="minorBidi" w:hAnsiTheme="minorBidi"/>
          <w:sz w:val="20"/>
          <w:szCs w:val="20"/>
        </w:rPr>
        <w:t xml:space="preserve"> estimates</w:t>
      </w:r>
    </w:p>
    <w:p w14:paraId="721A78BD" w14:textId="77777777" w:rsidR="00CE6083" w:rsidRPr="00BE6B46" w:rsidRDefault="00CE6083" w:rsidP="00BE6B46">
      <w:pPr>
        <w:autoSpaceDE w:val="0"/>
        <w:autoSpaceDN w:val="0"/>
        <w:adjustRightInd w:val="0"/>
        <w:spacing w:after="0" w:line="360" w:lineRule="auto"/>
        <w:jc w:val="both"/>
        <w:rPr>
          <w:rFonts w:asciiTheme="minorBidi" w:hAnsiTheme="minorBidi"/>
          <w:sz w:val="20"/>
          <w:szCs w:val="20"/>
        </w:rPr>
      </w:pPr>
    </w:p>
    <w:p w14:paraId="7C96E2FE" w14:textId="77777777" w:rsidR="00CE6083" w:rsidRPr="00BE6B46" w:rsidRDefault="00CE6083" w:rsidP="00BE6B46">
      <w:pPr>
        <w:autoSpaceDE w:val="0"/>
        <w:autoSpaceDN w:val="0"/>
        <w:adjustRightInd w:val="0"/>
        <w:spacing w:after="0" w:line="360" w:lineRule="auto"/>
        <w:jc w:val="both"/>
        <w:rPr>
          <w:rFonts w:asciiTheme="minorBidi" w:hAnsiTheme="minorBidi"/>
          <w:szCs w:val="24"/>
        </w:rPr>
      </w:pPr>
      <w:r w:rsidRPr="00BE6B46">
        <w:rPr>
          <w:rFonts w:asciiTheme="minorBidi" w:hAnsiTheme="minorBidi"/>
          <w:szCs w:val="24"/>
        </w:rPr>
        <w:t>The volume of food waste in Israel is not unique and is similar to that in comparable developed economies around the world. However, unlike many other countries that have developed legislation, national policies, and multi-year targets to encourage food rescue and reduce food waste, in Israel there is still no national policy for dealing with this issue.</w:t>
      </w:r>
    </w:p>
    <w:p w14:paraId="11AA26E6" w14:textId="77777777" w:rsidR="002D2C6F" w:rsidRPr="00BE6B46" w:rsidRDefault="002D2C6F" w:rsidP="00BE6B46">
      <w:pPr>
        <w:tabs>
          <w:tab w:val="left" w:pos="2704"/>
        </w:tabs>
        <w:spacing w:line="360" w:lineRule="auto"/>
        <w:jc w:val="both"/>
        <w:rPr>
          <w:rFonts w:asciiTheme="minorBidi" w:hAnsiTheme="minorBidi"/>
          <w:szCs w:val="24"/>
        </w:rPr>
      </w:pPr>
    </w:p>
    <w:p w14:paraId="15D5783E" w14:textId="77777777" w:rsidR="002D2C6F" w:rsidRPr="00BE6B46" w:rsidRDefault="002D2C6F" w:rsidP="00BE6B46">
      <w:pPr>
        <w:autoSpaceDE w:val="0"/>
        <w:autoSpaceDN w:val="0"/>
        <w:adjustRightInd w:val="0"/>
        <w:spacing w:after="0" w:line="360" w:lineRule="auto"/>
        <w:jc w:val="both"/>
        <w:rPr>
          <w:rFonts w:asciiTheme="minorBidi" w:hAnsiTheme="minorBidi"/>
          <w:szCs w:val="24"/>
        </w:rPr>
      </w:pPr>
    </w:p>
    <w:sectPr w:rsidR="002D2C6F" w:rsidRPr="00BE6B46" w:rsidSect="004B537B">
      <w:footerReference w:type="default" r:id="rId21"/>
      <w:pgSz w:w="12240" w:h="15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8D339B1" w14:textId="77777777" w:rsidR="000729F8" w:rsidRDefault="00AA514C">
      <w:pPr>
        <w:pStyle w:val="CommentText"/>
      </w:pPr>
      <w:r>
        <w:rPr>
          <w:rStyle w:val="CommentReference"/>
        </w:rPr>
        <w:annotationRef/>
      </w:r>
      <w:r w:rsidR="000729F8">
        <w:t xml:space="preserve">Israel </w:t>
      </w:r>
    </w:p>
    <w:p w14:paraId="0A592268" w14:textId="77777777" w:rsidR="000729F8" w:rsidRDefault="000729F8">
      <w:pPr>
        <w:pStyle w:val="CommentText"/>
      </w:pPr>
      <w:r>
        <w:t xml:space="preserve">United States </w:t>
      </w:r>
    </w:p>
    <w:p w14:paraId="1889A0DD" w14:textId="77777777" w:rsidR="000729F8" w:rsidRDefault="000729F8">
      <w:pPr>
        <w:pStyle w:val="CommentText"/>
      </w:pPr>
      <w:r>
        <w:t xml:space="preserve">Korea </w:t>
      </w:r>
    </w:p>
    <w:p w14:paraId="72ECF0C9" w14:textId="77777777" w:rsidR="000729F8" w:rsidRDefault="000729F8">
      <w:pPr>
        <w:pStyle w:val="CommentText"/>
      </w:pPr>
      <w:r>
        <w:t xml:space="preserve">Turkey </w:t>
      </w:r>
    </w:p>
    <w:p w14:paraId="06DE3932" w14:textId="77777777" w:rsidR="000729F8" w:rsidRDefault="000729F8">
      <w:pPr>
        <w:pStyle w:val="CommentText"/>
      </w:pPr>
      <w:r>
        <w:t xml:space="preserve">Mexico </w:t>
      </w:r>
    </w:p>
    <w:p w14:paraId="1644F57A" w14:textId="77777777" w:rsidR="000729F8" w:rsidRDefault="000729F8">
      <w:pPr>
        <w:pStyle w:val="CommentText"/>
      </w:pPr>
      <w:r>
        <w:t xml:space="preserve">Estonia </w:t>
      </w:r>
    </w:p>
    <w:p w14:paraId="6E8A19A4" w14:textId="77777777" w:rsidR="000729F8" w:rsidRDefault="000729F8">
      <w:pPr>
        <w:pStyle w:val="CommentText"/>
      </w:pPr>
      <w:r>
        <w:t xml:space="preserve">Spain </w:t>
      </w:r>
    </w:p>
    <w:p w14:paraId="43069DFE" w14:textId="77777777" w:rsidR="000729F8" w:rsidRDefault="000729F8">
      <w:pPr>
        <w:pStyle w:val="CommentText"/>
      </w:pPr>
      <w:r>
        <w:t xml:space="preserve">Greece </w:t>
      </w:r>
    </w:p>
    <w:p w14:paraId="6FE7E506" w14:textId="77777777" w:rsidR="000729F8" w:rsidRDefault="000729F8">
      <w:pPr>
        <w:pStyle w:val="CommentText"/>
      </w:pPr>
      <w:r>
        <w:t xml:space="preserve">Italy </w:t>
      </w:r>
    </w:p>
    <w:p w14:paraId="2E4A0986" w14:textId="77777777" w:rsidR="000729F8" w:rsidRDefault="000729F8">
      <w:pPr>
        <w:pStyle w:val="CommentText"/>
      </w:pPr>
      <w:r>
        <w:t xml:space="preserve">Portugal </w:t>
      </w:r>
    </w:p>
    <w:p w14:paraId="695C1459" w14:textId="77777777" w:rsidR="000729F8" w:rsidRDefault="000729F8">
      <w:pPr>
        <w:pStyle w:val="CommentText"/>
      </w:pPr>
      <w:r>
        <w:t xml:space="preserve">Australia </w:t>
      </w:r>
    </w:p>
    <w:p w14:paraId="0C857CCB" w14:textId="77777777" w:rsidR="000729F8" w:rsidRDefault="000729F8">
      <w:pPr>
        <w:pStyle w:val="CommentText"/>
      </w:pPr>
      <w:r>
        <w:t xml:space="preserve">Canada </w:t>
      </w:r>
    </w:p>
    <w:p w14:paraId="78111EC8" w14:textId="77777777" w:rsidR="000729F8" w:rsidRDefault="000729F8">
      <w:pPr>
        <w:pStyle w:val="CommentText"/>
      </w:pPr>
      <w:r>
        <w:t>England</w:t>
      </w:r>
    </w:p>
    <w:p w14:paraId="43D6D0D9" w14:textId="77777777" w:rsidR="000729F8" w:rsidRDefault="000729F8">
      <w:pPr>
        <w:pStyle w:val="CommentText"/>
      </w:pPr>
      <w:r>
        <w:t xml:space="preserve">OECD average </w:t>
      </w:r>
    </w:p>
    <w:p w14:paraId="2316E7C8" w14:textId="77777777" w:rsidR="000729F8" w:rsidRDefault="000729F8">
      <w:pPr>
        <w:pStyle w:val="CommentText"/>
      </w:pPr>
      <w:r>
        <w:t xml:space="preserve">Luxembourg </w:t>
      </w:r>
    </w:p>
    <w:p w14:paraId="40C69A0E" w14:textId="77777777" w:rsidR="000729F8" w:rsidRDefault="000729F8">
      <w:pPr>
        <w:pStyle w:val="CommentText"/>
      </w:pPr>
      <w:r>
        <w:t xml:space="preserve">New Zealand </w:t>
      </w:r>
    </w:p>
    <w:p w14:paraId="1E10DFFB" w14:textId="77777777" w:rsidR="000729F8" w:rsidRDefault="000729F8">
      <w:pPr>
        <w:pStyle w:val="CommentText"/>
      </w:pPr>
      <w:r>
        <w:t xml:space="preserve">Germany </w:t>
      </w:r>
    </w:p>
    <w:p w14:paraId="086D724F" w14:textId="77777777" w:rsidR="000729F8" w:rsidRDefault="000729F8">
      <w:pPr>
        <w:pStyle w:val="CommentText"/>
      </w:pPr>
      <w:r>
        <w:t xml:space="preserve">Poland </w:t>
      </w:r>
    </w:p>
    <w:p w14:paraId="69C6F72B" w14:textId="77777777" w:rsidR="000729F8" w:rsidRDefault="000729F8">
      <w:pPr>
        <w:pStyle w:val="CommentText"/>
      </w:pPr>
      <w:r>
        <w:t xml:space="preserve">Austria </w:t>
      </w:r>
    </w:p>
    <w:p w14:paraId="11052EDA" w14:textId="77777777" w:rsidR="000729F8" w:rsidRDefault="000729F8">
      <w:pPr>
        <w:pStyle w:val="CommentText"/>
      </w:pPr>
      <w:r>
        <w:t xml:space="preserve">Belgium </w:t>
      </w:r>
    </w:p>
    <w:p w14:paraId="0EE308D6" w14:textId="77777777" w:rsidR="000729F8" w:rsidRDefault="000729F8">
      <w:pPr>
        <w:pStyle w:val="CommentText"/>
      </w:pPr>
      <w:r>
        <w:t xml:space="preserve">Ireland </w:t>
      </w:r>
    </w:p>
    <w:p w14:paraId="36D6B097" w14:textId="77777777" w:rsidR="000729F8" w:rsidRDefault="000729F8">
      <w:pPr>
        <w:pStyle w:val="CommentText"/>
      </w:pPr>
      <w:r>
        <w:t xml:space="preserve">Switzerland </w:t>
      </w:r>
    </w:p>
    <w:p w14:paraId="65416932" w14:textId="77777777" w:rsidR="000729F8" w:rsidRDefault="000729F8">
      <w:pPr>
        <w:pStyle w:val="CommentText"/>
      </w:pPr>
      <w:r>
        <w:t xml:space="preserve">Sweden </w:t>
      </w:r>
    </w:p>
    <w:p w14:paraId="196D82ED" w14:textId="77777777" w:rsidR="000729F8" w:rsidRDefault="000729F8">
      <w:pPr>
        <w:pStyle w:val="CommentText"/>
      </w:pPr>
      <w:r>
        <w:t xml:space="preserve">Slovenia </w:t>
      </w:r>
    </w:p>
    <w:p w14:paraId="194476D2" w14:textId="77777777" w:rsidR="000729F8" w:rsidRDefault="000729F8">
      <w:pPr>
        <w:pStyle w:val="CommentText"/>
      </w:pPr>
      <w:r>
        <w:t xml:space="preserve">Slovakia </w:t>
      </w:r>
    </w:p>
    <w:p w14:paraId="728F1D05" w14:textId="77777777" w:rsidR="000729F8" w:rsidRDefault="000729F8">
      <w:pPr>
        <w:pStyle w:val="CommentText"/>
      </w:pPr>
      <w:r>
        <w:t xml:space="preserve">Norway </w:t>
      </w:r>
    </w:p>
    <w:p w14:paraId="775934A3" w14:textId="77777777" w:rsidR="000729F8" w:rsidRDefault="000729F8">
      <w:pPr>
        <w:pStyle w:val="CommentText"/>
      </w:pPr>
      <w:r>
        <w:t xml:space="preserve">France </w:t>
      </w:r>
    </w:p>
    <w:p w14:paraId="344539BE" w14:textId="77777777" w:rsidR="000729F8" w:rsidRDefault="000729F8">
      <w:pPr>
        <w:pStyle w:val="CommentText"/>
      </w:pPr>
      <w:r>
        <w:t xml:space="preserve">Holland </w:t>
      </w:r>
    </w:p>
    <w:p w14:paraId="5EC4F07C" w14:textId="77777777" w:rsidR="000729F8" w:rsidRDefault="000729F8">
      <w:pPr>
        <w:pStyle w:val="CommentText"/>
      </w:pPr>
      <w:r>
        <w:t xml:space="preserve">Hungary </w:t>
      </w:r>
    </w:p>
    <w:p w14:paraId="444AA34F" w14:textId="77777777" w:rsidR="000729F8" w:rsidRDefault="000729F8">
      <w:pPr>
        <w:pStyle w:val="CommentText"/>
      </w:pPr>
      <w:r>
        <w:t xml:space="preserve">Finland </w:t>
      </w:r>
    </w:p>
    <w:p w14:paraId="7E67D481" w14:textId="77777777" w:rsidR="000729F8" w:rsidRDefault="000729F8">
      <w:pPr>
        <w:pStyle w:val="CommentText"/>
      </w:pPr>
      <w:r>
        <w:t xml:space="preserve">Denmark </w:t>
      </w:r>
    </w:p>
    <w:p w14:paraId="70504BA7" w14:textId="77777777" w:rsidR="000729F8" w:rsidRDefault="000729F8">
      <w:pPr>
        <w:pStyle w:val="CommentText"/>
      </w:pPr>
      <w:r>
        <w:t>Czechia</w:t>
      </w:r>
    </w:p>
    <w:p w14:paraId="2082177E" w14:textId="77777777" w:rsidR="000729F8" w:rsidRDefault="000729F8" w:rsidP="0062155E">
      <w:pPr>
        <w:pStyle w:val="CommentText"/>
      </w:pPr>
      <w:r>
        <w:t xml:space="preserve">Iceland </w:t>
      </w:r>
    </w:p>
  </w:comment>
  <w:comment w:id="1" w:author="Author" w:initials="A">
    <w:p w14:paraId="7674BA64" w14:textId="77777777" w:rsidR="006C5665" w:rsidRDefault="00670F32">
      <w:pPr>
        <w:pStyle w:val="CommentText"/>
      </w:pPr>
      <w:r>
        <w:rPr>
          <w:rStyle w:val="CommentReference"/>
        </w:rPr>
        <w:annotationRef/>
      </w:r>
      <w:r w:rsidR="006C5665">
        <w:t xml:space="preserve">Slovakia </w:t>
      </w:r>
    </w:p>
    <w:p w14:paraId="771F9772" w14:textId="77777777" w:rsidR="006C5665" w:rsidRDefault="006C5665">
      <w:pPr>
        <w:pStyle w:val="CommentText"/>
      </w:pPr>
      <w:r>
        <w:t xml:space="preserve">Denmark </w:t>
      </w:r>
    </w:p>
    <w:p w14:paraId="1201D9D7" w14:textId="77777777" w:rsidR="006C5665" w:rsidRDefault="006C5665">
      <w:pPr>
        <w:pStyle w:val="CommentText"/>
      </w:pPr>
      <w:r>
        <w:t xml:space="preserve">Norway </w:t>
      </w:r>
    </w:p>
    <w:p w14:paraId="6C0ED675" w14:textId="77777777" w:rsidR="006C5665" w:rsidRDefault="006C5665">
      <w:pPr>
        <w:pStyle w:val="CommentText"/>
      </w:pPr>
      <w:r>
        <w:t xml:space="preserve">Belgium </w:t>
      </w:r>
    </w:p>
    <w:p w14:paraId="1046400A" w14:textId="77777777" w:rsidR="006C5665" w:rsidRDefault="006C5665">
      <w:pPr>
        <w:pStyle w:val="CommentText"/>
      </w:pPr>
      <w:r>
        <w:t xml:space="preserve">Austria </w:t>
      </w:r>
    </w:p>
    <w:p w14:paraId="72138B15" w14:textId="77777777" w:rsidR="006C5665" w:rsidRDefault="006C5665">
      <w:pPr>
        <w:pStyle w:val="CommentText"/>
      </w:pPr>
      <w:r>
        <w:t xml:space="preserve">Sweden </w:t>
      </w:r>
    </w:p>
    <w:p w14:paraId="72CBA175" w14:textId="77777777" w:rsidR="006C5665" w:rsidRDefault="006C5665">
      <w:pPr>
        <w:pStyle w:val="CommentText"/>
      </w:pPr>
      <w:r>
        <w:t xml:space="preserve">Poland </w:t>
      </w:r>
    </w:p>
    <w:p w14:paraId="08FDF706" w14:textId="77777777" w:rsidR="006C5665" w:rsidRDefault="006C5665">
      <w:pPr>
        <w:pStyle w:val="CommentText"/>
      </w:pPr>
      <w:r>
        <w:t xml:space="preserve">Holland </w:t>
      </w:r>
    </w:p>
    <w:p w14:paraId="11FA5BDA" w14:textId="77777777" w:rsidR="006C5665" w:rsidRDefault="006C5665">
      <w:pPr>
        <w:pStyle w:val="CommentText"/>
      </w:pPr>
      <w:r>
        <w:t xml:space="preserve">Iceland </w:t>
      </w:r>
    </w:p>
    <w:p w14:paraId="4CA2764A" w14:textId="77777777" w:rsidR="006C5665" w:rsidRDefault="006C5665">
      <w:pPr>
        <w:pStyle w:val="CommentText"/>
      </w:pPr>
      <w:r>
        <w:t xml:space="preserve">France </w:t>
      </w:r>
    </w:p>
    <w:p w14:paraId="0FA0C249" w14:textId="77777777" w:rsidR="006C5665" w:rsidRDefault="006C5665">
      <w:pPr>
        <w:pStyle w:val="CommentText"/>
      </w:pPr>
      <w:r>
        <w:t xml:space="preserve">Germany </w:t>
      </w:r>
    </w:p>
    <w:p w14:paraId="254A3659" w14:textId="77777777" w:rsidR="006C5665" w:rsidRDefault="006C5665">
      <w:pPr>
        <w:pStyle w:val="CommentText"/>
      </w:pPr>
      <w:r>
        <w:t xml:space="preserve">Switzerland </w:t>
      </w:r>
    </w:p>
    <w:p w14:paraId="2B13C747" w14:textId="77777777" w:rsidR="006C5665" w:rsidRDefault="006C5665">
      <w:pPr>
        <w:pStyle w:val="CommentText"/>
      </w:pPr>
      <w:r>
        <w:t xml:space="preserve">Canada </w:t>
      </w:r>
    </w:p>
    <w:p w14:paraId="30D0CB8E" w14:textId="77777777" w:rsidR="006C5665" w:rsidRDefault="006C5665">
      <w:pPr>
        <w:pStyle w:val="CommentText"/>
      </w:pPr>
      <w:r>
        <w:t xml:space="preserve">Luxembourg </w:t>
      </w:r>
    </w:p>
    <w:p w14:paraId="551DDB7B" w14:textId="77777777" w:rsidR="006C5665" w:rsidRDefault="006C5665">
      <w:pPr>
        <w:pStyle w:val="CommentText"/>
      </w:pPr>
      <w:r>
        <w:t xml:space="preserve">Finland </w:t>
      </w:r>
    </w:p>
    <w:p w14:paraId="7579CFCD" w14:textId="77777777" w:rsidR="006C5665" w:rsidRDefault="006C5665">
      <w:pPr>
        <w:pStyle w:val="CommentText"/>
      </w:pPr>
      <w:r>
        <w:t xml:space="preserve">Hungary </w:t>
      </w:r>
    </w:p>
    <w:p w14:paraId="5D25EEAC" w14:textId="77777777" w:rsidR="006C5665" w:rsidRDefault="006C5665">
      <w:pPr>
        <w:pStyle w:val="CommentText"/>
      </w:pPr>
      <w:r>
        <w:t xml:space="preserve">Ireland </w:t>
      </w:r>
    </w:p>
    <w:p w14:paraId="1342186D" w14:textId="77777777" w:rsidR="006C5665" w:rsidRDefault="006C5665">
      <w:pPr>
        <w:pStyle w:val="CommentText"/>
      </w:pPr>
      <w:r>
        <w:t xml:space="preserve">Estonia </w:t>
      </w:r>
    </w:p>
    <w:p w14:paraId="69AFBC33" w14:textId="77777777" w:rsidR="006C5665" w:rsidRDefault="006C5665">
      <w:pPr>
        <w:pStyle w:val="CommentText"/>
      </w:pPr>
      <w:r>
        <w:t xml:space="preserve">OECD average </w:t>
      </w:r>
    </w:p>
    <w:p w14:paraId="15D3EFFC" w14:textId="77777777" w:rsidR="006C5665" w:rsidRDefault="006C5665">
      <w:pPr>
        <w:pStyle w:val="CommentText"/>
      </w:pPr>
      <w:r>
        <w:t xml:space="preserve">Italy </w:t>
      </w:r>
    </w:p>
    <w:p w14:paraId="7EAA48E5" w14:textId="77777777" w:rsidR="006C5665" w:rsidRDefault="006C5665">
      <w:pPr>
        <w:pStyle w:val="CommentText"/>
      </w:pPr>
      <w:r>
        <w:t xml:space="preserve">Australia </w:t>
      </w:r>
    </w:p>
    <w:p w14:paraId="65BB7BCA" w14:textId="77777777" w:rsidR="006C5665" w:rsidRDefault="006C5665">
      <w:pPr>
        <w:pStyle w:val="CommentText"/>
      </w:pPr>
      <w:r>
        <w:t xml:space="preserve">Portugal </w:t>
      </w:r>
    </w:p>
    <w:p w14:paraId="6488E54C" w14:textId="77777777" w:rsidR="006C5665" w:rsidRDefault="006C5665">
      <w:pPr>
        <w:pStyle w:val="CommentText"/>
      </w:pPr>
      <w:r>
        <w:t xml:space="preserve">Latvia </w:t>
      </w:r>
    </w:p>
    <w:p w14:paraId="72D18A8B" w14:textId="77777777" w:rsidR="006C5665" w:rsidRDefault="006C5665">
      <w:pPr>
        <w:pStyle w:val="CommentText"/>
      </w:pPr>
      <w:r>
        <w:t xml:space="preserve">Greece </w:t>
      </w:r>
    </w:p>
    <w:p w14:paraId="6BBCF2F3" w14:textId="77777777" w:rsidR="006C5665" w:rsidRDefault="006C5665">
      <w:pPr>
        <w:pStyle w:val="CommentText"/>
      </w:pPr>
      <w:r>
        <w:t xml:space="preserve">Japan </w:t>
      </w:r>
    </w:p>
    <w:p w14:paraId="4AC1493D" w14:textId="77777777" w:rsidR="006C5665" w:rsidRDefault="006C5665">
      <w:pPr>
        <w:pStyle w:val="CommentText"/>
      </w:pPr>
      <w:r>
        <w:t xml:space="preserve">Spain </w:t>
      </w:r>
    </w:p>
    <w:p w14:paraId="742397D4" w14:textId="77777777" w:rsidR="006C5665" w:rsidRDefault="006C5665">
      <w:pPr>
        <w:pStyle w:val="CommentText"/>
      </w:pPr>
      <w:r>
        <w:t xml:space="preserve">New Zealand </w:t>
      </w:r>
    </w:p>
    <w:p w14:paraId="148484B9" w14:textId="77777777" w:rsidR="006C5665" w:rsidRDefault="006C5665">
      <w:pPr>
        <w:pStyle w:val="CommentText"/>
      </w:pPr>
      <w:r>
        <w:t xml:space="preserve">Korea </w:t>
      </w:r>
    </w:p>
    <w:p w14:paraId="3AE4657B" w14:textId="77777777" w:rsidR="006C5665" w:rsidRDefault="006C5665">
      <w:pPr>
        <w:pStyle w:val="CommentText"/>
      </w:pPr>
      <w:r>
        <w:t xml:space="preserve">England </w:t>
      </w:r>
    </w:p>
    <w:p w14:paraId="6715E2F8" w14:textId="77777777" w:rsidR="006C5665" w:rsidRDefault="006C5665">
      <w:pPr>
        <w:pStyle w:val="CommentText"/>
      </w:pPr>
      <w:r>
        <w:t xml:space="preserve">Israel </w:t>
      </w:r>
    </w:p>
    <w:p w14:paraId="4DB12247" w14:textId="77777777" w:rsidR="006C5665" w:rsidRDefault="006C5665">
      <w:pPr>
        <w:pStyle w:val="CommentText"/>
      </w:pPr>
      <w:r>
        <w:t xml:space="preserve">United States </w:t>
      </w:r>
    </w:p>
    <w:p w14:paraId="1F7CE3FF" w14:textId="77777777" w:rsidR="006C5665" w:rsidRDefault="006C5665">
      <w:pPr>
        <w:pStyle w:val="CommentText"/>
      </w:pPr>
      <w:r>
        <w:t xml:space="preserve">Turkey </w:t>
      </w:r>
    </w:p>
    <w:p w14:paraId="15437E30" w14:textId="77777777" w:rsidR="006C5665" w:rsidRDefault="006C5665">
      <w:pPr>
        <w:pStyle w:val="CommentText"/>
      </w:pPr>
      <w:r>
        <w:t xml:space="preserve">Mexico </w:t>
      </w:r>
    </w:p>
    <w:p w14:paraId="4B42E6A2" w14:textId="77777777" w:rsidR="006C5665" w:rsidRDefault="006C5665" w:rsidP="0089401F">
      <w:pPr>
        <w:pStyle w:val="CommentText"/>
      </w:pPr>
      <w:r>
        <w:t xml:space="preserve">Czechia </w:t>
      </w:r>
    </w:p>
  </w:comment>
  <w:comment w:id="2" w:author="Author" w:initials="A">
    <w:p w14:paraId="4EECE4B4" w14:textId="6EC9B338" w:rsidR="008622EE" w:rsidRDefault="008622EE">
      <w:pPr>
        <w:pStyle w:val="CommentText"/>
      </w:pPr>
      <w:r>
        <w:rPr>
          <w:rStyle w:val="CommentReference"/>
        </w:rPr>
        <w:annotationRef/>
      </w:r>
      <w:r>
        <w:t>Y axis:</w:t>
      </w:r>
    </w:p>
    <w:p w14:paraId="13D6CF63" w14:textId="77777777" w:rsidR="008622EE" w:rsidRDefault="008622EE">
      <w:pPr>
        <w:pStyle w:val="CommentText"/>
      </w:pPr>
      <w:r>
        <w:t>NIS/month/standard capita</w:t>
      </w:r>
    </w:p>
    <w:p w14:paraId="267446C7" w14:textId="77777777" w:rsidR="008622EE" w:rsidRDefault="008622EE">
      <w:pPr>
        <w:pStyle w:val="CommentText"/>
      </w:pPr>
    </w:p>
    <w:p w14:paraId="55CBF591" w14:textId="50216B50" w:rsidR="008622EE" w:rsidRDefault="008622EE">
      <w:pPr>
        <w:pStyle w:val="CommentText"/>
      </w:pPr>
      <w:r>
        <w:t>X axis:</w:t>
      </w:r>
    </w:p>
    <w:p w14:paraId="2D1EC663" w14:textId="4CDD2DB8" w:rsidR="008622EE" w:rsidRDefault="008622EE">
      <w:pPr>
        <w:pStyle w:val="CommentText"/>
      </w:pPr>
      <w:r>
        <w:t>Percentile</w:t>
      </w:r>
    </w:p>
    <w:p w14:paraId="6E18EA30" w14:textId="77777777" w:rsidR="008622EE" w:rsidRDefault="008622EE">
      <w:pPr>
        <w:pStyle w:val="CommentText"/>
      </w:pPr>
    </w:p>
    <w:p w14:paraId="5C2FD677" w14:textId="0482BE0D" w:rsidR="008622EE" w:rsidRDefault="00795EB4" w:rsidP="00795EB4">
      <w:pPr>
        <w:pStyle w:val="CommentText"/>
      </w:pPr>
      <w:r>
        <w:t xml:space="preserve">Total </w:t>
      </w:r>
      <w:r w:rsidR="00F27F12">
        <w:t>F</w:t>
      </w:r>
      <w:r>
        <w:t xml:space="preserve">ruit &amp; </w:t>
      </w:r>
      <w:r w:rsidR="00F27F12">
        <w:t>V</w:t>
      </w:r>
      <w:r>
        <w:t xml:space="preserve">egetables </w:t>
      </w:r>
    </w:p>
    <w:p w14:paraId="057A1AC5" w14:textId="052AB85E" w:rsidR="00795EB4" w:rsidRDefault="00795EB4" w:rsidP="00795EB4">
      <w:pPr>
        <w:pStyle w:val="CommentText"/>
      </w:pPr>
      <w:r>
        <w:t xml:space="preserve">Total </w:t>
      </w:r>
      <w:r w:rsidR="00F27F12">
        <w:t>F</w:t>
      </w:r>
      <w:r>
        <w:t>ood (</w:t>
      </w:r>
      <w:r w:rsidR="00F27F12">
        <w:t>E</w:t>
      </w:r>
      <w:r>
        <w:t xml:space="preserve">xcluding </w:t>
      </w:r>
      <w:r w:rsidR="00F27F12">
        <w:t>F</w:t>
      </w:r>
      <w:r>
        <w:t xml:space="preserve">ruit &amp; </w:t>
      </w:r>
      <w:r w:rsidR="00F27F12">
        <w:t>V</w:t>
      </w:r>
      <w:r>
        <w:t xml:space="preserve">egetables and </w:t>
      </w:r>
      <w:r w:rsidR="00F27F12">
        <w:t>D</w:t>
      </w:r>
      <w:r>
        <w:t xml:space="preserve">ining </w:t>
      </w:r>
      <w:r w:rsidR="00F27F12">
        <w:t>O</w:t>
      </w:r>
      <w:r>
        <w:t>ut)</w:t>
      </w:r>
    </w:p>
    <w:p w14:paraId="5D8BFEB0" w14:textId="4F9C5756" w:rsidR="00795EB4" w:rsidRDefault="00795EB4" w:rsidP="00795EB4">
      <w:pPr>
        <w:pStyle w:val="CommentText"/>
      </w:pPr>
      <w:r>
        <w:t xml:space="preserve">Normative </w:t>
      </w:r>
      <w:r w:rsidR="00F27F12">
        <w:t>E</w:t>
      </w:r>
      <w:r>
        <w:t>xpenditure</w:t>
      </w:r>
    </w:p>
    <w:p w14:paraId="7E0B4411" w14:textId="48935E80" w:rsidR="00795EB4" w:rsidRDefault="00795EB4" w:rsidP="00795EB4">
      <w:pPr>
        <w:pStyle w:val="CommentText"/>
      </w:pPr>
      <w:r>
        <w:t xml:space="preserve">Poly. </w:t>
      </w:r>
      <w:r w:rsidR="00F27F12">
        <w:t>T</w:t>
      </w:r>
      <w:r>
        <w:t xml:space="preserve">rend </w:t>
      </w:r>
      <w:r w:rsidR="00F27F12">
        <w:t>L</w:t>
      </w:r>
      <w:r>
        <w:t>ine</w:t>
      </w:r>
    </w:p>
    <w:p w14:paraId="1FAED6E3" w14:textId="32DEBFE3" w:rsidR="008622EE" w:rsidRDefault="008622EE">
      <w:pPr>
        <w:pStyle w:val="CommentText"/>
      </w:pPr>
    </w:p>
  </w:comment>
  <w:comment w:id="3" w:author="Author" w:initials="A">
    <w:p w14:paraId="1ED4A993" w14:textId="77777777" w:rsidR="002D2C6F" w:rsidRDefault="002D2C6F" w:rsidP="002D2C6F">
      <w:pPr>
        <w:pStyle w:val="CommentText"/>
      </w:pPr>
      <w:r>
        <w:rPr>
          <w:rStyle w:val="CommentReference"/>
        </w:rPr>
        <w:annotationRef/>
      </w:r>
      <w:r>
        <w:t>Left to right:</w:t>
      </w:r>
    </w:p>
    <w:p w14:paraId="5F7A2C2A" w14:textId="77777777" w:rsidR="002D2C6F" w:rsidRDefault="002D2C6F" w:rsidP="002D2C6F">
      <w:pPr>
        <w:pStyle w:val="CommentText"/>
      </w:pPr>
    </w:p>
    <w:p w14:paraId="6CFD3733" w14:textId="77777777" w:rsidR="002D2C6F" w:rsidRDefault="002D2C6F" w:rsidP="002D2C6F">
      <w:pPr>
        <w:pStyle w:val="CommentText"/>
      </w:pPr>
      <w:r>
        <w:t xml:space="preserve">Bread &amp; Pita </w:t>
      </w:r>
    </w:p>
    <w:p w14:paraId="493B879A" w14:textId="77777777" w:rsidR="002D2C6F" w:rsidRDefault="002D2C6F" w:rsidP="002D2C6F">
      <w:pPr>
        <w:pStyle w:val="CommentText"/>
      </w:pPr>
      <w:r>
        <w:t>Potatoes &amp; Sweet Potatoes</w:t>
      </w:r>
    </w:p>
    <w:p w14:paraId="0BCE0454" w14:textId="77777777" w:rsidR="002D2C6F" w:rsidRDefault="002D2C6F" w:rsidP="002D2C6F">
      <w:pPr>
        <w:pStyle w:val="CommentText"/>
      </w:pPr>
      <w:r>
        <w:t>Milk &amp; Dairy</w:t>
      </w:r>
    </w:p>
    <w:p w14:paraId="7988B4C6" w14:textId="77777777" w:rsidR="002D2C6F" w:rsidRDefault="002D2C6F" w:rsidP="002D2C6F">
      <w:pPr>
        <w:pStyle w:val="CommentText"/>
      </w:pPr>
      <w:r>
        <w:t>Fresh Vegetables</w:t>
      </w:r>
    </w:p>
    <w:p w14:paraId="0C8BFADB" w14:textId="77777777" w:rsidR="002D2C6F" w:rsidRDefault="002D2C6F" w:rsidP="002D2C6F">
      <w:pPr>
        <w:pStyle w:val="CommentText"/>
      </w:pPr>
      <w:r>
        <w:t>Fresh Fruit</w:t>
      </w:r>
    </w:p>
    <w:p w14:paraId="71235ED3" w14:textId="77777777" w:rsidR="002D2C6F" w:rsidRDefault="002D2C6F" w:rsidP="002D2C6F">
      <w:pPr>
        <w:pStyle w:val="CommentText"/>
      </w:pPr>
      <w:r>
        <w:t>Meat, Poultry &amp; Fish</w:t>
      </w:r>
    </w:p>
    <w:p w14:paraId="74F9B87D" w14:textId="77777777" w:rsidR="002D2C6F" w:rsidRDefault="002D2C6F" w:rsidP="002D2C6F">
      <w:pPr>
        <w:pStyle w:val="CommentText"/>
      </w:pPr>
    </w:p>
    <w:p w14:paraId="2B278CB8" w14:textId="77777777" w:rsidR="002D2C6F" w:rsidRDefault="002D2C6F" w:rsidP="002D2C6F">
      <w:pPr>
        <w:pStyle w:val="CommentText"/>
      </w:pPr>
      <w:r>
        <w:t>Actual Expenditure</w:t>
      </w:r>
    </w:p>
    <w:p w14:paraId="274E4BAF" w14:textId="77777777" w:rsidR="002D2C6F" w:rsidRDefault="002D2C6F" w:rsidP="002D2C6F">
      <w:pPr>
        <w:pStyle w:val="CommentText"/>
      </w:pPr>
      <w:r>
        <w:t>Gap from Normative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82177E" w15:done="0"/>
  <w15:commentEx w15:paraId="4B42E6A2" w15:done="0"/>
  <w15:commentEx w15:paraId="1FAED6E3" w15:done="0"/>
  <w15:commentEx w15:paraId="274E4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2177E" w16cid:durableId="26CDAEC7"/>
  <w16cid:commentId w16cid:paraId="4B42E6A2" w16cid:durableId="25522908"/>
  <w16cid:commentId w16cid:paraId="1FAED6E3" w16cid:durableId="2552290A"/>
  <w16cid:commentId w16cid:paraId="274E4BAF" w16cid:durableId="25532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ECAD" w14:textId="77777777" w:rsidR="00FA3C57" w:rsidRDefault="00FA3C57" w:rsidP="005E04CC">
      <w:pPr>
        <w:spacing w:after="0" w:line="240" w:lineRule="auto"/>
      </w:pPr>
      <w:r>
        <w:separator/>
      </w:r>
    </w:p>
  </w:endnote>
  <w:endnote w:type="continuationSeparator" w:id="0">
    <w:p w14:paraId="4DDDE4E2" w14:textId="77777777" w:rsidR="00FA3C57" w:rsidRDefault="00FA3C57" w:rsidP="005E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523121785"/>
      <w:docPartObj>
        <w:docPartGallery w:val="Page Numbers (Bottom of Page)"/>
        <w:docPartUnique/>
      </w:docPartObj>
    </w:sdtPr>
    <w:sdtEndPr>
      <w:rPr>
        <w:noProof/>
      </w:rPr>
    </w:sdtEndPr>
    <w:sdtContent>
      <w:p w14:paraId="43C5B825" w14:textId="748BE2DF" w:rsidR="006C5665" w:rsidRPr="00BE6B46" w:rsidRDefault="006C5665">
        <w:pPr>
          <w:pStyle w:val="Footer"/>
          <w:jc w:val="center"/>
          <w:rPr>
            <w:sz w:val="20"/>
            <w:szCs w:val="18"/>
          </w:rPr>
        </w:pPr>
        <w:r w:rsidRPr="00BE6B46">
          <w:rPr>
            <w:sz w:val="20"/>
            <w:szCs w:val="18"/>
          </w:rPr>
          <w:t xml:space="preserve">– Draft for discussion – </w:t>
        </w:r>
      </w:p>
      <w:p w14:paraId="0479620E" w14:textId="3B927E74" w:rsidR="004B537B" w:rsidRPr="00BE6B46" w:rsidRDefault="004B537B" w:rsidP="00BE6B46">
        <w:pPr>
          <w:pStyle w:val="Footer"/>
          <w:jc w:val="center"/>
          <w:rPr>
            <w:sz w:val="20"/>
            <w:szCs w:val="18"/>
          </w:rPr>
        </w:pPr>
        <w:r w:rsidRPr="00BE6B46">
          <w:rPr>
            <w:sz w:val="20"/>
            <w:szCs w:val="18"/>
          </w:rPr>
          <w:fldChar w:fldCharType="begin"/>
        </w:r>
        <w:r w:rsidRPr="00BE6B46">
          <w:rPr>
            <w:sz w:val="20"/>
            <w:szCs w:val="18"/>
          </w:rPr>
          <w:instrText xml:space="preserve"> PAGE   \* MERGEFORMAT </w:instrText>
        </w:r>
        <w:r w:rsidRPr="00BE6B46">
          <w:rPr>
            <w:sz w:val="20"/>
            <w:szCs w:val="18"/>
          </w:rPr>
          <w:fldChar w:fldCharType="separate"/>
        </w:r>
        <w:r w:rsidRPr="00BE6B46">
          <w:rPr>
            <w:noProof/>
            <w:sz w:val="20"/>
            <w:szCs w:val="18"/>
          </w:rPr>
          <w:t>2</w:t>
        </w:r>
        <w:r w:rsidRPr="00BE6B46">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5C9E" w14:textId="77777777" w:rsidR="00FA3C57" w:rsidRDefault="00FA3C57" w:rsidP="005E04CC">
      <w:pPr>
        <w:spacing w:after="0" w:line="240" w:lineRule="auto"/>
      </w:pPr>
      <w:r>
        <w:separator/>
      </w:r>
    </w:p>
  </w:footnote>
  <w:footnote w:type="continuationSeparator" w:id="0">
    <w:p w14:paraId="38E68B93" w14:textId="77777777" w:rsidR="00FA3C57" w:rsidRDefault="00FA3C57" w:rsidP="005E04CC">
      <w:pPr>
        <w:spacing w:after="0" w:line="240" w:lineRule="auto"/>
      </w:pPr>
      <w:r>
        <w:continuationSeparator/>
      </w:r>
    </w:p>
  </w:footnote>
  <w:footnote w:id="1">
    <w:p w14:paraId="019FB9B8" w14:textId="29A2B8B5" w:rsidR="00014715" w:rsidRDefault="00014715" w:rsidP="00014715">
      <w:pPr>
        <w:pStyle w:val="FootnoteText"/>
      </w:pPr>
      <w:r>
        <w:rPr>
          <w:rStyle w:val="FootnoteReference"/>
        </w:rPr>
        <w:footnoteRef/>
      </w:r>
      <w:r>
        <w:t xml:space="preserve"> Poverty and Income Inequality Indexes – </w:t>
      </w:r>
      <w:r w:rsidRPr="00D97389">
        <w:rPr>
          <w:lang w:val="en"/>
        </w:rPr>
        <w:t>20</w:t>
      </w:r>
      <w:r>
        <w:rPr>
          <w:lang w:val="en"/>
        </w:rPr>
        <w:t>20</w:t>
      </w:r>
      <w:r w:rsidR="00AA514C">
        <w:rPr>
          <w:lang w:val="en"/>
        </w:rPr>
        <w:t xml:space="preserve">, </w:t>
      </w:r>
      <w:r w:rsidRPr="00D97389">
        <w:rPr>
          <w:lang w:val="en"/>
        </w:rPr>
        <w:t>National Insurance Institute</w:t>
      </w:r>
    </w:p>
  </w:footnote>
  <w:footnote w:id="2">
    <w:p w14:paraId="421468F5" w14:textId="5A58996D" w:rsidR="0008361E" w:rsidRPr="00C23920" w:rsidRDefault="0008361E" w:rsidP="00EF22DC">
      <w:pPr>
        <w:pStyle w:val="FootnoteText"/>
        <w:spacing w:line="360" w:lineRule="auto"/>
        <w:jc w:val="both"/>
        <w:rPr>
          <w:rFonts w:asciiTheme="minorBidi" w:hAnsiTheme="minorBidi"/>
        </w:rPr>
      </w:pPr>
      <w:r w:rsidRPr="00C23920">
        <w:rPr>
          <w:rStyle w:val="FootnoteReference"/>
          <w:rFonts w:asciiTheme="minorBidi" w:hAnsiTheme="minorBidi"/>
        </w:rPr>
        <w:footnoteRef/>
      </w:r>
      <w:r w:rsidRPr="00C23920">
        <w:rPr>
          <w:rFonts w:asciiTheme="minorBidi" w:hAnsiTheme="minorBidi"/>
        </w:rPr>
        <w:t xml:space="preserve"> Food</w:t>
      </w:r>
      <w:r w:rsidR="00EF22DC">
        <w:rPr>
          <w:rFonts w:asciiTheme="minorBidi" w:hAnsiTheme="minorBidi"/>
        </w:rPr>
        <w:t xml:space="preserve"> Expenditure </w:t>
      </w:r>
      <w:r w:rsidR="00EF22DC" w:rsidRPr="00C23920">
        <w:rPr>
          <w:rFonts w:asciiTheme="minorBidi" w:hAnsiTheme="minorBidi"/>
        </w:rPr>
        <w:t>Patterns</w:t>
      </w:r>
      <w:r w:rsidRPr="00C23920">
        <w:rPr>
          <w:rFonts w:asciiTheme="minorBidi" w:hAnsiTheme="minorBidi"/>
        </w:rPr>
        <w:t xml:space="preserve"> in Israel, Taub Center, 2014.</w:t>
      </w:r>
    </w:p>
  </w:footnote>
  <w:footnote w:id="3">
    <w:p w14:paraId="27DAEF53" w14:textId="1C71964B" w:rsidR="00C23920" w:rsidRPr="00C23920" w:rsidRDefault="00C23920" w:rsidP="000214D7">
      <w:pPr>
        <w:pStyle w:val="FootnoteText"/>
        <w:spacing w:line="360" w:lineRule="auto"/>
        <w:jc w:val="both"/>
        <w:rPr>
          <w:rFonts w:asciiTheme="minorBidi" w:hAnsiTheme="minorBidi"/>
        </w:rPr>
      </w:pPr>
      <w:r w:rsidRPr="00C23920">
        <w:rPr>
          <w:rStyle w:val="FootnoteReference"/>
          <w:rFonts w:asciiTheme="minorBidi" w:hAnsiTheme="minorBidi"/>
        </w:rPr>
        <w:footnoteRef/>
      </w:r>
      <w:r w:rsidRPr="00C23920">
        <w:rPr>
          <w:rFonts w:asciiTheme="minorBidi" w:hAnsiTheme="minorBidi"/>
        </w:rPr>
        <w:t xml:space="preserve"> </w:t>
      </w:r>
      <w:r>
        <w:rPr>
          <w:rFonts w:asciiTheme="minorBidi" w:hAnsiTheme="minorBidi"/>
        </w:rPr>
        <w:t xml:space="preserve">Not including dining out, </w:t>
      </w:r>
      <w:r w:rsidR="000214D7">
        <w:rPr>
          <w:rFonts w:asciiTheme="minorBidi" w:hAnsiTheme="minorBidi"/>
        </w:rPr>
        <w:t xml:space="preserve">spirits and </w:t>
      </w:r>
      <w:r>
        <w:rPr>
          <w:rFonts w:asciiTheme="minorBidi" w:hAnsiTheme="minorBidi"/>
        </w:rPr>
        <w:t>alcohol</w:t>
      </w:r>
      <w:r w:rsidR="000214D7">
        <w:rPr>
          <w:rFonts w:asciiTheme="minorBidi" w:hAnsiTheme="minorBidi"/>
        </w:rPr>
        <w:t xml:space="preserve">ic beverages, </w:t>
      </w:r>
      <w:r w:rsidRPr="00C23920">
        <w:rPr>
          <w:rFonts w:asciiTheme="minorBidi" w:hAnsiTheme="minorBidi"/>
        </w:rPr>
        <w:t xml:space="preserve">and </w:t>
      </w:r>
      <w:r>
        <w:rPr>
          <w:rFonts w:asciiTheme="minorBidi" w:hAnsiTheme="minorBidi"/>
        </w:rPr>
        <w:t>soft drinks.</w:t>
      </w:r>
    </w:p>
  </w:footnote>
  <w:footnote w:id="4">
    <w:p w14:paraId="01BA2E14" w14:textId="77777777" w:rsidR="002D2C6F" w:rsidRPr="00223454" w:rsidRDefault="002D2C6F" w:rsidP="002D2C6F">
      <w:pPr>
        <w:pStyle w:val="FootnoteText"/>
        <w:spacing w:line="360" w:lineRule="auto"/>
        <w:jc w:val="both"/>
        <w:rPr>
          <w:rFonts w:asciiTheme="minorBidi" w:hAnsiTheme="minorBidi"/>
        </w:rPr>
      </w:pPr>
      <w:r w:rsidRPr="00223454">
        <w:rPr>
          <w:rStyle w:val="FootnoteReference"/>
          <w:rFonts w:asciiTheme="minorBidi" w:hAnsiTheme="minorBidi"/>
        </w:rPr>
        <w:footnoteRef/>
      </w:r>
      <w:r w:rsidRPr="00223454">
        <w:rPr>
          <w:rFonts w:asciiTheme="minorBidi" w:hAnsiTheme="minorBidi"/>
        </w:rPr>
        <w:t xml:space="preserve"> The nutritional gap for food-insecure households was calculated </w:t>
      </w:r>
      <w:r>
        <w:rPr>
          <w:rFonts w:asciiTheme="minorBidi" w:hAnsiTheme="minorBidi"/>
        </w:rPr>
        <w:t xml:space="preserve">based on </w:t>
      </w:r>
      <w:proofErr w:type="spellStart"/>
      <w:r w:rsidRPr="00223454">
        <w:rPr>
          <w:rFonts w:asciiTheme="minorBidi" w:hAnsiTheme="minorBidi"/>
        </w:rPr>
        <w:t>Chernichovsky</w:t>
      </w:r>
      <w:proofErr w:type="spellEnd"/>
      <w:r w:rsidRPr="00223454">
        <w:rPr>
          <w:rFonts w:asciiTheme="minorBidi" w:hAnsiTheme="minorBidi"/>
        </w:rPr>
        <w:t xml:space="preserve"> and Regev</w:t>
      </w:r>
      <w:r>
        <w:rPr>
          <w:rFonts w:asciiTheme="minorBidi" w:hAnsiTheme="minorBidi"/>
        </w:rPr>
        <w:t>’s</w:t>
      </w:r>
      <w:r w:rsidRPr="00223454">
        <w:rPr>
          <w:rFonts w:asciiTheme="minorBidi" w:hAnsiTheme="minorBidi"/>
        </w:rPr>
        <w:t xml:space="preserve"> report on food insecurity (Food Expenditure Patterns in Israel, Taub Center, 2014), the Central Bureau of Statistic’s Household Expenditure Survey and the National Insurance Institute’s Poverty Report.</w:t>
      </w:r>
    </w:p>
  </w:footnote>
  <w:footnote w:id="5">
    <w:p w14:paraId="5E865CE7" w14:textId="4FBBABAD" w:rsidR="002D2C6F" w:rsidRPr="00223454" w:rsidRDefault="002D2C6F" w:rsidP="002D2C6F">
      <w:pPr>
        <w:pStyle w:val="FootnoteText"/>
        <w:rPr>
          <w:rFonts w:asciiTheme="minorBidi" w:hAnsiTheme="minorBidi"/>
        </w:rPr>
      </w:pPr>
      <w:r w:rsidRPr="00223454">
        <w:rPr>
          <w:rStyle w:val="FootnoteReference"/>
          <w:rFonts w:asciiTheme="minorBidi" w:hAnsiTheme="minorBidi"/>
        </w:rPr>
        <w:footnoteRef/>
      </w:r>
      <w:r w:rsidRPr="00223454">
        <w:rPr>
          <w:rFonts w:asciiTheme="minorBidi" w:hAnsiTheme="minorBidi"/>
        </w:rPr>
        <w:t xml:space="preserve"> </w:t>
      </w:r>
      <w:r>
        <w:rPr>
          <w:rFonts w:asciiTheme="minorBidi" w:hAnsiTheme="minorBidi"/>
        </w:rPr>
        <w:t xml:space="preserve">These </w:t>
      </w:r>
      <w:r w:rsidRPr="00223454">
        <w:rPr>
          <w:rFonts w:asciiTheme="minorBidi" w:hAnsiTheme="minorBidi"/>
        </w:rPr>
        <w:t xml:space="preserve">17 sustainable global development goals </w:t>
      </w:r>
      <w:r>
        <w:rPr>
          <w:rFonts w:asciiTheme="minorBidi" w:hAnsiTheme="minorBidi"/>
        </w:rPr>
        <w:t xml:space="preserve">were </w:t>
      </w:r>
      <w:r w:rsidRPr="00223454">
        <w:rPr>
          <w:rFonts w:asciiTheme="minorBidi" w:hAnsiTheme="minorBidi"/>
        </w:rPr>
        <w:t>adopted by the General Assembly</w:t>
      </w:r>
      <w:r>
        <w:rPr>
          <w:rFonts w:asciiTheme="minorBidi" w:hAnsiTheme="minorBidi"/>
        </w:rPr>
        <w:t xml:space="preserve"> of the United Nations</w:t>
      </w:r>
      <w:r w:rsidRPr="00223454">
        <w:rPr>
          <w:rFonts w:asciiTheme="minorBidi" w:hAnsiTheme="minorBidi"/>
        </w:rPr>
        <w:t xml:space="preserve"> in 2015. </w:t>
      </w:r>
    </w:p>
  </w:footnote>
  <w:footnote w:id="6">
    <w:p w14:paraId="1B8F382E" w14:textId="07E55AFF" w:rsidR="00630F86" w:rsidRDefault="00630F86">
      <w:pPr>
        <w:pStyle w:val="FootnoteText"/>
      </w:pPr>
      <w:r>
        <w:rPr>
          <w:rStyle w:val="FootnoteReference"/>
        </w:rPr>
        <w:footnoteRef/>
      </w:r>
      <w:r>
        <w:t xml:space="preserve"> </w:t>
      </w:r>
      <w:r w:rsidRPr="00630F86">
        <w:t>Most of the resources have already been invested during the agricultural and production stages therefore any additional investment in food rescue is negligible</w:t>
      </w:r>
      <w:r>
        <w:t>.</w:t>
      </w:r>
    </w:p>
  </w:footnote>
  <w:footnote w:id="7">
    <w:p w14:paraId="72D738BE" w14:textId="24252337" w:rsidR="00630F86" w:rsidRDefault="00630F86">
      <w:pPr>
        <w:pStyle w:val="FootnoteText"/>
      </w:pPr>
      <w:r>
        <w:rPr>
          <w:rStyle w:val="FootnoteReference"/>
        </w:rPr>
        <w:footnoteRef/>
      </w:r>
      <w:r>
        <w:t xml:space="preserve"> Ibid.</w:t>
      </w:r>
    </w:p>
  </w:footnote>
  <w:footnote w:id="8">
    <w:p w14:paraId="27603D5E" w14:textId="77777777" w:rsidR="00CE6083" w:rsidRDefault="00CE6083" w:rsidP="00CE6083">
      <w:pPr>
        <w:pStyle w:val="FootnoteText"/>
      </w:pPr>
      <w:r>
        <w:rPr>
          <w:rStyle w:val="FootnoteReference"/>
        </w:rPr>
        <w:footnoteRef/>
      </w:r>
      <w:r>
        <w:t xml:space="preserve"> Out of a total of 80 million tons of greenhouse gas emissions in Israel annually.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B3B"/>
    <w:multiLevelType w:val="hybridMultilevel"/>
    <w:tmpl w:val="13C26404"/>
    <w:lvl w:ilvl="0" w:tplc="4DC8705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30A8F"/>
    <w:multiLevelType w:val="hybridMultilevel"/>
    <w:tmpl w:val="9FB44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67DF0"/>
    <w:multiLevelType w:val="hybridMultilevel"/>
    <w:tmpl w:val="3C68F30E"/>
    <w:lvl w:ilvl="0" w:tplc="1B641E46">
      <w:start w:val="1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645D8"/>
    <w:multiLevelType w:val="hybridMultilevel"/>
    <w:tmpl w:val="9B661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B141D"/>
    <w:multiLevelType w:val="hybridMultilevel"/>
    <w:tmpl w:val="A13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23803"/>
    <w:multiLevelType w:val="hybridMultilevel"/>
    <w:tmpl w:val="3FACFF46"/>
    <w:lvl w:ilvl="0" w:tplc="C0BC6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D39CE"/>
    <w:multiLevelType w:val="hybridMultilevel"/>
    <w:tmpl w:val="6C5A2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E6F31"/>
    <w:multiLevelType w:val="hybridMultilevel"/>
    <w:tmpl w:val="4192F1EA"/>
    <w:lvl w:ilvl="0" w:tplc="32A40ED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A283B"/>
    <w:multiLevelType w:val="hybridMultilevel"/>
    <w:tmpl w:val="C6BEE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4D062B"/>
    <w:multiLevelType w:val="hybridMultilevel"/>
    <w:tmpl w:val="3EAA6C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F5952"/>
    <w:multiLevelType w:val="hybridMultilevel"/>
    <w:tmpl w:val="380A44D2"/>
    <w:lvl w:ilvl="0" w:tplc="AAD06A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F5512"/>
    <w:multiLevelType w:val="hybridMultilevel"/>
    <w:tmpl w:val="D7E04384"/>
    <w:lvl w:ilvl="0" w:tplc="6F84B5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90C65"/>
    <w:multiLevelType w:val="hybridMultilevel"/>
    <w:tmpl w:val="D6168AAC"/>
    <w:lvl w:ilvl="0" w:tplc="41E0A90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6C1B62"/>
    <w:multiLevelType w:val="hybridMultilevel"/>
    <w:tmpl w:val="673039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1462423">
    <w:abstractNumId w:val="6"/>
  </w:num>
  <w:num w:numId="2" w16cid:durableId="99104483">
    <w:abstractNumId w:val="7"/>
  </w:num>
  <w:num w:numId="3" w16cid:durableId="1329021810">
    <w:abstractNumId w:val="4"/>
  </w:num>
  <w:num w:numId="4" w16cid:durableId="390621864">
    <w:abstractNumId w:val="8"/>
  </w:num>
  <w:num w:numId="5" w16cid:durableId="1947039767">
    <w:abstractNumId w:val="1"/>
  </w:num>
  <w:num w:numId="6" w16cid:durableId="224217155">
    <w:abstractNumId w:val="12"/>
  </w:num>
  <w:num w:numId="7" w16cid:durableId="1285817832">
    <w:abstractNumId w:val="9"/>
  </w:num>
  <w:num w:numId="8" w16cid:durableId="1762291748">
    <w:abstractNumId w:val="15"/>
  </w:num>
  <w:num w:numId="9" w16cid:durableId="1291934245">
    <w:abstractNumId w:val="3"/>
  </w:num>
  <w:num w:numId="10" w16cid:durableId="1065683967">
    <w:abstractNumId w:val="11"/>
  </w:num>
  <w:num w:numId="11" w16cid:durableId="890582246">
    <w:abstractNumId w:val="0"/>
  </w:num>
  <w:num w:numId="12" w16cid:durableId="247738822">
    <w:abstractNumId w:val="14"/>
  </w:num>
  <w:num w:numId="13" w16cid:durableId="387608967">
    <w:abstractNumId w:val="10"/>
  </w:num>
  <w:num w:numId="14" w16cid:durableId="2015374492">
    <w:abstractNumId w:val="13"/>
  </w:num>
  <w:num w:numId="15" w16cid:durableId="1083258249">
    <w:abstractNumId w:val="5"/>
  </w:num>
  <w:num w:numId="16" w16cid:durableId="52463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61"/>
    <w:rsid w:val="000053D0"/>
    <w:rsid w:val="00006955"/>
    <w:rsid w:val="0001416A"/>
    <w:rsid w:val="00014715"/>
    <w:rsid w:val="000158BA"/>
    <w:rsid w:val="000214D7"/>
    <w:rsid w:val="00023400"/>
    <w:rsid w:val="00030456"/>
    <w:rsid w:val="00030D06"/>
    <w:rsid w:val="000314D1"/>
    <w:rsid w:val="00032A6D"/>
    <w:rsid w:val="00042BF9"/>
    <w:rsid w:val="00045E05"/>
    <w:rsid w:val="0004743C"/>
    <w:rsid w:val="00050C1B"/>
    <w:rsid w:val="00055DB1"/>
    <w:rsid w:val="00056340"/>
    <w:rsid w:val="00060B18"/>
    <w:rsid w:val="00063CA5"/>
    <w:rsid w:val="00065B70"/>
    <w:rsid w:val="00070B25"/>
    <w:rsid w:val="000729F8"/>
    <w:rsid w:val="00074F00"/>
    <w:rsid w:val="00081C07"/>
    <w:rsid w:val="0008361E"/>
    <w:rsid w:val="00083F9F"/>
    <w:rsid w:val="00084CC2"/>
    <w:rsid w:val="0009299A"/>
    <w:rsid w:val="0009470E"/>
    <w:rsid w:val="00097519"/>
    <w:rsid w:val="000A5BE3"/>
    <w:rsid w:val="000B095A"/>
    <w:rsid w:val="000B1C2C"/>
    <w:rsid w:val="000B27A2"/>
    <w:rsid w:val="000B72E5"/>
    <w:rsid w:val="000C1FDF"/>
    <w:rsid w:val="000C343E"/>
    <w:rsid w:val="000C6504"/>
    <w:rsid w:val="000C6758"/>
    <w:rsid w:val="000C7FBE"/>
    <w:rsid w:val="000E1C23"/>
    <w:rsid w:val="000E48E6"/>
    <w:rsid w:val="000E4C9C"/>
    <w:rsid w:val="000E5268"/>
    <w:rsid w:val="000E5F79"/>
    <w:rsid w:val="000E7154"/>
    <w:rsid w:val="000F2891"/>
    <w:rsid w:val="000F3915"/>
    <w:rsid w:val="000F6AB9"/>
    <w:rsid w:val="000F6AE9"/>
    <w:rsid w:val="001015D5"/>
    <w:rsid w:val="00105A26"/>
    <w:rsid w:val="0010653A"/>
    <w:rsid w:val="00106D05"/>
    <w:rsid w:val="00111999"/>
    <w:rsid w:val="00115873"/>
    <w:rsid w:val="00121B8E"/>
    <w:rsid w:val="0012348B"/>
    <w:rsid w:val="00126966"/>
    <w:rsid w:val="001318BD"/>
    <w:rsid w:val="001329ED"/>
    <w:rsid w:val="00133B6A"/>
    <w:rsid w:val="00135C6C"/>
    <w:rsid w:val="00140974"/>
    <w:rsid w:val="00140ADB"/>
    <w:rsid w:val="001533D2"/>
    <w:rsid w:val="00155F34"/>
    <w:rsid w:val="001607A5"/>
    <w:rsid w:val="00165218"/>
    <w:rsid w:val="001678F3"/>
    <w:rsid w:val="0017399D"/>
    <w:rsid w:val="0018010F"/>
    <w:rsid w:val="001861ED"/>
    <w:rsid w:val="00186481"/>
    <w:rsid w:val="00187259"/>
    <w:rsid w:val="00196471"/>
    <w:rsid w:val="001A039A"/>
    <w:rsid w:val="001A2457"/>
    <w:rsid w:val="001A2DAD"/>
    <w:rsid w:val="001A5D7C"/>
    <w:rsid w:val="001C5350"/>
    <w:rsid w:val="001D0497"/>
    <w:rsid w:val="001D7C6D"/>
    <w:rsid w:val="001D7F9B"/>
    <w:rsid w:val="001E1420"/>
    <w:rsid w:val="001E3570"/>
    <w:rsid w:val="001E5A1E"/>
    <w:rsid w:val="001F06BA"/>
    <w:rsid w:val="001F4CC8"/>
    <w:rsid w:val="00210C3E"/>
    <w:rsid w:val="00224AD7"/>
    <w:rsid w:val="00225C7A"/>
    <w:rsid w:val="00233D1D"/>
    <w:rsid w:val="00242033"/>
    <w:rsid w:val="00252DEA"/>
    <w:rsid w:val="00262C15"/>
    <w:rsid w:val="0026789E"/>
    <w:rsid w:val="00267A48"/>
    <w:rsid w:val="002726DA"/>
    <w:rsid w:val="002763D8"/>
    <w:rsid w:val="00280126"/>
    <w:rsid w:val="0028269D"/>
    <w:rsid w:val="00291787"/>
    <w:rsid w:val="002924F2"/>
    <w:rsid w:val="0029662E"/>
    <w:rsid w:val="002A1B0B"/>
    <w:rsid w:val="002A4CEE"/>
    <w:rsid w:val="002A4E40"/>
    <w:rsid w:val="002A55E2"/>
    <w:rsid w:val="002A7763"/>
    <w:rsid w:val="002A7EB3"/>
    <w:rsid w:val="002B3EA0"/>
    <w:rsid w:val="002B4562"/>
    <w:rsid w:val="002B7E14"/>
    <w:rsid w:val="002C061B"/>
    <w:rsid w:val="002C1704"/>
    <w:rsid w:val="002C18B1"/>
    <w:rsid w:val="002C239C"/>
    <w:rsid w:val="002C3A76"/>
    <w:rsid w:val="002C3AB7"/>
    <w:rsid w:val="002D0D1A"/>
    <w:rsid w:val="002D1A0E"/>
    <w:rsid w:val="002D2C6F"/>
    <w:rsid w:val="002D6445"/>
    <w:rsid w:val="002E5B88"/>
    <w:rsid w:val="002F4C5D"/>
    <w:rsid w:val="00300A2D"/>
    <w:rsid w:val="003066C4"/>
    <w:rsid w:val="00306B21"/>
    <w:rsid w:val="00313166"/>
    <w:rsid w:val="003142CE"/>
    <w:rsid w:val="00314325"/>
    <w:rsid w:val="0032261E"/>
    <w:rsid w:val="003235E5"/>
    <w:rsid w:val="00325EEF"/>
    <w:rsid w:val="00331921"/>
    <w:rsid w:val="00343E73"/>
    <w:rsid w:val="00344D8B"/>
    <w:rsid w:val="003512B7"/>
    <w:rsid w:val="00351858"/>
    <w:rsid w:val="0035245B"/>
    <w:rsid w:val="00352779"/>
    <w:rsid w:val="0035579D"/>
    <w:rsid w:val="00357523"/>
    <w:rsid w:val="00360A68"/>
    <w:rsid w:val="00373826"/>
    <w:rsid w:val="003741E0"/>
    <w:rsid w:val="00376C02"/>
    <w:rsid w:val="00386E5C"/>
    <w:rsid w:val="00394896"/>
    <w:rsid w:val="003A745B"/>
    <w:rsid w:val="003B00E7"/>
    <w:rsid w:val="003C0B45"/>
    <w:rsid w:val="003C29CC"/>
    <w:rsid w:val="003C4663"/>
    <w:rsid w:val="003C539E"/>
    <w:rsid w:val="003C7B94"/>
    <w:rsid w:val="003D63FA"/>
    <w:rsid w:val="003D66C0"/>
    <w:rsid w:val="003D6794"/>
    <w:rsid w:val="003E4CD1"/>
    <w:rsid w:val="003E5996"/>
    <w:rsid w:val="003F75B8"/>
    <w:rsid w:val="00412944"/>
    <w:rsid w:val="004134D9"/>
    <w:rsid w:val="004144BB"/>
    <w:rsid w:val="00415C30"/>
    <w:rsid w:val="00423F29"/>
    <w:rsid w:val="00434856"/>
    <w:rsid w:val="00436A77"/>
    <w:rsid w:val="0045428E"/>
    <w:rsid w:val="00455F3D"/>
    <w:rsid w:val="00456F6B"/>
    <w:rsid w:val="004572E1"/>
    <w:rsid w:val="00457F06"/>
    <w:rsid w:val="00460B22"/>
    <w:rsid w:val="0046347A"/>
    <w:rsid w:val="0047001B"/>
    <w:rsid w:val="004700B6"/>
    <w:rsid w:val="00481408"/>
    <w:rsid w:val="004828AC"/>
    <w:rsid w:val="00485A49"/>
    <w:rsid w:val="00486005"/>
    <w:rsid w:val="00486D6D"/>
    <w:rsid w:val="004901CE"/>
    <w:rsid w:val="00491AF9"/>
    <w:rsid w:val="00491F9A"/>
    <w:rsid w:val="004928E3"/>
    <w:rsid w:val="00494561"/>
    <w:rsid w:val="00494EDF"/>
    <w:rsid w:val="004B1B0D"/>
    <w:rsid w:val="004B1D37"/>
    <w:rsid w:val="004B537B"/>
    <w:rsid w:val="004C2D87"/>
    <w:rsid w:val="004D0151"/>
    <w:rsid w:val="004D1893"/>
    <w:rsid w:val="004D21C7"/>
    <w:rsid w:val="004D421C"/>
    <w:rsid w:val="004D4B5F"/>
    <w:rsid w:val="004E12C1"/>
    <w:rsid w:val="004E300A"/>
    <w:rsid w:val="004E6AAD"/>
    <w:rsid w:val="004E6B0E"/>
    <w:rsid w:val="004E6D9F"/>
    <w:rsid w:val="004E717B"/>
    <w:rsid w:val="004F1781"/>
    <w:rsid w:val="004F5094"/>
    <w:rsid w:val="004F580D"/>
    <w:rsid w:val="004F677D"/>
    <w:rsid w:val="00505938"/>
    <w:rsid w:val="00515365"/>
    <w:rsid w:val="005268F6"/>
    <w:rsid w:val="005301B2"/>
    <w:rsid w:val="005301DB"/>
    <w:rsid w:val="0054000D"/>
    <w:rsid w:val="005411FE"/>
    <w:rsid w:val="00541FF4"/>
    <w:rsid w:val="00542AA4"/>
    <w:rsid w:val="00543E46"/>
    <w:rsid w:val="00546DB9"/>
    <w:rsid w:val="00553213"/>
    <w:rsid w:val="00553E95"/>
    <w:rsid w:val="00555D4B"/>
    <w:rsid w:val="00557214"/>
    <w:rsid w:val="0056607D"/>
    <w:rsid w:val="0057179F"/>
    <w:rsid w:val="00573479"/>
    <w:rsid w:val="00576D9D"/>
    <w:rsid w:val="00577CEC"/>
    <w:rsid w:val="00580E9B"/>
    <w:rsid w:val="00586D81"/>
    <w:rsid w:val="0059121B"/>
    <w:rsid w:val="00591A76"/>
    <w:rsid w:val="0059241A"/>
    <w:rsid w:val="00597D3C"/>
    <w:rsid w:val="005B1652"/>
    <w:rsid w:val="005B1743"/>
    <w:rsid w:val="005B1ABE"/>
    <w:rsid w:val="005B2879"/>
    <w:rsid w:val="005B6967"/>
    <w:rsid w:val="005C61CE"/>
    <w:rsid w:val="005D0487"/>
    <w:rsid w:val="005D47AA"/>
    <w:rsid w:val="005D6E26"/>
    <w:rsid w:val="005E04CC"/>
    <w:rsid w:val="005E2B66"/>
    <w:rsid w:val="005E7589"/>
    <w:rsid w:val="005F1DA3"/>
    <w:rsid w:val="005F4395"/>
    <w:rsid w:val="005F61CC"/>
    <w:rsid w:val="006053C9"/>
    <w:rsid w:val="006153BC"/>
    <w:rsid w:val="00616FEC"/>
    <w:rsid w:val="00617C26"/>
    <w:rsid w:val="0062236E"/>
    <w:rsid w:val="00627717"/>
    <w:rsid w:val="0063027C"/>
    <w:rsid w:val="00630F86"/>
    <w:rsid w:val="00632EC0"/>
    <w:rsid w:val="00641A0C"/>
    <w:rsid w:val="00641AA2"/>
    <w:rsid w:val="0064231B"/>
    <w:rsid w:val="00642661"/>
    <w:rsid w:val="00642971"/>
    <w:rsid w:val="006467FD"/>
    <w:rsid w:val="006603F1"/>
    <w:rsid w:val="00670F32"/>
    <w:rsid w:val="00671422"/>
    <w:rsid w:val="00676DA4"/>
    <w:rsid w:val="00687797"/>
    <w:rsid w:val="00691C09"/>
    <w:rsid w:val="00693A07"/>
    <w:rsid w:val="00695A0A"/>
    <w:rsid w:val="006A383C"/>
    <w:rsid w:val="006A53BA"/>
    <w:rsid w:val="006B5383"/>
    <w:rsid w:val="006C2628"/>
    <w:rsid w:val="006C26D7"/>
    <w:rsid w:val="006C5665"/>
    <w:rsid w:val="006C6A49"/>
    <w:rsid w:val="006C728C"/>
    <w:rsid w:val="006D4E1F"/>
    <w:rsid w:val="006D53DE"/>
    <w:rsid w:val="006E0AC2"/>
    <w:rsid w:val="006E0BA4"/>
    <w:rsid w:val="006E36D9"/>
    <w:rsid w:val="006E5F86"/>
    <w:rsid w:val="00701571"/>
    <w:rsid w:val="007051F1"/>
    <w:rsid w:val="0070659B"/>
    <w:rsid w:val="007077DD"/>
    <w:rsid w:val="0071429B"/>
    <w:rsid w:val="00714ACA"/>
    <w:rsid w:val="0071521D"/>
    <w:rsid w:val="00715984"/>
    <w:rsid w:val="00715B03"/>
    <w:rsid w:val="00717EEB"/>
    <w:rsid w:val="00720F86"/>
    <w:rsid w:val="00722E6D"/>
    <w:rsid w:val="00723DB2"/>
    <w:rsid w:val="00730082"/>
    <w:rsid w:val="00730B21"/>
    <w:rsid w:val="0073630E"/>
    <w:rsid w:val="0073711F"/>
    <w:rsid w:val="007400BD"/>
    <w:rsid w:val="0074675A"/>
    <w:rsid w:val="007476D1"/>
    <w:rsid w:val="007502C6"/>
    <w:rsid w:val="00751520"/>
    <w:rsid w:val="007535EB"/>
    <w:rsid w:val="00762E7F"/>
    <w:rsid w:val="007631F0"/>
    <w:rsid w:val="0076531D"/>
    <w:rsid w:val="007666F4"/>
    <w:rsid w:val="00767D52"/>
    <w:rsid w:val="00770858"/>
    <w:rsid w:val="007729B9"/>
    <w:rsid w:val="007752E1"/>
    <w:rsid w:val="0077606B"/>
    <w:rsid w:val="00777E0A"/>
    <w:rsid w:val="00780576"/>
    <w:rsid w:val="00782343"/>
    <w:rsid w:val="00782D0E"/>
    <w:rsid w:val="0079278E"/>
    <w:rsid w:val="00795794"/>
    <w:rsid w:val="00795EB4"/>
    <w:rsid w:val="007A00BE"/>
    <w:rsid w:val="007A117F"/>
    <w:rsid w:val="007A1967"/>
    <w:rsid w:val="007A1D47"/>
    <w:rsid w:val="007B24DE"/>
    <w:rsid w:val="007B4539"/>
    <w:rsid w:val="007B4995"/>
    <w:rsid w:val="007B7D11"/>
    <w:rsid w:val="007C0853"/>
    <w:rsid w:val="007C5A9D"/>
    <w:rsid w:val="007C64A4"/>
    <w:rsid w:val="007D6756"/>
    <w:rsid w:val="007E0327"/>
    <w:rsid w:val="007E1AD9"/>
    <w:rsid w:val="007E35C8"/>
    <w:rsid w:val="007E41B9"/>
    <w:rsid w:val="007E53A0"/>
    <w:rsid w:val="007E54C8"/>
    <w:rsid w:val="007E77C5"/>
    <w:rsid w:val="007E7E84"/>
    <w:rsid w:val="007F0F2B"/>
    <w:rsid w:val="007F2167"/>
    <w:rsid w:val="008043D8"/>
    <w:rsid w:val="008130EC"/>
    <w:rsid w:val="008200B8"/>
    <w:rsid w:val="00820374"/>
    <w:rsid w:val="00830790"/>
    <w:rsid w:val="00840BFD"/>
    <w:rsid w:val="00857ECF"/>
    <w:rsid w:val="00860BA7"/>
    <w:rsid w:val="008622EE"/>
    <w:rsid w:val="008710F2"/>
    <w:rsid w:val="00874D18"/>
    <w:rsid w:val="00874E70"/>
    <w:rsid w:val="0087796C"/>
    <w:rsid w:val="00882045"/>
    <w:rsid w:val="00886216"/>
    <w:rsid w:val="0089316A"/>
    <w:rsid w:val="00894630"/>
    <w:rsid w:val="00895E29"/>
    <w:rsid w:val="00896380"/>
    <w:rsid w:val="008B4298"/>
    <w:rsid w:val="008B47B0"/>
    <w:rsid w:val="008B710D"/>
    <w:rsid w:val="008D0910"/>
    <w:rsid w:val="008D2B12"/>
    <w:rsid w:val="008D34CB"/>
    <w:rsid w:val="008D5DD1"/>
    <w:rsid w:val="008E4E20"/>
    <w:rsid w:val="008F2CE5"/>
    <w:rsid w:val="008F6218"/>
    <w:rsid w:val="00900518"/>
    <w:rsid w:val="0091007D"/>
    <w:rsid w:val="00910644"/>
    <w:rsid w:val="00912CA9"/>
    <w:rsid w:val="00922BE5"/>
    <w:rsid w:val="0092474E"/>
    <w:rsid w:val="00926DED"/>
    <w:rsid w:val="00932472"/>
    <w:rsid w:val="00935612"/>
    <w:rsid w:val="00935EB9"/>
    <w:rsid w:val="00942B4A"/>
    <w:rsid w:val="00943170"/>
    <w:rsid w:val="009460C7"/>
    <w:rsid w:val="00954A1E"/>
    <w:rsid w:val="0096196B"/>
    <w:rsid w:val="00962185"/>
    <w:rsid w:val="00963C60"/>
    <w:rsid w:val="00965301"/>
    <w:rsid w:val="0096549F"/>
    <w:rsid w:val="00977F26"/>
    <w:rsid w:val="009804AB"/>
    <w:rsid w:val="00984F54"/>
    <w:rsid w:val="00994DD7"/>
    <w:rsid w:val="009A2AD0"/>
    <w:rsid w:val="009A3C6A"/>
    <w:rsid w:val="009B07EC"/>
    <w:rsid w:val="009B2219"/>
    <w:rsid w:val="009B3980"/>
    <w:rsid w:val="009B4448"/>
    <w:rsid w:val="009C5551"/>
    <w:rsid w:val="009D17D0"/>
    <w:rsid w:val="009D32BE"/>
    <w:rsid w:val="009D7502"/>
    <w:rsid w:val="009F0283"/>
    <w:rsid w:val="009F1368"/>
    <w:rsid w:val="009F21E3"/>
    <w:rsid w:val="009F2242"/>
    <w:rsid w:val="009F3219"/>
    <w:rsid w:val="009F546D"/>
    <w:rsid w:val="00A00890"/>
    <w:rsid w:val="00A074C7"/>
    <w:rsid w:val="00A079CC"/>
    <w:rsid w:val="00A2036F"/>
    <w:rsid w:val="00A230BF"/>
    <w:rsid w:val="00A27569"/>
    <w:rsid w:val="00A27658"/>
    <w:rsid w:val="00A27FE8"/>
    <w:rsid w:val="00A31F99"/>
    <w:rsid w:val="00A35804"/>
    <w:rsid w:val="00A425EA"/>
    <w:rsid w:val="00A44DB5"/>
    <w:rsid w:val="00A46943"/>
    <w:rsid w:val="00A53390"/>
    <w:rsid w:val="00A53AAB"/>
    <w:rsid w:val="00A5419A"/>
    <w:rsid w:val="00A54877"/>
    <w:rsid w:val="00A560D0"/>
    <w:rsid w:val="00A60A25"/>
    <w:rsid w:val="00A65F7D"/>
    <w:rsid w:val="00A664E9"/>
    <w:rsid w:val="00A67F24"/>
    <w:rsid w:val="00A7734A"/>
    <w:rsid w:val="00A77A16"/>
    <w:rsid w:val="00A806C0"/>
    <w:rsid w:val="00A80E20"/>
    <w:rsid w:val="00A81F7F"/>
    <w:rsid w:val="00A900E8"/>
    <w:rsid w:val="00A90B5F"/>
    <w:rsid w:val="00AA514C"/>
    <w:rsid w:val="00AB5BFD"/>
    <w:rsid w:val="00AC1131"/>
    <w:rsid w:val="00AC28D6"/>
    <w:rsid w:val="00AC2AD5"/>
    <w:rsid w:val="00AD00C6"/>
    <w:rsid w:val="00AD0C95"/>
    <w:rsid w:val="00AD0CD6"/>
    <w:rsid w:val="00AD48E0"/>
    <w:rsid w:val="00AD4E88"/>
    <w:rsid w:val="00AD657F"/>
    <w:rsid w:val="00B010FD"/>
    <w:rsid w:val="00B01731"/>
    <w:rsid w:val="00B0552D"/>
    <w:rsid w:val="00B12CB9"/>
    <w:rsid w:val="00B13FAA"/>
    <w:rsid w:val="00B1712A"/>
    <w:rsid w:val="00B2095F"/>
    <w:rsid w:val="00B21DB6"/>
    <w:rsid w:val="00B22788"/>
    <w:rsid w:val="00B267D0"/>
    <w:rsid w:val="00B3182C"/>
    <w:rsid w:val="00B32BFB"/>
    <w:rsid w:val="00B4474F"/>
    <w:rsid w:val="00B610B9"/>
    <w:rsid w:val="00B80ADA"/>
    <w:rsid w:val="00B97617"/>
    <w:rsid w:val="00BA12B8"/>
    <w:rsid w:val="00BA35DC"/>
    <w:rsid w:val="00BA43B5"/>
    <w:rsid w:val="00BA4B3D"/>
    <w:rsid w:val="00BA6AF3"/>
    <w:rsid w:val="00BB09B0"/>
    <w:rsid w:val="00BB0B8D"/>
    <w:rsid w:val="00BB545C"/>
    <w:rsid w:val="00BB69BD"/>
    <w:rsid w:val="00BB7262"/>
    <w:rsid w:val="00BC065D"/>
    <w:rsid w:val="00BC090D"/>
    <w:rsid w:val="00BC0AA2"/>
    <w:rsid w:val="00BC46F5"/>
    <w:rsid w:val="00BD09BF"/>
    <w:rsid w:val="00BD0A36"/>
    <w:rsid w:val="00BD0B01"/>
    <w:rsid w:val="00BD456B"/>
    <w:rsid w:val="00BD630B"/>
    <w:rsid w:val="00BE2ABE"/>
    <w:rsid w:val="00BE3946"/>
    <w:rsid w:val="00BE6B46"/>
    <w:rsid w:val="00BF0423"/>
    <w:rsid w:val="00C0007E"/>
    <w:rsid w:val="00C006E5"/>
    <w:rsid w:val="00C039EA"/>
    <w:rsid w:val="00C05DE9"/>
    <w:rsid w:val="00C07A86"/>
    <w:rsid w:val="00C1435E"/>
    <w:rsid w:val="00C1509E"/>
    <w:rsid w:val="00C21412"/>
    <w:rsid w:val="00C23920"/>
    <w:rsid w:val="00C242A6"/>
    <w:rsid w:val="00C273AC"/>
    <w:rsid w:val="00C27B2D"/>
    <w:rsid w:val="00C301FA"/>
    <w:rsid w:val="00C31823"/>
    <w:rsid w:val="00C41685"/>
    <w:rsid w:val="00C436A3"/>
    <w:rsid w:val="00C45716"/>
    <w:rsid w:val="00C472A6"/>
    <w:rsid w:val="00C51AEA"/>
    <w:rsid w:val="00C55B3D"/>
    <w:rsid w:val="00C62086"/>
    <w:rsid w:val="00C629AA"/>
    <w:rsid w:val="00C67510"/>
    <w:rsid w:val="00C8100F"/>
    <w:rsid w:val="00C83A01"/>
    <w:rsid w:val="00C841DA"/>
    <w:rsid w:val="00C91EA2"/>
    <w:rsid w:val="00C94664"/>
    <w:rsid w:val="00C94744"/>
    <w:rsid w:val="00C95B60"/>
    <w:rsid w:val="00CA641D"/>
    <w:rsid w:val="00CB7824"/>
    <w:rsid w:val="00CD2B74"/>
    <w:rsid w:val="00CD30E9"/>
    <w:rsid w:val="00CD3832"/>
    <w:rsid w:val="00CD3936"/>
    <w:rsid w:val="00CE17E3"/>
    <w:rsid w:val="00CE3A4F"/>
    <w:rsid w:val="00CE58C5"/>
    <w:rsid w:val="00CE6083"/>
    <w:rsid w:val="00CF0C19"/>
    <w:rsid w:val="00CF1AB2"/>
    <w:rsid w:val="00CF2B69"/>
    <w:rsid w:val="00CF5FCE"/>
    <w:rsid w:val="00CF62A1"/>
    <w:rsid w:val="00CF727C"/>
    <w:rsid w:val="00CF7A13"/>
    <w:rsid w:val="00D1422D"/>
    <w:rsid w:val="00D14482"/>
    <w:rsid w:val="00D15DB9"/>
    <w:rsid w:val="00D1669E"/>
    <w:rsid w:val="00D206F8"/>
    <w:rsid w:val="00D26D0C"/>
    <w:rsid w:val="00D30478"/>
    <w:rsid w:val="00D30667"/>
    <w:rsid w:val="00D345E8"/>
    <w:rsid w:val="00D35A49"/>
    <w:rsid w:val="00D37A9E"/>
    <w:rsid w:val="00D404BF"/>
    <w:rsid w:val="00D43C4B"/>
    <w:rsid w:val="00D4505F"/>
    <w:rsid w:val="00D472D6"/>
    <w:rsid w:val="00D47D45"/>
    <w:rsid w:val="00D509E3"/>
    <w:rsid w:val="00D51EA2"/>
    <w:rsid w:val="00D526CE"/>
    <w:rsid w:val="00D617FE"/>
    <w:rsid w:val="00D6250F"/>
    <w:rsid w:val="00D64714"/>
    <w:rsid w:val="00D727A6"/>
    <w:rsid w:val="00D72AB5"/>
    <w:rsid w:val="00D74588"/>
    <w:rsid w:val="00D951DE"/>
    <w:rsid w:val="00DA1073"/>
    <w:rsid w:val="00DA1120"/>
    <w:rsid w:val="00DB0EE6"/>
    <w:rsid w:val="00DB59BA"/>
    <w:rsid w:val="00DC451B"/>
    <w:rsid w:val="00DC680C"/>
    <w:rsid w:val="00DD3A1C"/>
    <w:rsid w:val="00DE0235"/>
    <w:rsid w:val="00DE0F39"/>
    <w:rsid w:val="00DE3A0E"/>
    <w:rsid w:val="00DE465B"/>
    <w:rsid w:val="00DF1AFC"/>
    <w:rsid w:val="00DF31A3"/>
    <w:rsid w:val="00DF7266"/>
    <w:rsid w:val="00E04759"/>
    <w:rsid w:val="00E04950"/>
    <w:rsid w:val="00E05EFE"/>
    <w:rsid w:val="00E06DCD"/>
    <w:rsid w:val="00E10430"/>
    <w:rsid w:val="00E11571"/>
    <w:rsid w:val="00E1168C"/>
    <w:rsid w:val="00E20A39"/>
    <w:rsid w:val="00E26F8D"/>
    <w:rsid w:val="00E27F2E"/>
    <w:rsid w:val="00E31358"/>
    <w:rsid w:val="00E32580"/>
    <w:rsid w:val="00E34D20"/>
    <w:rsid w:val="00E37FC8"/>
    <w:rsid w:val="00E41AB1"/>
    <w:rsid w:val="00E510B6"/>
    <w:rsid w:val="00E54AA9"/>
    <w:rsid w:val="00E600DB"/>
    <w:rsid w:val="00E716A7"/>
    <w:rsid w:val="00E73A91"/>
    <w:rsid w:val="00E74346"/>
    <w:rsid w:val="00E800F6"/>
    <w:rsid w:val="00E868E7"/>
    <w:rsid w:val="00E86D77"/>
    <w:rsid w:val="00E92479"/>
    <w:rsid w:val="00E96282"/>
    <w:rsid w:val="00EA3C69"/>
    <w:rsid w:val="00EB42B5"/>
    <w:rsid w:val="00EC5592"/>
    <w:rsid w:val="00ED0D12"/>
    <w:rsid w:val="00ED2D03"/>
    <w:rsid w:val="00ED7E1B"/>
    <w:rsid w:val="00EE0158"/>
    <w:rsid w:val="00EE64B0"/>
    <w:rsid w:val="00EE729E"/>
    <w:rsid w:val="00EF0621"/>
    <w:rsid w:val="00EF22DC"/>
    <w:rsid w:val="00EF3245"/>
    <w:rsid w:val="00F018E0"/>
    <w:rsid w:val="00F01E06"/>
    <w:rsid w:val="00F10C17"/>
    <w:rsid w:val="00F206C8"/>
    <w:rsid w:val="00F21227"/>
    <w:rsid w:val="00F22FFD"/>
    <w:rsid w:val="00F23DED"/>
    <w:rsid w:val="00F23E7A"/>
    <w:rsid w:val="00F24DA8"/>
    <w:rsid w:val="00F27F12"/>
    <w:rsid w:val="00F334C9"/>
    <w:rsid w:val="00F4434A"/>
    <w:rsid w:val="00F455FF"/>
    <w:rsid w:val="00F45AAA"/>
    <w:rsid w:val="00F53974"/>
    <w:rsid w:val="00F6149F"/>
    <w:rsid w:val="00F672D2"/>
    <w:rsid w:val="00F82B41"/>
    <w:rsid w:val="00F86144"/>
    <w:rsid w:val="00F92D5A"/>
    <w:rsid w:val="00F96505"/>
    <w:rsid w:val="00FA3C57"/>
    <w:rsid w:val="00FA6FE5"/>
    <w:rsid w:val="00FB3944"/>
    <w:rsid w:val="00FB4CF0"/>
    <w:rsid w:val="00FC2886"/>
    <w:rsid w:val="00FC6EAE"/>
    <w:rsid w:val="00FC7454"/>
    <w:rsid w:val="00FD237F"/>
    <w:rsid w:val="00FD3E95"/>
    <w:rsid w:val="00FD75A5"/>
    <w:rsid w:val="00FE0B40"/>
    <w:rsid w:val="00FE5401"/>
    <w:rsid w:val="00FE5BCE"/>
    <w:rsid w:val="00FE6024"/>
    <w:rsid w:val="00FF0498"/>
    <w:rsid w:val="00FF3DFF"/>
    <w:rsid w:val="00FF5AE8"/>
    <w:rsid w:val="00FF5C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C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46"/>
    <w:rPr>
      <w:rFonts w:ascii="Arial" w:hAnsi="Arial"/>
      <w:sz w:val="24"/>
    </w:rPr>
  </w:style>
  <w:style w:type="paragraph" w:styleId="Heading1">
    <w:name w:val="heading 1"/>
    <w:basedOn w:val="Normal"/>
    <w:next w:val="Normal"/>
    <w:link w:val="Heading1Char"/>
    <w:uiPriority w:val="9"/>
    <w:qFormat/>
    <w:rsid w:val="0009470E"/>
    <w:pPr>
      <w:outlineLvl w:val="0"/>
    </w:pPr>
    <w:rPr>
      <w:rFonts w:cs="Arial"/>
      <w:b/>
      <w:bCs/>
      <w:color w:val="FF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0E"/>
    <w:pPr>
      <w:ind w:left="720"/>
      <w:contextualSpacing/>
    </w:pPr>
  </w:style>
  <w:style w:type="character" w:customStyle="1" w:styleId="Heading1Char">
    <w:name w:val="Heading 1 Char"/>
    <w:basedOn w:val="DefaultParagraphFont"/>
    <w:link w:val="Heading1"/>
    <w:uiPriority w:val="9"/>
    <w:rsid w:val="0009470E"/>
    <w:rPr>
      <w:rFonts w:ascii="Arial" w:hAnsi="Arial" w:cs="Arial"/>
      <w:b/>
      <w:bCs/>
      <w:color w:val="FF0000"/>
      <w:sz w:val="24"/>
      <w:szCs w:val="24"/>
      <w:lang w:val="en-GB"/>
    </w:rPr>
  </w:style>
  <w:style w:type="paragraph" w:styleId="FootnoteText">
    <w:name w:val="footnote text"/>
    <w:basedOn w:val="Normal"/>
    <w:link w:val="FootnoteTextChar"/>
    <w:uiPriority w:val="99"/>
    <w:unhideWhenUsed/>
    <w:rsid w:val="005E04CC"/>
    <w:pPr>
      <w:spacing w:after="0" w:line="240" w:lineRule="auto"/>
    </w:pPr>
    <w:rPr>
      <w:sz w:val="20"/>
      <w:szCs w:val="20"/>
    </w:rPr>
  </w:style>
  <w:style w:type="character" w:customStyle="1" w:styleId="FootnoteTextChar">
    <w:name w:val="Footnote Text Char"/>
    <w:basedOn w:val="DefaultParagraphFont"/>
    <w:link w:val="FootnoteText"/>
    <w:uiPriority w:val="99"/>
    <w:rsid w:val="005E04CC"/>
    <w:rPr>
      <w:sz w:val="20"/>
      <w:szCs w:val="20"/>
    </w:rPr>
  </w:style>
  <w:style w:type="character" w:styleId="FootnoteReference">
    <w:name w:val="footnote reference"/>
    <w:basedOn w:val="DefaultParagraphFont"/>
    <w:uiPriority w:val="99"/>
    <w:semiHidden/>
    <w:unhideWhenUsed/>
    <w:rsid w:val="005E04CC"/>
    <w:rPr>
      <w:vertAlign w:val="superscript"/>
    </w:rPr>
  </w:style>
  <w:style w:type="character" w:styleId="CommentReference">
    <w:name w:val="annotation reference"/>
    <w:basedOn w:val="DefaultParagraphFont"/>
    <w:uiPriority w:val="99"/>
    <w:semiHidden/>
    <w:unhideWhenUsed/>
    <w:rsid w:val="004E12C1"/>
    <w:rPr>
      <w:sz w:val="16"/>
      <w:szCs w:val="16"/>
    </w:rPr>
  </w:style>
  <w:style w:type="paragraph" w:styleId="CommentText">
    <w:name w:val="annotation text"/>
    <w:basedOn w:val="Normal"/>
    <w:link w:val="CommentTextChar"/>
    <w:uiPriority w:val="99"/>
    <w:unhideWhenUsed/>
    <w:rsid w:val="004E12C1"/>
    <w:pPr>
      <w:spacing w:line="240" w:lineRule="auto"/>
    </w:pPr>
    <w:rPr>
      <w:sz w:val="20"/>
      <w:szCs w:val="20"/>
    </w:rPr>
  </w:style>
  <w:style w:type="character" w:customStyle="1" w:styleId="CommentTextChar">
    <w:name w:val="Comment Text Char"/>
    <w:basedOn w:val="DefaultParagraphFont"/>
    <w:link w:val="CommentText"/>
    <w:uiPriority w:val="99"/>
    <w:rsid w:val="004E12C1"/>
    <w:rPr>
      <w:sz w:val="20"/>
      <w:szCs w:val="20"/>
    </w:rPr>
  </w:style>
  <w:style w:type="paragraph" w:styleId="CommentSubject">
    <w:name w:val="annotation subject"/>
    <w:basedOn w:val="CommentText"/>
    <w:next w:val="CommentText"/>
    <w:link w:val="CommentSubjectChar"/>
    <w:uiPriority w:val="99"/>
    <w:semiHidden/>
    <w:unhideWhenUsed/>
    <w:rsid w:val="004E12C1"/>
    <w:rPr>
      <w:b/>
      <w:bCs/>
    </w:rPr>
  </w:style>
  <w:style w:type="character" w:customStyle="1" w:styleId="CommentSubjectChar">
    <w:name w:val="Comment Subject Char"/>
    <w:basedOn w:val="CommentTextChar"/>
    <w:link w:val="CommentSubject"/>
    <w:uiPriority w:val="99"/>
    <w:semiHidden/>
    <w:rsid w:val="004E12C1"/>
    <w:rPr>
      <w:b/>
      <w:bCs/>
      <w:sz w:val="20"/>
      <w:szCs w:val="20"/>
    </w:rPr>
  </w:style>
  <w:style w:type="paragraph" w:styleId="BalloonText">
    <w:name w:val="Balloon Text"/>
    <w:basedOn w:val="Normal"/>
    <w:link w:val="BalloonTextChar"/>
    <w:uiPriority w:val="99"/>
    <w:semiHidden/>
    <w:unhideWhenUsed/>
    <w:rsid w:val="004E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C1"/>
    <w:rPr>
      <w:rFonts w:ascii="Segoe UI" w:hAnsi="Segoe UI" w:cs="Segoe UI"/>
      <w:sz w:val="18"/>
      <w:szCs w:val="18"/>
    </w:rPr>
  </w:style>
  <w:style w:type="table" w:customStyle="1" w:styleId="1-11">
    <w:name w:val="הצללה בינונית 1 - הדגשה 11"/>
    <w:basedOn w:val="TableNormal"/>
    <w:next w:val="MediumShading1-Accent1"/>
    <w:uiPriority w:val="63"/>
    <w:rsid w:val="00E313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E313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4-11">
    <w:name w:val="טבלת רשת 4 - הדגשה 11"/>
    <w:basedOn w:val="TableNormal"/>
    <w:uiPriority w:val="49"/>
    <w:rsid w:val="007400B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5D6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E26"/>
  </w:style>
  <w:style w:type="paragraph" w:styleId="Footer">
    <w:name w:val="footer"/>
    <w:basedOn w:val="Normal"/>
    <w:link w:val="FooterChar"/>
    <w:uiPriority w:val="99"/>
    <w:unhideWhenUsed/>
    <w:rsid w:val="005D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26"/>
  </w:style>
  <w:style w:type="character" w:styleId="Hyperlink">
    <w:name w:val="Hyperlink"/>
    <w:basedOn w:val="DefaultParagraphFont"/>
    <w:uiPriority w:val="99"/>
    <w:unhideWhenUsed/>
    <w:rsid w:val="008E4E20"/>
    <w:rPr>
      <w:color w:val="0563C1" w:themeColor="hyperlink"/>
      <w:u w:val="single"/>
    </w:rPr>
  </w:style>
  <w:style w:type="table" w:customStyle="1" w:styleId="GridTable5Dark-Accent21">
    <w:name w:val="Grid Table 5 Dark - Accent 21"/>
    <w:basedOn w:val="TableNormal"/>
    <w:uiPriority w:val="50"/>
    <w:rsid w:val="0070659B"/>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character" w:styleId="FollowedHyperlink">
    <w:name w:val="FollowedHyperlink"/>
    <w:basedOn w:val="DefaultParagraphFont"/>
    <w:uiPriority w:val="99"/>
    <w:semiHidden/>
    <w:unhideWhenUsed/>
    <w:rsid w:val="00A560D0"/>
    <w:rPr>
      <w:color w:val="954F72" w:themeColor="followedHyperlink"/>
      <w:u w:val="single"/>
    </w:rPr>
  </w:style>
  <w:style w:type="table" w:customStyle="1" w:styleId="-11">
    <w:name w:val="הצללה בהירה - הדגשה 11"/>
    <w:basedOn w:val="TableNormal"/>
    <w:uiPriority w:val="60"/>
    <w:rsid w:val="00050C1B"/>
    <w:pPr>
      <w:spacing w:after="0" w:line="240" w:lineRule="auto"/>
    </w:pPr>
    <w:rPr>
      <w:color w:val="2E74B5" w:themeColor="accent1" w:themeShade="BF"/>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99"/>
    <w:semiHidden/>
    <w:rsid w:val="00546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4752">
      <w:bodyDiv w:val="1"/>
      <w:marLeft w:val="0"/>
      <w:marRight w:val="0"/>
      <w:marTop w:val="0"/>
      <w:marBottom w:val="0"/>
      <w:divBdr>
        <w:top w:val="none" w:sz="0" w:space="0" w:color="auto"/>
        <w:left w:val="none" w:sz="0" w:space="0" w:color="auto"/>
        <w:bottom w:val="none" w:sz="0" w:space="0" w:color="auto"/>
        <w:right w:val="none" w:sz="0" w:space="0" w:color="auto"/>
      </w:divBdr>
    </w:div>
    <w:div w:id="285431068">
      <w:bodyDiv w:val="1"/>
      <w:marLeft w:val="0"/>
      <w:marRight w:val="0"/>
      <w:marTop w:val="0"/>
      <w:marBottom w:val="0"/>
      <w:divBdr>
        <w:top w:val="none" w:sz="0" w:space="0" w:color="auto"/>
        <w:left w:val="none" w:sz="0" w:space="0" w:color="auto"/>
        <w:bottom w:val="none" w:sz="0" w:space="0" w:color="auto"/>
        <w:right w:val="none" w:sz="0" w:space="0" w:color="auto"/>
      </w:divBdr>
    </w:div>
    <w:div w:id="323706015">
      <w:bodyDiv w:val="1"/>
      <w:marLeft w:val="0"/>
      <w:marRight w:val="0"/>
      <w:marTop w:val="0"/>
      <w:marBottom w:val="0"/>
      <w:divBdr>
        <w:top w:val="none" w:sz="0" w:space="0" w:color="auto"/>
        <w:left w:val="none" w:sz="0" w:space="0" w:color="auto"/>
        <w:bottom w:val="none" w:sz="0" w:space="0" w:color="auto"/>
        <w:right w:val="none" w:sz="0" w:space="0" w:color="auto"/>
      </w:divBdr>
    </w:div>
    <w:div w:id="416830198">
      <w:bodyDiv w:val="1"/>
      <w:marLeft w:val="0"/>
      <w:marRight w:val="0"/>
      <w:marTop w:val="0"/>
      <w:marBottom w:val="0"/>
      <w:divBdr>
        <w:top w:val="none" w:sz="0" w:space="0" w:color="auto"/>
        <w:left w:val="none" w:sz="0" w:space="0" w:color="auto"/>
        <w:bottom w:val="none" w:sz="0" w:space="0" w:color="auto"/>
        <w:right w:val="none" w:sz="0" w:space="0" w:color="auto"/>
      </w:divBdr>
    </w:div>
    <w:div w:id="528294818">
      <w:bodyDiv w:val="1"/>
      <w:marLeft w:val="0"/>
      <w:marRight w:val="0"/>
      <w:marTop w:val="0"/>
      <w:marBottom w:val="0"/>
      <w:divBdr>
        <w:top w:val="none" w:sz="0" w:space="0" w:color="auto"/>
        <w:left w:val="none" w:sz="0" w:space="0" w:color="auto"/>
        <w:bottom w:val="none" w:sz="0" w:space="0" w:color="auto"/>
        <w:right w:val="none" w:sz="0" w:space="0" w:color="auto"/>
      </w:divBdr>
    </w:div>
    <w:div w:id="652220806">
      <w:bodyDiv w:val="1"/>
      <w:marLeft w:val="0"/>
      <w:marRight w:val="0"/>
      <w:marTop w:val="0"/>
      <w:marBottom w:val="0"/>
      <w:divBdr>
        <w:top w:val="none" w:sz="0" w:space="0" w:color="auto"/>
        <w:left w:val="none" w:sz="0" w:space="0" w:color="auto"/>
        <w:bottom w:val="none" w:sz="0" w:space="0" w:color="auto"/>
        <w:right w:val="none" w:sz="0" w:space="0" w:color="auto"/>
      </w:divBdr>
    </w:div>
    <w:div w:id="661467677">
      <w:bodyDiv w:val="1"/>
      <w:marLeft w:val="0"/>
      <w:marRight w:val="0"/>
      <w:marTop w:val="0"/>
      <w:marBottom w:val="0"/>
      <w:divBdr>
        <w:top w:val="none" w:sz="0" w:space="0" w:color="auto"/>
        <w:left w:val="none" w:sz="0" w:space="0" w:color="auto"/>
        <w:bottom w:val="none" w:sz="0" w:space="0" w:color="auto"/>
        <w:right w:val="none" w:sz="0" w:space="0" w:color="auto"/>
      </w:divBdr>
    </w:div>
    <w:div w:id="757294688">
      <w:bodyDiv w:val="1"/>
      <w:marLeft w:val="0"/>
      <w:marRight w:val="0"/>
      <w:marTop w:val="0"/>
      <w:marBottom w:val="0"/>
      <w:divBdr>
        <w:top w:val="none" w:sz="0" w:space="0" w:color="auto"/>
        <w:left w:val="none" w:sz="0" w:space="0" w:color="auto"/>
        <w:bottom w:val="none" w:sz="0" w:space="0" w:color="auto"/>
        <w:right w:val="none" w:sz="0" w:space="0" w:color="auto"/>
      </w:divBdr>
    </w:div>
    <w:div w:id="1044135756">
      <w:bodyDiv w:val="1"/>
      <w:marLeft w:val="0"/>
      <w:marRight w:val="0"/>
      <w:marTop w:val="0"/>
      <w:marBottom w:val="0"/>
      <w:divBdr>
        <w:top w:val="none" w:sz="0" w:space="0" w:color="auto"/>
        <w:left w:val="none" w:sz="0" w:space="0" w:color="auto"/>
        <w:bottom w:val="none" w:sz="0" w:space="0" w:color="auto"/>
        <w:right w:val="none" w:sz="0" w:space="0" w:color="auto"/>
      </w:divBdr>
    </w:div>
    <w:div w:id="1079668859">
      <w:bodyDiv w:val="1"/>
      <w:marLeft w:val="0"/>
      <w:marRight w:val="0"/>
      <w:marTop w:val="0"/>
      <w:marBottom w:val="0"/>
      <w:divBdr>
        <w:top w:val="none" w:sz="0" w:space="0" w:color="auto"/>
        <w:left w:val="none" w:sz="0" w:space="0" w:color="auto"/>
        <w:bottom w:val="none" w:sz="0" w:space="0" w:color="auto"/>
        <w:right w:val="none" w:sz="0" w:space="0" w:color="auto"/>
      </w:divBdr>
    </w:div>
    <w:div w:id="1592738031">
      <w:bodyDiv w:val="1"/>
      <w:marLeft w:val="0"/>
      <w:marRight w:val="0"/>
      <w:marTop w:val="0"/>
      <w:marBottom w:val="0"/>
      <w:divBdr>
        <w:top w:val="none" w:sz="0" w:space="0" w:color="auto"/>
        <w:left w:val="none" w:sz="0" w:space="0" w:color="auto"/>
        <w:bottom w:val="none" w:sz="0" w:space="0" w:color="auto"/>
        <w:right w:val="none" w:sz="0" w:space="0" w:color="auto"/>
      </w:divBdr>
    </w:div>
    <w:div w:id="1658653992">
      <w:bodyDiv w:val="1"/>
      <w:marLeft w:val="0"/>
      <w:marRight w:val="0"/>
      <w:marTop w:val="0"/>
      <w:marBottom w:val="0"/>
      <w:divBdr>
        <w:top w:val="none" w:sz="0" w:space="0" w:color="auto"/>
        <w:left w:val="none" w:sz="0" w:space="0" w:color="auto"/>
        <w:bottom w:val="none" w:sz="0" w:space="0" w:color="auto"/>
        <w:right w:val="none" w:sz="0" w:space="0" w:color="auto"/>
      </w:divBdr>
    </w:div>
    <w:div w:id="1659460099">
      <w:bodyDiv w:val="1"/>
      <w:marLeft w:val="0"/>
      <w:marRight w:val="0"/>
      <w:marTop w:val="0"/>
      <w:marBottom w:val="0"/>
      <w:divBdr>
        <w:top w:val="none" w:sz="0" w:space="0" w:color="auto"/>
        <w:left w:val="none" w:sz="0" w:space="0" w:color="auto"/>
        <w:bottom w:val="none" w:sz="0" w:space="0" w:color="auto"/>
        <w:right w:val="none" w:sz="0" w:space="0" w:color="auto"/>
      </w:divBdr>
    </w:div>
    <w:div w:id="20631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502;&#1493;&#1491;&#1500;%20&#1500;&#1511;&#1496;\&#1502;&#1491;&#1491;%20&#1490;&#1497;&#1504;&#1497;%20&#1500;&#1488;&#1497;%20&#1513;&#1493;&#1493;&#1497;&#1493;&#15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502;&#1493;&#1491;&#1500;%20&#1500;&#1511;&#1496;\&#1492;&#1513;&#1493;&#1493;&#1488;&#1492;%20&#1489;&#1497;&#1504;&#1500;&#1488;&#1493;&#1502;&#1497;&#1514;%202021%20&#1502;&#1491;&#1491;&#1491;%20&#1492;&#1506;&#1493;&#1504;&#149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502;&#1493;&#1491;&#1500;%20&#1500;&#1511;&#1496;\&#1492;&#1513;&#1493;&#1493;&#1488;&#1492;%20&#1489;&#1497;&#1504;&#1500;&#1488;&#1493;&#1502;&#1497;&#1514;%202021%20&#1502;&#1491;&#1491;&#1491;%20&#1492;&#1506;&#1493;&#1504;&#149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493;&#1510;&#1488;&#1492;%20&#1504;&#1493;&#1512;&#1502;&#1496;&#1497;&#1489;&#1497;&#1514;\&#1500;&#1513;&#1504;&#1514;%202021%20&#1504;&#1497;&#1514;&#1493;&#1495;%20&#1505;&#1511;&#1512;%20&#1492;&#1493;&#1510;&#1488;&#1493;&#1514;%20&#1502;&#1513;&#1511;&#1497;%20&#1492;&#1489;&#1497;&#1514;%202018%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'תרשים 5 diagram'!$B$5</c:f>
              <c:strCache>
                <c:ptCount val="1"/>
                <c:pt idx="0">
                  <c:v>מדד ג'יני</c:v>
                </c:pt>
              </c:strCache>
            </c:strRef>
          </c:tx>
          <c:spPr>
            <a:solidFill>
              <a:schemeClr val="accent1"/>
            </a:solidFill>
            <a:ln>
              <a:noFill/>
            </a:ln>
            <a:effectLst/>
          </c:spPr>
          <c:invertIfNegative val="0"/>
          <c:cat>
            <c:numRef>
              <c:f>'תרשים 5 diagram'!$A$11:$A$30</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'תרשים 5 diagram'!$B$11:$B$30</c:f>
              <c:numCache>
                <c:formatCode>0.000</c:formatCode>
                <c:ptCount val="20"/>
                <c:pt idx="0">
                  <c:v>0.39551724137931021</c:v>
                </c:pt>
                <c:pt idx="1">
                  <c:v>0.39551724137931021</c:v>
                </c:pt>
                <c:pt idx="2">
                  <c:v>0.40513793103448265</c:v>
                </c:pt>
                <c:pt idx="3">
                  <c:v>0.41368965517241368</c:v>
                </c:pt>
                <c:pt idx="4">
                  <c:v>0.41689655172413781</c:v>
                </c:pt>
                <c:pt idx="5">
                  <c:v>0.40834482758620677</c:v>
                </c:pt>
                <c:pt idx="6">
                  <c:v>0.41048275862068956</c:v>
                </c:pt>
                <c:pt idx="7">
                  <c:v>0.41582758620689647</c:v>
                </c:pt>
                <c:pt idx="8">
                  <c:v>0.41048275862068961</c:v>
                </c:pt>
                <c:pt idx="9">
                  <c:v>0.40436827586206897</c:v>
                </c:pt>
                <c:pt idx="10">
                  <c:v>0.40300000000000002</c:v>
                </c:pt>
                <c:pt idx="11">
                  <c:v>0.39639999999999997</c:v>
                </c:pt>
                <c:pt idx="12">
                  <c:v>0.39710000000000001</c:v>
                </c:pt>
                <c:pt idx="13">
                  <c:v>0.39479999999999998</c:v>
                </c:pt>
                <c:pt idx="14">
                  <c:v>0.38350000000000001</c:v>
                </c:pt>
                <c:pt idx="15">
                  <c:v>0.38190000000000002</c:v>
                </c:pt>
                <c:pt idx="16">
                  <c:v>0.37730000000000002</c:v>
                </c:pt>
                <c:pt idx="17">
                  <c:v>0.37580000000000002</c:v>
                </c:pt>
                <c:pt idx="18" formatCode="General">
                  <c:v>0.37030000000000002</c:v>
                </c:pt>
                <c:pt idx="19" formatCode="General">
                  <c:v>0.38240000000000002</c:v>
                </c:pt>
              </c:numCache>
            </c:numRef>
          </c:val>
          <c:extLst>
            <c:ext xmlns:c16="http://schemas.microsoft.com/office/drawing/2014/chart" uri="{C3380CC4-5D6E-409C-BE32-E72D297353CC}">
              <c16:uniqueId val="{00000000-A5E5-45AD-8FAF-EDA4E4995A97}"/>
            </c:ext>
          </c:extLst>
        </c:ser>
        <c:dLbls>
          <c:showLegendKey val="0"/>
          <c:showVal val="0"/>
          <c:showCatName val="0"/>
          <c:showSerName val="0"/>
          <c:showPercent val="0"/>
          <c:showBubbleSize val="0"/>
        </c:dLbls>
        <c:gapWidth val="50"/>
        <c:overlap val="-27"/>
        <c:axId val="704303224"/>
        <c:axId val="704306832"/>
      </c:barChart>
      <c:catAx>
        <c:axId val="70430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4306832"/>
        <c:crosses val="autoZero"/>
        <c:auto val="1"/>
        <c:lblAlgn val="ctr"/>
        <c:lblOffset val="100"/>
        <c:noMultiLvlLbl val="0"/>
      </c:catAx>
      <c:valAx>
        <c:axId val="704306832"/>
        <c:scaling>
          <c:orientation val="minMax"/>
          <c:max val="0.42000000000000004"/>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4303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9"/>
            <c:invertIfNegative val="0"/>
            <c:bubble3D val="0"/>
            <c:spPr>
              <a:solidFill>
                <a:srgbClr val="00B050"/>
              </a:solidFill>
              <a:ln>
                <a:noFill/>
              </a:ln>
              <a:effectLst/>
            </c:spPr>
            <c:extLst>
              <c:ext xmlns:c16="http://schemas.microsoft.com/office/drawing/2014/chart" uri="{C3380CC4-5D6E-409C-BE32-E72D297353CC}">
                <c16:uniqueId val="{00000001-EE5F-4525-A84A-76ED6143A3A1}"/>
              </c:ext>
            </c:extLst>
          </c:dPt>
          <c:dPt>
            <c:idx val="32"/>
            <c:invertIfNegative val="0"/>
            <c:bubble3D val="0"/>
            <c:spPr>
              <a:solidFill>
                <a:srgbClr val="FF0000"/>
              </a:solidFill>
              <a:ln>
                <a:noFill/>
              </a:ln>
              <a:effectLst/>
            </c:spPr>
            <c:extLst>
              <c:ext xmlns:c16="http://schemas.microsoft.com/office/drawing/2014/chart" uri="{C3380CC4-5D6E-409C-BE32-E72D297353CC}">
                <c16:uniqueId val="{00000003-EE5F-4525-A84A-76ED6143A3A1}"/>
              </c:ext>
            </c:extLst>
          </c:dPt>
          <c:cat>
            <c:strRef>
              <c:f>'תחולת העוני 2021'!$A$183:$A$215</c:f>
              <c:strCache>
                <c:ptCount val="33"/>
                <c:pt idx="0">
                  <c:v>איסלנד</c:v>
                </c:pt>
                <c:pt idx="1">
                  <c:v>צ'כיה</c:v>
                </c:pt>
                <c:pt idx="2">
                  <c:v>דנמרק</c:v>
                </c:pt>
                <c:pt idx="3">
                  <c:v>פינלנד</c:v>
                </c:pt>
                <c:pt idx="4">
                  <c:v>הונגריה</c:v>
                </c:pt>
                <c:pt idx="5">
                  <c:v>הולנד</c:v>
                </c:pt>
                <c:pt idx="6">
                  <c:v>צרפת</c:v>
                </c:pt>
                <c:pt idx="7">
                  <c:v>נורווגיה</c:v>
                </c:pt>
                <c:pt idx="8">
                  <c:v>סלובקיה</c:v>
                </c:pt>
                <c:pt idx="9">
                  <c:v>סלובניה</c:v>
                </c:pt>
                <c:pt idx="10">
                  <c:v>שבדיה</c:v>
                </c:pt>
                <c:pt idx="11">
                  <c:v>שוויץ</c:v>
                </c:pt>
                <c:pt idx="12">
                  <c:v>אירלנד</c:v>
                </c:pt>
                <c:pt idx="13">
                  <c:v>בלגיה</c:v>
                </c:pt>
                <c:pt idx="14">
                  <c:v>אוסטריה</c:v>
                </c:pt>
                <c:pt idx="15">
                  <c:v>פולין</c:v>
                </c:pt>
                <c:pt idx="16">
                  <c:v>גרמניה</c:v>
                </c:pt>
                <c:pt idx="17">
                  <c:v>ניו זילנד</c:v>
                </c:pt>
                <c:pt idx="18">
                  <c:v>לוקסמבורג</c:v>
                </c:pt>
                <c:pt idx="19">
                  <c:v>ממוצע OECD</c:v>
                </c:pt>
                <c:pt idx="20">
                  <c:v>אנגליה</c:v>
                </c:pt>
                <c:pt idx="21">
                  <c:v>קנדה</c:v>
                </c:pt>
                <c:pt idx="22">
                  <c:v>אוסטרליה</c:v>
                </c:pt>
                <c:pt idx="23">
                  <c:v>פורטוגל</c:v>
                </c:pt>
                <c:pt idx="24">
                  <c:v>איטליה</c:v>
                </c:pt>
                <c:pt idx="25">
                  <c:v>יוון</c:v>
                </c:pt>
                <c:pt idx="26">
                  <c:v>ספרד</c:v>
                </c:pt>
                <c:pt idx="27">
                  <c:v>אסטוניה</c:v>
                </c:pt>
                <c:pt idx="28">
                  <c:v>מקסיקו</c:v>
                </c:pt>
                <c:pt idx="29">
                  <c:v>טורקיה</c:v>
                </c:pt>
                <c:pt idx="30">
                  <c:v>קוריאה</c:v>
                </c:pt>
                <c:pt idx="31">
                  <c:v>ארה"ב</c:v>
                </c:pt>
                <c:pt idx="32">
                  <c:v>ישראל</c:v>
                </c:pt>
              </c:strCache>
            </c:strRef>
          </c:cat>
          <c:val>
            <c:numRef>
              <c:f>'תחולת העוני 2021'!$B$183:$B$215</c:f>
              <c:numCache>
                <c:formatCode>0%</c:formatCode>
                <c:ptCount val="33"/>
                <c:pt idx="0">
                  <c:v>5.3999999999999999E-2</c:v>
                </c:pt>
                <c:pt idx="1">
                  <c:v>5.6000000000000001E-2</c:v>
                </c:pt>
                <c:pt idx="2">
                  <c:v>5.8000000000000003E-2</c:v>
                </c:pt>
                <c:pt idx="3">
                  <c:v>6.5000000000000002E-2</c:v>
                </c:pt>
                <c:pt idx="4">
                  <c:v>7.8E-2</c:v>
                </c:pt>
                <c:pt idx="5">
                  <c:v>8.2000000000000003E-2</c:v>
                </c:pt>
                <c:pt idx="6">
                  <c:v>8.3000000000000004E-2</c:v>
                </c:pt>
                <c:pt idx="7">
                  <c:v>8.4000000000000005E-2</c:v>
                </c:pt>
                <c:pt idx="8">
                  <c:v>8.5000000000000006E-2</c:v>
                </c:pt>
                <c:pt idx="9">
                  <c:v>8.6999999999999994E-2</c:v>
                </c:pt>
                <c:pt idx="10">
                  <c:v>8.8999999999999996E-2</c:v>
                </c:pt>
                <c:pt idx="11">
                  <c:v>9.0999999999999998E-2</c:v>
                </c:pt>
                <c:pt idx="12">
                  <c:v>9.1999999999999998E-2</c:v>
                </c:pt>
                <c:pt idx="13">
                  <c:v>9.7000000000000003E-2</c:v>
                </c:pt>
                <c:pt idx="14">
                  <c:v>9.8000000000000004E-2</c:v>
                </c:pt>
                <c:pt idx="15">
                  <c:v>0.10299999999999999</c:v>
                </c:pt>
                <c:pt idx="16">
                  <c:v>0.104</c:v>
                </c:pt>
                <c:pt idx="17">
                  <c:v>0.109</c:v>
                </c:pt>
                <c:pt idx="18">
                  <c:v>0.111</c:v>
                </c:pt>
                <c:pt idx="19">
                  <c:v>0.11175000000000002</c:v>
                </c:pt>
                <c:pt idx="20">
                  <c:v>0.11700000000000001</c:v>
                </c:pt>
                <c:pt idx="21">
                  <c:v>0.121</c:v>
                </c:pt>
                <c:pt idx="22">
                  <c:v>0.124</c:v>
                </c:pt>
                <c:pt idx="23">
                  <c:v>0.125</c:v>
                </c:pt>
                <c:pt idx="24">
                  <c:v>0.13700000000000001</c:v>
                </c:pt>
                <c:pt idx="25">
                  <c:v>0.14399999999999999</c:v>
                </c:pt>
                <c:pt idx="26">
                  <c:v>0.155</c:v>
                </c:pt>
                <c:pt idx="27">
                  <c:v>0.157</c:v>
                </c:pt>
                <c:pt idx="28">
                  <c:v>0.16600000000000001</c:v>
                </c:pt>
                <c:pt idx="29">
                  <c:v>0.17199999999999999</c:v>
                </c:pt>
                <c:pt idx="30">
                  <c:v>0.17399999999999999</c:v>
                </c:pt>
                <c:pt idx="31">
                  <c:v>0.183</c:v>
                </c:pt>
                <c:pt idx="32" formatCode="0.0%">
                  <c:v>0.19800000000000001</c:v>
                </c:pt>
              </c:numCache>
            </c:numRef>
          </c:val>
          <c:extLst>
            <c:ext xmlns:c16="http://schemas.microsoft.com/office/drawing/2014/chart" uri="{C3380CC4-5D6E-409C-BE32-E72D297353CC}">
              <c16:uniqueId val="{00000004-EE5F-4525-A84A-76ED6143A3A1}"/>
            </c:ext>
          </c:extLst>
        </c:ser>
        <c:dLbls>
          <c:showLegendKey val="0"/>
          <c:showVal val="0"/>
          <c:showCatName val="0"/>
          <c:showSerName val="0"/>
          <c:showPercent val="0"/>
          <c:showBubbleSize val="0"/>
        </c:dLbls>
        <c:gapWidth val="50"/>
        <c:axId val="704747288"/>
        <c:axId val="704744992"/>
      </c:barChart>
      <c:catAx>
        <c:axId val="70474728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744992"/>
        <c:crosses val="autoZero"/>
        <c:auto val="1"/>
        <c:lblAlgn val="ctr"/>
        <c:lblOffset val="100"/>
        <c:noMultiLvlLbl val="0"/>
      </c:catAx>
      <c:valAx>
        <c:axId val="704744992"/>
        <c:scaling>
          <c:orientation val="maxMin"/>
          <c:max val="0.2"/>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04747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'מדד ג''יני 2021'!$B$189</c:f>
              <c:strCache>
                <c:ptCount val="1"/>
                <c:pt idx="0">
                  <c:v>GINI</c:v>
                </c:pt>
              </c:strCache>
            </c:strRef>
          </c:tx>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1-8F56-4938-8BF7-9EA16D0FD543}"/>
              </c:ext>
            </c:extLst>
          </c:dPt>
          <c:dPt>
            <c:idx val="14"/>
            <c:invertIfNegative val="0"/>
            <c:bubble3D val="0"/>
            <c:spPr>
              <a:solidFill>
                <a:schemeClr val="accent1"/>
              </a:solidFill>
              <a:ln>
                <a:noFill/>
              </a:ln>
              <a:effectLst/>
            </c:spPr>
            <c:extLst>
              <c:ext xmlns:c16="http://schemas.microsoft.com/office/drawing/2014/chart" uri="{C3380CC4-5D6E-409C-BE32-E72D297353CC}">
                <c16:uniqueId val="{00000003-8F56-4938-8BF7-9EA16D0FD543}"/>
              </c:ext>
            </c:extLst>
          </c:dPt>
          <c:dPt>
            <c:idx val="15"/>
            <c:invertIfNegative val="0"/>
            <c:bubble3D val="0"/>
            <c:spPr>
              <a:solidFill>
                <a:srgbClr val="00B050"/>
              </a:solidFill>
              <a:ln>
                <a:noFill/>
              </a:ln>
              <a:effectLst/>
            </c:spPr>
            <c:extLst>
              <c:ext xmlns:c16="http://schemas.microsoft.com/office/drawing/2014/chart" uri="{C3380CC4-5D6E-409C-BE32-E72D297353CC}">
                <c16:uniqueId val="{00000005-8F56-4938-8BF7-9EA16D0FD543}"/>
              </c:ext>
            </c:extLst>
          </c:dPt>
          <c:dPt>
            <c:idx val="18"/>
            <c:invertIfNegative val="0"/>
            <c:bubble3D val="0"/>
            <c:spPr>
              <a:solidFill>
                <a:schemeClr val="accent1"/>
              </a:solidFill>
              <a:ln>
                <a:noFill/>
              </a:ln>
              <a:effectLst/>
            </c:spPr>
            <c:extLst>
              <c:ext xmlns:c16="http://schemas.microsoft.com/office/drawing/2014/chart" uri="{C3380CC4-5D6E-409C-BE32-E72D297353CC}">
                <c16:uniqueId val="{00000007-8F56-4938-8BF7-9EA16D0FD543}"/>
              </c:ext>
            </c:extLst>
          </c:dPt>
          <c:dPt>
            <c:idx val="29"/>
            <c:invertIfNegative val="0"/>
            <c:bubble3D val="0"/>
            <c:spPr>
              <a:solidFill>
                <a:schemeClr val="accent1"/>
              </a:solidFill>
              <a:ln>
                <a:noFill/>
              </a:ln>
              <a:effectLst/>
            </c:spPr>
            <c:extLst>
              <c:ext xmlns:c16="http://schemas.microsoft.com/office/drawing/2014/chart" uri="{C3380CC4-5D6E-409C-BE32-E72D297353CC}">
                <c16:uniqueId val="{00000009-8F56-4938-8BF7-9EA16D0FD543}"/>
              </c:ext>
            </c:extLst>
          </c:dPt>
          <c:cat>
            <c:strRef>
              <c:f>'מדד ג''יני 2021'!$A$190:$A$223</c:f>
              <c:strCache>
                <c:ptCount val="34"/>
                <c:pt idx="0">
                  <c:v>צ'כיה</c:v>
                </c:pt>
                <c:pt idx="1">
                  <c:v>מקסיקו</c:v>
                </c:pt>
                <c:pt idx="2">
                  <c:v>טורקיה</c:v>
                </c:pt>
                <c:pt idx="3">
                  <c:v>ארה"ב</c:v>
                </c:pt>
                <c:pt idx="4">
                  <c:v>ישראל</c:v>
                </c:pt>
                <c:pt idx="5">
                  <c:v>אנגליה</c:v>
                </c:pt>
                <c:pt idx="6">
                  <c:v>קוריאה</c:v>
                </c:pt>
                <c:pt idx="7">
                  <c:v>ניו זילנד</c:v>
                </c:pt>
                <c:pt idx="8">
                  <c:v>ספרד</c:v>
                </c:pt>
                <c:pt idx="9">
                  <c:v>יפן</c:v>
                </c:pt>
                <c:pt idx="10">
                  <c:v>יוון</c:v>
                </c:pt>
                <c:pt idx="11">
                  <c:v>לטביה</c:v>
                </c:pt>
                <c:pt idx="12">
                  <c:v>פורטוגל</c:v>
                </c:pt>
                <c:pt idx="13">
                  <c:v>אוסטרליה</c:v>
                </c:pt>
                <c:pt idx="14">
                  <c:v>איטליה</c:v>
                </c:pt>
                <c:pt idx="15">
                  <c:v>ממוצע OECD</c:v>
                </c:pt>
                <c:pt idx="16">
                  <c:v>אסטוניה</c:v>
                </c:pt>
                <c:pt idx="17">
                  <c:v>אירלנד</c:v>
                </c:pt>
                <c:pt idx="18">
                  <c:v>הונגריה</c:v>
                </c:pt>
                <c:pt idx="19">
                  <c:v>פינלנד</c:v>
                </c:pt>
                <c:pt idx="20">
                  <c:v>לוקסמבורג</c:v>
                </c:pt>
                <c:pt idx="21">
                  <c:v>קנדה</c:v>
                </c:pt>
                <c:pt idx="22">
                  <c:v>שוויץ</c:v>
                </c:pt>
                <c:pt idx="23">
                  <c:v>גרמניה</c:v>
                </c:pt>
                <c:pt idx="24">
                  <c:v>צרפת</c:v>
                </c:pt>
                <c:pt idx="25">
                  <c:v>איסלנד</c:v>
                </c:pt>
                <c:pt idx="26">
                  <c:v>הולנד</c:v>
                </c:pt>
                <c:pt idx="27">
                  <c:v>פולין</c:v>
                </c:pt>
                <c:pt idx="28">
                  <c:v>שבדיה</c:v>
                </c:pt>
                <c:pt idx="29">
                  <c:v>אוסטריה</c:v>
                </c:pt>
                <c:pt idx="30">
                  <c:v>בלגיה</c:v>
                </c:pt>
                <c:pt idx="31">
                  <c:v>נורווגיה</c:v>
                </c:pt>
                <c:pt idx="32">
                  <c:v>דנמרק</c:v>
                </c:pt>
                <c:pt idx="33">
                  <c:v>סלובקיה</c:v>
                </c:pt>
              </c:strCache>
            </c:strRef>
          </c:cat>
          <c:val>
            <c:numRef>
              <c:f>'מדד ג''יני 2021'!$B$190:$B$223</c:f>
              <c:numCache>
                <c:formatCode>0.00</c:formatCode>
                <c:ptCount val="34"/>
                <c:pt idx="0">
                  <c:v>0.48699999999999999</c:v>
                </c:pt>
                <c:pt idx="1">
                  <c:v>0.45800000000000002</c:v>
                </c:pt>
                <c:pt idx="2">
                  <c:v>0.40400000000000003</c:v>
                </c:pt>
                <c:pt idx="3">
                  <c:v>0.39</c:v>
                </c:pt>
                <c:pt idx="4">
                  <c:v>0.38240000000000002</c:v>
                </c:pt>
                <c:pt idx="5">
                  <c:v>0.35699999999999998</c:v>
                </c:pt>
                <c:pt idx="6">
                  <c:v>0.35499999999999998</c:v>
                </c:pt>
                <c:pt idx="7">
                  <c:v>0.34899999999999998</c:v>
                </c:pt>
                <c:pt idx="8">
                  <c:v>0.34100000000000003</c:v>
                </c:pt>
                <c:pt idx="9">
                  <c:v>0.33900000000000002</c:v>
                </c:pt>
                <c:pt idx="10">
                  <c:v>0.33300000000000002</c:v>
                </c:pt>
                <c:pt idx="11">
                  <c:v>0.33100000000000002</c:v>
                </c:pt>
                <c:pt idx="12">
                  <c:v>0.33100000000000002</c:v>
                </c:pt>
                <c:pt idx="13">
                  <c:v>0.33</c:v>
                </c:pt>
                <c:pt idx="14">
                  <c:v>0.32800000000000001</c:v>
                </c:pt>
                <c:pt idx="15">
                  <c:v>0.32301212121212119</c:v>
                </c:pt>
                <c:pt idx="16">
                  <c:v>0.314</c:v>
                </c:pt>
                <c:pt idx="17">
                  <c:v>0.309</c:v>
                </c:pt>
                <c:pt idx="18">
                  <c:v>0.308</c:v>
                </c:pt>
                <c:pt idx="19">
                  <c:v>0.30499999999999999</c:v>
                </c:pt>
                <c:pt idx="20">
                  <c:v>0.30399999999999999</c:v>
                </c:pt>
                <c:pt idx="21">
                  <c:v>0.30099999999999999</c:v>
                </c:pt>
                <c:pt idx="22">
                  <c:v>0.29599999999999999</c:v>
                </c:pt>
                <c:pt idx="23">
                  <c:v>0.29199999999999998</c:v>
                </c:pt>
                <c:pt idx="24">
                  <c:v>0.29099999999999998</c:v>
                </c:pt>
                <c:pt idx="25">
                  <c:v>0.28599999999999998</c:v>
                </c:pt>
                <c:pt idx="26">
                  <c:v>0.28499999999999998</c:v>
                </c:pt>
                <c:pt idx="27">
                  <c:v>0.28399999999999997</c:v>
                </c:pt>
                <c:pt idx="28">
                  <c:v>0.28199999999999997</c:v>
                </c:pt>
                <c:pt idx="29">
                  <c:v>0.27400000000000002</c:v>
                </c:pt>
                <c:pt idx="30">
                  <c:v>0.26200000000000001</c:v>
                </c:pt>
                <c:pt idx="31">
                  <c:v>0.26200000000000001</c:v>
                </c:pt>
                <c:pt idx="32">
                  <c:v>0.248</c:v>
                </c:pt>
                <c:pt idx="33" formatCode="General">
                  <c:v>0.24099999999999999</c:v>
                </c:pt>
              </c:numCache>
            </c:numRef>
          </c:val>
          <c:extLst>
            <c:ext xmlns:c16="http://schemas.microsoft.com/office/drawing/2014/chart" uri="{C3380CC4-5D6E-409C-BE32-E72D297353CC}">
              <c16:uniqueId val="{0000000A-8F56-4938-8BF7-9EA16D0FD543}"/>
            </c:ext>
          </c:extLst>
        </c:ser>
        <c:dLbls>
          <c:showLegendKey val="0"/>
          <c:showVal val="0"/>
          <c:showCatName val="0"/>
          <c:showSerName val="0"/>
          <c:showPercent val="0"/>
          <c:showBubbleSize val="0"/>
        </c:dLbls>
        <c:gapWidth val="50"/>
        <c:axId val="1049404848"/>
        <c:axId val="1049403208"/>
      </c:barChart>
      <c:catAx>
        <c:axId val="104940484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403208"/>
        <c:crosses val="autoZero"/>
        <c:auto val="1"/>
        <c:lblAlgn val="ctr"/>
        <c:lblOffset val="100"/>
        <c:noMultiLvlLbl val="0"/>
      </c:catAx>
      <c:valAx>
        <c:axId val="1049403208"/>
        <c:scaling>
          <c:orientation val="maxMin"/>
          <c:max val="0.60000000000000009"/>
          <c:min val="0"/>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49404848"/>
        <c:crosses val="autoZero"/>
        <c:crossBetween val="between"/>
        <c:majorUnit val="0.150000000000000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'גרף לדוח לקט'!$BP$5</c:f>
              <c:strCache>
                <c:ptCount val="1"/>
                <c:pt idx="0">
                  <c:v>מזון (ללא ירקות ופירות) - סך הכל (ללא מזון מחוץ לבית)</c:v>
                </c:pt>
              </c:strCache>
            </c:strRef>
          </c:tx>
          <c:spPr>
            <a:solidFill>
              <a:schemeClr val="accent1"/>
            </a:solidFill>
            <a:ln>
              <a:noFill/>
            </a:ln>
            <a:effectLst/>
          </c:spPr>
          <c:cat>
            <c:numRef>
              <c:f>'גרף לדוח לקט'!$BO$6:$BO$105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לקט'!$BP$6:$BP$105</c:f>
              <c:numCache>
                <c:formatCode>0</c:formatCode>
                <c:ptCount val="100"/>
                <c:pt idx="0">
                  <c:v>237.89303200785844</c:v>
                </c:pt>
                <c:pt idx="1">
                  <c:v>289.12099046093562</c:v>
                </c:pt>
                <c:pt idx="2">
                  <c:v>367.45424890350881</c:v>
                </c:pt>
                <c:pt idx="3">
                  <c:v>346.83141884648359</c:v>
                </c:pt>
                <c:pt idx="4">
                  <c:v>355.86208190394524</c:v>
                </c:pt>
                <c:pt idx="5">
                  <c:v>345.30960128476778</c:v>
                </c:pt>
                <c:pt idx="6">
                  <c:v>377.98509594768444</c:v>
                </c:pt>
                <c:pt idx="7">
                  <c:v>333.05078894872702</c:v>
                </c:pt>
                <c:pt idx="8">
                  <c:v>414.08326355027924</c:v>
                </c:pt>
                <c:pt idx="9">
                  <c:v>405.88546131488317</c:v>
                </c:pt>
                <c:pt idx="10">
                  <c:v>450.97883320544076</c:v>
                </c:pt>
                <c:pt idx="11">
                  <c:v>474.34330729452114</c:v>
                </c:pt>
                <c:pt idx="12">
                  <c:v>501.19767140730812</c:v>
                </c:pt>
                <c:pt idx="13">
                  <c:v>460.7255320792554</c:v>
                </c:pt>
                <c:pt idx="14">
                  <c:v>381.72651085062756</c:v>
                </c:pt>
                <c:pt idx="15">
                  <c:v>494.06320232227756</c:v>
                </c:pt>
                <c:pt idx="16">
                  <c:v>477.22413047591289</c:v>
                </c:pt>
                <c:pt idx="17">
                  <c:v>475.54836986681454</c:v>
                </c:pt>
                <c:pt idx="18">
                  <c:v>543.27786621656423</c:v>
                </c:pt>
                <c:pt idx="19">
                  <c:v>538.20249913182295</c:v>
                </c:pt>
                <c:pt idx="20">
                  <c:v>542.33516817344753</c:v>
                </c:pt>
                <c:pt idx="21">
                  <c:v>516.79184260902969</c:v>
                </c:pt>
                <c:pt idx="22">
                  <c:v>631.21639478589543</c:v>
                </c:pt>
                <c:pt idx="23">
                  <c:v>555.38988929860432</c:v>
                </c:pt>
                <c:pt idx="24">
                  <c:v>496.13826593158507</c:v>
                </c:pt>
                <c:pt idx="25">
                  <c:v>538.70069297234159</c:v>
                </c:pt>
                <c:pt idx="26">
                  <c:v>592.40178133162567</c:v>
                </c:pt>
                <c:pt idx="27">
                  <c:v>465.57778948523139</c:v>
                </c:pt>
                <c:pt idx="28">
                  <c:v>485.49966311408167</c:v>
                </c:pt>
                <c:pt idx="29">
                  <c:v>499.91899933127002</c:v>
                </c:pt>
                <c:pt idx="30">
                  <c:v>608.18004739716366</c:v>
                </c:pt>
                <c:pt idx="31">
                  <c:v>611.14062231287619</c:v>
                </c:pt>
                <c:pt idx="32">
                  <c:v>552.2767541545154</c:v>
                </c:pt>
                <c:pt idx="33">
                  <c:v>570.21864577097415</c:v>
                </c:pt>
                <c:pt idx="34">
                  <c:v>554.23448346239331</c:v>
                </c:pt>
                <c:pt idx="35">
                  <c:v>547.10975385566269</c:v>
                </c:pt>
                <c:pt idx="36">
                  <c:v>578.2863914798005</c:v>
                </c:pt>
                <c:pt idx="37">
                  <c:v>744.99920729861913</c:v>
                </c:pt>
                <c:pt idx="38">
                  <c:v>580.31140907123995</c:v>
                </c:pt>
                <c:pt idx="39">
                  <c:v>653.13911966744399</c:v>
                </c:pt>
                <c:pt idx="40">
                  <c:v>538.59623978263164</c:v>
                </c:pt>
                <c:pt idx="41">
                  <c:v>628.84842152306567</c:v>
                </c:pt>
                <c:pt idx="42">
                  <c:v>529.93839864589631</c:v>
                </c:pt>
                <c:pt idx="43">
                  <c:v>584.98967031827874</c:v>
                </c:pt>
                <c:pt idx="44">
                  <c:v>570.77931043197043</c:v>
                </c:pt>
                <c:pt idx="45">
                  <c:v>552.63449165077202</c:v>
                </c:pt>
                <c:pt idx="46">
                  <c:v>652.49739014078398</c:v>
                </c:pt>
                <c:pt idx="47">
                  <c:v>715.361388854854</c:v>
                </c:pt>
                <c:pt idx="48">
                  <c:v>636.25024910425304</c:v>
                </c:pt>
                <c:pt idx="49">
                  <c:v>575.78610745776018</c:v>
                </c:pt>
                <c:pt idx="50">
                  <c:v>640.46954261875669</c:v>
                </c:pt>
                <c:pt idx="51">
                  <c:v>645.3927591360839</c:v>
                </c:pt>
                <c:pt idx="52">
                  <c:v>750.79503357568785</c:v>
                </c:pt>
                <c:pt idx="53">
                  <c:v>558.79060359991968</c:v>
                </c:pt>
                <c:pt idx="54">
                  <c:v>656.9986549152527</c:v>
                </c:pt>
                <c:pt idx="55">
                  <c:v>662.82302636359918</c:v>
                </c:pt>
                <c:pt idx="56">
                  <c:v>772.40228721437904</c:v>
                </c:pt>
                <c:pt idx="57">
                  <c:v>670.24837806297546</c:v>
                </c:pt>
                <c:pt idx="58">
                  <c:v>714.75945726368002</c:v>
                </c:pt>
                <c:pt idx="59">
                  <c:v>665.91599448315367</c:v>
                </c:pt>
                <c:pt idx="60">
                  <c:v>679.49877670644651</c:v>
                </c:pt>
                <c:pt idx="61">
                  <c:v>731.25148075137474</c:v>
                </c:pt>
                <c:pt idx="62">
                  <c:v>654.81720195505909</c:v>
                </c:pt>
                <c:pt idx="63">
                  <c:v>762.36193131472442</c:v>
                </c:pt>
                <c:pt idx="64">
                  <c:v>726.57182456650469</c:v>
                </c:pt>
                <c:pt idx="65">
                  <c:v>711.26105525538628</c:v>
                </c:pt>
                <c:pt idx="66">
                  <c:v>717.52227018528151</c:v>
                </c:pt>
                <c:pt idx="67">
                  <c:v>717.49248688718194</c:v>
                </c:pt>
                <c:pt idx="68">
                  <c:v>814.52117148075024</c:v>
                </c:pt>
                <c:pt idx="69">
                  <c:v>925.93740639736245</c:v>
                </c:pt>
                <c:pt idx="70">
                  <c:v>763.39175247389392</c:v>
                </c:pt>
                <c:pt idx="71">
                  <c:v>861.27101117268194</c:v>
                </c:pt>
                <c:pt idx="72">
                  <c:v>746.00170092931103</c:v>
                </c:pt>
                <c:pt idx="73">
                  <c:v>889.45772671737461</c:v>
                </c:pt>
                <c:pt idx="74">
                  <c:v>801.63821963101793</c:v>
                </c:pt>
                <c:pt idx="75">
                  <c:v>819.38000763675609</c:v>
                </c:pt>
                <c:pt idx="76">
                  <c:v>765.69865836849795</c:v>
                </c:pt>
                <c:pt idx="77">
                  <c:v>692.46895546744474</c:v>
                </c:pt>
                <c:pt idx="78">
                  <c:v>713.84162665234919</c:v>
                </c:pt>
                <c:pt idx="79">
                  <c:v>848.24267696331185</c:v>
                </c:pt>
                <c:pt idx="80">
                  <c:v>830.24455736648281</c:v>
                </c:pt>
                <c:pt idx="81">
                  <c:v>769.67849649420759</c:v>
                </c:pt>
                <c:pt idx="82">
                  <c:v>756.72555021278208</c:v>
                </c:pt>
                <c:pt idx="83">
                  <c:v>877.39838874370071</c:v>
                </c:pt>
                <c:pt idx="84">
                  <c:v>842.86039782245416</c:v>
                </c:pt>
                <c:pt idx="85">
                  <c:v>912.04794937587178</c:v>
                </c:pt>
                <c:pt idx="86">
                  <c:v>849.7326096724471</c:v>
                </c:pt>
                <c:pt idx="87">
                  <c:v>830.04042309569115</c:v>
                </c:pt>
                <c:pt idx="88">
                  <c:v>942.84204455406552</c:v>
                </c:pt>
                <c:pt idx="89">
                  <c:v>882.02794167091827</c:v>
                </c:pt>
                <c:pt idx="90">
                  <c:v>858.27285046144686</c:v>
                </c:pt>
                <c:pt idx="91">
                  <c:v>760.01040823467167</c:v>
                </c:pt>
                <c:pt idx="92">
                  <c:v>1059.6179847075377</c:v>
                </c:pt>
                <c:pt idx="93">
                  <c:v>979.19873571475796</c:v>
                </c:pt>
                <c:pt idx="94">
                  <c:v>831.09267476872117</c:v>
                </c:pt>
                <c:pt idx="95">
                  <c:v>980.6624792320672</c:v>
                </c:pt>
                <c:pt idx="96">
                  <c:v>1034.8823744492308</c:v>
                </c:pt>
                <c:pt idx="97">
                  <c:v>1107.1249343111256</c:v>
                </c:pt>
                <c:pt idx="98">
                  <c:v>1115.0280470315238</c:v>
                </c:pt>
                <c:pt idx="99">
                  <c:v>1020.0867169520748</c:v>
                </c:pt>
              </c:numCache>
            </c:numRef>
          </c:val>
          <c:extLst>
            <c:ext xmlns:c16="http://schemas.microsoft.com/office/drawing/2014/chart" uri="{C3380CC4-5D6E-409C-BE32-E72D297353CC}">
              <c16:uniqueId val="{00000000-F587-4E61-A628-6C94BB3101D5}"/>
            </c:ext>
          </c:extLst>
        </c:ser>
        <c:ser>
          <c:idx val="1"/>
          <c:order val="1"/>
          <c:tx>
            <c:strRef>
              <c:f>'גרף לדוח לקט'!$BQ$5</c:f>
              <c:strCache>
                <c:ptCount val="1"/>
                <c:pt idx="0">
                  <c:v>ירקות ופירות - סך הכל</c:v>
                </c:pt>
              </c:strCache>
            </c:strRef>
          </c:tx>
          <c:spPr>
            <a:solidFill>
              <a:schemeClr val="accent2"/>
            </a:solidFill>
            <a:ln>
              <a:noFill/>
            </a:ln>
            <a:effectLst/>
          </c:spPr>
          <c:cat>
            <c:numRef>
              <c:f>'גרף לדוח לקט'!$BO$6:$BO$105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לקט'!$BQ$6:$BQ$105</c:f>
              <c:numCache>
                <c:formatCode>0</c:formatCode>
                <c:ptCount val="100"/>
                <c:pt idx="0">
                  <c:v>81.436022554760328</c:v>
                </c:pt>
                <c:pt idx="1">
                  <c:v>125.78626851898571</c:v>
                </c:pt>
                <c:pt idx="2">
                  <c:v>97.48892045454545</c:v>
                </c:pt>
                <c:pt idx="3">
                  <c:v>126.89769153802173</c:v>
                </c:pt>
                <c:pt idx="4">
                  <c:v>140.91519082332763</c:v>
                </c:pt>
                <c:pt idx="5">
                  <c:v>107.1996212121212</c:v>
                </c:pt>
                <c:pt idx="6">
                  <c:v>125.4294784519726</c:v>
                </c:pt>
                <c:pt idx="7">
                  <c:v>136.59187124785592</c:v>
                </c:pt>
                <c:pt idx="8">
                  <c:v>131.67356547240473</c:v>
                </c:pt>
                <c:pt idx="9">
                  <c:v>144.27027063373606</c:v>
                </c:pt>
                <c:pt idx="10">
                  <c:v>136.23676809680722</c:v>
                </c:pt>
                <c:pt idx="11">
                  <c:v>150.23986316311112</c:v>
                </c:pt>
                <c:pt idx="12">
                  <c:v>164.70851282812373</c:v>
                </c:pt>
                <c:pt idx="13">
                  <c:v>176.76852518666126</c:v>
                </c:pt>
                <c:pt idx="14">
                  <c:v>135.95650550591051</c:v>
                </c:pt>
                <c:pt idx="15">
                  <c:v>168.81668264048005</c:v>
                </c:pt>
                <c:pt idx="16">
                  <c:v>165.32402433941212</c:v>
                </c:pt>
                <c:pt idx="17">
                  <c:v>161.49358456933376</c:v>
                </c:pt>
                <c:pt idx="18">
                  <c:v>213.70007854997195</c:v>
                </c:pt>
                <c:pt idx="19">
                  <c:v>169.5142390336155</c:v>
                </c:pt>
                <c:pt idx="20">
                  <c:v>182.57734786312932</c:v>
                </c:pt>
                <c:pt idx="21">
                  <c:v>188.35417992569765</c:v>
                </c:pt>
                <c:pt idx="22">
                  <c:v>181.51382594650414</c:v>
                </c:pt>
                <c:pt idx="23">
                  <c:v>184.77822725246548</c:v>
                </c:pt>
                <c:pt idx="24">
                  <c:v>178.68898771136327</c:v>
                </c:pt>
                <c:pt idx="25">
                  <c:v>185.6473424455215</c:v>
                </c:pt>
                <c:pt idx="26">
                  <c:v>195.9670084305215</c:v>
                </c:pt>
                <c:pt idx="27">
                  <c:v>194.48661850920828</c:v>
                </c:pt>
                <c:pt idx="28">
                  <c:v>174.23755124619746</c:v>
                </c:pt>
                <c:pt idx="29">
                  <c:v>188.30330356289397</c:v>
                </c:pt>
                <c:pt idx="30">
                  <c:v>220.30234170529656</c:v>
                </c:pt>
                <c:pt idx="31">
                  <c:v>217.51251617316686</c:v>
                </c:pt>
                <c:pt idx="32">
                  <c:v>199.52957899049616</c:v>
                </c:pt>
                <c:pt idx="33">
                  <c:v>181.39765513536483</c:v>
                </c:pt>
                <c:pt idx="34">
                  <c:v>156.2341562827032</c:v>
                </c:pt>
                <c:pt idx="35">
                  <c:v>183.31642132206815</c:v>
                </c:pt>
                <c:pt idx="36">
                  <c:v>200.960092307574</c:v>
                </c:pt>
                <c:pt idx="37">
                  <c:v>317.54385805769869</c:v>
                </c:pt>
                <c:pt idx="38">
                  <c:v>175.57232606811155</c:v>
                </c:pt>
                <c:pt idx="39">
                  <c:v>210.996030314834</c:v>
                </c:pt>
                <c:pt idx="40">
                  <c:v>198.04237994746165</c:v>
                </c:pt>
                <c:pt idx="41">
                  <c:v>175.15518036707067</c:v>
                </c:pt>
                <c:pt idx="42">
                  <c:v>233.0416288688908</c:v>
                </c:pt>
                <c:pt idx="43">
                  <c:v>185.09752162073084</c:v>
                </c:pt>
                <c:pt idx="44">
                  <c:v>200.16998932934519</c:v>
                </c:pt>
                <c:pt idx="45">
                  <c:v>191.23845191154291</c:v>
                </c:pt>
                <c:pt idx="46">
                  <c:v>208.9652846507035</c:v>
                </c:pt>
                <c:pt idx="47">
                  <c:v>233.10668118738252</c:v>
                </c:pt>
                <c:pt idx="48">
                  <c:v>205.34938796530156</c:v>
                </c:pt>
                <c:pt idx="49">
                  <c:v>172.5675331571658</c:v>
                </c:pt>
                <c:pt idx="50">
                  <c:v>233.1840960034703</c:v>
                </c:pt>
                <c:pt idx="51">
                  <c:v>191.52004284384876</c:v>
                </c:pt>
                <c:pt idx="52">
                  <c:v>216.01958274310221</c:v>
                </c:pt>
                <c:pt idx="53">
                  <c:v>223.16473935247043</c:v>
                </c:pt>
                <c:pt idx="54">
                  <c:v>229.47626351201163</c:v>
                </c:pt>
                <c:pt idx="55">
                  <c:v>222.86792548291322</c:v>
                </c:pt>
                <c:pt idx="56">
                  <c:v>219.21556935348505</c:v>
                </c:pt>
                <c:pt idx="57">
                  <c:v>263.84633738064872</c:v>
                </c:pt>
                <c:pt idx="58">
                  <c:v>226.68334969491195</c:v>
                </c:pt>
                <c:pt idx="59">
                  <c:v>231.12622731331291</c:v>
                </c:pt>
                <c:pt idx="60">
                  <c:v>250.16271578398235</c:v>
                </c:pt>
                <c:pt idx="61">
                  <c:v>214.74835641374901</c:v>
                </c:pt>
                <c:pt idx="62">
                  <c:v>222.42014837870636</c:v>
                </c:pt>
                <c:pt idx="63">
                  <c:v>235.71293193892996</c:v>
                </c:pt>
                <c:pt idx="64">
                  <c:v>238.54943486529098</c:v>
                </c:pt>
                <c:pt idx="65">
                  <c:v>252.58796201234009</c:v>
                </c:pt>
                <c:pt idx="66">
                  <c:v>268.93336431362383</c:v>
                </c:pt>
                <c:pt idx="67">
                  <c:v>249.0161269008571</c:v>
                </c:pt>
                <c:pt idx="68">
                  <c:v>237.43238799548433</c:v>
                </c:pt>
                <c:pt idx="69">
                  <c:v>297.88255067687123</c:v>
                </c:pt>
                <c:pt idx="70">
                  <c:v>239.15903561568561</c:v>
                </c:pt>
                <c:pt idx="71">
                  <c:v>252.92417068215272</c:v>
                </c:pt>
                <c:pt idx="72">
                  <c:v>246.77456079660359</c:v>
                </c:pt>
                <c:pt idx="73">
                  <c:v>271.13437098246919</c:v>
                </c:pt>
                <c:pt idx="74">
                  <c:v>262.35069268161135</c:v>
                </c:pt>
                <c:pt idx="75">
                  <c:v>263.10963765133022</c:v>
                </c:pt>
                <c:pt idx="76">
                  <c:v>241.7570519503748</c:v>
                </c:pt>
                <c:pt idx="77">
                  <c:v>227.4614059691574</c:v>
                </c:pt>
                <c:pt idx="78">
                  <c:v>278.64951973649318</c:v>
                </c:pt>
                <c:pt idx="79">
                  <c:v>244.31421100050912</c:v>
                </c:pt>
                <c:pt idx="80">
                  <c:v>249.21001078457923</c:v>
                </c:pt>
                <c:pt idx="81">
                  <c:v>252.89839924838688</c:v>
                </c:pt>
                <c:pt idx="82">
                  <c:v>266.9043912310305</c:v>
                </c:pt>
                <c:pt idx="83">
                  <c:v>268.48689993076545</c:v>
                </c:pt>
                <c:pt idx="84">
                  <c:v>303.02686589683515</c:v>
                </c:pt>
                <c:pt idx="85">
                  <c:v>290.76405068881894</c:v>
                </c:pt>
                <c:pt idx="86">
                  <c:v>265.89597859391449</c:v>
                </c:pt>
                <c:pt idx="87">
                  <c:v>288.61346084052838</c:v>
                </c:pt>
                <c:pt idx="88">
                  <c:v>275.77600820568256</c:v>
                </c:pt>
                <c:pt idx="89">
                  <c:v>285.13928925815259</c:v>
                </c:pt>
                <c:pt idx="90">
                  <c:v>314.71700176606259</c:v>
                </c:pt>
                <c:pt idx="91">
                  <c:v>293.36205805492261</c:v>
                </c:pt>
                <c:pt idx="92">
                  <c:v>307.05993476556745</c:v>
                </c:pt>
                <c:pt idx="93">
                  <c:v>344.25133482559323</c:v>
                </c:pt>
                <c:pt idx="94">
                  <c:v>303.96014490750133</c:v>
                </c:pt>
                <c:pt idx="95">
                  <c:v>324.81193393010136</c:v>
                </c:pt>
                <c:pt idx="96">
                  <c:v>313.6538572714756</c:v>
                </c:pt>
                <c:pt idx="97">
                  <c:v>344.47650277020443</c:v>
                </c:pt>
                <c:pt idx="98">
                  <c:v>333.53275605787576</c:v>
                </c:pt>
                <c:pt idx="99">
                  <c:v>372.73614733155171</c:v>
                </c:pt>
              </c:numCache>
            </c:numRef>
          </c:val>
          <c:extLst>
            <c:ext xmlns:c16="http://schemas.microsoft.com/office/drawing/2014/chart" uri="{C3380CC4-5D6E-409C-BE32-E72D297353CC}">
              <c16:uniqueId val="{00000001-F587-4E61-A628-6C94BB3101D5}"/>
            </c:ext>
          </c:extLst>
        </c:ser>
        <c:dLbls>
          <c:showLegendKey val="0"/>
          <c:showVal val="0"/>
          <c:showCatName val="0"/>
          <c:showSerName val="0"/>
          <c:showPercent val="0"/>
          <c:showBubbleSize val="0"/>
        </c:dLbls>
        <c:axId val="844447280"/>
        <c:axId val="844446952"/>
      </c:areaChart>
      <c:lineChart>
        <c:grouping val="standard"/>
        <c:varyColors val="0"/>
        <c:ser>
          <c:idx val="2"/>
          <c:order val="2"/>
          <c:tx>
            <c:strRef>
              <c:f>'גרף לדוח לקט'!$BR$5</c:f>
              <c:strCache>
                <c:ptCount val="1"/>
                <c:pt idx="0">
                  <c:v>קו מגמה</c:v>
                </c:pt>
              </c:strCache>
            </c:strRef>
          </c:tx>
          <c:spPr>
            <a:ln w="28575" cap="rnd">
              <a:noFill/>
              <a:round/>
            </a:ln>
            <a:effectLst/>
          </c:spPr>
          <c:marker>
            <c:symbol val="none"/>
          </c:marker>
          <c:trendline>
            <c:spPr>
              <a:ln w="19050" cap="rnd">
                <a:solidFill>
                  <a:schemeClr val="tx1"/>
                </a:solidFill>
                <a:prstDash val="solid"/>
              </a:ln>
              <a:effectLst/>
            </c:spPr>
            <c:trendlineType val="poly"/>
            <c:order val="6"/>
            <c:dispRSqr val="0"/>
            <c:dispEq val="0"/>
          </c:trendline>
          <c:cat>
            <c:numRef>
              <c:f>'גרף לדוח לקט'!$BO$6:$BO$105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לקט'!$BR$6:$BR$105</c:f>
              <c:numCache>
                <c:formatCode>0</c:formatCode>
                <c:ptCount val="100"/>
                <c:pt idx="0">
                  <c:v>319.32905456261875</c:v>
                </c:pt>
                <c:pt idx="1">
                  <c:v>414.90725897992132</c:v>
                </c:pt>
                <c:pt idx="2">
                  <c:v>464.94316935805426</c:v>
                </c:pt>
                <c:pt idx="3">
                  <c:v>473.7291103845053</c:v>
                </c:pt>
                <c:pt idx="4">
                  <c:v>496.77727272727287</c:v>
                </c:pt>
                <c:pt idx="5">
                  <c:v>452.50922249688898</c:v>
                </c:pt>
                <c:pt idx="6">
                  <c:v>503.41457439965706</c:v>
                </c:pt>
                <c:pt idx="7">
                  <c:v>469.64266019658294</c:v>
                </c:pt>
                <c:pt idx="8">
                  <c:v>545.75682902268397</c:v>
                </c:pt>
                <c:pt idx="9">
                  <c:v>550.15573194861918</c:v>
                </c:pt>
                <c:pt idx="10">
                  <c:v>587.21560130224793</c:v>
                </c:pt>
                <c:pt idx="11">
                  <c:v>624.58317045763226</c:v>
                </c:pt>
                <c:pt idx="12">
                  <c:v>665.90618423543185</c:v>
                </c:pt>
                <c:pt idx="13">
                  <c:v>637.49405726591669</c:v>
                </c:pt>
                <c:pt idx="14">
                  <c:v>517.68301635653802</c:v>
                </c:pt>
                <c:pt idx="15">
                  <c:v>662.87988496275761</c:v>
                </c:pt>
                <c:pt idx="16">
                  <c:v>642.54815481532501</c:v>
                </c:pt>
                <c:pt idx="17">
                  <c:v>637.04195443614833</c:v>
                </c:pt>
                <c:pt idx="18">
                  <c:v>756.97794476653621</c:v>
                </c:pt>
                <c:pt idx="19">
                  <c:v>707.71673816543841</c:v>
                </c:pt>
                <c:pt idx="20">
                  <c:v>724.91251603657679</c:v>
                </c:pt>
                <c:pt idx="21">
                  <c:v>705.14602253472731</c:v>
                </c:pt>
                <c:pt idx="22">
                  <c:v>812.73022073239963</c:v>
                </c:pt>
                <c:pt idx="23">
                  <c:v>740.16811655106983</c:v>
                </c:pt>
                <c:pt idx="24">
                  <c:v>674.82725364294834</c:v>
                </c:pt>
                <c:pt idx="25">
                  <c:v>724.34803541786312</c:v>
                </c:pt>
                <c:pt idx="26">
                  <c:v>788.36878976214712</c:v>
                </c:pt>
                <c:pt idx="27">
                  <c:v>660.06440799443965</c:v>
                </c:pt>
                <c:pt idx="28">
                  <c:v>659.73721436027915</c:v>
                </c:pt>
                <c:pt idx="29">
                  <c:v>688.22230289416393</c:v>
                </c:pt>
                <c:pt idx="30">
                  <c:v>828.48238910246027</c:v>
                </c:pt>
                <c:pt idx="31">
                  <c:v>828.65313848604308</c:v>
                </c:pt>
                <c:pt idx="32">
                  <c:v>751.80633314501154</c:v>
                </c:pt>
                <c:pt idx="33">
                  <c:v>751.61630090633901</c:v>
                </c:pt>
                <c:pt idx="34">
                  <c:v>710.46863974509654</c:v>
                </c:pt>
                <c:pt idx="35">
                  <c:v>730.42617517773078</c:v>
                </c:pt>
                <c:pt idx="36">
                  <c:v>779.24648378737447</c:v>
                </c:pt>
                <c:pt idx="37">
                  <c:v>1062.5430653563178</c:v>
                </c:pt>
                <c:pt idx="38">
                  <c:v>755.88373513935153</c:v>
                </c:pt>
                <c:pt idx="39">
                  <c:v>864.13514998227799</c:v>
                </c:pt>
                <c:pt idx="40">
                  <c:v>736.6386197300933</c:v>
                </c:pt>
                <c:pt idx="41">
                  <c:v>804.00360189013634</c:v>
                </c:pt>
                <c:pt idx="42">
                  <c:v>762.98002751478714</c:v>
                </c:pt>
                <c:pt idx="43">
                  <c:v>770.08719193900959</c:v>
                </c:pt>
                <c:pt idx="44">
                  <c:v>770.94929976131561</c:v>
                </c:pt>
                <c:pt idx="45">
                  <c:v>743.87294356231496</c:v>
                </c:pt>
                <c:pt idx="46">
                  <c:v>861.46267479148742</c:v>
                </c:pt>
                <c:pt idx="47">
                  <c:v>948.46807004223649</c:v>
                </c:pt>
                <c:pt idx="48">
                  <c:v>841.59963706955455</c:v>
                </c:pt>
                <c:pt idx="49">
                  <c:v>748.35364061492601</c:v>
                </c:pt>
                <c:pt idx="50">
                  <c:v>873.65363862222694</c:v>
                </c:pt>
                <c:pt idx="51">
                  <c:v>836.91280197993262</c:v>
                </c:pt>
                <c:pt idx="52">
                  <c:v>966.81461631879006</c:v>
                </c:pt>
                <c:pt idx="53">
                  <c:v>781.95534295239008</c:v>
                </c:pt>
                <c:pt idx="54">
                  <c:v>886.47491842726436</c:v>
                </c:pt>
                <c:pt idx="55">
                  <c:v>885.69095184651246</c:v>
                </c:pt>
                <c:pt idx="56">
                  <c:v>991.61785656786412</c:v>
                </c:pt>
                <c:pt idx="57">
                  <c:v>934.09471544362418</c:v>
                </c:pt>
                <c:pt idx="58">
                  <c:v>941.44280695859197</c:v>
                </c:pt>
                <c:pt idx="59">
                  <c:v>897.04222179646661</c:v>
                </c:pt>
                <c:pt idx="60">
                  <c:v>929.66149249042883</c:v>
                </c:pt>
                <c:pt idx="61">
                  <c:v>945.99983716512372</c:v>
                </c:pt>
                <c:pt idx="62">
                  <c:v>877.23735033376545</c:v>
                </c:pt>
                <c:pt idx="63">
                  <c:v>998.07486325365437</c:v>
                </c:pt>
                <c:pt idx="64">
                  <c:v>965.12125943179569</c:v>
                </c:pt>
                <c:pt idx="65">
                  <c:v>963.84901726772637</c:v>
                </c:pt>
                <c:pt idx="66">
                  <c:v>986.45563449890528</c:v>
                </c:pt>
                <c:pt idx="67">
                  <c:v>966.50861378803904</c:v>
                </c:pt>
                <c:pt idx="68">
                  <c:v>1051.9535594762347</c:v>
                </c:pt>
                <c:pt idx="69">
                  <c:v>1223.8199570742336</c:v>
                </c:pt>
                <c:pt idx="70">
                  <c:v>1002.5507880895796</c:v>
                </c:pt>
                <c:pt idx="71">
                  <c:v>1114.1951818548346</c:v>
                </c:pt>
                <c:pt idx="72">
                  <c:v>992.77626172591465</c:v>
                </c:pt>
                <c:pt idx="73">
                  <c:v>1160.5920976998439</c:v>
                </c:pt>
                <c:pt idx="74">
                  <c:v>1063.9889123126293</c:v>
                </c:pt>
                <c:pt idx="75">
                  <c:v>1082.4896452880862</c:v>
                </c:pt>
                <c:pt idx="76">
                  <c:v>1007.4557103188728</c:v>
                </c:pt>
                <c:pt idx="77">
                  <c:v>919.9303614366022</c:v>
                </c:pt>
                <c:pt idx="78">
                  <c:v>992.49114638884237</c:v>
                </c:pt>
                <c:pt idx="79">
                  <c:v>1092.5568879638211</c:v>
                </c:pt>
                <c:pt idx="80">
                  <c:v>1079.4545681510619</c:v>
                </c:pt>
                <c:pt idx="81">
                  <c:v>1022.5768957425945</c:v>
                </c:pt>
                <c:pt idx="82">
                  <c:v>1023.6299414438126</c:v>
                </c:pt>
                <c:pt idx="83">
                  <c:v>1145.8852886744662</c:v>
                </c:pt>
                <c:pt idx="84">
                  <c:v>1145.8872637192894</c:v>
                </c:pt>
                <c:pt idx="85">
                  <c:v>1202.8120000646907</c:v>
                </c:pt>
                <c:pt idx="86">
                  <c:v>1115.6285882663615</c:v>
                </c:pt>
                <c:pt idx="87">
                  <c:v>1118.6538839362195</c:v>
                </c:pt>
                <c:pt idx="88">
                  <c:v>1218.618052759748</c:v>
                </c:pt>
                <c:pt idx="89">
                  <c:v>1167.1672309290709</c:v>
                </c:pt>
                <c:pt idx="90">
                  <c:v>1172.9898522275093</c:v>
                </c:pt>
                <c:pt idx="91">
                  <c:v>1053.3724662895943</c:v>
                </c:pt>
                <c:pt idx="92">
                  <c:v>1366.6779194731052</c:v>
                </c:pt>
                <c:pt idx="93">
                  <c:v>1323.4500705403511</c:v>
                </c:pt>
                <c:pt idx="94">
                  <c:v>1135.0528196762225</c:v>
                </c:pt>
                <c:pt idx="95">
                  <c:v>1305.4744131621685</c:v>
                </c:pt>
                <c:pt idx="96">
                  <c:v>1348.5362317207064</c:v>
                </c:pt>
                <c:pt idx="97">
                  <c:v>1451.60143708133</c:v>
                </c:pt>
                <c:pt idx="98">
                  <c:v>1448.5608030893995</c:v>
                </c:pt>
                <c:pt idx="99">
                  <c:v>1392.8228642836266</c:v>
                </c:pt>
              </c:numCache>
            </c:numRef>
          </c:val>
          <c:smooth val="0"/>
          <c:extLst>
            <c:ext xmlns:c16="http://schemas.microsoft.com/office/drawing/2014/chart" uri="{C3380CC4-5D6E-409C-BE32-E72D297353CC}">
              <c16:uniqueId val="{00000003-F587-4E61-A628-6C94BB3101D5}"/>
            </c:ext>
          </c:extLst>
        </c:ser>
        <c:ser>
          <c:idx val="3"/>
          <c:order val="3"/>
          <c:tx>
            <c:strRef>
              <c:f>'גרף לדוח לקט'!$BS$5</c:f>
              <c:strCache>
                <c:ptCount val="1"/>
                <c:pt idx="0">
                  <c:v>הוצאה נורמטיבית</c:v>
                </c:pt>
              </c:strCache>
            </c:strRef>
          </c:tx>
          <c:spPr>
            <a:ln w="28575" cap="rnd">
              <a:solidFill>
                <a:srgbClr val="FFC000"/>
              </a:solidFill>
              <a:round/>
            </a:ln>
            <a:effectLst/>
          </c:spPr>
          <c:marker>
            <c:symbol val="none"/>
          </c:marker>
          <c:cat>
            <c:numRef>
              <c:f>'גרף לדוח לקט'!$BO$6:$BO$105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לקט'!$BS$6:$BS$105</c:f>
              <c:numCache>
                <c:formatCode>0</c:formatCode>
                <c:ptCount val="100"/>
                <c:pt idx="0">
                  <c:v>750.90075341189936</c:v>
                </c:pt>
                <c:pt idx="1">
                  <c:v>750.90075341189936</c:v>
                </c:pt>
                <c:pt idx="2">
                  <c:v>750.90075341189936</c:v>
                </c:pt>
                <c:pt idx="3">
                  <c:v>750.90075341189936</c:v>
                </c:pt>
                <c:pt idx="4">
                  <c:v>750.90075341189936</c:v>
                </c:pt>
                <c:pt idx="5">
                  <c:v>750.90075341189936</c:v>
                </c:pt>
                <c:pt idx="6">
                  <c:v>750.90075341189936</c:v>
                </c:pt>
                <c:pt idx="7">
                  <c:v>750.90075341189936</c:v>
                </c:pt>
                <c:pt idx="8">
                  <c:v>750.90075341189936</c:v>
                </c:pt>
                <c:pt idx="9">
                  <c:v>750.90075341189936</c:v>
                </c:pt>
                <c:pt idx="10">
                  <c:v>750.90075341189936</c:v>
                </c:pt>
                <c:pt idx="11">
                  <c:v>750.90075341189936</c:v>
                </c:pt>
                <c:pt idx="12">
                  <c:v>750.90075341189936</c:v>
                </c:pt>
                <c:pt idx="13">
                  <c:v>750.90075341189936</c:v>
                </c:pt>
                <c:pt idx="14">
                  <c:v>750.90075341189936</c:v>
                </c:pt>
                <c:pt idx="15">
                  <c:v>750.90075341189936</c:v>
                </c:pt>
                <c:pt idx="16">
                  <c:v>750.90075341189936</c:v>
                </c:pt>
                <c:pt idx="17">
                  <c:v>750.90075341189936</c:v>
                </c:pt>
                <c:pt idx="18">
                  <c:v>750.90075341189936</c:v>
                </c:pt>
                <c:pt idx="19">
                  <c:v>750.90075341189936</c:v>
                </c:pt>
                <c:pt idx="20">
                  <c:v>750.90075341189936</c:v>
                </c:pt>
                <c:pt idx="21">
                  <c:v>750.90075341189936</c:v>
                </c:pt>
                <c:pt idx="22">
                  <c:v>750.90075341189936</c:v>
                </c:pt>
                <c:pt idx="23">
                  <c:v>750.90075341189936</c:v>
                </c:pt>
                <c:pt idx="24">
                  <c:v>750.90075341189936</c:v>
                </c:pt>
                <c:pt idx="25">
                  <c:v>750.90075341189936</c:v>
                </c:pt>
                <c:pt idx="26">
                  <c:v>750.90075341189936</c:v>
                </c:pt>
                <c:pt idx="27">
                  <c:v>750.90075341189936</c:v>
                </c:pt>
                <c:pt idx="28">
                  <c:v>750.90075341189936</c:v>
                </c:pt>
                <c:pt idx="29">
                  <c:v>750.90075341189936</c:v>
                </c:pt>
                <c:pt idx="30">
                  <c:v>750.90075341189936</c:v>
                </c:pt>
                <c:pt idx="31">
                  <c:v>750.90075341189936</c:v>
                </c:pt>
                <c:pt idx="32">
                  <c:v>750.90075341189936</c:v>
                </c:pt>
                <c:pt idx="33">
                  <c:v>750.90075341189936</c:v>
                </c:pt>
                <c:pt idx="34">
                  <c:v>750.90075341189936</c:v>
                </c:pt>
                <c:pt idx="35">
                  <c:v>750.90075341189936</c:v>
                </c:pt>
                <c:pt idx="36">
                  <c:v>750.90075341189936</c:v>
                </c:pt>
                <c:pt idx="37">
                  <c:v>750.90075341189936</c:v>
                </c:pt>
                <c:pt idx="38">
                  <c:v>750.90075341189936</c:v>
                </c:pt>
                <c:pt idx="39">
                  <c:v>750.90075341189936</c:v>
                </c:pt>
                <c:pt idx="40">
                  <c:v>750.90075341189936</c:v>
                </c:pt>
                <c:pt idx="41">
                  <c:v>750.90075341189936</c:v>
                </c:pt>
                <c:pt idx="42">
                  <c:v>750.90075341189936</c:v>
                </c:pt>
                <c:pt idx="43">
                  <c:v>750.90075341189936</c:v>
                </c:pt>
                <c:pt idx="44">
                  <c:v>750.90075341189936</c:v>
                </c:pt>
                <c:pt idx="45">
                  <c:v>750.90075341189936</c:v>
                </c:pt>
                <c:pt idx="46">
                  <c:v>750.90075341189936</c:v>
                </c:pt>
                <c:pt idx="47">
                  <c:v>750.90075341189936</c:v>
                </c:pt>
                <c:pt idx="48">
                  <c:v>750.90075341189936</c:v>
                </c:pt>
                <c:pt idx="49">
                  <c:v>750.90075341189936</c:v>
                </c:pt>
                <c:pt idx="50">
                  <c:v>750.90075341189936</c:v>
                </c:pt>
                <c:pt idx="51">
                  <c:v>750.90075341189936</c:v>
                </c:pt>
                <c:pt idx="52">
                  <c:v>750.90075341189936</c:v>
                </c:pt>
                <c:pt idx="53">
                  <c:v>750.90075341189936</c:v>
                </c:pt>
                <c:pt idx="54">
                  <c:v>750.90075341189936</c:v>
                </c:pt>
                <c:pt idx="55">
                  <c:v>750.90075341189936</c:v>
                </c:pt>
                <c:pt idx="56">
                  <c:v>750.90075341189936</c:v>
                </c:pt>
                <c:pt idx="57">
                  <c:v>750.90075341189936</c:v>
                </c:pt>
                <c:pt idx="58">
                  <c:v>750.90075341189936</c:v>
                </c:pt>
                <c:pt idx="59">
                  <c:v>750.90075341189936</c:v>
                </c:pt>
                <c:pt idx="60">
                  <c:v>750.90075341189936</c:v>
                </c:pt>
                <c:pt idx="61">
                  <c:v>750.90075341189936</c:v>
                </c:pt>
                <c:pt idx="62">
                  <c:v>750.90075341189936</c:v>
                </c:pt>
                <c:pt idx="63">
                  <c:v>750.90075341189936</c:v>
                </c:pt>
                <c:pt idx="64">
                  <c:v>750.90075341189936</c:v>
                </c:pt>
                <c:pt idx="65">
                  <c:v>750.90075341189936</c:v>
                </c:pt>
                <c:pt idx="66">
                  <c:v>750.90075341189936</c:v>
                </c:pt>
                <c:pt idx="67">
                  <c:v>750.90075341189936</c:v>
                </c:pt>
                <c:pt idx="68">
                  <c:v>750.90075341189936</c:v>
                </c:pt>
                <c:pt idx="69">
                  <c:v>750.90075341189936</c:v>
                </c:pt>
                <c:pt idx="70">
                  <c:v>750.90075341189936</c:v>
                </c:pt>
                <c:pt idx="71">
                  <c:v>750.90075341189936</c:v>
                </c:pt>
                <c:pt idx="72">
                  <c:v>750.90075341189936</c:v>
                </c:pt>
                <c:pt idx="73">
                  <c:v>750.90075341189936</c:v>
                </c:pt>
                <c:pt idx="74">
                  <c:v>750.90075341189936</c:v>
                </c:pt>
                <c:pt idx="75">
                  <c:v>750.90075341189936</c:v>
                </c:pt>
                <c:pt idx="76">
                  <c:v>750.90075341189936</c:v>
                </c:pt>
                <c:pt idx="77">
                  <c:v>750.90075341189936</c:v>
                </c:pt>
                <c:pt idx="78">
                  <c:v>750.90075341189936</c:v>
                </c:pt>
                <c:pt idx="79">
                  <c:v>750.90075341189936</c:v>
                </c:pt>
                <c:pt idx="80">
                  <c:v>750.90075341189936</c:v>
                </c:pt>
                <c:pt idx="81">
                  <c:v>750.90075341189936</c:v>
                </c:pt>
                <c:pt idx="82">
                  <c:v>750.90075341189936</c:v>
                </c:pt>
                <c:pt idx="83">
                  <c:v>750.90075341189936</c:v>
                </c:pt>
                <c:pt idx="84">
                  <c:v>750.90075341189936</c:v>
                </c:pt>
                <c:pt idx="85">
                  <c:v>750.90075341189936</c:v>
                </c:pt>
                <c:pt idx="86">
                  <c:v>750.90075341189936</c:v>
                </c:pt>
                <c:pt idx="87">
                  <c:v>750.90075341189936</c:v>
                </c:pt>
                <c:pt idx="88">
                  <c:v>750.90075341189936</c:v>
                </c:pt>
                <c:pt idx="89">
                  <c:v>750.90075341189936</c:v>
                </c:pt>
                <c:pt idx="90">
                  <c:v>750.90075341189936</c:v>
                </c:pt>
                <c:pt idx="91">
                  <c:v>750.90075341189936</c:v>
                </c:pt>
                <c:pt idx="92">
                  <c:v>750.90075341189936</c:v>
                </c:pt>
                <c:pt idx="93">
                  <c:v>750.90075341189936</c:v>
                </c:pt>
                <c:pt idx="94">
                  <c:v>750.90075341189936</c:v>
                </c:pt>
                <c:pt idx="95">
                  <c:v>750.90075341189936</c:v>
                </c:pt>
                <c:pt idx="96">
                  <c:v>750.90075341189936</c:v>
                </c:pt>
                <c:pt idx="97">
                  <c:v>750.90075341189936</c:v>
                </c:pt>
                <c:pt idx="98">
                  <c:v>750.90075341189936</c:v>
                </c:pt>
                <c:pt idx="99">
                  <c:v>750.90075341189936</c:v>
                </c:pt>
              </c:numCache>
            </c:numRef>
          </c:val>
          <c:smooth val="0"/>
          <c:extLst>
            <c:ext xmlns:c16="http://schemas.microsoft.com/office/drawing/2014/chart" uri="{C3380CC4-5D6E-409C-BE32-E72D297353CC}">
              <c16:uniqueId val="{00000004-F587-4E61-A628-6C94BB3101D5}"/>
            </c:ext>
          </c:extLst>
        </c:ser>
        <c:dLbls>
          <c:showLegendKey val="0"/>
          <c:showVal val="0"/>
          <c:showCatName val="0"/>
          <c:showSerName val="0"/>
          <c:showPercent val="0"/>
          <c:showBubbleSize val="0"/>
        </c:dLbls>
        <c:marker val="1"/>
        <c:smooth val="0"/>
        <c:axId val="844447280"/>
        <c:axId val="844446952"/>
      </c:lineChart>
      <c:dateAx>
        <c:axId val="84444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מאיון</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844446952"/>
        <c:crosses val="autoZero"/>
        <c:auto val="0"/>
        <c:lblOffset val="100"/>
        <c:baseTimeUnit val="days"/>
        <c:majorUnit val="10"/>
        <c:majorTimeUnit val="days"/>
      </c:dateAx>
      <c:valAx>
        <c:axId val="844446952"/>
        <c:scaling>
          <c:orientation val="minMax"/>
          <c:max val="16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b="0" i="0" baseline="0">
                    <a:effectLst/>
                  </a:rPr>
                  <a:t>ש"ח לחודש הוצאה לנפש סטנדרטית</a:t>
                </a:r>
                <a:endParaRPr lang="he-IL" sz="600">
                  <a:effectLst/>
                </a:endParaRPr>
              </a:p>
            </c:rich>
          </c:tx>
          <c:layout>
            <c:manualLayout>
              <c:xMode val="edge"/>
              <c:yMode val="edge"/>
              <c:x val="2.2215786066848004E-2"/>
              <c:y val="0.145823997040412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844447280"/>
        <c:crosses val="autoZero"/>
        <c:crossBetween val="between"/>
      </c:valAx>
      <c:spPr>
        <a:noFill/>
        <a:ln>
          <a:noFill/>
        </a:ln>
        <a:effectLst/>
      </c:spPr>
    </c:plotArea>
    <c:legend>
      <c:legendPos val="b"/>
      <c:layout>
        <c:manualLayout>
          <c:xMode val="edge"/>
          <c:yMode val="edge"/>
          <c:x val="6.9263490293179061E-2"/>
          <c:y val="0.72496854872371053"/>
          <c:w val="0.89747670683159542"/>
          <c:h val="0.256464050515026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C2D6-4875-A7C1-4205317AA456}"/>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C2D6-4875-A7C1-4205317AA456}"/>
            </c:ext>
          </c:extLst>
        </c:ser>
        <c:dLbls>
          <c:showLegendKey val="0"/>
          <c:showVal val="0"/>
          <c:showCatName val="0"/>
          <c:showSerName val="0"/>
          <c:showPercent val="0"/>
          <c:showBubbleSize val="0"/>
        </c:dLbls>
        <c:gapWidth val="50"/>
        <c:overlap val="100"/>
        <c:axId val="699970816"/>
        <c:axId val="699981696"/>
      </c:barChart>
      <c:catAx>
        <c:axId val="6999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981696"/>
        <c:crosses val="autoZero"/>
        <c:auto val="1"/>
        <c:lblAlgn val="ctr"/>
        <c:lblOffset val="100"/>
        <c:noMultiLvlLbl val="0"/>
      </c:catAx>
      <c:valAx>
        <c:axId val="6999816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97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08BAC-DEA1-4050-B3C0-24FD38B42002}" type="doc">
      <dgm:prSet loTypeId="urn:microsoft.com/office/officeart/2005/8/layout/pyramid3" loCatId="pyramid" qsTypeId="urn:microsoft.com/office/officeart/2005/8/quickstyle/simple1" qsCatId="simple" csTypeId="urn:microsoft.com/office/officeart/2005/8/colors/colorful1" csCatId="colorful" phldr="1"/>
      <dgm:spPr/>
    </dgm:pt>
    <dgm:pt modelId="{E242EAA7-C9F1-4EB4-AD3B-83287651BE17}">
      <dgm:prSet phldrT="[Text]" custT="1"/>
      <dgm:spPr/>
      <dgm:t>
        <a:bodyPr/>
        <a:lstStyle/>
        <a:p>
          <a:pPr algn="ctr"/>
          <a:r>
            <a:rPr lang="en-US" sz="900" b="1" dirty="0">
              <a:solidFill>
                <a:schemeClr val="bg1"/>
              </a:solidFill>
            </a:rPr>
            <a:t>Reducing Waste at the Source (Waste Prevention)</a:t>
          </a:r>
          <a:endParaRPr lang="en-US" sz="900" b="1">
            <a:solidFill>
              <a:schemeClr val="bg1"/>
            </a:solidFill>
          </a:endParaRPr>
        </a:p>
      </dgm:t>
    </dgm:pt>
    <dgm:pt modelId="{04D2AF5F-ED3D-4DCA-9C58-7E7008A8C664}" type="parTrans" cxnId="{B813A624-F369-4186-9D80-B8E4DADD9BF8}">
      <dgm:prSet/>
      <dgm:spPr/>
      <dgm:t>
        <a:bodyPr/>
        <a:lstStyle/>
        <a:p>
          <a:pPr algn="ctr"/>
          <a:endParaRPr lang="en-US" sz="500" b="1">
            <a:solidFill>
              <a:schemeClr val="bg1"/>
            </a:solidFill>
          </a:endParaRPr>
        </a:p>
      </dgm:t>
    </dgm:pt>
    <dgm:pt modelId="{229AF8B6-3FA5-412E-88F2-58E87635FA98}" type="sibTrans" cxnId="{B813A624-F369-4186-9D80-B8E4DADD9BF8}">
      <dgm:prSet/>
      <dgm:spPr/>
      <dgm:t>
        <a:bodyPr/>
        <a:lstStyle/>
        <a:p>
          <a:pPr algn="ctr"/>
          <a:endParaRPr lang="en-US" sz="500" b="1">
            <a:solidFill>
              <a:schemeClr val="bg1"/>
            </a:solidFill>
          </a:endParaRPr>
        </a:p>
      </dgm:t>
    </dgm:pt>
    <dgm:pt modelId="{911BF1D5-2431-4874-9FDB-9AAEBB8B54C6}">
      <dgm:prSet phldrT="[Text]" custT="1"/>
      <dgm:spPr/>
      <dgm:t>
        <a:bodyPr/>
        <a:lstStyle/>
        <a:p>
          <a:pPr algn="ctr"/>
          <a:r>
            <a:rPr lang="en-US" sz="900" b="1" dirty="0">
              <a:solidFill>
                <a:schemeClr val="bg1"/>
              </a:solidFill>
            </a:rPr>
            <a:t>Food Rescue and Distribution to the Needy</a:t>
          </a:r>
          <a:endParaRPr lang="he-IL" sz="900" b="1" dirty="0">
            <a:solidFill>
              <a:schemeClr val="bg1"/>
            </a:solidFill>
          </a:endParaRPr>
        </a:p>
      </dgm:t>
    </dgm:pt>
    <dgm:pt modelId="{853617D8-6216-415E-A395-6DA5C2DC1428}" type="parTrans" cxnId="{0A2E4EAA-E093-4ED9-9A3D-67A270BA1C73}">
      <dgm:prSet/>
      <dgm:spPr/>
      <dgm:t>
        <a:bodyPr/>
        <a:lstStyle/>
        <a:p>
          <a:pPr algn="ctr"/>
          <a:endParaRPr lang="en-US" sz="500" b="1">
            <a:solidFill>
              <a:schemeClr val="bg1"/>
            </a:solidFill>
          </a:endParaRPr>
        </a:p>
      </dgm:t>
    </dgm:pt>
    <dgm:pt modelId="{C771EC9B-C836-4AEF-A786-E43231E673E8}" type="sibTrans" cxnId="{0A2E4EAA-E093-4ED9-9A3D-67A270BA1C73}">
      <dgm:prSet/>
      <dgm:spPr/>
      <dgm:t>
        <a:bodyPr/>
        <a:lstStyle/>
        <a:p>
          <a:pPr algn="ctr"/>
          <a:endParaRPr lang="en-US" sz="500" b="1">
            <a:solidFill>
              <a:schemeClr val="bg1"/>
            </a:solidFill>
          </a:endParaRPr>
        </a:p>
      </dgm:t>
    </dgm:pt>
    <dgm:pt modelId="{E3411DB5-BDC8-44FF-9937-22B2B546ABD4}">
      <dgm:prSet phldrT="[Text]" custT="1"/>
      <dgm:spPr/>
      <dgm:t>
        <a:bodyPr/>
        <a:lstStyle/>
        <a:p>
          <a:pPr algn="ctr"/>
          <a:r>
            <a:rPr lang="en-US" sz="900" b="1" dirty="0">
              <a:solidFill>
                <a:schemeClr val="bg1"/>
              </a:solidFill>
            </a:rPr>
            <a:t>Feeding Animals</a:t>
          </a:r>
        </a:p>
      </dgm:t>
    </dgm:pt>
    <dgm:pt modelId="{32174190-4E9A-4E4E-A487-915FD48AF67A}" type="parTrans" cxnId="{56CB2FD6-4629-4A65-BADF-47C2B1CB2536}">
      <dgm:prSet/>
      <dgm:spPr/>
      <dgm:t>
        <a:bodyPr/>
        <a:lstStyle/>
        <a:p>
          <a:pPr algn="ctr"/>
          <a:endParaRPr lang="en-US" sz="500" b="1">
            <a:solidFill>
              <a:schemeClr val="bg1"/>
            </a:solidFill>
          </a:endParaRPr>
        </a:p>
      </dgm:t>
    </dgm:pt>
    <dgm:pt modelId="{1B4CC80B-874D-48F1-B291-9E2B1E46B2C6}" type="sibTrans" cxnId="{56CB2FD6-4629-4A65-BADF-47C2B1CB2536}">
      <dgm:prSet/>
      <dgm:spPr/>
      <dgm:t>
        <a:bodyPr/>
        <a:lstStyle/>
        <a:p>
          <a:pPr algn="ctr"/>
          <a:endParaRPr lang="en-US" sz="500" b="1">
            <a:solidFill>
              <a:schemeClr val="bg1"/>
            </a:solidFill>
          </a:endParaRPr>
        </a:p>
      </dgm:t>
    </dgm:pt>
    <dgm:pt modelId="{23C1A5B0-2972-4315-8C4A-C55C21FAD6F0}">
      <dgm:prSet phldrT="[Text]" custT="1"/>
      <dgm:spPr/>
      <dgm:t>
        <a:bodyPr anchor="t" anchorCtr="0"/>
        <a:lstStyle/>
        <a:p>
          <a:pPr algn="ctr"/>
          <a:r>
            <a:rPr lang="en-US" sz="900" b="1" dirty="0">
              <a:solidFill>
                <a:schemeClr val="bg1"/>
              </a:solidFill>
            </a:rPr>
            <a:t>Landfill</a:t>
          </a:r>
        </a:p>
      </dgm:t>
    </dgm:pt>
    <dgm:pt modelId="{B1660CD8-4241-4961-BC02-E979918983B0}" type="parTrans" cxnId="{97464FA4-5B50-4C73-BA3C-CE2F2C655732}">
      <dgm:prSet/>
      <dgm:spPr/>
      <dgm:t>
        <a:bodyPr/>
        <a:lstStyle/>
        <a:p>
          <a:pPr algn="ctr"/>
          <a:endParaRPr lang="en-US" sz="500" b="1">
            <a:solidFill>
              <a:schemeClr val="bg1"/>
            </a:solidFill>
          </a:endParaRPr>
        </a:p>
      </dgm:t>
    </dgm:pt>
    <dgm:pt modelId="{0C987377-CDDC-4DA0-A8A9-E89283545E4D}" type="sibTrans" cxnId="{97464FA4-5B50-4C73-BA3C-CE2F2C655732}">
      <dgm:prSet/>
      <dgm:spPr/>
      <dgm:t>
        <a:bodyPr/>
        <a:lstStyle/>
        <a:p>
          <a:pPr algn="ctr"/>
          <a:endParaRPr lang="en-US" sz="500" b="1">
            <a:solidFill>
              <a:schemeClr val="bg1"/>
            </a:solidFill>
          </a:endParaRPr>
        </a:p>
      </dgm:t>
    </dgm:pt>
    <dgm:pt modelId="{D0429E87-33DA-48A2-BC0C-3EF9AB2BA6BC}">
      <dgm:prSet phldrT="[Text]" custT="1"/>
      <dgm:spPr/>
      <dgm:t>
        <a:bodyPr/>
        <a:lstStyle/>
        <a:p>
          <a:pPr algn="ctr"/>
          <a:r>
            <a:rPr lang="en-US" sz="900" b="1" dirty="0">
              <a:solidFill>
                <a:schemeClr val="bg1"/>
              </a:solidFill>
            </a:rPr>
            <a:t>Industrial Uses</a:t>
          </a:r>
        </a:p>
      </dgm:t>
    </dgm:pt>
    <dgm:pt modelId="{B8165743-2396-48DB-B7EB-ECFB1EB440BB}" type="parTrans" cxnId="{9C97E746-9495-4800-9062-AA428C1A4EAE}">
      <dgm:prSet/>
      <dgm:spPr/>
      <dgm:t>
        <a:bodyPr/>
        <a:lstStyle/>
        <a:p>
          <a:pPr algn="ctr"/>
          <a:endParaRPr lang="en-US" sz="500" b="1">
            <a:solidFill>
              <a:schemeClr val="bg1"/>
            </a:solidFill>
          </a:endParaRPr>
        </a:p>
      </dgm:t>
    </dgm:pt>
    <dgm:pt modelId="{C879FD49-8E77-4E87-9741-4D54F79EEEE0}" type="sibTrans" cxnId="{9C97E746-9495-4800-9062-AA428C1A4EAE}">
      <dgm:prSet/>
      <dgm:spPr/>
      <dgm:t>
        <a:bodyPr/>
        <a:lstStyle/>
        <a:p>
          <a:pPr algn="ctr"/>
          <a:endParaRPr lang="en-US" sz="500" b="1">
            <a:solidFill>
              <a:schemeClr val="bg1"/>
            </a:solidFill>
          </a:endParaRPr>
        </a:p>
      </dgm:t>
    </dgm:pt>
    <dgm:pt modelId="{451654A1-14C8-4492-B7E1-C41E922EF13E}">
      <dgm:prSet phldrT="[Text]" custT="1"/>
      <dgm:spPr/>
      <dgm:t>
        <a:bodyPr/>
        <a:lstStyle/>
        <a:p>
          <a:pPr algn="ctr"/>
          <a:r>
            <a:rPr lang="en-US" sz="900" b="1" dirty="0" err="1">
              <a:solidFill>
                <a:schemeClr val="bg1"/>
              </a:solidFill>
            </a:rPr>
            <a:t>Composting</a:t>
          </a:r>
        </a:p>
        <a:p>
          <a:pPr algn="ctr"/>
          <a:r>
            <a:rPr lang="en-US" sz="900" b="1" dirty="0" err="1">
              <a:solidFill>
                <a:schemeClr val="bg1"/>
              </a:solidFill>
            </a:rPr>
            <a:t>(Recycling)</a:t>
          </a:r>
          <a:endParaRPr lang="en-US" sz="900" b="1" dirty="0">
            <a:solidFill>
              <a:schemeClr val="bg1"/>
            </a:solidFill>
          </a:endParaRPr>
        </a:p>
      </dgm:t>
    </dgm:pt>
    <dgm:pt modelId="{0BCC5F8C-EB0D-4E80-ACCB-BC89BA6DB840}" type="parTrans" cxnId="{64759165-2287-4794-AF7F-B51F7DEA8F28}">
      <dgm:prSet/>
      <dgm:spPr/>
      <dgm:t>
        <a:bodyPr/>
        <a:lstStyle/>
        <a:p>
          <a:pPr algn="ctr"/>
          <a:endParaRPr lang="en-US" sz="500" b="1">
            <a:solidFill>
              <a:schemeClr val="bg1"/>
            </a:solidFill>
          </a:endParaRPr>
        </a:p>
      </dgm:t>
    </dgm:pt>
    <dgm:pt modelId="{6FA063DC-4C16-44BE-8052-AF50291774A3}" type="sibTrans" cxnId="{64759165-2287-4794-AF7F-B51F7DEA8F28}">
      <dgm:prSet/>
      <dgm:spPr/>
      <dgm:t>
        <a:bodyPr/>
        <a:lstStyle/>
        <a:p>
          <a:pPr algn="ctr"/>
          <a:endParaRPr lang="en-US" sz="500" b="1">
            <a:solidFill>
              <a:schemeClr val="bg1"/>
            </a:solidFill>
          </a:endParaRPr>
        </a:p>
      </dgm:t>
    </dgm:pt>
    <dgm:pt modelId="{8E6A6CFF-FFB2-4069-8975-FCEE7241DE13}" type="pres">
      <dgm:prSet presAssocID="{A1008BAC-DEA1-4050-B3C0-24FD38B42002}" presName="Name0" presStyleCnt="0">
        <dgm:presLayoutVars>
          <dgm:dir/>
          <dgm:animLvl val="lvl"/>
          <dgm:resizeHandles val="exact"/>
        </dgm:presLayoutVars>
      </dgm:prSet>
      <dgm:spPr/>
    </dgm:pt>
    <dgm:pt modelId="{BC0A18C8-5ADD-4E08-BF70-321FEAADA22E}" type="pres">
      <dgm:prSet presAssocID="{E242EAA7-C9F1-4EB4-AD3B-83287651BE17}" presName="Name8" presStyleCnt="0"/>
      <dgm:spPr/>
    </dgm:pt>
    <dgm:pt modelId="{4711E2AA-6502-4428-B464-4AA6CEDCB811}" type="pres">
      <dgm:prSet presAssocID="{E242EAA7-C9F1-4EB4-AD3B-83287651BE17}" presName="level" presStyleLbl="node1" presStyleIdx="0" presStyleCnt="6" custLinFactNeighborX="13152" custLinFactNeighborY="-55396">
        <dgm:presLayoutVars>
          <dgm:chMax val="1"/>
          <dgm:bulletEnabled val="1"/>
        </dgm:presLayoutVars>
      </dgm:prSet>
      <dgm:spPr/>
    </dgm:pt>
    <dgm:pt modelId="{F759B90F-F38F-471F-830B-C7D72B983C30}" type="pres">
      <dgm:prSet presAssocID="{E242EAA7-C9F1-4EB4-AD3B-83287651BE17}" presName="levelTx" presStyleLbl="revTx" presStyleIdx="0" presStyleCnt="0">
        <dgm:presLayoutVars>
          <dgm:chMax val="1"/>
          <dgm:bulletEnabled val="1"/>
        </dgm:presLayoutVars>
      </dgm:prSet>
      <dgm:spPr/>
    </dgm:pt>
    <dgm:pt modelId="{0E45C00C-02D7-4CD0-B806-3B6E7BE24292}" type="pres">
      <dgm:prSet presAssocID="{911BF1D5-2431-4874-9FDB-9AAEBB8B54C6}" presName="Name8" presStyleCnt="0"/>
      <dgm:spPr/>
    </dgm:pt>
    <dgm:pt modelId="{E0067D36-C136-46D3-9780-4214DCD4D04D}" type="pres">
      <dgm:prSet presAssocID="{911BF1D5-2431-4874-9FDB-9AAEBB8B54C6}" presName="level" presStyleLbl="node1" presStyleIdx="1" presStyleCnt="6">
        <dgm:presLayoutVars>
          <dgm:chMax val="1"/>
          <dgm:bulletEnabled val="1"/>
        </dgm:presLayoutVars>
      </dgm:prSet>
      <dgm:spPr/>
    </dgm:pt>
    <dgm:pt modelId="{FC250383-54BE-4D05-BBA5-35BF8167A38D}" type="pres">
      <dgm:prSet presAssocID="{911BF1D5-2431-4874-9FDB-9AAEBB8B54C6}" presName="levelTx" presStyleLbl="revTx" presStyleIdx="0" presStyleCnt="0">
        <dgm:presLayoutVars>
          <dgm:chMax val="1"/>
          <dgm:bulletEnabled val="1"/>
        </dgm:presLayoutVars>
      </dgm:prSet>
      <dgm:spPr/>
    </dgm:pt>
    <dgm:pt modelId="{695F65C8-BC0D-47C1-B151-D5C4F2C3EEF3}" type="pres">
      <dgm:prSet presAssocID="{E3411DB5-BDC8-44FF-9937-22B2B546ABD4}" presName="Name8" presStyleCnt="0"/>
      <dgm:spPr/>
    </dgm:pt>
    <dgm:pt modelId="{E132F4BE-2A78-43A7-B51E-DE86B6726D97}" type="pres">
      <dgm:prSet presAssocID="{E3411DB5-BDC8-44FF-9937-22B2B546ABD4}" presName="level" presStyleLbl="node1" presStyleIdx="2" presStyleCnt="6">
        <dgm:presLayoutVars>
          <dgm:chMax val="1"/>
          <dgm:bulletEnabled val="1"/>
        </dgm:presLayoutVars>
      </dgm:prSet>
      <dgm:spPr/>
    </dgm:pt>
    <dgm:pt modelId="{6FBA4E20-6A79-4B6C-80B7-C936A031852E}" type="pres">
      <dgm:prSet presAssocID="{E3411DB5-BDC8-44FF-9937-22B2B546ABD4}" presName="levelTx" presStyleLbl="revTx" presStyleIdx="0" presStyleCnt="0">
        <dgm:presLayoutVars>
          <dgm:chMax val="1"/>
          <dgm:bulletEnabled val="1"/>
        </dgm:presLayoutVars>
      </dgm:prSet>
      <dgm:spPr/>
    </dgm:pt>
    <dgm:pt modelId="{D71499DA-01AC-481A-80F6-0F3DABB23739}" type="pres">
      <dgm:prSet presAssocID="{D0429E87-33DA-48A2-BC0C-3EF9AB2BA6BC}" presName="Name8" presStyleCnt="0"/>
      <dgm:spPr/>
    </dgm:pt>
    <dgm:pt modelId="{4B6192B8-8F25-431C-B310-870798F4F1AB}" type="pres">
      <dgm:prSet presAssocID="{D0429E87-33DA-48A2-BC0C-3EF9AB2BA6BC}" presName="level" presStyleLbl="node1" presStyleIdx="3" presStyleCnt="6">
        <dgm:presLayoutVars>
          <dgm:chMax val="1"/>
          <dgm:bulletEnabled val="1"/>
        </dgm:presLayoutVars>
      </dgm:prSet>
      <dgm:spPr/>
    </dgm:pt>
    <dgm:pt modelId="{6EE2C742-345B-4FE6-B42E-CC81EEA22F3A}" type="pres">
      <dgm:prSet presAssocID="{D0429E87-33DA-48A2-BC0C-3EF9AB2BA6BC}" presName="levelTx" presStyleLbl="revTx" presStyleIdx="0" presStyleCnt="0">
        <dgm:presLayoutVars>
          <dgm:chMax val="1"/>
          <dgm:bulletEnabled val="1"/>
        </dgm:presLayoutVars>
      </dgm:prSet>
      <dgm:spPr/>
    </dgm:pt>
    <dgm:pt modelId="{B002974A-F648-4D64-8D01-F3F43ACFE13A}" type="pres">
      <dgm:prSet presAssocID="{451654A1-14C8-4492-B7E1-C41E922EF13E}" presName="Name8" presStyleCnt="0"/>
      <dgm:spPr/>
    </dgm:pt>
    <dgm:pt modelId="{F9B830F2-48A3-4B05-A518-732F29A73CFE}" type="pres">
      <dgm:prSet presAssocID="{451654A1-14C8-4492-B7E1-C41E922EF13E}" presName="level" presStyleLbl="node1" presStyleIdx="4" presStyleCnt="6" custLinFactNeighborX="1809" custLinFactNeighborY="-1901">
        <dgm:presLayoutVars>
          <dgm:chMax val="1"/>
          <dgm:bulletEnabled val="1"/>
        </dgm:presLayoutVars>
      </dgm:prSet>
      <dgm:spPr/>
    </dgm:pt>
    <dgm:pt modelId="{983D5319-420D-44C5-9EEE-556A6D5250EE}" type="pres">
      <dgm:prSet presAssocID="{451654A1-14C8-4492-B7E1-C41E922EF13E}" presName="levelTx" presStyleLbl="revTx" presStyleIdx="0" presStyleCnt="0">
        <dgm:presLayoutVars>
          <dgm:chMax val="1"/>
          <dgm:bulletEnabled val="1"/>
        </dgm:presLayoutVars>
      </dgm:prSet>
      <dgm:spPr/>
    </dgm:pt>
    <dgm:pt modelId="{8DAF777B-CE39-48E6-A24A-90A12B60F2FE}" type="pres">
      <dgm:prSet presAssocID="{23C1A5B0-2972-4315-8C4A-C55C21FAD6F0}" presName="Name8" presStyleCnt="0"/>
      <dgm:spPr/>
    </dgm:pt>
    <dgm:pt modelId="{3E4794DE-7FB5-4B0D-9F8B-1D4BE895F26A}" type="pres">
      <dgm:prSet presAssocID="{23C1A5B0-2972-4315-8C4A-C55C21FAD6F0}" presName="level" presStyleLbl="node1" presStyleIdx="5" presStyleCnt="6">
        <dgm:presLayoutVars>
          <dgm:chMax val="1"/>
          <dgm:bulletEnabled val="1"/>
        </dgm:presLayoutVars>
      </dgm:prSet>
      <dgm:spPr/>
    </dgm:pt>
    <dgm:pt modelId="{6EDF1460-8247-434A-961C-90F80C1BD4D0}" type="pres">
      <dgm:prSet presAssocID="{23C1A5B0-2972-4315-8C4A-C55C21FAD6F0}" presName="levelTx" presStyleLbl="revTx" presStyleIdx="0" presStyleCnt="0">
        <dgm:presLayoutVars>
          <dgm:chMax val="1"/>
          <dgm:bulletEnabled val="1"/>
        </dgm:presLayoutVars>
      </dgm:prSet>
      <dgm:spPr/>
    </dgm:pt>
  </dgm:ptLst>
  <dgm:cxnLst>
    <dgm:cxn modelId="{BE4CA10A-AA72-4732-A027-490A9BB181B8}" type="presOf" srcId="{911BF1D5-2431-4874-9FDB-9AAEBB8B54C6}" destId="{E0067D36-C136-46D3-9780-4214DCD4D04D}" srcOrd="0" destOrd="0" presId="urn:microsoft.com/office/officeart/2005/8/layout/pyramid3"/>
    <dgm:cxn modelId="{5C5FDE19-9D87-460C-901D-269862645341}" type="presOf" srcId="{E3411DB5-BDC8-44FF-9937-22B2B546ABD4}" destId="{E132F4BE-2A78-43A7-B51E-DE86B6726D97}" srcOrd="0" destOrd="0" presId="urn:microsoft.com/office/officeart/2005/8/layout/pyramid3"/>
    <dgm:cxn modelId="{B813A624-F369-4186-9D80-B8E4DADD9BF8}" srcId="{A1008BAC-DEA1-4050-B3C0-24FD38B42002}" destId="{E242EAA7-C9F1-4EB4-AD3B-83287651BE17}" srcOrd="0" destOrd="0" parTransId="{04D2AF5F-ED3D-4DCA-9C58-7E7008A8C664}" sibTransId="{229AF8B6-3FA5-412E-88F2-58E87635FA98}"/>
    <dgm:cxn modelId="{41012E2B-031C-498F-A045-6FA5D77D3727}" type="presOf" srcId="{E3411DB5-BDC8-44FF-9937-22B2B546ABD4}" destId="{6FBA4E20-6A79-4B6C-80B7-C936A031852E}" srcOrd="1" destOrd="0" presId="urn:microsoft.com/office/officeart/2005/8/layout/pyramid3"/>
    <dgm:cxn modelId="{64759165-2287-4794-AF7F-B51F7DEA8F28}" srcId="{A1008BAC-DEA1-4050-B3C0-24FD38B42002}" destId="{451654A1-14C8-4492-B7E1-C41E922EF13E}" srcOrd="4" destOrd="0" parTransId="{0BCC5F8C-EB0D-4E80-ACCB-BC89BA6DB840}" sibTransId="{6FA063DC-4C16-44BE-8052-AF50291774A3}"/>
    <dgm:cxn modelId="{9C97E746-9495-4800-9062-AA428C1A4EAE}" srcId="{A1008BAC-DEA1-4050-B3C0-24FD38B42002}" destId="{D0429E87-33DA-48A2-BC0C-3EF9AB2BA6BC}" srcOrd="3" destOrd="0" parTransId="{B8165743-2396-48DB-B7EB-ECFB1EB440BB}" sibTransId="{C879FD49-8E77-4E87-9741-4D54F79EEEE0}"/>
    <dgm:cxn modelId="{B4760255-0CA5-4043-9DDB-561D58C04905}" type="presOf" srcId="{E242EAA7-C9F1-4EB4-AD3B-83287651BE17}" destId="{4711E2AA-6502-4428-B464-4AA6CEDCB811}" srcOrd="0" destOrd="0" presId="urn:microsoft.com/office/officeart/2005/8/layout/pyramid3"/>
    <dgm:cxn modelId="{86382E79-A75F-44D1-A203-0FAD1B03D989}" type="presOf" srcId="{451654A1-14C8-4492-B7E1-C41E922EF13E}" destId="{F9B830F2-48A3-4B05-A518-732F29A73CFE}" srcOrd="0" destOrd="0" presId="urn:microsoft.com/office/officeart/2005/8/layout/pyramid3"/>
    <dgm:cxn modelId="{2AB4C77C-9588-4D1A-8A07-C5DA440A4751}" type="presOf" srcId="{D0429E87-33DA-48A2-BC0C-3EF9AB2BA6BC}" destId="{4B6192B8-8F25-431C-B310-870798F4F1AB}" srcOrd="0" destOrd="0" presId="urn:microsoft.com/office/officeart/2005/8/layout/pyramid3"/>
    <dgm:cxn modelId="{3B7D8890-0E01-450F-8803-DF2ED8127386}" type="presOf" srcId="{D0429E87-33DA-48A2-BC0C-3EF9AB2BA6BC}" destId="{6EE2C742-345B-4FE6-B42E-CC81EEA22F3A}" srcOrd="1" destOrd="0" presId="urn:microsoft.com/office/officeart/2005/8/layout/pyramid3"/>
    <dgm:cxn modelId="{97464FA4-5B50-4C73-BA3C-CE2F2C655732}" srcId="{A1008BAC-DEA1-4050-B3C0-24FD38B42002}" destId="{23C1A5B0-2972-4315-8C4A-C55C21FAD6F0}" srcOrd="5" destOrd="0" parTransId="{B1660CD8-4241-4961-BC02-E979918983B0}" sibTransId="{0C987377-CDDC-4DA0-A8A9-E89283545E4D}"/>
    <dgm:cxn modelId="{0A2E4EAA-E093-4ED9-9A3D-67A270BA1C73}" srcId="{A1008BAC-DEA1-4050-B3C0-24FD38B42002}" destId="{911BF1D5-2431-4874-9FDB-9AAEBB8B54C6}" srcOrd="1" destOrd="0" parTransId="{853617D8-6216-415E-A395-6DA5C2DC1428}" sibTransId="{C771EC9B-C836-4AEF-A786-E43231E673E8}"/>
    <dgm:cxn modelId="{B7A2A9AD-4721-462E-838F-A306DB6F1D37}" type="presOf" srcId="{911BF1D5-2431-4874-9FDB-9AAEBB8B54C6}" destId="{FC250383-54BE-4D05-BBA5-35BF8167A38D}" srcOrd="1" destOrd="0" presId="urn:microsoft.com/office/officeart/2005/8/layout/pyramid3"/>
    <dgm:cxn modelId="{00D014C7-3A0D-4A59-8922-E093E527F451}" type="presOf" srcId="{E242EAA7-C9F1-4EB4-AD3B-83287651BE17}" destId="{F759B90F-F38F-471F-830B-C7D72B983C30}" srcOrd="1" destOrd="0" presId="urn:microsoft.com/office/officeart/2005/8/layout/pyramid3"/>
    <dgm:cxn modelId="{56CB2FD6-4629-4A65-BADF-47C2B1CB2536}" srcId="{A1008BAC-DEA1-4050-B3C0-24FD38B42002}" destId="{E3411DB5-BDC8-44FF-9937-22B2B546ABD4}" srcOrd="2" destOrd="0" parTransId="{32174190-4E9A-4E4E-A487-915FD48AF67A}" sibTransId="{1B4CC80B-874D-48F1-B291-9E2B1E46B2C6}"/>
    <dgm:cxn modelId="{EEF2B7D6-BE2A-46A0-9474-266E0FC2F2A8}" type="presOf" srcId="{451654A1-14C8-4492-B7E1-C41E922EF13E}" destId="{983D5319-420D-44C5-9EEE-556A6D5250EE}" srcOrd="1" destOrd="0" presId="urn:microsoft.com/office/officeart/2005/8/layout/pyramid3"/>
    <dgm:cxn modelId="{80049BD9-157F-496C-ADA8-9F341A86B6EC}" type="presOf" srcId="{23C1A5B0-2972-4315-8C4A-C55C21FAD6F0}" destId="{3E4794DE-7FB5-4B0D-9F8B-1D4BE895F26A}" srcOrd="0" destOrd="0" presId="urn:microsoft.com/office/officeart/2005/8/layout/pyramid3"/>
    <dgm:cxn modelId="{82572AEC-AB3C-4250-BC84-661286A71FF2}" type="presOf" srcId="{23C1A5B0-2972-4315-8C4A-C55C21FAD6F0}" destId="{6EDF1460-8247-434A-961C-90F80C1BD4D0}" srcOrd="1" destOrd="0" presId="urn:microsoft.com/office/officeart/2005/8/layout/pyramid3"/>
    <dgm:cxn modelId="{67ADE9F0-93D5-43C9-8B5A-6B388A9E7E4D}" type="presOf" srcId="{A1008BAC-DEA1-4050-B3C0-24FD38B42002}" destId="{8E6A6CFF-FFB2-4069-8975-FCEE7241DE13}" srcOrd="0" destOrd="0" presId="urn:microsoft.com/office/officeart/2005/8/layout/pyramid3"/>
    <dgm:cxn modelId="{0BBC80F6-D8E4-4536-95AA-ABA1C0A6C74D}" type="presParOf" srcId="{8E6A6CFF-FFB2-4069-8975-FCEE7241DE13}" destId="{BC0A18C8-5ADD-4E08-BF70-321FEAADA22E}" srcOrd="0" destOrd="0" presId="urn:microsoft.com/office/officeart/2005/8/layout/pyramid3"/>
    <dgm:cxn modelId="{4CD1E75A-00E4-4AA1-958C-3D17326B8116}" type="presParOf" srcId="{BC0A18C8-5ADD-4E08-BF70-321FEAADA22E}" destId="{4711E2AA-6502-4428-B464-4AA6CEDCB811}" srcOrd="0" destOrd="0" presId="urn:microsoft.com/office/officeart/2005/8/layout/pyramid3"/>
    <dgm:cxn modelId="{25DE1714-6324-4721-ACB5-15A74F33E558}" type="presParOf" srcId="{BC0A18C8-5ADD-4E08-BF70-321FEAADA22E}" destId="{F759B90F-F38F-471F-830B-C7D72B983C30}" srcOrd="1" destOrd="0" presId="urn:microsoft.com/office/officeart/2005/8/layout/pyramid3"/>
    <dgm:cxn modelId="{B5F2F469-9DF4-4D9D-B9D7-A630EA3AC19C}" type="presParOf" srcId="{8E6A6CFF-FFB2-4069-8975-FCEE7241DE13}" destId="{0E45C00C-02D7-4CD0-B806-3B6E7BE24292}" srcOrd="1" destOrd="0" presId="urn:microsoft.com/office/officeart/2005/8/layout/pyramid3"/>
    <dgm:cxn modelId="{0C524B2F-2EF6-42D8-BA84-C5EC83C701C8}" type="presParOf" srcId="{0E45C00C-02D7-4CD0-B806-3B6E7BE24292}" destId="{E0067D36-C136-46D3-9780-4214DCD4D04D}" srcOrd="0" destOrd="0" presId="urn:microsoft.com/office/officeart/2005/8/layout/pyramid3"/>
    <dgm:cxn modelId="{39280D28-AA38-4198-8CEE-E1254200B195}" type="presParOf" srcId="{0E45C00C-02D7-4CD0-B806-3B6E7BE24292}" destId="{FC250383-54BE-4D05-BBA5-35BF8167A38D}" srcOrd="1" destOrd="0" presId="urn:microsoft.com/office/officeart/2005/8/layout/pyramid3"/>
    <dgm:cxn modelId="{0403B9FA-60D3-41C9-8A34-84588773DCCB}" type="presParOf" srcId="{8E6A6CFF-FFB2-4069-8975-FCEE7241DE13}" destId="{695F65C8-BC0D-47C1-B151-D5C4F2C3EEF3}" srcOrd="2" destOrd="0" presId="urn:microsoft.com/office/officeart/2005/8/layout/pyramid3"/>
    <dgm:cxn modelId="{F8CCBEFC-3D42-4FC5-9C94-A434BBEFD003}" type="presParOf" srcId="{695F65C8-BC0D-47C1-B151-D5C4F2C3EEF3}" destId="{E132F4BE-2A78-43A7-B51E-DE86B6726D97}" srcOrd="0" destOrd="0" presId="urn:microsoft.com/office/officeart/2005/8/layout/pyramid3"/>
    <dgm:cxn modelId="{94831213-FAEC-417F-A342-0C8D2F32CC1C}" type="presParOf" srcId="{695F65C8-BC0D-47C1-B151-D5C4F2C3EEF3}" destId="{6FBA4E20-6A79-4B6C-80B7-C936A031852E}" srcOrd="1" destOrd="0" presId="urn:microsoft.com/office/officeart/2005/8/layout/pyramid3"/>
    <dgm:cxn modelId="{69F2F81F-B8BB-4610-9D71-DF6840D4E501}" type="presParOf" srcId="{8E6A6CFF-FFB2-4069-8975-FCEE7241DE13}" destId="{D71499DA-01AC-481A-80F6-0F3DABB23739}" srcOrd="3" destOrd="0" presId="urn:microsoft.com/office/officeart/2005/8/layout/pyramid3"/>
    <dgm:cxn modelId="{5AF1C6A4-D911-4EBD-8B0B-B4C3A27BF6B3}" type="presParOf" srcId="{D71499DA-01AC-481A-80F6-0F3DABB23739}" destId="{4B6192B8-8F25-431C-B310-870798F4F1AB}" srcOrd="0" destOrd="0" presId="urn:microsoft.com/office/officeart/2005/8/layout/pyramid3"/>
    <dgm:cxn modelId="{55B1372C-1392-47D8-AB35-54D807786454}" type="presParOf" srcId="{D71499DA-01AC-481A-80F6-0F3DABB23739}" destId="{6EE2C742-345B-4FE6-B42E-CC81EEA22F3A}" srcOrd="1" destOrd="0" presId="urn:microsoft.com/office/officeart/2005/8/layout/pyramid3"/>
    <dgm:cxn modelId="{5B4D0C89-DB50-44BB-8897-FEC6D0350AB3}" type="presParOf" srcId="{8E6A6CFF-FFB2-4069-8975-FCEE7241DE13}" destId="{B002974A-F648-4D64-8D01-F3F43ACFE13A}" srcOrd="4" destOrd="0" presId="urn:microsoft.com/office/officeart/2005/8/layout/pyramid3"/>
    <dgm:cxn modelId="{153A1D31-0259-42CE-85E9-A7033B1C148D}" type="presParOf" srcId="{B002974A-F648-4D64-8D01-F3F43ACFE13A}" destId="{F9B830F2-48A3-4B05-A518-732F29A73CFE}" srcOrd="0" destOrd="0" presId="urn:microsoft.com/office/officeart/2005/8/layout/pyramid3"/>
    <dgm:cxn modelId="{86AAD25F-6088-42E2-8FE1-78D5002364B3}" type="presParOf" srcId="{B002974A-F648-4D64-8D01-F3F43ACFE13A}" destId="{983D5319-420D-44C5-9EEE-556A6D5250EE}" srcOrd="1" destOrd="0" presId="urn:microsoft.com/office/officeart/2005/8/layout/pyramid3"/>
    <dgm:cxn modelId="{BE7D9D1F-AD62-41DA-BA1B-19DFF7117F53}" type="presParOf" srcId="{8E6A6CFF-FFB2-4069-8975-FCEE7241DE13}" destId="{8DAF777B-CE39-48E6-A24A-90A12B60F2FE}" srcOrd="5" destOrd="0" presId="urn:microsoft.com/office/officeart/2005/8/layout/pyramid3"/>
    <dgm:cxn modelId="{880D25AF-B52B-40CE-9B07-935D1BEACEEE}" type="presParOf" srcId="{8DAF777B-CE39-48E6-A24A-90A12B60F2FE}" destId="{3E4794DE-7FB5-4B0D-9F8B-1D4BE895F26A}" srcOrd="0" destOrd="0" presId="urn:microsoft.com/office/officeart/2005/8/layout/pyramid3"/>
    <dgm:cxn modelId="{CB24F2A1-E933-47C5-B85F-7F6458457C08}" type="presParOf" srcId="{8DAF777B-CE39-48E6-A24A-90A12B60F2FE}" destId="{6EDF1460-8247-434A-961C-90F80C1BD4D0}"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11E2AA-6502-4428-B464-4AA6CEDCB811}">
      <dsp:nvSpPr>
        <dsp:cNvPr id="0" name=""/>
        <dsp:cNvSpPr/>
      </dsp:nvSpPr>
      <dsp:spPr>
        <a:xfrm rot="10800000">
          <a:off x="0" y="0"/>
          <a:ext cx="4211319" cy="365760"/>
        </a:xfrm>
        <a:prstGeom prst="trapezoid">
          <a:avLst>
            <a:gd name="adj" fmla="val 95949"/>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bg1"/>
              </a:solidFill>
            </a:rPr>
            <a:t>Reducing Waste at the Source (Waste Prevention)</a:t>
          </a:r>
          <a:endParaRPr lang="en-US" sz="900" b="1" kern="1200">
            <a:solidFill>
              <a:schemeClr val="bg1"/>
            </a:solidFill>
          </a:endParaRPr>
        </a:p>
      </dsp:txBody>
      <dsp:txXfrm rot="-10800000">
        <a:off x="736980" y="0"/>
        <a:ext cx="2737358" cy="365760"/>
      </dsp:txXfrm>
    </dsp:sp>
    <dsp:sp modelId="{E0067D36-C136-46D3-9780-4214DCD4D04D}">
      <dsp:nvSpPr>
        <dsp:cNvPr id="0" name=""/>
        <dsp:cNvSpPr/>
      </dsp:nvSpPr>
      <dsp:spPr>
        <a:xfrm rot="10800000">
          <a:off x="350943" y="365760"/>
          <a:ext cx="3509433" cy="365760"/>
        </a:xfrm>
        <a:prstGeom prst="trapezoid">
          <a:avLst>
            <a:gd name="adj" fmla="val 95949"/>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bg1"/>
              </a:solidFill>
            </a:rPr>
            <a:t>Food Rescue and Distribution to the Needy</a:t>
          </a:r>
          <a:endParaRPr lang="he-IL" sz="900" b="1" kern="1200" dirty="0">
            <a:solidFill>
              <a:schemeClr val="bg1"/>
            </a:solidFill>
          </a:endParaRPr>
        </a:p>
      </dsp:txBody>
      <dsp:txXfrm rot="-10800000">
        <a:off x="965094" y="365760"/>
        <a:ext cx="2281131" cy="365760"/>
      </dsp:txXfrm>
    </dsp:sp>
    <dsp:sp modelId="{E132F4BE-2A78-43A7-B51E-DE86B6726D97}">
      <dsp:nvSpPr>
        <dsp:cNvPr id="0" name=""/>
        <dsp:cNvSpPr/>
      </dsp:nvSpPr>
      <dsp:spPr>
        <a:xfrm rot="10800000">
          <a:off x="701886" y="731520"/>
          <a:ext cx="2807546" cy="365760"/>
        </a:xfrm>
        <a:prstGeom prst="trapezoid">
          <a:avLst>
            <a:gd name="adj" fmla="val 95949"/>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bg1"/>
              </a:solidFill>
            </a:rPr>
            <a:t>Feeding Animals</a:t>
          </a:r>
        </a:p>
      </dsp:txBody>
      <dsp:txXfrm rot="-10800000">
        <a:off x="1193207" y="731520"/>
        <a:ext cx="1824905" cy="365760"/>
      </dsp:txXfrm>
    </dsp:sp>
    <dsp:sp modelId="{4B6192B8-8F25-431C-B310-870798F4F1AB}">
      <dsp:nvSpPr>
        <dsp:cNvPr id="0" name=""/>
        <dsp:cNvSpPr/>
      </dsp:nvSpPr>
      <dsp:spPr>
        <a:xfrm rot="10800000">
          <a:off x="1052830" y="1097280"/>
          <a:ext cx="2105660" cy="365760"/>
        </a:xfrm>
        <a:prstGeom prst="trapezoid">
          <a:avLst>
            <a:gd name="adj" fmla="val 95949"/>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bg1"/>
              </a:solidFill>
            </a:rPr>
            <a:t>Industrial Uses</a:t>
          </a:r>
        </a:p>
      </dsp:txBody>
      <dsp:txXfrm rot="-10800000">
        <a:off x="1421320" y="1097280"/>
        <a:ext cx="1368679" cy="365760"/>
      </dsp:txXfrm>
    </dsp:sp>
    <dsp:sp modelId="{F9B830F2-48A3-4B05-A518-732F29A73CFE}">
      <dsp:nvSpPr>
        <dsp:cNvPr id="0" name=""/>
        <dsp:cNvSpPr/>
      </dsp:nvSpPr>
      <dsp:spPr>
        <a:xfrm rot="10800000">
          <a:off x="1429167" y="1456086"/>
          <a:ext cx="1403773" cy="365760"/>
        </a:xfrm>
        <a:prstGeom prst="trapezoid">
          <a:avLst>
            <a:gd name="adj" fmla="val 95949"/>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dirty="0" err="1">
              <a:solidFill>
                <a:schemeClr val="bg1"/>
              </a:solidFill>
            </a:rPr>
            <a:t>Composting</a:t>
          </a:r>
        </a:p>
        <a:p>
          <a:pPr marL="0" lvl="0" indent="0" algn="ctr" defTabSz="400050">
            <a:lnSpc>
              <a:spcPct val="90000"/>
            </a:lnSpc>
            <a:spcBef>
              <a:spcPct val="0"/>
            </a:spcBef>
            <a:spcAft>
              <a:spcPct val="35000"/>
            </a:spcAft>
            <a:buNone/>
          </a:pPr>
          <a:r>
            <a:rPr lang="en-US" sz="900" b="1" kern="1200" dirty="0" err="1">
              <a:solidFill>
                <a:schemeClr val="bg1"/>
              </a:solidFill>
            </a:rPr>
            <a:t>(Recycling)</a:t>
          </a:r>
          <a:endParaRPr lang="en-US" sz="900" b="1" kern="1200" dirty="0">
            <a:solidFill>
              <a:schemeClr val="bg1"/>
            </a:solidFill>
          </a:endParaRPr>
        </a:p>
      </dsp:txBody>
      <dsp:txXfrm rot="-10800000">
        <a:off x="1674827" y="1456086"/>
        <a:ext cx="912452" cy="365760"/>
      </dsp:txXfrm>
    </dsp:sp>
    <dsp:sp modelId="{3E4794DE-7FB5-4B0D-9F8B-1D4BE895F26A}">
      <dsp:nvSpPr>
        <dsp:cNvPr id="0" name=""/>
        <dsp:cNvSpPr/>
      </dsp:nvSpPr>
      <dsp:spPr>
        <a:xfrm rot="10800000">
          <a:off x="1754716" y="1828800"/>
          <a:ext cx="701886" cy="365760"/>
        </a:xfrm>
        <a:prstGeom prst="trapezoid">
          <a:avLst>
            <a:gd name="adj" fmla="val 95949"/>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t" anchorCtr="0">
          <a:noAutofit/>
        </a:bodyPr>
        <a:lstStyle/>
        <a:p>
          <a:pPr marL="0" lvl="0" indent="0" algn="ctr" defTabSz="400050">
            <a:lnSpc>
              <a:spcPct val="90000"/>
            </a:lnSpc>
            <a:spcBef>
              <a:spcPct val="0"/>
            </a:spcBef>
            <a:spcAft>
              <a:spcPct val="35000"/>
            </a:spcAft>
            <a:buNone/>
          </a:pPr>
          <a:r>
            <a:rPr lang="en-US" sz="900" b="1" kern="1200" dirty="0">
              <a:solidFill>
                <a:schemeClr val="bg1"/>
              </a:solidFill>
            </a:rPr>
            <a:t>Landfill</a:t>
          </a:r>
        </a:p>
      </dsp:txBody>
      <dsp:txXfrm rot="-10800000">
        <a:off x="1754716" y="1828800"/>
        <a:ext cx="701886" cy="3657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D869-8FF9-4C32-941D-B98F53CF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2022-09-15T09:49:00Z</dcterms:created>
  <dcterms:modified xsi:type="dcterms:W3CDTF">2022-09-15T13:09:00Z</dcterms:modified>
</cp:coreProperties>
</file>